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3"/>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42D2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6" w:type="dxa"/>
          </w:tcPr>
          <w:p w14:paraId="2044B29C">
            <w:pPr>
              <w:autoSpaceDE w:val="0"/>
              <w:autoSpaceDN w:val="0"/>
              <w:adjustRightInd w:val="0"/>
              <w:snapToGrid w:val="0"/>
              <w:spacing w:line="500" w:lineRule="atLeast"/>
              <w:ind w:left="956"/>
              <w:rPr>
                <w:rFonts w:ascii="宋体" w:eastAsia="宋体"/>
                <w:b w:val="0"/>
                <w:bCs w:val="0"/>
                <w:color w:val="auto"/>
                <w:sz w:val="32"/>
                <w:szCs w:val="32"/>
                <w:highlight w:val="none"/>
                <w:lang w:val="zh-CN"/>
              </w:rPr>
            </w:pPr>
          </w:p>
          <w:p w14:paraId="4FA2EDD2">
            <w:pPr>
              <w:autoSpaceDE w:val="0"/>
              <w:autoSpaceDN w:val="0"/>
              <w:adjustRightInd w:val="0"/>
              <w:snapToGrid w:val="0"/>
              <w:spacing w:line="500" w:lineRule="atLeast"/>
              <w:jc w:val="center"/>
              <w:rPr>
                <w:rFonts w:ascii="宋体" w:eastAsia="宋体"/>
                <w:color w:val="auto"/>
                <w:sz w:val="32"/>
                <w:szCs w:val="32"/>
                <w:highlight w:val="none"/>
                <w:lang w:val="zh-CN"/>
              </w:rPr>
            </w:pPr>
          </w:p>
          <w:p w14:paraId="7F8AD4A2">
            <w:pPr>
              <w:jc w:val="center"/>
              <w:rPr>
                <w:rFonts w:ascii="宋体" w:eastAsia="宋体"/>
                <w:color w:val="auto"/>
                <w:sz w:val="72"/>
                <w:szCs w:val="72"/>
                <w:highlight w:val="none"/>
              </w:rPr>
            </w:pPr>
            <w:r>
              <w:rPr>
                <w:rFonts w:hint="eastAsia" w:ascii="宋体" w:eastAsia="宋体"/>
                <w:color w:val="auto"/>
                <w:sz w:val="72"/>
                <w:szCs w:val="72"/>
                <w:highlight w:val="none"/>
              </w:rPr>
              <w:t>永嘉县政府采购</w:t>
            </w:r>
          </w:p>
          <w:p w14:paraId="18380188">
            <w:pPr>
              <w:jc w:val="center"/>
              <w:rPr>
                <w:rFonts w:ascii="宋体" w:eastAsia="宋体"/>
                <w:color w:val="auto"/>
                <w:sz w:val="72"/>
                <w:szCs w:val="72"/>
                <w:highlight w:val="none"/>
              </w:rPr>
            </w:pPr>
            <w:r>
              <w:rPr>
                <w:rFonts w:hint="eastAsia" w:ascii="宋体" w:eastAsia="宋体"/>
                <w:color w:val="auto"/>
                <w:sz w:val="72"/>
                <w:szCs w:val="72"/>
                <w:highlight w:val="none"/>
              </w:rPr>
              <w:t>竞争性磋商文件</w:t>
            </w:r>
          </w:p>
          <w:p w14:paraId="61D8105B">
            <w:pPr>
              <w:jc w:val="center"/>
              <w:rPr>
                <w:rFonts w:ascii="宋体" w:eastAsia="宋体"/>
                <w:color w:val="auto"/>
                <w:sz w:val="72"/>
                <w:szCs w:val="72"/>
                <w:highlight w:val="none"/>
              </w:rPr>
            </w:pPr>
            <w:r>
              <w:rPr>
                <w:rFonts w:hint="eastAsia" w:ascii="宋体" w:eastAsia="宋体"/>
                <w:color w:val="auto"/>
                <w:sz w:val="72"/>
                <w:szCs w:val="72"/>
                <w:highlight w:val="none"/>
              </w:rPr>
              <w:t>（分散委托）</w:t>
            </w:r>
          </w:p>
          <w:p w14:paraId="6B8302D0">
            <w:pPr>
              <w:spacing w:line="440" w:lineRule="exact"/>
              <w:ind w:left="1260" w:leftChars="600" w:firstLine="2160" w:firstLineChars="300"/>
              <w:rPr>
                <w:rFonts w:ascii="宋体" w:eastAsia="宋体"/>
                <w:color w:val="auto"/>
                <w:sz w:val="72"/>
                <w:highlight w:val="none"/>
              </w:rPr>
            </w:pPr>
          </w:p>
          <w:p w14:paraId="4DA82831">
            <w:pPr>
              <w:snapToGrid w:val="0"/>
              <w:spacing w:line="480" w:lineRule="auto"/>
              <w:ind w:left="2682" w:leftChars="569" w:hanging="1488" w:hangingChars="496"/>
              <w:rPr>
                <w:rFonts w:ascii="宋体" w:eastAsia="宋体"/>
                <w:color w:val="auto"/>
                <w:sz w:val="30"/>
                <w:szCs w:val="30"/>
                <w:highlight w:val="none"/>
              </w:rPr>
            </w:pPr>
          </w:p>
          <w:p w14:paraId="6FE02E9A">
            <w:pPr>
              <w:tabs>
                <w:tab w:val="left" w:pos="6720"/>
              </w:tabs>
              <w:snapToGrid w:val="0"/>
              <w:spacing w:line="480" w:lineRule="auto"/>
              <w:ind w:left="2572" w:leftChars="572" w:right="2278" w:rightChars="1085" w:hanging="1371" w:hangingChars="457"/>
              <w:rPr>
                <w:rFonts w:hint="eastAsia" w:ascii="宋体" w:eastAsia="宋体"/>
                <w:color w:val="auto"/>
                <w:sz w:val="30"/>
                <w:szCs w:val="30"/>
                <w:highlight w:val="none"/>
                <w:lang w:eastAsia="zh-CN"/>
              </w:rPr>
            </w:pPr>
            <w:r>
              <w:rPr>
                <w:rFonts w:hint="eastAsia" w:ascii="宋体" w:eastAsia="宋体"/>
                <w:color w:val="auto"/>
                <w:sz w:val="30"/>
                <w:szCs w:val="30"/>
                <w:highlight w:val="none"/>
              </w:rPr>
              <w:t>项目名称：</w:t>
            </w:r>
            <w:r>
              <w:rPr>
                <w:rFonts w:hint="eastAsia" w:ascii="宋体" w:eastAsia="宋体"/>
                <w:color w:val="auto"/>
                <w:sz w:val="30"/>
                <w:szCs w:val="30"/>
                <w:highlight w:val="none"/>
                <w:lang w:eastAsia="zh-CN"/>
              </w:rPr>
              <w:t>永嘉县2025年农作物种子储备服务采购</w:t>
            </w:r>
          </w:p>
          <w:p w14:paraId="514B8B99">
            <w:pPr>
              <w:snapToGrid w:val="0"/>
              <w:spacing w:line="480" w:lineRule="auto"/>
              <w:ind w:firstLine="1200" w:firstLineChars="400"/>
              <w:rPr>
                <w:rFonts w:hint="eastAsia" w:ascii="宋体" w:eastAsia="宋体"/>
                <w:color w:val="auto"/>
                <w:sz w:val="30"/>
                <w:szCs w:val="30"/>
                <w:highlight w:val="none"/>
                <w:lang w:eastAsia="zh-CN"/>
              </w:rPr>
            </w:pPr>
            <w:r>
              <w:rPr>
                <w:rFonts w:hint="eastAsia" w:ascii="宋体" w:eastAsia="宋体"/>
                <w:color w:val="auto"/>
                <w:sz w:val="30"/>
                <w:szCs w:val="30"/>
                <w:highlight w:val="none"/>
              </w:rPr>
              <w:t>采购编号：</w:t>
            </w:r>
            <w:r>
              <w:rPr>
                <w:rFonts w:hint="eastAsia" w:ascii="宋体" w:eastAsia="宋体"/>
                <w:color w:val="auto"/>
                <w:sz w:val="30"/>
                <w:szCs w:val="30"/>
                <w:highlight w:val="none"/>
                <w:lang w:eastAsia="zh-CN"/>
              </w:rPr>
              <w:t>ZGCG-20250707</w:t>
            </w:r>
          </w:p>
          <w:p w14:paraId="162BAF43">
            <w:pPr>
              <w:spacing w:line="480" w:lineRule="auto"/>
              <w:ind w:left="1260" w:leftChars="600" w:firstLine="900" w:firstLineChars="300"/>
              <w:rPr>
                <w:rFonts w:ascii="宋体" w:eastAsia="宋体"/>
                <w:color w:val="auto"/>
                <w:sz w:val="30"/>
                <w:szCs w:val="30"/>
                <w:highlight w:val="none"/>
              </w:rPr>
            </w:pPr>
          </w:p>
          <w:p w14:paraId="12C1C377">
            <w:pPr>
              <w:spacing w:line="480" w:lineRule="auto"/>
              <w:ind w:left="1260" w:leftChars="600" w:firstLine="900" w:firstLineChars="300"/>
              <w:rPr>
                <w:rFonts w:ascii="宋体" w:eastAsia="宋体"/>
                <w:color w:val="auto"/>
                <w:sz w:val="30"/>
                <w:szCs w:val="30"/>
                <w:highlight w:val="none"/>
              </w:rPr>
            </w:pPr>
          </w:p>
          <w:p w14:paraId="22C21971">
            <w:pPr>
              <w:pStyle w:val="20"/>
              <w:rPr>
                <w:rFonts w:ascii="宋体" w:hAnsi="宋体" w:eastAsia="宋体" w:cs="宋体"/>
                <w:color w:val="auto"/>
                <w:highlight w:val="none"/>
              </w:rPr>
            </w:pPr>
          </w:p>
          <w:p w14:paraId="0C7AD791">
            <w:pPr>
              <w:snapToGrid w:val="0"/>
              <w:spacing w:line="48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采 购 人：永嘉县农业农村局</w:t>
            </w:r>
          </w:p>
          <w:p w14:paraId="4570B173">
            <w:pPr>
              <w:snapToGrid w:val="0"/>
              <w:spacing w:line="48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代理机构：温州市中概工程管理咨询有限公司</w:t>
            </w:r>
          </w:p>
          <w:p w14:paraId="09009FA1">
            <w:pPr>
              <w:autoSpaceDE w:val="0"/>
              <w:autoSpaceDN w:val="0"/>
              <w:adjustRightInd w:val="0"/>
              <w:snapToGrid w:val="0"/>
              <w:spacing w:line="480" w:lineRule="auto"/>
              <w:jc w:val="center"/>
              <w:rPr>
                <w:rFonts w:ascii="宋体" w:eastAsia="宋体"/>
                <w:color w:val="auto"/>
                <w:sz w:val="32"/>
                <w:szCs w:val="32"/>
                <w:highlight w:val="none"/>
              </w:rPr>
            </w:pPr>
            <w:r>
              <w:rPr>
                <w:rFonts w:hint="eastAsia" w:ascii="宋体" w:eastAsia="宋体"/>
                <w:color w:val="auto"/>
                <w:sz w:val="30"/>
                <w:szCs w:val="30"/>
                <w:highlight w:val="none"/>
              </w:rPr>
              <w:t>二○二五年</w:t>
            </w:r>
            <w:r>
              <w:rPr>
                <w:rFonts w:hint="eastAsia" w:ascii="宋体" w:eastAsia="宋体"/>
                <w:color w:val="auto"/>
                <w:sz w:val="30"/>
                <w:szCs w:val="30"/>
                <w:highlight w:val="none"/>
                <w:lang w:val="en-US" w:eastAsia="zh-CN"/>
              </w:rPr>
              <w:t>七</w:t>
            </w:r>
            <w:r>
              <w:rPr>
                <w:rFonts w:hint="eastAsia" w:ascii="宋体" w:eastAsia="宋体"/>
                <w:color w:val="auto"/>
                <w:sz w:val="30"/>
                <w:szCs w:val="30"/>
                <w:highlight w:val="none"/>
              </w:rPr>
              <w:t>月</w:t>
            </w:r>
          </w:p>
        </w:tc>
      </w:tr>
    </w:tbl>
    <w:p w14:paraId="0BF443D2">
      <w:pPr>
        <w:spacing w:before="312" w:beforeLines="100" w:after="156" w:afterLines="50" w:line="340" w:lineRule="exact"/>
        <w:jc w:val="center"/>
        <w:rPr>
          <w:rFonts w:ascii="宋体" w:eastAsia="宋体"/>
          <w:b w:val="0"/>
          <w:bCs w:val="0"/>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14:paraId="5072238B">
      <w:pPr>
        <w:autoSpaceDE w:val="0"/>
        <w:autoSpaceDN w:val="0"/>
        <w:adjustRightInd w:val="0"/>
        <w:spacing w:line="460" w:lineRule="atLeast"/>
        <w:jc w:val="center"/>
        <w:rPr>
          <w:rFonts w:cs="宋体"/>
          <w:color w:val="auto"/>
          <w:highlight w:val="none"/>
          <w:lang w:val="zh-CN"/>
        </w:rPr>
      </w:pPr>
      <w:r>
        <w:rPr>
          <w:rFonts w:hint="eastAsia" w:ascii="宋体" w:eastAsia="宋体"/>
          <w:color w:val="auto"/>
          <w:sz w:val="36"/>
          <w:szCs w:val="36"/>
          <w:highlight w:val="none"/>
          <w:lang w:val="zh-CN"/>
        </w:rPr>
        <w:t>磋商文件目录</w:t>
      </w:r>
    </w:p>
    <w:p w14:paraId="3AA1F04F">
      <w:pPr>
        <w:pStyle w:val="34"/>
        <w:tabs>
          <w:tab w:val="right" w:leader="dot" w:pos="9072"/>
          <w:tab w:val="clear" w:pos="8987"/>
        </w:tabs>
        <w:spacing w:line="720" w:lineRule="auto"/>
        <w:rPr>
          <w:rFonts w:cs="宋体"/>
          <w:color w:val="auto"/>
          <w:highlight w:val="none"/>
        </w:rPr>
      </w:pPr>
      <w:r>
        <w:rPr>
          <w:rFonts w:hint="eastAsia" w:cs="宋体"/>
          <w:color w:val="auto"/>
          <w:sz w:val="24"/>
          <w:szCs w:val="24"/>
          <w:highlight w:val="none"/>
          <w:lang w:val="zh-CN"/>
        </w:rPr>
        <w:fldChar w:fldCharType="begin"/>
      </w:r>
      <w:r>
        <w:rPr>
          <w:rFonts w:hint="eastAsia" w:cs="宋体"/>
          <w:color w:val="auto"/>
          <w:sz w:val="24"/>
          <w:szCs w:val="24"/>
          <w:highlight w:val="none"/>
          <w:lang w:val="zh-CN"/>
        </w:rPr>
        <w:instrText xml:space="preserve"> TOC \o "1-1" \h \z \u </w:instrText>
      </w:r>
      <w:r>
        <w:rPr>
          <w:rFonts w:hint="eastAsia"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"_Toc32026" </w:instrText>
      </w:r>
      <w:r>
        <w:rPr>
          <w:color w:val="auto"/>
          <w:highlight w:val="none"/>
        </w:rPr>
        <w:fldChar w:fldCharType="separate"/>
      </w:r>
      <w:r>
        <w:rPr>
          <w:rFonts w:hint="eastAsia" w:cs="宋体"/>
          <w:color w:val="auto"/>
          <w:highlight w:val="none"/>
        </w:rPr>
        <w:t>温州市中概工程管理咨询有限公司关于</w:t>
      </w:r>
      <w:r>
        <w:rPr>
          <w:rFonts w:hint="eastAsia" w:cs="宋体"/>
          <w:color w:val="auto"/>
          <w:highlight w:val="none"/>
          <w:lang w:eastAsia="zh-CN"/>
        </w:rPr>
        <w:t>永嘉县2025年农作物种子储备服务采购</w:t>
      </w:r>
      <w:r>
        <w:rPr>
          <w:rFonts w:hint="eastAsia" w:cs="宋体"/>
          <w:color w:val="auto"/>
          <w:highlight w:val="none"/>
        </w:rPr>
        <w:t>的竞争性磋商公告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_Toc32026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0178FBD0">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"_Toc15100" </w:instrText>
      </w:r>
      <w:r>
        <w:rPr>
          <w:color w:val="auto"/>
          <w:highlight w:val="none"/>
        </w:rPr>
        <w:fldChar w:fldCharType="separate"/>
      </w:r>
      <w:r>
        <w:rPr>
          <w:rFonts w:hint="eastAsia" w:cs="宋体"/>
          <w:color w:val="auto"/>
          <w:highlight w:val="none"/>
        </w:rPr>
        <w:t>第一部分 磋商通知(邀请)书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_Toc15100 \h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3BC5BE1A">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"_Toc25136" </w:instrText>
      </w:r>
      <w:r>
        <w:rPr>
          <w:color w:val="auto"/>
          <w:highlight w:val="none"/>
        </w:rPr>
        <w:fldChar w:fldCharType="separate"/>
      </w:r>
      <w:r>
        <w:rPr>
          <w:rFonts w:hint="eastAsia" w:cs="宋体"/>
          <w:color w:val="auto"/>
          <w:highlight w:val="none"/>
        </w:rPr>
        <w:t>第二部分 采购内容及要求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_Toc25136 \h </w:instrText>
      </w:r>
      <w:r>
        <w:rPr>
          <w:rFonts w:hint="eastAsia" w:cs="宋体"/>
          <w:color w:val="auto"/>
          <w:highlight w:val="none"/>
        </w:rPr>
        <w:fldChar w:fldCharType="separate"/>
      </w:r>
      <w:r>
        <w:rPr>
          <w:rFonts w:hint="eastAsia" w:cs="宋体"/>
          <w:color w:val="auto"/>
          <w:highlight w:val="none"/>
        </w:rPr>
        <w:t>11</w:t>
      </w:r>
      <w:r>
        <w:rPr>
          <w:rFonts w:hint="eastAsia" w:cs="宋体"/>
          <w:color w:val="auto"/>
          <w:highlight w:val="none"/>
        </w:rPr>
        <w:fldChar w:fldCharType="end"/>
      </w:r>
      <w:r>
        <w:rPr>
          <w:rFonts w:hint="eastAsia" w:cs="宋体"/>
          <w:color w:val="auto"/>
          <w:highlight w:val="none"/>
        </w:rPr>
        <w:fldChar w:fldCharType="end"/>
      </w:r>
    </w:p>
    <w:p w14:paraId="5E88963C">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"_Toc2103" </w:instrText>
      </w:r>
      <w:r>
        <w:rPr>
          <w:color w:val="auto"/>
          <w:highlight w:val="none"/>
        </w:rPr>
        <w:fldChar w:fldCharType="separate"/>
      </w:r>
      <w:r>
        <w:rPr>
          <w:rFonts w:hint="eastAsia" w:cs="宋体"/>
          <w:color w:val="auto"/>
          <w:highlight w:val="none"/>
        </w:rPr>
        <w:t>第三部分 投标供应商须知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_Toc2103 \h </w:instrText>
      </w:r>
      <w:r>
        <w:rPr>
          <w:rFonts w:hint="eastAsia" w:cs="宋体"/>
          <w:color w:val="auto"/>
          <w:highlight w:val="none"/>
        </w:rPr>
        <w:fldChar w:fldCharType="separate"/>
      </w:r>
      <w:r>
        <w:rPr>
          <w:rFonts w:hint="eastAsia" w:cs="宋体"/>
          <w:color w:val="auto"/>
          <w:highlight w:val="none"/>
        </w:rPr>
        <w:t>13</w:t>
      </w:r>
      <w:r>
        <w:rPr>
          <w:rFonts w:hint="eastAsia" w:cs="宋体"/>
          <w:color w:val="auto"/>
          <w:highlight w:val="none"/>
        </w:rPr>
        <w:fldChar w:fldCharType="end"/>
      </w:r>
      <w:r>
        <w:rPr>
          <w:rFonts w:hint="eastAsia" w:cs="宋体"/>
          <w:color w:val="auto"/>
          <w:highlight w:val="none"/>
        </w:rPr>
        <w:fldChar w:fldCharType="end"/>
      </w:r>
    </w:p>
    <w:p w14:paraId="051A46C3">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"_Toc18603" </w:instrText>
      </w:r>
      <w:r>
        <w:rPr>
          <w:color w:val="auto"/>
          <w:highlight w:val="none"/>
        </w:rPr>
        <w:fldChar w:fldCharType="separate"/>
      </w:r>
      <w:r>
        <w:rPr>
          <w:rFonts w:hint="eastAsia" w:cs="宋体"/>
          <w:color w:val="auto"/>
          <w:highlight w:val="none"/>
        </w:rPr>
        <w:t>第四部分 政府采购政策功能相关说明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_Toc18603 \h </w:instrText>
      </w:r>
      <w:r>
        <w:rPr>
          <w:rFonts w:hint="eastAsia" w:cs="宋体"/>
          <w:color w:val="auto"/>
          <w:highlight w:val="none"/>
        </w:rPr>
        <w:fldChar w:fldCharType="separate"/>
      </w:r>
      <w:r>
        <w:rPr>
          <w:rFonts w:hint="eastAsia" w:cs="宋体"/>
          <w:color w:val="auto"/>
          <w:highlight w:val="none"/>
        </w:rPr>
        <w:t>24</w:t>
      </w:r>
      <w:r>
        <w:rPr>
          <w:rFonts w:hint="eastAsia" w:cs="宋体"/>
          <w:color w:val="auto"/>
          <w:highlight w:val="none"/>
        </w:rPr>
        <w:fldChar w:fldCharType="end"/>
      </w:r>
      <w:r>
        <w:rPr>
          <w:rFonts w:hint="eastAsia" w:cs="宋体"/>
          <w:color w:val="auto"/>
          <w:highlight w:val="none"/>
        </w:rPr>
        <w:fldChar w:fldCharType="end"/>
      </w:r>
    </w:p>
    <w:p w14:paraId="41845F6C">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"_Toc22282" </w:instrText>
      </w:r>
      <w:r>
        <w:rPr>
          <w:color w:val="auto"/>
          <w:highlight w:val="none"/>
        </w:rPr>
        <w:fldChar w:fldCharType="separate"/>
      </w:r>
      <w:r>
        <w:rPr>
          <w:rFonts w:hint="eastAsia" w:cs="宋体"/>
          <w:color w:val="auto"/>
          <w:highlight w:val="none"/>
        </w:rPr>
        <w:t>第五部分 合同格式（仅供参考）</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_Toc22282 \h </w:instrText>
      </w:r>
      <w:r>
        <w:rPr>
          <w:rFonts w:hint="eastAsia" w:cs="宋体"/>
          <w:color w:val="auto"/>
          <w:highlight w:val="none"/>
        </w:rPr>
        <w:fldChar w:fldCharType="separate"/>
      </w:r>
      <w:r>
        <w:rPr>
          <w:rFonts w:hint="eastAsia" w:cs="宋体"/>
          <w:color w:val="auto"/>
          <w:highlight w:val="none"/>
        </w:rPr>
        <w:t>28</w:t>
      </w:r>
      <w:r>
        <w:rPr>
          <w:rFonts w:hint="eastAsia" w:cs="宋体"/>
          <w:color w:val="auto"/>
          <w:highlight w:val="none"/>
        </w:rPr>
        <w:fldChar w:fldCharType="end"/>
      </w:r>
      <w:r>
        <w:rPr>
          <w:rFonts w:hint="eastAsia" w:cs="宋体"/>
          <w:color w:val="auto"/>
          <w:highlight w:val="none"/>
        </w:rPr>
        <w:fldChar w:fldCharType="end"/>
      </w:r>
    </w:p>
    <w:p w14:paraId="66AE0AC8">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"_Toc10539" </w:instrText>
      </w:r>
      <w:r>
        <w:rPr>
          <w:color w:val="auto"/>
          <w:highlight w:val="none"/>
        </w:rPr>
        <w:fldChar w:fldCharType="separate"/>
      </w:r>
      <w:r>
        <w:rPr>
          <w:rFonts w:hint="eastAsia" w:cs="宋体"/>
          <w:color w:val="auto"/>
          <w:highlight w:val="none"/>
        </w:rPr>
        <w:t>第六部分 磋商响应文件格式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_Toc10539 \h </w:instrText>
      </w:r>
      <w:r>
        <w:rPr>
          <w:rFonts w:hint="eastAsia" w:cs="宋体"/>
          <w:color w:val="auto"/>
          <w:highlight w:val="none"/>
        </w:rPr>
        <w:fldChar w:fldCharType="separate"/>
      </w:r>
      <w:r>
        <w:rPr>
          <w:rFonts w:hint="eastAsia" w:cs="宋体"/>
          <w:color w:val="auto"/>
          <w:highlight w:val="none"/>
        </w:rPr>
        <w:t>31</w:t>
      </w:r>
      <w:r>
        <w:rPr>
          <w:rFonts w:hint="eastAsia" w:cs="宋体"/>
          <w:color w:val="auto"/>
          <w:highlight w:val="none"/>
        </w:rPr>
        <w:fldChar w:fldCharType="end"/>
      </w:r>
      <w:r>
        <w:rPr>
          <w:rFonts w:hint="eastAsia" w:cs="宋体"/>
          <w:color w:val="auto"/>
          <w:highlight w:val="none"/>
        </w:rPr>
        <w:fldChar w:fldCharType="end"/>
      </w:r>
    </w:p>
    <w:p w14:paraId="0DC0FFE8">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"_Toc16430" </w:instrText>
      </w:r>
      <w:r>
        <w:rPr>
          <w:color w:val="auto"/>
          <w:highlight w:val="none"/>
        </w:rPr>
        <w:fldChar w:fldCharType="separate"/>
      </w:r>
      <w:r>
        <w:rPr>
          <w:rFonts w:hint="eastAsia" w:cs="宋体"/>
          <w:color w:val="auto"/>
          <w:highlight w:val="none"/>
        </w:rPr>
        <w:t>一、资格文件部分格式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_Toc16430 \h </w:instrText>
      </w:r>
      <w:r>
        <w:rPr>
          <w:rFonts w:hint="eastAsia" w:cs="宋体"/>
          <w:color w:val="auto"/>
          <w:highlight w:val="none"/>
        </w:rPr>
        <w:fldChar w:fldCharType="separate"/>
      </w:r>
      <w:r>
        <w:rPr>
          <w:rFonts w:hint="eastAsia" w:cs="宋体"/>
          <w:color w:val="auto"/>
          <w:highlight w:val="none"/>
        </w:rPr>
        <w:t>31</w:t>
      </w:r>
      <w:r>
        <w:rPr>
          <w:rFonts w:hint="eastAsia" w:cs="宋体"/>
          <w:color w:val="auto"/>
          <w:highlight w:val="none"/>
        </w:rPr>
        <w:fldChar w:fldCharType="end"/>
      </w:r>
      <w:r>
        <w:rPr>
          <w:rFonts w:hint="eastAsia" w:cs="宋体"/>
          <w:color w:val="auto"/>
          <w:highlight w:val="none"/>
        </w:rPr>
        <w:fldChar w:fldCharType="end"/>
      </w:r>
    </w:p>
    <w:p w14:paraId="45FD095F">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"_Toc29106" </w:instrText>
      </w:r>
      <w:r>
        <w:rPr>
          <w:color w:val="auto"/>
          <w:highlight w:val="none"/>
        </w:rPr>
        <w:fldChar w:fldCharType="separate"/>
      </w:r>
      <w:r>
        <w:rPr>
          <w:rFonts w:hint="eastAsia" w:cs="宋体"/>
          <w:color w:val="auto"/>
          <w:highlight w:val="none"/>
        </w:rPr>
        <w:t>二、报价文件部分格式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_Toc29106 \h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14:paraId="7AAB6E92">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"_Toc15121" </w:instrText>
      </w:r>
      <w:r>
        <w:rPr>
          <w:color w:val="auto"/>
          <w:highlight w:val="none"/>
        </w:rPr>
        <w:fldChar w:fldCharType="separate"/>
      </w:r>
      <w:r>
        <w:rPr>
          <w:rFonts w:hint="eastAsia" w:cs="宋体"/>
          <w:color w:val="auto"/>
          <w:highlight w:val="none"/>
        </w:rPr>
        <w:t>三、商务技术文件部分格式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_Toc15121 \h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14:paraId="15E4AC82">
      <w:pPr>
        <w:pStyle w:val="34"/>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"_Toc23137" </w:instrText>
      </w:r>
      <w:r>
        <w:rPr>
          <w:color w:val="auto"/>
          <w:highlight w:val="none"/>
        </w:rPr>
        <w:fldChar w:fldCharType="separate"/>
      </w:r>
      <w:r>
        <w:rPr>
          <w:rFonts w:hint="eastAsia" w:cs="宋体"/>
          <w:color w:val="auto"/>
          <w:highlight w:val="none"/>
        </w:rPr>
        <w:t>第七部分 评标定标办法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_Toc23137 \h </w:instrText>
      </w:r>
      <w:r>
        <w:rPr>
          <w:rFonts w:hint="eastAsia" w:cs="宋体"/>
          <w:color w:val="auto"/>
          <w:highlight w:val="none"/>
        </w:rPr>
        <w:fldChar w:fldCharType="separate"/>
      </w:r>
      <w:r>
        <w:rPr>
          <w:rFonts w:hint="eastAsia" w:cs="宋体"/>
          <w:color w:val="auto"/>
          <w:highlight w:val="none"/>
        </w:rPr>
        <w:t>41</w:t>
      </w:r>
      <w:r>
        <w:rPr>
          <w:rFonts w:hint="eastAsia" w:cs="宋体"/>
          <w:color w:val="auto"/>
          <w:highlight w:val="none"/>
        </w:rPr>
        <w:fldChar w:fldCharType="end"/>
      </w:r>
      <w:r>
        <w:rPr>
          <w:rFonts w:hint="eastAsia" w:cs="宋体"/>
          <w:color w:val="auto"/>
          <w:highlight w:val="none"/>
        </w:rPr>
        <w:fldChar w:fldCharType="end"/>
      </w:r>
    </w:p>
    <w:p w14:paraId="0098CBF3">
      <w:pPr>
        <w:spacing w:line="480" w:lineRule="auto"/>
        <w:rPr>
          <w:rFonts w:ascii="宋体" w:eastAsia="宋体"/>
          <w:color w:val="auto"/>
          <w:sz w:val="22"/>
          <w:szCs w:val="22"/>
          <w:highlight w:val="none"/>
        </w:rPr>
      </w:pPr>
      <w:r>
        <w:rPr>
          <w:rFonts w:hint="eastAsia" w:ascii="宋体" w:eastAsia="宋体"/>
          <w:color w:val="auto"/>
          <w:szCs w:val="24"/>
          <w:highlight w:val="none"/>
          <w:lang w:val="zh-CN"/>
        </w:rPr>
        <w:fldChar w:fldCharType="end"/>
      </w:r>
      <w:r>
        <w:rPr>
          <w:rFonts w:hint="eastAsia" w:ascii="宋体" w:eastAsia="宋体"/>
          <w:color w:val="auto"/>
          <w:sz w:val="22"/>
          <w:szCs w:val="22"/>
          <w:highlight w:val="none"/>
        </w:rPr>
        <w:t>注：采购文件中部分加“▲”的条款，为招标的实质性要求和条件，着重提醒各投标供应商注意，并认真查看采购文件中的每一个条款及要求，因误读采购文件而造成的后果，采购人概不负责。</w:t>
      </w:r>
    </w:p>
    <w:p w14:paraId="7013AC3B">
      <w:pPr>
        <w:rPr>
          <w:rFonts w:ascii="宋体" w:eastAsia="宋体"/>
          <w:color w:val="auto"/>
          <w:highlight w:val="none"/>
        </w:rPr>
      </w:pPr>
      <w:bookmarkStart w:id="0" w:name="_Toc32026"/>
      <w:r>
        <w:rPr>
          <w:rFonts w:hint="eastAsia" w:ascii="宋体" w:eastAsia="宋体"/>
          <w:color w:val="auto"/>
          <w:highlight w:val="none"/>
        </w:rPr>
        <w:br w:type="page"/>
      </w:r>
    </w:p>
    <w:p w14:paraId="71084820">
      <w:pPr>
        <w:pStyle w:val="8"/>
        <w:spacing w:line="480" w:lineRule="auto"/>
        <w:rPr>
          <w:rFonts w:ascii="宋体" w:hAnsi="宋体" w:cs="宋体"/>
          <w:color w:val="auto"/>
          <w:highlight w:val="none"/>
        </w:rPr>
      </w:pPr>
      <w:r>
        <w:rPr>
          <w:rFonts w:hint="eastAsia" w:ascii="宋体" w:hAnsi="宋体" w:cs="宋体"/>
          <w:color w:val="auto"/>
          <w:highlight w:val="none"/>
        </w:rPr>
        <w:t>温州市中概工程管理咨询有限公司关于</w:t>
      </w:r>
      <w:r>
        <w:rPr>
          <w:rFonts w:hint="eastAsia" w:ascii="宋体" w:hAnsi="宋体" w:cs="宋体"/>
          <w:color w:val="auto"/>
          <w:highlight w:val="none"/>
          <w:lang w:eastAsia="zh-CN"/>
        </w:rPr>
        <w:t>永嘉县2025年农作物种子储备服务采购</w:t>
      </w:r>
      <w:r>
        <w:rPr>
          <w:rFonts w:hint="eastAsia" w:ascii="宋体" w:hAnsi="宋体" w:cs="宋体"/>
          <w:color w:val="auto"/>
          <w:highlight w:val="none"/>
        </w:rPr>
        <w:t>的竞争性磋商公告</w:t>
      </w:r>
      <w:bookmarkEnd w:id="0"/>
    </w:p>
    <w:p w14:paraId="0A1B4165">
      <w:pPr>
        <w:pStyle w:val="41"/>
        <w:spacing w:after="156"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项目概况</w:t>
      </w:r>
      <w:r>
        <w:rPr>
          <w:rFonts w:hint="eastAsia" w:ascii="宋体" w:hAnsi="宋体" w:cs="宋体"/>
          <w:color w:val="auto"/>
          <w:sz w:val="22"/>
          <w:szCs w:val="22"/>
          <w:highlight w:val="none"/>
        </w:rPr>
        <w:t>    </w:t>
      </w:r>
    </w:p>
    <w:p w14:paraId="6DAFF6E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lang w:eastAsia="zh-CN"/>
        </w:rPr>
        <w:t>永嘉县2025年农作物种子储备服务采购</w:t>
      </w:r>
      <w:r>
        <w:rPr>
          <w:rFonts w:hint="eastAsia" w:ascii="宋体" w:hAnsi="宋体" w:cs="宋体"/>
          <w:color w:val="auto"/>
          <w:sz w:val="22"/>
          <w:szCs w:val="22"/>
          <w:highlight w:val="none"/>
        </w:rPr>
        <w:t>项目的潜在供应商应在政采云平台线上获取（下载）采购文件，并于2025年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 09:30（北京时间）前提交（上传）响应文件。    </w:t>
      </w:r>
    </w:p>
    <w:p w14:paraId="4AF4DC70">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一、项目基本情况</w:t>
      </w:r>
    </w:p>
    <w:p w14:paraId="3ECEA0F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ZGCG-20250707</w:t>
      </w:r>
      <w:r>
        <w:rPr>
          <w:rFonts w:hint="eastAsia" w:ascii="宋体" w:hAnsi="宋体" w:cs="宋体"/>
          <w:color w:val="auto"/>
          <w:sz w:val="22"/>
          <w:szCs w:val="22"/>
          <w:highlight w:val="none"/>
        </w:rPr>
        <w:t>      </w:t>
      </w:r>
    </w:p>
    <w:p w14:paraId="1262FE9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永嘉县2025年农作物种子储备服务采购</w:t>
      </w:r>
      <w:r>
        <w:rPr>
          <w:rFonts w:hint="eastAsia" w:ascii="宋体" w:hAnsi="宋体" w:cs="宋体"/>
          <w:color w:val="auto"/>
          <w:sz w:val="22"/>
          <w:szCs w:val="22"/>
          <w:highlight w:val="none"/>
        </w:rPr>
        <w:t>      </w:t>
      </w:r>
    </w:p>
    <w:p w14:paraId="03D3768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采购方式：竞争性磋商      </w:t>
      </w:r>
    </w:p>
    <w:p w14:paraId="625BB9D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216980</w:t>
      </w:r>
      <w:r>
        <w:rPr>
          <w:rFonts w:hint="eastAsia" w:ascii="宋体" w:hAnsi="宋体" w:cs="宋体"/>
          <w:color w:val="auto"/>
          <w:sz w:val="22"/>
          <w:szCs w:val="22"/>
          <w:highlight w:val="none"/>
        </w:rPr>
        <w:t>      </w:t>
      </w:r>
    </w:p>
    <w:p w14:paraId="7B2A1C2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最高限价（元）：/      </w:t>
      </w:r>
    </w:p>
    <w:p w14:paraId="64797BCA">
      <w:pPr>
        <w:widowControl/>
        <w:spacing w:line="360" w:lineRule="auto"/>
        <w:ind w:firstLine="420"/>
        <w:jc w:val="left"/>
        <w:rPr>
          <w:rFonts w:ascii="宋体" w:eastAsia="宋体"/>
          <w:color w:val="auto"/>
          <w:sz w:val="22"/>
          <w:szCs w:val="22"/>
          <w:highlight w:val="none"/>
        </w:rPr>
      </w:pPr>
      <w:r>
        <w:rPr>
          <w:rFonts w:hint="eastAsia" w:ascii="宋体" w:eastAsia="宋体"/>
          <w:color w:val="auto"/>
          <w:sz w:val="22"/>
          <w:szCs w:val="22"/>
          <w:highlight w:val="none"/>
          <w:lang w:bidi="ar"/>
        </w:rPr>
        <w:t>采购需求：        </w:t>
      </w:r>
    </w:p>
    <w:p w14:paraId="60DC93A7">
      <w:pPr>
        <w:pStyle w:val="41"/>
        <w:spacing w:before="300"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         </w:t>
      </w:r>
    </w:p>
    <w:p w14:paraId="17A453E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数量：不限          </w:t>
      </w:r>
    </w:p>
    <w:p w14:paraId="010C40E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216980</w:t>
      </w:r>
      <w:r>
        <w:rPr>
          <w:rFonts w:hint="eastAsia" w:ascii="宋体" w:hAnsi="宋体" w:cs="宋体"/>
          <w:color w:val="auto"/>
          <w:sz w:val="22"/>
          <w:szCs w:val="22"/>
          <w:highlight w:val="none"/>
        </w:rPr>
        <w:t>          </w:t>
      </w:r>
    </w:p>
    <w:p w14:paraId="1CB4352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单位：1          </w:t>
      </w:r>
    </w:p>
    <w:p w14:paraId="2D5F524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简要规格描述：</w:t>
      </w:r>
      <w:r>
        <w:rPr>
          <w:rFonts w:hint="eastAsia" w:ascii="宋体" w:hAnsi="宋体" w:cs="宋体"/>
          <w:color w:val="auto"/>
          <w:sz w:val="22"/>
          <w:szCs w:val="22"/>
          <w:highlight w:val="none"/>
          <w:lang w:eastAsia="zh-CN"/>
        </w:rPr>
        <w:t>永嘉县2025年农作物种子储备服务采购</w:t>
      </w:r>
      <w:r>
        <w:rPr>
          <w:rFonts w:hint="eastAsia" w:ascii="宋体" w:hAnsi="宋体" w:cs="宋体"/>
          <w:color w:val="auto"/>
          <w:sz w:val="22"/>
          <w:szCs w:val="22"/>
          <w:highlight w:val="none"/>
        </w:rPr>
        <w:t>，具体详见磋商文件          </w:t>
      </w:r>
    </w:p>
    <w:p w14:paraId="332614B7">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备注：          </w:t>
      </w:r>
    </w:p>
    <w:p w14:paraId="01AD8EA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合同履约期限：标项 1，具体详见磋商文件      </w:t>
      </w:r>
    </w:p>
    <w:p w14:paraId="4BFFDB1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本项目（否）接受联合体投标。      </w:t>
      </w:r>
    </w:p>
    <w:p w14:paraId="5B59611C">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二、申请人的资格要求：</w:t>
      </w:r>
    </w:p>
    <w:p w14:paraId="4869ADF5">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      </w:t>
      </w:r>
    </w:p>
    <w:p w14:paraId="674FC63C">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2.落实政府采购政策需满足的资格要求：标项1：无      </w:t>
      </w:r>
    </w:p>
    <w:p w14:paraId="2D1B244C">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3.本项目的特定资格要求：</w:t>
      </w:r>
      <w:r>
        <w:rPr>
          <w:rFonts w:hint="eastAsia" w:ascii="宋体" w:hAnsi="宋体"/>
          <w:color w:val="auto"/>
          <w:kern w:val="0"/>
          <w:sz w:val="22"/>
          <w:szCs w:val="22"/>
          <w:highlight w:val="none"/>
          <w:shd w:val="clear" w:color="auto" w:fill="auto"/>
        </w:rPr>
        <w:t>符合《浙江省农作物种子储备管理办法》（浙农专发〔2020〕43号）第十四条规定；在浙江省内具有符合种子仓储要求的仓储设施</w:t>
      </w:r>
      <w:r>
        <w:rPr>
          <w:rFonts w:hint="eastAsia" w:cs="新宋体" w:asciiTheme="majorEastAsia" w:hAnsiTheme="majorEastAsia" w:eastAsiaTheme="majorEastAsia"/>
          <w:color w:val="auto"/>
          <w:kern w:val="0"/>
          <w:sz w:val="22"/>
          <w:szCs w:val="22"/>
          <w:highlight w:val="none"/>
        </w:rPr>
        <w:t>。</w:t>
      </w:r>
      <w:r>
        <w:rPr>
          <w:rFonts w:hint="eastAsia" w:ascii="宋体" w:hAnsi="宋体" w:cs="宋体"/>
          <w:color w:val="auto"/>
          <w:sz w:val="22"/>
          <w:szCs w:val="22"/>
          <w:highlight w:val="none"/>
        </w:rPr>
        <w:t>     </w:t>
      </w:r>
    </w:p>
    <w:p w14:paraId="5239C0D2">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三、获取（下载）采购文件</w:t>
      </w:r>
    </w:p>
    <w:p w14:paraId="267454F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时间：/至2025年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日，每天上午00:00至12:00，下午12:00至23:59（北京时间，线上获取法定节假日均可，线下获取文件法定节假日除外）      </w:t>
      </w:r>
    </w:p>
    <w:p w14:paraId="35F6BA6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地点（网址）：政采云平台线上获取      </w:t>
      </w:r>
    </w:p>
    <w:p w14:paraId="6FC8E52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      </w:t>
      </w:r>
    </w:p>
    <w:p w14:paraId="0D06CE2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售价（元）：0      </w:t>
      </w:r>
    </w:p>
    <w:p w14:paraId="55D0DA6F">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四、响应文件提交（上传）</w:t>
      </w:r>
    </w:p>
    <w:p w14:paraId="78A4A2A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截止时间：2025年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 09:30（北京时间）</w:t>
      </w:r>
    </w:p>
    <w:p w14:paraId="6CA20E7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地点（网址）：请登录政采云投标客户端投标      </w:t>
      </w:r>
    </w:p>
    <w:p w14:paraId="7B91D21D">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五、响应文件开启</w:t>
      </w:r>
    </w:p>
    <w:p w14:paraId="2A4B5D2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开启时间： 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 09:30（北京时间）</w:t>
      </w:r>
    </w:p>
    <w:p w14:paraId="54111CD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60B1E6B4">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六、公告期限</w:t>
      </w:r>
    </w:p>
    <w:p w14:paraId="59A2410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自本公告发布之日起3个工作日。      </w:t>
      </w:r>
    </w:p>
    <w:p w14:paraId="4A993F0C">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七、其他补充事宜</w:t>
      </w:r>
    </w:p>
    <w:p w14:paraId="109C302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18A965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13EEE49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5188CD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4.其他事项：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14:paraId="768D264F">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八、凡对本次招标提出询问、质疑、投诉，请按以下方式联系</w:t>
      </w:r>
    </w:p>
    <w:p w14:paraId="0D02286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1.采购人信息        </w:t>
      </w:r>
    </w:p>
    <w:p w14:paraId="4CCD4C4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称：永嘉县农业农村局        </w:t>
      </w:r>
    </w:p>
    <w:p w14:paraId="7B204CE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    址：永嘉县上塘屿后巷196号</w:t>
      </w:r>
    </w:p>
    <w:p w14:paraId="6575693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  </w:t>
      </w:r>
    </w:p>
    <w:p w14:paraId="29051F4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项目联系人（询问）：</w:t>
      </w:r>
      <w:r>
        <w:rPr>
          <w:rFonts w:hint="eastAsia" w:ascii="宋体" w:hAnsi="宋体" w:cs="宋体"/>
          <w:color w:val="auto"/>
          <w:sz w:val="22"/>
          <w:szCs w:val="22"/>
          <w:highlight w:val="none"/>
          <w:lang w:val="en-US" w:eastAsia="zh-CN"/>
        </w:rPr>
        <w:t>周先生</w:t>
      </w:r>
      <w:r>
        <w:rPr>
          <w:rFonts w:hint="eastAsia" w:ascii="宋体" w:hAnsi="宋体" w:cs="宋体"/>
          <w:color w:val="auto"/>
          <w:sz w:val="22"/>
          <w:szCs w:val="22"/>
          <w:highlight w:val="none"/>
        </w:rPr>
        <w:t>  </w:t>
      </w:r>
    </w:p>
    <w:p w14:paraId="2516BEF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项目联系方式（询问）：</w:t>
      </w:r>
      <w:r>
        <w:rPr>
          <w:rFonts w:hint="eastAsia" w:ascii="宋体" w:hAnsi="宋体" w:cs="宋体"/>
          <w:bCs/>
          <w:color w:val="auto"/>
          <w:kern w:val="0"/>
          <w:sz w:val="22"/>
          <w:szCs w:val="21"/>
          <w:highlight w:val="none"/>
          <w:shd w:val="clear" w:color="auto" w:fill="auto"/>
        </w:rPr>
        <w:t>0577-67959836</w:t>
      </w:r>
    </w:p>
    <w:p w14:paraId="0896E34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val="en-US" w:eastAsia="zh-CN"/>
        </w:rPr>
        <w:t>周先生</w:t>
      </w:r>
      <w:r>
        <w:rPr>
          <w:rFonts w:hint="eastAsia" w:ascii="宋体" w:hAnsi="宋体" w:cs="宋体"/>
          <w:color w:val="auto"/>
          <w:sz w:val="22"/>
          <w:szCs w:val="22"/>
          <w:highlight w:val="none"/>
        </w:rPr>
        <w:t>    </w:t>
      </w:r>
    </w:p>
    <w:p w14:paraId="2FF3EFA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hint="eastAsia" w:ascii="宋体" w:hAnsi="宋体" w:cs="宋体"/>
          <w:bCs/>
          <w:color w:val="auto"/>
          <w:kern w:val="0"/>
          <w:sz w:val="22"/>
          <w:szCs w:val="21"/>
          <w:highlight w:val="none"/>
          <w:shd w:val="clear" w:color="auto" w:fill="auto"/>
        </w:rPr>
        <w:t>0577-67959836</w:t>
      </w:r>
      <w:r>
        <w:rPr>
          <w:rFonts w:hint="eastAsia" w:ascii="宋体" w:hAnsi="宋体" w:cs="宋体"/>
          <w:color w:val="auto"/>
          <w:sz w:val="22"/>
          <w:szCs w:val="22"/>
          <w:highlight w:val="none"/>
        </w:rPr>
        <w:t>  </w:t>
      </w:r>
    </w:p>
    <w:p w14:paraId="3F06644C">
      <w:pPr>
        <w:pStyle w:val="41"/>
        <w:spacing w:after="156" w:line="360" w:lineRule="auto"/>
        <w:ind w:firstLine="420"/>
        <w:rPr>
          <w:rFonts w:ascii="宋体" w:hAnsi="宋体" w:cs="宋体"/>
          <w:color w:val="auto"/>
          <w:sz w:val="22"/>
          <w:szCs w:val="22"/>
          <w:highlight w:val="none"/>
        </w:rPr>
      </w:pPr>
    </w:p>
    <w:p w14:paraId="40C262D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     </w:t>
      </w:r>
    </w:p>
    <w:p w14:paraId="36B2F4C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2.采购代理机构信息        </w:t>
      </w:r>
    </w:p>
    <w:p w14:paraId="78DD79E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称：温州市中概工程管理咨询有限公司        </w:t>
      </w:r>
    </w:p>
    <w:p w14:paraId="4C413CB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    址：温州市永嘉县南城街道环城北路618号云碓大厦503室        </w:t>
      </w:r>
    </w:p>
    <w:p w14:paraId="163EB30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        </w:t>
      </w:r>
    </w:p>
    <w:p w14:paraId="4916F4C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项目联系人（询问）：胡可可        </w:t>
      </w:r>
    </w:p>
    <w:p w14:paraId="1840A02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项目联系方式（询问）：15258683545        </w:t>
      </w:r>
    </w:p>
    <w:p w14:paraId="1E6F332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质疑联系人：余茜茜        </w:t>
      </w:r>
    </w:p>
    <w:p w14:paraId="17C1559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质疑联系方式：13567723502        </w:t>
      </w:r>
    </w:p>
    <w:p w14:paraId="7FC21507">
      <w:pPr>
        <w:widowControl/>
        <w:spacing w:line="360" w:lineRule="auto"/>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3.同级政府采购监督管理部门</w:t>
      </w:r>
    </w:p>
    <w:p w14:paraId="4F33816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称：永嘉县财政局（浙江省政府采购行政裁决服务中心（温州））</w:t>
      </w:r>
    </w:p>
    <w:p w14:paraId="4E007D3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    址：温州市鹿城区滨江街道瓯江路展银大厦1606室</w:t>
      </w:r>
    </w:p>
    <w:p w14:paraId="505548F9">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w:t>
      </w:r>
    </w:p>
    <w:p w14:paraId="134B2DC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联 系 人：李老师、王老师</w:t>
      </w:r>
    </w:p>
    <w:p w14:paraId="106BE6F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监督投诉电话：0577-85501561，0577-85501562 </w:t>
      </w:r>
      <w:r>
        <w:rPr>
          <w:rFonts w:hint="eastAsia" w:ascii="宋体" w:hAnsi="宋体" w:cs="宋体"/>
          <w:b/>
          <w:bCs/>
          <w:color w:val="auto"/>
          <w:sz w:val="22"/>
          <w:szCs w:val="22"/>
          <w:highlight w:val="none"/>
          <w:lang w:bidi="ar"/>
        </w:rPr>
        <w:t xml:space="preserve">      </w:t>
      </w:r>
    </w:p>
    <w:p w14:paraId="19B21D71">
      <w:pPr>
        <w:pStyle w:val="41"/>
        <w:spacing w:before="600"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64E674D">
      <w:pPr>
        <w:pStyle w:val="41"/>
        <w:spacing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400-888-4636；天谷CA 400-087-8198。</w:t>
      </w:r>
    </w:p>
    <w:p w14:paraId="28DCF439">
      <w:pPr>
        <w:pStyle w:val="8"/>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C31EECC">
      <w:pPr>
        <w:rPr>
          <w:rFonts w:ascii="宋体" w:eastAsia="宋体"/>
          <w:color w:val="auto"/>
          <w:highlight w:val="none"/>
        </w:rPr>
      </w:pPr>
      <w:r>
        <w:rPr>
          <w:rFonts w:hint="eastAsia" w:ascii="宋体" w:eastAsia="宋体"/>
          <w:color w:val="auto"/>
          <w:highlight w:val="none"/>
        </w:rPr>
        <w:br w:type="page"/>
      </w:r>
    </w:p>
    <w:p w14:paraId="089B1D74">
      <w:pPr>
        <w:pStyle w:val="8"/>
        <w:spacing w:line="480" w:lineRule="auto"/>
        <w:rPr>
          <w:rFonts w:ascii="宋体" w:hAnsi="宋体" w:cs="宋体"/>
          <w:color w:val="auto"/>
          <w:highlight w:val="none"/>
        </w:rPr>
      </w:pPr>
      <w:bookmarkStart w:id="1" w:name="_Toc15100"/>
      <w:r>
        <w:rPr>
          <w:rFonts w:hint="eastAsia" w:ascii="宋体" w:hAnsi="宋体" w:cs="宋体"/>
          <w:color w:val="auto"/>
          <w:highlight w:val="none"/>
        </w:rPr>
        <w:t>第一部分 磋商通知(邀请)书</w:t>
      </w:r>
      <w:bookmarkEnd w:id="1"/>
    </w:p>
    <w:tbl>
      <w:tblPr>
        <w:tblStyle w:val="43"/>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45"/>
        <w:gridCol w:w="1293"/>
        <w:gridCol w:w="6627"/>
      </w:tblGrid>
      <w:tr w14:paraId="0AA0F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1245" w:type="dxa"/>
            <w:vAlign w:val="center"/>
          </w:tcPr>
          <w:p w14:paraId="0F066C70">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293" w:type="dxa"/>
            <w:vAlign w:val="center"/>
          </w:tcPr>
          <w:p w14:paraId="3CD3C05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内容</w:t>
            </w:r>
          </w:p>
        </w:tc>
        <w:tc>
          <w:tcPr>
            <w:tcW w:w="6627" w:type="dxa"/>
            <w:vAlign w:val="center"/>
          </w:tcPr>
          <w:p w14:paraId="5FF6FD60">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说明与要求</w:t>
            </w:r>
          </w:p>
        </w:tc>
      </w:tr>
      <w:tr w14:paraId="5F7D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134902C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c>
          <w:tcPr>
            <w:tcW w:w="1293" w:type="dxa"/>
            <w:vAlign w:val="center"/>
          </w:tcPr>
          <w:p w14:paraId="0FE460A6">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项目名称</w:t>
            </w:r>
          </w:p>
        </w:tc>
        <w:tc>
          <w:tcPr>
            <w:tcW w:w="6627" w:type="dxa"/>
            <w:vAlign w:val="center"/>
          </w:tcPr>
          <w:p w14:paraId="61DC5656">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永嘉县2025年农作物种子储备服务采购</w:t>
            </w:r>
          </w:p>
        </w:tc>
      </w:tr>
      <w:tr w14:paraId="4B723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1AB4667">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2</w:t>
            </w:r>
          </w:p>
        </w:tc>
        <w:tc>
          <w:tcPr>
            <w:tcW w:w="1293" w:type="dxa"/>
            <w:vAlign w:val="center"/>
          </w:tcPr>
          <w:p w14:paraId="53C190E6">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6627" w:type="dxa"/>
            <w:vAlign w:val="center"/>
          </w:tcPr>
          <w:p w14:paraId="0403C0A8">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ZGCG-20250707</w:t>
            </w:r>
          </w:p>
        </w:tc>
      </w:tr>
      <w:tr w14:paraId="2026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6537A388">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c>
          <w:tcPr>
            <w:tcW w:w="1293" w:type="dxa"/>
            <w:shd w:val="clear" w:color="auto" w:fill="auto"/>
            <w:vAlign w:val="center"/>
          </w:tcPr>
          <w:p w14:paraId="6B7F6ECD">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采购预算</w:t>
            </w:r>
          </w:p>
        </w:tc>
        <w:tc>
          <w:tcPr>
            <w:tcW w:w="6627" w:type="dxa"/>
            <w:shd w:val="clear" w:color="auto" w:fill="auto"/>
            <w:vAlign w:val="center"/>
          </w:tcPr>
          <w:p w14:paraId="000FFA20">
            <w:pPr>
              <w:rPr>
                <w:rFonts w:ascii="宋体" w:eastAsia="宋体"/>
                <w:b w:val="0"/>
                <w:color w:val="auto"/>
                <w:sz w:val="22"/>
                <w:szCs w:val="22"/>
                <w:highlight w:val="none"/>
              </w:rPr>
            </w:pPr>
            <w:r>
              <w:rPr>
                <w:rFonts w:hint="eastAsia" w:ascii="宋体" w:eastAsia="宋体"/>
                <w:bCs w:val="0"/>
                <w:color w:val="auto"/>
                <w:sz w:val="24"/>
                <w:highlight w:val="none"/>
              </w:rPr>
              <w:t>216980元</w:t>
            </w:r>
          </w:p>
        </w:tc>
      </w:tr>
      <w:tr w14:paraId="4C9A1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0574EC82">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4</w:t>
            </w:r>
          </w:p>
        </w:tc>
        <w:tc>
          <w:tcPr>
            <w:tcW w:w="1293" w:type="dxa"/>
            <w:shd w:val="clear" w:color="auto" w:fill="auto"/>
            <w:vAlign w:val="center"/>
          </w:tcPr>
          <w:p w14:paraId="5C7A50CC">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6627" w:type="dxa"/>
            <w:shd w:val="clear" w:color="auto" w:fill="auto"/>
            <w:vAlign w:val="center"/>
          </w:tcPr>
          <w:p w14:paraId="37926AF5">
            <w:pPr>
              <w:rPr>
                <w:rFonts w:ascii="宋体" w:eastAsia="宋体"/>
                <w:b w:val="0"/>
                <w:color w:val="auto"/>
                <w:sz w:val="22"/>
                <w:szCs w:val="22"/>
                <w:highlight w:val="none"/>
              </w:rPr>
            </w:pPr>
            <w:r>
              <w:rPr>
                <w:rFonts w:hint="eastAsia" w:ascii="宋体" w:eastAsia="宋体"/>
                <w:b w:val="0"/>
                <w:color w:val="auto"/>
                <w:sz w:val="22"/>
                <w:szCs w:val="22"/>
                <w:highlight w:val="none"/>
              </w:rPr>
              <w:t>竞争性磋商</w:t>
            </w:r>
          </w:p>
        </w:tc>
      </w:tr>
      <w:tr w14:paraId="63266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22224E97">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5</w:t>
            </w:r>
          </w:p>
        </w:tc>
        <w:tc>
          <w:tcPr>
            <w:tcW w:w="1293" w:type="dxa"/>
            <w:shd w:val="clear" w:color="auto" w:fill="auto"/>
            <w:vAlign w:val="center"/>
          </w:tcPr>
          <w:p w14:paraId="4F57CDE2">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6627" w:type="dxa"/>
            <w:shd w:val="clear" w:color="auto" w:fill="auto"/>
            <w:vAlign w:val="center"/>
          </w:tcPr>
          <w:p w14:paraId="3BD6201B">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 购 人：永嘉县农业农村局</w:t>
            </w:r>
          </w:p>
          <w:p w14:paraId="14A6A8F0">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项目联系人（询问）：周先生  </w:t>
            </w:r>
          </w:p>
          <w:p w14:paraId="6E945AE6">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项目联系方式（询问）：0577-67959836</w:t>
            </w:r>
          </w:p>
        </w:tc>
      </w:tr>
      <w:tr w14:paraId="38BE4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7D06B734">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6</w:t>
            </w:r>
          </w:p>
        </w:tc>
        <w:tc>
          <w:tcPr>
            <w:tcW w:w="1293" w:type="dxa"/>
            <w:shd w:val="clear" w:color="auto" w:fill="auto"/>
            <w:vAlign w:val="center"/>
          </w:tcPr>
          <w:p w14:paraId="4AC0F721">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6627" w:type="dxa"/>
            <w:shd w:val="clear" w:color="auto" w:fill="auto"/>
            <w:vAlign w:val="center"/>
          </w:tcPr>
          <w:p w14:paraId="10BC36E8">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采购代理机构名称：温州市中概工程管理咨询有限公司</w:t>
            </w:r>
          </w:p>
          <w:p w14:paraId="2CA515AA">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地    点：温州市永嘉县南城街道环城北路618号云碓大厦503室</w:t>
            </w:r>
          </w:p>
          <w:p w14:paraId="4A851B3E">
            <w:pPr>
              <w:adjustRightInd w:val="0"/>
              <w:rPr>
                <w:rFonts w:ascii="宋体" w:eastAsia="宋体"/>
                <w:b w:val="0"/>
                <w:color w:val="auto"/>
                <w:sz w:val="22"/>
                <w:highlight w:val="none"/>
              </w:rPr>
            </w:pPr>
            <w:r>
              <w:rPr>
                <w:rFonts w:hint="eastAsia" w:ascii="宋体" w:eastAsia="宋体"/>
                <w:b w:val="0"/>
                <w:color w:val="auto"/>
                <w:sz w:val="22"/>
                <w:highlight w:val="none"/>
              </w:rPr>
              <w:t xml:space="preserve">联 系 人：胡可可   </w:t>
            </w:r>
          </w:p>
          <w:p w14:paraId="5984AAFF">
            <w:pPr>
              <w:adjustRightInd w:val="0"/>
              <w:rPr>
                <w:rFonts w:ascii="宋体" w:eastAsia="宋体"/>
                <w:b w:val="0"/>
                <w:color w:val="auto"/>
                <w:sz w:val="22"/>
                <w:highlight w:val="none"/>
              </w:rPr>
            </w:pPr>
            <w:r>
              <w:rPr>
                <w:rFonts w:hint="eastAsia" w:ascii="宋体" w:eastAsia="宋体"/>
                <w:b w:val="0"/>
                <w:color w:val="auto"/>
                <w:sz w:val="22"/>
                <w:highlight w:val="none"/>
              </w:rPr>
              <w:t>联系电话：15258683545</w:t>
            </w:r>
          </w:p>
        </w:tc>
      </w:tr>
      <w:tr w14:paraId="22F4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9AF1E9B">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7</w:t>
            </w:r>
          </w:p>
        </w:tc>
        <w:tc>
          <w:tcPr>
            <w:tcW w:w="1293" w:type="dxa"/>
            <w:shd w:val="clear" w:color="auto" w:fill="auto"/>
            <w:vAlign w:val="center"/>
          </w:tcPr>
          <w:p w14:paraId="2AA2AC84">
            <w:pPr>
              <w:jc w:val="center"/>
              <w:rPr>
                <w:rFonts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6627" w:type="dxa"/>
            <w:shd w:val="clear" w:color="auto" w:fill="auto"/>
            <w:vAlign w:val="center"/>
          </w:tcPr>
          <w:p w14:paraId="0D794E9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0112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30D9E58B">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8</w:t>
            </w:r>
          </w:p>
        </w:tc>
        <w:tc>
          <w:tcPr>
            <w:tcW w:w="1293" w:type="dxa"/>
            <w:shd w:val="clear" w:color="auto" w:fill="auto"/>
            <w:vAlign w:val="center"/>
          </w:tcPr>
          <w:p w14:paraId="5661A97C">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采购内容</w:t>
            </w:r>
          </w:p>
        </w:tc>
        <w:tc>
          <w:tcPr>
            <w:tcW w:w="6627" w:type="dxa"/>
            <w:shd w:val="clear" w:color="auto" w:fill="auto"/>
            <w:vAlign w:val="center"/>
          </w:tcPr>
          <w:p w14:paraId="37ED153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具体内容见磋商文件。</w:t>
            </w:r>
          </w:p>
        </w:tc>
      </w:tr>
      <w:tr w14:paraId="3156E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58DD95B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9</w:t>
            </w:r>
          </w:p>
        </w:tc>
        <w:tc>
          <w:tcPr>
            <w:tcW w:w="1293" w:type="dxa"/>
            <w:shd w:val="clear" w:color="auto" w:fill="auto"/>
            <w:vAlign w:val="center"/>
          </w:tcPr>
          <w:p w14:paraId="7DCCE8D9">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供应商资格要求</w:t>
            </w:r>
          </w:p>
        </w:tc>
        <w:tc>
          <w:tcPr>
            <w:tcW w:w="6627" w:type="dxa"/>
            <w:shd w:val="clear" w:color="auto" w:fill="auto"/>
            <w:vAlign w:val="center"/>
          </w:tcPr>
          <w:p w14:paraId="3C45FF2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详见采购公告</w:t>
            </w:r>
          </w:p>
        </w:tc>
      </w:tr>
      <w:tr w14:paraId="3648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AC01AEF">
            <w:pPr>
              <w:jc w:val="center"/>
              <w:rPr>
                <w:rFonts w:ascii="宋体" w:eastAsia="宋体"/>
                <w:b w:val="0"/>
                <w:color w:val="auto"/>
                <w:sz w:val="22"/>
                <w:szCs w:val="22"/>
                <w:highlight w:val="none"/>
              </w:rPr>
            </w:pPr>
            <w:r>
              <w:rPr>
                <w:rFonts w:hint="eastAsia" w:ascii="宋体" w:eastAsia="宋体"/>
                <w:b w:val="0"/>
                <w:color w:val="auto"/>
                <w:sz w:val="22"/>
                <w:szCs w:val="22"/>
                <w:highlight w:val="none"/>
              </w:rPr>
              <w:t>10</w:t>
            </w:r>
          </w:p>
        </w:tc>
        <w:tc>
          <w:tcPr>
            <w:tcW w:w="1293" w:type="dxa"/>
            <w:shd w:val="clear" w:color="auto" w:fill="auto"/>
            <w:vAlign w:val="center"/>
          </w:tcPr>
          <w:p w14:paraId="6FB810CB">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6627" w:type="dxa"/>
            <w:shd w:val="clear" w:color="auto" w:fill="auto"/>
            <w:vAlign w:val="center"/>
          </w:tcPr>
          <w:p w14:paraId="51A5912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不接受</w:t>
            </w:r>
          </w:p>
          <w:p w14:paraId="5F5A575B">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□接受，应满足下列要求：</w:t>
            </w:r>
          </w:p>
        </w:tc>
      </w:tr>
      <w:tr w14:paraId="31D45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1381502">
            <w:pPr>
              <w:jc w:val="center"/>
              <w:rPr>
                <w:rFonts w:ascii="宋体" w:eastAsia="宋体"/>
                <w:b w:val="0"/>
                <w:color w:val="auto"/>
                <w:sz w:val="22"/>
                <w:szCs w:val="22"/>
                <w:highlight w:val="none"/>
              </w:rPr>
            </w:pPr>
            <w:r>
              <w:rPr>
                <w:rFonts w:hint="eastAsia" w:ascii="宋体" w:eastAsia="宋体"/>
                <w:b w:val="0"/>
                <w:color w:val="auto"/>
                <w:sz w:val="22"/>
                <w:szCs w:val="22"/>
                <w:highlight w:val="none"/>
              </w:rPr>
              <w:t>11</w:t>
            </w:r>
          </w:p>
        </w:tc>
        <w:tc>
          <w:tcPr>
            <w:tcW w:w="1293" w:type="dxa"/>
            <w:shd w:val="clear" w:color="auto" w:fill="auto"/>
            <w:vAlign w:val="center"/>
          </w:tcPr>
          <w:p w14:paraId="4509F28D">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6627" w:type="dxa"/>
            <w:shd w:val="clear" w:color="auto" w:fill="auto"/>
            <w:vAlign w:val="center"/>
          </w:tcPr>
          <w:p w14:paraId="67733BB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不组织</w:t>
            </w:r>
          </w:p>
          <w:p w14:paraId="2D65103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xml:space="preserve">□组织   </w:t>
            </w:r>
          </w:p>
        </w:tc>
      </w:tr>
      <w:tr w14:paraId="46A3C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7727C88">
            <w:pPr>
              <w:jc w:val="center"/>
              <w:rPr>
                <w:rFonts w:ascii="宋体" w:eastAsia="宋体"/>
                <w:b w:val="0"/>
                <w:color w:val="auto"/>
                <w:sz w:val="22"/>
                <w:szCs w:val="22"/>
                <w:highlight w:val="none"/>
              </w:rPr>
            </w:pPr>
            <w:r>
              <w:rPr>
                <w:rFonts w:hint="eastAsia" w:ascii="宋体" w:eastAsia="宋体"/>
                <w:b w:val="0"/>
                <w:color w:val="auto"/>
                <w:sz w:val="22"/>
                <w:szCs w:val="22"/>
                <w:highlight w:val="none"/>
              </w:rPr>
              <w:t>12</w:t>
            </w:r>
          </w:p>
        </w:tc>
        <w:tc>
          <w:tcPr>
            <w:tcW w:w="1293" w:type="dxa"/>
            <w:shd w:val="clear" w:color="auto" w:fill="auto"/>
            <w:vAlign w:val="center"/>
          </w:tcPr>
          <w:p w14:paraId="12D8A56B">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6627" w:type="dxa"/>
            <w:shd w:val="clear" w:color="auto" w:fill="auto"/>
            <w:vAlign w:val="center"/>
          </w:tcPr>
          <w:p w14:paraId="76E9066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不允许</w:t>
            </w:r>
          </w:p>
          <w:p w14:paraId="25610E21">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允许</w:t>
            </w:r>
          </w:p>
        </w:tc>
      </w:tr>
      <w:tr w14:paraId="350CD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2A0F6A8E">
            <w:pPr>
              <w:jc w:val="center"/>
              <w:rPr>
                <w:rFonts w:ascii="宋体" w:eastAsia="宋体"/>
                <w:b w:val="0"/>
                <w:color w:val="auto"/>
                <w:sz w:val="22"/>
                <w:szCs w:val="22"/>
                <w:highlight w:val="none"/>
              </w:rPr>
            </w:pPr>
            <w:r>
              <w:rPr>
                <w:rFonts w:hint="eastAsia" w:ascii="宋体" w:eastAsia="宋体"/>
                <w:b w:val="0"/>
                <w:color w:val="auto"/>
                <w:sz w:val="22"/>
                <w:szCs w:val="22"/>
                <w:highlight w:val="none"/>
              </w:rPr>
              <w:t>13</w:t>
            </w:r>
          </w:p>
        </w:tc>
        <w:tc>
          <w:tcPr>
            <w:tcW w:w="1293" w:type="dxa"/>
            <w:shd w:val="clear" w:color="auto" w:fill="auto"/>
            <w:vAlign w:val="center"/>
          </w:tcPr>
          <w:p w14:paraId="17B8F334">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分包</w:t>
            </w:r>
          </w:p>
        </w:tc>
        <w:tc>
          <w:tcPr>
            <w:tcW w:w="6627" w:type="dxa"/>
            <w:shd w:val="clear" w:color="auto" w:fill="auto"/>
            <w:vAlign w:val="center"/>
          </w:tcPr>
          <w:p w14:paraId="1629F810">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sym w:font="Wingdings 2" w:char="0052"/>
            </w:r>
            <w:r>
              <w:rPr>
                <w:rFonts w:hint="eastAsia" w:ascii="宋体" w:eastAsia="宋体"/>
                <w:b w:val="0"/>
                <w:color w:val="auto"/>
                <w:sz w:val="22"/>
                <w:szCs w:val="22"/>
                <w:highlight w:val="none"/>
              </w:rPr>
              <w:t>不允许</w:t>
            </w:r>
          </w:p>
          <w:p w14:paraId="79E2354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允许</w:t>
            </w:r>
          </w:p>
        </w:tc>
      </w:tr>
      <w:tr w14:paraId="1F804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5529CD5D">
            <w:pPr>
              <w:jc w:val="center"/>
              <w:rPr>
                <w:rFonts w:ascii="宋体" w:eastAsia="宋体"/>
                <w:b w:val="0"/>
                <w:color w:val="auto"/>
                <w:sz w:val="22"/>
                <w:szCs w:val="22"/>
                <w:highlight w:val="none"/>
              </w:rPr>
            </w:pPr>
            <w:r>
              <w:rPr>
                <w:rFonts w:hint="eastAsia" w:ascii="宋体" w:eastAsia="宋体"/>
                <w:b w:val="0"/>
                <w:color w:val="auto"/>
                <w:sz w:val="22"/>
                <w:szCs w:val="22"/>
                <w:highlight w:val="none"/>
              </w:rPr>
              <w:t>14</w:t>
            </w:r>
          </w:p>
        </w:tc>
        <w:tc>
          <w:tcPr>
            <w:tcW w:w="1293" w:type="dxa"/>
            <w:shd w:val="clear" w:color="auto" w:fill="auto"/>
            <w:vAlign w:val="center"/>
          </w:tcPr>
          <w:p w14:paraId="4C2B2CB8">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报价货币</w:t>
            </w:r>
          </w:p>
        </w:tc>
        <w:tc>
          <w:tcPr>
            <w:tcW w:w="6627" w:type="dxa"/>
            <w:shd w:val="clear" w:color="auto" w:fill="auto"/>
            <w:vAlign w:val="center"/>
          </w:tcPr>
          <w:p w14:paraId="2C416A2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6A33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1245" w:type="dxa"/>
            <w:vAlign w:val="center"/>
          </w:tcPr>
          <w:p w14:paraId="6F90F8C5">
            <w:pPr>
              <w:jc w:val="center"/>
              <w:rPr>
                <w:rFonts w:ascii="宋体" w:eastAsia="宋体"/>
                <w:b w:val="0"/>
                <w:color w:val="auto"/>
                <w:sz w:val="22"/>
                <w:szCs w:val="22"/>
                <w:highlight w:val="none"/>
              </w:rPr>
            </w:pPr>
            <w:r>
              <w:rPr>
                <w:rFonts w:hint="eastAsia" w:ascii="宋体" w:eastAsia="宋体"/>
                <w:b w:val="0"/>
                <w:color w:val="auto"/>
                <w:sz w:val="22"/>
                <w:szCs w:val="22"/>
                <w:highlight w:val="none"/>
              </w:rPr>
              <w:t>15</w:t>
            </w:r>
          </w:p>
        </w:tc>
        <w:tc>
          <w:tcPr>
            <w:tcW w:w="1293" w:type="dxa"/>
            <w:shd w:val="clear" w:color="auto" w:fill="auto"/>
            <w:vAlign w:val="center"/>
          </w:tcPr>
          <w:p w14:paraId="19D6D570">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报价语言</w:t>
            </w:r>
          </w:p>
        </w:tc>
        <w:tc>
          <w:tcPr>
            <w:tcW w:w="6627" w:type="dxa"/>
            <w:shd w:val="clear" w:color="auto" w:fill="auto"/>
            <w:vAlign w:val="center"/>
          </w:tcPr>
          <w:p w14:paraId="763F627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5AC58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1245" w:type="dxa"/>
            <w:vAlign w:val="center"/>
          </w:tcPr>
          <w:p w14:paraId="2E77C4D5">
            <w:pPr>
              <w:jc w:val="center"/>
              <w:rPr>
                <w:rFonts w:ascii="宋体" w:eastAsia="宋体"/>
                <w:b w:val="0"/>
                <w:color w:val="auto"/>
                <w:sz w:val="22"/>
                <w:szCs w:val="22"/>
                <w:highlight w:val="none"/>
              </w:rPr>
            </w:pPr>
            <w:r>
              <w:rPr>
                <w:rFonts w:hint="eastAsia" w:ascii="宋体" w:eastAsia="宋体"/>
                <w:b w:val="0"/>
                <w:color w:val="auto"/>
                <w:sz w:val="22"/>
                <w:szCs w:val="22"/>
                <w:highlight w:val="none"/>
              </w:rPr>
              <w:t>16</w:t>
            </w:r>
          </w:p>
        </w:tc>
        <w:tc>
          <w:tcPr>
            <w:tcW w:w="1293" w:type="dxa"/>
            <w:shd w:val="clear" w:color="auto" w:fill="auto"/>
            <w:vAlign w:val="center"/>
          </w:tcPr>
          <w:p w14:paraId="12F16ED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响应文件的编制</w:t>
            </w:r>
          </w:p>
        </w:tc>
        <w:tc>
          <w:tcPr>
            <w:tcW w:w="6627" w:type="dxa"/>
            <w:shd w:val="clear" w:color="auto" w:fill="auto"/>
            <w:vAlign w:val="center"/>
          </w:tcPr>
          <w:p w14:paraId="17D920C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供应商应先安装“政采云电子交易客户端”，并按照本采购文件和“政采云平台”的要求，通过“政采云电子交易客户端”编制并加密响应文件。</w:t>
            </w:r>
          </w:p>
        </w:tc>
      </w:tr>
      <w:tr w14:paraId="0D83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1245" w:type="dxa"/>
            <w:vAlign w:val="center"/>
          </w:tcPr>
          <w:p w14:paraId="2F197E82">
            <w:pPr>
              <w:jc w:val="center"/>
              <w:rPr>
                <w:rFonts w:ascii="宋体" w:eastAsia="宋体"/>
                <w:b w:val="0"/>
                <w:color w:val="auto"/>
                <w:sz w:val="22"/>
                <w:szCs w:val="22"/>
                <w:highlight w:val="none"/>
              </w:rPr>
            </w:pPr>
            <w:r>
              <w:rPr>
                <w:rFonts w:hint="eastAsia" w:ascii="宋体" w:eastAsia="宋体"/>
                <w:b w:val="0"/>
                <w:color w:val="auto"/>
                <w:sz w:val="22"/>
                <w:szCs w:val="22"/>
                <w:highlight w:val="none"/>
              </w:rPr>
              <w:t>17</w:t>
            </w:r>
          </w:p>
        </w:tc>
        <w:tc>
          <w:tcPr>
            <w:tcW w:w="1293" w:type="dxa"/>
            <w:shd w:val="clear" w:color="auto" w:fill="auto"/>
            <w:vAlign w:val="center"/>
          </w:tcPr>
          <w:p w14:paraId="6DB711A3">
            <w:pPr>
              <w:jc w:val="center"/>
              <w:rPr>
                <w:rFonts w:ascii="宋体" w:eastAsia="宋体"/>
                <w:b w:val="0"/>
                <w:color w:val="auto"/>
                <w:sz w:val="22"/>
                <w:szCs w:val="22"/>
                <w:highlight w:val="none"/>
              </w:rPr>
            </w:pPr>
            <w:r>
              <w:rPr>
                <w:rFonts w:hint="eastAsia" w:ascii="宋体" w:eastAsia="宋体"/>
                <w:b w:val="0"/>
                <w:color w:val="auto"/>
                <w:sz w:val="22"/>
                <w:szCs w:val="22"/>
                <w:highlight w:val="none"/>
              </w:rPr>
              <w:t>报价有效期</w:t>
            </w:r>
          </w:p>
        </w:tc>
        <w:tc>
          <w:tcPr>
            <w:tcW w:w="6627" w:type="dxa"/>
            <w:shd w:val="clear" w:color="auto" w:fill="auto"/>
            <w:vAlign w:val="center"/>
          </w:tcPr>
          <w:p w14:paraId="5345CEC0">
            <w:pPr>
              <w:rPr>
                <w:rFonts w:ascii="宋体" w:eastAsia="宋体"/>
                <w:color w:val="auto"/>
                <w:highlight w:val="none"/>
              </w:rPr>
            </w:pPr>
            <w:r>
              <w:rPr>
                <w:rFonts w:hint="eastAsia" w:ascii="宋体" w:eastAsia="宋体"/>
                <w:b w:val="0"/>
                <w:color w:val="auto"/>
                <w:sz w:val="22"/>
                <w:szCs w:val="22"/>
                <w:highlight w:val="none"/>
              </w:rPr>
              <w:t>提交响应文件截止时间起90天内</w:t>
            </w:r>
          </w:p>
        </w:tc>
      </w:tr>
      <w:tr w14:paraId="2849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0A5FFAF">
            <w:pPr>
              <w:jc w:val="center"/>
              <w:rPr>
                <w:rFonts w:ascii="宋体" w:eastAsia="宋体"/>
                <w:b w:val="0"/>
                <w:color w:val="auto"/>
                <w:sz w:val="22"/>
                <w:szCs w:val="22"/>
                <w:highlight w:val="none"/>
              </w:rPr>
            </w:pPr>
            <w:r>
              <w:rPr>
                <w:rFonts w:hint="eastAsia" w:ascii="宋体" w:eastAsia="宋体"/>
                <w:b w:val="0"/>
                <w:color w:val="auto"/>
                <w:sz w:val="22"/>
                <w:szCs w:val="22"/>
                <w:highlight w:val="none"/>
              </w:rPr>
              <w:t>18</w:t>
            </w:r>
          </w:p>
        </w:tc>
        <w:tc>
          <w:tcPr>
            <w:tcW w:w="1293" w:type="dxa"/>
            <w:shd w:val="clear" w:color="auto" w:fill="auto"/>
            <w:vAlign w:val="center"/>
          </w:tcPr>
          <w:p w14:paraId="4A264EE4">
            <w:pPr>
              <w:jc w:val="center"/>
              <w:rPr>
                <w:rFonts w:ascii="宋体" w:eastAsia="宋体"/>
                <w:b w:val="0"/>
                <w:color w:val="auto"/>
                <w:sz w:val="22"/>
                <w:szCs w:val="22"/>
                <w:highlight w:val="none"/>
              </w:rPr>
            </w:pPr>
            <w:r>
              <w:rPr>
                <w:rFonts w:hint="eastAsia" w:ascii="宋体" w:eastAsia="宋体"/>
                <w:b w:val="0"/>
                <w:color w:val="auto"/>
                <w:sz w:val="22"/>
                <w:szCs w:val="22"/>
                <w:highlight w:val="none"/>
              </w:rPr>
              <w:t>签字或盖章要求</w:t>
            </w:r>
          </w:p>
        </w:tc>
        <w:tc>
          <w:tcPr>
            <w:tcW w:w="6627" w:type="dxa"/>
            <w:shd w:val="clear" w:color="auto" w:fill="auto"/>
            <w:vAlign w:val="center"/>
          </w:tcPr>
          <w:p w14:paraId="7D08871A">
            <w:pPr>
              <w:rPr>
                <w:rFonts w:ascii="宋体" w:eastAsia="宋体"/>
                <w:b w:val="0"/>
                <w:color w:val="auto"/>
                <w:sz w:val="22"/>
                <w:szCs w:val="22"/>
                <w:highlight w:val="none"/>
              </w:rPr>
            </w:pPr>
            <w:r>
              <w:rPr>
                <w:rFonts w:hint="eastAsia" w:ascii="宋体" w:eastAsia="宋体"/>
                <w:b w:val="0"/>
                <w:color w:val="auto"/>
                <w:sz w:val="22"/>
                <w:szCs w:val="22"/>
                <w:highlight w:val="none"/>
              </w:rPr>
              <w:t>响应文件的相应位置应加盖：电子签章。</w:t>
            </w:r>
          </w:p>
          <w:p w14:paraId="7967D2B8">
            <w:pPr>
              <w:rPr>
                <w:rFonts w:ascii="宋体" w:eastAsia="宋体"/>
                <w:color w:val="auto"/>
                <w:highlight w:val="none"/>
              </w:rPr>
            </w:pPr>
            <w:r>
              <w:rPr>
                <w:rFonts w:hint="eastAsia" w:ascii="宋体" w:eastAsia="宋体"/>
                <w:b w:val="0"/>
                <w:color w:val="auto"/>
                <w:sz w:val="22"/>
                <w:szCs w:val="22"/>
                <w:highlight w:val="none"/>
              </w:rPr>
              <w:t>注：本项目电子招投标活动中的签字与电子签章具有同等法律效应。</w:t>
            </w:r>
          </w:p>
        </w:tc>
      </w:tr>
      <w:tr w14:paraId="399A9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21D5E15D">
            <w:pPr>
              <w:jc w:val="center"/>
              <w:rPr>
                <w:rFonts w:ascii="宋体" w:eastAsia="宋体"/>
                <w:b w:val="0"/>
                <w:color w:val="auto"/>
                <w:sz w:val="22"/>
                <w:szCs w:val="22"/>
                <w:highlight w:val="none"/>
              </w:rPr>
            </w:pPr>
            <w:r>
              <w:rPr>
                <w:rFonts w:hint="eastAsia" w:ascii="宋体" w:eastAsia="宋体"/>
                <w:b w:val="0"/>
                <w:color w:val="auto"/>
                <w:sz w:val="22"/>
                <w:szCs w:val="22"/>
                <w:highlight w:val="none"/>
              </w:rPr>
              <w:t>19</w:t>
            </w:r>
          </w:p>
        </w:tc>
        <w:tc>
          <w:tcPr>
            <w:tcW w:w="1293" w:type="dxa"/>
            <w:shd w:val="clear" w:color="auto" w:fill="auto"/>
            <w:vAlign w:val="center"/>
          </w:tcPr>
          <w:p w14:paraId="45EDCECD">
            <w:pPr>
              <w:rPr>
                <w:rFonts w:ascii="宋体" w:eastAsia="宋体"/>
                <w:b w:val="0"/>
                <w:color w:val="auto"/>
                <w:sz w:val="22"/>
                <w:szCs w:val="22"/>
                <w:highlight w:val="none"/>
              </w:rPr>
            </w:pPr>
            <w:r>
              <w:rPr>
                <w:rFonts w:hint="eastAsia" w:ascii="宋体" w:eastAsia="宋体"/>
                <w:b w:val="0"/>
                <w:color w:val="auto"/>
                <w:sz w:val="22"/>
                <w:szCs w:val="22"/>
                <w:highlight w:val="none"/>
              </w:rPr>
              <w:t>响应文件的形式、制作及组成</w:t>
            </w:r>
          </w:p>
        </w:tc>
        <w:tc>
          <w:tcPr>
            <w:tcW w:w="6627" w:type="dxa"/>
            <w:shd w:val="clear" w:color="auto" w:fill="auto"/>
            <w:vAlign w:val="center"/>
          </w:tcPr>
          <w:p w14:paraId="61872193">
            <w:pPr>
              <w:rPr>
                <w:rFonts w:ascii="宋体" w:eastAsia="宋体"/>
                <w:b w:val="0"/>
                <w:color w:val="auto"/>
                <w:sz w:val="22"/>
                <w:szCs w:val="22"/>
                <w:highlight w:val="none"/>
              </w:rPr>
            </w:pPr>
            <w:r>
              <w:rPr>
                <w:rFonts w:hint="eastAsia" w:ascii="宋体" w:eastAsia="宋体"/>
                <w:b w:val="0"/>
                <w:color w:val="auto"/>
                <w:sz w:val="22"/>
                <w:szCs w:val="22"/>
                <w:highlight w:val="none"/>
              </w:rPr>
              <w:t>本项目实行在线投标响应（电子投标）。</w:t>
            </w:r>
          </w:p>
          <w:p w14:paraId="1FD77115">
            <w:pPr>
              <w:rPr>
                <w:rFonts w:ascii="宋体" w:eastAsia="宋体"/>
                <w:b w:val="0"/>
                <w:color w:val="auto"/>
                <w:sz w:val="22"/>
                <w:szCs w:val="22"/>
                <w:highlight w:val="none"/>
              </w:rPr>
            </w:pPr>
            <w:r>
              <w:rPr>
                <w:rFonts w:hint="eastAsia" w:ascii="宋体" w:eastAsia="宋体"/>
                <w:b w:val="0"/>
                <w:color w:val="auto"/>
                <w:sz w:val="22"/>
                <w:szCs w:val="22"/>
                <w:highlight w:val="none"/>
              </w:rPr>
              <w:t>投标供应商须准备电子响应文件（包括“电子加密响应文件”和“备份响应文件”两类，在响应文件编制完成后同时生成）。</w:t>
            </w:r>
          </w:p>
          <w:p w14:paraId="2192899F">
            <w:pPr>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（1）“电子加密响应文件”是指通过“政采云电子交易客户端”完成响应文件编制后生成并加密的数据电文形式的响应文件。</w:t>
            </w:r>
          </w:p>
          <w:p w14:paraId="2A40FB7C">
            <w:pPr>
              <w:rPr>
                <w:rFonts w:ascii="宋体" w:eastAsia="宋体"/>
                <w:b w:val="0"/>
                <w:color w:val="auto"/>
                <w:sz w:val="22"/>
                <w:szCs w:val="22"/>
                <w:highlight w:val="none"/>
              </w:rPr>
            </w:pPr>
            <w:r>
              <w:rPr>
                <w:rFonts w:hint="eastAsia" w:ascii="宋体" w:eastAsia="宋体"/>
                <w:b w:val="0"/>
                <w:color w:val="auto"/>
                <w:sz w:val="22"/>
                <w:szCs w:val="22"/>
                <w:highlight w:val="none"/>
              </w:rPr>
              <w:t>（2）“备份响应文件”是指与“电子加密响应文件”同时生成的数据电文形式的电子文件（备份标书），其他方式编制的备份响应文件视为无效备份响应文件。</w:t>
            </w:r>
          </w:p>
          <w:p w14:paraId="50933B74">
            <w:pPr>
              <w:rPr>
                <w:rFonts w:ascii="宋体" w:eastAsia="宋体"/>
                <w:b w:val="0"/>
                <w:color w:val="auto"/>
                <w:sz w:val="22"/>
                <w:szCs w:val="22"/>
                <w:highlight w:val="none"/>
              </w:rPr>
            </w:pPr>
            <w:r>
              <w:rPr>
                <w:rFonts w:hint="eastAsia" w:ascii="宋体" w:eastAsia="宋体"/>
                <w:b w:val="0"/>
                <w:color w:val="auto"/>
                <w:sz w:val="22"/>
                <w:szCs w:val="22"/>
                <w:highlight w:val="none"/>
              </w:rPr>
              <w:t>以上两类响应文件均由资格文件、报价文件、商务技术文件三部分组成。</w:t>
            </w:r>
          </w:p>
        </w:tc>
      </w:tr>
      <w:tr w14:paraId="1D842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3BF29851">
            <w:pPr>
              <w:jc w:val="center"/>
              <w:rPr>
                <w:rFonts w:ascii="宋体" w:eastAsia="宋体"/>
                <w:b w:val="0"/>
                <w:color w:val="auto"/>
                <w:sz w:val="22"/>
                <w:szCs w:val="22"/>
                <w:highlight w:val="none"/>
              </w:rPr>
            </w:pPr>
            <w:r>
              <w:rPr>
                <w:rFonts w:hint="eastAsia" w:ascii="宋体" w:eastAsia="宋体"/>
                <w:b w:val="0"/>
                <w:color w:val="auto"/>
                <w:sz w:val="22"/>
                <w:szCs w:val="22"/>
                <w:highlight w:val="none"/>
              </w:rPr>
              <w:t>20</w:t>
            </w:r>
          </w:p>
        </w:tc>
        <w:tc>
          <w:tcPr>
            <w:tcW w:w="1293" w:type="dxa"/>
            <w:shd w:val="clear" w:color="auto" w:fill="auto"/>
            <w:vAlign w:val="center"/>
          </w:tcPr>
          <w:p w14:paraId="64562BBC">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投标保证金</w:t>
            </w:r>
          </w:p>
        </w:tc>
        <w:tc>
          <w:tcPr>
            <w:tcW w:w="6627" w:type="dxa"/>
            <w:shd w:val="clear" w:color="auto" w:fill="auto"/>
            <w:vAlign w:val="center"/>
          </w:tcPr>
          <w:p w14:paraId="03D173E6">
            <w:pPr>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11E95BF6">
            <w:pPr>
              <w:rPr>
                <w:rFonts w:ascii="宋体" w:eastAsia="宋体"/>
                <w:b w:val="0"/>
                <w:color w:val="auto"/>
                <w:sz w:val="22"/>
                <w:szCs w:val="22"/>
                <w:highlight w:val="none"/>
              </w:rPr>
            </w:pPr>
            <w:r>
              <w:rPr>
                <w:rFonts w:hint="eastAsia" w:ascii="宋体" w:eastAsia="宋体"/>
                <w:b w:val="0"/>
                <w:color w:val="auto"/>
                <w:sz w:val="22"/>
                <w:szCs w:val="22"/>
                <w:highlight w:val="none"/>
              </w:rPr>
              <w:t>□需要</w:t>
            </w:r>
          </w:p>
        </w:tc>
      </w:tr>
      <w:tr w14:paraId="153A1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742DE8BC">
            <w:pPr>
              <w:jc w:val="center"/>
              <w:rPr>
                <w:rFonts w:ascii="宋体" w:eastAsia="宋体"/>
                <w:b w:val="0"/>
                <w:color w:val="auto"/>
                <w:sz w:val="22"/>
                <w:szCs w:val="22"/>
                <w:highlight w:val="none"/>
              </w:rPr>
            </w:pPr>
            <w:r>
              <w:rPr>
                <w:rFonts w:hint="eastAsia" w:ascii="宋体" w:eastAsia="宋体"/>
                <w:b w:val="0"/>
                <w:color w:val="auto"/>
                <w:sz w:val="22"/>
                <w:szCs w:val="22"/>
                <w:highlight w:val="none"/>
              </w:rPr>
              <w:t>21</w:t>
            </w:r>
          </w:p>
        </w:tc>
        <w:tc>
          <w:tcPr>
            <w:tcW w:w="1293" w:type="dxa"/>
            <w:shd w:val="clear" w:color="auto" w:fill="auto"/>
            <w:vAlign w:val="center"/>
          </w:tcPr>
          <w:p w14:paraId="6D8BF991">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6627" w:type="dxa"/>
            <w:shd w:val="clear" w:color="auto" w:fill="auto"/>
            <w:vAlign w:val="center"/>
          </w:tcPr>
          <w:p w14:paraId="7BAE2517">
            <w:pPr>
              <w:rPr>
                <w:rFonts w:ascii="宋体" w:eastAsia="宋体"/>
                <w:b w:val="0"/>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不需要</w:t>
            </w:r>
          </w:p>
          <w:p w14:paraId="72E50D0B">
            <w:pPr>
              <w:adjustRightInd w:val="0"/>
              <w:rPr>
                <w:rFonts w:ascii="宋体" w:eastAsia="宋体"/>
                <w:color w:val="auto"/>
                <w:sz w:val="22"/>
                <w:szCs w:val="22"/>
                <w:highlight w:val="none"/>
              </w:rPr>
            </w:pPr>
            <w:r>
              <w:rPr>
                <w:rFonts w:hint="eastAsia" w:ascii="宋体" w:eastAsia="宋体"/>
                <w:bCs w:val="0"/>
                <w:color w:val="auto"/>
                <w:sz w:val="22"/>
                <w:szCs w:val="22"/>
                <w:highlight w:val="none"/>
              </w:rPr>
              <w:fldChar w:fldCharType="begin"/>
            </w:r>
            <w:r>
              <w:rPr>
                <w:rFonts w:hint="eastAsia" w:ascii="宋体" w:eastAsia="宋体"/>
                <w:bCs w:val="0"/>
                <w:color w:val="auto"/>
                <w:sz w:val="22"/>
                <w:szCs w:val="22"/>
                <w:highlight w:val="none"/>
              </w:rPr>
              <w:instrText xml:space="preserve"> eq \o\ac(□</w:instrText>
            </w:r>
            <w:r>
              <w:rPr>
                <w:rFonts w:hint="eastAsia" w:ascii="宋体" w:eastAsia="宋体"/>
                <w:bCs w:val="0"/>
                <w:color w:val="auto"/>
                <w:sz w:val="22"/>
                <w:szCs w:val="22"/>
                <w:highlight w:val="none"/>
                <w:lang w:eastAsia="zh-CN"/>
              </w:rPr>
              <w:instrText xml:space="preserve">,</w:instrText>
            </w:r>
            <w:r>
              <w:rPr>
                <w:rFonts w:hint="eastAsia" w:ascii="宋体" w:eastAsia="宋体"/>
                <w:bCs w:val="0"/>
                <w:color w:val="auto"/>
                <w:position w:val="2"/>
                <w:sz w:val="15"/>
                <w:szCs w:val="22"/>
                <w:highlight w:val="none"/>
                <w:lang w:eastAsia="zh-CN"/>
              </w:rPr>
              <w:instrText xml:space="preserve">√</w:instrText>
            </w:r>
            <w:r>
              <w:rPr>
                <w:rFonts w:hint="eastAsia" w:ascii="宋体" w:eastAsia="宋体"/>
                <w:bCs w:val="0"/>
                <w:color w:val="auto"/>
                <w:sz w:val="22"/>
                <w:szCs w:val="22"/>
                <w:highlight w:val="none"/>
              </w:rPr>
              <w:instrText xml:space="preserve">)</w:instrText>
            </w:r>
            <w:r>
              <w:rPr>
                <w:rFonts w:hint="eastAsia" w:ascii="宋体" w:eastAsia="宋体"/>
                <w:bCs w:val="0"/>
                <w:color w:val="auto"/>
                <w:sz w:val="22"/>
                <w:szCs w:val="22"/>
                <w:highlight w:val="none"/>
              </w:rPr>
              <w:fldChar w:fldCharType="end"/>
            </w:r>
            <w:r>
              <w:rPr>
                <w:rFonts w:hint="eastAsia" w:ascii="宋体" w:eastAsia="宋体"/>
                <w:bCs w:val="0"/>
                <w:color w:val="auto"/>
                <w:sz w:val="22"/>
                <w:szCs w:val="22"/>
                <w:highlight w:val="none"/>
              </w:rPr>
              <w:t>需要  合同签订后成交供应商应提供合同金额的1%履约保证金至采购人指定账户，履约保证金可以以银行或保险公司出具的保函作为履约保函。</w:t>
            </w:r>
          </w:p>
        </w:tc>
      </w:tr>
      <w:tr w14:paraId="5097B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D1C9CE4">
            <w:pPr>
              <w:jc w:val="center"/>
              <w:rPr>
                <w:rFonts w:ascii="宋体" w:eastAsia="宋体"/>
                <w:b w:val="0"/>
                <w:color w:val="auto"/>
                <w:sz w:val="22"/>
                <w:szCs w:val="22"/>
                <w:highlight w:val="none"/>
              </w:rPr>
            </w:pPr>
            <w:r>
              <w:rPr>
                <w:rFonts w:hint="eastAsia" w:ascii="宋体" w:eastAsia="宋体"/>
                <w:b w:val="0"/>
                <w:color w:val="auto"/>
                <w:sz w:val="22"/>
                <w:szCs w:val="22"/>
                <w:highlight w:val="none"/>
              </w:rPr>
              <w:t>22</w:t>
            </w:r>
          </w:p>
        </w:tc>
        <w:tc>
          <w:tcPr>
            <w:tcW w:w="1293" w:type="dxa"/>
            <w:shd w:val="clear" w:color="auto" w:fill="auto"/>
            <w:vAlign w:val="center"/>
          </w:tcPr>
          <w:p w14:paraId="68FBFE88">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响应文件份数</w:t>
            </w:r>
          </w:p>
        </w:tc>
        <w:tc>
          <w:tcPr>
            <w:tcW w:w="6627" w:type="dxa"/>
            <w:shd w:val="clear" w:color="auto" w:fill="auto"/>
            <w:vAlign w:val="center"/>
          </w:tcPr>
          <w:p w14:paraId="66FC6A18">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（1）“电子加密响应文件”：在线上传递交、一份。</w:t>
            </w:r>
          </w:p>
          <w:p w14:paraId="32F97296">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2）“备份响应文件”：可以U盘存储，密封包装后（顺丰快递形式）在响应文件递交截止时间及开标时间前递交，送达时间以签收人签收时间为准，一份，邮寄地址：温州市永嘉县南城街道环城北路618号云碓大厦503室，胡可可 （收）联系电话：15258683545。</w:t>
            </w:r>
          </w:p>
          <w:p w14:paraId="62A7AA1B">
            <w:pPr>
              <w:adjustRightInd w:val="0"/>
              <w:rPr>
                <w:rFonts w:ascii="宋体" w:eastAsia="宋体"/>
                <w:color w:val="auto"/>
                <w:highlight w:val="none"/>
              </w:rPr>
            </w:pPr>
            <w:r>
              <w:rPr>
                <w:rFonts w:hint="eastAsia" w:ascii="宋体" w:eastAsia="宋体"/>
                <w:b w:val="0"/>
                <w:color w:val="auto"/>
                <w:sz w:val="22"/>
                <w:szCs w:val="22"/>
                <w:highlight w:val="none"/>
              </w:rPr>
              <w:t>注：“备份响应文件”由供应商自行是否提供。</w:t>
            </w:r>
          </w:p>
        </w:tc>
      </w:tr>
      <w:tr w14:paraId="11297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1245" w:type="dxa"/>
            <w:vAlign w:val="center"/>
          </w:tcPr>
          <w:p w14:paraId="34F970CE">
            <w:pPr>
              <w:jc w:val="center"/>
              <w:rPr>
                <w:rFonts w:ascii="宋体" w:eastAsia="宋体"/>
                <w:b w:val="0"/>
                <w:color w:val="auto"/>
                <w:sz w:val="22"/>
                <w:szCs w:val="22"/>
                <w:highlight w:val="none"/>
              </w:rPr>
            </w:pPr>
            <w:r>
              <w:rPr>
                <w:rFonts w:hint="eastAsia" w:ascii="宋体" w:eastAsia="宋体"/>
                <w:b w:val="0"/>
                <w:color w:val="auto"/>
                <w:sz w:val="22"/>
                <w:szCs w:val="22"/>
                <w:highlight w:val="none"/>
              </w:rPr>
              <w:t>23</w:t>
            </w:r>
          </w:p>
        </w:tc>
        <w:tc>
          <w:tcPr>
            <w:tcW w:w="1293" w:type="dxa"/>
            <w:shd w:val="clear" w:color="auto" w:fill="auto"/>
            <w:vAlign w:val="center"/>
          </w:tcPr>
          <w:p w14:paraId="48161710">
            <w:pPr>
              <w:rPr>
                <w:rFonts w:ascii="宋体" w:eastAsia="宋体"/>
                <w:color w:val="auto"/>
                <w:sz w:val="22"/>
                <w:szCs w:val="22"/>
                <w:highlight w:val="none"/>
              </w:rPr>
            </w:pPr>
            <w:r>
              <w:rPr>
                <w:rFonts w:hint="eastAsia" w:ascii="宋体" w:eastAsia="宋体"/>
                <w:color w:val="auto"/>
                <w:sz w:val="22"/>
                <w:szCs w:val="22"/>
                <w:highlight w:val="none"/>
              </w:rPr>
              <w:t>响应文件递交截止时间及开标时间</w:t>
            </w:r>
          </w:p>
        </w:tc>
        <w:tc>
          <w:tcPr>
            <w:tcW w:w="6627" w:type="dxa"/>
            <w:shd w:val="clear" w:color="auto" w:fill="auto"/>
            <w:vAlign w:val="center"/>
          </w:tcPr>
          <w:p w14:paraId="1F09C9B4">
            <w:pPr>
              <w:rPr>
                <w:rFonts w:ascii="宋体" w:eastAsia="宋体"/>
                <w:i/>
                <w:color w:val="auto"/>
                <w:sz w:val="22"/>
                <w:szCs w:val="22"/>
                <w:highlight w:val="none"/>
              </w:rPr>
            </w:pP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w:t>
            </w:r>
            <w:r>
              <w:rPr>
                <w:rFonts w:hint="eastAsia" w:ascii="宋体" w:eastAsia="宋体"/>
                <w:i/>
                <w:color w:val="auto"/>
                <w:sz w:val="22"/>
                <w:szCs w:val="22"/>
                <w:highlight w:val="none"/>
              </w:rPr>
              <w:t>09:30 截止(北京时间)。</w:t>
            </w:r>
          </w:p>
        </w:tc>
      </w:tr>
      <w:tr w14:paraId="7F17B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45" w:type="dxa"/>
            <w:shd w:val="clear" w:color="auto" w:fill="auto"/>
            <w:vAlign w:val="center"/>
          </w:tcPr>
          <w:p w14:paraId="7C25843E">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24</w:t>
            </w:r>
          </w:p>
        </w:tc>
        <w:tc>
          <w:tcPr>
            <w:tcW w:w="1293" w:type="dxa"/>
            <w:shd w:val="clear" w:color="auto" w:fill="auto"/>
            <w:vAlign w:val="center"/>
          </w:tcPr>
          <w:p w14:paraId="5A683D8A">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响应文件的上传和递交</w:t>
            </w:r>
          </w:p>
        </w:tc>
        <w:tc>
          <w:tcPr>
            <w:tcW w:w="6627" w:type="dxa"/>
            <w:shd w:val="clear" w:color="auto" w:fill="auto"/>
            <w:vAlign w:val="center"/>
          </w:tcPr>
          <w:p w14:paraId="54850000">
            <w:pPr>
              <w:pStyle w:val="117"/>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一、“电子加密响应文件”的上传、递交：</w:t>
            </w:r>
          </w:p>
          <w:p w14:paraId="4D0D230A">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a.投标供应商应在响应文件递交截止时间前将“电子加密响应文件”成功上传递交至“政采云平台”，否则投标无效。</w:t>
            </w:r>
          </w:p>
          <w:p w14:paraId="7D063FA8">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b.“电子加密响应文件”成功上传递交后，供应商可自行打印响应文件接收回执。</w:t>
            </w:r>
          </w:p>
          <w:p w14:paraId="530C7A77">
            <w:pPr>
              <w:pStyle w:val="117"/>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二、“备份响应文件”的密封包装、递交：</w:t>
            </w:r>
          </w:p>
          <w:p w14:paraId="6ED01420">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a.投标供应商在“政采云平台”完成“电子加密响应文件”的上传递交后，还可以（建议顺丰快递形式）递交以介质（U盘）存储的 “备份响应文件”（一份）；顺丰快递形式快递至采购代理机构地址（地址详见招标采购文件）；解密CA必须是上传并制作电子响应文件CA锁。</w:t>
            </w:r>
          </w:p>
          <w:p w14:paraId="5BFB3901">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b.“备份响应文件”应当密封包装，并在包装上标注投标项目名称、投标单位名称并加盖公章。没有密封包装或者逾期邮寄送达至投标地点的“备份响应文件”将不予接收。</w:t>
            </w:r>
          </w:p>
          <w:p w14:paraId="6D94C5E2">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c.通过“政采云平台”成功上传递交的“电子加密响应文件”已按时解密的，“备份响应文件”自动失效。响应文件递交截止时间前，投标供应商仅递交了“备份响应文件”而未将“电子加密响应文件”成功上传至“政采云平台”的，投标无效。</w:t>
            </w:r>
          </w:p>
        </w:tc>
      </w:tr>
      <w:tr w14:paraId="0CEB2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1245" w:type="dxa"/>
            <w:shd w:val="clear" w:color="auto" w:fill="auto"/>
            <w:vAlign w:val="center"/>
          </w:tcPr>
          <w:p w14:paraId="58F1B6F7">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25</w:t>
            </w:r>
          </w:p>
        </w:tc>
        <w:tc>
          <w:tcPr>
            <w:tcW w:w="1293" w:type="dxa"/>
            <w:shd w:val="clear" w:color="auto" w:fill="auto"/>
            <w:vAlign w:val="center"/>
          </w:tcPr>
          <w:p w14:paraId="4508D742">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电子加密响应文件的解密和异常情况处理</w:t>
            </w:r>
          </w:p>
        </w:tc>
        <w:tc>
          <w:tcPr>
            <w:tcW w:w="6627" w:type="dxa"/>
            <w:shd w:val="clear" w:color="auto" w:fill="auto"/>
            <w:vAlign w:val="center"/>
          </w:tcPr>
          <w:p w14:paraId="4A4FEBF1">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（1）开标后，采购组织机构将向各投标供应商发出“电子加密响应文件”的解密通知，各投标供应商代表应当在接到解密通知后30分钟内自行完成“电子加密响应文件”的在线解密。</w:t>
            </w:r>
          </w:p>
          <w:p w14:paraId="3399B714">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通过“政采云平台”成功上传递交的“电子加密响应文件”无法按时解密，投标供应商如按规定递交了“备份响应文件”的，以“备份响应文件”为依据（由采购组织机构按“政采云平台”操作规范将“备份响应文件”上传至“政采云平台”，上传成功后，“电子加密响应文件”自动失效），否则视为响应文件撤回。</w:t>
            </w:r>
          </w:p>
          <w:p w14:paraId="2BFF3E5C">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（3）响应文件递交截止时间前，投标供应商仅递交了“备份响应文件”而未将电子加密响应文件上传至“政采云平台”的，投标无效。</w:t>
            </w:r>
          </w:p>
        </w:tc>
      </w:tr>
      <w:tr w14:paraId="6B6E5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1245" w:type="dxa"/>
            <w:shd w:val="clear" w:color="auto" w:fill="auto"/>
            <w:vAlign w:val="center"/>
          </w:tcPr>
          <w:p w14:paraId="6AF87889">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26</w:t>
            </w:r>
          </w:p>
        </w:tc>
        <w:tc>
          <w:tcPr>
            <w:tcW w:w="1293" w:type="dxa"/>
            <w:shd w:val="clear" w:color="auto" w:fill="auto"/>
            <w:vAlign w:val="center"/>
          </w:tcPr>
          <w:p w14:paraId="09F71827">
            <w:pPr>
              <w:jc w:val="center"/>
              <w:rPr>
                <w:rFonts w:ascii="宋体" w:eastAsia="宋体"/>
                <w:b w:val="0"/>
                <w:color w:val="auto"/>
                <w:sz w:val="22"/>
                <w:szCs w:val="22"/>
                <w:highlight w:val="none"/>
                <w:lang w:val="zh-CN"/>
              </w:rPr>
            </w:pPr>
            <w:r>
              <w:rPr>
                <w:rFonts w:hint="eastAsia" w:ascii="宋体" w:eastAsia="宋体"/>
                <w:b w:val="0"/>
                <w:color w:val="auto"/>
                <w:sz w:val="22"/>
                <w:szCs w:val="22"/>
                <w:highlight w:val="none"/>
              </w:rPr>
              <w:t>竞争性磋商采购小组的组建</w:t>
            </w:r>
          </w:p>
        </w:tc>
        <w:tc>
          <w:tcPr>
            <w:tcW w:w="6627" w:type="dxa"/>
            <w:shd w:val="clear" w:color="auto" w:fill="auto"/>
            <w:vAlign w:val="center"/>
          </w:tcPr>
          <w:p w14:paraId="62567B0D">
            <w:pPr>
              <w:rPr>
                <w:rFonts w:ascii="宋体" w:eastAsia="宋体"/>
                <w:b w:val="0"/>
                <w:color w:val="auto"/>
                <w:sz w:val="22"/>
                <w:szCs w:val="22"/>
                <w:highlight w:val="none"/>
                <w:lang w:val="zh-CN"/>
              </w:rPr>
            </w:pPr>
            <w:r>
              <w:rPr>
                <w:rFonts w:hint="eastAsia" w:ascii="宋体" w:eastAsia="宋体"/>
                <w:b w:val="0"/>
                <w:color w:val="auto"/>
                <w:sz w:val="22"/>
                <w:szCs w:val="22"/>
                <w:highlight w:val="none"/>
              </w:rPr>
              <w:t>竞争性磋商采购小组构成： 由采购人代表以及有关技术、经济等方面的专家组成，成员为3人及以上单数，其中技术、经济类专家不得少于总人数的2/3；评标专家确定方式：按相关规定从专家库中抽取。</w:t>
            </w:r>
          </w:p>
        </w:tc>
      </w:tr>
      <w:tr w14:paraId="049D4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1245" w:type="dxa"/>
            <w:shd w:val="clear" w:color="auto" w:fill="auto"/>
            <w:vAlign w:val="center"/>
          </w:tcPr>
          <w:p w14:paraId="21904534">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27</w:t>
            </w:r>
          </w:p>
        </w:tc>
        <w:tc>
          <w:tcPr>
            <w:tcW w:w="1293" w:type="dxa"/>
            <w:shd w:val="clear" w:color="auto" w:fill="auto"/>
            <w:vAlign w:val="center"/>
          </w:tcPr>
          <w:p w14:paraId="615FDB2F">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政府采购</w:t>
            </w:r>
          </w:p>
          <w:p w14:paraId="36F6ACCB">
            <w:pPr>
              <w:adjustRightInd w:val="0"/>
              <w:jc w:val="center"/>
              <w:rPr>
                <w:rFonts w:ascii="宋体" w:eastAsia="宋体"/>
                <w:b w:val="0"/>
                <w:color w:val="auto"/>
                <w:sz w:val="22"/>
                <w:szCs w:val="22"/>
                <w:highlight w:val="none"/>
                <w:lang w:val="zh-CN"/>
              </w:rPr>
            </w:pPr>
            <w:r>
              <w:rPr>
                <w:rFonts w:hint="eastAsia" w:ascii="宋体" w:eastAsia="宋体"/>
                <w:b w:val="0"/>
                <w:color w:val="auto"/>
                <w:sz w:val="22"/>
                <w:szCs w:val="22"/>
                <w:highlight w:val="none"/>
              </w:rPr>
              <w:t>扶持政策</w:t>
            </w:r>
          </w:p>
        </w:tc>
        <w:tc>
          <w:tcPr>
            <w:tcW w:w="6627" w:type="dxa"/>
            <w:shd w:val="clear" w:color="auto" w:fill="auto"/>
            <w:vAlign w:val="center"/>
          </w:tcPr>
          <w:p w14:paraId="0CB7150D">
            <w:pPr>
              <w:rPr>
                <w:rFonts w:ascii="宋体" w:eastAsia="宋体"/>
                <w:b w:val="0"/>
                <w:color w:val="auto"/>
                <w:sz w:val="22"/>
                <w:szCs w:val="22"/>
                <w:highlight w:val="none"/>
              </w:rPr>
            </w:pPr>
            <w:r>
              <w:rPr>
                <w:rFonts w:hint="eastAsia" w:ascii="宋体" w:eastAsia="宋体"/>
                <w:b w:val="0"/>
                <w:color w:val="auto"/>
                <w:sz w:val="22"/>
                <w:szCs w:val="22"/>
                <w:highlight w:val="none"/>
              </w:rPr>
              <w:t>1.对节能、环保产品优先采购。</w:t>
            </w:r>
          </w:p>
          <w:p w14:paraId="11C9B160">
            <w:pPr>
              <w:rPr>
                <w:rFonts w:ascii="宋体" w:eastAsia="宋体"/>
                <w:color w:val="auto"/>
                <w:highlight w:val="none"/>
                <w:lang w:val="zh-CN"/>
              </w:rPr>
            </w:pPr>
            <w:r>
              <w:rPr>
                <w:rFonts w:hint="eastAsia" w:ascii="宋体" w:eastAsia="宋体"/>
                <w:b w:val="0"/>
                <w:color w:val="auto"/>
                <w:sz w:val="22"/>
                <w:szCs w:val="22"/>
                <w:highlight w:val="none"/>
              </w:rPr>
              <w:t>2.对符合财政扶持政策的小微企业（或监狱企业</w:t>
            </w:r>
            <w:r>
              <w:rPr>
                <w:rFonts w:hint="eastAsia" w:ascii="宋体" w:eastAsia="宋体"/>
                <w:b w:val="0"/>
                <w:color w:val="auto"/>
                <w:sz w:val="22"/>
                <w:szCs w:val="22"/>
                <w:highlight w:val="none"/>
                <w:lang w:eastAsia="zh-CN"/>
              </w:rPr>
              <w:t>或</w:t>
            </w:r>
            <w:r>
              <w:rPr>
                <w:rFonts w:hint="eastAsia" w:ascii="宋体" w:eastAsia="宋体"/>
                <w:b w:val="0"/>
                <w:color w:val="auto"/>
                <w:sz w:val="22"/>
                <w:szCs w:val="22"/>
                <w:highlight w:val="none"/>
              </w:rPr>
              <w:t>残疾人福利性单位）给予评标价格折扣。供应商企业属于以上多种性质的，不重复享受扶持政策。</w:t>
            </w:r>
          </w:p>
        </w:tc>
      </w:tr>
      <w:tr w14:paraId="6085F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245" w:type="dxa"/>
            <w:shd w:val="clear" w:color="auto" w:fill="auto"/>
            <w:vAlign w:val="center"/>
          </w:tcPr>
          <w:p w14:paraId="61045C9A">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28</w:t>
            </w:r>
          </w:p>
        </w:tc>
        <w:tc>
          <w:tcPr>
            <w:tcW w:w="1293" w:type="dxa"/>
            <w:shd w:val="clear" w:color="auto" w:fill="auto"/>
            <w:vAlign w:val="center"/>
          </w:tcPr>
          <w:p w14:paraId="5C808314">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供应商信用查询</w:t>
            </w:r>
          </w:p>
        </w:tc>
        <w:tc>
          <w:tcPr>
            <w:tcW w:w="6627" w:type="dxa"/>
            <w:shd w:val="clear" w:color="auto" w:fill="auto"/>
            <w:vAlign w:val="center"/>
          </w:tcPr>
          <w:p w14:paraId="7E8887BC">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（1）供应商信用信息查询的查询渠道：“信用中国”（https://www.creditchina.gov.cn/)；“中国政府采购网”（http://www.ccgp.gov.cn/）；</w:t>
            </w:r>
          </w:p>
          <w:p w14:paraId="73B8311A">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（2）供应商信用信息查询截止时点：本项目投标文件递交截止时间。</w:t>
            </w:r>
          </w:p>
          <w:p w14:paraId="7C4954C7">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（3）供应商信用信息查询记录和证据留存的具体方式：网页截图打印；</w:t>
            </w:r>
          </w:p>
          <w:p w14:paraId="3D9129BF">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（4）信用信息的使用规则：</w:t>
            </w:r>
          </w:p>
          <w:p w14:paraId="417E3B7E">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①在“信用中国”具有负面记录：列入失信被执行人、重大税收违法案件当事人名单、政府采购严重违法失信行为名单；</w:t>
            </w:r>
          </w:p>
          <w:p w14:paraId="170EE084">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②被“中国政府采购网”（www.ccgp.gov.cn）列入政府采购严重违法失信行为记录名单。</w:t>
            </w:r>
          </w:p>
          <w:p w14:paraId="6B748BA7">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（5）具有以上（4）所述信息记录的供应商，其投标作无效投标处理。</w:t>
            </w:r>
          </w:p>
          <w:p w14:paraId="39C7353C">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（6）具体结果以开标当日采购人或采购代理机构对投标供应商信用查询网页的查询结果为准。</w:t>
            </w:r>
          </w:p>
          <w:p w14:paraId="5026C49B">
            <w:pPr>
              <w:rPr>
                <w:rFonts w:ascii="宋体" w:eastAsia="宋体"/>
                <w:b w:val="0"/>
                <w:color w:val="auto"/>
                <w:sz w:val="22"/>
                <w:szCs w:val="22"/>
                <w:highlight w:val="none"/>
              </w:rPr>
            </w:pPr>
            <w:r>
              <w:rPr>
                <w:rFonts w:hint="eastAsia" w:ascii="宋体" w:eastAsia="宋体"/>
                <w:b w:val="0"/>
                <w:bCs w:val="0"/>
                <w:color w:val="auto"/>
                <w:sz w:val="22"/>
                <w:szCs w:val="22"/>
                <w:highlight w:val="none"/>
              </w:rPr>
              <w:t>（7）联合体成员存在上述不良信用记录的，视同联合体存在不良信用记录。</w:t>
            </w:r>
          </w:p>
        </w:tc>
      </w:tr>
      <w:tr w14:paraId="78D56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1245" w:type="dxa"/>
            <w:shd w:val="clear" w:color="auto" w:fill="auto"/>
            <w:vAlign w:val="center"/>
          </w:tcPr>
          <w:p w14:paraId="4769C6FD">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29</w:t>
            </w:r>
          </w:p>
        </w:tc>
        <w:tc>
          <w:tcPr>
            <w:tcW w:w="1293" w:type="dxa"/>
            <w:shd w:val="clear" w:color="auto" w:fill="auto"/>
            <w:vAlign w:val="center"/>
          </w:tcPr>
          <w:p w14:paraId="6F565A0E">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合同备案</w:t>
            </w:r>
          </w:p>
        </w:tc>
        <w:tc>
          <w:tcPr>
            <w:tcW w:w="6627" w:type="dxa"/>
            <w:shd w:val="clear" w:color="auto" w:fill="auto"/>
            <w:vAlign w:val="center"/>
          </w:tcPr>
          <w:p w14:paraId="27FC0844">
            <w:pPr>
              <w:numPr>
                <w:ilvl w:val="0"/>
                <w:numId w:val="2"/>
              </w:numPr>
              <w:rPr>
                <w:rFonts w:ascii="宋体" w:eastAsia="宋体"/>
                <w:color w:val="auto"/>
                <w:highlight w:val="none"/>
              </w:rPr>
            </w:pPr>
            <w:r>
              <w:rPr>
                <w:rFonts w:hint="eastAsia" w:ascii="宋体" w:eastAsia="宋体"/>
                <w:b w:val="0"/>
                <w:color w:val="auto"/>
                <w:sz w:val="22"/>
                <w:szCs w:val="22"/>
                <w:highlight w:val="none"/>
              </w:rPr>
              <w:t>中标供应商须在发出成交通知书之日起30日历天内与采购人签订合同。</w:t>
            </w:r>
          </w:p>
          <w:p w14:paraId="34833609">
            <w:pPr>
              <w:rPr>
                <w:rFonts w:ascii="宋体" w:eastAsia="宋体"/>
                <w:b w:val="0"/>
                <w:color w:val="auto"/>
                <w:sz w:val="22"/>
                <w:szCs w:val="22"/>
                <w:highlight w:val="none"/>
              </w:rPr>
            </w:pPr>
            <w:r>
              <w:rPr>
                <w:rFonts w:hint="eastAsia" w:ascii="宋体" w:eastAsia="宋体"/>
                <w:b w:val="0"/>
                <w:color w:val="auto"/>
                <w:sz w:val="22"/>
                <w:szCs w:val="22"/>
                <w:highlight w:val="none"/>
              </w:rPr>
              <w:t>2、本项目政府采购合同按规定在浙江政府采购网（http://www.zjzfcg.gov.cn）予以公告。</w:t>
            </w:r>
          </w:p>
        </w:tc>
      </w:tr>
      <w:tr w14:paraId="4BFEE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1245" w:type="dxa"/>
            <w:shd w:val="clear" w:color="auto" w:fill="auto"/>
            <w:vAlign w:val="center"/>
          </w:tcPr>
          <w:p w14:paraId="13733327">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30</w:t>
            </w:r>
          </w:p>
        </w:tc>
        <w:tc>
          <w:tcPr>
            <w:tcW w:w="1293" w:type="dxa"/>
            <w:shd w:val="clear" w:color="auto" w:fill="auto"/>
            <w:vAlign w:val="center"/>
          </w:tcPr>
          <w:p w14:paraId="50761BF6">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6627" w:type="dxa"/>
            <w:shd w:val="clear" w:color="auto" w:fill="auto"/>
            <w:vAlign w:val="center"/>
          </w:tcPr>
          <w:p w14:paraId="429219D0">
            <w:pPr>
              <w:rPr>
                <w:rFonts w:ascii="宋体" w:eastAsia="宋体"/>
                <w:b w:val="0"/>
                <w:color w:val="auto"/>
                <w:sz w:val="22"/>
                <w:szCs w:val="22"/>
                <w:highlight w:val="none"/>
              </w:rPr>
            </w:pPr>
            <w:r>
              <w:rPr>
                <w:rFonts w:hint="eastAsia" w:ascii="宋体" w:eastAsia="宋体"/>
                <w:b w:val="0"/>
                <w:color w:val="auto"/>
                <w:sz w:val="22"/>
                <w:szCs w:val="22"/>
                <w:highlight w:val="none"/>
              </w:rPr>
              <w:t>合同签订后，采购人依法加强对合同履约进行管理，并在成交供应商服务、项目验收等重要环节，如实填写《合同验收报告》，并及时向同级财政部门报告验收过程中遇到的问题。</w:t>
            </w:r>
          </w:p>
        </w:tc>
      </w:tr>
      <w:tr w14:paraId="431F7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1245" w:type="dxa"/>
            <w:shd w:val="clear" w:color="auto" w:fill="auto"/>
            <w:vAlign w:val="center"/>
          </w:tcPr>
          <w:p w14:paraId="606E3A39">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31</w:t>
            </w:r>
          </w:p>
        </w:tc>
        <w:tc>
          <w:tcPr>
            <w:tcW w:w="1293" w:type="dxa"/>
            <w:shd w:val="clear" w:color="auto" w:fill="auto"/>
            <w:vAlign w:val="center"/>
          </w:tcPr>
          <w:p w14:paraId="0A288167">
            <w:pPr>
              <w:jc w:val="center"/>
              <w:rPr>
                <w:rFonts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6627" w:type="dxa"/>
            <w:shd w:val="clear" w:color="auto" w:fill="auto"/>
            <w:vAlign w:val="center"/>
          </w:tcPr>
          <w:p w14:paraId="0F6F754E">
            <w:pPr>
              <w:rPr>
                <w:rFonts w:ascii="宋体" w:eastAsia="宋体"/>
                <w:b w:val="0"/>
                <w:color w:val="auto"/>
                <w:sz w:val="22"/>
                <w:szCs w:val="22"/>
                <w:highlight w:val="none"/>
              </w:rPr>
            </w:pPr>
            <w:r>
              <w:rPr>
                <w:rFonts w:hint="eastAsia" w:ascii="宋体" w:eastAsia="宋体"/>
                <w:b w:val="0"/>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14:paraId="53DA4FD7">
            <w:pPr>
              <w:rPr>
                <w:rFonts w:ascii="宋体" w:eastAsia="宋体"/>
                <w:b w:val="0"/>
                <w:color w:val="auto"/>
                <w:sz w:val="22"/>
                <w:szCs w:val="22"/>
                <w:highlight w:val="none"/>
              </w:rPr>
            </w:pPr>
            <w:r>
              <w:rPr>
                <w:rFonts w:hint="eastAsia" w:ascii="宋体" w:eastAsia="宋体"/>
                <w:b w:val="0"/>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62FCB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shd w:val="clear" w:color="auto" w:fill="auto"/>
            <w:vAlign w:val="center"/>
          </w:tcPr>
          <w:p w14:paraId="694220C1">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32</w:t>
            </w:r>
          </w:p>
        </w:tc>
        <w:tc>
          <w:tcPr>
            <w:tcW w:w="1293" w:type="dxa"/>
            <w:shd w:val="clear" w:color="auto" w:fill="auto"/>
            <w:vAlign w:val="center"/>
          </w:tcPr>
          <w:p w14:paraId="1BCEC153">
            <w:pPr>
              <w:jc w:val="center"/>
              <w:rPr>
                <w:rFonts w:ascii="宋体" w:eastAsia="宋体"/>
                <w:b w:val="0"/>
                <w:color w:val="auto"/>
                <w:sz w:val="22"/>
                <w:szCs w:val="22"/>
                <w:highlight w:val="none"/>
              </w:rPr>
            </w:pPr>
            <w:r>
              <w:rPr>
                <w:rFonts w:hint="eastAsia" w:ascii="宋体" w:eastAsia="宋体"/>
                <w:b w:val="0"/>
                <w:color w:val="auto"/>
                <w:sz w:val="22"/>
                <w:szCs w:val="22"/>
                <w:highlight w:val="none"/>
              </w:rPr>
              <w:t>解释权</w:t>
            </w:r>
          </w:p>
        </w:tc>
        <w:tc>
          <w:tcPr>
            <w:tcW w:w="6627" w:type="dxa"/>
            <w:shd w:val="clear" w:color="auto" w:fill="auto"/>
            <w:vAlign w:val="center"/>
          </w:tcPr>
          <w:p w14:paraId="23D20AC4">
            <w:pPr>
              <w:rPr>
                <w:rFonts w:ascii="宋体" w:eastAsia="宋体"/>
                <w:b w:val="0"/>
                <w:color w:val="auto"/>
                <w:sz w:val="22"/>
                <w:szCs w:val="22"/>
                <w:highlight w:val="none"/>
              </w:rPr>
            </w:pPr>
            <w:r>
              <w:rPr>
                <w:rFonts w:hint="eastAsia" w:ascii="宋体" w:eastAsia="宋体"/>
                <w:b w:val="0"/>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E70B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shd w:val="clear" w:color="auto" w:fill="auto"/>
            <w:vAlign w:val="center"/>
          </w:tcPr>
          <w:p w14:paraId="6A3E839E">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33</w:t>
            </w:r>
          </w:p>
        </w:tc>
        <w:tc>
          <w:tcPr>
            <w:tcW w:w="1293" w:type="dxa"/>
            <w:shd w:val="clear" w:color="auto" w:fill="auto"/>
            <w:vAlign w:val="center"/>
          </w:tcPr>
          <w:p w14:paraId="67AEF74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项目类型</w:t>
            </w:r>
          </w:p>
        </w:tc>
        <w:tc>
          <w:tcPr>
            <w:tcW w:w="6627" w:type="dxa"/>
            <w:shd w:val="clear" w:color="auto" w:fill="auto"/>
            <w:vAlign w:val="center"/>
          </w:tcPr>
          <w:p w14:paraId="7F4105C5">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fldChar w:fldCharType="begin"/>
            </w:r>
            <w:r>
              <w:rPr>
                <w:rFonts w:hint="eastAsia" w:ascii="宋体" w:eastAsia="宋体"/>
                <w:b w:val="0"/>
                <w:bCs w:val="0"/>
                <w:color w:val="auto"/>
                <w:sz w:val="22"/>
                <w:szCs w:val="22"/>
                <w:highlight w:val="none"/>
              </w:rPr>
              <w:instrText xml:space="preserve">eq \o\ac(□)</w:instrText>
            </w:r>
            <w:r>
              <w:rPr>
                <w:rFonts w:hint="eastAsia" w:ascii="宋体" w:eastAsia="宋体"/>
                <w:b w:val="0"/>
                <w:bCs w:val="0"/>
                <w:color w:val="auto"/>
                <w:sz w:val="22"/>
                <w:szCs w:val="22"/>
                <w:highlight w:val="none"/>
              </w:rPr>
              <w:fldChar w:fldCharType="end"/>
            </w:r>
            <w:r>
              <w:rPr>
                <w:rFonts w:hint="eastAsia" w:ascii="宋体" w:eastAsia="宋体"/>
                <w:b w:val="0"/>
                <w:bCs w:val="0"/>
                <w:color w:val="auto"/>
                <w:sz w:val="22"/>
                <w:szCs w:val="22"/>
                <w:highlight w:val="none"/>
              </w:rPr>
              <w:t>A货物类</w:t>
            </w:r>
          </w:p>
          <w:p w14:paraId="1740675B">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sym w:font="Wingdings 2" w:char="F052"/>
            </w:r>
            <w:r>
              <w:rPr>
                <w:rFonts w:hint="eastAsia" w:ascii="宋体" w:eastAsia="宋体"/>
                <w:b w:val="0"/>
                <w:bCs w:val="0"/>
                <w:color w:val="auto"/>
                <w:sz w:val="22"/>
                <w:szCs w:val="22"/>
                <w:highlight w:val="none"/>
              </w:rPr>
              <w:t>B服务类</w:t>
            </w:r>
          </w:p>
          <w:p w14:paraId="3FA7F999">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采购标的对应的中小企业划分标准所属行业：其他未列明行业</w:t>
            </w:r>
          </w:p>
        </w:tc>
      </w:tr>
    </w:tbl>
    <w:p w14:paraId="08B1312D">
      <w:pPr>
        <w:pStyle w:val="8"/>
        <w:rPr>
          <w:rFonts w:ascii="宋体" w:hAnsi="宋体" w:cs="宋体"/>
          <w:color w:val="auto"/>
          <w:highlight w:val="none"/>
        </w:rPr>
        <w:sectPr>
          <w:footerReference r:id="rId8" w:type="default"/>
          <w:pgSz w:w="11906" w:h="16838"/>
          <w:pgMar w:top="1440" w:right="1417" w:bottom="1440" w:left="1417" w:header="851" w:footer="992" w:gutter="0"/>
          <w:cols w:space="425" w:num="1"/>
          <w:docGrid w:type="lines" w:linePitch="312" w:charSpace="0"/>
        </w:sectPr>
      </w:pPr>
      <w:r>
        <w:rPr>
          <w:rFonts w:hint="eastAsia" w:ascii="宋体" w:hAnsi="宋体" w:cs="宋体"/>
          <w:color w:val="auto"/>
          <w:highlight w:val="none"/>
        </w:rPr>
        <w:br w:type="page"/>
      </w:r>
    </w:p>
    <w:p w14:paraId="7B8E49AC">
      <w:pPr>
        <w:pStyle w:val="8"/>
        <w:rPr>
          <w:rFonts w:ascii="宋体" w:hAnsi="宋体" w:cs="宋体"/>
          <w:color w:val="auto"/>
          <w:highlight w:val="none"/>
        </w:rPr>
      </w:pPr>
      <w:bookmarkStart w:id="2" w:name="_Toc25136"/>
      <w:r>
        <w:rPr>
          <w:rFonts w:hint="eastAsia" w:ascii="宋体" w:hAnsi="宋体" w:cs="宋体"/>
          <w:color w:val="auto"/>
          <w:highlight w:val="none"/>
        </w:rPr>
        <w:t>第二部分 采购内容及要求</w:t>
      </w:r>
      <w:bookmarkEnd w:id="2"/>
    </w:p>
    <w:p w14:paraId="148525ED">
      <w:pPr>
        <w:autoSpaceDE w:val="0"/>
        <w:autoSpaceDN w:val="0"/>
        <w:adjustRightInd w:val="0"/>
        <w:snapToGrid w:val="0"/>
        <w:spacing w:line="360" w:lineRule="auto"/>
        <w:rPr>
          <w:rFonts w:hint="eastAsia" w:ascii="宋体" w:hAnsi="宋体" w:eastAsia="宋体" w:cs="宋体"/>
          <w:b/>
          <w:sz w:val="22"/>
          <w:szCs w:val="22"/>
          <w:highlight w:val="none"/>
        </w:rPr>
      </w:pPr>
      <w:bookmarkStart w:id="3" w:name="_Toc1598439912"/>
      <w:r>
        <w:rPr>
          <w:rFonts w:hint="eastAsia" w:ascii="宋体" w:hAnsi="宋体" w:eastAsia="宋体" w:cs="宋体"/>
          <w:b/>
          <w:sz w:val="22"/>
          <w:szCs w:val="22"/>
          <w:highlight w:val="none"/>
        </w:rPr>
        <w:t>一、总则</w:t>
      </w:r>
    </w:p>
    <w:p w14:paraId="6DF41CAD">
      <w:pPr>
        <w:snapToGrid w:val="0"/>
        <w:spacing w:line="360" w:lineRule="auto"/>
        <w:ind w:firstLine="541" w:firstLineChars="246"/>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1、供应商必须对所投所有服务进行报价，否则按无效投标处理；</w:t>
      </w:r>
    </w:p>
    <w:p w14:paraId="61DF0075">
      <w:pPr>
        <w:snapToGrid w:val="0"/>
        <w:spacing w:line="360" w:lineRule="auto"/>
        <w:ind w:firstLine="541" w:firstLineChars="246"/>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2、本技术规范要求提出的是最低限度的基本技术要求，并未对所有技术细节作出规定，供应商应提供符合本技术要求和国家标准、行业标准的优质服务。</w:t>
      </w:r>
    </w:p>
    <w:p w14:paraId="2BD2EB6C">
      <w:pPr>
        <w:snapToGrid w:val="0"/>
        <w:spacing w:line="360" w:lineRule="auto"/>
        <w:ind w:firstLine="541" w:firstLineChars="246"/>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供应商服务与本技术要求不一致时，供应商应在谈判响应文件中予以说明，并由谈判采购小组鉴定供应商产品能否达到要求。如供应商没有在谈判响应文件中提出异议，则视为供应商提供的服务完全按照本采购文件要求，并在合同验收时按采购文件要求验收。</w:t>
      </w:r>
    </w:p>
    <w:p w14:paraId="5A5A4CDA">
      <w:pPr>
        <w:autoSpaceDE w:val="0"/>
        <w:autoSpaceDN w:val="0"/>
        <w:adjustRightInd w:val="0"/>
        <w:snapToGrid w:val="0"/>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二、采购内容及要求</w:t>
      </w:r>
    </w:p>
    <w:p w14:paraId="44D7E466">
      <w:pPr>
        <w:adjustRightInd w:val="0"/>
        <w:snapToGrid w:val="0"/>
        <w:spacing w:line="360" w:lineRule="auto"/>
        <w:ind w:firstLine="220" w:firstLineChars="1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1、采购清单及数量</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628"/>
        <w:gridCol w:w="1724"/>
        <w:gridCol w:w="1940"/>
        <w:gridCol w:w="2898"/>
      </w:tblGrid>
      <w:tr w14:paraId="33D9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17" w:type="pct"/>
            <w:noWrap w:val="0"/>
            <w:vAlign w:val="center"/>
          </w:tcPr>
          <w:p w14:paraId="47218443">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作物名称</w:t>
            </w:r>
          </w:p>
        </w:tc>
        <w:tc>
          <w:tcPr>
            <w:tcW w:w="851" w:type="pct"/>
            <w:noWrap w:val="0"/>
            <w:vAlign w:val="center"/>
          </w:tcPr>
          <w:p w14:paraId="7A9E770F">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品种名称</w:t>
            </w:r>
          </w:p>
        </w:tc>
        <w:tc>
          <w:tcPr>
            <w:tcW w:w="901" w:type="pct"/>
            <w:noWrap w:val="0"/>
            <w:vAlign w:val="center"/>
          </w:tcPr>
          <w:p w14:paraId="6D9FCEE9">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数量</w:t>
            </w:r>
          </w:p>
          <w:p w14:paraId="32AB8C47">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（万斤）</w:t>
            </w:r>
          </w:p>
        </w:tc>
        <w:tc>
          <w:tcPr>
            <w:tcW w:w="1014" w:type="pct"/>
            <w:noWrap w:val="0"/>
            <w:vAlign w:val="center"/>
          </w:tcPr>
          <w:p w14:paraId="3A287EDD">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数量小计</w:t>
            </w:r>
          </w:p>
          <w:p w14:paraId="1BFB39C9">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（万斤）</w:t>
            </w:r>
          </w:p>
        </w:tc>
        <w:tc>
          <w:tcPr>
            <w:tcW w:w="1514" w:type="pct"/>
            <w:noWrap w:val="0"/>
            <w:vAlign w:val="center"/>
          </w:tcPr>
          <w:p w14:paraId="1DF739E3">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储备周期</w:t>
            </w:r>
          </w:p>
        </w:tc>
      </w:tr>
      <w:tr w14:paraId="6F3F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17" w:type="pct"/>
            <w:vMerge w:val="restart"/>
            <w:noWrap w:val="0"/>
            <w:vAlign w:val="center"/>
          </w:tcPr>
          <w:p w14:paraId="7E4A2F07">
            <w:pPr>
              <w:spacing w:line="360" w:lineRule="auto"/>
              <w:jc w:val="center"/>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rPr>
              <w:t>水稻</w:t>
            </w:r>
          </w:p>
        </w:tc>
        <w:tc>
          <w:tcPr>
            <w:tcW w:w="851" w:type="pct"/>
            <w:noWrap w:val="0"/>
            <w:vAlign w:val="center"/>
          </w:tcPr>
          <w:p w14:paraId="1812C7C7">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中嘉早17</w:t>
            </w:r>
          </w:p>
        </w:tc>
        <w:tc>
          <w:tcPr>
            <w:tcW w:w="901" w:type="pct"/>
            <w:noWrap w:val="0"/>
            <w:vAlign w:val="center"/>
          </w:tcPr>
          <w:p w14:paraId="7078C079">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w:t>
            </w:r>
          </w:p>
        </w:tc>
        <w:tc>
          <w:tcPr>
            <w:tcW w:w="1014" w:type="pct"/>
            <w:vMerge w:val="restart"/>
            <w:noWrap w:val="0"/>
            <w:vAlign w:val="center"/>
          </w:tcPr>
          <w:p w14:paraId="2CF5B1C6">
            <w:pPr>
              <w:spacing w:line="36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19</w:t>
            </w:r>
          </w:p>
        </w:tc>
        <w:tc>
          <w:tcPr>
            <w:tcW w:w="1514" w:type="pct"/>
            <w:vMerge w:val="restart"/>
            <w:noWrap w:val="0"/>
            <w:vAlign w:val="center"/>
          </w:tcPr>
          <w:p w14:paraId="2EC71863">
            <w:pPr>
              <w:spacing w:line="360" w:lineRule="auto"/>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eastAsia="zh-CN"/>
              </w:rPr>
              <w:t>2025</w:t>
            </w:r>
            <w:r>
              <w:rPr>
                <w:rFonts w:hint="eastAsia" w:ascii="宋体" w:hAnsi="宋体" w:eastAsia="宋体" w:cs="宋体"/>
                <w:b w:val="0"/>
                <w:bCs w:val="0"/>
                <w:sz w:val="22"/>
                <w:szCs w:val="22"/>
                <w:highlight w:val="none"/>
              </w:rPr>
              <w:t>年8月31日-202</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年7月31日。</w:t>
            </w:r>
          </w:p>
        </w:tc>
      </w:tr>
      <w:tr w14:paraId="7D64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7" w:type="pct"/>
            <w:vMerge w:val="continue"/>
            <w:noWrap w:val="0"/>
            <w:vAlign w:val="center"/>
          </w:tcPr>
          <w:p w14:paraId="07D0FBA4">
            <w:pPr>
              <w:spacing w:line="360" w:lineRule="auto"/>
              <w:jc w:val="center"/>
              <w:rPr>
                <w:rFonts w:hint="eastAsia" w:ascii="宋体" w:hAnsi="宋体" w:eastAsia="宋体" w:cs="宋体"/>
                <w:sz w:val="22"/>
                <w:szCs w:val="22"/>
                <w:highlight w:val="none"/>
              </w:rPr>
            </w:pPr>
          </w:p>
        </w:tc>
        <w:tc>
          <w:tcPr>
            <w:tcW w:w="851" w:type="pct"/>
            <w:noWrap w:val="0"/>
            <w:vAlign w:val="center"/>
          </w:tcPr>
          <w:p w14:paraId="0F3A7FD5">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浙1831</w:t>
            </w:r>
          </w:p>
        </w:tc>
        <w:tc>
          <w:tcPr>
            <w:tcW w:w="901" w:type="pct"/>
            <w:noWrap w:val="0"/>
            <w:vAlign w:val="center"/>
          </w:tcPr>
          <w:p w14:paraId="22035260">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5</w:t>
            </w:r>
          </w:p>
        </w:tc>
        <w:tc>
          <w:tcPr>
            <w:tcW w:w="1014" w:type="pct"/>
            <w:vMerge w:val="continue"/>
            <w:noWrap w:val="0"/>
            <w:vAlign w:val="center"/>
          </w:tcPr>
          <w:p w14:paraId="7E5FF486">
            <w:pPr>
              <w:spacing w:line="360" w:lineRule="auto"/>
              <w:jc w:val="center"/>
              <w:rPr>
                <w:rFonts w:hint="eastAsia" w:ascii="宋体" w:hAnsi="宋体" w:eastAsia="宋体" w:cs="宋体"/>
                <w:b w:val="0"/>
                <w:bCs w:val="0"/>
                <w:sz w:val="22"/>
                <w:szCs w:val="22"/>
                <w:highlight w:val="none"/>
              </w:rPr>
            </w:pPr>
          </w:p>
        </w:tc>
        <w:tc>
          <w:tcPr>
            <w:tcW w:w="1514" w:type="pct"/>
            <w:vMerge w:val="continue"/>
            <w:noWrap w:val="0"/>
            <w:vAlign w:val="center"/>
          </w:tcPr>
          <w:p w14:paraId="3C53DC38">
            <w:pPr>
              <w:spacing w:line="360" w:lineRule="auto"/>
              <w:jc w:val="center"/>
              <w:rPr>
                <w:rFonts w:hint="eastAsia" w:ascii="宋体" w:hAnsi="宋体" w:eastAsia="宋体" w:cs="宋体"/>
                <w:b w:val="0"/>
                <w:bCs w:val="0"/>
                <w:sz w:val="22"/>
                <w:szCs w:val="22"/>
                <w:highlight w:val="none"/>
              </w:rPr>
            </w:pPr>
          </w:p>
        </w:tc>
      </w:tr>
      <w:tr w14:paraId="01F7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7" w:type="pct"/>
            <w:vMerge w:val="continue"/>
            <w:noWrap w:val="0"/>
            <w:vAlign w:val="center"/>
          </w:tcPr>
          <w:p w14:paraId="3A698757">
            <w:pPr>
              <w:spacing w:line="360" w:lineRule="auto"/>
              <w:jc w:val="center"/>
              <w:rPr>
                <w:rFonts w:hint="eastAsia" w:ascii="宋体" w:hAnsi="宋体" w:eastAsia="宋体" w:cs="宋体"/>
                <w:sz w:val="22"/>
                <w:szCs w:val="22"/>
                <w:highlight w:val="none"/>
              </w:rPr>
            </w:pPr>
          </w:p>
        </w:tc>
        <w:tc>
          <w:tcPr>
            <w:tcW w:w="851" w:type="pct"/>
            <w:noWrap w:val="0"/>
            <w:vAlign w:val="center"/>
          </w:tcPr>
          <w:p w14:paraId="48C64E23">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台科早3</w:t>
            </w:r>
          </w:p>
        </w:tc>
        <w:tc>
          <w:tcPr>
            <w:tcW w:w="901" w:type="pct"/>
            <w:noWrap w:val="0"/>
            <w:vAlign w:val="center"/>
          </w:tcPr>
          <w:p w14:paraId="6F06F20E">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w:t>
            </w:r>
          </w:p>
        </w:tc>
        <w:tc>
          <w:tcPr>
            <w:tcW w:w="1014" w:type="pct"/>
            <w:vMerge w:val="continue"/>
            <w:noWrap w:val="0"/>
            <w:vAlign w:val="center"/>
          </w:tcPr>
          <w:p w14:paraId="1229CC2E">
            <w:pPr>
              <w:spacing w:line="360" w:lineRule="auto"/>
              <w:jc w:val="center"/>
              <w:rPr>
                <w:rFonts w:hint="eastAsia" w:ascii="宋体" w:hAnsi="宋体" w:eastAsia="宋体" w:cs="宋体"/>
                <w:b w:val="0"/>
                <w:bCs w:val="0"/>
                <w:sz w:val="22"/>
                <w:szCs w:val="22"/>
                <w:highlight w:val="none"/>
              </w:rPr>
            </w:pPr>
          </w:p>
        </w:tc>
        <w:tc>
          <w:tcPr>
            <w:tcW w:w="1514" w:type="pct"/>
            <w:vMerge w:val="continue"/>
            <w:noWrap w:val="0"/>
            <w:vAlign w:val="center"/>
          </w:tcPr>
          <w:p w14:paraId="7C828583">
            <w:pPr>
              <w:spacing w:line="360" w:lineRule="auto"/>
              <w:jc w:val="center"/>
              <w:rPr>
                <w:rFonts w:hint="eastAsia" w:ascii="宋体" w:hAnsi="宋体" w:eastAsia="宋体" w:cs="宋体"/>
                <w:b w:val="0"/>
                <w:bCs w:val="0"/>
                <w:sz w:val="22"/>
                <w:szCs w:val="22"/>
                <w:highlight w:val="none"/>
              </w:rPr>
            </w:pPr>
          </w:p>
        </w:tc>
      </w:tr>
      <w:tr w14:paraId="04C7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17" w:type="pct"/>
            <w:vMerge w:val="continue"/>
            <w:noWrap w:val="0"/>
            <w:vAlign w:val="center"/>
          </w:tcPr>
          <w:p w14:paraId="7CF3E77B">
            <w:pPr>
              <w:spacing w:line="360" w:lineRule="auto"/>
              <w:jc w:val="center"/>
              <w:rPr>
                <w:rFonts w:hint="eastAsia" w:ascii="宋体" w:hAnsi="宋体" w:eastAsia="宋体" w:cs="宋体"/>
                <w:sz w:val="22"/>
                <w:szCs w:val="22"/>
                <w:highlight w:val="none"/>
              </w:rPr>
            </w:pPr>
          </w:p>
        </w:tc>
        <w:tc>
          <w:tcPr>
            <w:tcW w:w="851" w:type="pct"/>
            <w:noWrap w:val="0"/>
            <w:vAlign w:val="center"/>
          </w:tcPr>
          <w:p w14:paraId="2E4283C2">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中早39</w:t>
            </w:r>
          </w:p>
        </w:tc>
        <w:tc>
          <w:tcPr>
            <w:tcW w:w="901" w:type="pct"/>
            <w:noWrap w:val="0"/>
            <w:vAlign w:val="center"/>
          </w:tcPr>
          <w:p w14:paraId="3B930137">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6</w:t>
            </w:r>
          </w:p>
        </w:tc>
        <w:tc>
          <w:tcPr>
            <w:tcW w:w="1014" w:type="pct"/>
            <w:vMerge w:val="continue"/>
            <w:noWrap w:val="0"/>
            <w:vAlign w:val="center"/>
          </w:tcPr>
          <w:p w14:paraId="7F88BFDE">
            <w:pPr>
              <w:spacing w:line="360" w:lineRule="auto"/>
              <w:jc w:val="center"/>
              <w:rPr>
                <w:rFonts w:hint="eastAsia" w:ascii="宋体" w:hAnsi="宋体" w:eastAsia="宋体" w:cs="宋体"/>
                <w:b w:val="0"/>
                <w:bCs w:val="0"/>
                <w:sz w:val="22"/>
                <w:szCs w:val="22"/>
                <w:highlight w:val="none"/>
              </w:rPr>
            </w:pPr>
          </w:p>
        </w:tc>
        <w:tc>
          <w:tcPr>
            <w:tcW w:w="1514" w:type="pct"/>
            <w:vMerge w:val="continue"/>
            <w:noWrap w:val="0"/>
            <w:vAlign w:val="center"/>
          </w:tcPr>
          <w:p w14:paraId="10A4BBD6">
            <w:pPr>
              <w:spacing w:line="360" w:lineRule="auto"/>
              <w:jc w:val="center"/>
              <w:rPr>
                <w:rFonts w:hint="eastAsia" w:ascii="宋体" w:hAnsi="宋体" w:eastAsia="宋体" w:cs="宋体"/>
                <w:b w:val="0"/>
                <w:bCs w:val="0"/>
                <w:sz w:val="22"/>
                <w:szCs w:val="22"/>
                <w:highlight w:val="none"/>
              </w:rPr>
            </w:pPr>
          </w:p>
        </w:tc>
      </w:tr>
    </w:tbl>
    <w:p w14:paraId="1C06EE71">
      <w:pPr>
        <w:adjustRightInd w:val="0"/>
        <w:snapToGrid w:val="0"/>
        <w:spacing w:line="360" w:lineRule="auto"/>
        <w:ind w:firstLine="431" w:firstLineChars="196"/>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注：各投标人须综合考虑就近设点供应。</w:t>
      </w:r>
    </w:p>
    <w:p w14:paraId="59F16E1D">
      <w:pPr>
        <w:autoSpaceDE w:val="0"/>
        <w:autoSpaceDN w:val="0"/>
        <w:adjustRightInd w:val="0"/>
        <w:spacing w:line="360" w:lineRule="auto"/>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2、相关法规、管理条例与技术资信标准、行业规范</w:t>
      </w:r>
    </w:p>
    <w:p w14:paraId="79513AC3">
      <w:pPr>
        <w:autoSpaceDE w:val="0"/>
        <w:autoSpaceDN w:val="0"/>
        <w:adjustRightInd w:val="0"/>
        <w:spacing w:line="360" w:lineRule="auto"/>
        <w:ind w:firstLine="45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1）有关种子法律、法规；</w:t>
      </w:r>
    </w:p>
    <w:p w14:paraId="236949E6">
      <w:pPr>
        <w:autoSpaceDE w:val="0"/>
        <w:autoSpaceDN w:val="0"/>
        <w:adjustRightInd w:val="0"/>
        <w:spacing w:line="360" w:lineRule="auto"/>
        <w:ind w:firstLine="45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2）国家规定的农作物种子方面的标准和生产与加工储藏等技术规范，有新标准按新标准执行；</w:t>
      </w:r>
    </w:p>
    <w:p w14:paraId="75555700">
      <w:pPr>
        <w:autoSpaceDE w:val="0"/>
        <w:autoSpaceDN w:val="0"/>
        <w:adjustRightInd w:val="0"/>
        <w:spacing w:line="360" w:lineRule="auto"/>
        <w:ind w:firstLine="45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3）种子行业标准及规范，有新标准按新标准执行；</w:t>
      </w:r>
    </w:p>
    <w:p w14:paraId="09263827">
      <w:pPr>
        <w:autoSpaceDE w:val="0"/>
        <w:autoSpaceDN w:val="0"/>
        <w:adjustRightInd w:val="0"/>
        <w:spacing w:line="360" w:lineRule="auto"/>
        <w:ind w:firstLine="45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4）其他相关标准。</w:t>
      </w:r>
      <w:bookmarkStart w:id="4" w:name="_Toc229639337"/>
      <w:bookmarkStart w:id="5" w:name="_Toc82338236"/>
      <w:bookmarkStart w:id="6" w:name="_Toc82873319"/>
    </w:p>
    <w:p w14:paraId="41494EA3">
      <w:pPr>
        <w:autoSpaceDE w:val="0"/>
        <w:autoSpaceDN w:val="0"/>
        <w:adjustRightInd w:val="0"/>
        <w:spacing w:line="360" w:lineRule="auto"/>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3、通用技术要求</w:t>
      </w:r>
      <w:bookmarkEnd w:id="4"/>
      <w:bookmarkEnd w:id="5"/>
      <w:bookmarkEnd w:id="6"/>
    </w:p>
    <w:p w14:paraId="138B869D">
      <w:pPr>
        <w:autoSpaceDE w:val="0"/>
        <w:autoSpaceDN w:val="0"/>
        <w:adjustRightInd w:val="0"/>
        <w:spacing w:line="360" w:lineRule="auto"/>
        <w:ind w:firstLine="450"/>
        <w:textAlignment w:val="bottom"/>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u w:val="single"/>
        </w:rPr>
        <w:t>▲种子质量必须符合国家二级及以上标准。</w:t>
      </w:r>
      <w:bookmarkStart w:id="7" w:name="_Toc229639338"/>
    </w:p>
    <w:p w14:paraId="39AD99FF">
      <w:pPr>
        <w:autoSpaceDE w:val="0"/>
        <w:autoSpaceDN w:val="0"/>
        <w:adjustRightInd w:val="0"/>
        <w:spacing w:line="360" w:lineRule="auto"/>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4、种子储备服务要求</w:t>
      </w:r>
      <w:bookmarkEnd w:id="7"/>
    </w:p>
    <w:p w14:paraId="2BBD6EF8">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1）承担农作物种子储备单位应保证甲方在使用储备品种时不受第三方提出侵犯其品种权的指控，一旦出现任何第三方提出侵权指控，乙方必须与第三方交涉，并承担可能发生的一切责任和费用。</w:t>
      </w:r>
    </w:p>
    <w:p w14:paraId="05C43357">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2）承担农作物种子储备单位应按照农作物种子生产技术操作规程要求组织生产质量合格的储备种子，建立种子生产档案。</w:t>
      </w:r>
    </w:p>
    <w:p w14:paraId="1AC0A10E">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农作物种子储备单位按有关规定和要求开展种子检验、生产、加工包装、储藏保管储备种子，在上述全过程中必须由取得相应资格证书的专业技术人员全程参与，并建立专人负责制。所储备的种子符合国家有关种子质量、加工、包装、标签规定的要求。</w:t>
      </w:r>
    </w:p>
    <w:p w14:paraId="15D6FD5A">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4）储备地点要求安排在交通便利、地势较高而不易受灾的地方；建立完善的种子储备设施，满足种子储备的各项要求。建立储备种子保管制度，对储备种子实行专仓储存、专人保管、专帐记载、专案归档。</w:t>
      </w:r>
    </w:p>
    <w:p w14:paraId="50BBC6B4">
      <w:pPr>
        <w:adjustRightInd w:val="0"/>
        <w:snapToGrid w:val="0"/>
        <w:spacing w:line="360" w:lineRule="auto"/>
        <w:ind w:firstLine="442" w:firstLineChars="200"/>
        <w:textAlignment w:val="bottom"/>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5）具体应严格按照《浙江省农作物种子储备管理办法》（浙农专发〔2020〕43号）进行管理，建立各作物储备种子质量保证、调配等管理制度。</w:t>
      </w:r>
    </w:p>
    <w:p w14:paraId="0DD71770">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6）乙方协助储备申请动用单位做好储备种子调运工作，2小时内做出反应，24小时内将种子送达申请单位。</w:t>
      </w:r>
    </w:p>
    <w:p w14:paraId="4FC3BAE7">
      <w:pPr>
        <w:adjustRightInd w:val="0"/>
        <w:snapToGrid w:val="0"/>
        <w:spacing w:line="360" w:lineRule="auto"/>
        <w:ind w:firstLine="440" w:firstLineChars="200"/>
        <w:textAlignment w:val="bottom"/>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7）乙方应单独建立储备种子明细帐簿，载明作物种类、品种名称、储备数量、生产地点、存放地点、动用情况等，并做到帐实相符，随时接受甲方和上级有关部门的检查。</w:t>
      </w:r>
    </w:p>
    <w:p w14:paraId="60717CD9">
      <w:pPr>
        <w:autoSpaceDE w:val="0"/>
        <w:autoSpaceDN w:val="0"/>
        <w:adjustRightInd w:val="0"/>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三、商务条款：</w:t>
      </w:r>
    </w:p>
    <w:p w14:paraId="7EC2906F">
      <w:pPr>
        <w:pStyle w:val="38"/>
        <w:adjustRightInd w:val="0"/>
        <w:spacing w:line="360" w:lineRule="auto"/>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1、质保期</w:t>
      </w:r>
    </w:p>
    <w:p w14:paraId="48D2686C">
      <w:pPr>
        <w:pStyle w:val="38"/>
        <w:adjustRightInd w:val="0"/>
        <w:spacing w:line="360" w:lineRule="auto"/>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1.1质保期自合同签订之日起至储备期满之日止。</w:t>
      </w:r>
    </w:p>
    <w:p w14:paraId="49487AB6">
      <w:pPr>
        <w:pStyle w:val="38"/>
        <w:adjustRightInd w:val="0"/>
        <w:spacing w:line="360" w:lineRule="auto"/>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 本项目所涉种子的储备周期为：</w:t>
      </w:r>
      <w:r>
        <w:rPr>
          <w:rFonts w:hint="eastAsia" w:ascii="宋体" w:hAnsi="宋体" w:eastAsia="宋体" w:cs="宋体"/>
          <w:b w:val="0"/>
          <w:bCs w:val="0"/>
          <w:color w:val="auto"/>
          <w:sz w:val="22"/>
          <w:szCs w:val="22"/>
          <w:highlight w:val="none"/>
          <w:lang w:eastAsia="zh-CN"/>
        </w:rPr>
        <w:t>2025</w:t>
      </w:r>
      <w:r>
        <w:rPr>
          <w:rFonts w:hint="eastAsia" w:ascii="宋体" w:hAnsi="宋体" w:eastAsia="宋体" w:cs="宋体"/>
          <w:b w:val="0"/>
          <w:bCs w:val="0"/>
          <w:color w:val="auto"/>
          <w:sz w:val="22"/>
          <w:szCs w:val="22"/>
          <w:highlight w:val="none"/>
        </w:rPr>
        <w:t>年8月1日至202</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年7月31日。供应商须在</w:t>
      </w:r>
      <w:r>
        <w:rPr>
          <w:rFonts w:hint="eastAsia" w:ascii="宋体" w:hAnsi="宋体" w:eastAsia="宋体" w:cs="宋体"/>
          <w:b w:val="0"/>
          <w:bCs w:val="0"/>
          <w:color w:val="auto"/>
          <w:sz w:val="22"/>
          <w:szCs w:val="22"/>
          <w:highlight w:val="none"/>
          <w:lang w:eastAsia="zh-CN"/>
        </w:rPr>
        <w:t>2025</w:t>
      </w:r>
      <w:r>
        <w:rPr>
          <w:rFonts w:hint="eastAsia" w:ascii="宋体" w:hAnsi="宋体" w:eastAsia="宋体" w:cs="宋体"/>
          <w:b w:val="0"/>
          <w:bCs w:val="0"/>
          <w:color w:val="auto"/>
          <w:sz w:val="22"/>
          <w:szCs w:val="22"/>
          <w:highlight w:val="none"/>
        </w:rPr>
        <w:t>年8月1日之前完成储备种子的入库工作。</w:t>
      </w:r>
    </w:p>
    <w:p w14:paraId="6ED6A837">
      <w:pPr>
        <w:pStyle w:val="38"/>
        <w:adjustRightInd w:val="0"/>
        <w:spacing w:line="360" w:lineRule="auto"/>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 在储备周期内因管理不善或人为因素造成储备种子损失的，其损失由供应商承担。</w:t>
      </w:r>
    </w:p>
    <w:p w14:paraId="72BF6CF1">
      <w:pPr>
        <w:pStyle w:val="38"/>
        <w:adjustRightInd w:val="0"/>
        <w:spacing w:line="360" w:lineRule="auto"/>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2、付款方式： </w:t>
      </w:r>
    </w:p>
    <w:p w14:paraId="5CD091B3">
      <w:pPr>
        <w:adjustRightInd w:val="0"/>
        <w:snapToGrid w:val="0"/>
        <w:spacing w:line="360" w:lineRule="auto"/>
        <w:ind w:firstLine="442" w:firstLineChars="200"/>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▲中标供应商须提交合同总价</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的履约保证金，供应商将所有种子供应齐全入库后由采购人进行验收，在储备种子代储到期后（服务期满后）十五个工作日内支付所有的合同款。承储到期后，储备费用结算应扣除动用部分的种子报废转商损失（按0.7元/市斤计算）。履约保证金在储备周期结束后五个工作日内无息退还。</w:t>
      </w:r>
    </w:p>
    <w:p w14:paraId="781566F3">
      <w:pPr>
        <w:autoSpaceDE w:val="0"/>
        <w:autoSpaceDN w:val="0"/>
        <w:adjustRightInd w:val="0"/>
        <w:spacing w:line="360" w:lineRule="auto"/>
        <w:rPr>
          <w:rFonts w:hint="eastAsia" w:ascii="宋体" w:hAnsi="宋体" w:eastAsia="宋体" w:cs="宋体"/>
          <w:b/>
          <w:bCs/>
          <w:color w:val="auto"/>
          <w:sz w:val="22"/>
          <w:szCs w:val="22"/>
          <w:highlight w:val="none"/>
        </w:rPr>
      </w:pPr>
      <w:bookmarkStart w:id="8" w:name="_Toc157410887"/>
      <w:r>
        <w:rPr>
          <w:rFonts w:hint="eastAsia" w:ascii="宋体" w:hAnsi="宋体" w:eastAsia="宋体" w:cs="宋体"/>
          <w:b/>
          <w:bCs/>
          <w:color w:val="auto"/>
          <w:sz w:val="22"/>
          <w:szCs w:val="22"/>
          <w:highlight w:val="none"/>
        </w:rPr>
        <w:t>四、</w:t>
      </w:r>
      <w:bookmarkEnd w:id="8"/>
      <w:r>
        <w:rPr>
          <w:rFonts w:hint="eastAsia" w:ascii="宋体" w:hAnsi="宋体" w:eastAsia="宋体" w:cs="宋体"/>
          <w:b/>
          <w:bCs/>
          <w:sz w:val="22"/>
          <w:szCs w:val="22"/>
          <w:highlight w:val="none"/>
        </w:rPr>
        <w:t>工作</w:t>
      </w:r>
      <w:r>
        <w:rPr>
          <w:rFonts w:hint="eastAsia" w:ascii="宋体" w:hAnsi="宋体" w:eastAsia="宋体" w:cs="宋体"/>
          <w:b/>
          <w:bCs/>
          <w:color w:val="auto"/>
          <w:sz w:val="22"/>
          <w:szCs w:val="22"/>
          <w:highlight w:val="none"/>
        </w:rPr>
        <w:t>范围</w:t>
      </w:r>
    </w:p>
    <w:p w14:paraId="5AA3AE1C">
      <w:pPr>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根据采购文件，供应商须按国家有关标准及规范完成下列工作：种子的生产、收购、加工精选、包装、仓储与保管、调拨、协助种子调运、种子储备期满后的处理等。</w:t>
      </w:r>
    </w:p>
    <w:p w14:paraId="211811F3">
      <w:pPr>
        <w:snapToGrid w:val="0"/>
        <w:spacing w:line="440" w:lineRule="exact"/>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以上工作</w:t>
      </w:r>
      <w:r>
        <w:rPr>
          <w:rFonts w:hint="eastAsia" w:ascii="宋体" w:hAnsi="宋体" w:eastAsia="宋体" w:cs="宋体"/>
          <w:b w:val="0"/>
          <w:bCs w:val="0"/>
          <w:color w:val="auto"/>
          <w:sz w:val="22"/>
          <w:szCs w:val="22"/>
          <w:highlight w:val="none"/>
        </w:rPr>
        <w:t>内容</w:t>
      </w:r>
      <w:r>
        <w:rPr>
          <w:rFonts w:hint="eastAsia" w:ascii="宋体" w:hAnsi="宋体" w:eastAsia="宋体" w:cs="宋体"/>
          <w:b w:val="0"/>
          <w:bCs w:val="0"/>
          <w:sz w:val="22"/>
          <w:szCs w:val="22"/>
          <w:highlight w:val="none"/>
        </w:rPr>
        <w:t>的费用均包含在报价总价中。</w:t>
      </w:r>
    </w:p>
    <w:p w14:paraId="717B052F">
      <w:pPr>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bookmarkEnd w:id="3"/>
    </w:p>
    <w:p w14:paraId="772CE5C6">
      <w:pPr>
        <w:rPr>
          <w:rFonts w:ascii="宋体" w:eastAsia="宋体"/>
          <w:color w:val="auto"/>
          <w:highlight w:val="none"/>
        </w:rPr>
      </w:pPr>
      <w:bookmarkStart w:id="9" w:name="_Toc2103"/>
      <w:r>
        <w:rPr>
          <w:rFonts w:hint="eastAsia" w:ascii="宋体" w:eastAsia="宋体"/>
          <w:color w:val="auto"/>
          <w:highlight w:val="none"/>
        </w:rPr>
        <w:br w:type="page"/>
      </w:r>
    </w:p>
    <w:p w14:paraId="043CDEE6">
      <w:pPr>
        <w:pStyle w:val="8"/>
        <w:rPr>
          <w:rFonts w:ascii="宋体" w:hAnsi="宋体" w:cs="宋体"/>
          <w:color w:val="auto"/>
          <w:highlight w:val="none"/>
        </w:rPr>
      </w:pPr>
      <w:r>
        <w:rPr>
          <w:rFonts w:hint="eastAsia" w:ascii="宋体" w:hAnsi="宋体" w:cs="宋体"/>
          <w:color w:val="auto"/>
          <w:highlight w:val="none"/>
        </w:rPr>
        <w:t>第三部分 投标供应商须知</w:t>
      </w:r>
      <w:bookmarkEnd w:id="9"/>
    </w:p>
    <w:p w14:paraId="1B64F740">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一、说明</w:t>
      </w:r>
    </w:p>
    <w:p w14:paraId="1D2BD5C7">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1、本次采购工作是按照《中华人民共和国政府采购法》、《政府采购竞争性磋商采购方式管理暂行办法》及相关法律规章组织和实施。</w:t>
      </w:r>
    </w:p>
    <w:p w14:paraId="121CFB20">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2、无论采购过程中的作法和结果如何，投标供应商自行承担采购活动中所发生的全部费用。</w:t>
      </w:r>
    </w:p>
    <w:p w14:paraId="39081190">
      <w:pPr>
        <w:adjustRightInd w:val="0"/>
        <w:spacing w:line="360" w:lineRule="auto"/>
        <w:ind w:firstLine="431" w:firstLineChars="196"/>
        <w:rPr>
          <w:rFonts w:ascii="宋体" w:eastAsia="宋体"/>
          <w:color w:val="auto"/>
          <w:sz w:val="22"/>
          <w:szCs w:val="22"/>
          <w:highlight w:val="none"/>
          <w:u w:val="single"/>
        </w:rPr>
      </w:pPr>
      <w:r>
        <w:rPr>
          <w:rFonts w:hint="eastAsia" w:ascii="宋体" w:eastAsia="宋体"/>
          <w:b w:val="0"/>
          <w:color w:val="auto"/>
          <w:sz w:val="22"/>
          <w:szCs w:val="22"/>
          <w:highlight w:val="none"/>
        </w:rPr>
        <w:t>3、</w:t>
      </w:r>
      <w:r>
        <w:rPr>
          <w:rFonts w:hint="eastAsia" w:ascii="宋体" w:eastAsia="宋体"/>
          <w:color w:val="auto"/>
          <w:sz w:val="22"/>
          <w:szCs w:val="22"/>
          <w:highlight w:val="none"/>
          <w:u w:val="single"/>
        </w:rPr>
        <w:t>投标供应商必须对全部服务内容进行投标。</w:t>
      </w:r>
    </w:p>
    <w:p w14:paraId="234EDD40">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u w:val="single"/>
        </w:rPr>
        <w:t>本项目采用竞争性磋商采购方式进行采购，在磋商过程中，磋商小组可以根据磋商文件和磋商情况实质性变动服务要求以及合同草案条款，但不得变动磋商文件中的其他内容。已提交磋商响应文件的投标供应商，在提交最后报价之前，可以根据磋商情况退出磋商。</w:t>
      </w:r>
    </w:p>
    <w:p w14:paraId="13C0531E">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5、投标供应商领取磋商文件后如不前来投标，需在开标前三日书面通知采购代理机构，以便于本项目后续工作开展。</w:t>
      </w:r>
    </w:p>
    <w:p w14:paraId="1F77D69F">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3B85CC93">
      <w:pPr>
        <w:spacing w:line="360" w:lineRule="auto"/>
        <w:ind w:firstLine="440" w:firstLineChars="200"/>
        <w:rPr>
          <w:rFonts w:ascii="宋体" w:eastAsia="宋体"/>
          <w:color w:val="auto"/>
          <w:sz w:val="22"/>
          <w:szCs w:val="22"/>
          <w:highlight w:val="none"/>
        </w:rPr>
      </w:pPr>
      <w:r>
        <w:rPr>
          <w:rFonts w:hint="eastAsia" w:ascii="宋体" w:eastAsia="宋体"/>
          <w:b w:val="0"/>
          <w:bCs w:val="0"/>
          <w:color w:val="auto"/>
          <w:sz w:val="22"/>
          <w:szCs w:val="22"/>
          <w:highlight w:val="none"/>
        </w:rPr>
        <w:t>7、</w:t>
      </w:r>
      <w:r>
        <w:rPr>
          <w:rFonts w:hint="eastAsia" w:ascii="宋体" w:eastAsia="宋体"/>
          <w:color w:val="auto"/>
          <w:sz w:val="22"/>
          <w:szCs w:val="22"/>
          <w:highlight w:val="none"/>
        </w:rPr>
        <w:t>本项目采用在线投标响应方式，执行《浙江省财政厅关于印发浙江省政府采购项目电子交易管理暂行办法的通知》（浙财采监〔2019〕10 号）等相关规定。</w:t>
      </w:r>
    </w:p>
    <w:p w14:paraId="4140821C">
      <w:pPr>
        <w:widowControl/>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rPr>
        <w:t>8、执行节能产品政府强制采购和优先采购政策，执行环境标志产品政府优先采购政策；</w:t>
      </w:r>
    </w:p>
    <w:p w14:paraId="03E9B1E6">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9、各中标供应商可直接在政采云上申请政采贷也可以通过线下申请政采贷活动，永嘉县域内金融机构政采贷服务业务介绍详见采购公告“政采贷融资”，如有需要可直接联系。</w:t>
      </w:r>
    </w:p>
    <w:p w14:paraId="67293774">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采用最低评标价法的采购项目，提供相同品牌产品的不同投标供应商参加同一合同项下投标的，以其中通过资格审查、符合性审查且报价最低的参加评标；报价相同的，采取随机抽取方式确定，其他投标无效。</w:t>
      </w:r>
    </w:p>
    <w:p w14:paraId="760AB736">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DE2B6A4">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非单一产品采购项目， 单项产品投标价格比重占总投标价 50% 及以上的认定为核心产品 （有效投标供应商中一家供应商该产品投标价格占总投标价 50% </w:t>
      </w:r>
      <w:r>
        <w:rPr>
          <w:rFonts w:hint="eastAsia" w:ascii="宋体" w:eastAsia="宋体"/>
          <w:b w:val="0"/>
          <w:bCs w:val="0"/>
          <w:color w:val="auto"/>
          <w:sz w:val="22"/>
          <w:szCs w:val="22"/>
          <w:highlight w:val="none"/>
          <w:lang w:eastAsia="zh-CN"/>
        </w:rPr>
        <w:t>及</w:t>
      </w:r>
      <w:r>
        <w:rPr>
          <w:rFonts w:hint="eastAsia" w:ascii="宋体" w:eastAsia="宋体"/>
          <w:b w:val="0"/>
          <w:bCs w:val="0"/>
          <w:color w:val="auto"/>
          <w:sz w:val="22"/>
          <w:szCs w:val="22"/>
          <w:highlight w:val="none"/>
        </w:rPr>
        <w:t>以上即认定）， 多家投标供应商提供的核心产品品牌相同的，按前两款规定处理。</w:t>
      </w:r>
    </w:p>
    <w:p w14:paraId="07DB379D">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11、若同一标准已颁发新标准，则按最新标准执行。若同一产品同时有几个标准（国际标准、国家标准、行业标准、企业标准等），则按最高层次的标准执行。</w:t>
      </w:r>
    </w:p>
    <w:p w14:paraId="6010C76C">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二、投标供应商资格条件</w:t>
      </w:r>
    </w:p>
    <w:p w14:paraId="45E0FAE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按采购公告要求</w:t>
      </w:r>
    </w:p>
    <w:p w14:paraId="4D3A8D17">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三、竞争性磋商文件</w:t>
      </w:r>
    </w:p>
    <w:p w14:paraId="5ADAA8E3">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1、竞争性磋商文件</w:t>
      </w:r>
    </w:p>
    <w:p w14:paraId="50FD865F">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1.1竞争性磋商文件发放</w:t>
      </w:r>
    </w:p>
    <w:p w14:paraId="64890D73">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采购文件实行“政采云平台”在线获取，不提供采购文件纸质版。</w:t>
      </w:r>
    </w:p>
    <w:p w14:paraId="1A636F7E">
      <w:pPr>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1.2竞争性磋商文件约束力</w:t>
      </w:r>
    </w:p>
    <w:p w14:paraId="01369B20">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投标供应商一旦下载了本竞争性磋商文件并参加投标，即被认为接受了本竞争性磋商文件中所有条款和规定。</w:t>
      </w:r>
    </w:p>
    <w:p w14:paraId="6599255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2、质疑</w:t>
      </w:r>
    </w:p>
    <w:p w14:paraId="1CC04244">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2.1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14:paraId="7F7A4B2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2.2投标供应商提出质疑应当提交质疑函和必要的证明材料，质疑函范本请到“浙江政府采购网下载专区”下载，质疑函内容及签署等相关要求请参看《政府采购质疑和投诉办法》相关规定。</w:t>
      </w:r>
    </w:p>
    <w:p w14:paraId="431C99AA">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2.3提出质疑的投标供应商应当是参与本项目招标活动的投标供应商。投标供应商在法定质疑期内一次性提出针对同一采购程序环节的质疑。</w:t>
      </w:r>
    </w:p>
    <w:p w14:paraId="5E1D76D8">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2.4根据《政府采购质疑和投诉办法》第三十七条的规定，投诉人在全国范围12个月内三次以上投诉查无实据的，由财政部门列入不良行为记录名单。</w:t>
      </w:r>
    </w:p>
    <w:p w14:paraId="020B4F32">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3.投诉</w:t>
      </w:r>
    </w:p>
    <w:p w14:paraId="3165831C">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3.1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3AA733B">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4.采购文件的澄清或修改</w:t>
      </w:r>
    </w:p>
    <w:p w14:paraId="436B0359">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14:paraId="4D7CDD2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4.2澄清或者修改的内容可能影响响应文件编制的，采购人或者采购代理机构应当在投标截止时间至少5日前，以书面形式（在浙江政府采购网上发布公告）通知所有获取采购文件的潜在投标供应商；不足5日的，采购人或者采购代理机构应当顺延提交响应文件的截止时间。</w:t>
      </w:r>
    </w:p>
    <w:p w14:paraId="26D7EFD0">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4.3采购文件如有补充更正均见“政采云”（http://www.zjzfcg.gov.cn）。投标供应商须在开标前一日自行查看是否有补充更正文件，并按补充更正文件要求投标，否则责任自负。</w:t>
      </w:r>
    </w:p>
    <w:p w14:paraId="04C62994">
      <w:pPr>
        <w:autoSpaceDE w:val="0"/>
        <w:autoSpaceDN w:val="0"/>
        <w:adjustRightInd w:val="0"/>
        <w:spacing w:line="360" w:lineRule="auto"/>
        <w:ind w:firstLine="442" w:firstLineChars="200"/>
        <w:rPr>
          <w:rFonts w:ascii="宋体" w:eastAsia="宋体"/>
          <w:bCs w:val="0"/>
          <w:color w:val="auto"/>
          <w:sz w:val="22"/>
          <w:szCs w:val="22"/>
          <w:highlight w:val="none"/>
        </w:rPr>
      </w:pPr>
      <w:r>
        <w:rPr>
          <w:rFonts w:hint="eastAsia" w:ascii="宋体" w:eastAsia="宋体"/>
          <w:bCs w:val="0"/>
          <w:color w:val="auto"/>
          <w:sz w:val="22"/>
          <w:szCs w:val="22"/>
          <w:highlight w:val="none"/>
        </w:rPr>
        <w:t>四、磋商响应文件</w:t>
      </w:r>
    </w:p>
    <w:p w14:paraId="6232335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1、磋商响应文件</w:t>
      </w:r>
    </w:p>
    <w:p w14:paraId="554F203A">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14:paraId="6A00D01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1.2投标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7ABD42AE">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1.3投标供应商应仔细阅读竞争性磋商文件中的所有内容，按照竞争性磋商文件要求，详细编制磋商响应文件，所有文件资料必须是针对本次投标。不按竞争性磋商文件的要求提供的磋商响应文件可能导致被拒绝。</w:t>
      </w:r>
    </w:p>
    <w:p w14:paraId="008C52D5">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2、磋商响应文件的组成</w:t>
      </w:r>
    </w:p>
    <w:p w14:paraId="2AA48077">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磋商响应文件由资格文件、报价文件、商务技术文件三部分组成。</w:t>
      </w:r>
    </w:p>
    <w:p w14:paraId="2A6F06F3">
      <w:pPr>
        <w:autoSpaceDE w:val="0"/>
        <w:autoSpaceDN w:val="0"/>
        <w:adjustRightInd w:val="0"/>
        <w:spacing w:line="450" w:lineRule="atLeast"/>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2.1、资格文件部分组成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731"/>
        <w:gridCol w:w="1068"/>
      </w:tblGrid>
      <w:tr w14:paraId="3E4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tcBorders>
              <w:top w:val="single" w:color="auto" w:sz="4" w:space="0"/>
              <w:left w:val="single" w:color="auto" w:sz="4" w:space="0"/>
              <w:bottom w:val="single" w:color="auto" w:sz="4" w:space="0"/>
              <w:right w:val="single" w:color="auto" w:sz="4" w:space="0"/>
            </w:tcBorders>
            <w:vAlign w:val="center"/>
          </w:tcPr>
          <w:p w14:paraId="79672552">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序号</w:t>
            </w:r>
          </w:p>
        </w:tc>
        <w:tc>
          <w:tcPr>
            <w:tcW w:w="4039" w:type="pct"/>
            <w:tcBorders>
              <w:top w:val="single" w:color="auto" w:sz="4" w:space="0"/>
              <w:left w:val="single" w:color="auto" w:sz="4" w:space="0"/>
              <w:bottom w:val="single" w:color="auto" w:sz="4" w:space="0"/>
              <w:right w:val="single" w:color="auto" w:sz="4" w:space="0"/>
            </w:tcBorders>
          </w:tcPr>
          <w:p w14:paraId="47A72F3D">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u w:val="single"/>
                <w:lang w:val="zh-CN"/>
              </w:rPr>
              <w:t>内容（▲以下资格证明文件必须提供，否则不能通过资格审查的，责任自负</w:t>
            </w:r>
            <w:r>
              <w:rPr>
                <w:rFonts w:hint="eastAsia" w:ascii="宋体" w:eastAsia="宋体"/>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14:paraId="57EF7176">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备注</w:t>
            </w:r>
          </w:p>
        </w:tc>
      </w:tr>
      <w:tr w14:paraId="1731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tcBorders>
              <w:top w:val="single" w:color="auto" w:sz="4" w:space="0"/>
              <w:left w:val="single" w:color="auto" w:sz="4" w:space="0"/>
              <w:bottom w:val="single" w:color="auto" w:sz="4" w:space="0"/>
              <w:right w:val="single" w:color="auto" w:sz="4" w:space="0"/>
            </w:tcBorders>
            <w:vAlign w:val="center"/>
          </w:tcPr>
          <w:p w14:paraId="7D1760D8">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1</w:t>
            </w:r>
          </w:p>
        </w:tc>
        <w:tc>
          <w:tcPr>
            <w:tcW w:w="4039" w:type="pct"/>
            <w:tcBorders>
              <w:top w:val="single" w:color="auto" w:sz="4" w:space="0"/>
              <w:left w:val="single" w:color="auto" w:sz="4" w:space="0"/>
              <w:bottom w:val="single" w:color="auto" w:sz="4" w:space="0"/>
              <w:right w:val="single" w:color="auto" w:sz="4" w:space="0"/>
            </w:tcBorders>
          </w:tcPr>
          <w:p w14:paraId="16668DB8">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资格条件承诺函</w:t>
            </w:r>
          </w:p>
        </w:tc>
        <w:tc>
          <w:tcPr>
            <w:tcW w:w="558" w:type="pct"/>
            <w:tcBorders>
              <w:top w:val="single" w:color="auto" w:sz="4" w:space="0"/>
              <w:left w:val="single" w:color="auto" w:sz="4" w:space="0"/>
              <w:bottom w:val="single" w:color="auto" w:sz="4" w:space="0"/>
              <w:right w:val="single" w:color="auto" w:sz="4" w:space="0"/>
            </w:tcBorders>
          </w:tcPr>
          <w:p w14:paraId="5EB43B22">
            <w:pPr>
              <w:autoSpaceDE w:val="0"/>
              <w:autoSpaceDN w:val="0"/>
              <w:adjustRightIn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附件一</w:t>
            </w:r>
          </w:p>
        </w:tc>
      </w:tr>
      <w:tr w14:paraId="53D0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tcBorders>
              <w:top w:val="single" w:color="auto" w:sz="4" w:space="0"/>
              <w:left w:val="single" w:color="auto" w:sz="4" w:space="0"/>
              <w:bottom w:val="single" w:color="auto" w:sz="4" w:space="0"/>
              <w:right w:val="single" w:color="auto" w:sz="4" w:space="0"/>
            </w:tcBorders>
            <w:vAlign w:val="center"/>
          </w:tcPr>
          <w:p w14:paraId="24DBD39E">
            <w:pPr>
              <w:tabs>
                <w:tab w:val="left" w:pos="4140"/>
              </w:tabs>
              <w:adjustRightInd w:val="0"/>
              <w:snapToGrid w:val="0"/>
              <w:spacing w:line="32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p>
        </w:tc>
        <w:tc>
          <w:tcPr>
            <w:tcW w:w="4039" w:type="pct"/>
            <w:tcBorders>
              <w:top w:val="single" w:color="auto" w:sz="4" w:space="0"/>
              <w:left w:val="single" w:color="auto" w:sz="4" w:space="0"/>
              <w:bottom w:val="single" w:color="auto" w:sz="4" w:space="0"/>
              <w:right w:val="single" w:color="auto" w:sz="4" w:space="0"/>
            </w:tcBorders>
          </w:tcPr>
          <w:p w14:paraId="01F6BE10">
            <w:pPr>
              <w:tabs>
                <w:tab w:val="left" w:pos="4140"/>
              </w:tabs>
              <w:adjustRightInd w:val="0"/>
              <w:snapToGrid w:val="0"/>
              <w:spacing w:line="320" w:lineRule="atLeast"/>
              <w:rPr>
                <w:rFonts w:hint="eastAsia"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本项目的特定资格要求：符合《浙江省农作物种子储备管理办法》（浙农专发〔2020〕43号）第十四条规定；在浙江省内具有符合种子仓储要求的仓储设施</w:t>
            </w:r>
          </w:p>
        </w:tc>
        <w:tc>
          <w:tcPr>
            <w:tcW w:w="558" w:type="pct"/>
            <w:tcBorders>
              <w:top w:val="single" w:color="auto" w:sz="4" w:space="0"/>
              <w:left w:val="single" w:color="auto" w:sz="4" w:space="0"/>
              <w:bottom w:val="single" w:color="auto" w:sz="4" w:space="0"/>
              <w:right w:val="single" w:color="auto" w:sz="4" w:space="0"/>
            </w:tcBorders>
          </w:tcPr>
          <w:p w14:paraId="00D569A7">
            <w:pPr>
              <w:autoSpaceDE w:val="0"/>
              <w:autoSpaceDN w:val="0"/>
              <w:adjustRightInd w:val="0"/>
              <w:spacing w:line="430" w:lineRule="atLeast"/>
              <w:jc w:val="center"/>
              <w:rPr>
                <w:rFonts w:hint="eastAsia" w:ascii="宋体" w:eastAsia="宋体"/>
                <w:b w:val="0"/>
                <w:bCs w:val="0"/>
                <w:color w:val="auto"/>
                <w:sz w:val="22"/>
                <w:szCs w:val="22"/>
                <w:highlight w:val="none"/>
              </w:rPr>
            </w:pPr>
          </w:p>
        </w:tc>
      </w:tr>
    </w:tbl>
    <w:p w14:paraId="0ECF2C11">
      <w:pPr>
        <w:pStyle w:val="21"/>
        <w:ind w:left="2108"/>
        <w:rPr>
          <w:rFonts w:ascii="宋体" w:eastAsia="宋体"/>
          <w:color w:val="auto"/>
          <w:highlight w:val="none"/>
          <w:lang w:val="zh-CN"/>
        </w:rPr>
      </w:pPr>
    </w:p>
    <w:p w14:paraId="5781DF66">
      <w:pPr>
        <w:autoSpaceDE w:val="0"/>
        <w:autoSpaceDN w:val="0"/>
        <w:adjustRightInd w:val="0"/>
        <w:spacing w:line="450" w:lineRule="atLeast"/>
        <w:ind w:firstLine="442" w:firstLineChars="200"/>
        <w:rPr>
          <w:rFonts w:ascii="宋体" w:eastAsia="宋体"/>
          <w:b w:val="0"/>
          <w:color w:val="auto"/>
          <w:sz w:val="22"/>
          <w:szCs w:val="22"/>
          <w:highlight w:val="none"/>
          <w:u w:val="single"/>
          <w:lang w:val="zh-CN"/>
        </w:rPr>
      </w:pPr>
      <w:r>
        <w:rPr>
          <w:rFonts w:hint="eastAsia" w:ascii="宋体" w:eastAsia="宋体"/>
          <w:color w:val="auto"/>
          <w:sz w:val="22"/>
          <w:szCs w:val="22"/>
          <w:highlight w:val="none"/>
          <w:u w:val="single"/>
          <w:lang w:val="zh-CN"/>
        </w:rPr>
        <w:t>2.2、报价文件部分组成</w:t>
      </w:r>
    </w:p>
    <w:tbl>
      <w:tblPr>
        <w:tblStyle w:val="4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868"/>
        <w:gridCol w:w="1053"/>
      </w:tblGrid>
      <w:tr w14:paraId="01D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1F77465">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序号</w:t>
            </w:r>
          </w:p>
        </w:tc>
        <w:tc>
          <w:tcPr>
            <w:tcW w:w="4116" w:type="pct"/>
            <w:vAlign w:val="center"/>
          </w:tcPr>
          <w:p w14:paraId="54CAB627">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内容（▲</w:t>
            </w:r>
            <w:r>
              <w:rPr>
                <w:rFonts w:hint="eastAsia" w:ascii="宋体" w:eastAsia="宋体"/>
                <w:color w:val="auto"/>
                <w:sz w:val="22"/>
                <w:szCs w:val="22"/>
                <w:highlight w:val="none"/>
                <w:u w:val="single"/>
                <w:lang w:val="zh-CN"/>
              </w:rPr>
              <w:t>序号1-2项供应商必须提供，否则不能通过符合性审查的，责任自负</w:t>
            </w:r>
            <w:r>
              <w:rPr>
                <w:rFonts w:hint="eastAsia" w:ascii="宋体" w:eastAsia="宋体"/>
                <w:color w:val="auto"/>
                <w:sz w:val="22"/>
                <w:szCs w:val="22"/>
                <w:highlight w:val="none"/>
                <w:lang w:val="zh-CN"/>
              </w:rPr>
              <w:t>）</w:t>
            </w:r>
          </w:p>
        </w:tc>
        <w:tc>
          <w:tcPr>
            <w:tcW w:w="551" w:type="pct"/>
            <w:vAlign w:val="center"/>
          </w:tcPr>
          <w:p w14:paraId="79686FE8">
            <w:pPr>
              <w:autoSpaceDE w:val="0"/>
              <w:autoSpaceDN w:val="0"/>
              <w:adjustRightInd w:val="0"/>
              <w:snapToGrid w:val="0"/>
              <w:spacing w:line="430" w:lineRule="atLeast"/>
              <w:jc w:val="center"/>
              <w:rPr>
                <w:rFonts w:ascii="宋体" w:eastAsia="宋体"/>
                <w:color w:val="auto"/>
                <w:sz w:val="22"/>
                <w:szCs w:val="22"/>
                <w:highlight w:val="none"/>
              </w:rPr>
            </w:pPr>
            <w:r>
              <w:rPr>
                <w:rFonts w:hint="eastAsia" w:ascii="宋体" w:eastAsia="宋体"/>
                <w:color w:val="auto"/>
                <w:sz w:val="22"/>
                <w:szCs w:val="22"/>
                <w:highlight w:val="none"/>
              </w:rPr>
              <w:t>备注</w:t>
            </w:r>
          </w:p>
        </w:tc>
      </w:tr>
      <w:tr w14:paraId="722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6BFBDE0">
            <w:pPr>
              <w:autoSpaceDE w:val="0"/>
              <w:autoSpaceDN w:val="0"/>
              <w:adjustRightInd w:val="0"/>
              <w:snapToGrid w:val="0"/>
              <w:spacing w:line="430" w:lineRule="atLeast"/>
              <w:jc w:val="center"/>
              <w:rPr>
                <w:rFonts w:ascii="宋体" w:eastAsia="宋体"/>
                <w:b w:val="0"/>
                <w:bCs w:val="0"/>
                <w:color w:val="auto"/>
                <w:sz w:val="22"/>
                <w:highlight w:val="none"/>
                <w:lang w:val="zh-CN"/>
              </w:rPr>
            </w:pPr>
            <w:r>
              <w:rPr>
                <w:rFonts w:hint="eastAsia" w:ascii="宋体" w:eastAsia="宋体"/>
                <w:b w:val="0"/>
                <w:color w:val="auto"/>
                <w:sz w:val="22"/>
                <w:szCs w:val="22"/>
                <w:highlight w:val="none"/>
                <w:lang w:val="zh-CN"/>
              </w:rPr>
              <w:t>1</w:t>
            </w:r>
          </w:p>
        </w:tc>
        <w:tc>
          <w:tcPr>
            <w:tcW w:w="4116" w:type="pct"/>
          </w:tcPr>
          <w:p w14:paraId="6D637483">
            <w:pPr>
              <w:autoSpaceDE w:val="0"/>
              <w:autoSpaceDN w:val="0"/>
              <w:adjustRightInd w:val="0"/>
              <w:spacing w:line="430" w:lineRule="atLeast"/>
              <w:textAlignment w:val="bottom"/>
              <w:rPr>
                <w:rFonts w:ascii="宋体" w:eastAsia="宋体"/>
                <w:b w:val="0"/>
                <w:bCs w:val="0"/>
                <w:color w:val="auto"/>
                <w:sz w:val="22"/>
                <w:highlight w:val="none"/>
              </w:rPr>
            </w:pPr>
            <w:r>
              <w:rPr>
                <w:rFonts w:hint="eastAsia" w:ascii="宋体" w:eastAsia="宋体"/>
                <w:b w:val="0"/>
                <w:color w:val="auto"/>
                <w:sz w:val="22"/>
                <w:szCs w:val="22"/>
                <w:highlight w:val="none"/>
              </w:rPr>
              <w:t>报价一览表</w:t>
            </w:r>
          </w:p>
        </w:tc>
        <w:tc>
          <w:tcPr>
            <w:tcW w:w="551" w:type="pct"/>
          </w:tcPr>
          <w:p w14:paraId="00AF849C">
            <w:pPr>
              <w:tabs>
                <w:tab w:val="left" w:pos="4140"/>
              </w:tabs>
              <w:adjustRightInd w:val="0"/>
              <w:snapToGrid w:val="0"/>
              <w:spacing w:line="32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附件二</w:t>
            </w:r>
          </w:p>
        </w:tc>
      </w:tr>
      <w:tr w14:paraId="091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26F1F9C">
            <w:pPr>
              <w:autoSpaceDE w:val="0"/>
              <w:autoSpaceDN w:val="0"/>
              <w:adjustRightInd w:val="0"/>
              <w:snapToGrid w:val="0"/>
              <w:spacing w:line="430" w:lineRule="atLeast"/>
              <w:jc w:val="center"/>
              <w:rPr>
                <w:rFonts w:ascii="宋体" w:eastAsia="宋体"/>
                <w:b w:val="0"/>
                <w:bCs w:val="0"/>
                <w:color w:val="auto"/>
                <w:sz w:val="22"/>
                <w:highlight w:val="none"/>
                <w:lang w:val="zh-CN"/>
              </w:rPr>
            </w:pPr>
            <w:r>
              <w:rPr>
                <w:rFonts w:hint="eastAsia" w:ascii="宋体" w:eastAsia="宋体"/>
                <w:b w:val="0"/>
                <w:color w:val="auto"/>
                <w:sz w:val="22"/>
                <w:szCs w:val="22"/>
                <w:highlight w:val="none"/>
                <w:lang w:val="zh-CN"/>
              </w:rPr>
              <w:t>2</w:t>
            </w:r>
          </w:p>
        </w:tc>
        <w:tc>
          <w:tcPr>
            <w:tcW w:w="4116" w:type="pct"/>
          </w:tcPr>
          <w:p w14:paraId="33C919B6">
            <w:pPr>
              <w:autoSpaceDE w:val="0"/>
              <w:autoSpaceDN w:val="0"/>
              <w:adjustRightInd w:val="0"/>
              <w:spacing w:line="500" w:lineRule="atLeast"/>
              <w:rPr>
                <w:rFonts w:ascii="宋体" w:eastAsia="宋体"/>
                <w:b w:val="0"/>
                <w:bCs w:val="0"/>
                <w:color w:val="auto"/>
                <w:sz w:val="22"/>
                <w:highlight w:val="none"/>
                <w:lang w:val="zh-CN"/>
              </w:rPr>
            </w:pPr>
            <w:r>
              <w:rPr>
                <w:rFonts w:hint="eastAsia" w:ascii="宋体" w:eastAsia="宋体"/>
                <w:b w:val="0"/>
                <w:color w:val="auto"/>
                <w:sz w:val="22"/>
                <w:szCs w:val="22"/>
                <w:highlight w:val="none"/>
              </w:rPr>
              <w:t>分项报价明细表</w:t>
            </w:r>
          </w:p>
        </w:tc>
        <w:tc>
          <w:tcPr>
            <w:tcW w:w="551" w:type="pct"/>
          </w:tcPr>
          <w:p w14:paraId="2B050FD8">
            <w:pPr>
              <w:tabs>
                <w:tab w:val="left" w:pos="4140"/>
              </w:tabs>
              <w:adjustRightInd w:val="0"/>
              <w:snapToGrid w:val="0"/>
              <w:spacing w:line="32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附件三</w:t>
            </w:r>
          </w:p>
        </w:tc>
      </w:tr>
      <w:tr w14:paraId="7BB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E395B01">
            <w:pPr>
              <w:autoSpaceDE w:val="0"/>
              <w:autoSpaceDN w:val="0"/>
              <w:adjustRightInd w:val="0"/>
              <w:snapToGrid w:val="0"/>
              <w:spacing w:line="430" w:lineRule="atLeast"/>
              <w:jc w:val="center"/>
              <w:rPr>
                <w:rFonts w:ascii="宋体" w:eastAsia="宋体"/>
                <w:b w:val="0"/>
                <w:color w:val="auto"/>
                <w:sz w:val="22"/>
                <w:szCs w:val="22"/>
                <w:highlight w:val="none"/>
              </w:rPr>
            </w:pPr>
            <w:bookmarkStart w:id="10" w:name="_Toc132122113"/>
            <w:bookmarkStart w:id="11" w:name="_Toc132122410"/>
            <w:r>
              <w:rPr>
                <w:rFonts w:hint="eastAsia" w:ascii="宋体" w:eastAsia="宋体"/>
                <w:b w:val="0"/>
                <w:color w:val="auto"/>
                <w:sz w:val="22"/>
                <w:szCs w:val="22"/>
                <w:highlight w:val="none"/>
              </w:rPr>
              <w:t>3</w:t>
            </w:r>
          </w:p>
        </w:tc>
        <w:tc>
          <w:tcPr>
            <w:tcW w:w="4116" w:type="pct"/>
          </w:tcPr>
          <w:p w14:paraId="219D482C">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享受小微企业（含监狱企业、残疾人福利性单位）价格折扣须按供应商单位性质提供以下相关的证明材料：</w:t>
            </w:r>
          </w:p>
          <w:p w14:paraId="13C1DF10">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（1）《中小企业声明函》（原件，加盖供应商公章，格式见招标文件第四部分）</w:t>
            </w:r>
          </w:p>
          <w:p w14:paraId="7A2450BE">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45272A4E">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551" w:type="pct"/>
          </w:tcPr>
          <w:p w14:paraId="444E0ECA">
            <w:pPr>
              <w:tabs>
                <w:tab w:val="left" w:pos="4140"/>
              </w:tabs>
              <w:adjustRightInd w:val="0"/>
              <w:snapToGrid w:val="0"/>
              <w:spacing w:line="320" w:lineRule="atLeast"/>
              <w:jc w:val="center"/>
              <w:rPr>
                <w:rFonts w:ascii="宋体" w:eastAsia="宋体"/>
                <w:b w:val="0"/>
                <w:bCs w:val="0"/>
                <w:color w:val="auto"/>
                <w:sz w:val="22"/>
                <w:szCs w:val="22"/>
                <w:highlight w:val="none"/>
              </w:rPr>
            </w:pPr>
          </w:p>
        </w:tc>
      </w:tr>
    </w:tbl>
    <w:p w14:paraId="621635A3">
      <w:pPr>
        <w:autoSpaceDE w:val="0"/>
        <w:autoSpaceDN w:val="0"/>
        <w:adjustRightInd w:val="0"/>
        <w:spacing w:line="450" w:lineRule="atLeast"/>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2.3、商务技术文件部分组成</w:t>
      </w:r>
    </w:p>
    <w:bookmarkEnd w:id="10"/>
    <w:bookmarkEnd w:id="11"/>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842"/>
        <w:gridCol w:w="1066"/>
      </w:tblGrid>
      <w:tr w14:paraId="54B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366CB713">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序号</w:t>
            </w:r>
          </w:p>
        </w:tc>
        <w:tc>
          <w:tcPr>
            <w:tcW w:w="4100" w:type="pct"/>
          </w:tcPr>
          <w:p w14:paraId="7259AAA2">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内容</w:t>
            </w:r>
          </w:p>
        </w:tc>
        <w:tc>
          <w:tcPr>
            <w:tcW w:w="557" w:type="pct"/>
          </w:tcPr>
          <w:p w14:paraId="38BE73FE">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备注</w:t>
            </w:r>
          </w:p>
        </w:tc>
      </w:tr>
      <w:tr w14:paraId="345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pct"/>
            <w:gridSpan w:val="2"/>
          </w:tcPr>
          <w:p w14:paraId="141440B2">
            <w:pPr>
              <w:autoSpaceDE w:val="0"/>
              <w:autoSpaceDN w:val="0"/>
              <w:adjustRightInd w:val="0"/>
              <w:snapToGrid w:val="0"/>
              <w:spacing w:line="430" w:lineRule="atLeas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资信部分（▲</w:t>
            </w:r>
            <w:r>
              <w:rPr>
                <w:rFonts w:hint="eastAsia" w:ascii="宋体" w:eastAsia="宋体"/>
                <w:b w:val="0"/>
                <w:bCs w:val="0"/>
                <w:color w:val="auto"/>
                <w:sz w:val="22"/>
                <w:szCs w:val="22"/>
                <w:highlight w:val="none"/>
                <w:u w:val="single"/>
                <w:lang w:val="zh-CN"/>
              </w:rPr>
              <w:t>序号1-</w:t>
            </w:r>
            <w:r>
              <w:rPr>
                <w:rFonts w:hint="eastAsia" w:ascii="宋体" w:eastAsia="宋体"/>
                <w:b w:val="0"/>
                <w:bCs w:val="0"/>
                <w:color w:val="auto"/>
                <w:sz w:val="22"/>
                <w:szCs w:val="22"/>
                <w:highlight w:val="none"/>
                <w:u w:val="single"/>
              </w:rPr>
              <w:t>2、8</w:t>
            </w:r>
            <w:r>
              <w:rPr>
                <w:rFonts w:hint="eastAsia" w:ascii="宋体" w:eastAsia="宋体"/>
                <w:b w:val="0"/>
                <w:bCs w:val="0"/>
                <w:color w:val="auto"/>
                <w:sz w:val="22"/>
                <w:szCs w:val="22"/>
                <w:highlight w:val="none"/>
                <w:u w:val="single"/>
                <w:lang w:val="zh-CN"/>
              </w:rPr>
              <w:t>项供应商必须提供，否则不能通过符合性审查的，责任自负。</w:t>
            </w:r>
            <w:r>
              <w:rPr>
                <w:rFonts w:hint="eastAsia" w:ascii="宋体" w:eastAsia="宋体"/>
                <w:b w:val="0"/>
                <w:bCs w:val="0"/>
                <w:color w:val="auto"/>
                <w:sz w:val="22"/>
                <w:szCs w:val="22"/>
                <w:highlight w:val="none"/>
                <w:lang w:val="zh-CN"/>
              </w:rPr>
              <w:t>）</w:t>
            </w:r>
          </w:p>
        </w:tc>
        <w:tc>
          <w:tcPr>
            <w:tcW w:w="557" w:type="pct"/>
          </w:tcPr>
          <w:p w14:paraId="28B817FF">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p>
        </w:tc>
      </w:tr>
      <w:tr w14:paraId="3357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tcPr>
          <w:p w14:paraId="536A9C95">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4100" w:type="pct"/>
          </w:tcPr>
          <w:p w14:paraId="7CDB7827">
            <w:pPr>
              <w:autoSpaceDE w:val="0"/>
              <w:autoSpaceDN w:val="0"/>
              <w:adjustRightInd w:val="0"/>
              <w:snapToGrid w:val="0"/>
              <w:spacing w:line="430" w:lineRule="atLeas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磋商函</w:t>
            </w:r>
          </w:p>
        </w:tc>
        <w:tc>
          <w:tcPr>
            <w:tcW w:w="557" w:type="pct"/>
          </w:tcPr>
          <w:p w14:paraId="70859673">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附件四</w:t>
            </w:r>
          </w:p>
        </w:tc>
      </w:tr>
      <w:tr w14:paraId="4F7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53682EE8">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p>
        </w:tc>
        <w:tc>
          <w:tcPr>
            <w:tcW w:w="4100" w:type="pct"/>
          </w:tcPr>
          <w:p w14:paraId="2819E5EF">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法定代表人诚信投标承诺书</w:t>
            </w:r>
          </w:p>
        </w:tc>
        <w:tc>
          <w:tcPr>
            <w:tcW w:w="557" w:type="pct"/>
          </w:tcPr>
          <w:p w14:paraId="76C7F4A9">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附件五</w:t>
            </w:r>
          </w:p>
        </w:tc>
      </w:tr>
      <w:tr w14:paraId="26D4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74A12C04">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3</w:t>
            </w:r>
          </w:p>
        </w:tc>
        <w:tc>
          <w:tcPr>
            <w:tcW w:w="4100" w:type="pct"/>
            <w:shd w:val="clear" w:color="auto" w:fill="auto"/>
          </w:tcPr>
          <w:p w14:paraId="690C96F4">
            <w:pPr>
              <w:autoSpaceDE w:val="0"/>
              <w:autoSpaceDN w:val="0"/>
              <w:adjustRightInd w:val="0"/>
              <w:snapToGrid w:val="0"/>
              <w:spacing w:line="430" w:lineRule="atLeast"/>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供应商法定代表人授权书（如果投标供应商代表是法定代表人的，仅需提供身份证扫描件；如果投标供应商代表不是法定代表人，须持有《法定代表人授权书》</w:t>
            </w:r>
          </w:p>
        </w:tc>
        <w:tc>
          <w:tcPr>
            <w:tcW w:w="557" w:type="pct"/>
          </w:tcPr>
          <w:p w14:paraId="5BBC30DF">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附件六</w:t>
            </w:r>
          </w:p>
        </w:tc>
      </w:tr>
      <w:tr w14:paraId="0D8B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59412F78">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4</w:t>
            </w:r>
          </w:p>
        </w:tc>
        <w:tc>
          <w:tcPr>
            <w:tcW w:w="4100" w:type="pct"/>
            <w:shd w:val="clear" w:color="auto" w:fill="auto"/>
          </w:tcPr>
          <w:p w14:paraId="673DFA60">
            <w:pPr>
              <w:autoSpaceDE w:val="0"/>
              <w:autoSpaceDN w:val="0"/>
              <w:adjustRightInd w:val="0"/>
              <w:snapToGrid w:val="0"/>
              <w:spacing w:line="430" w:lineRule="atLeast"/>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投标供应商的营业执照（或事业法人登记证书或其他工商等登记证明材料）、税务登记证（如为多证合一仅需提供营业执照（或事业法人登记证书或其他工商等登记证明材料），扫描件加盖公章）</w:t>
            </w:r>
          </w:p>
        </w:tc>
        <w:tc>
          <w:tcPr>
            <w:tcW w:w="557" w:type="pct"/>
          </w:tcPr>
          <w:p w14:paraId="39C1C4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152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2BEEB541">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5</w:t>
            </w:r>
          </w:p>
        </w:tc>
        <w:tc>
          <w:tcPr>
            <w:tcW w:w="4100" w:type="pct"/>
          </w:tcPr>
          <w:p w14:paraId="1B425BF3">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供应商相关资质、资信或信用证书、获奖证书等（如有则提供，扫描件加盖有效公章）</w:t>
            </w:r>
          </w:p>
        </w:tc>
        <w:tc>
          <w:tcPr>
            <w:tcW w:w="557" w:type="pct"/>
          </w:tcPr>
          <w:p w14:paraId="0DF049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297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5CF65B74">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w:t>
            </w:r>
          </w:p>
        </w:tc>
        <w:tc>
          <w:tcPr>
            <w:tcW w:w="4100" w:type="pct"/>
          </w:tcPr>
          <w:p w14:paraId="53513D29">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类似业绩（如有，具体以评分细则中的要求为准）</w:t>
            </w:r>
          </w:p>
        </w:tc>
        <w:tc>
          <w:tcPr>
            <w:tcW w:w="557" w:type="pct"/>
          </w:tcPr>
          <w:p w14:paraId="3928DADE">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附件七</w:t>
            </w:r>
          </w:p>
        </w:tc>
      </w:tr>
      <w:tr w14:paraId="4241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281036C2">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w:t>
            </w:r>
          </w:p>
        </w:tc>
        <w:tc>
          <w:tcPr>
            <w:tcW w:w="4100" w:type="pct"/>
            <w:vAlign w:val="center"/>
          </w:tcPr>
          <w:p w14:paraId="33150C7E">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其它需说明的资料（如有则提供）</w:t>
            </w:r>
          </w:p>
        </w:tc>
        <w:tc>
          <w:tcPr>
            <w:tcW w:w="557" w:type="pct"/>
            <w:vAlign w:val="center"/>
          </w:tcPr>
          <w:p w14:paraId="364C22BB">
            <w:pPr>
              <w:tabs>
                <w:tab w:val="left" w:pos="4140"/>
              </w:tabs>
              <w:adjustRightInd w:val="0"/>
              <w:snapToGrid w:val="0"/>
              <w:spacing w:line="320" w:lineRule="atLeast"/>
              <w:jc w:val="center"/>
              <w:rPr>
                <w:rFonts w:ascii="宋体" w:eastAsia="宋体"/>
                <w:b w:val="0"/>
                <w:bCs w:val="0"/>
                <w:color w:val="auto"/>
                <w:sz w:val="22"/>
                <w:szCs w:val="22"/>
                <w:highlight w:val="none"/>
                <w:lang w:val="zh-CN"/>
              </w:rPr>
            </w:pPr>
          </w:p>
        </w:tc>
      </w:tr>
      <w:tr w14:paraId="5FD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pct"/>
            <w:gridSpan w:val="2"/>
          </w:tcPr>
          <w:p w14:paraId="31B01489">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技术部分（如资料提供不齐全，将可能导致不利的评定）</w:t>
            </w:r>
          </w:p>
        </w:tc>
        <w:tc>
          <w:tcPr>
            <w:tcW w:w="557" w:type="pct"/>
          </w:tcPr>
          <w:p w14:paraId="38E6BDD7">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p>
        </w:tc>
      </w:tr>
      <w:tr w14:paraId="053F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7C30FE73">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8</w:t>
            </w:r>
          </w:p>
        </w:tc>
        <w:tc>
          <w:tcPr>
            <w:tcW w:w="4100" w:type="pct"/>
          </w:tcPr>
          <w:p w14:paraId="38C12B7E">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商务、技术偏离表</w:t>
            </w:r>
          </w:p>
        </w:tc>
        <w:tc>
          <w:tcPr>
            <w:tcW w:w="557" w:type="pct"/>
          </w:tcPr>
          <w:p w14:paraId="3CBBA070">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附件八</w:t>
            </w:r>
          </w:p>
        </w:tc>
      </w:tr>
      <w:tr w14:paraId="4811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132C88C2">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9</w:t>
            </w:r>
          </w:p>
        </w:tc>
        <w:tc>
          <w:tcPr>
            <w:tcW w:w="4100" w:type="pct"/>
          </w:tcPr>
          <w:p w14:paraId="6BB277A8">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投标供应商情况介绍</w:t>
            </w:r>
          </w:p>
        </w:tc>
        <w:tc>
          <w:tcPr>
            <w:tcW w:w="557" w:type="pct"/>
          </w:tcPr>
          <w:p w14:paraId="569B2A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6EE9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36B8DA22">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10</w:t>
            </w:r>
          </w:p>
        </w:tc>
        <w:tc>
          <w:tcPr>
            <w:tcW w:w="4100" w:type="pct"/>
          </w:tcPr>
          <w:p w14:paraId="16EBFB61">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对本项目的理解</w:t>
            </w:r>
          </w:p>
        </w:tc>
        <w:tc>
          <w:tcPr>
            <w:tcW w:w="557" w:type="pct"/>
          </w:tcPr>
          <w:p w14:paraId="6233E5EC">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03B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668C059B">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10</w:t>
            </w:r>
          </w:p>
        </w:tc>
        <w:tc>
          <w:tcPr>
            <w:tcW w:w="4100" w:type="pct"/>
          </w:tcPr>
          <w:p w14:paraId="6C7AF52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针对本项目提出详细组织实施方案</w:t>
            </w:r>
          </w:p>
        </w:tc>
        <w:tc>
          <w:tcPr>
            <w:tcW w:w="557" w:type="pct"/>
          </w:tcPr>
          <w:p w14:paraId="6084BCEB">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7806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37485880">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12</w:t>
            </w:r>
          </w:p>
        </w:tc>
        <w:tc>
          <w:tcPr>
            <w:tcW w:w="4100" w:type="pct"/>
          </w:tcPr>
          <w:p w14:paraId="639E1A9A">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技术和服务方案、项目质量控制方案、合理化建议等</w:t>
            </w:r>
          </w:p>
        </w:tc>
        <w:tc>
          <w:tcPr>
            <w:tcW w:w="557" w:type="pct"/>
          </w:tcPr>
          <w:p w14:paraId="1DD826AC">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39E7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46DB5D82">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13</w:t>
            </w:r>
          </w:p>
        </w:tc>
        <w:tc>
          <w:tcPr>
            <w:tcW w:w="4100" w:type="pct"/>
            <w:vAlign w:val="center"/>
          </w:tcPr>
          <w:p w14:paraId="737A5A4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项目服务人员汇总表</w:t>
            </w:r>
          </w:p>
        </w:tc>
        <w:tc>
          <w:tcPr>
            <w:tcW w:w="557" w:type="pct"/>
          </w:tcPr>
          <w:p w14:paraId="1B76DDDF">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附件九</w:t>
            </w:r>
          </w:p>
        </w:tc>
      </w:tr>
      <w:tr w14:paraId="0D7C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13B2F619">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14</w:t>
            </w:r>
          </w:p>
        </w:tc>
        <w:tc>
          <w:tcPr>
            <w:tcW w:w="4100" w:type="pct"/>
            <w:vAlign w:val="center"/>
          </w:tcPr>
          <w:p w14:paraId="445D326A">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本项目设备投入一览表（若有）</w:t>
            </w:r>
          </w:p>
        </w:tc>
        <w:tc>
          <w:tcPr>
            <w:tcW w:w="557" w:type="pct"/>
          </w:tcPr>
          <w:p w14:paraId="4F308E36">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4A8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01A60663">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15</w:t>
            </w:r>
          </w:p>
        </w:tc>
        <w:tc>
          <w:tcPr>
            <w:tcW w:w="4100" w:type="pct"/>
            <w:vAlign w:val="center"/>
          </w:tcPr>
          <w:p w14:paraId="6083487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人员培训计划</w:t>
            </w:r>
          </w:p>
        </w:tc>
        <w:tc>
          <w:tcPr>
            <w:tcW w:w="557" w:type="pct"/>
          </w:tcPr>
          <w:p w14:paraId="385F970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4A7C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14:paraId="7239316E">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16</w:t>
            </w:r>
          </w:p>
        </w:tc>
        <w:tc>
          <w:tcPr>
            <w:tcW w:w="4100" w:type="pct"/>
            <w:vAlign w:val="center"/>
          </w:tcPr>
          <w:p w14:paraId="42F83D84">
            <w:pPr>
              <w:autoSpaceDE w:val="0"/>
              <w:autoSpaceDN w:val="0"/>
              <w:adjustRightInd w:val="0"/>
              <w:snapToGrid w:val="0"/>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 xml:space="preserve">售后服务承诺：技术服务和售后服务的内容、措施、承诺，包括质保期、距采购人最近的服务网点的详细介绍，资质资格、技术力量、成立时间   </w:t>
            </w:r>
          </w:p>
        </w:tc>
        <w:tc>
          <w:tcPr>
            <w:tcW w:w="557" w:type="pct"/>
          </w:tcPr>
          <w:p w14:paraId="56006C01">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3BA0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3C955803">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17</w:t>
            </w:r>
          </w:p>
        </w:tc>
        <w:tc>
          <w:tcPr>
            <w:tcW w:w="4100" w:type="pct"/>
          </w:tcPr>
          <w:p w14:paraId="1C18422A">
            <w:pPr>
              <w:autoSpaceDE w:val="0"/>
              <w:autoSpaceDN w:val="0"/>
              <w:adjustRightInd w:val="0"/>
              <w:snapToGrid w:val="0"/>
              <w:spacing w:line="430" w:lineRule="atLeast"/>
              <w:rPr>
                <w:rFonts w:ascii="宋体" w:eastAsia="宋体"/>
                <w:b w:val="0"/>
                <w:bCs w:val="0"/>
                <w:color w:val="auto"/>
                <w:kern w:val="2"/>
                <w:sz w:val="22"/>
                <w:szCs w:val="22"/>
                <w:highlight w:val="none"/>
                <w:lang w:val="zh-CN"/>
              </w:rPr>
            </w:pPr>
            <w:r>
              <w:rPr>
                <w:rFonts w:hint="eastAsia" w:ascii="宋体" w:eastAsia="宋体"/>
                <w:b w:val="0"/>
                <w:bCs w:val="0"/>
                <w:color w:val="auto"/>
                <w:sz w:val="22"/>
                <w:szCs w:val="22"/>
                <w:highlight w:val="none"/>
              </w:rPr>
              <w:t>根据采购文件中的采购内容与技术要求、评标细则，需要提供的其他文件和资料</w:t>
            </w:r>
          </w:p>
        </w:tc>
        <w:tc>
          <w:tcPr>
            <w:tcW w:w="557" w:type="pct"/>
          </w:tcPr>
          <w:p w14:paraId="369B4A22">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5E2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55DC2C5C">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18</w:t>
            </w:r>
          </w:p>
        </w:tc>
        <w:tc>
          <w:tcPr>
            <w:tcW w:w="4100" w:type="pct"/>
            <w:vAlign w:val="center"/>
          </w:tcPr>
          <w:p w14:paraId="1F81F9E9">
            <w:pPr>
              <w:autoSpaceDE w:val="0"/>
              <w:autoSpaceDN w:val="0"/>
              <w:adjustRightInd w:val="0"/>
              <w:rPr>
                <w:rFonts w:ascii="宋体" w:eastAsia="宋体"/>
                <w:b w:val="0"/>
                <w:bCs w:val="0"/>
                <w:color w:val="auto"/>
                <w:kern w:val="2"/>
                <w:sz w:val="22"/>
                <w:szCs w:val="22"/>
                <w:highlight w:val="none"/>
                <w:lang w:val="zh-CN"/>
              </w:rPr>
            </w:pPr>
            <w:r>
              <w:rPr>
                <w:rFonts w:hint="eastAsia" w:ascii="宋体" w:eastAsia="宋体"/>
                <w:b w:val="0"/>
                <w:bCs w:val="0"/>
                <w:color w:val="auto"/>
                <w:sz w:val="22"/>
                <w:szCs w:val="22"/>
                <w:highlight w:val="none"/>
              </w:rPr>
              <w:t>其它供应商须说明的资料（如有则提供）</w:t>
            </w:r>
          </w:p>
        </w:tc>
        <w:tc>
          <w:tcPr>
            <w:tcW w:w="557" w:type="pct"/>
          </w:tcPr>
          <w:p w14:paraId="1DC176E7">
            <w:pPr>
              <w:autoSpaceDE w:val="0"/>
              <w:autoSpaceDN w:val="0"/>
              <w:adjustRightInd w:val="0"/>
              <w:snapToGrid w:val="0"/>
              <w:spacing w:line="430" w:lineRule="atLeast"/>
              <w:jc w:val="center"/>
              <w:rPr>
                <w:rFonts w:ascii="宋体" w:eastAsia="宋体"/>
                <w:b w:val="0"/>
                <w:bCs w:val="0"/>
                <w:color w:val="auto"/>
                <w:sz w:val="22"/>
                <w:szCs w:val="22"/>
                <w:highlight w:val="none"/>
              </w:rPr>
            </w:pPr>
          </w:p>
        </w:tc>
      </w:tr>
    </w:tbl>
    <w:p w14:paraId="378B4D2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7EDB178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3、响应文件编制</w:t>
      </w:r>
    </w:p>
    <w:p w14:paraId="7944535E">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3.1本项目通过“政采云平台（www.zcygov.cn）”实行在线投标响应（电子投标）。供应商应通过“政采云电子交易客户端”，并按照本采购文件和“政采云平台”的要求编制并加密响应文件。</w:t>
      </w:r>
    </w:p>
    <w:p w14:paraId="52B41E4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3.2投标供应商应当按照本章节 “响应文件组成”规定的内容及顺序在“政采云电子交易客户端”编制响应文件。</w:t>
      </w:r>
    </w:p>
    <w:p w14:paraId="64F41214">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3.3本采购文件“响应文件格式”中有提供格式的，投标供应商须参照格式进行编制（格式中要求提供相关证明材料的还需后附相关证明材料），并按格式要求在指定位置根据要求进行签章，否则视为未提供；本文件“响应文件格式”未提供格式的，请各投标单位自行拟定格式，并加盖单位公章并由法定代表人或其授权代表签署（签字或盖章），否则视为未提供。</w:t>
      </w:r>
    </w:p>
    <w:p w14:paraId="255638F1">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3.4响应文件内容不完整、编排混乱导致响应文件被误读、漏读或者查找不到相关内容的，是投标供应商的责任。</w:t>
      </w:r>
    </w:p>
    <w:p w14:paraId="0C0E0279">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3.5响应文件因字迹潦草或表达不清所引起的后果由投标供应商负责。</w:t>
      </w:r>
    </w:p>
    <w:p w14:paraId="675830D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bCs w:val="0"/>
          <w:color w:val="auto"/>
          <w:sz w:val="22"/>
          <w:szCs w:val="22"/>
          <w:highlight w:val="none"/>
        </w:rPr>
        <w:t>3.6 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14:paraId="506C6A5F">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bookmarkStart w:id="12" w:name="_Toc132122116"/>
      <w:bookmarkStart w:id="13" w:name="_Toc132122413"/>
      <w:r>
        <w:rPr>
          <w:rFonts w:hint="eastAsia" w:ascii="宋体" w:eastAsia="宋体"/>
          <w:b w:val="0"/>
          <w:color w:val="auto"/>
          <w:sz w:val="22"/>
          <w:szCs w:val="22"/>
          <w:highlight w:val="none"/>
        </w:rPr>
        <w:t>4、投标报价</w:t>
      </w:r>
    </w:p>
    <w:p w14:paraId="505DFC4B">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4.1、投标供应商应按磋商文件中《开标一览表》及《分项报价明细表》（如有）填写投标价。</w:t>
      </w:r>
    </w:p>
    <w:p w14:paraId="4C37FED5">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4.2、本次招标最终报价只允许有一个报价，有选择的报价将不予接受。</w:t>
      </w:r>
    </w:p>
    <w:p w14:paraId="62459A05">
      <w:pPr>
        <w:autoSpaceDE w:val="0"/>
        <w:autoSpaceDN w:val="0"/>
        <w:adjustRightInd w:val="0"/>
        <w:snapToGrid w:val="0"/>
        <w:spacing w:line="360" w:lineRule="auto"/>
        <w:ind w:firstLine="422"/>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4.3、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14:paraId="70F0334E">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4.4、投标供应商应考虑自身实力、经验及项目实施过程中的各种因素，根据采购说明，详细说明所能提供的各项具体服务内容，自主确定报价。</w:t>
      </w:r>
    </w:p>
    <w:p w14:paraId="5C9159F5">
      <w:pPr>
        <w:autoSpaceDE w:val="0"/>
        <w:autoSpaceDN w:val="0"/>
        <w:adjustRightInd w:val="0"/>
        <w:spacing w:line="360" w:lineRule="auto"/>
        <w:ind w:firstLine="442" w:firstLineChars="200"/>
        <w:textAlignment w:val="bottom"/>
        <w:rPr>
          <w:rFonts w:ascii="宋体" w:eastAsia="宋体"/>
          <w:b w:val="0"/>
          <w:bCs w:val="0"/>
          <w:color w:val="auto"/>
          <w:sz w:val="22"/>
          <w:szCs w:val="22"/>
          <w:highlight w:val="none"/>
        </w:rPr>
      </w:pPr>
      <w:r>
        <w:rPr>
          <w:rFonts w:hint="eastAsia" w:ascii="宋体" w:eastAsia="宋体"/>
          <w:color w:val="auto"/>
          <w:sz w:val="22"/>
          <w:szCs w:val="22"/>
          <w:highlight w:val="none"/>
        </w:rPr>
        <w:t>4.5、</w:t>
      </w:r>
      <w:r>
        <w:rPr>
          <w:rFonts w:hint="eastAsia" w:ascii="宋体" w:eastAsia="宋体"/>
          <w:b w:val="0"/>
          <w:bCs w:val="0"/>
          <w:color w:val="auto"/>
          <w:sz w:val="22"/>
          <w:szCs w:val="22"/>
          <w:highlight w:val="none"/>
        </w:rPr>
        <w:t>投标报价</w:t>
      </w:r>
      <w:r>
        <w:rPr>
          <w:rFonts w:hint="eastAsia" w:ascii="宋体" w:eastAsia="宋体"/>
          <w:b w:val="0"/>
          <w:bCs w:val="0"/>
          <w:color w:val="auto"/>
          <w:sz w:val="22"/>
          <w:szCs w:val="22"/>
          <w:highlight w:val="none"/>
          <w:lang w:eastAsia="zh-CN"/>
        </w:rPr>
        <w:t>应</w:t>
      </w:r>
      <w:r>
        <w:rPr>
          <w:rFonts w:hint="eastAsia" w:ascii="宋体" w:eastAsia="宋体"/>
          <w:b w:val="0"/>
          <w:bCs w:val="0"/>
          <w:color w:val="auto"/>
          <w:sz w:val="22"/>
          <w:szCs w:val="22"/>
          <w:highlight w:val="none"/>
        </w:rPr>
        <w:t>包含以下费用。</w:t>
      </w:r>
    </w:p>
    <w:p w14:paraId="14EFCC48">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服务价格</w:t>
      </w:r>
    </w:p>
    <w:p w14:paraId="74D43DF1">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关税、增值税等其他税，须将税费及税率单列</w:t>
      </w:r>
    </w:p>
    <w:p w14:paraId="4B939202">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代理服务费</w:t>
      </w:r>
    </w:p>
    <w:p w14:paraId="2519EAB5">
      <w:pPr>
        <w:numPr>
          <w:ilvl w:val="0"/>
          <w:numId w:val="3"/>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其他费用</w:t>
      </w:r>
    </w:p>
    <w:p w14:paraId="2DE9F6B2">
      <w:pPr>
        <w:autoSpaceDE w:val="0"/>
        <w:autoSpaceDN w:val="0"/>
        <w:adjustRightInd w:val="0"/>
        <w:snapToGri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供应商在投标报价中应充分考虑所有可能发生的费用，否则采购人将视投标总价中已包括所有费用。</w:t>
      </w:r>
    </w:p>
    <w:p w14:paraId="5CFBDBD6">
      <w:pPr>
        <w:autoSpaceDE w:val="0"/>
        <w:autoSpaceDN w:val="0"/>
        <w:adjustRightIn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供应商对在合同执行中，除上述费用及竞争性磋商文件规定的由中标供应商负责的工作范围以外需要买方协调或提供便利的工作应当在响应文件中说明。</w:t>
      </w:r>
    </w:p>
    <w:p w14:paraId="3E085CA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5、在任何情况下不限制采购人以其认为最合适的条款签订合同的权利。</w:t>
      </w:r>
    </w:p>
    <w:bookmarkEnd w:id="12"/>
    <w:bookmarkEnd w:id="13"/>
    <w:p w14:paraId="3558870A">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14" w:name="_Toc132122117"/>
      <w:bookmarkStart w:id="15" w:name="_Toc132122414"/>
      <w:r>
        <w:rPr>
          <w:rFonts w:hint="eastAsia" w:ascii="宋体" w:eastAsia="宋体"/>
          <w:b w:val="0"/>
          <w:bCs w:val="0"/>
          <w:color w:val="auto"/>
          <w:sz w:val="22"/>
          <w:szCs w:val="22"/>
          <w:highlight w:val="none"/>
        </w:rPr>
        <w:t>6、磋商响应文件的有效期</w:t>
      </w:r>
      <w:bookmarkEnd w:id="14"/>
      <w:bookmarkEnd w:id="15"/>
    </w:p>
    <w:p w14:paraId="63AB667C">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16" w:name="_Toc132123547"/>
      <w:bookmarkStart w:id="17" w:name="_Toc132122416"/>
      <w:bookmarkStart w:id="18" w:name="_Toc132655776"/>
      <w:bookmarkStart w:id="19" w:name="_Toc132125151"/>
      <w:bookmarkStart w:id="20" w:name="_Toc132125037"/>
      <w:bookmarkStart w:id="21" w:name="_Toc132125983"/>
      <w:bookmarkStart w:id="22" w:name="_Toc132126154"/>
      <w:bookmarkStart w:id="23" w:name="_Toc132125095"/>
      <w:bookmarkStart w:id="24" w:name="_Toc132123634"/>
      <w:bookmarkStart w:id="25" w:name="_Toc132123838"/>
      <w:bookmarkStart w:id="26" w:name="_Toc132123439"/>
      <w:bookmarkStart w:id="27" w:name="_Toc132122119"/>
      <w:bookmarkStart w:id="28" w:name="_Toc132123881"/>
      <w:bookmarkStart w:id="29" w:name="_Toc132124594"/>
      <w:bookmarkStart w:id="30" w:name="_Toc132125574"/>
      <w:r>
        <w:rPr>
          <w:rFonts w:hint="eastAsia" w:ascii="宋体" w:eastAsia="宋体"/>
          <w:b w:val="0"/>
          <w:bCs w:val="0"/>
          <w:color w:val="auto"/>
          <w:sz w:val="22"/>
          <w:szCs w:val="22"/>
          <w:highlight w:val="none"/>
        </w:rPr>
        <w:t>6.1、自开标日起90日历天内，磋商响应文件应保持有效。有效期短于这个规定期限的投标将被拒绝。</w:t>
      </w:r>
    </w:p>
    <w:p w14:paraId="6BDAA111">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6.2、在特殊情况下，采购人可与投标供应商协商延长磋商响应文件的有效期，这种要求和答复均应以书面形式进行。</w:t>
      </w:r>
    </w:p>
    <w:p w14:paraId="5868075F">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7、响应文件的签章</w:t>
      </w:r>
    </w:p>
    <w:p w14:paraId="19C7D02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7.1响应文件的签章要求：投标供应商须知前附表；</w:t>
      </w:r>
    </w:p>
    <w:p w14:paraId="7EE8076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7.2响应文件应由投标供应商法定代表人或其授权代表签署，并同时加盖投标供应商公章（电子签章）。</w:t>
      </w:r>
    </w:p>
    <w:p w14:paraId="55E1FAF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8、响应文件的形式</w:t>
      </w:r>
    </w:p>
    <w:p w14:paraId="5112A35F">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8.1响应文件的形式：见投标供应商须知前附表；</w:t>
      </w:r>
    </w:p>
    <w:p w14:paraId="2C4EC2A0">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8.2“电子加密响应文件”：“电子加密响应文件”是指通过“政采云电子交易客户端”完成响应文件编制后生成并加密的数据电文形式的响应文件。</w:t>
      </w:r>
    </w:p>
    <w:p w14:paraId="7378186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8.3“备份响应文件”：“备份响应文件”是指与“电子加密响应文件”同时生成的数据电文形式的电子文件（备份标书），其他方式编制的“备份响应文件”视为无效的“备份响应文件”。</w:t>
      </w:r>
    </w:p>
    <w:p w14:paraId="285A8C5C">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9、响应文件的份数</w:t>
      </w:r>
    </w:p>
    <w:p w14:paraId="62ACCD0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9.1响应文件的份数：见投标供应商须知前附表。</w:t>
      </w:r>
    </w:p>
    <w:p w14:paraId="22C876D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 投标供应商如发生下列情况之一，将上报同级政府采购监督管理部门，追究其责任：</w:t>
      </w:r>
    </w:p>
    <w:p w14:paraId="3FC87AA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投标供应商在采购文件规定的投标有效期内撤回投标；</w:t>
      </w:r>
    </w:p>
    <w:p w14:paraId="5B5722DA">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中标人未按成交通知书中规定的时间与采购人签订合同；</w:t>
      </w:r>
    </w:p>
    <w:p w14:paraId="4DD5C7EE">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投标供应商在采购文件中提供虚假技术指标及参数，经评标委员会确认属实的。</w:t>
      </w:r>
    </w:p>
    <w:p w14:paraId="3D4ED959">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经同级政府采购监督管理部门审查认定投标供应商有违反《中华人民共和国政府采购法》等有关法律法规的行为。</w:t>
      </w:r>
    </w:p>
    <w:p w14:paraId="55349F58">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五、磋商响应文件的递交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82057EC">
      <w:pPr>
        <w:pStyle w:val="26"/>
        <w:adjustRightInd w:val="0"/>
        <w:spacing w:line="360" w:lineRule="auto"/>
        <w:ind w:firstLine="440" w:firstLineChars="200"/>
        <w:rPr>
          <w:rFonts w:hAnsi="宋体" w:eastAsia="宋体"/>
          <w:b w:val="0"/>
          <w:color w:val="auto"/>
          <w:sz w:val="22"/>
          <w:szCs w:val="22"/>
          <w:highlight w:val="none"/>
        </w:rPr>
      </w:pPr>
      <w:bookmarkStart w:id="31" w:name="_Toc132124595"/>
      <w:bookmarkStart w:id="32" w:name="_Toc132125152"/>
      <w:bookmarkStart w:id="33" w:name="_Toc132125038"/>
      <w:bookmarkStart w:id="34" w:name="_Toc132123635"/>
      <w:bookmarkStart w:id="35" w:name="_Toc132123440"/>
      <w:bookmarkStart w:id="36" w:name="_Toc132125575"/>
      <w:bookmarkStart w:id="37" w:name="_Toc132123548"/>
      <w:bookmarkStart w:id="38" w:name="_Toc132125984"/>
      <w:bookmarkStart w:id="39" w:name="_Toc132125096"/>
      <w:bookmarkStart w:id="40" w:name="_Toc132122120"/>
      <w:bookmarkStart w:id="41" w:name="_Toc132123839"/>
      <w:bookmarkStart w:id="42" w:name="_Toc132655777"/>
      <w:bookmarkStart w:id="43" w:name="_Toc132126155"/>
      <w:bookmarkStart w:id="44" w:name="_Toc132123882"/>
      <w:bookmarkStart w:id="45" w:name="_Toc132122417"/>
      <w:r>
        <w:rPr>
          <w:rFonts w:hint="eastAsia" w:hAnsi="宋体" w:eastAsia="宋体"/>
          <w:b w:val="0"/>
          <w:color w:val="auto"/>
          <w:sz w:val="22"/>
          <w:szCs w:val="22"/>
          <w:highlight w:val="none"/>
        </w:rPr>
        <w:t>1、 响应文件的递交</w:t>
      </w:r>
    </w:p>
    <w:p w14:paraId="4D8929EA">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1.1响应文件的上传、递交：见投标供应商须知前附表。</w:t>
      </w:r>
    </w:p>
    <w:p w14:paraId="3C89B239">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 “电子加密响应文件”解密和异常情况处理。</w:t>
      </w:r>
    </w:p>
    <w:p w14:paraId="64D83DDB">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2.1“电子加密响应文件”解密：见投标供应商须知前附表。</w:t>
      </w:r>
    </w:p>
    <w:p w14:paraId="55115ADB">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 响应文件的补充、修改或撤回</w:t>
      </w:r>
    </w:p>
    <w:p w14:paraId="1D52D641">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采云平台”将予以拒收。</w:t>
      </w:r>
    </w:p>
    <w:p w14:paraId="4A87A17E">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3.2响应文件递交截止时间后，投标供应商不得撤回、修改响应文件。</w:t>
      </w:r>
    </w:p>
    <w:p w14:paraId="0BAD1059">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 响应文件的备选方案</w:t>
      </w:r>
    </w:p>
    <w:p w14:paraId="13ACE3D4">
      <w:pPr>
        <w:pStyle w:val="26"/>
        <w:adjustRightInd w:val="0"/>
        <w:spacing w:line="360" w:lineRule="auto"/>
        <w:ind w:firstLine="440" w:firstLineChars="200"/>
        <w:rPr>
          <w:rFonts w:hAnsi="宋体" w:eastAsia="宋体"/>
          <w:color w:val="auto"/>
          <w:sz w:val="22"/>
          <w:szCs w:val="22"/>
          <w:highlight w:val="none"/>
        </w:rPr>
      </w:pPr>
      <w:r>
        <w:rPr>
          <w:rFonts w:hint="eastAsia" w:hAnsi="宋体" w:eastAsia="宋体"/>
          <w:b w:val="0"/>
          <w:color w:val="auto"/>
          <w:sz w:val="22"/>
          <w:szCs w:val="22"/>
          <w:highlight w:val="none"/>
        </w:rPr>
        <w:t>4.1投标供应商不得递交任何的投标备选（替代）方案，否则其响应文件将作无效标处理。与“电子加密响应文件”同时生成的“备份响应文件”不是投标备选（替代）方案。</w:t>
      </w:r>
    </w:p>
    <w:p w14:paraId="333B4429">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六、</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eastAsia="宋体"/>
          <w:bCs w:val="0"/>
          <w:color w:val="auto"/>
          <w:sz w:val="22"/>
          <w:szCs w:val="22"/>
          <w:highlight w:val="none"/>
        </w:rPr>
        <w:t>磋商开始和评审</w:t>
      </w:r>
    </w:p>
    <w:p w14:paraId="63514010">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1、磋商开始</w:t>
      </w:r>
    </w:p>
    <w:p w14:paraId="6C9B4C4D">
      <w:pPr>
        <w:pStyle w:val="26"/>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采购组织机构将按照采购文件规定的时间通过“政采云平台”组织开标、开启响应文件，所有供应商均应当准时在线参加。投标供应商如不参加开标大会的，视同认可开标结果，事后不得对采购相关人员、开标过程和开标结果提出异议，同时投标供应商因未在线参加开标而导致响应文件无法按时解密等一切后果由供应商自己承担。</w:t>
      </w:r>
    </w:p>
    <w:p w14:paraId="04156D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2、开标</w:t>
      </w:r>
    </w:p>
    <w:p w14:paraId="559F1508">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color w:val="auto"/>
          <w:sz w:val="22"/>
          <w:szCs w:val="22"/>
          <w:highlight w:val="none"/>
        </w:rPr>
        <w:t>2</w:t>
      </w:r>
      <w:r>
        <w:rPr>
          <w:rFonts w:hint="eastAsia" w:hAnsi="宋体" w:eastAsia="宋体"/>
          <w:b w:val="0"/>
          <w:bCs w:val="0"/>
          <w:color w:val="auto"/>
          <w:sz w:val="22"/>
          <w:szCs w:val="22"/>
          <w:highlight w:val="none"/>
        </w:rPr>
        <w:t>.1开标第一阶段</w:t>
      </w:r>
    </w:p>
    <w:p w14:paraId="74384367">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（1）向各</w:t>
      </w:r>
      <w:r>
        <w:rPr>
          <w:rFonts w:hint="eastAsia" w:hAnsi="宋体" w:eastAsia="宋体"/>
          <w:b w:val="0"/>
          <w:color w:val="auto"/>
          <w:sz w:val="22"/>
          <w:szCs w:val="22"/>
          <w:highlight w:val="none"/>
        </w:rPr>
        <w:t>投标供应商</w:t>
      </w:r>
      <w:r>
        <w:rPr>
          <w:rFonts w:hint="eastAsia" w:hAnsi="宋体" w:eastAsia="宋体"/>
          <w:b w:val="0"/>
          <w:bCs w:val="0"/>
          <w:color w:val="auto"/>
          <w:sz w:val="22"/>
          <w:szCs w:val="22"/>
          <w:highlight w:val="none"/>
        </w:rPr>
        <w:t>发出电子加密响应文件【开始解密】通知，由供应商按采购文件规定的时间内自行进行响应文件解密。投标供应商在规定的时间内（开标时间起半个小时内）无法完成已递交的“电子加密响应文件”解密的，如已按规定递交了备份响应文件的，将由采购组织机构按“政采云平台”操作规范将备份响应文件上传至“政采云平台”，上传成功后，“电子加密响应文件”自动失效；</w:t>
      </w:r>
    </w:p>
    <w:p w14:paraId="42E5C45E">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（2）开启响应文件，进入资格审查，资格审查通过的供应商进入开标大会第二阶段程序；</w:t>
      </w:r>
    </w:p>
    <w:p w14:paraId="256CEBE5">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2.2开标第二阶段</w:t>
      </w:r>
    </w:p>
    <w:p w14:paraId="50883C87">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w:t>
      </w:r>
      <w:r>
        <w:rPr>
          <w:rFonts w:hint="eastAsia" w:hAnsi="宋体" w:eastAsia="宋体"/>
          <w:b w:val="0"/>
          <w:color w:val="auto"/>
          <w:sz w:val="22"/>
          <w:szCs w:val="22"/>
          <w:highlight w:val="none"/>
        </w:rPr>
        <w:t>由</w:t>
      </w:r>
      <w:r>
        <w:rPr>
          <w:rFonts w:hint="eastAsia" w:hAnsi="宋体" w:eastAsia="宋体"/>
          <w:b w:val="0"/>
          <w:bCs w:val="0"/>
          <w:color w:val="auto"/>
          <w:sz w:val="22"/>
          <w:szCs w:val="22"/>
          <w:highlight w:val="none"/>
        </w:rPr>
        <w:t>竞争性</w:t>
      </w:r>
      <w:r>
        <w:rPr>
          <w:rFonts w:hint="eastAsia" w:hAnsi="宋体" w:eastAsia="宋体"/>
          <w:b w:val="0"/>
          <w:color w:val="auto"/>
          <w:sz w:val="22"/>
          <w:szCs w:val="22"/>
          <w:highlight w:val="none"/>
        </w:rPr>
        <w:t>磋商采购小组对供应商</w:t>
      </w:r>
      <w:r>
        <w:rPr>
          <w:rFonts w:hint="eastAsia" w:hAnsi="宋体" w:eastAsia="宋体"/>
          <w:b w:val="0"/>
          <w:bCs w:val="0"/>
          <w:color w:val="auto"/>
          <w:sz w:val="22"/>
          <w:szCs w:val="22"/>
          <w:highlight w:val="none"/>
        </w:rPr>
        <w:t>符合性审查、技术文件的评审，评审通过的供应商</w:t>
      </w:r>
      <w:r>
        <w:rPr>
          <w:rFonts w:hint="eastAsia" w:hAnsi="宋体" w:eastAsia="宋体"/>
          <w:b w:val="0"/>
          <w:color w:val="auto"/>
          <w:sz w:val="22"/>
          <w:szCs w:val="22"/>
          <w:highlight w:val="none"/>
        </w:rPr>
        <w:t>进入最终报价程序。</w:t>
      </w:r>
    </w:p>
    <w:p w14:paraId="7983212F">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2.3举行开标第三阶段</w:t>
      </w:r>
    </w:p>
    <w:p w14:paraId="3CE396D7">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开标第二阶段会议结束后。首先在“政采云平台”系统平台上公布资格性审查、符合性审查、技术评审无效供应商名称及理由；在“政采云平台”系统平台上公布开标一览表有关内容，同时当场制作开标记录。开标结束后，由评标委员会对报价的合理性、准确性等进行审查核实。</w:t>
      </w:r>
    </w:p>
    <w:p w14:paraId="1AE46E7F">
      <w:pPr>
        <w:pStyle w:val="26"/>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评审结束后，在“政采云平台”系统平台上公布中标（成交）候选供应商名单，以及采购人最终确定中标或成交供应商名单的时间和公告方式等。</w:t>
      </w:r>
    </w:p>
    <w:p w14:paraId="7CF37D83">
      <w:pPr>
        <w:autoSpaceDE w:val="0"/>
        <w:autoSpaceDN w:val="0"/>
        <w:adjustRightInd w:val="0"/>
        <w:spacing w:line="360" w:lineRule="auto"/>
        <w:ind w:firstLine="442" w:firstLineChars="200"/>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特别说明：</w:t>
      </w:r>
    </w:p>
    <w:p w14:paraId="12E1D1E5">
      <w:pPr>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bCs w:val="0"/>
          <w:color w:val="auto"/>
          <w:sz w:val="22"/>
          <w:szCs w:val="22"/>
          <w:highlight w:val="none"/>
        </w:rPr>
        <w:t xml:space="preserve"> (1)如遇“政采云平台”电子化开标或评审程序调整的，按调整后程序执行</w:t>
      </w:r>
      <w:r>
        <w:rPr>
          <w:rFonts w:hint="eastAsia" w:ascii="宋体" w:eastAsia="宋体"/>
          <w:color w:val="auto"/>
          <w:sz w:val="22"/>
          <w:szCs w:val="22"/>
          <w:highlight w:val="none"/>
        </w:rPr>
        <w:t>。</w:t>
      </w:r>
    </w:p>
    <w:p w14:paraId="55FF185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2、资格审查</w:t>
      </w:r>
    </w:p>
    <w:p w14:paraId="19406EE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开标后，磋商小组应当依法对投标供应商的资格进行审查，审查内容如下：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861"/>
        <w:gridCol w:w="1003"/>
      </w:tblGrid>
      <w:tr w14:paraId="2E08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vAlign w:val="center"/>
          </w:tcPr>
          <w:p w14:paraId="5AD900B0">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序号</w:t>
            </w:r>
          </w:p>
        </w:tc>
        <w:tc>
          <w:tcPr>
            <w:tcW w:w="4107" w:type="pct"/>
            <w:tcBorders>
              <w:top w:val="single" w:color="auto" w:sz="4" w:space="0"/>
              <w:left w:val="single" w:color="auto" w:sz="4" w:space="0"/>
              <w:bottom w:val="single" w:color="auto" w:sz="4" w:space="0"/>
              <w:right w:val="single" w:color="auto" w:sz="4" w:space="0"/>
            </w:tcBorders>
          </w:tcPr>
          <w:p w14:paraId="26996C0E">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u w:val="single"/>
                <w:lang w:val="zh-CN"/>
              </w:rPr>
              <w:t>内容（▲以下资格证明文件必须提供，否则不能通过资格审查的，责任自负</w:t>
            </w:r>
            <w:r>
              <w:rPr>
                <w:rFonts w:hint="eastAsia" w:ascii="宋体" w:eastAsia="宋体"/>
                <w:b w:val="0"/>
                <w:bCs w:val="0"/>
                <w:color w:val="auto"/>
                <w:sz w:val="22"/>
                <w:szCs w:val="22"/>
                <w:highlight w:val="none"/>
                <w:lang w:val="zh-CN"/>
              </w:rPr>
              <w:t>）</w:t>
            </w:r>
          </w:p>
        </w:tc>
        <w:tc>
          <w:tcPr>
            <w:tcW w:w="524" w:type="pct"/>
            <w:tcBorders>
              <w:top w:val="single" w:color="auto" w:sz="4" w:space="0"/>
              <w:left w:val="single" w:color="auto" w:sz="4" w:space="0"/>
              <w:bottom w:val="single" w:color="auto" w:sz="4" w:space="0"/>
              <w:right w:val="single" w:color="auto" w:sz="4" w:space="0"/>
            </w:tcBorders>
          </w:tcPr>
          <w:p w14:paraId="431917A0">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备注</w:t>
            </w:r>
          </w:p>
        </w:tc>
      </w:tr>
      <w:tr w14:paraId="4E69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vAlign w:val="center"/>
          </w:tcPr>
          <w:p w14:paraId="45F2CC33">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1</w:t>
            </w:r>
          </w:p>
        </w:tc>
        <w:tc>
          <w:tcPr>
            <w:tcW w:w="4107" w:type="pct"/>
            <w:tcBorders>
              <w:top w:val="single" w:color="auto" w:sz="4" w:space="0"/>
              <w:left w:val="single" w:color="auto" w:sz="4" w:space="0"/>
              <w:bottom w:val="single" w:color="auto" w:sz="4" w:space="0"/>
              <w:right w:val="single" w:color="auto" w:sz="4" w:space="0"/>
            </w:tcBorders>
          </w:tcPr>
          <w:p w14:paraId="2F2278C6">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资格条件承诺函</w:t>
            </w:r>
          </w:p>
        </w:tc>
        <w:tc>
          <w:tcPr>
            <w:tcW w:w="524" w:type="pct"/>
            <w:tcBorders>
              <w:top w:val="single" w:color="auto" w:sz="4" w:space="0"/>
              <w:left w:val="single" w:color="auto" w:sz="4" w:space="0"/>
              <w:bottom w:val="single" w:color="auto" w:sz="4" w:space="0"/>
              <w:right w:val="single" w:color="auto" w:sz="4" w:space="0"/>
            </w:tcBorders>
          </w:tcPr>
          <w:p w14:paraId="469EABF6">
            <w:pPr>
              <w:autoSpaceDE w:val="0"/>
              <w:autoSpaceDN w:val="0"/>
              <w:adjustRightIn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附件一</w:t>
            </w:r>
          </w:p>
        </w:tc>
      </w:tr>
      <w:tr w14:paraId="793A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vAlign w:val="center"/>
          </w:tcPr>
          <w:p w14:paraId="6E01C927">
            <w:pPr>
              <w:tabs>
                <w:tab w:val="left" w:pos="4140"/>
              </w:tabs>
              <w:adjustRightInd w:val="0"/>
              <w:snapToGrid w:val="0"/>
              <w:spacing w:line="32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p>
        </w:tc>
        <w:tc>
          <w:tcPr>
            <w:tcW w:w="4107" w:type="pct"/>
            <w:tcBorders>
              <w:top w:val="single" w:color="auto" w:sz="4" w:space="0"/>
              <w:left w:val="single" w:color="auto" w:sz="4" w:space="0"/>
              <w:bottom w:val="single" w:color="auto" w:sz="4" w:space="0"/>
              <w:right w:val="single" w:color="auto" w:sz="4" w:space="0"/>
            </w:tcBorders>
          </w:tcPr>
          <w:p w14:paraId="227253D1">
            <w:pPr>
              <w:tabs>
                <w:tab w:val="left" w:pos="4140"/>
              </w:tabs>
              <w:adjustRightInd w:val="0"/>
              <w:snapToGrid w:val="0"/>
              <w:spacing w:line="320" w:lineRule="atLeast"/>
              <w:rPr>
                <w:rFonts w:hint="eastAsia"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本项目的特定资格要求：符合《浙江省农作物种子储备管理办法》（浙农专发〔2020〕43号）第十四条规定；在浙江省内具有符合种子仓储要求的仓储设施</w:t>
            </w:r>
          </w:p>
        </w:tc>
        <w:tc>
          <w:tcPr>
            <w:tcW w:w="524" w:type="pct"/>
            <w:tcBorders>
              <w:top w:val="single" w:color="auto" w:sz="4" w:space="0"/>
              <w:left w:val="single" w:color="auto" w:sz="4" w:space="0"/>
              <w:bottom w:val="single" w:color="auto" w:sz="4" w:space="0"/>
              <w:right w:val="single" w:color="auto" w:sz="4" w:space="0"/>
            </w:tcBorders>
          </w:tcPr>
          <w:p w14:paraId="5D700775">
            <w:pPr>
              <w:autoSpaceDE w:val="0"/>
              <w:autoSpaceDN w:val="0"/>
              <w:adjustRightInd w:val="0"/>
              <w:spacing w:line="430" w:lineRule="atLeast"/>
              <w:jc w:val="center"/>
              <w:rPr>
                <w:rFonts w:hint="eastAsia" w:ascii="宋体" w:eastAsia="宋体"/>
                <w:b w:val="0"/>
                <w:bCs w:val="0"/>
                <w:color w:val="auto"/>
                <w:sz w:val="22"/>
                <w:szCs w:val="22"/>
                <w:highlight w:val="none"/>
              </w:rPr>
            </w:pPr>
          </w:p>
        </w:tc>
      </w:tr>
    </w:tbl>
    <w:p w14:paraId="43B97930">
      <w:pPr>
        <w:pStyle w:val="26"/>
        <w:adjustRightInd w:val="0"/>
        <w:spacing w:line="360" w:lineRule="auto"/>
        <w:ind w:firstLine="440" w:firstLineChars="200"/>
        <w:rPr>
          <w:rFonts w:hAnsi="宋体" w:eastAsia="宋体"/>
          <w:b w:val="0"/>
          <w:color w:val="auto"/>
          <w:sz w:val="22"/>
          <w:highlight w:val="none"/>
        </w:rPr>
      </w:pPr>
      <w:r>
        <w:rPr>
          <w:rFonts w:hint="eastAsia" w:hAnsi="宋体" w:eastAsia="宋体"/>
          <w:b w:val="0"/>
          <w:color w:val="auto"/>
          <w:sz w:val="22"/>
          <w:highlight w:val="none"/>
        </w:rPr>
        <w:t>3、评标</w:t>
      </w:r>
    </w:p>
    <w:p w14:paraId="259C81E7">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3.1评标由采购人依法组建的竞争性磋商采购小组负责，并独立履行下列职责：</w:t>
      </w:r>
    </w:p>
    <w:p w14:paraId="7E069762">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1）审查响应文件是否符合磋商文件要求，并作出评价；</w:t>
      </w:r>
    </w:p>
    <w:p w14:paraId="49AD76E7">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2）要求供应商对响应文件有关事项作出解释或者澄清；</w:t>
      </w:r>
    </w:p>
    <w:p w14:paraId="317D905B">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 xml:space="preserve">3）按照磋商文件确定的评标办法直接确定成交供应商； </w:t>
      </w:r>
    </w:p>
    <w:p w14:paraId="30F6F1BF">
      <w:pPr>
        <w:pStyle w:val="26"/>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4）向采购人或者有关部门报告非法干预评标工作的行为。</w:t>
      </w:r>
    </w:p>
    <w:p w14:paraId="46EAE22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评标应当遵循下列工作程序：</w:t>
      </w:r>
    </w:p>
    <w:p w14:paraId="7517ABB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1）响应文件符合性检查。依据磋商文件的规定，从响应文件的有效性、完整性和对磋商文件的响应程度进行审查，以确定是否对磋商文件的实质性要求作出响应。</w:t>
      </w:r>
    </w:p>
    <w:p w14:paraId="585B8556">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2）竞争性磋商采购小组可以根据供应商响应文件情况，经采购人确认，调整磋商文件及采购方案，在统一采购要求的基础上，要求所有有效供应商重新修正响应文件及进行多轮次报价。</w:t>
      </w:r>
    </w:p>
    <w:p w14:paraId="5C7B717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3）比较与评价。按磋商文件中规定的评标方法和标准，对资格检查和符合性检查合格的响应文件进行商务和技术评估，综合比较与评价。</w:t>
      </w:r>
    </w:p>
    <w:p w14:paraId="1AD356F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4）推荐成交供应商候选人名单，并根据采购人的授权确定成交供应商。</w:t>
      </w:r>
    </w:p>
    <w:p w14:paraId="4B62D76B">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3.3 ▲</w:t>
      </w:r>
      <w:r>
        <w:rPr>
          <w:rFonts w:hint="eastAsia" w:ascii="宋体" w:eastAsia="宋体"/>
          <w:color w:val="auto"/>
          <w:sz w:val="22"/>
          <w:szCs w:val="22"/>
          <w:highlight w:val="none"/>
          <w:u w:val="single"/>
        </w:rPr>
        <w:t>供应商存在下列情况之一的，报价无效:</w:t>
      </w:r>
    </w:p>
    <w:p w14:paraId="62A2657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1）响应文件未按磋商文件要求签署、盖章的；</w:t>
      </w:r>
    </w:p>
    <w:p w14:paraId="733A8DD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2）不具备磋商文件中规定的资格要求的；</w:t>
      </w:r>
    </w:p>
    <w:p w14:paraId="1C52394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3）最终报价超过磋商文件中规定的预算金额或者最高限价的；</w:t>
      </w:r>
    </w:p>
    <w:p w14:paraId="197EB62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4）不同供应商的电子投标（响应）文件上传计算机的网卡MAC地址或硬盘序列号等硬件信息相同的；</w:t>
      </w:r>
    </w:p>
    <w:p w14:paraId="5954B10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5）上传的电子投标（响应）文件若出现使用本项目其他投标（响应）供应商的数字证书加密的，或者加盖本项目其他投标（响应）供应商的电子印章的；</w:t>
      </w:r>
    </w:p>
    <w:p w14:paraId="55C98F5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6）不同供应商的投标（响应）文件的内容存在3处（含）以上错误一致的；</w:t>
      </w:r>
    </w:p>
    <w:p w14:paraId="01A2D6F8">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7）不同供应商联系人为同一人或不同联系人的联系电话一致的；</w:t>
      </w:r>
    </w:p>
    <w:p w14:paraId="291B67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8）响应文件含有采购人不能接受的附加条件的（包括磋商文件中明确要求不得偏离的招标要求，存在负偏离的）;</w:t>
      </w:r>
    </w:p>
    <w:p w14:paraId="22E492C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9）对关键条文的偏离、保留或反对，例如关于报价保证金、付款方式、完工期（服务期）、免费质保期、适用法律法规、标准、税费等其他内容；</w:t>
      </w:r>
    </w:p>
    <w:p w14:paraId="4E89B17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10）存在串标、抬标或弄虚作假情况的；</w:t>
      </w:r>
    </w:p>
    <w:p w14:paraId="3A99905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11）法律、法规和磋商文件规定的其他无效情形（或出现重大偏差）。</w:t>
      </w:r>
    </w:p>
    <w:p w14:paraId="2D862638">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3.4 ▲</w:t>
      </w:r>
      <w:r>
        <w:rPr>
          <w:rFonts w:hint="eastAsia" w:ascii="宋体" w:eastAsia="宋体"/>
          <w:color w:val="auto"/>
          <w:sz w:val="22"/>
          <w:szCs w:val="22"/>
          <w:highlight w:val="none"/>
          <w:u w:val="single"/>
        </w:rPr>
        <w:t>竞争性磋商采购小组发现响应文件有下列情形之一的属于重大偏差(竞争性磋商采购小组按少数服从多数原则认定),按照无效投标处理：</w:t>
      </w:r>
    </w:p>
    <w:p w14:paraId="1478EDF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1）未按磋商文件要求编制或字迹模糊、辨认不清的响应文件；</w:t>
      </w:r>
    </w:p>
    <w:p w14:paraId="1CB9AC0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2）除3.3条款以外，出现其它明显不符合采购要求的响应文件；</w:t>
      </w:r>
    </w:p>
    <w:p w14:paraId="59986418">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3）除3.3条款以外，出现其它不符合磋商文件中规定的实质性要求的响应文件，是否为偏离实质性要求由竞争性磋商采购小组认定。</w:t>
      </w:r>
    </w:p>
    <w:p w14:paraId="0EC655C5">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3.5 ▲</w:t>
      </w:r>
      <w:r>
        <w:rPr>
          <w:rFonts w:hint="eastAsia" w:ascii="宋体" w:eastAsia="宋体"/>
          <w:color w:val="auto"/>
          <w:sz w:val="22"/>
          <w:szCs w:val="22"/>
          <w:highlight w:val="none"/>
          <w:u w:val="singl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14:paraId="1EC0F7D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3.6 竞争性磋商采购小组在评标中，不得改变磋商文件中规定的评标标准、方法和中标条件。</w:t>
      </w:r>
    </w:p>
    <w:p w14:paraId="1076A92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3.7 评标时如遇到磋商文件未规定的特殊情况，由竞争性磋商采购小组按少数服从多数原则集体决定处理。</w:t>
      </w:r>
    </w:p>
    <w:p w14:paraId="08E820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3.8竞争性磋商采购小组对未中标的供应商不作解释。同时根据政府采购法实施条例第四十条规定，本项目不对供应商公布详细的评审情况，不公布具体评标细则中小项得分。</w:t>
      </w:r>
    </w:p>
    <w:p w14:paraId="65F32170">
      <w:pPr>
        <w:pStyle w:val="26"/>
        <w:adjustRightInd w:val="0"/>
        <w:snapToGrid w:val="0"/>
        <w:spacing w:line="360" w:lineRule="auto"/>
        <w:ind w:firstLine="433" w:firstLineChars="197"/>
        <w:rPr>
          <w:rFonts w:hAnsi="宋体" w:eastAsia="宋体"/>
          <w:b w:val="0"/>
          <w:color w:val="auto"/>
          <w:sz w:val="22"/>
          <w:highlight w:val="none"/>
        </w:rPr>
      </w:pPr>
      <w:r>
        <w:rPr>
          <w:rFonts w:hint="eastAsia" w:hAnsi="宋体" w:eastAsia="宋体"/>
          <w:b w:val="0"/>
          <w:color w:val="auto"/>
          <w:sz w:val="22"/>
          <w:highlight w:val="none"/>
        </w:rPr>
        <w:t>4、响应文件的澄清</w:t>
      </w:r>
    </w:p>
    <w:p w14:paraId="2521E26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为有助于响应文件的审查、评价和比较，评标小组可以在“政采云平台”在线询标形式要求投标供应商对同一份响应文件含义不明确或同类问题表述不一致的内容（采购文件其它地方有规定处理方法的除外）作必要的澄清或说明，投标供应商应采用在线回复在询标规定时间内进行澄清或说明（需盖电子签章或实体公章），但不得超出响应文件的范围或改变响应文件的实质性内容。凡属于评标小组在评标中发现的计算错误并进行核实的修改不在此列。</w:t>
      </w:r>
    </w:p>
    <w:p w14:paraId="0E523A3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5、有下列情形之一的，视为供应商相互串通投标：</w:t>
      </w:r>
    </w:p>
    <w:p w14:paraId="66C40B0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5.1不同供应商的响应文件由同一单位或者个人编制；</w:t>
      </w:r>
    </w:p>
    <w:p w14:paraId="0C5BA77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5.2不同供应商委托同一单位或者个人办理投标事宜；</w:t>
      </w:r>
    </w:p>
    <w:p w14:paraId="7C2B713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5.3不同供应商的响应文件载明的项目管理成员为同一人；</w:t>
      </w:r>
    </w:p>
    <w:p w14:paraId="20C2D0F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5.4不同供应商的响应文件异常一致或者投标报价呈规律性差异；</w:t>
      </w:r>
    </w:p>
    <w:p w14:paraId="09ECED9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5.5不同供应商的响应文件相互混装；</w:t>
      </w:r>
    </w:p>
    <w:p w14:paraId="6AB4147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5.6经竞争性磋商采购小组认定供应商进行串通投标的，竞争性磋商采购小组可以对相关供应商做出无效报价处理，并上报政府采购管理部门进行进一步处理。</w:t>
      </w:r>
    </w:p>
    <w:p w14:paraId="1732168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B09EA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7、评标原则</w:t>
      </w:r>
    </w:p>
    <w:p w14:paraId="2946AAC3">
      <w:pPr>
        <w:autoSpaceDE w:val="0"/>
        <w:autoSpaceDN w:val="0"/>
        <w:adjustRightInd w:val="0"/>
        <w:spacing w:line="360" w:lineRule="auto"/>
        <w:ind w:firstLine="440" w:firstLineChars="200"/>
        <w:textAlignment w:val="bottom"/>
        <w:rPr>
          <w:rFonts w:ascii="宋体" w:eastAsia="宋体"/>
          <w:b w:val="0"/>
          <w:color w:val="auto"/>
          <w:sz w:val="22"/>
          <w:highlight w:val="none"/>
        </w:rPr>
      </w:pPr>
      <w:r>
        <w:rPr>
          <w:rFonts w:hint="eastAsia" w:ascii="宋体" w:eastAsia="宋体"/>
          <w:b w:val="0"/>
          <w:color w:val="auto"/>
          <w:sz w:val="22"/>
          <w:szCs w:val="22"/>
          <w:highlight w:val="none"/>
        </w:rPr>
        <w:t xml:space="preserve">评标办法具体见本磋商文件第七部分。  </w:t>
      </w:r>
      <w:r>
        <w:rPr>
          <w:rFonts w:hint="eastAsia" w:ascii="宋体" w:eastAsia="宋体"/>
          <w:b w:val="0"/>
          <w:color w:val="auto"/>
          <w:sz w:val="22"/>
          <w:highlight w:val="none"/>
        </w:rPr>
        <w:t xml:space="preserve"> </w:t>
      </w:r>
    </w:p>
    <w:p w14:paraId="409A385B">
      <w:pPr>
        <w:widowControl/>
        <w:spacing w:line="360" w:lineRule="auto"/>
        <w:jc w:val="left"/>
        <w:rPr>
          <w:rFonts w:ascii="宋体" w:eastAsia="宋体"/>
          <w:bCs w:val="0"/>
          <w:color w:val="auto"/>
          <w:sz w:val="22"/>
          <w:szCs w:val="22"/>
          <w:highlight w:val="none"/>
        </w:rPr>
      </w:pPr>
      <w:bookmarkStart w:id="46" w:name="_Toc132122121"/>
      <w:bookmarkStart w:id="47" w:name="_Toc132125097"/>
      <w:bookmarkStart w:id="48" w:name="_Toc132123636"/>
      <w:bookmarkStart w:id="49" w:name="_Toc132126156"/>
      <w:bookmarkStart w:id="50" w:name="_Toc132123441"/>
      <w:bookmarkStart w:id="51" w:name="_Toc132125576"/>
      <w:bookmarkStart w:id="52" w:name="_Toc132123549"/>
      <w:bookmarkStart w:id="53" w:name="_Toc132125039"/>
      <w:bookmarkStart w:id="54" w:name="_Toc132123883"/>
      <w:bookmarkStart w:id="55" w:name="_Toc132125153"/>
      <w:bookmarkStart w:id="56" w:name="_Toc132123840"/>
      <w:bookmarkStart w:id="57" w:name="_Toc132655778"/>
      <w:bookmarkStart w:id="58" w:name="_Toc132122418"/>
      <w:bookmarkStart w:id="59" w:name="_Toc132125985"/>
      <w:bookmarkStart w:id="60" w:name="_Toc493530208"/>
      <w:bookmarkStart w:id="61" w:name="_Toc132124596"/>
      <w:r>
        <w:rPr>
          <w:rFonts w:hint="eastAsia" w:ascii="宋体" w:eastAsia="宋体"/>
          <w:bCs w:val="0"/>
          <w:color w:val="auto"/>
          <w:sz w:val="22"/>
          <w:szCs w:val="22"/>
          <w:highlight w:val="none"/>
        </w:rPr>
        <w:t>七、授予合同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90BD09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1、决标</w:t>
      </w:r>
    </w:p>
    <w:p w14:paraId="4065C73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评标结束后，竞争性磋商采购小组按照磋商文件确定的评标办法推荐成交供应商。</w:t>
      </w:r>
    </w:p>
    <w:p w14:paraId="48C0F669">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2、成交通知书</w:t>
      </w:r>
    </w:p>
    <w:p w14:paraId="1EE6E714">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2.1 采购人依法确认成交供应商后，代理机构在浙江省政府采购网上公告成交结果，同时向成交供应商发出成交通知书，成交公告期限为1个工作日。</w:t>
      </w:r>
    </w:p>
    <w:p w14:paraId="7608511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2.2 成交通知书对采购人和成交供应商具有法律约束力。成交通知书发出后，采购人改变中标结果或者成交供应商放弃中标的，应当承担法律责任。</w:t>
      </w:r>
    </w:p>
    <w:p w14:paraId="6394C0E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2.3 成交无效</w:t>
      </w:r>
    </w:p>
    <w:p w14:paraId="6A26F9E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1）发现成交供应商资格无效或成交供应商放弃成交或拒绝与采购人签订合同的,采购人可以按照评审报告推荐的成交候选人名单排序，确定下一候选人为成交供应商，也可以重新开展政府采购活动。</w:t>
      </w:r>
      <w:r>
        <w:rPr>
          <w:rFonts w:hint="eastAsia" w:ascii="宋体" w:eastAsia="宋体"/>
          <w:b w:val="0"/>
          <w:color w:val="auto"/>
          <w:sz w:val="22"/>
          <w:szCs w:val="22"/>
          <w:highlight w:val="none"/>
        </w:rPr>
        <w:br w:type="textWrapping"/>
      </w:r>
      <w:r>
        <w:rPr>
          <w:rFonts w:hint="eastAsia" w:ascii="宋体" w:eastAsia="宋体"/>
          <w:b w:val="0"/>
          <w:color w:val="auto"/>
          <w:sz w:val="22"/>
          <w:szCs w:val="22"/>
          <w:highlight w:val="none"/>
        </w:rPr>
        <w:t xml:space="preserve">    2）有《中华人民共和国政府采购法实施条例》第七十一条、第七十二条、第七十三条、第七十四条规定的违法行为之一，由政府采购监管部门依法处理。</w:t>
      </w:r>
    </w:p>
    <w:p w14:paraId="131CBAD6">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3、签订合同</w:t>
      </w:r>
    </w:p>
    <w:p w14:paraId="534A3CE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743D460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磋商文件、成交供应商的响应文件及投标修改文件、评标过程中有关澄清文件及经双方签字的询标纪要（承诺）和成交通知书均作为合同附件。</w:t>
      </w:r>
    </w:p>
    <w:p w14:paraId="7CDCE35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14:paraId="739919D4">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成交供应商在规定时间内（30日历天）借故否认已经承诺的条件、拒签合同者，以违约处理，并赔偿采购人由此造成的直接经济损失；采购人重新组织采购的，所需费用由原成交供应商承担。</w:t>
      </w:r>
    </w:p>
    <w:p w14:paraId="1A8F9231">
      <w:pPr>
        <w:pStyle w:val="26"/>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4、招标代理费用</w:t>
      </w:r>
    </w:p>
    <w:p w14:paraId="7C53BC0B">
      <w:pPr>
        <w:spacing w:line="460" w:lineRule="atLeast"/>
        <w:ind w:firstLine="673" w:firstLineChars="306"/>
        <w:rPr>
          <w:rFonts w:ascii="宋体" w:eastAsia="宋体"/>
          <w:b w:val="0"/>
          <w:bCs w:val="0"/>
          <w:color w:val="auto"/>
          <w:sz w:val="22"/>
          <w:szCs w:val="22"/>
          <w:highlight w:val="none"/>
        </w:rPr>
      </w:pPr>
      <w:bookmarkStart w:id="62" w:name="_Toc496528623"/>
      <w:r>
        <w:rPr>
          <w:rFonts w:hint="eastAsia" w:ascii="宋体" w:eastAsia="宋体"/>
          <w:b w:val="0"/>
          <w:bCs w:val="0"/>
          <w:color w:val="auto"/>
          <w:sz w:val="22"/>
          <w:szCs w:val="22"/>
          <w:highlight w:val="none"/>
        </w:rPr>
        <w:t>中标供应商在领取中标通知书前按固定金额8000元支付给招标代理公司相应的代理服务费；招标代理服务费包含在投标总价中，汇入以下账号：</w:t>
      </w:r>
    </w:p>
    <w:p w14:paraId="623A8831">
      <w:pPr>
        <w:spacing w:line="460" w:lineRule="atLeast"/>
        <w:ind w:firstLine="433"/>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开户银行：中国建设银行永嘉广场支行</w:t>
      </w:r>
    </w:p>
    <w:p w14:paraId="5A7AF836">
      <w:pPr>
        <w:spacing w:line="460" w:lineRule="atLeast"/>
        <w:ind w:firstLine="433"/>
        <w:rPr>
          <w:rFonts w:ascii="宋体" w:eastAsia="宋体"/>
          <w:b w:val="0"/>
          <w:color w:val="auto"/>
          <w:sz w:val="22"/>
          <w:szCs w:val="22"/>
          <w:highlight w:val="none"/>
        </w:rPr>
      </w:pPr>
      <w:r>
        <w:rPr>
          <w:rFonts w:hint="eastAsia" w:ascii="宋体" w:eastAsia="宋体"/>
          <w:b w:val="0"/>
          <w:color w:val="auto"/>
          <w:sz w:val="22"/>
          <w:szCs w:val="22"/>
          <w:highlight w:val="none"/>
        </w:rPr>
        <w:t>开户名称：温州市中概工程管理咨询有限公司</w:t>
      </w:r>
    </w:p>
    <w:p w14:paraId="6227B8DB">
      <w:pPr>
        <w:spacing w:line="460" w:lineRule="atLeast"/>
        <w:ind w:firstLine="433"/>
        <w:rPr>
          <w:rFonts w:ascii="宋体" w:eastAsia="宋体"/>
          <w:b w:val="0"/>
          <w:color w:val="auto"/>
          <w:sz w:val="22"/>
          <w:szCs w:val="22"/>
          <w:highlight w:val="none"/>
        </w:rPr>
      </w:pPr>
      <w:r>
        <w:rPr>
          <w:rFonts w:hint="eastAsia" w:ascii="宋体" w:eastAsia="宋体"/>
          <w:b w:val="0"/>
          <w:color w:val="auto"/>
          <w:sz w:val="22"/>
          <w:szCs w:val="22"/>
          <w:highlight w:val="none"/>
        </w:rPr>
        <w:t>开户账号：33050162766300000011</w:t>
      </w:r>
    </w:p>
    <w:p w14:paraId="49B694CC">
      <w:pPr>
        <w:spacing w:line="460" w:lineRule="atLeast"/>
        <w:ind w:firstLine="433"/>
        <w:rPr>
          <w:rFonts w:ascii="宋体" w:eastAsia="宋体"/>
          <w:color w:val="auto"/>
          <w:sz w:val="22"/>
          <w:szCs w:val="22"/>
          <w:highlight w:val="none"/>
        </w:rPr>
      </w:pPr>
      <w:r>
        <w:rPr>
          <w:rFonts w:hint="eastAsia" w:ascii="宋体" w:eastAsia="宋体"/>
          <w:b w:val="0"/>
          <w:color w:val="auto"/>
          <w:sz w:val="22"/>
          <w:szCs w:val="22"/>
          <w:highlight w:val="none"/>
        </w:rPr>
        <w:t>招标代理服务费须在领取《中标通知书》前付清。</w:t>
      </w:r>
    </w:p>
    <w:p w14:paraId="1EBB92B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p>
    <w:bookmarkEnd w:id="62"/>
    <w:p w14:paraId="011CBA00">
      <w:pPr>
        <w:pStyle w:val="8"/>
        <w:rPr>
          <w:rFonts w:ascii="宋体" w:hAnsi="宋体" w:cs="宋体"/>
          <w:color w:val="auto"/>
          <w:highlight w:val="none"/>
        </w:rPr>
      </w:pPr>
      <w:r>
        <w:rPr>
          <w:rFonts w:hint="eastAsia" w:ascii="宋体" w:hAnsi="宋体" w:cs="宋体"/>
          <w:color w:val="auto"/>
          <w:highlight w:val="none"/>
        </w:rPr>
        <w:br w:type="page"/>
      </w:r>
      <w:bookmarkStart w:id="63" w:name="_Toc61276418"/>
      <w:bookmarkStart w:id="64" w:name="_Toc18603"/>
      <w:r>
        <w:rPr>
          <w:rFonts w:hint="eastAsia" w:ascii="宋体" w:hAnsi="宋体" w:cs="宋体"/>
          <w:color w:val="auto"/>
          <w:highlight w:val="none"/>
        </w:rPr>
        <w:t>第四部分 政府采购政策功能相关说明</w:t>
      </w:r>
      <w:bookmarkEnd w:id="63"/>
      <w:bookmarkEnd w:id="64"/>
    </w:p>
    <w:p w14:paraId="4AE1906B">
      <w:pPr>
        <w:jc w:val="left"/>
        <w:rPr>
          <w:rFonts w:ascii="宋体" w:eastAsia="宋体"/>
          <w:color w:val="auto"/>
          <w:sz w:val="22"/>
          <w:szCs w:val="22"/>
          <w:highlight w:val="none"/>
        </w:rPr>
      </w:pPr>
      <w:r>
        <w:rPr>
          <w:rFonts w:hint="eastAsia" w:ascii="宋体" w:eastAsia="宋体"/>
          <w:color w:val="auto"/>
          <w:sz w:val="22"/>
          <w:szCs w:val="22"/>
          <w:highlight w:val="none"/>
        </w:rPr>
        <w:t>一、小、微企业（含监狱企业、残疾人福利性单位）扶持政策说明</w:t>
      </w:r>
    </w:p>
    <w:p w14:paraId="0649684B">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1、文件依据</w:t>
      </w:r>
    </w:p>
    <w:p w14:paraId="02B3FE02">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（1）关于印发《政府采购促进中小企业发展管理办法》的通知（财库〔2020〕46号）</w:t>
      </w:r>
    </w:p>
    <w:p w14:paraId="50CE7449">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（2）浙江省财政厅《关于开展政府采购投标供应商网上注册登记和诚信管理工作的通知》（浙财采监〔2010〕8号）</w:t>
      </w:r>
    </w:p>
    <w:p w14:paraId="4D5410A9">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（3）《工业和信息化部、国家统计局、国家发展和改革委员会、财政部关于印发中小企业划型标准规定的通知》（工信部联企业〔2011〕300号）</w:t>
      </w:r>
    </w:p>
    <w:p w14:paraId="635B216E">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（4）财政部、司法部《关于政府采购支持监狱企业发展有关问题的通知》（财库〔2014〕68号）</w:t>
      </w:r>
    </w:p>
    <w:p w14:paraId="32F5E286">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（5）《财政部 民政部 中国残疾人联合会关于促进残疾人就业政府采购政策的通知》（财库〔2017〕141号）</w:t>
      </w:r>
    </w:p>
    <w:p w14:paraId="5D14812C">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（6）《浙江省财政厅  浙江省经济和信息化委员会关于简化中小企业类别确认流程有关事项的通知》（浙财采监〔2018〕2号）</w:t>
      </w:r>
    </w:p>
    <w:p w14:paraId="533921F7">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（7）《浙江省财政厅关于进一步发挥政府采购政策功能全力推动经济稳进提质的通知》（浙财采监〔2022〕3号）</w:t>
      </w:r>
    </w:p>
    <w:p w14:paraId="133EB1C5">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（8）《浙江省财政厅关于进一步加大政府采购支持中小企业力度 助力扎实稳住经济的通知》（浙财采监〔2022〕8号）</w:t>
      </w:r>
    </w:p>
    <w:p w14:paraId="48024A6E">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2、享受小微企业价格折扣应具备的条件与价格折扣比例</w:t>
      </w:r>
    </w:p>
    <w:p w14:paraId="6D795273">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（1）在货物采购项目中，货物由中小企业制造，即货物由中小企业生产且使用该中小企业商号或者注册商标；</w:t>
      </w:r>
    </w:p>
    <w:p w14:paraId="600103E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（2）在工程采购项目中，工程由中小企业承建，即工程施工单位为中小企业；</w:t>
      </w:r>
    </w:p>
    <w:p w14:paraId="32A540DD">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（3）在服务采购项目中，服务由中小企业承接，即提供服务的人员为中小企业依照《中华人民共和国劳动合同法》订立劳动合同的从业人员。</w:t>
      </w:r>
    </w:p>
    <w:p w14:paraId="6A1EF288">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在货物采购项目中，供应商提供的货物既有中小企业制造货物，也有大型企业制造货物的，不享受本办法规定的中小企业扶持政策。</w:t>
      </w:r>
    </w:p>
    <w:p w14:paraId="2AC4786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以联合体形式参加政府采购活动，联合体各方均为中小企业的，联合体视同中小企业。其中，联合体各方均为小微企业的，联合体视同小微企业。</w:t>
      </w:r>
    </w:p>
    <w:p w14:paraId="43C4C1BD">
      <w:pPr>
        <w:spacing w:line="440" w:lineRule="atLeast"/>
        <w:jc w:val="left"/>
        <w:rPr>
          <w:rFonts w:ascii="宋体" w:eastAsia="宋体"/>
          <w:color w:val="auto"/>
          <w:sz w:val="22"/>
          <w:szCs w:val="22"/>
          <w:highlight w:val="none"/>
          <w:u w:val="single"/>
        </w:rPr>
      </w:pPr>
      <w:r>
        <w:rPr>
          <w:rFonts w:hint="eastAsia" w:ascii="宋体" w:eastAsia="宋体"/>
          <w:color w:val="auto"/>
          <w:sz w:val="22"/>
          <w:szCs w:val="22"/>
          <w:highlight w:val="none"/>
          <w:u w:val="single"/>
        </w:rPr>
        <w:t>（4）本项目对小型和微型企业的价格给予10%的扣除，用扣除后的价格参与评审</w:t>
      </w:r>
      <w:r>
        <w:rPr>
          <w:rFonts w:hint="eastAsia" w:ascii="宋体" w:eastAsia="宋体"/>
          <w:color w:val="auto"/>
          <w:sz w:val="22"/>
          <w:szCs w:val="22"/>
          <w:highlight w:val="none"/>
        </w:rPr>
        <w:t>。</w:t>
      </w:r>
    </w:p>
    <w:p w14:paraId="4B3B44EF">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u w:val="single"/>
        </w:rPr>
        <w:t>3、享受小微企业价格折扣投标文件中应提供以下证明材料</w:t>
      </w:r>
      <w:r>
        <w:rPr>
          <w:rFonts w:hint="eastAsia" w:ascii="宋体" w:eastAsia="宋体"/>
          <w:color w:val="auto"/>
          <w:sz w:val="22"/>
          <w:szCs w:val="22"/>
          <w:highlight w:val="none"/>
        </w:rPr>
        <w:t>：</w:t>
      </w:r>
    </w:p>
    <w:p w14:paraId="132A6D02">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（1）《中小企业声明函》（原件，加盖投标供应商公章，格式见附件1）</w:t>
      </w:r>
    </w:p>
    <w:p w14:paraId="0A2C1C2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u w:val="single"/>
        </w:rPr>
        <w:t>享受监狱企业价格折扣应提供以下证明材料（投标文件中，不提供的不享受价格折扣或政策扶持）</w:t>
      </w:r>
      <w:r>
        <w:rPr>
          <w:rFonts w:hint="eastAsia" w:ascii="宋体" w:eastAsia="宋体"/>
          <w:b w:val="0"/>
          <w:bCs w:val="0"/>
          <w:color w:val="auto"/>
          <w:sz w:val="22"/>
          <w:szCs w:val="22"/>
          <w:highlight w:val="none"/>
        </w:rPr>
        <w:t>：</w:t>
      </w:r>
    </w:p>
    <w:p w14:paraId="7839DD4E">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14:paraId="25DC009D">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w:t>
      </w:r>
      <w:r>
        <w:rPr>
          <w:rFonts w:hint="eastAsia" w:ascii="宋体" w:eastAsia="宋体"/>
          <w:b w:val="0"/>
          <w:bCs w:val="0"/>
          <w:color w:val="auto"/>
          <w:sz w:val="22"/>
          <w:szCs w:val="22"/>
          <w:highlight w:val="none"/>
          <w:u w:val="single"/>
        </w:rPr>
        <w:t>享受残疾人福利性单位格折扣应提供以下证明材料（投标文件中，不提供的不享受价格折扣或政策扶持）</w:t>
      </w:r>
      <w:r>
        <w:rPr>
          <w:rFonts w:hint="eastAsia" w:ascii="宋体" w:eastAsia="宋体"/>
          <w:b w:val="0"/>
          <w:bCs w:val="0"/>
          <w:color w:val="auto"/>
          <w:sz w:val="22"/>
          <w:szCs w:val="22"/>
          <w:highlight w:val="none"/>
        </w:rPr>
        <w:t>：</w:t>
      </w:r>
    </w:p>
    <w:p w14:paraId="7133E002">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（1）残疾人福利性单位声明函（附件2）；</w:t>
      </w:r>
    </w:p>
    <w:p w14:paraId="6FDC714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6FCC28FF">
      <w:pPr>
        <w:spacing w:line="440" w:lineRule="atLeast"/>
        <w:jc w:val="left"/>
        <w:rPr>
          <w:rFonts w:ascii="宋体" w:eastAsia="宋体"/>
          <w:color w:val="auto"/>
          <w:sz w:val="22"/>
          <w:szCs w:val="22"/>
          <w:highlight w:val="none"/>
        </w:rPr>
      </w:pPr>
    </w:p>
    <w:p w14:paraId="2F89FE77">
      <w:pPr>
        <w:rPr>
          <w:rFonts w:ascii="宋体" w:eastAsia="宋体"/>
          <w:b w:val="0"/>
          <w:color w:val="auto"/>
          <w:sz w:val="24"/>
          <w:szCs w:val="24"/>
          <w:highlight w:val="none"/>
        </w:rPr>
      </w:pPr>
      <w:r>
        <w:rPr>
          <w:rFonts w:hint="eastAsia" w:ascii="宋体" w:eastAsia="宋体"/>
          <w:b w:val="0"/>
          <w:color w:val="auto"/>
          <w:sz w:val="24"/>
          <w:szCs w:val="24"/>
          <w:highlight w:val="none"/>
        </w:rPr>
        <w:br w:type="page"/>
      </w:r>
    </w:p>
    <w:p w14:paraId="0A254C19">
      <w:pPr>
        <w:widowControl/>
        <w:spacing w:before="100" w:beforeAutospacing="1" w:after="100" w:afterAutospacing="1" w:line="360" w:lineRule="auto"/>
        <w:jc w:val="left"/>
        <w:rPr>
          <w:rFonts w:ascii="宋体" w:eastAsia="宋体"/>
          <w:b w:val="0"/>
          <w:bCs w:val="0"/>
          <w:color w:val="auto"/>
          <w:sz w:val="24"/>
          <w:szCs w:val="24"/>
          <w:highlight w:val="none"/>
        </w:rPr>
      </w:pPr>
      <w:r>
        <w:rPr>
          <w:rFonts w:hint="eastAsia" w:ascii="宋体" w:eastAsia="宋体"/>
          <w:b w:val="0"/>
          <w:color w:val="auto"/>
          <w:sz w:val="24"/>
          <w:szCs w:val="24"/>
          <w:highlight w:val="none"/>
        </w:rPr>
        <w:t>附件1：</w:t>
      </w:r>
    </w:p>
    <w:p w14:paraId="5D082A0B">
      <w:pPr>
        <w:pStyle w:val="8"/>
        <w:rPr>
          <w:rFonts w:ascii="宋体" w:hAnsi="宋体" w:cs="宋体"/>
          <w:color w:val="auto"/>
          <w:highlight w:val="none"/>
        </w:rPr>
      </w:pPr>
      <w:bookmarkStart w:id="65" w:name="_Toc988"/>
      <w:bookmarkStart w:id="66" w:name="_Toc61276420"/>
      <w:bookmarkStart w:id="67" w:name="_Toc31622"/>
      <w:r>
        <w:rPr>
          <w:rFonts w:hint="eastAsia" w:ascii="宋体" w:hAnsi="宋体" w:cs="宋体"/>
          <w:color w:val="auto"/>
          <w:highlight w:val="none"/>
        </w:rPr>
        <w:t>中小企业声明函（工程、服务）</w:t>
      </w:r>
      <w:bookmarkEnd w:id="65"/>
      <w:bookmarkEnd w:id="66"/>
      <w:bookmarkEnd w:id="67"/>
    </w:p>
    <w:p w14:paraId="7A970125">
      <w:pPr>
        <w:spacing w:line="460" w:lineRule="atLeast"/>
        <w:ind w:firstLine="440"/>
        <w:rPr>
          <w:rFonts w:ascii="宋体" w:eastAsia="宋体"/>
          <w:b w:val="0"/>
          <w:color w:val="auto"/>
          <w:highlight w:val="none"/>
        </w:rPr>
      </w:pPr>
      <w:r>
        <w:rPr>
          <w:rFonts w:hint="eastAsia" w:ascii="宋体" w:eastAsia="宋体"/>
          <w:b w:val="0"/>
          <w:color w:val="auto"/>
          <w:highlight w:val="none"/>
        </w:rPr>
        <w:t>本公司（联合体）郑重声明，根据《政府采购促进中小 企业发展管理办法》（财库﹝2020﹞46 号）的规定，本公司 （联合体）参加</w:t>
      </w:r>
      <w:r>
        <w:rPr>
          <w:rFonts w:hint="eastAsia" w:ascii="宋体" w:eastAsia="宋体"/>
          <w:b w:val="0"/>
          <w:color w:val="auto"/>
          <w:highlight w:val="none"/>
          <w:u w:val="single"/>
        </w:rPr>
        <w:t>（单位名称）</w:t>
      </w:r>
      <w:r>
        <w:rPr>
          <w:rFonts w:hint="eastAsia" w:ascii="宋体" w:eastAsia="宋体"/>
          <w:b w:val="0"/>
          <w:color w:val="auto"/>
          <w:highlight w:val="none"/>
        </w:rPr>
        <w:t>的</w:t>
      </w:r>
      <w:r>
        <w:rPr>
          <w:rFonts w:hint="eastAsia" w:ascii="宋体" w:eastAsia="宋体"/>
          <w:b w:val="0"/>
          <w:color w:val="auto"/>
          <w:highlight w:val="none"/>
          <w:u w:val="single"/>
        </w:rPr>
        <w:t>（项目名称）</w:t>
      </w:r>
      <w:r>
        <w:rPr>
          <w:rFonts w:hint="eastAsia" w:ascii="宋体" w:eastAsia="宋体"/>
          <w:b w:val="0"/>
          <w:color w:val="auto"/>
          <w:highlight w:val="none"/>
        </w:rPr>
        <w:t>采购活动，提 供的货物全部由符合政策要求的中小企业制造。相关企业 （含联合体中的中小企业、签订分包意向协议的中小企业） 的具体情况如下：</w:t>
      </w:r>
    </w:p>
    <w:p w14:paraId="44109C7A">
      <w:pPr>
        <w:widowControl/>
        <w:numPr>
          <w:ilvl w:val="0"/>
          <w:numId w:val="4"/>
        </w:numPr>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，属于</w:t>
      </w:r>
      <w:r>
        <w:rPr>
          <w:rFonts w:hint="eastAsia" w:ascii="宋体" w:eastAsia="宋体"/>
          <w:color w:val="auto"/>
          <w:highlight w:val="none"/>
          <w:u w:val="single"/>
        </w:rPr>
        <w:t>其他未列明行业</w:t>
      </w:r>
      <w:r>
        <w:rPr>
          <w:rFonts w:hint="eastAsia" w:ascii="宋体" w:eastAsia="宋体"/>
          <w:b w:val="0"/>
          <w:bCs w:val="0"/>
          <w:color w:val="auto"/>
          <w:highlight w:val="none"/>
        </w:rPr>
        <w:t>；承建（承接）企业为</w:t>
      </w:r>
      <w:r>
        <w:rPr>
          <w:rFonts w:hint="eastAsia" w:ascii="宋体" w:eastAsia="宋体"/>
          <w:b w:val="0"/>
          <w:bCs w:val="0"/>
          <w:color w:val="auto"/>
          <w:highlight w:val="none"/>
          <w:u w:val="single"/>
        </w:rPr>
        <w:t xml:space="preserve"> （企业名称）</w:t>
      </w:r>
      <w:r>
        <w:rPr>
          <w:rFonts w:hint="eastAsia" w:ascii="宋体" w:eastAsia="宋体"/>
          <w:b w:val="0"/>
          <w:bCs w:val="0"/>
          <w:color w:val="auto"/>
          <w:highlight w:val="none"/>
        </w:rPr>
        <w:t xml:space="preserve"> ，从业人员</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人，营业收入为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万元，资产总额为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 xml:space="preserve">万元，属于 </w:t>
      </w:r>
      <w:r>
        <w:rPr>
          <w:rFonts w:hint="eastAsia" w:ascii="宋体" w:eastAsia="宋体"/>
          <w:b w:val="0"/>
          <w:bCs w:val="0"/>
          <w:color w:val="auto"/>
          <w:highlight w:val="none"/>
          <w:u w:val="single"/>
        </w:rPr>
        <w:t>（中型企业、小型企业、微型企业）</w:t>
      </w:r>
      <w:r>
        <w:rPr>
          <w:rFonts w:hint="eastAsia" w:ascii="宋体" w:eastAsia="宋体"/>
          <w:b w:val="0"/>
          <w:bCs w:val="0"/>
          <w:color w:val="auto"/>
          <w:highlight w:val="none"/>
        </w:rPr>
        <w:t xml:space="preserve"> ；</w:t>
      </w:r>
    </w:p>
    <w:p w14:paraId="02D1E548">
      <w:pPr>
        <w:pStyle w:val="150"/>
        <w:rPr>
          <w:rFonts w:ascii="宋体" w:hAnsi="宋体" w:cs="宋体"/>
          <w:color w:val="auto"/>
          <w:szCs w:val="21"/>
          <w:highlight w:val="none"/>
        </w:rPr>
      </w:pPr>
    </w:p>
    <w:p w14:paraId="464AC2D8">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w:t>
      </w:r>
    </w:p>
    <w:p w14:paraId="5B96BC66">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以上企业，皆不属于大企业的分支机构，皆不存在控股股东为大企业的情形，也皆不存在与大企业的负责人为同一人的情形。</w:t>
      </w:r>
    </w:p>
    <w:p w14:paraId="3F2A6282">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本企业对上述声明内容的真实性负责。如有虚假，将依法承担相应责任。</w:t>
      </w:r>
    </w:p>
    <w:p w14:paraId="79762441">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企业名称（盖章）：</w:t>
      </w:r>
    </w:p>
    <w:p w14:paraId="0EE86D1B">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日 期：   </w:t>
      </w:r>
    </w:p>
    <w:p w14:paraId="0DECED31">
      <w:pPr>
        <w:widowControl/>
        <w:spacing w:before="100" w:beforeAutospacing="1" w:after="100" w:afterAutospacing="1" w:line="440" w:lineRule="atLeast"/>
        <w:jc w:val="left"/>
        <w:rPr>
          <w:rFonts w:ascii="宋体" w:eastAsia="宋体"/>
          <w:color w:val="auto"/>
          <w:highlight w:val="none"/>
        </w:rPr>
      </w:pPr>
      <w:r>
        <w:rPr>
          <w:rFonts w:hint="eastAsia" w:ascii="宋体" w:eastAsia="宋体"/>
          <w:color w:val="auto"/>
          <w:highlight w:val="none"/>
        </w:rPr>
        <w:t>注：1、 从业人员、营业收入、资产总额（数据包括总公司及所有分公司）填报上一年度数据，无上一年度数据的新成立企业可不填报。</w:t>
      </w:r>
    </w:p>
    <w:p w14:paraId="342A1C08">
      <w:pPr>
        <w:widowControl/>
        <w:jc w:val="left"/>
        <w:rPr>
          <w:rFonts w:ascii="宋体" w:eastAsia="宋体"/>
          <w:b w:val="0"/>
          <w:color w:val="auto"/>
          <w:sz w:val="24"/>
          <w:szCs w:val="24"/>
          <w:highlight w:val="none"/>
        </w:rPr>
      </w:pPr>
      <w:r>
        <w:rPr>
          <w:rFonts w:hint="eastAsia" w:ascii="宋体" w:eastAsia="宋体"/>
          <w:b w:val="0"/>
          <w:color w:val="auto"/>
          <w:sz w:val="24"/>
          <w:szCs w:val="24"/>
          <w:highlight w:val="none"/>
        </w:rPr>
        <w:br w:type="page"/>
      </w:r>
    </w:p>
    <w:p w14:paraId="59F2FF5D">
      <w:pPr>
        <w:spacing w:line="440" w:lineRule="atLeast"/>
        <w:rPr>
          <w:rFonts w:ascii="宋体" w:eastAsia="宋体"/>
          <w:b w:val="0"/>
          <w:color w:val="auto"/>
          <w:sz w:val="24"/>
          <w:szCs w:val="24"/>
          <w:highlight w:val="none"/>
        </w:rPr>
      </w:pPr>
      <w:r>
        <w:rPr>
          <w:rFonts w:hint="eastAsia" w:ascii="宋体" w:eastAsia="宋体"/>
          <w:b w:val="0"/>
          <w:color w:val="auto"/>
          <w:sz w:val="24"/>
          <w:szCs w:val="24"/>
          <w:highlight w:val="none"/>
        </w:rPr>
        <w:t>附件2</w:t>
      </w:r>
    </w:p>
    <w:p w14:paraId="362D6167">
      <w:pPr>
        <w:pStyle w:val="8"/>
        <w:rPr>
          <w:rFonts w:ascii="宋体" w:hAnsi="宋体" w:cs="宋体"/>
          <w:color w:val="auto"/>
          <w:highlight w:val="none"/>
        </w:rPr>
      </w:pPr>
      <w:bookmarkStart w:id="68" w:name="_Toc61276421"/>
      <w:bookmarkStart w:id="69" w:name="_Toc27047"/>
      <w:bookmarkStart w:id="70" w:name="_Toc518153320"/>
      <w:bookmarkStart w:id="71" w:name="_Toc18864"/>
      <w:r>
        <w:rPr>
          <w:rFonts w:hint="eastAsia" w:ascii="宋体" w:hAnsi="宋体" w:cs="宋体"/>
          <w:color w:val="auto"/>
          <w:highlight w:val="none"/>
        </w:rPr>
        <w:t>残疾人福利性单位声明函</w:t>
      </w:r>
      <w:bookmarkEnd w:id="68"/>
      <w:bookmarkEnd w:id="69"/>
      <w:bookmarkEnd w:id="70"/>
      <w:bookmarkEnd w:id="71"/>
    </w:p>
    <w:p w14:paraId="3C331821">
      <w:pPr>
        <w:spacing w:line="500" w:lineRule="exact"/>
        <w:ind w:firstLine="440" w:firstLineChars="200"/>
        <w:rPr>
          <w:rFonts w:ascii="宋体" w:eastAsia="宋体"/>
          <w:color w:val="auto"/>
          <w:spacing w:val="6"/>
          <w:sz w:val="22"/>
          <w:szCs w:val="22"/>
          <w:highlight w:val="none"/>
        </w:rPr>
      </w:pPr>
      <w:r>
        <w:rPr>
          <w:rFonts w:hint="eastAsia" w:ascii="宋体" w:eastAsia="宋体"/>
          <w:b w:val="0"/>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highlight w:val="none"/>
        </w:rPr>
        <w:t>______单位的______</w:t>
      </w:r>
      <w:r>
        <w:rPr>
          <w:rFonts w:hint="eastAsia" w:ascii="宋体" w:eastAsia="宋体"/>
          <w:b w:val="0"/>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5F788F08">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本单位对上述声明的真实性负责。如有虚假，将依法承担相应责任。</w:t>
      </w:r>
    </w:p>
    <w:p w14:paraId="3A0FCDBC">
      <w:pPr>
        <w:spacing w:line="500" w:lineRule="exact"/>
        <w:ind w:firstLine="466" w:firstLineChars="200"/>
        <w:rPr>
          <w:rFonts w:ascii="宋体" w:eastAsia="宋体"/>
          <w:color w:val="auto"/>
          <w:spacing w:val="6"/>
          <w:sz w:val="22"/>
          <w:szCs w:val="22"/>
          <w:highlight w:val="none"/>
        </w:rPr>
      </w:pPr>
    </w:p>
    <w:p w14:paraId="146B5FA7">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单位名称（盖章）：</w:t>
      </w:r>
    </w:p>
    <w:p w14:paraId="5129B480">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日  期：</w:t>
      </w:r>
    </w:p>
    <w:p w14:paraId="563BD5F2">
      <w:pPr>
        <w:spacing w:line="500" w:lineRule="exact"/>
        <w:rPr>
          <w:rFonts w:ascii="宋体" w:eastAsia="宋体"/>
          <w:b w:val="0"/>
          <w:color w:val="auto"/>
          <w:sz w:val="22"/>
          <w:szCs w:val="22"/>
          <w:highlight w:val="none"/>
        </w:rPr>
      </w:pPr>
      <w:r>
        <w:rPr>
          <w:rFonts w:hint="eastAsia" w:ascii="宋体" w:eastAsia="宋体"/>
          <w:b w:val="0"/>
          <w:color w:val="auto"/>
          <w:sz w:val="22"/>
          <w:szCs w:val="22"/>
          <w:highlight w:val="none"/>
        </w:rPr>
        <w:t>备注说明：</w:t>
      </w:r>
    </w:p>
    <w:p w14:paraId="3D47DFF1">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1、如中标，将在中标公示中将此残疾人福利性单位声明函予以公示，接受社会监督；</w:t>
      </w:r>
    </w:p>
    <w:p w14:paraId="2A8174D9">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2、供应商提供的《残疾人福利性单位声明函》与事实不符的，依照《中华人民共和国政府采购法》第七十七条第一款的规定追究法律责任。</w:t>
      </w:r>
    </w:p>
    <w:p w14:paraId="18C1EB62">
      <w:pPr>
        <w:pStyle w:val="20"/>
        <w:rPr>
          <w:rFonts w:ascii="宋体" w:hAnsi="宋体" w:eastAsia="宋体" w:cs="宋体"/>
          <w:color w:val="auto"/>
          <w:highlight w:val="none"/>
        </w:rPr>
      </w:pPr>
    </w:p>
    <w:p w14:paraId="6D33409F">
      <w:pPr>
        <w:pStyle w:val="8"/>
        <w:rPr>
          <w:rFonts w:ascii="宋体" w:hAnsi="宋体" w:cs="宋体"/>
          <w:color w:val="auto"/>
          <w:highlight w:val="none"/>
        </w:rPr>
      </w:pPr>
    </w:p>
    <w:p w14:paraId="06210B8B">
      <w:pPr>
        <w:rPr>
          <w:rFonts w:ascii="宋体" w:eastAsia="宋体"/>
          <w:color w:val="auto"/>
          <w:highlight w:val="none"/>
        </w:rPr>
      </w:pPr>
      <w:r>
        <w:rPr>
          <w:rFonts w:hint="eastAsia" w:ascii="宋体" w:eastAsia="宋体"/>
          <w:color w:val="auto"/>
          <w:highlight w:val="none"/>
        </w:rPr>
        <w:br w:type="page"/>
      </w:r>
    </w:p>
    <w:p w14:paraId="066045DC">
      <w:pPr>
        <w:pStyle w:val="8"/>
        <w:numPr>
          <w:ilvl w:val="0"/>
          <w:numId w:val="5"/>
        </w:numPr>
        <w:rPr>
          <w:rFonts w:ascii="宋体" w:hAnsi="宋体" w:cs="宋体"/>
          <w:color w:val="auto"/>
          <w:highlight w:val="none"/>
        </w:rPr>
      </w:pPr>
      <w:bookmarkStart w:id="72" w:name="_Toc22282"/>
      <w:r>
        <w:rPr>
          <w:rFonts w:hint="eastAsia" w:ascii="宋体" w:hAnsi="宋体" w:cs="宋体"/>
          <w:color w:val="auto"/>
          <w:highlight w:val="none"/>
        </w:rPr>
        <w:t>合同格式（仅供参考）</w:t>
      </w:r>
      <w:bookmarkEnd w:id="72"/>
    </w:p>
    <w:p w14:paraId="1F2F1EDC">
      <w:pPr>
        <w:widowControl/>
        <w:spacing w:line="360" w:lineRule="atLeast"/>
        <w:ind w:firstLine="5280" w:firstLineChars="240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合同编号：_________</w:t>
      </w:r>
    </w:p>
    <w:p w14:paraId="625BBFC4">
      <w:pPr>
        <w:overflowPunct w:val="0"/>
        <w:spacing w:line="360" w:lineRule="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甲方（采购人）：</w:t>
      </w:r>
      <w:r>
        <w:rPr>
          <w:rFonts w:hint="eastAsia" w:ascii="宋体" w:hAnsi="宋体" w:eastAsia="宋体" w:cs="宋体"/>
          <w:b w:val="0"/>
          <w:bCs w:val="0"/>
          <w:sz w:val="22"/>
          <w:szCs w:val="22"/>
          <w:highlight w:val="none"/>
          <w:u w:val="single"/>
        </w:rPr>
        <w:t xml:space="preserve">永嘉县农业农村局      </w:t>
      </w:r>
    </w:p>
    <w:p w14:paraId="7B7BB8D0">
      <w:pPr>
        <w:overflowPunct w:val="0"/>
        <w:spacing w:line="360" w:lineRule="auto"/>
        <w:rPr>
          <w:rFonts w:hint="eastAsia" w:ascii="宋体" w:hAnsi="宋体" w:eastAsia="宋体" w:cs="宋体"/>
          <w:b w:val="0"/>
          <w:bCs w:val="0"/>
          <w:sz w:val="22"/>
          <w:szCs w:val="22"/>
          <w:highlight w:val="none"/>
          <w:u w:val="single"/>
        </w:rPr>
      </w:pPr>
      <w:r>
        <w:rPr>
          <w:rFonts w:hint="eastAsia" w:ascii="宋体" w:hAnsi="宋体" w:eastAsia="宋体" w:cs="宋体"/>
          <w:b w:val="0"/>
          <w:bCs w:val="0"/>
          <w:sz w:val="22"/>
          <w:szCs w:val="22"/>
          <w:highlight w:val="none"/>
        </w:rPr>
        <w:t>乙方（中标供应商）：</w:t>
      </w:r>
      <w:r>
        <w:rPr>
          <w:rFonts w:hint="eastAsia" w:ascii="宋体" w:hAnsi="宋体" w:eastAsia="宋体" w:cs="宋体"/>
          <w:b w:val="0"/>
          <w:bCs w:val="0"/>
          <w:sz w:val="22"/>
          <w:szCs w:val="22"/>
          <w:highlight w:val="none"/>
          <w:u w:val="single"/>
        </w:rPr>
        <w:t xml:space="preserve">                               </w:t>
      </w:r>
    </w:p>
    <w:p w14:paraId="5FEC42F7">
      <w:pPr>
        <w:pStyle w:val="3"/>
        <w:numPr>
          <w:ilvl w:val="1"/>
          <w:numId w:val="0"/>
        </w:numPr>
        <w:spacing w:line="400" w:lineRule="exact"/>
        <w:ind w:leftChars="0"/>
        <w:rPr>
          <w:rFonts w:hint="eastAsia" w:ascii="宋体" w:hAnsi="宋体" w:eastAsia="宋体" w:cs="宋体"/>
          <w:b/>
          <w:bCs/>
          <w:sz w:val="22"/>
          <w:szCs w:val="22"/>
          <w:highlight w:val="none"/>
        </w:rPr>
      </w:pPr>
      <w:bookmarkStart w:id="73" w:name="_Toc27640"/>
      <w:bookmarkStart w:id="74" w:name="_Toc10984"/>
      <w:bookmarkStart w:id="75" w:name="_Toc2653"/>
      <w:r>
        <w:rPr>
          <w:rFonts w:hint="eastAsia" w:ascii="宋体" w:hAnsi="宋体" w:eastAsia="宋体" w:cs="宋体"/>
          <w:b/>
          <w:bCs/>
          <w:sz w:val="22"/>
          <w:szCs w:val="22"/>
          <w:highlight w:val="none"/>
        </w:rPr>
        <w:t>1.总则</w:t>
      </w:r>
      <w:bookmarkEnd w:id="73"/>
      <w:bookmarkEnd w:id="74"/>
      <w:bookmarkEnd w:id="75"/>
    </w:p>
    <w:p w14:paraId="532E826E">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根据</w:t>
      </w:r>
      <w:r>
        <w:rPr>
          <w:rFonts w:hint="eastAsia" w:ascii="宋体" w:hAnsi="宋体" w:eastAsia="宋体" w:cs="宋体"/>
          <w:b w:val="0"/>
          <w:bCs w:val="0"/>
          <w:color w:val="000000"/>
          <w:sz w:val="22"/>
          <w:szCs w:val="22"/>
          <w:highlight w:val="none"/>
        </w:rPr>
        <w:t>《中华人民共和国政府采购法》、</w:t>
      </w:r>
      <w:r>
        <w:rPr>
          <w:rFonts w:hint="eastAsia" w:ascii="宋体" w:hAnsi="宋体" w:eastAsia="宋体" w:cs="宋体"/>
          <w:b w:val="0"/>
          <w:bCs w:val="0"/>
          <w:sz w:val="22"/>
          <w:szCs w:val="22"/>
          <w:highlight w:val="none"/>
        </w:rPr>
        <w:t>《中华人民共和国政府采购法实施条例》、《中华人民共和国民法典》等有关政府采购法规，甲乙双方根据</w:t>
      </w:r>
      <w:r>
        <w:rPr>
          <w:rFonts w:hint="eastAsia" w:ascii="宋体" w:hAnsi="宋体" w:eastAsia="宋体" w:cs="宋体"/>
          <w:b w:val="0"/>
          <w:bCs w:val="0"/>
          <w:sz w:val="22"/>
          <w:szCs w:val="22"/>
          <w:highlight w:val="none"/>
          <w:u w:val="single"/>
        </w:rPr>
        <w:t xml:space="preserve">                      </w:t>
      </w:r>
      <w:r>
        <w:rPr>
          <w:rFonts w:hint="eastAsia" w:ascii="宋体" w:hAnsi="宋体" w:eastAsia="宋体" w:cs="宋体"/>
          <w:b w:val="0"/>
          <w:bCs w:val="0"/>
          <w:sz w:val="22"/>
          <w:szCs w:val="22"/>
          <w:highlight w:val="none"/>
        </w:rPr>
        <w:t>的采购结果，甲方同意接受乙方为本项目采购所做的响应文件，乙方必须完全按成交通知书、响应文件和本合同条款履行义务。甲、乙双方同意签署本合同：</w:t>
      </w:r>
    </w:p>
    <w:p w14:paraId="6410CF69">
      <w:pPr>
        <w:pStyle w:val="3"/>
        <w:numPr>
          <w:ilvl w:val="1"/>
          <w:numId w:val="0"/>
        </w:numPr>
        <w:spacing w:line="400" w:lineRule="exact"/>
        <w:ind w:leftChars="0"/>
        <w:rPr>
          <w:rFonts w:hint="eastAsia" w:ascii="宋体" w:hAnsi="宋体" w:eastAsia="宋体" w:cs="宋体"/>
          <w:b/>
          <w:bCs/>
          <w:sz w:val="22"/>
          <w:szCs w:val="22"/>
          <w:highlight w:val="none"/>
        </w:rPr>
      </w:pPr>
      <w:bookmarkStart w:id="76" w:name="_Toc20601"/>
      <w:bookmarkStart w:id="77" w:name="_Toc19283"/>
      <w:bookmarkStart w:id="78" w:name="_Toc8353"/>
      <w:bookmarkStart w:id="79" w:name="_Toc293916921"/>
      <w:r>
        <w:rPr>
          <w:rFonts w:hint="eastAsia" w:ascii="宋体" w:hAnsi="宋体" w:eastAsia="宋体" w:cs="宋体"/>
          <w:b/>
          <w:bCs/>
          <w:sz w:val="22"/>
          <w:szCs w:val="22"/>
          <w:highlight w:val="none"/>
        </w:rPr>
        <w:t>2.合同文件</w:t>
      </w:r>
      <w:bookmarkEnd w:id="76"/>
      <w:bookmarkEnd w:id="77"/>
      <w:bookmarkEnd w:id="78"/>
    </w:p>
    <w:bookmarkEnd w:id="79"/>
    <w:p w14:paraId="178E7B19">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2.1 本合同条款和合同补充条款或说明； </w:t>
      </w:r>
    </w:p>
    <w:p w14:paraId="23AF9913">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2.2 成交通知书； </w:t>
      </w:r>
    </w:p>
    <w:p w14:paraId="627DDF65">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2.3 供应商在询标时的书面承诺； </w:t>
      </w:r>
    </w:p>
    <w:p w14:paraId="46732E8C">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2.4 响应文件；</w:t>
      </w:r>
    </w:p>
    <w:p w14:paraId="502E9F90">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2.5 会议纪要；</w:t>
      </w:r>
    </w:p>
    <w:p w14:paraId="08656FC0">
      <w:pPr>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2.6 竞争性磋商文件。</w:t>
      </w:r>
    </w:p>
    <w:p w14:paraId="3F3F757E">
      <w:pPr>
        <w:pStyle w:val="29"/>
        <w:adjustRightIn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上述所指合同文件应认为是互相补充和解释的，但是有模棱两可或互相矛盾之处，以其所列内容先后顺序为准。</w:t>
      </w:r>
    </w:p>
    <w:p w14:paraId="433209D8">
      <w:pPr>
        <w:adjustRightInd w:val="0"/>
        <w:snapToGrid w:val="0"/>
        <w:spacing w:line="400" w:lineRule="exact"/>
        <w:rPr>
          <w:rFonts w:hint="eastAsia" w:ascii="宋体" w:hAnsi="宋体" w:eastAsia="宋体" w:cs="宋体"/>
          <w:b/>
          <w:bCs/>
          <w:color w:val="000000"/>
          <w:sz w:val="22"/>
          <w:szCs w:val="22"/>
          <w:highlight w:val="none"/>
        </w:rPr>
      </w:pPr>
      <w:bookmarkStart w:id="80" w:name="_Toc28962"/>
      <w:r>
        <w:rPr>
          <w:rFonts w:hint="eastAsia" w:ascii="宋体" w:hAnsi="宋体" w:eastAsia="宋体" w:cs="宋体"/>
          <w:b/>
          <w:bCs/>
          <w:color w:val="000000"/>
          <w:sz w:val="22"/>
          <w:szCs w:val="22"/>
          <w:highlight w:val="none"/>
        </w:rPr>
        <w:t>3.储备种子品种和数量及中标价格</w:t>
      </w:r>
    </w:p>
    <w:tbl>
      <w:tblPr>
        <w:tblStyle w:val="4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8"/>
        <w:gridCol w:w="1313"/>
        <w:gridCol w:w="1359"/>
        <w:gridCol w:w="1818"/>
        <w:gridCol w:w="1328"/>
        <w:gridCol w:w="2720"/>
      </w:tblGrid>
      <w:tr w14:paraId="0928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37" w:type="pct"/>
            <w:noWrap w:val="0"/>
            <w:vAlign w:val="center"/>
          </w:tcPr>
          <w:p w14:paraId="590E5E98">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作物名称</w:t>
            </w:r>
          </w:p>
        </w:tc>
        <w:tc>
          <w:tcPr>
            <w:tcW w:w="686" w:type="pct"/>
            <w:noWrap w:val="0"/>
            <w:vAlign w:val="center"/>
          </w:tcPr>
          <w:p w14:paraId="10D22E5E">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品种名称</w:t>
            </w:r>
          </w:p>
        </w:tc>
        <w:tc>
          <w:tcPr>
            <w:tcW w:w="710" w:type="pct"/>
            <w:noWrap w:val="0"/>
            <w:vAlign w:val="center"/>
          </w:tcPr>
          <w:p w14:paraId="18A19836">
            <w:pPr>
              <w:adjustRightInd w:val="0"/>
              <w:snapToGrid w:val="0"/>
              <w:spacing w:line="400" w:lineRule="exact"/>
              <w:ind w:firstLine="216" w:firstLineChars="98"/>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p w14:paraId="57C39FA6">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（万斤）</w:t>
            </w:r>
          </w:p>
        </w:tc>
        <w:tc>
          <w:tcPr>
            <w:tcW w:w="950" w:type="pct"/>
            <w:noWrap w:val="0"/>
            <w:vAlign w:val="center"/>
          </w:tcPr>
          <w:p w14:paraId="16A6FA00">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储备费用单价</w:t>
            </w:r>
          </w:p>
          <w:p w14:paraId="1A7F043A">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（元/斤）</w:t>
            </w:r>
          </w:p>
        </w:tc>
        <w:tc>
          <w:tcPr>
            <w:tcW w:w="694" w:type="pct"/>
            <w:noWrap w:val="0"/>
            <w:vAlign w:val="center"/>
          </w:tcPr>
          <w:p w14:paraId="500637FD">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中标总价</w:t>
            </w:r>
          </w:p>
          <w:p w14:paraId="533B3AB5">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421" w:type="pct"/>
            <w:noWrap w:val="0"/>
            <w:vAlign w:val="center"/>
          </w:tcPr>
          <w:p w14:paraId="02A9F929">
            <w:pPr>
              <w:adjustRightInd w:val="0"/>
              <w:snapToGrid w:val="0"/>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储备周期</w:t>
            </w:r>
          </w:p>
        </w:tc>
      </w:tr>
      <w:tr w14:paraId="7C7A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537" w:type="pct"/>
            <w:vMerge w:val="restart"/>
            <w:noWrap w:val="0"/>
            <w:vAlign w:val="center"/>
          </w:tcPr>
          <w:p w14:paraId="7EBE18CB">
            <w:pPr>
              <w:adjustRightInd w:val="0"/>
              <w:snapToGrid w:val="0"/>
              <w:spacing w:line="40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水稻</w:t>
            </w:r>
          </w:p>
        </w:tc>
        <w:tc>
          <w:tcPr>
            <w:tcW w:w="1289" w:type="dxa"/>
            <w:noWrap w:val="0"/>
            <w:vAlign w:val="center"/>
          </w:tcPr>
          <w:p w14:paraId="0DDB2A2F">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中嘉早17</w:t>
            </w:r>
          </w:p>
        </w:tc>
        <w:tc>
          <w:tcPr>
            <w:tcW w:w="1335" w:type="dxa"/>
            <w:noWrap w:val="0"/>
            <w:vAlign w:val="center"/>
          </w:tcPr>
          <w:p w14:paraId="0B1C335B">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w:t>
            </w:r>
          </w:p>
        </w:tc>
        <w:tc>
          <w:tcPr>
            <w:tcW w:w="950" w:type="pct"/>
            <w:noWrap w:val="0"/>
            <w:vAlign w:val="center"/>
          </w:tcPr>
          <w:p w14:paraId="65264EAC">
            <w:pPr>
              <w:adjustRightInd w:val="0"/>
              <w:snapToGrid w:val="0"/>
              <w:spacing w:line="400" w:lineRule="exact"/>
              <w:jc w:val="center"/>
              <w:rPr>
                <w:rFonts w:hint="eastAsia" w:ascii="宋体" w:hAnsi="宋体" w:eastAsia="宋体" w:cs="宋体"/>
                <w:b w:val="0"/>
                <w:bCs w:val="0"/>
                <w:sz w:val="22"/>
                <w:szCs w:val="22"/>
                <w:highlight w:val="none"/>
              </w:rPr>
            </w:pPr>
          </w:p>
        </w:tc>
        <w:tc>
          <w:tcPr>
            <w:tcW w:w="694" w:type="pct"/>
            <w:noWrap w:val="0"/>
            <w:vAlign w:val="center"/>
          </w:tcPr>
          <w:p w14:paraId="7EA1707A">
            <w:pPr>
              <w:adjustRightInd w:val="0"/>
              <w:snapToGrid w:val="0"/>
              <w:spacing w:line="400" w:lineRule="exact"/>
              <w:jc w:val="center"/>
              <w:rPr>
                <w:rFonts w:hint="eastAsia" w:ascii="宋体" w:hAnsi="宋体" w:eastAsia="宋体" w:cs="宋体"/>
                <w:b w:val="0"/>
                <w:bCs w:val="0"/>
                <w:sz w:val="22"/>
                <w:szCs w:val="22"/>
                <w:highlight w:val="none"/>
              </w:rPr>
            </w:pPr>
          </w:p>
        </w:tc>
        <w:tc>
          <w:tcPr>
            <w:tcW w:w="1421" w:type="pct"/>
            <w:vMerge w:val="restart"/>
            <w:noWrap w:val="0"/>
            <w:vAlign w:val="center"/>
          </w:tcPr>
          <w:p w14:paraId="3CC61E88">
            <w:pPr>
              <w:spacing w:line="40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eastAsia="zh-CN"/>
              </w:rPr>
              <w:t>2025</w:t>
            </w:r>
            <w:r>
              <w:rPr>
                <w:rFonts w:hint="eastAsia" w:ascii="宋体" w:hAnsi="宋体" w:eastAsia="宋体" w:cs="宋体"/>
                <w:b w:val="0"/>
                <w:bCs w:val="0"/>
                <w:sz w:val="22"/>
                <w:szCs w:val="22"/>
                <w:highlight w:val="none"/>
              </w:rPr>
              <w:t>年8月1日至202</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年7月31日</w:t>
            </w:r>
          </w:p>
        </w:tc>
      </w:tr>
      <w:tr w14:paraId="3369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37" w:type="pct"/>
            <w:vMerge w:val="continue"/>
            <w:noWrap w:val="0"/>
            <w:vAlign w:val="center"/>
          </w:tcPr>
          <w:p w14:paraId="562CCAFE">
            <w:pPr>
              <w:adjustRightInd w:val="0"/>
              <w:snapToGrid w:val="0"/>
              <w:spacing w:line="400" w:lineRule="exact"/>
              <w:jc w:val="center"/>
              <w:rPr>
                <w:rFonts w:hint="eastAsia" w:ascii="宋体" w:hAnsi="宋体" w:eastAsia="宋体" w:cs="宋体"/>
                <w:sz w:val="22"/>
                <w:szCs w:val="22"/>
                <w:highlight w:val="none"/>
              </w:rPr>
            </w:pPr>
          </w:p>
        </w:tc>
        <w:tc>
          <w:tcPr>
            <w:tcW w:w="1289" w:type="dxa"/>
            <w:noWrap w:val="0"/>
            <w:vAlign w:val="center"/>
          </w:tcPr>
          <w:p w14:paraId="25402F9D">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浙1831</w:t>
            </w:r>
          </w:p>
        </w:tc>
        <w:tc>
          <w:tcPr>
            <w:tcW w:w="1335" w:type="dxa"/>
            <w:noWrap w:val="0"/>
            <w:vAlign w:val="center"/>
          </w:tcPr>
          <w:p w14:paraId="71A3ABD8">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5</w:t>
            </w:r>
          </w:p>
        </w:tc>
        <w:tc>
          <w:tcPr>
            <w:tcW w:w="950" w:type="pct"/>
            <w:noWrap w:val="0"/>
            <w:vAlign w:val="center"/>
          </w:tcPr>
          <w:p w14:paraId="2040DA70">
            <w:pPr>
              <w:adjustRightInd w:val="0"/>
              <w:snapToGrid w:val="0"/>
              <w:spacing w:line="400" w:lineRule="exact"/>
              <w:jc w:val="center"/>
              <w:rPr>
                <w:rFonts w:hint="eastAsia" w:ascii="宋体" w:hAnsi="宋体" w:eastAsia="宋体" w:cs="宋体"/>
                <w:b w:val="0"/>
                <w:bCs w:val="0"/>
                <w:sz w:val="22"/>
                <w:szCs w:val="22"/>
                <w:highlight w:val="none"/>
              </w:rPr>
            </w:pPr>
          </w:p>
        </w:tc>
        <w:tc>
          <w:tcPr>
            <w:tcW w:w="694" w:type="pct"/>
            <w:noWrap w:val="0"/>
            <w:vAlign w:val="center"/>
          </w:tcPr>
          <w:p w14:paraId="3D1B0098">
            <w:pPr>
              <w:adjustRightInd w:val="0"/>
              <w:snapToGrid w:val="0"/>
              <w:spacing w:line="400" w:lineRule="exact"/>
              <w:jc w:val="center"/>
              <w:rPr>
                <w:rFonts w:hint="eastAsia" w:ascii="宋体" w:hAnsi="宋体" w:eastAsia="宋体" w:cs="宋体"/>
                <w:b w:val="0"/>
                <w:bCs w:val="0"/>
                <w:sz w:val="22"/>
                <w:szCs w:val="22"/>
                <w:highlight w:val="none"/>
              </w:rPr>
            </w:pPr>
          </w:p>
        </w:tc>
        <w:tc>
          <w:tcPr>
            <w:tcW w:w="1421" w:type="pct"/>
            <w:vMerge w:val="continue"/>
            <w:noWrap w:val="0"/>
            <w:vAlign w:val="center"/>
          </w:tcPr>
          <w:p w14:paraId="0612681A">
            <w:pPr>
              <w:adjustRightInd w:val="0"/>
              <w:snapToGrid w:val="0"/>
              <w:spacing w:line="400" w:lineRule="exact"/>
              <w:rPr>
                <w:rFonts w:hint="eastAsia" w:ascii="宋体" w:hAnsi="宋体" w:eastAsia="宋体" w:cs="宋体"/>
                <w:sz w:val="22"/>
                <w:szCs w:val="22"/>
                <w:highlight w:val="none"/>
              </w:rPr>
            </w:pPr>
          </w:p>
        </w:tc>
      </w:tr>
      <w:tr w14:paraId="75617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537" w:type="pct"/>
            <w:vMerge w:val="continue"/>
            <w:noWrap w:val="0"/>
            <w:vAlign w:val="center"/>
          </w:tcPr>
          <w:p w14:paraId="3C78ADD7">
            <w:pPr>
              <w:adjustRightInd w:val="0"/>
              <w:snapToGrid w:val="0"/>
              <w:spacing w:line="400" w:lineRule="exact"/>
              <w:jc w:val="center"/>
              <w:rPr>
                <w:rFonts w:hint="eastAsia" w:ascii="宋体" w:hAnsi="宋体" w:eastAsia="宋体" w:cs="宋体"/>
                <w:sz w:val="22"/>
                <w:szCs w:val="22"/>
                <w:highlight w:val="none"/>
              </w:rPr>
            </w:pPr>
          </w:p>
        </w:tc>
        <w:tc>
          <w:tcPr>
            <w:tcW w:w="1289" w:type="dxa"/>
            <w:noWrap w:val="0"/>
            <w:vAlign w:val="center"/>
          </w:tcPr>
          <w:p w14:paraId="5160A10A">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台科早3</w:t>
            </w:r>
          </w:p>
        </w:tc>
        <w:tc>
          <w:tcPr>
            <w:tcW w:w="1335" w:type="dxa"/>
            <w:noWrap w:val="0"/>
            <w:vAlign w:val="center"/>
          </w:tcPr>
          <w:p w14:paraId="73748012">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w:t>
            </w:r>
          </w:p>
        </w:tc>
        <w:tc>
          <w:tcPr>
            <w:tcW w:w="950" w:type="pct"/>
            <w:noWrap w:val="0"/>
            <w:vAlign w:val="center"/>
          </w:tcPr>
          <w:p w14:paraId="78C06D91">
            <w:pPr>
              <w:adjustRightInd w:val="0"/>
              <w:snapToGrid w:val="0"/>
              <w:spacing w:line="400" w:lineRule="exact"/>
              <w:jc w:val="center"/>
              <w:rPr>
                <w:rFonts w:hint="eastAsia" w:ascii="宋体" w:hAnsi="宋体" w:eastAsia="宋体" w:cs="宋体"/>
                <w:b w:val="0"/>
                <w:bCs w:val="0"/>
                <w:sz w:val="22"/>
                <w:szCs w:val="22"/>
                <w:highlight w:val="none"/>
              </w:rPr>
            </w:pPr>
          </w:p>
        </w:tc>
        <w:tc>
          <w:tcPr>
            <w:tcW w:w="694" w:type="pct"/>
            <w:noWrap w:val="0"/>
            <w:vAlign w:val="center"/>
          </w:tcPr>
          <w:p w14:paraId="120C39E7">
            <w:pPr>
              <w:adjustRightInd w:val="0"/>
              <w:snapToGrid w:val="0"/>
              <w:spacing w:line="400" w:lineRule="exact"/>
              <w:jc w:val="center"/>
              <w:rPr>
                <w:rFonts w:hint="eastAsia" w:ascii="宋体" w:hAnsi="宋体" w:eastAsia="宋体" w:cs="宋体"/>
                <w:b w:val="0"/>
                <w:bCs w:val="0"/>
                <w:sz w:val="22"/>
                <w:szCs w:val="22"/>
                <w:highlight w:val="none"/>
              </w:rPr>
            </w:pPr>
          </w:p>
        </w:tc>
        <w:tc>
          <w:tcPr>
            <w:tcW w:w="1421" w:type="pct"/>
            <w:vMerge w:val="continue"/>
            <w:noWrap w:val="0"/>
            <w:vAlign w:val="center"/>
          </w:tcPr>
          <w:p w14:paraId="3BEF7D6F">
            <w:pPr>
              <w:adjustRightInd w:val="0"/>
              <w:snapToGrid w:val="0"/>
              <w:spacing w:line="400" w:lineRule="exact"/>
              <w:rPr>
                <w:rFonts w:hint="eastAsia" w:ascii="宋体" w:hAnsi="宋体" w:eastAsia="宋体" w:cs="宋体"/>
                <w:sz w:val="22"/>
                <w:szCs w:val="22"/>
                <w:highlight w:val="none"/>
              </w:rPr>
            </w:pPr>
          </w:p>
        </w:tc>
      </w:tr>
      <w:tr w14:paraId="4B63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37" w:type="pct"/>
            <w:vMerge w:val="continue"/>
            <w:noWrap w:val="0"/>
            <w:vAlign w:val="center"/>
          </w:tcPr>
          <w:p w14:paraId="044291B3">
            <w:pPr>
              <w:adjustRightInd w:val="0"/>
              <w:snapToGrid w:val="0"/>
              <w:spacing w:line="400" w:lineRule="exact"/>
              <w:jc w:val="center"/>
              <w:rPr>
                <w:rFonts w:hint="eastAsia" w:ascii="宋体" w:hAnsi="宋体" w:eastAsia="宋体" w:cs="宋体"/>
                <w:sz w:val="22"/>
                <w:szCs w:val="22"/>
                <w:highlight w:val="none"/>
              </w:rPr>
            </w:pPr>
          </w:p>
        </w:tc>
        <w:tc>
          <w:tcPr>
            <w:tcW w:w="1289" w:type="dxa"/>
            <w:noWrap w:val="0"/>
            <w:vAlign w:val="center"/>
          </w:tcPr>
          <w:p w14:paraId="17D10B35">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中早39</w:t>
            </w:r>
          </w:p>
        </w:tc>
        <w:tc>
          <w:tcPr>
            <w:tcW w:w="1335" w:type="dxa"/>
            <w:noWrap w:val="0"/>
            <w:vAlign w:val="center"/>
          </w:tcPr>
          <w:p w14:paraId="47379709">
            <w:pPr>
              <w:spacing w:line="5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6</w:t>
            </w:r>
          </w:p>
        </w:tc>
        <w:tc>
          <w:tcPr>
            <w:tcW w:w="950" w:type="pct"/>
            <w:noWrap w:val="0"/>
            <w:vAlign w:val="center"/>
          </w:tcPr>
          <w:p w14:paraId="1EC95127">
            <w:pPr>
              <w:adjustRightInd w:val="0"/>
              <w:snapToGrid w:val="0"/>
              <w:spacing w:line="400" w:lineRule="exact"/>
              <w:jc w:val="center"/>
              <w:rPr>
                <w:rFonts w:hint="eastAsia" w:ascii="宋体" w:hAnsi="宋体" w:eastAsia="宋体" w:cs="宋体"/>
                <w:b w:val="0"/>
                <w:bCs w:val="0"/>
                <w:sz w:val="22"/>
                <w:szCs w:val="22"/>
                <w:highlight w:val="none"/>
              </w:rPr>
            </w:pPr>
          </w:p>
        </w:tc>
        <w:tc>
          <w:tcPr>
            <w:tcW w:w="694" w:type="pct"/>
            <w:noWrap w:val="0"/>
            <w:vAlign w:val="center"/>
          </w:tcPr>
          <w:p w14:paraId="2B5C80AC">
            <w:pPr>
              <w:adjustRightInd w:val="0"/>
              <w:snapToGrid w:val="0"/>
              <w:spacing w:line="400" w:lineRule="exact"/>
              <w:jc w:val="center"/>
              <w:rPr>
                <w:rFonts w:hint="eastAsia" w:ascii="宋体" w:hAnsi="宋体" w:eastAsia="宋体" w:cs="宋体"/>
                <w:b w:val="0"/>
                <w:bCs w:val="0"/>
                <w:sz w:val="22"/>
                <w:szCs w:val="22"/>
                <w:highlight w:val="none"/>
              </w:rPr>
            </w:pPr>
          </w:p>
        </w:tc>
        <w:tc>
          <w:tcPr>
            <w:tcW w:w="1421" w:type="pct"/>
            <w:vMerge w:val="continue"/>
            <w:noWrap w:val="0"/>
            <w:vAlign w:val="center"/>
          </w:tcPr>
          <w:p w14:paraId="00099B1C">
            <w:pPr>
              <w:adjustRightInd w:val="0"/>
              <w:snapToGrid w:val="0"/>
              <w:spacing w:line="400" w:lineRule="exact"/>
              <w:jc w:val="center"/>
              <w:rPr>
                <w:rFonts w:hint="eastAsia" w:ascii="宋体" w:hAnsi="宋体" w:eastAsia="宋体" w:cs="宋体"/>
                <w:sz w:val="22"/>
                <w:szCs w:val="22"/>
                <w:highlight w:val="none"/>
              </w:rPr>
            </w:pPr>
          </w:p>
        </w:tc>
      </w:tr>
      <w:tr w14:paraId="03F4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223" w:type="pct"/>
            <w:gridSpan w:val="2"/>
            <w:noWrap w:val="0"/>
            <w:vAlign w:val="center"/>
          </w:tcPr>
          <w:p w14:paraId="17E07D0A">
            <w:pPr>
              <w:adjustRightInd w:val="0"/>
              <w:snapToGrid w:val="0"/>
              <w:spacing w:line="40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合计</w:t>
            </w:r>
          </w:p>
        </w:tc>
        <w:tc>
          <w:tcPr>
            <w:tcW w:w="710" w:type="pct"/>
            <w:noWrap w:val="0"/>
            <w:vAlign w:val="center"/>
          </w:tcPr>
          <w:p w14:paraId="1CA63379">
            <w:pPr>
              <w:adjustRightInd w:val="0"/>
              <w:snapToGrid w:val="0"/>
              <w:spacing w:line="40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19</w:t>
            </w:r>
          </w:p>
        </w:tc>
        <w:tc>
          <w:tcPr>
            <w:tcW w:w="950" w:type="pct"/>
            <w:noWrap w:val="0"/>
            <w:vAlign w:val="center"/>
          </w:tcPr>
          <w:p w14:paraId="76A00BB0">
            <w:pPr>
              <w:adjustRightInd w:val="0"/>
              <w:snapToGrid w:val="0"/>
              <w:spacing w:line="400" w:lineRule="exact"/>
              <w:jc w:val="center"/>
              <w:rPr>
                <w:rFonts w:hint="eastAsia" w:ascii="宋体" w:hAnsi="宋体" w:eastAsia="宋体" w:cs="宋体"/>
                <w:b w:val="0"/>
                <w:bCs w:val="0"/>
                <w:sz w:val="22"/>
                <w:szCs w:val="22"/>
                <w:highlight w:val="none"/>
              </w:rPr>
            </w:pPr>
          </w:p>
        </w:tc>
        <w:tc>
          <w:tcPr>
            <w:tcW w:w="694" w:type="pct"/>
            <w:noWrap w:val="0"/>
            <w:vAlign w:val="center"/>
          </w:tcPr>
          <w:p w14:paraId="3567778B">
            <w:pPr>
              <w:adjustRightInd w:val="0"/>
              <w:snapToGrid w:val="0"/>
              <w:spacing w:line="400" w:lineRule="exact"/>
              <w:jc w:val="center"/>
              <w:rPr>
                <w:rFonts w:hint="eastAsia" w:ascii="宋体" w:hAnsi="宋体" w:eastAsia="宋体" w:cs="宋体"/>
                <w:b w:val="0"/>
                <w:bCs w:val="0"/>
                <w:sz w:val="22"/>
                <w:szCs w:val="22"/>
                <w:highlight w:val="none"/>
              </w:rPr>
            </w:pPr>
          </w:p>
        </w:tc>
        <w:tc>
          <w:tcPr>
            <w:tcW w:w="1421" w:type="pct"/>
            <w:vMerge w:val="continue"/>
            <w:noWrap w:val="0"/>
            <w:vAlign w:val="center"/>
          </w:tcPr>
          <w:p w14:paraId="7E264A93">
            <w:pPr>
              <w:adjustRightInd w:val="0"/>
              <w:snapToGrid w:val="0"/>
              <w:spacing w:line="400" w:lineRule="exact"/>
              <w:rPr>
                <w:rFonts w:hint="eastAsia" w:ascii="宋体" w:hAnsi="宋体" w:eastAsia="宋体" w:cs="宋体"/>
                <w:sz w:val="22"/>
                <w:szCs w:val="22"/>
                <w:highlight w:val="none"/>
              </w:rPr>
            </w:pPr>
          </w:p>
        </w:tc>
      </w:tr>
    </w:tbl>
    <w:p w14:paraId="129AF25A">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4.中标价</w:t>
      </w:r>
    </w:p>
    <w:p w14:paraId="034D32DC">
      <w:pPr>
        <w:adjustRightInd w:val="0"/>
        <w:snapToGrid w:val="0"/>
        <w:spacing w:line="400" w:lineRule="exact"/>
        <w:ind w:firstLine="539" w:firstLineChars="245"/>
        <w:rPr>
          <w:rFonts w:hint="eastAsia" w:ascii="宋体" w:hAnsi="宋体" w:eastAsia="宋体" w:cs="宋体"/>
          <w:b w:val="0"/>
          <w:bCs w:val="0"/>
          <w:sz w:val="22"/>
          <w:szCs w:val="22"/>
          <w:highlight w:val="none"/>
        </w:rPr>
      </w:pPr>
      <w:r>
        <w:rPr>
          <w:rFonts w:hint="eastAsia" w:ascii="宋体" w:hAnsi="宋体" w:eastAsia="宋体" w:cs="宋体"/>
          <w:b w:val="0"/>
          <w:bCs w:val="0"/>
          <w:color w:val="000000"/>
          <w:sz w:val="22"/>
          <w:szCs w:val="22"/>
          <w:highlight w:val="none"/>
        </w:rPr>
        <w:t>中标价即储</w:t>
      </w:r>
      <w:r>
        <w:rPr>
          <w:rFonts w:hint="eastAsia" w:ascii="宋体" w:hAnsi="宋体" w:eastAsia="宋体" w:cs="宋体"/>
          <w:b w:val="0"/>
          <w:bCs w:val="0"/>
          <w:sz w:val="22"/>
          <w:szCs w:val="22"/>
          <w:highlight w:val="none"/>
        </w:rPr>
        <w:t xml:space="preserve">备费用，包括种子收购资金占用利息、种子收购、运输、加工精选、包装、检测和储备以及合同到期储备种子报废转商损失等所有费用。 </w:t>
      </w:r>
    </w:p>
    <w:p w14:paraId="5A0D30E1">
      <w:pPr>
        <w:adjustRightInd w:val="0"/>
        <w:snapToGrid w:val="0"/>
        <w:spacing w:line="40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5.储备种子包装和仓储地点要求</w:t>
      </w:r>
    </w:p>
    <w:p w14:paraId="1F0A2593">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sz w:val="22"/>
          <w:szCs w:val="22"/>
          <w:highlight w:val="none"/>
        </w:rPr>
        <w:t>储备种子须用专用包装袋包装，种子标签上注明承储单位、作物、品种、产地、数量、入库时间、质量状况等。</w:t>
      </w:r>
      <w:r>
        <w:rPr>
          <w:rFonts w:hint="eastAsia" w:ascii="宋体" w:hAnsi="宋体" w:eastAsia="宋体" w:cs="宋体"/>
          <w:b w:val="0"/>
          <w:bCs w:val="0"/>
          <w:color w:val="000000"/>
          <w:sz w:val="22"/>
          <w:szCs w:val="22"/>
          <w:highlight w:val="none"/>
        </w:rPr>
        <w:t>仓储地点要求安排在浙江区域范围内，交通便利、地势较高而不易受灾的地方。</w:t>
      </w:r>
    </w:p>
    <w:p w14:paraId="2CFF638D">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6.种子生产及质量要求</w:t>
      </w:r>
    </w:p>
    <w:p w14:paraId="46178279">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乙方落实种子生产基地应取得产地检疫证明，按照农作物种子生产技术操作规程组织生产，建立种子生产档案。乙方对储备种子进行加工、精选、包装和质量检测，储备种子质量必须达国家标准。经甲方对入库储备种子进行检测验收，抽检种子样品送浙江省种子质量监督检测中心进行检测，检测结果作为储备种子质量是否合格的依据。</w:t>
      </w:r>
    </w:p>
    <w:p w14:paraId="3C8C91D2">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7.保管制度</w:t>
      </w:r>
    </w:p>
    <w:p w14:paraId="6E31268D">
      <w:pPr>
        <w:adjustRightInd w:val="0"/>
        <w:snapToGrid w:val="0"/>
        <w:spacing w:line="40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乙方应单独建立储备种子明细帐簿，载明作物种类、品种名称、储备数量、生产地点、存放地点、动用情况等，并做到帐实相符，随时接受甲方和上级有关部门的检查。应建立储备种子保管制度，对储备种子实行专仓储存、专人保管、专帐记载、专案归档。定期抽检种子质量，确保储备种子数量与质量安全。</w:t>
      </w:r>
    </w:p>
    <w:p w14:paraId="058F229C">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8.调运储备种子</w:t>
      </w:r>
    </w:p>
    <w:p w14:paraId="735094F7">
      <w:pPr>
        <w:adjustRightInd w:val="0"/>
        <w:snapToGrid w:val="0"/>
        <w:spacing w:line="40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乙方在接到甲方调拨储备种子通知书后，2小时内做出反应，24小时内将种子送达申请单位。应保质保量按时调拨储备种子，并协助申请动用单位做好种子调运工作。乙方并应于调拨后20天内将调出的作物种类、品种、数量、时间、调出地点、调入地点、播种或救灾面积及预计可挽回经济损失等情况书面告知甲方（以及甲方要求的其他有关部门）。</w:t>
      </w:r>
    </w:p>
    <w:p w14:paraId="6E47B3B0">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9.动用储备种子价格</w:t>
      </w:r>
    </w:p>
    <w:p w14:paraId="3EACE1C9">
      <w:pPr>
        <w:adjustRightInd w:val="0"/>
        <w:snapToGrid w:val="0"/>
        <w:spacing w:line="40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动用储备种子用于救灾的原则上按成本价确定供应价格,用于市场应急供种的按不低于成本价、不高于市场价供应。成本价主要包括直接收购成本、加工包装、仓储保管、利息等费用。具体价格和调运事项由双方协商确定。调运费用由申请动用单位承担。</w:t>
      </w:r>
    </w:p>
    <w:p w14:paraId="00463D0F">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10.承储期满处理方式</w:t>
      </w:r>
    </w:p>
    <w:p w14:paraId="5A05F938">
      <w:pPr>
        <w:adjustRightInd w:val="0"/>
        <w:snapToGrid w:val="0"/>
        <w:spacing w:line="400" w:lineRule="exact"/>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承储到期后，乙方通知甲方进行数量核验，按《浙江省农作物种子储备管理办法 》要求转商处理未动用储备种子，处置结果应当报相应甲方备案。</w:t>
      </w:r>
    </w:p>
    <w:p w14:paraId="60F4FFFE">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11.储备费用结算和支付</w:t>
      </w:r>
    </w:p>
    <w:p w14:paraId="4AD9B995">
      <w:pPr>
        <w:adjustRightInd w:val="0"/>
        <w:snapToGrid w:val="0"/>
        <w:spacing w:line="400" w:lineRule="exact"/>
        <w:ind w:firstLine="541" w:firstLineChars="245"/>
        <w:rPr>
          <w:rFonts w:hint="eastAsia" w:ascii="宋体" w:hAnsi="宋体" w:eastAsia="宋体" w:cs="宋体"/>
          <w:color w:val="000000"/>
          <w:sz w:val="22"/>
          <w:szCs w:val="22"/>
          <w:highlight w:val="none"/>
        </w:rPr>
      </w:pPr>
      <w:r>
        <w:rPr>
          <w:rFonts w:hint="eastAsia" w:ascii="宋体" w:hAnsi="宋体" w:eastAsia="宋体" w:cs="宋体"/>
          <w:b/>
          <w:color w:val="auto"/>
          <w:sz w:val="22"/>
          <w:szCs w:val="22"/>
          <w:highlight w:val="none"/>
          <w:u w:val="single"/>
          <w:lang w:val="en-US" w:eastAsia="zh-CN"/>
        </w:rPr>
        <w:t>乙方</w:t>
      </w:r>
      <w:r>
        <w:rPr>
          <w:rFonts w:hint="eastAsia" w:ascii="宋体" w:hAnsi="宋体" w:eastAsia="宋体" w:cs="宋体"/>
          <w:b/>
          <w:color w:val="auto"/>
          <w:sz w:val="22"/>
          <w:szCs w:val="22"/>
          <w:highlight w:val="none"/>
          <w:u w:val="single"/>
        </w:rPr>
        <w:t>须提交合同总价</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%的履约保证金，</w:t>
      </w:r>
      <w:r>
        <w:rPr>
          <w:rFonts w:hint="eastAsia" w:ascii="宋体" w:hAnsi="宋体" w:eastAsia="宋体" w:cs="宋体"/>
          <w:b/>
          <w:color w:val="auto"/>
          <w:sz w:val="22"/>
          <w:szCs w:val="22"/>
          <w:highlight w:val="none"/>
          <w:u w:val="single"/>
          <w:lang w:val="en-US" w:eastAsia="zh-CN"/>
        </w:rPr>
        <w:t>乙方</w:t>
      </w:r>
      <w:r>
        <w:rPr>
          <w:rFonts w:hint="eastAsia" w:ascii="宋体" w:hAnsi="宋体" w:eastAsia="宋体" w:cs="宋体"/>
          <w:b/>
          <w:color w:val="auto"/>
          <w:sz w:val="22"/>
          <w:szCs w:val="22"/>
          <w:highlight w:val="none"/>
          <w:u w:val="single"/>
        </w:rPr>
        <w:t>将所有种子供应齐全入库后由</w:t>
      </w:r>
      <w:r>
        <w:rPr>
          <w:rFonts w:hint="eastAsia" w:ascii="宋体" w:hAnsi="宋体" w:eastAsia="宋体" w:cs="宋体"/>
          <w:b/>
          <w:color w:val="auto"/>
          <w:sz w:val="22"/>
          <w:szCs w:val="22"/>
          <w:highlight w:val="none"/>
          <w:u w:val="single"/>
          <w:lang w:val="en-US" w:eastAsia="zh-CN"/>
        </w:rPr>
        <w:t>甲方</w:t>
      </w:r>
      <w:r>
        <w:rPr>
          <w:rFonts w:hint="eastAsia" w:ascii="宋体" w:hAnsi="宋体" w:eastAsia="宋体" w:cs="宋体"/>
          <w:b/>
          <w:color w:val="auto"/>
          <w:sz w:val="22"/>
          <w:szCs w:val="22"/>
          <w:highlight w:val="none"/>
          <w:u w:val="single"/>
        </w:rPr>
        <w:t>进行验收，在储备种子代储到期后（服务期满后）十五个工作日内支付所有的合同款。承储到期后，储备费用结算应扣除动用部分的种子报废转商损失（按0.7元/市斤计算）。履约保证金在储备周期结束后五个工作日内无息退还。</w:t>
      </w:r>
    </w:p>
    <w:p w14:paraId="59752E21">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乙方因管理不善或人为因素造成储备种子损失的，其损失由乙方承担。 </w:t>
      </w:r>
    </w:p>
    <w:p w14:paraId="1C827036">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12.计划变更</w:t>
      </w:r>
    </w:p>
    <w:p w14:paraId="627FAC6F">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由于不可抗力的原因，乙方如需改变农作物种子储备计划，须报甲方，并经永嘉县农业农村局会同同级财政部门批准后实施。</w:t>
      </w:r>
    </w:p>
    <w:p w14:paraId="25808A88">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13.违约责任</w:t>
      </w:r>
    </w:p>
    <w:p w14:paraId="0BE84E4E">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1、乙方未按国家或行业规定的质量标准储备种子，甲方核减不合格部分储备种子的储备补助资金。</w:t>
      </w:r>
    </w:p>
    <w:p w14:paraId="3C07F6A3">
      <w:pPr>
        <w:adjustRightInd w:val="0"/>
        <w:snapToGrid w:val="0"/>
        <w:spacing w:line="400" w:lineRule="exact"/>
        <w:ind w:firstLine="646" w:firstLineChars="29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2、乙方逾期履行合同的，自逾期之日起，向甲方每日偿付合同总价万分之二的滞纳金。</w:t>
      </w:r>
    </w:p>
    <w:p w14:paraId="6B161E89">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3、乙方未经批准擅自改变储备作物种类、品种、数量或擅自动用储备种子，除承担违约责任和不予拨付补贴资金外，3年内取消其承储资格。</w:t>
      </w:r>
    </w:p>
    <w:p w14:paraId="20A9E7E8">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4、甲方逾期支付货款的，应向乙方每日偿付合同总价万分之五的滞纳金。甲方无正当理由拒收货物、拒付货款的，应向乙方偿付合同总价百分之五的违约金。</w:t>
      </w:r>
    </w:p>
    <w:p w14:paraId="45D6F5A2">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14.储备工作总结</w:t>
      </w:r>
    </w:p>
    <w:p w14:paraId="669AC7BC">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乙方应于202</w:t>
      </w:r>
      <w:r>
        <w:rPr>
          <w:rFonts w:hint="eastAsia" w:ascii="宋体" w:hAnsi="宋体" w:eastAsia="宋体" w:cs="宋体"/>
          <w:b w:val="0"/>
          <w:bCs w:val="0"/>
          <w:color w:val="000000"/>
          <w:sz w:val="22"/>
          <w:szCs w:val="22"/>
          <w:highlight w:val="none"/>
          <w:lang w:val="en-US" w:eastAsia="zh-CN"/>
        </w:rPr>
        <w:t>6</w:t>
      </w:r>
      <w:r>
        <w:rPr>
          <w:rFonts w:hint="eastAsia" w:ascii="宋体" w:hAnsi="宋体" w:eastAsia="宋体" w:cs="宋体"/>
          <w:b w:val="0"/>
          <w:bCs w:val="0"/>
          <w:color w:val="000000"/>
          <w:sz w:val="22"/>
          <w:szCs w:val="22"/>
          <w:highlight w:val="none"/>
        </w:rPr>
        <w:t>年8月10日前向甲方报送</w:t>
      </w:r>
      <w:r>
        <w:rPr>
          <w:rFonts w:hint="eastAsia" w:ascii="宋体" w:hAnsi="宋体" w:eastAsia="宋体" w:cs="宋体"/>
          <w:b w:val="0"/>
          <w:bCs w:val="0"/>
          <w:color w:val="000000"/>
          <w:sz w:val="22"/>
          <w:szCs w:val="22"/>
          <w:highlight w:val="none"/>
          <w:lang w:eastAsia="zh-CN"/>
        </w:rPr>
        <w:t>2025</w:t>
      </w:r>
      <w:r>
        <w:rPr>
          <w:rFonts w:hint="eastAsia" w:ascii="宋体" w:hAnsi="宋体" w:eastAsia="宋体" w:cs="宋体"/>
          <w:b w:val="0"/>
          <w:bCs w:val="0"/>
          <w:color w:val="000000"/>
          <w:sz w:val="22"/>
          <w:szCs w:val="22"/>
          <w:highlight w:val="none"/>
        </w:rPr>
        <w:t>年度农作物种子储备工作总结，内容包括：农作物种子储备任务落实情况，储备合同执行情况，储备种子调拨情况，储备种子在救灾与市场补缺中发挥的作用和效益。</w:t>
      </w:r>
    </w:p>
    <w:p w14:paraId="2C9C4B41">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15.争议的解决</w:t>
      </w:r>
    </w:p>
    <w:p w14:paraId="23772DF2">
      <w:pPr>
        <w:adjustRightInd w:val="0"/>
        <w:snapToGrid w:val="0"/>
        <w:spacing w:line="400" w:lineRule="exact"/>
        <w:ind w:firstLine="539" w:firstLineChars="245"/>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本合同为政府采购之合同，在发生所供商品的质量、售后服务等问题时，甲方有权直接向乙方索赔，签订必要的书面处理协议。如协商不成，任何一方有权在合同签约地选择诉讼的途径解决。</w:t>
      </w:r>
    </w:p>
    <w:p w14:paraId="0F7F3330">
      <w:pPr>
        <w:adjustRightInd w:val="0"/>
        <w:snapToGrid w:val="0"/>
        <w:spacing w:line="4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16.合同生效</w:t>
      </w:r>
      <w:bookmarkEnd w:id="80"/>
    </w:p>
    <w:p w14:paraId="31FF1033">
      <w:pPr>
        <w:autoSpaceDN w:val="0"/>
        <w:adjustRightInd w:val="0"/>
        <w:snapToGrid w:val="0"/>
        <w:spacing w:line="400" w:lineRule="exact"/>
        <w:ind w:firstLine="440" w:firstLineChars="20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16</w:t>
      </w: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sz w:val="22"/>
          <w:szCs w:val="22"/>
          <w:highlight w:val="none"/>
        </w:rPr>
        <w:t xml:space="preserve"> 本合同一式四份，甲、乙双方各执二份。</w:t>
      </w:r>
    </w:p>
    <w:p w14:paraId="700F7F9C">
      <w:pPr>
        <w:spacing w:line="400" w:lineRule="exact"/>
        <w:ind w:firstLine="440" w:firstLineChars="200"/>
        <w:rPr>
          <w:rFonts w:ascii="宋体" w:eastAsia="宋体"/>
          <w:b w:val="0"/>
          <w:bCs w:val="0"/>
          <w:color w:val="auto"/>
          <w:highlight w:val="none"/>
        </w:rPr>
      </w:pPr>
      <w:r>
        <w:rPr>
          <w:rFonts w:hint="eastAsia" w:ascii="宋体" w:hAnsi="宋体" w:eastAsia="宋体" w:cs="宋体"/>
          <w:b w:val="0"/>
          <w:bCs w:val="0"/>
          <w:sz w:val="22"/>
          <w:szCs w:val="22"/>
          <w:highlight w:val="none"/>
        </w:rPr>
        <w:t>16</w:t>
      </w:r>
      <w:r>
        <w:rPr>
          <w:rFonts w:hint="eastAsia" w:ascii="宋体" w:hAnsi="宋体" w:eastAsia="宋体" w:cs="宋体"/>
          <w:b w:val="0"/>
          <w:bCs w:val="0"/>
          <w:color w:val="000000"/>
          <w:sz w:val="22"/>
          <w:szCs w:val="22"/>
          <w:highlight w:val="none"/>
        </w:rPr>
        <w:t>.2</w:t>
      </w:r>
      <w:r>
        <w:rPr>
          <w:rFonts w:hint="eastAsia" w:ascii="宋体" w:hAnsi="宋体" w:eastAsia="宋体" w:cs="宋体"/>
          <w:b w:val="0"/>
          <w:bCs w:val="0"/>
          <w:sz w:val="22"/>
          <w:szCs w:val="22"/>
          <w:highlight w:val="none"/>
        </w:rPr>
        <w:t xml:space="preserve"> 本合同经双方法定代表人或委托代理人签字盖章后立即生效</w:t>
      </w:r>
      <w:r>
        <w:rPr>
          <w:rFonts w:hint="eastAsia" w:ascii="宋体" w:eastAsia="宋体"/>
          <w:b w:val="0"/>
          <w:bCs w:val="0"/>
          <w:color w:val="auto"/>
          <w:highlight w:val="none"/>
        </w:rPr>
        <w:t>。</w:t>
      </w:r>
    </w:p>
    <w:p w14:paraId="01E823E1">
      <w:pPr>
        <w:spacing w:line="360" w:lineRule="auto"/>
        <w:ind w:firstLine="440" w:firstLineChars="200"/>
        <w:rPr>
          <w:rFonts w:ascii="宋体" w:eastAsia="宋体"/>
          <w:b w:val="0"/>
          <w:bCs w:val="0"/>
          <w:color w:val="auto"/>
          <w:sz w:val="22"/>
          <w:szCs w:val="22"/>
          <w:highlight w:val="none"/>
        </w:rPr>
      </w:pPr>
    </w:p>
    <w:p w14:paraId="322A3591">
      <w:pPr>
        <w:pStyle w:val="150"/>
        <w:spacing w:line="360" w:lineRule="auto"/>
        <w:rPr>
          <w:rFonts w:ascii="宋体" w:hAnsi="宋体" w:cs="宋体"/>
          <w:b w:val="0"/>
          <w:bCs w:val="0"/>
          <w:color w:val="auto"/>
          <w:sz w:val="22"/>
          <w:szCs w:val="22"/>
          <w:highlight w:val="none"/>
        </w:rPr>
      </w:pPr>
    </w:p>
    <w:p w14:paraId="6AE2ACF9">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甲方：（印章）   　　　　　　　　　　 乙方：（印章）</w:t>
      </w:r>
    </w:p>
    <w:p w14:paraId="593426BD">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全权代表:（签字）                    全权代表:（签字）</w:t>
      </w:r>
    </w:p>
    <w:p w14:paraId="52B19E4C">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地址：                               地址：</w:t>
      </w:r>
    </w:p>
    <w:p w14:paraId="413FB8CD">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邮政编码：                           邮政编码：</w:t>
      </w:r>
    </w:p>
    <w:p w14:paraId="6F2076E9">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电话：                               电话：</w:t>
      </w:r>
    </w:p>
    <w:p w14:paraId="2E5DAB21">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传真：                               传真：</w:t>
      </w:r>
    </w:p>
    <w:p w14:paraId="405C6244">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开户银行：                           开户银行：</w:t>
      </w:r>
    </w:p>
    <w:p w14:paraId="4666AEA5">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账号：                               账号：</w:t>
      </w:r>
    </w:p>
    <w:p w14:paraId="32AE1CEC">
      <w:pPr>
        <w:rPr>
          <w:rFonts w:ascii="宋体" w:eastAsia="宋体"/>
          <w:b w:val="0"/>
          <w:bCs w:val="0"/>
          <w:color w:val="auto"/>
          <w:sz w:val="22"/>
          <w:szCs w:val="22"/>
          <w:highlight w:val="none"/>
        </w:rPr>
      </w:pPr>
      <w:bookmarkStart w:id="81" w:name="_Toc5404"/>
      <w:r>
        <w:rPr>
          <w:rFonts w:hint="eastAsia" w:ascii="宋体" w:eastAsia="宋体"/>
          <w:b w:val="0"/>
          <w:bCs w:val="0"/>
          <w:color w:val="auto"/>
          <w:sz w:val="22"/>
          <w:szCs w:val="22"/>
          <w:highlight w:val="none"/>
        </w:rPr>
        <w:br w:type="page"/>
      </w:r>
    </w:p>
    <w:bookmarkEnd w:id="81"/>
    <w:p w14:paraId="2EDB63E9">
      <w:pPr>
        <w:spacing w:line="360" w:lineRule="auto"/>
        <w:rPr>
          <w:rFonts w:ascii="宋体" w:eastAsia="宋体"/>
          <w:color w:val="auto"/>
          <w:sz w:val="22"/>
          <w:szCs w:val="22"/>
          <w:highlight w:val="none"/>
        </w:rPr>
        <w:sectPr>
          <w:footerReference r:id="rId12" w:type="first"/>
          <w:headerReference r:id="rId9" w:type="default"/>
          <w:footerReference r:id="rId10" w:type="default"/>
          <w:footerReference r:id="rId11" w:type="even"/>
          <w:pgSz w:w="11907" w:h="16840"/>
          <w:pgMar w:top="1440" w:right="1117" w:bottom="1440" w:left="1440" w:header="720" w:footer="720" w:gutter="0"/>
          <w:cols w:space="720" w:num="1"/>
          <w:titlePg/>
          <w:docGrid w:linePitch="286" w:charSpace="0"/>
        </w:sectPr>
      </w:pPr>
    </w:p>
    <w:p w14:paraId="5E7EE9A1">
      <w:pPr>
        <w:pStyle w:val="8"/>
        <w:rPr>
          <w:rFonts w:ascii="宋体" w:hAnsi="宋体" w:cs="宋体"/>
          <w:color w:val="auto"/>
          <w:highlight w:val="none"/>
        </w:rPr>
      </w:pPr>
      <w:bookmarkStart w:id="82" w:name="_Toc10539"/>
      <w:r>
        <w:rPr>
          <w:rFonts w:hint="eastAsia" w:ascii="宋体" w:hAnsi="宋体" w:cs="宋体"/>
          <w:color w:val="auto"/>
          <w:highlight w:val="none"/>
        </w:rPr>
        <w:t>第六部分 磋商响应文件格式</w:t>
      </w:r>
      <w:bookmarkEnd w:id="82"/>
    </w:p>
    <w:p w14:paraId="1D57A76F">
      <w:pPr>
        <w:pStyle w:val="8"/>
        <w:rPr>
          <w:rFonts w:ascii="宋体" w:hAnsi="宋体" w:cs="宋体"/>
          <w:color w:val="auto"/>
          <w:highlight w:val="none"/>
        </w:rPr>
      </w:pPr>
      <w:bookmarkStart w:id="83" w:name="_Toc16430"/>
      <w:bookmarkStart w:id="84" w:name="_Toc65590090"/>
      <w:bookmarkStart w:id="85" w:name="_Toc42678689"/>
      <w:bookmarkStart w:id="86" w:name="_Toc161563051"/>
      <w:r>
        <w:rPr>
          <w:rFonts w:hint="eastAsia" w:ascii="宋体" w:hAnsi="宋体" w:cs="宋体"/>
          <w:color w:val="auto"/>
          <w:highlight w:val="none"/>
        </w:rPr>
        <w:t>一、资格文件部分格式</w:t>
      </w:r>
      <w:bookmarkEnd w:id="83"/>
      <w:bookmarkEnd w:id="84"/>
      <w:bookmarkEnd w:id="85"/>
    </w:p>
    <w:p w14:paraId="7231FDC1">
      <w:pPr>
        <w:widowControl/>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附件一</w:t>
      </w:r>
    </w:p>
    <w:p w14:paraId="07A07565">
      <w:pPr>
        <w:pStyle w:val="8"/>
        <w:rPr>
          <w:rFonts w:ascii="宋体" w:hAnsi="宋体" w:cs="宋体"/>
          <w:color w:val="auto"/>
          <w:highlight w:val="none"/>
          <w:lang w:val="zh-CN"/>
        </w:rPr>
      </w:pPr>
      <w:bookmarkStart w:id="87" w:name="_Toc23773"/>
      <w:bookmarkStart w:id="88" w:name="_Toc7972"/>
      <w:r>
        <w:rPr>
          <w:rFonts w:hint="eastAsia" w:ascii="宋体" w:hAnsi="宋体" w:cs="宋体"/>
          <w:color w:val="auto"/>
          <w:highlight w:val="none"/>
          <w:lang w:val="zh-CN"/>
        </w:rPr>
        <w:t>资格条件承诺函</w:t>
      </w:r>
      <w:bookmarkEnd w:id="87"/>
      <w:bookmarkEnd w:id="88"/>
    </w:p>
    <w:p w14:paraId="7705F748">
      <w:pPr>
        <w:spacing w:line="42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永嘉县农业农村局：</w:t>
      </w:r>
    </w:p>
    <w:p w14:paraId="1DC54E99">
      <w:pPr>
        <w:spacing w:line="42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温州市中概工程管理咨询有限公司：</w:t>
      </w:r>
    </w:p>
    <w:p w14:paraId="0842E14B">
      <w:pPr>
        <w:widowControl/>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我方参与</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（采购项目名称、编号）项目投标，现郑重承诺：</w:t>
      </w:r>
    </w:p>
    <w:p w14:paraId="4944AF35">
      <w:pPr>
        <w:widowControl/>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1.我方符合《中华人民共和国政府采购法》第二十二条规定的资格条件，即</w:t>
      </w:r>
    </w:p>
    <w:p w14:paraId="6969FC1D">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（1）我方具有独立承担民事责任的能力；</w:t>
      </w:r>
    </w:p>
    <w:p w14:paraId="28A1C990">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（2）我方具有良好的商业信誉和健全的财务会计制度；</w:t>
      </w:r>
    </w:p>
    <w:p w14:paraId="3DF212B5">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（3）我方具有履行合同所必需的设备和专业技术能力；</w:t>
      </w:r>
    </w:p>
    <w:p w14:paraId="49BED654">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（4）我方有依法缴纳税收和社会保障资金的良好记录；</w:t>
      </w:r>
    </w:p>
    <w:p w14:paraId="47D1E03C">
      <w:pPr>
        <w:widowControl/>
        <w:snapToGrid w:val="0"/>
        <w:spacing w:line="440" w:lineRule="exact"/>
        <w:ind w:left="970" w:leftChars="200" w:hanging="550" w:hangingChars="25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596DF54">
      <w:pPr>
        <w:widowControl/>
        <w:snapToGrid w:val="0"/>
        <w:spacing w:line="44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0"/>
          <w:rFonts w:hint="eastAsia" w:ascii="宋体" w:eastAsia="宋体"/>
          <w:b w:val="0"/>
          <w:bCs w:val="0"/>
          <w:color w:val="auto"/>
          <w:sz w:val="22"/>
          <w:szCs w:val="22"/>
          <w:highlight w:val="none"/>
        </w:rPr>
        <w:t>www.creditchina.gov.cn）、</w:t>
      </w:r>
      <w:r>
        <w:rPr>
          <w:rStyle w:val="50"/>
          <w:rFonts w:hint="eastAsia" w:ascii="宋体" w:eastAsia="宋体"/>
          <w:b w:val="0"/>
          <w:bCs w:val="0"/>
          <w:color w:val="auto"/>
          <w:sz w:val="22"/>
          <w:szCs w:val="22"/>
          <w:highlight w:val="none"/>
        </w:rPr>
        <w:fldChar w:fldCharType="end"/>
      </w:r>
      <w:r>
        <w:rPr>
          <w:rFonts w:hint="eastAsia" w:ascii="宋体" w:eastAsia="宋体"/>
          <w:b w:val="0"/>
          <w:bCs w:val="0"/>
          <w:color w:val="auto"/>
          <w:sz w:val="22"/>
          <w:szCs w:val="22"/>
          <w:highlight w:val="none"/>
        </w:rPr>
        <w:t xml:space="preserve"> 中国政府采购网（www.ccgp.gov.cn）列入失信被执行人名单、重大税收违法案件当事人名单、政府采购严重违法失信行为记录名单。</w:t>
      </w:r>
    </w:p>
    <w:p w14:paraId="3B128758">
      <w:pPr>
        <w:widowControl/>
        <w:snapToGrid w:val="0"/>
        <w:spacing w:line="44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3.单位、法定代表人（单位负责人）、本项目被授权人及本项目负责人在参加本项目前三年内（以法院判决书生效日期为准）均无行贿犯罪记录。</w:t>
      </w:r>
    </w:p>
    <w:p w14:paraId="668EA0FE">
      <w:pPr>
        <w:widowControl/>
        <w:snapToGrid w:val="0"/>
        <w:spacing w:line="440" w:lineRule="exact"/>
        <w:ind w:firstLine="440" w:firstLineChars="200"/>
        <w:jc w:val="left"/>
        <w:rPr>
          <w:rFonts w:ascii="宋体" w:eastAsia="宋体"/>
          <w:b w:val="0"/>
          <w:bCs w:val="0"/>
          <w:color w:val="auto"/>
          <w:sz w:val="22"/>
          <w:szCs w:val="22"/>
          <w:highlight w:val="none"/>
        </w:rPr>
      </w:pPr>
    </w:p>
    <w:p w14:paraId="18BFF97D">
      <w:pPr>
        <w:widowControl/>
        <w:snapToGrid w:val="0"/>
        <w:spacing w:line="440" w:lineRule="exact"/>
        <w:ind w:left="210" w:leftChars="1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以上承诺如有虚假，愿接受取消我方任何资格（投标/中标/签订合同）及其他任何形式的处理。</w:t>
      </w:r>
    </w:p>
    <w:p w14:paraId="2B43F0DB">
      <w:pPr>
        <w:spacing w:line="400" w:lineRule="exact"/>
        <w:ind w:firstLine="770" w:firstLineChars="350"/>
        <w:rPr>
          <w:rFonts w:ascii="宋体" w:eastAsia="宋体"/>
          <w:b w:val="0"/>
          <w:bCs w:val="0"/>
          <w:color w:val="auto"/>
          <w:sz w:val="22"/>
          <w:szCs w:val="22"/>
          <w:highlight w:val="none"/>
        </w:rPr>
      </w:pPr>
    </w:p>
    <w:p w14:paraId="48231B69">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投标供应商全称（盖章）：</w:t>
      </w:r>
    </w:p>
    <w:p w14:paraId="3327C99C">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投标供应商代表（签名或盖章）：</w:t>
      </w:r>
    </w:p>
    <w:p w14:paraId="5C912F2A">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 期：  年  月  日</w:t>
      </w:r>
    </w:p>
    <w:p w14:paraId="3EB159B7">
      <w:pPr>
        <w:widowControl/>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注：</w:t>
      </w:r>
      <w:r>
        <w:rPr>
          <w:rFonts w:hint="eastAsia" w:ascii="宋体" w:eastAsia="宋体"/>
          <w:color w:val="auto"/>
          <w:sz w:val="22"/>
          <w:szCs w:val="22"/>
          <w:highlight w:val="none"/>
          <w:u w:val="single"/>
        </w:rPr>
        <w:t>▲不提交本承诺书按无效标处理。</w:t>
      </w:r>
    </w:p>
    <w:p w14:paraId="032CB73D">
      <w:pPr>
        <w:pStyle w:val="8"/>
        <w:rPr>
          <w:rFonts w:ascii="宋体" w:hAnsi="宋体" w:cs="宋体"/>
          <w:color w:val="auto"/>
          <w:highlight w:val="none"/>
        </w:rPr>
      </w:pPr>
      <w:r>
        <w:rPr>
          <w:rFonts w:hint="eastAsia" w:ascii="宋体" w:hAnsi="宋体" w:cs="宋体"/>
          <w:color w:val="auto"/>
          <w:sz w:val="36"/>
          <w:highlight w:val="none"/>
        </w:rPr>
        <w:br w:type="page"/>
      </w:r>
      <w:bookmarkStart w:id="89" w:name="_Toc29106"/>
      <w:r>
        <w:rPr>
          <w:rFonts w:hint="eastAsia" w:ascii="宋体" w:hAnsi="宋体" w:cs="宋体"/>
          <w:color w:val="auto"/>
          <w:highlight w:val="none"/>
        </w:rPr>
        <w:t>二、报价文件部分格式</w:t>
      </w:r>
      <w:bookmarkEnd w:id="89"/>
    </w:p>
    <w:p w14:paraId="0A3F44AE">
      <w:pPr>
        <w:widowControl/>
        <w:spacing w:line="460" w:lineRule="atLeast"/>
        <w:jc w:val="left"/>
        <w:rPr>
          <w:rFonts w:ascii="宋体" w:eastAsia="宋体"/>
          <w:color w:val="auto"/>
          <w:sz w:val="22"/>
          <w:szCs w:val="22"/>
          <w:highlight w:val="none"/>
        </w:rPr>
      </w:pPr>
      <w:bookmarkStart w:id="90" w:name="_Toc413747701"/>
      <w:bookmarkEnd w:id="90"/>
      <w:r>
        <w:rPr>
          <w:rFonts w:hint="eastAsia" w:ascii="宋体" w:eastAsia="宋体"/>
          <w:color w:val="auto"/>
          <w:sz w:val="22"/>
          <w:szCs w:val="22"/>
          <w:highlight w:val="none"/>
        </w:rPr>
        <w:t>附件二</w:t>
      </w:r>
    </w:p>
    <w:p w14:paraId="703E1283">
      <w:pPr>
        <w:pStyle w:val="8"/>
        <w:rPr>
          <w:rFonts w:ascii="宋体" w:hAnsi="宋体" w:cs="宋体"/>
          <w:color w:val="auto"/>
          <w:sz w:val="22"/>
          <w:szCs w:val="22"/>
          <w:highlight w:val="none"/>
        </w:rPr>
      </w:pPr>
      <w:bookmarkStart w:id="91" w:name="_Toc87518594"/>
      <w:bookmarkEnd w:id="91"/>
      <w:bookmarkStart w:id="92" w:name="_Toc22422"/>
      <w:bookmarkEnd w:id="92"/>
      <w:bookmarkStart w:id="93" w:name="_Toc68187555"/>
      <w:bookmarkEnd w:id="93"/>
      <w:bookmarkStart w:id="94" w:name="_Toc87518417"/>
      <w:bookmarkEnd w:id="94"/>
      <w:bookmarkStart w:id="95" w:name="_Toc42678615"/>
      <w:bookmarkEnd w:id="95"/>
      <w:bookmarkStart w:id="96" w:name="_Toc61444215"/>
      <w:bookmarkEnd w:id="96"/>
      <w:bookmarkStart w:id="97" w:name="_Toc42678183"/>
      <w:bookmarkEnd w:id="97"/>
      <w:bookmarkStart w:id="98" w:name="_Toc68189105"/>
      <w:bookmarkEnd w:id="98"/>
      <w:bookmarkStart w:id="99" w:name="_Toc97033072"/>
      <w:bookmarkEnd w:id="99"/>
      <w:bookmarkStart w:id="100" w:name="_Toc496618930"/>
      <w:bookmarkEnd w:id="100"/>
      <w:bookmarkStart w:id="101" w:name="_Toc9334945"/>
      <w:bookmarkEnd w:id="101"/>
      <w:bookmarkStart w:id="102" w:name="_Toc19204519"/>
      <w:bookmarkEnd w:id="102"/>
      <w:bookmarkStart w:id="103" w:name="_Toc96970930"/>
      <w:bookmarkEnd w:id="103"/>
      <w:bookmarkStart w:id="104" w:name="_Toc65830024"/>
      <w:bookmarkEnd w:id="104"/>
      <w:bookmarkStart w:id="105" w:name="_Toc10399"/>
      <w:bookmarkEnd w:id="105"/>
      <w:bookmarkStart w:id="106" w:name="_Toc518512529"/>
      <w:bookmarkEnd w:id="106"/>
      <w:bookmarkStart w:id="107" w:name="_Toc7030"/>
      <w:bookmarkEnd w:id="107"/>
      <w:bookmarkStart w:id="108" w:name="_Toc20005"/>
      <w:bookmarkEnd w:id="108"/>
      <w:bookmarkStart w:id="109" w:name="_Toc42678694"/>
      <w:bookmarkEnd w:id="109"/>
      <w:bookmarkStart w:id="110" w:name="_Toc511045476"/>
      <w:bookmarkEnd w:id="110"/>
      <w:bookmarkStart w:id="111" w:name="_Toc8957"/>
      <w:bookmarkEnd w:id="111"/>
      <w:bookmarkStart w:id="112" w:name="_Toc42243286"/>
      <w:bookmarkEnd w:id="112"/>
      <w:bookmarkStart w:id="113" w:name="_Toc65590096"/>
      <w:bookmarkEnd w:id="113"/>
      <w:bookmarkStart w:id="114" w:name="_Toc68188791"/>
      <w:bookmarkEnd w:id="114"/>
      <w:bookmarkStart w:id="115" w:name="_Toc42678028"/>
      <w:bookmarkEnd w:id="115"/>
      <w:bookmarkStart w:id="116" w:name="_Toc522469114"/>
      <w:bookmarkEnd w:id="116"/>
      <w:bookmarkStart w:id="117" w:name="_Toc22889"/>
      <w:r>
        <w:rPr>
          <w:rFonts w:hint="eastAsia" w:ascii="宋体" w:hAnsi="宋体" w:cs="宋体"/>
          <w:color w:val="auto"/>
          <w:sz w:val="22"/>
          <w:szCs w:val="22"/>
          <w:highlight w:val="none"/>
        </w:rPr>
        <w:t>报价一览表</w:t>
      </w:r>
      <w:bookmarkEnd w:id="117"/>
    </w:p>
    <w:p w14:paraId="3F59AF0B">
      <w:pPr>
        <w:autoSpaceDE w:val="0"/>
        <w:autoSpaceDN w:val="0"/>
        <w:adjustRightInd w:val="0"/>
        <w:rPr>
          <w:rFonts w:ascii="宋体" w:eastAsia="宋体"/>
          <w:b w:val="0"/>
          <w:bCs w:val="0"/>
          <w:color w:val="auto"/>
          <w:sz w:val="22"/>
          <w:szCs w:val="22"/>
          <w:highlight w:val="none"/>
          <w:u w:val="single"/>
          <w:lang w:val="zh-CN"/>
        </w:rPr>
      </w:pPr>
      <w:r>
        <w:rPr>
          <w:rFonts w:hint="eastAsia" w:ascii="宋体" w:eastAsia="宋体"/>
          <w:b w:val="0"/>
          <w:bCs w:val="0"/>
          <w:color w:val="auto"/>
          <w:sz w:val="22"/>
          <w:szCs w:val="22"/>
          <w:highlight w:val="none"/>
        </w:rPr>
        <w:t>项目</w:t>
      </w:r>
      <w:r>
        <w:rPr>
          <w:rFonts w:hint="eastAsia" w:ascii="宋体" w:eastAsia="宋体"/>
          <w:b w:val="0"/>
          <w:bCs w:val="0"/>
          <w:color w:val="auto"/>
          <w:sz w:val="22"/>
          <w:szCs w:val="22"/>
          <w:highlight w:val="none"/>
          <w:lang w:val="zh-CN"/>
        </w:rPr>
        <w:t>名称：</w:t>
      </w:r>
      <w:r>
        <w:rPr>
          <w:rFonts w:hint="eastAsia" w:ascii="宋体" w:eastAsia="宋体"/>
          <w:b w:val="0"/>
          <w:bCs w:val="0"/>
          <w:color w:val="auto"/>
          <w:sz w:val="22"/>
          <w:szCs w:val="22"/>
          <w:highlight w:val="none"/>
        </w:rPr>
        <w:t xml:space="preserve">                 </w:t>
      </w:r>
      <w:r>
        <w:rPr>
          <w:rFonts w:hint="eastAsia" w:ascii="宋体" w:eastAsia="宋体"/>
          <w:b w:val="0"/>
          <w:bCs w:val="0"/>
          <w:color w:val="auto"/>
          <w:sz w:val="22"/>
          <w:szCs w:val="22"/>
          <w:highlight w:val="none"/>
          <w:lang w:val="zh-CN"/>
        </w:rPr>
        <w:t>采购编号：  报价单位：</w:t>
      </w:r>
      <w:r>
        <w:rPr>
          <w:rFonts w:hint="eastAsia" w:ascii="宋体" w:eastAsia="宋体"/>
          <w:b w:val="0"/>
          <w:bCs w:val="0"/>
          <w:color w:val="auto"/>
          <w:sz w:val="22"/>
          <w:szCs w:val="22"/>
          <w:highlight w:val="none"/>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422"/>
        <w:gridCol w:w="2117"/>
      </w:tblGrid>
      <w:tr w14:paraId="58C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14:paraId="22D9F103">
            <w:pPr>
              <w:pStyle w:val="26"/>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项目名称</w:t>
            </w:r>
          </w:p>
        </w:tc>
        <w:tc>
          <w:tcPr>
            <w:tcW w:w="1962" w:type="pct"/>
            <w:tcBorders>
              <w:left w:val="single" w:color="auto" w:sz="4" w:space="0"/>
              <w:right w:val="single" w:color="000000" w:sz="4" w:space="0"/>
            </w:tcBorders>
            <w:vAlign w:val="center"/>
          </w:tcPr>
          <w:p w14:paraId="5B11D71D">
            <w:pPr>
              <w:pStyle w:val="26"/>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投标总价</w:t>
            </w:r>
          </w:p>
          <w:p w14:paraId="0CCACB0B">
            <w:pPr>
              <w:pStyle w:val="26"/>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（元人民币）</w:t>
            </w:r>
          </w:p>
        </w:tc>
        <w:tc>
          <w:tcPr>
            <w:tcW w:w="1214" w:type="pct"/>
            <w:tcBorders>
              <w:left w:val="single" w:color="000000" w:sz="4" w:space="0"/>
              <w:right w:val="single" w:color="000000" w:sz="4" w:space="0"/>
            </w:tcBorders>
            <w:vAlign w:val="center"/>
          </w:tcPr>
          <w:p w14:paraId="2E5B5BA2">
            <w:pPr>
              <w:pStyle w:val="26"/>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备注</w:t>
            </w:r>
          </w:p>
        </w:tc>
      </w:tr>
      <w:tr w14:paraId="1738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14:paraId="2F4699B8">
            <w:pPr>
              <w:pStyle w:val="26"/>
              <w:snapToGrid w:val="0"/>
              <w:spacing w:line="460" w:lineRule="atLeast"/>
              <w:jc w:val="center"/>
              <w:rPr>
                <w:rFonts w:hint="eastAsia" w:hAnsi="宋体" w:eastAsia="宋体"/>
                <w:b w:val="0"/>
                <w:bCs w:val="0"/>
                <w:color w:val="auto"/>
                <w:sz w:val="22"/>
                <w:szCs w:val="22"/>
                <w:highlight w:val="none"/>
                <w:lang w:eastAsia="zh-CN"/>
              </w:rPr>
            </w:pPr>
            <w:r>
              <w:rPr>
                <w:rFonts w:hint="eastAsia" w:hAnsi="宋体" w:eastAsia="宋体"/>
                <w:b w:val="0"/>
                <w:bCs w:val="0"/>
                <w:color w:val="auto"/>
                <w:sz w:val="22"/>
                <w:szCs w:val="22"/>
                <w:highlight w:val="none"/>
                <w:lang w:eastAsia="zh-CN"/>
              </w:rPr>
              <w:t>永嘉县2025年农作物种子储备服务采购</w:t>
            </w:r>
          </w:p>
        </w:tc>
        <w:tc>
          <w:tcPr>
            <w:tcW w:w="1962" w:type="pct"/>
            <w:tcBorders>
              <w:left w:val="single" w:color="auto" w:sz="4" w:space="0"/>
              <w:right w:val="single" w:color="000000" w:sz="4" w:space="0"/>
            </w:tcBorders>
            <w:vAlign w:val="center"/>
          </w:tcPr>
          <w:p w14:paraId="65BEF05D">
            <w:pPr>
              <w:pStyle w:val="26"/>
              <w:spacing w:line="460" w:lineRule="atLeast"/>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大写：</w:t>
            </w:r>
          </w:p>
          <w:p w14:paraId="214BAE9A">
            <w:pPr>
              <w:pStyle w:val="26"/>
              <w:spacing w:line="460" w:lineRule="atLeast"/>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小写：</w:t>
            </w:r>
          </w:p>
        </w:tc>
        <w:tc>
          <w:tcPr>
            <w:tcW w:w="1214" w:type="pct"/>
            <w:tcBorders>
              <w:left w:val="single" w:color="000000" w:sz="4" w:space="0"/>
              <w:right w:val="single" w:color="000000" w:sz="4" w:space="0"/>
            </w:tcBorders>
            <w:vAlign w:val="center"/>
          </w:tcPr>
          <w:p w14:paraId="4D7E7D04">
            <w:pPr>
              <w:pStyle w:val="26"/>
              <w:jc w:val="center"/>
              <w:rPr>
                <w:rFonts w:hAnsi="宋体" w:eastAsia="宋体"/>
                <w:b w:val="0"/>
                <w:bCs w:val="0"/>
                <w:color w:val="auto"/>
                <w:sz w:val="22"/>
                <w:szCs w:val="22"/>
                <w:highlight w:val="none"/>
              </w:rPr>
            </w:pPr>
          </w:p>
        </w:tc>
      </w:tr>
    </w:tbl>
    <w:p w14:paraId="03FE5B8A">
      <w:pPr>
        <w:tabs>
          <w:tab w:val="left" w:pos="540"/>
        </w:tabs>
        <w:spacing w:line="4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说明：</w:t>
      </w:r>
    </w:p>
    <w:p w14:paraId="343D92D9">
      <w:pPr>
        <w:autoSpaceDE w:val="0"/>
        <w:autoSpaceDN w:val="0"/>
        <w:adjustRightInd w:val="0"/>
        <w:spacing w:line="400" w:lineRule="atLeast"/>
        <w:ind w:left="400"/>
        <w:rPr>
          <w:rFonts w:ascii="宋体" w:eastAsia="宋体"/>
          <w:color w:val="auto"/>
          <w:sz w:val="22"/>
          <w:szCs w:val="22"/>
          <w:highlight w:val="none"/>
          <w:lang w:val="zh-CN"/>
        </w:rPr>
      </w:pPr>
    </w:p>
    <w:p w14:paraId="25E77D28">
      <w:pPr>
        <w:numPr>
          <w:ilvl w:val="0"/>
          <w:numId w:val="6"/>
        </w:numPr>
        <w:autoSpaceDE w:val="0"/>
        <w:autoSpaceDN w:val="0"/>
        <w:adjustRightInd w:val="0"/>
        <w:spacing w:line="400" w:lineRule="atLeast"/>
        <w:rPr>
          <w:rFonts w:ascii="宋体" w:eastAsia="宋体"/>
          <w:color w:val="auto"/>
          <w:sz w:val="22"/>
          <w:szCs w:val="22"/>
          <w:highlight w:val="none"/>
          <w:u w:val="wave"/>
          <w:lang w:val="zh-CN"/>
        </w:rPr>
      </w:pPr>
      <w:r>
        <w:rPr>
          <w:rFonts w:hint="eastAsia" w:ascii="宋体" w:eastAsia="宋体"/>
          <w:color w:val="auto"/>
          <w:sz w:val="22"/>
          <w:szCs w:val="22"/>
          <w:highlight w:val="none"/>
          <w:u w:val="single"/>
        </w:rPr>
        <w:t>▲不提供此表格将被视为没有实质性响应采购文件。</w:t>
      </w:r>
    </w:p>
    <w:p w14:paraId="7149EB89">
      <w:pPr>
        <w:numPr>
          <w:ilvl w:val="0"/>
          <w:numId w:val="6"/>
        </w:numPr>
        <w:autoSpaceDE w:val="0"/>
        <w:autoSpaceDN w:val="0"/>
        <w:adjustRightInd w:val="0"/>
        <w:spacing w:line="400" w:lineRule="atLeast"/>
        <w:rPr>
          <w:rFonts w:ascii="宋体" w:eastAsia="宋体"/>
          <w:color w:val="auto"/>
          <w:sz w:val="22"/>
          <w:szCs w:val="22"/>
          <w:highlight w:val="none"/>
          <w:u w:val="single"/>
          <w:lang w:val="zh-CN"/>
        </w:rPr>
      </w:pPr>
      <w:r>
        <w:rPr>
          <w:rFonts w:hint="eastAsia" w:ascii="宋体" w:eastAsia="宋体"/>
          <w:color w:val="auto"/>
          <w:sz w:val="22"/>
          <w:szCs w:val="22"/>
          <w:highlight w:val="none"/>
          <w:u w:val="single"/>
        </w:rPr>
        <w:t>▲投标总价须与分项报价表中的总计价相一致。</w:t>
      </w:r>
    </w:p>
    <w:p w14:paraId="53BE3922">
      <w:pPr>
        <w:autoSpaceDE w:val="0"/>
        <w:autoSpaceDN w:val="0"/>
        <w:adjustRightInd w:val="0"/>
        <w:spacing w:line="500" w:lineRule="atLeast"/>
        <w:rPr>
          <w:rFonts w:ascii="宋体" w:eastAsia="宋体"/>
          <w:color w:val="auto"/>
          <w:sz w:val="30"/>
          <w:szCs w:val="30"/>
          <w:highlight w:val="none"/>
        </w:rPr>
      </w:pPr>
    </w:p>
    <w:p w14:paraId="1806DAF2">
      <w:pPr>
        <w:widowControl/>
        <w:spacing w:line="460" w:lineRule="exact"/>
        <w:ind w:firstLine="44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 ：</w:t>
      </w:r>
    </w:p>
    <w:p w14:paraId="133A469A">
      <w:pPr>
        <w:spacing w:line="460" w:lineRule="atLeast"/>
        <w:ind w:firstLine="440"/>
        <w:rPr>
          <w:rFonts w:ascii="宋体" w:eastAsia="宋体"/>
          <w:b w:val="0"/>
          <w:bCs w:val="0"/>
          <w:color w:val="auto"/>
          <w:sz w:val="36"/>
          <w:highlight w:val="none"/>
        </w:rPr>
      </w:pPr>
      <w:r>
        <w:rPr>
          <w:rFonts w:hint="eastAsia" w:ascii="宋体" w:eastAsia="宋体"/>
          <w:b w:val="0"/>
          <w:bCs w:val="0"/>
          <w:color w:val="auto"/>
          <w:sz w:val="22"/>
          <w:szCs w:val="22"/>
          <w:highlight w:val="none"/>
        </w:rPr>
        <w:t>日期：</w:t>
      </w:r>
    </w:p>
    <w:p w14:paraId="188D75A2">
      <w:pPr>
        <w:pStyle w:val="20"/>
        <w:ind w:firstLine="210"/>
        <w:rPr>
          <w:rFonts w:ascii="宋体" w:hAnsi="宋体" w:eastAsia="宋体" w:cs="宋体"/>
          <w:color w:val="auto"/>
          <w:highlight w:val="none"/>
        </w:rPr>
      </w:pPr>
      <w:r>
        <w:rPr>
          <w:rFonts w:hint="eastAsia" w:ascii="宋体" w:hAnsi="宋体" w:eastAsia="宋体" w:cs="宋体"/>
          <w:color w:val="auto"/>
          <w:highlight w:val="none"/>
        </w:rPr>
        <w:br w:type="page"/>
      </w:r>
    </w:p>
    <w:p w14:paraId="3D54BF95">
      <w:pPr>
        <w:widowControl/>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附件三</w:t>
      </w:r>
    </w:p>
    <w:p w14:paraId="0A9368FD">
      <w:pPr>
        <w:autoSpaceDE w:val="0"/>
        <w:autoSpaceDN w:val="0"/>
        <w:adjustRightInd w:val="0"/>
        <w:spacing w:line="360" w:lineRule="atLeast"/>
        <w:ind w:right="220"/>
        <w:jc w:val="center"/>
        <w:rPr>
          <w:rFonts w:ascii="宋体" w:eastAsia="宋体"/>
          <w:color w:val="auto"/>
          <w:sz w:val="22"/>
          <w:highlight w:val="none"/>
        </w:rPr>
      </w:pPr>
      <w:r>
        <w:rPr>
          <w:rFonts w:hint="eastAsia" w:ascii="宋体" w:eastAsia="宋体"/>
          <w:color w:val="auto"/>
          <w:sz w:val="28"/>
          <w:szCs w:val="28"/>
          <w:highlight w:val="none"/>
          <w:lang w:val="zh-CN"/>
        </w:rPr>
        <w:t>分项报价表</w:t>
      </w:r>
    </w:p>
    <w:p w14:paraId="6CA04A3F">
      <w:pPr>
        <w:spacing w:line="360" w:lineRule="exact"/>
        <w:jc w:val="right"/>
        <w:rPr>
          <w:rFonts w:hint="eastAsia" w:ascii="宋体" w:eastAsia="宋体"/>
          <w:b w:val="0"/>
          <w:bCs w:val="0"/>
          <w:color w:val="auto"/>
          <w:sz w:val="22"/>
          <w:highlight w:val="none"/>
        </w:rPr>
      </w:pPr>
      <w:r>
        <w:rPr>
          <w:rFonts w:hint="eastAsia" w:ascii="宋体" w:eastAsia="宋体"/>
          <w:b w:val="0"/>
          <w:bCs w:val="0"/>
          <w:color w:val="auto"/>
          <w:sz w:val="22"/>
          <w:highlight w:val="none"/>
        </w:rPr>
        <w:t>（单位价格：元）</w:t>
      </w:r>
    </w:p>
    <w:tbl>
      <w:tblPr>
        <w:tblStyle w:val="43"/>
        <w:tblW w:w="502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554"/>
        <w:gridCol w:w="506"/>
        <w:gridCol w:w="889"/>
        <w:gridCol w:w="834"/>
        <w:gridCol w:w="2364"/>
        <w:gridCol w:w="1180"/>
        <w:gridCol w:w="1180"/>
        <w:gridCol w:w="1051"/>
      </w:tblGrid>
      <w:tr w14:paraId="5B17F91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9" w:hRule="atLeast"/>
          <w:jc w:val="center"/>
        </w:trPr>
        <w:tc>
          <w:tcPr>
            <w:tcW w:w="324" w:type="pct"/>
            <w:tcBorders>
              <w:top w:val="single" w:color="auto" w:sz="8" w:space="0"/>
              <w:left w:val="single" w:color="auto" w:sz="8" w:space="0"/>
              <w:bottom w:val="single" w:color="auto" w:sz="2" w:space="0"/>
              <w:right w:val="single" w:color="auto" w:sz="2" w:space="0"/>
            </w:tcBorders>
            <w:noWrap w:val="0"/>
            <w:vAlign w:val="center"/>
          </w:tcPr>
          <w:p w14:paraId="02B46411">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302" w:type="pct"/>
            <w:gridSpan w:val="3"/>
            <w:tcBorders>
              <w:top w:val="single" w:color="auto" w:sz="8" w:space="0"/>
              <w:left w:val="single" w:color="auto" w:sz="2" w:space="0"/>
              <w:bottom w:val="single" w:color="auto" w:sz="2" w:space="0"/>
              <w:right w:val="single" w:color="auto" w:sz="2" w:space="0"/>
            </w:tcBorders>
            <w:noWrap w:val="0"/>
            <w:vAlign w:val="center"/>
          </w:tcPr>
          <w:p w14:paraId="41AFE736">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名称</w:t>
            </w:r>
          </w:p>
        </w:tc>
        <w:tc>
          <w:tcPr>
            <w:tcW w:w="1381" w:type="pct"/>
            <w:tcBorders>
              <w:top w:val="single" w:color="auto" w:sz="8" w:space="0"/>
              <w:left w:val="single" w:color="auto" w:sz="2" w:space="0"/>
              <w:bottom w:val="single" w:color="auto" w:sz="2" w:space="0"/>
              <w:right w:val="single" w:color="auto" w:sz="4" w:space="0"/>
            </w:tcBorders>
            <w:noWrap w:val="0"/>
            <w:vAlign w:val="center"/>
          </w:tcPr>
          <w:p w14:paraId="6E27C563">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数量</w:t>
            </w:r>
          </w:p>
        </w:tc>
        <w:tc>
          <w:tcPr>
            <w:tcW w:w="689" w:type="pct"/>
            <w:tcBorders>
              <w:top w:val="single" w:color="auto" w:sz="8" w:space="0"/>
              <w:left w:val="single" w:color="auto" w:sz="2" w:space="0"/>
              <w:bottom w:val="single" w:color="auto" w:sz="2" w:space="0"/>
              <w:right w:val="single" w:color="auto" w:sz="4" w:space="0"/>
            </w:tcBorders>
            <w:noWrap w:val="0"/>
            <w:vAlign w:val="center"/>
          </w:tcPr>
          <w:p w14:paraId="408182CF">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单价（元）</w:t>
            </w:r>
          </w:p>
        </w:tc>
        <w:tc>
          <w:tcPr>
            <w:tcW w:w="689" w:type="pct"/>
            <w:tcBorders>
              <w:top w:val="single" w:color="auto" w:sz="8" w:space="0"/>
              <w:left w:val="single" w:color="auto" w:sz="2" w:space="0"/>
              <w:bottom w:val="single" w:color="auto" w:sz="2" w:space="0"/>
              <w:right w:val="single" w:color="auto" w:sz="4" w:space="0"/>
            </w:tcBorders>
            <w:noWrap w:val="0"/>
            <w:vAlign w:val="center"/>
          </w:tcPr>
          <w:p w14:paraId="2A8EE5B5">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总计（元）</w:t>
            </w:r>
          </w:p>
        </w:tc>
        <w:tc>
          <w:tcPr>
            <w:tcW w:w="612" w:type="pct"/>
            <w:tcBorders>
              <w:top w:val="single" w:color="auto" w:sz="8" w:space="0"/>
              <w:left w:val="single" w:color="auto" w:sz="4" w:space="0"/>
              <w:bottom w:val="single" w:color="auto" w:sz="2" w:space="0"/>
              <w:right w:val="single" w:color="auto" w:sz="8" w:space="0"/>
            </w:tcBorders>
            <w:noWrap w:val="0"/>
            <w:vAlign w:val="center"/>
          </w:tcPr>
          <w:p w14:paraId="29B4C229">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5079B4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5" w:hRule="atLeast"/>
          <w:jc w:val="center"/>
        </w:trPr>
        <w:tc>
          <w:tcPr>
            <w:tcW w:w="324" w:type="pct"/>
            <w:tcBorders>
              <w:top w:val="single" w:color="auto" w:sz="2" w:space="0"/>
              <w:left w:val="single" w:color="auto" w:sz="8" w:space="0"/>
              <w:bottom w:val="single" w:color="auto" w:sz="4" w:space="0"/>
              <w:right w:val="single" w:color="auto" w:sz="2" w:space="0"/>
            </w:tcBorders>
            <w:noWrap w:val="0"/>
            <w:vAlign w:val="center"/>
          </w:tcPr>
          <w:p w14:paraId="1CCB2F5E">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2" w:type="pct"/>
            <w:gridSpan w:val="3"/>
            <w:tcBorders>
              <w:top w:val="single" w:color="auto" w:sz="2" w:space="0"/>
              <w:left w:val="single" w:color="auto" w:sz="2" w:space="0"/>
              <w:bottom w:val="single" w:color="auto" w:sz="4" w:space="0"/>
              <w:right w:val="single" w:color="auto" w:sz="2" w:space="0"/>
            </w:tcBorders>
            <w:noWrap w:val="0"/>
            <w:vAlign w:val="center"/>
          </w:tcPr>
          <w:p w14:paraId="170594E2">
            <w:pPr>
              <w:widowControl/>
              <w:jc w:val="center"/>
              <w:textAlignment w:val="center"/>
              <w:rPr>
                <w:rFonts w:hint="eastAsia" w:ascii="宋体" w:hAnsi="宋体" w:eastAsia="宋体" w:cs="宋体"/>
                <w:b/>
                <w:color w:val="000000"/>
                <w:sz w:val="22"/>
                <w:szCs w:val="22"/>
                <w:highlight w:val="none"/>
              </w:rPr>
            </w:pPr>
          </w:p>
        </w:tc>
        <w:tc>
          <w:tcPr>
            <w:tcW w:w="1381" w:type="pct"/>
            <w:tcBorders>
              <w:top w:val="single" w:color="auto" w:sz="2" w:space="0"/>
              <w:left w:val="single" w:color="auto" w:sz="2" w:space="0"/>
              <w:bottom w:val="single" w:color="auto" w:sz="4" w:space="0"/>
              <w:right w:val="single" w:color="auto" w:sz="4" w:space="0"/>
            </w:tcBorders>
            <w:noWrap w:val="0"/>
            <w:vAlign w:val="center"/>
          </w:tcPr>
          <w:p w14:paraId="68E39827">
            <w:pPr>
              <w:widowControl/>
              <w:jc w:val="center"/>
              <w:textAlignment w:val="center"/>
              <w:rPr>
                <w:rFonts w:hint="eastAsia" w:ascii="宋体" w:hAnsi="宋体" w:eastAsia="宋体" w:cs="宋体"/>
                <w:color w:val="000000"/>
                <w:sz w:val="22"/>
                <w:szCs w:val="22"/>
                <w:highlight w:val="none"/>
              </w:rPr>
            </w:pPr>
          </w:p>
        </w:tc>
        <w:tc>
          <w:tcPr>
            <w:tcW w:w="689" w:type="pct"/>
            <w:tcBorders>
              <w:top w:val="single" w:color="auto" w:sz="2" w:space="0"/>
              <w:left w:val="single" w:color="auto" w:sz="2" w:space="0"/>
              <w:bottom w:val="single" w:color="auto" w:sz="4" w:space="0"/>
              <w:right w:val="single" w:color="auto" w:sz="4" w:space="0"/>
            </w:tcBorders>
            <w:noWrap w:val="0"/>
            <w:vAlign w:val="center"/>
          </w:tcPr>
          <w:p w14:paraId="624A3C73">
            <w:pPr>
              <w:widowControl/>
              <w:jc w:val="center"/>
              <w:textAlignment w:val="center"/>
              <w:rPr>
                <w:rFonts w:hint="eastAsia" w:ascii="宋体" w:hAnsi="宋体" w:eastAsia="宋体" w:cs="宋体"/>
                <w:color w:val="000000"/>
                <w:sz w:val="22"/>
                <w:szCs w:val="22"/>
                <w:highlight w:val="none"/>
              </w:rPr>
            </w:pPr>
          </w:p>
        </w:tc>
        <w:tc>
          <w:tcPr>
            <w:tcW w:w="689" w:type="pct"/>
            <w:tcBorders>
              <w:top w:val="single" w:color="auto" w:sz="2" w:space="0"/>
              <w:left w:val="single" w:color="auto" w:sz="2" w:space="0"/>
              <w:bottom w:val="single" w:color="auto" w:sz="4" w:space="0"/>
              <w:right w:val="single" w:color="auto" w:sz="4" w:space="0"/>
            </w:tcBorders>
            <w:noWrap w:val="0"/>
            <w:vAlign w:val="center"/>
          </w:tcPr>
          <w:p w14:paraId="7A1F1AF9">
            <w:pPr>
              <w:widowControl/>
              <w:jc w:val="center"/>
              <w:textAlignment w:val="center"/>
              <w:rPr>
                <w:rFonts w:hint="eastAsia" w:ascii="宋体" w:hAnsi="宋体" w:eastAsia="宋体" w:cs="宋体"/>
                <w:color w:val="000000"/>
                <w:sz w:val="22"/>
                <w:szCs w:val="22"/>
                <w:highlight w:val="none"/>
              </w:rPr>
            </w:pPr>
          </w:p>
        </w:tc>
        <w:tc>
          <w:tcPr>
            <w:tcW w:w="612" w:type="pct"/>
            <w:tcBorders>
              <w:top w:val="single" w:color="auto" w:sz="2" w:space="0"/>
              <w:left w:val="single" w:color="auto" w:sz="4" w:space="0"/>
              <w:bottom w:val="single" w:color="auto" w:sz="4" w:space="0"/>
              <w:right w:val="single" w:color="auto" w:sz="8" w:space="0"/>
            </w:tcBorders>
            <w:noWrap w:val="0"/>
            <w:vAlign w:val="center"/>
          </w:tcPr>
          <w:p w14:paraId="5A7092E9">
            <w:pPr>
              <w:widowControl/>
              <w:jc w:val="center"/>
              <w:textAlignment w:val="center"/>
              <w:rPr>
                <w:rFonts w:hint="eastAsia" w:ascii="宋体" w:hAnsi="宋体" w:eastAsia="宋体" w:cs="宋体"/>
                <w:color w:val="000000"/>
                <w:sz w:val="22"/>
                <w:szCs w:val="22"/>
                <w:highlight w:val="none"/>
              </w:rPr>
            </w:pPr>
          </w:p>
        </w:tc>
      </w:tr>
      <w:tr w14:paraId="7E0C515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324" w:type="pct"/>
            <w:tcBorders>
              <w:top w:val="single" w:color="auto" w:sz="4" w:space="0"/>
              <w:left w:val="single" w:color="auto" w:sz="8" w:space="0"/>
              <w:bottom w:val="single" w:color="auto" w:sz="4" w:space="0"/>
              <w:right w:val="single" w:color="auto" w:sz="2" w:space="0"/>
            </w:tcBorders>
            <w:noWrap w:val="0"/>
            <w:vAlign w:val="center"/>
          </w:tcPr>
          <w:p w14:paraId="111958A9">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2" w:type="pct"/>
            <w:gridSpan w:val="3"/>
            <w:tcBorders>
              <w:top w:val="single" w:color="auto" w:sz="4" w:space="0"/>
              <w:left w:val="single" w:color="auto" w:sz="2" w:space="0"/>
              <w:bottom w:val="single" w:color="auto" w:sz="4" w:space="0"/>
              <w:right w:val="single" w:color="auto" w:sz="2" w:space="0"/>
            </w:tcBorders>
            <w:noWrap w:val="0"/>
            <w:vAlign w:val="top"/>
          </w:tcPr>
          <w:p w14:paraId="797A42E5">
            <w:pPr>
              <w:snapToGrid w:val="0"/>
              <w:spacing w:line="360" w:lineRule="auto"/>
              <w:rPr>
                <w:rFonts w:hint="eastAsia" w:ascii="宋体" w:hAnsi="宋体" w:eastAsia="宋体" w:cs="宋体"/>
                <w:color w:val="000000"/>
                <w:sz w:val="22"/>
                <w:szCs w:val="22"/>
                <w:highlight w:val="none"/>
              </w:rPr>
            </w:pPr>
          </w:p>
        </w:tc>
        <w:tc>
          <w:tcPr>
            <w:tcW w:w="1381" w:type="pct"/>
            <w:tcBorders>
              <w:top w:val="single" w:color="auto" w:sz="4" w:space="0"/>
              <w:left w:val="single" w:color="auto" w:sz="2" w:space="0"/>
              <w:bottom w:val="single" w:color="auto" w:sz="4" w:space="0"/>
              <w:right w:val="single" w:color="auto" w:sz="4" w:space="0"/>
            </w:tcBorders>
            <w:noWrap w:val="0"/>
            <w:vAlign w:val="center"/>
          </w:tcPr>
          <w:p w14:paraId="095AF4C2">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46043217">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16D7B924">
            <w:pPr>
              <w:snapToGrid w:val="0"/>
              <w:spacing w:line="360" w:lineRule="auto"/>
              <w:jc w:val="center"/>
              <w:rPr>
                <w:rFonts w:hint="eastAsia" w:ascii="宋体" w:hAnsi="宋体" w:eastAsia="宋体" w:cs="宋体"/>
                <w:color w:val="000000"/>
                <w:sz w:val="22"/>
                <w:szCs w:val="22"/>
                <w:highlight w:val="none"/>
              </w:rPr>
            </w:pPr>
          </w:p>
        </w:tc>
        <w:tc>
          <w:tcPr>
            <w:tcW w:w="612" w:type="pct"/>
            <w:tcBorders>
              <w:top w:val="single" w:color="auto" w:sz="4" w:space="0"/>
              <w:left w:val="single" w:color="auto" w:sz="4" w:space="0"/>
              <w:bottom w:val="single" w:color="auto" w:sz="4" w:space="0"/>
              <w:right w:val="single" w:color="auto" w:sz="8" w:space="0"/>
            </w:tcBorders>
            <w:noWrap w:val="0"/>
            <w:vAlign w:val="center"/>
          </w:tcPr>
          <w:p w14:paraId="0A8C8EE5">
            <w:pPr>
              <w:snapToGrid w:val="0"/>
              <w:spacing w:line="360" w:lineRule="auto"/>
              <w:jc w:val="center"/>
              <w:rPr>
                <w:rFonts w:hint="eastAsia" w:ascii="宋体" w:hAnsi="宋体" w:eastAsia="宋体" w:cs="宋体"/>
                <w:color w:val="000000"/>
                <w:sz w:val="22"/>
                <w:szCs w:val="22"/>
                <w:highlight w:val="none"/>
              </w:rPr>
            </w:pPr>
          </w:p>
        </w:tc>
      </w:tr>
      <w:tr w14:paraId="7D19A8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324" w:type="pct"/>
            <w:tcBorders>
              <w:top w:val="single" w:color="auto" w:sz="4" w:space="0"/>
              <w:left w:val="single" w:color="auto" w:sz="8" w:space="0"/>
              <w:bottom w:val="single" w:color="auto" w:sz="4" w:space="0"/>
              <w:right w:val="single" w:color="auto" w:sz="2" w:space="0"/>
            </w:tcBorders>
            <w:noWrap w:val="0"/>
            <w:vAlign w:val="center"/>
          </w:tcPr>
          <w:p w14:paraId="21A38809">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302" w:type="pct"/>
            <w:gridSpan w:val="3"/>
            <w:tcBorders>
              <w:top w:val="single" w:color="auto" w:sz="4" w:space="0"/>
              <w:left w:val="single" w:color="auto" w:sz="2" w:space="0"/>
              <w:bottom w:val="single" w:color="auto" w:sz="4" w:space="0"/>
              <w:right w:val="single" w:color="auto" w:sz="2" w:space="0"/>
            </w:tcBorders>
            <w:noWrap w:val="0"/>
            <w:vAlign w:val="top"/>
          </w:tcPr>
          <w:p w14:paraId="18DFE46B">
            <w:pPr>
              <w:snapToGrid w:val="0"/>
              <w:spacing w:line="360" w:lineRule="auto"/>
              <w:rPr>
                <w:rFonts w:hint="eastAsia" w:ascii="宋体" w:hAnsi="宋体" w:eastAsia="宋体" w:cs="宋体"/>
                <w:color w:val="000000"/>
                <w:sz w:val="22"/>
                <w:szCs w:val="22"/>
                <w:highlight w:val="none"/>
              </w:rPr>
            </w:pPr>
          </w:p>
        </w:tc>
        <w:tc>
          <w:tcPr>
            <w:tcW w:w="1381" w:type="pct"/>
            <w:tcBorders>
              <w:top w:val="single" w:color="auto" w:sz="4" w:space="0"/>
              <w:left w:val="single" w:color="auto" w:sz="2" w:space="0"/>
              <w:bottom w:val="single" w:color="auto" w:sz="4" w:space="0"/>
              <w:right w:val="single" w:color="auto" w:sz="4" w:space="0"/>
            </w:tcBorders>
            <w:noWrap w:val="0"/>
            <w:vAlign w:val="center"/>
          </w:tcPr>
          <w:p w14:paraId="17665783">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1642715C">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5F010A23">
            <w:pPr>
              <w:snapToGrid w:val="0"/>
              <w:spacing w:line="360" w:lineRule="auto"/>
              <w:jc w:val="center"/>
              <w:rPr>
                <w:rFonts w:hint="eastAsia" w:ascii="宋体" w:hAnsi="宋体" w:eastAsia="宋体" w:cs="宋体"/>
                <w:color w:val="000000"/>
                <w:sz w:val="22"/>
                <w:szCs w:val="22"/>
                <w:highlight w:val="none"/>
              </w:rPr>
            </w:pPr>
          </w:p>
        </w:tc>
        <w:tc>
          <w:tcPr>
            <w:tcW w:w="612" w:type="pct"/>
            <w:tcBorders>
              <w:top w:val="single" w:color="auto" w:sz="4" w:space="0"/>
              <w:left w:val="single" w:color="auto" w:sz="4" w:space="0"/>
              <w:bottom w:val="single" w:color="auto" w:sz="4" w:space="0"/>
              <w:right w:val="single" w:color="auto" w:sz="8" w:space="0"/>
            </w:tcBorders>
            <w:noWrap w:val="0"/>
            <w:vAlign w:val="center"/>
          </w:tcPr>
          <w:p w14:paraId="235F590B">
            <w:pPr>
              <w:snapToGrid w:val="0"/>
              <w:spacing w:line="360" w:lineRule="auto"/>
              <w:jc w:val="center"/>
              <w:rPr>
                <w:rFonts w:hint="eastAsia" w:ascii="宋体" w:hAnsi="宋体" w:eastAsia="宋体" w:cs="宋体"/>
                <w:color w:val="000000"/>
                <w:sz w:val="22"/>
                <w:szCs w:val="22"/>
                <w:highlight w:val="none"/>
              </w:rPr>
            </w:pPr>
          </w:p>
        </w:tc>
      </w:tr>
      <w:tr w14:paraId="537FC40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324" w:type="pct"/>
            <w:tcBorders>
              <w:top w:val="single" w:color="auto" w:sz="4" w:space="0"/>
              <w:left w:val="single" w:color="auto" w:sz="8" w:space="0"/>
              <w:bottom w:val="single" w:color="auto" w:sz="4" w:space="0"/>
              <w:right w:val="single" w:color="auto" w:sz="2" w:space="0"/>
            </w:tcBorders>
            <w:noWrap w:val="0"/>
            <w:vAlign w:val="center"/>
          </w:tcPr>
          <w:p w14:paraId="6B517E02">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302" w:type="pct"/>
            <w:gridSpan w:val="3"/>
            <w:tcBorders>
              <w:top w:val="single" w:color="auto" w:sz="4" w:space="0"/>
              <w:left w:val="single" w:color="auto" w:sz="2" w:space="0"/>
              <w:bottom w:val="single" w:color="auto" w:sz="4" w:space="0"/>
              <w:right w:val="single" w:color="auto" w:sz="2" w:space="0"/>
            </w:tcBorders>
            <w:noWrap w:val="0"/>
            <w:vAlign w:val="top"/>
          </w:tcPr>
          <w:p w14:paraId="159BBA12">
            <w:pPr>
              <w:snapToGrid w:val="0"/>
              <w:spacing w:line="360" w:lineRule="auto"/>
              <w:rPr>
                <w:rFonts w:hint="eastAsia" w:ascii="宋体" w:hAnsi="宋体" w:eastAsia="宋体" w:cs="宋体"/>
                <w:color w:val="000000"/>
                <w:sz w:val="22"/>
                <w:szCs w:val="22"/>
                <w:highlight w:val="none"/>
              </w:rPr>
            </w:pPr>
          </w:p>
        </w:tc>
        <w:tc>
          <w:tcPr>
            <w:tcW w:w="1381" w:type="pct"/>
            <w:tcBorders>
              <w:top w:val="single" w:color="auto" w:sz="4" w:space="0"/>
              <w:left w:val="single" w:color="auto" w:sz="2" w:space="0"/>
              <w:bottom w:val="single" w:color="auto" w:sz="4" w:space="0"/>
              <w:right w:val="single" w:color="auto" w:sz="4" w:space="0"/>
            </w:tcBorders>
            <w:noWrap w:val="0"/>
            <w:vAlign w:val="center"/>
          </w:tcPr>
          <w:p w14:paraId="0A2824EB">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0EA4B4F6">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095C444C">
            <w:pPr>
              <w:snapToGrid w:val="0"/>
              <w:spacing w:line="360" w:lineRule="auto"/>
              <w:jc w:val="center"/>
              <w:rPr>
                <w:rFonts w:hint="eastAsia" w:ascii="宋体" w:hAnsi="宋体" w:eastAsia="宋体" w:cs="宋体"/>
                <w:color w:val="000000"/>
                <w:sz w:val="22"/>
                <w:szCs w:val="22"/>
                <w:highlight w:val="none"/>
              </w:rPr>
            </w:pPr>
          </w:p>
        </w:tc>
        <w:tc>
          <w:tcPr>
            <w:tcW w:w="612" w:type="pct"/>
            <w:tcBorders>
              <w:top w:val="single" w:color="auto" w:sz="4" w:space="0"/>
              <w:left w:val="single" w:color="auto" w:sz="4" w:space="0"/>
              <w:bottom w:val="single" w:color="auto" w:sz="4" w:space="0"/>
              <w:right w:val="single" w:color="auto" w:sz="8" w:space="0"/>
            </w:tcBorders>
            <w:noWrap w:val="0"/>
            <w:vAlign w:val="center"/>
          </w:tcPr>
          <w:p w14:paraId="6D9B96AD">
            <w:pPr>
              <w:snapToGrid w:val="0"/>
              <w:spacing w:line="360" w:lineRule="auto"/>
              <w:jc w:val="center"/>
              <w:rPr>
                <w:rFonts w:hint="eastAsia" w:ascii="宋体" w:hAnsi="宋体" w:eastAsia="宋体" w:cs="宋体"/>
                <w:color w:val="000000"/>
                <w:sz w:val="22"/>
                <w:szCs w:val="22"/>
                <w:highlight w:val="none"/>
              </w:rPr>
            </w:pPr>
          </w:p>
        </w:tc>
      </w:tr>
      <w:tr w14:paraId="394AA5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324" w:type="pct"/>
            <w:tcBorders>
              <w:top w:val="single" w:color="auto" w:sz="4" w:space="0"/>
              <w:left w:val="single" w:color="auto" w:sz="8" w:space="0"/>
              <w:bottom w:val="single" w:color="auto" w:sz="4" w:space="0"/>
              <w:right w:val="single" w:color="auto" w:sz="2" w:space="0"/>
            </w:tcBorders>
            <w:noWrap w:val="0"/>
            <w:vAlign w:val="center"/>
          </w:tcPr>
          <w:p w14:paraId="0AFC1E43">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1302" w:type="pct"/>
            <w:gridSpan w:val="3"/>
            <w:tcBorders>
              <w:top w:val="single" w:color="auto" w:sz="4" w:space="0"/>
              <w:left w:val="single" w:color="auto" w:sz="2" w:space="0"/>
              <w:bottom w:val="single" w:color="auto" w:sz="4" w:space="0"/>
              <w:right w:val="single" w:color="auto" w:sz="2" w:space="0"/>
            </w:tcBorders>
            <w:noWrap w:val="0"/>
            <w:vAlign w:val="top"/>
          </w:tcPr>
          <w:p w14:paraId="090A5207">
            <w:pPr>
              <w:snapToGrid w:val="0"/>
              <w:spacing w:line="360" w:lineRule="auto"/>
              <w:rPr>
                <w:rFonts w:hint="eastAsia" w:ascii="宋体" w:hAnsi="宋体" w:eastAsia="宋体" w:cs="宋体"/>
                <w:color w:val="000000"/>
                <w:sz w:val="22"/>
                <w:szCs w:val="22"/>
                <w:highlight w:val="none"/>
              </w:rPr>
            </w:pPr>
          </w:p>
        </w:tc>
        <w:tc>
          <w:tcPr>
            <w:tcW w:w="1381" w:type="pct"/>
            <w:tcBorders>
              <w:top w:val="single" w:color="auto" w:sz="4" w:space="0"/>
              <w:left w:val="single" w:color="auto" w:sz="2" w:space="0"/>
              <w:bottom w:val="single" w:color="auto" w:sz="4" w:space="0"/>
              <w:right w:val="single" w:color="auto" w:sz="4" w:space="0"/>
            </w:tcBorders>
            <w:noWrap w:val="0"/>
            <w:vAlign w:val="center"/>
          </w:tcPr>
          <w:p w14:paraId="14EDBDD0">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14DD6BD8">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135DA93F">
            <w:pPr>
              <w:snapToGrid w:val="0"/>
              <w:spacing w:line="360" w:lineRule="auto"/>
              <w:jc w:val="center"/>
              <w:rPr>
                <w:rFonts w:hint="eastAsia" w:ascii="宋体" w:hAnsi="宋体" w:eastAsia="宋体" w:cs="宋体"/>
                <w:color w:val="000000"/>
                <w:sz w:val="22"/>
                <w:szCs w:val="22"/>
                <w:highlight w:val="none"/>
              </w:rPr>
            </w:pPr>
          </w:p>
        </w:tc>
        <w:tc>
          <w:tcPr>
            <w:tcW w:w="612" w:type="pct"/>
            <w:tcBorders>
              <w:top w:val="single" w:color="auto" w:sz="4" w:space="0"/>
              <w:left w:val="single" w:color="auto" w:sz="4" w:space="0"/>
              <w:bottom w:val="single" w:color="auto" w:sz="4" w:space="0"/>
              <w:right w:val="single" w:color="auto" w:sz="8" w:space="0"/>
            </w:tcBorders>
            <w:noWrap w:val="0"/>
            <w:vAlign w:val="center"/>
          </w:tcPr>
          <w:p w14:paraId="46444C62">
            <w:pPr>
              <w:snapToGrid w:val="0"/>
              <w:spacing w:line="360" w:lineRule="auto"/>
              <w:jc w:val="center"/>
              <w:rPr>
                <w:rFonts w:hint="eastAsia" w:ascii="宋体" w:hAnsi="宋体" w:eastAsia="宋体" w:cs="宋体"/>
                <w:color w:val="000000"/>
                <w:sz w:val="22"/>
                <w:szCs w:val="22"/>
                <w:highlight w:val="none"/>
              </w:rPr>
            </w:pPr>
          </w:p>
        </w:tc>
      </w:tr>
      <w:tr w14:paraId="0C4265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324" w:type="pct"/>
            <w:tcBorders>
              <w:top w:val="single" w:color="auto" w:sz="4" w:space="0"/>
              <w:left w:val="single" w:color="auto" w:sz="8" w:space="0"/>
              <w:right w:val="single" w:color="auto" w:sz="2" w:space="0"/>
            </w:tcBorders>
            <w:noWrap w:val="0"/>
            <w:vAlign w:val="center"/>
          </w:tcPr>
          <w:p w14:paraId="123874E7">
            <w:pPr>
              <w:snapToGrid w:val="0"/>
              <w:spacing w:line="360" w:lineRule="auto"/>
              <w:jc w:val="center"/>
              <w:rPr>
                <w:rFonts w:hint="eastAsia" w:ascii="宋体" w:hAnsi="宋体" w:eastAsia="宋体" w:cs="宋体"/>
                <w:color w:val="000000"/>
                <w:sz w:val="22"/>
                <w:szCs w:val="22"/>
                <w:highlight w:val="none"/>
              </w:rPr>
            </w:pPr>
          </w:p>
        </w:tc>
        <w:tc>
          <w:tcPr>
            <w:tcW w:w="1302" w:type="pct"/>
            <w:gridSpan w:val="3"/>
            <w:tcBorders>
              <w:top w:val="single" w:color="auto" w:sz="4" w:space="0"/>
              <w:left w:val="single" w:color="auto" w:sz="2" w:space="0"/>
              <w:bottom w:val="single" w:color="auto" w:sz="4" w:space="0"/>
              <w:right w:val="single" w:color="auto" w:sz="2" w:space="0"/>
            </w:tcBorders>
            <w:noWrap w:val="0"/>
            <w:vAlign w:val="center"/>
          </w:tcPr>
          <w:p w14:paraId="42DFCBAF">
            <w:pPr>
              <w:tabs>
                <w:tab w:val="left" w:pos="6135"/>
              </w:tabs>
              <w:snapToGrid w:val="0"/>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p>
        </w:tc>
        <w:tc>
          <w:tcPr>
            <w:tcW w:w="1381" w:type="pct"/>
            <w:tcBorders>
              <w:top w:val="single" w:color="auto" w:sz="4" w:space="0"/>
              <w:left w:val="single" w:color="auto" w:sz="2" w:space="0"/>
              <w:bottom w:val="single" w:color="auto" w:sz="4" w:space="0"/>
              <w:right w:val="single" w:color="auto" w:sz="4" w:space="0"/>
            </w:tcBorders>
            <w:noWrap w:val="0"/>
            <w:vAlign w:val="center"/>
          </w:tcPr>
          <w:p w14:paraId="213D831E">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3A0A5AFD">
            <w:pPr>
              <w:snapToGrid w:val="0"/>
              <w:spacing w:line="360" w:lineRule="auto"/>
              <w:jc w:val="center"/>
              <w:rPr>
                <w:rFonts w:hint="eastAsia" w:ascii="宋体" w:hAnsi="宋体" w:eastAsia="宋体" w:cs="宋体"/>
                <w:color w:val="000000"/>
                <w:sz w:val="22"/>
                <w:szCs w:val="22"/>
                <w:highlight w:val="none"/>
              </w:rPr>
            </w:pPr>
          </w:p>
        </w:tc>
        <w:tc>
          <w:tcPr>
            <w:tcW w:w="689" w:type="pct"/>
            <w:tcBorders>
              <w:top w:val="single" w:color="auto" w:sz="4" w:space="0"/>
              <w:left w:val="single" w:color="auto" w:sz="2" w:space="0"/>
              <w:bottom w:val="single" w:color="auto" w:sz="4" w:space="0"/>
              <w:right w:val="single" w:color="auto" w:sz="4" w:space="0"/>
            </w:tcBorders>
            <w:noWrap w:val="0"/>
            <w:vAlign w:val="center"/>
          </w:tcPr>
          <w:p w14:paraId="0C358F58">
            <w:pPr>
              <w:snapToGrid w:val="0"/>
              <w:spacing w:line="360" w:lineRule="auto"/>
              <w:jc w:val="center"/>
              <w:rPr>
                <w:rFonts w:hint="eastAsia" w:ascii="宋体" w:hAnsi="宋体" w:eastAsia="宋体" w:cs="宋体"/>
                <w:color w:val="000000"/>
                <w:sz w:val="22"/>
                <w:szCs w:val="22"/>
                <w:highlight w:val="none"/>
              </w:rPr>
            </w:pPr>
          </w:p>
        </w:tc>
        <w:tc>
          <w:tcPr>
            <w:tcW w:w="612" w:type="pct"/>
            <w:tcBorders>
              <w:top w:val="single" w:color="auto" w:sz="4" w:space="0"/>
              <w:left w:val="single" w:color="auto" w:sz="4" w:space="0"/>
              <w:bottom w:val="single" w:color="auto" w:sz="4" w:space="0"/>
              <w:right w:val="single" w:color="auto" w:sz="8" w:space="0"/>
            </w:tcBorders>
            <w:noWrap w:val="0"/>
            <w:vAlign w:val="center"/>
          </w:tcPr>
          <w:p w14:paraId="4352C1E3">
            <w:pPr>
              <w:snapToGrid w:val="0"/>
              <w:spacing w:line="360" w:lineRule="auto"/>
              <w:jc w:val="center"/>
              <w:rPr>
                <w:rFonts w:hint="eastAsia" w:ascii="宋体" w:hAnsi="宋体" w:eastAsia="宋体" w:cs="宋体"/>
                <w:color w:val="000000"/>
                <w:sz w:val="22"/>
                <w:szCs w:val="22"/>
                <w:highlight w:val="none"/>
              </w:rPr>
            </w:pPr>
          </w:p>
        </w:tc>
      </w:tr>
      <w:tr w14:paraId="3B46FD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620" w:type="pct"/>
            <w:gridSpan w:val="2"/>
            <w:vMerge w:val="restart"/>
            <w:tcBorders>
              <w:top w:val="single" w:color="auto" w:sz="2" w:space="0"/>
              <w:left w:val="single" w:color="auto" w:sz="8" w:space="0"/>
              <w:bottom w:val="single" w:color="auto" w:sz="8" w:space="0"/>
              <w:right w:val="single" w:color="auto" w:sz="4" w:space="0"/>
            </w:tcBorders>
            <w:noWrap w:val="0"/>
            <w:vAlign w:val="center"/>
          </w:tcPr>
          <w:p w14:paraId="528A03EE">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总计</w:t>
            </w:r>
          </w:p>
        </w:tc>
        <w:tc>
          <w:tcPr>
            <w:tcW w:w="519" w:type="pct"/>
            <w:tcBorders>
              <w:top w:val="single" w:color="auto" w:sz="2" w:space="0"/>
              <w:left w:val="single" w:color="auto" w:sz="4" w:space="0"/>
              <w:bottom w:val="single" w:color="auto" w:sz="2" w:space="0"/>
              <w:right w:val="single" w:color="auto" w:sz="2" w:space="0"/>
            </w:tcBorders>
            <w:noWrap w:val="0"/>
            <w:vAlign w:val="center"/>
          </w:tcPr>
          <w:p w14:paraId="41AFCD48">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大写</w:t>
            </w:r>
          </w:p>
        </w:tc>
        <w:tc>
          <w:tcPr>
            <w:tcW w:w="3860" w:type="pct"/>
            <w:gridSpan w:val="5"/>
            <w:tcBorders>
              <w:top w:val="single" w:color="auto" w:sz="2" w:space="0"/>
              <w:left w:val="single" w:color="auto" w:sz="4" w:space="0"/>
              <w:bottom w:val="single" w:color="auto" w:sz="2" w:space="0"/>
              <w:right w:val="single" w:color="auto" w:sz="8" w:space="0"/>
            </w:tcBorders>
            <w:noWrap w:val="0"/>
            <w:vAlign w:val="center"/>
          </w:tcPr>
          <w:p w14:paraId="5242B774">
            <w:pPr>
              <w:snapToGrid w:val="0"/>
              <w:spacing w:line="360" w:lineRule="auto"/>
              <w:jc w:val="center"/>
              <w:rPr>
                <w:rFonts w:hint="eastAsia" w:ascii="宋体" w:hAnsi="宋体" w:eastAsia="宋体" w:cs="宋体"/>
                <w:color w:val="000000"/>
                <w:sz w:val="22"/>
                <w:szCs w:val="22"/>
                <w:highlight w:val="none"/>
              </w:rPr>
            </w:pPr>
          </w:p>
        </w:tc>
      </w:tr>
      <w:tr w14:paraId="7BCAF5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620" w:type="pct"/>
            <w:gridSpan w:val="2"/>
            <w:vMerge w:val="continue"/>
            <w:tcBorders>
              <w:top w:val="single" w:color="auto" w:sz="2" w:space="0"/>
              <w:left w:val="single" w:color="auto" w:sz="8" w:space="0"/>
              <w:bottom w:val="single" w:color="auto" w:sz="8" w:space="0"/>
              <w:right w:val="single" w:color="auto" w:sz="4" w:space="0"/>
            </w:tcBorders>
            <w:noWrap w:val="0"/>
            <w:vAlign w:val="center"/>
          </w:tcPr>
          <w:p w14:paraId="2B70F7A0">
            <w:pPr>
              <w:widowControl/>
              <w:snapToGrid w:val="0"/>
              <w:spacing w:line="360" w:lineRule="auto"/>
              <w:jc w:val="center"/>
              <w:rPr>
                <w:rFonts w:hint="eastAsia" w:ascii="宋体" w:hAnsi="宋体" w:eastAsia="宋体" w:cs="宋体"/>
                <w:color w:val="000000"/>
                <w:sz w:val="22"/>
                <w:szCs w:val="22"/>
                <w:highlight w:val="none"/>
              </w:rPr>
            </w:pPr>
          </w:p>
        </w:tc>
        <w:tc>
          <w:tcPr>
            <w:tcW w:w="519" w:type="pct"/>
            <w:tcBorders>
              <w:top w:val="single" w:color="auto" w:sz="2" w:space="0"/>
              <w:left w:val="single" w:color="auto" w:sz="4" w:space="0"/>
              <w:bottom w:val="single" w:color="auto" w:sz="8" w:space="0"/>
              <w:right w:val="single" w:color="auto" w:sz="2" w:space="0"/>
            </w:tcBorders>
            <w:noWrap w:val="0"/>
            <w:vAlign w:val="center"/>
          </w:tcPr>
          <w:p w14:paraId="38774261">
            <w:pPr>
              <w:snapToGrid w:val="0"/>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小写</w:t>
            </w:r>
          </w:p>
        </w:tc>
        <w:tc>
          <w:tcPr>
            <w:tcW w:w="3860" w:type="pct"/>
            <w:gridSpan w:val="5"/>
            <w:tcBorders>
              <w:top w:val="single" w:color="auto" w:sz="2" w:space="0"/>
              <w:left w:val="single" w:color="auto" w:sz="4" w:space="0"/>
              <w:bottom w:val="single" w:color="auto" w:sz="8" w:space="0"/>
              <w:right w:val="single" w:color="auto" w:sz="8" w:space="0"/>
            </w:tcBorders>
            <w:noWrap w:val="0"/>
            <w:vAlign w:val="center"/>
          </w:tcPr>
          <w:p w14:paraId="49F782FE">
            <w:pPr>
              <w:snapToGrid w:val="0"/>
              <w:spacing w:line="360" w:lineRule="auto"/>
              <w:jc w:val="center"/>
              <w:rPr>
                <w:rFonts w:hint="eastAsia" w:ascii="宋体" w:hAnsi="宋体" w:eastAsia="宋体" w:cs="宋体"/>
                <w:color w:val="000000"/>
                <w:sz w:val="22"/>
                <w:szCs w:val="22"/>
                <w:highlight w:val="none"/>
              </w:rPr>
            </w:pPr>
          </w:p>
        </w:tc>
      </w:tr>
    </w:tbl>
    <w:p w14:paraId="30199FC5">
      <w:pPr>
        <w:autoSpaceDE w:val="0"/>
        <w:autoSpaceDN w:val="0"/>
        <w:adjustRightInd w:val="0"/>
        <w:spacing w:line="460" w:lineRule="atLeast"/>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注：1. </w:t>
      </w:r>
      <w:r>
        <w:rPr>
          <w:rFonts w:hint="eastAsia" w:ascii="宋体" w:eastAsia="宋体"/>
          <w:color w:val="auto"/>
          <w:sz w:val="22"/>
          <w:szCs w:val="22"/>
          <w:highlight w:val="none"/>
        </w:rPr>
        <w:t>总计价</w:t>
      </w:r>
      <w:r>
        <w:rPr>
          <w:rFonts w:hint="eastAsia" w:ascii="宋体" w:eastAsia="宋体"/>
          <w:color w:val="auto"/>
          <w:sz w:val="22"/>
          <w:szCs w:val="22"/>
          <w:highlight w:val="none"/>
          <w:lang w:val="zh-CN"/>
        </w:rPr>
        <w:t>应与“开标一览表”中投标总价相一致。</w:t>
      </w:r>
    </w:p>
    <w:p w14:paraId="4DB829F0">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2. 本表所列费用为本项目的全部费用，除此外，不允许增加任何费用。                    </w:t>
      </w:r>
    </w:p>
    <w:p w14:paraId="73F79967">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w:t>
      </w:r>
      <w:r>
        <w:rPr>
          <w:rFonts w:hint="eastAsia" w:ascii="宋体" w:eastAsia="宋体"/>
          <w:color w:val="auto"/>
          <w:sz w:val="22"/>
          <w:szCs w:val="22"/>
          <w:highlight w:val="none"/>
          <w:u w:val="single"/>
          <w:lang w:val="zh-CN"/>
        </w:rPr>
        <w:t>3. 不提供详细分项的投标价将视为没有实质性响应采购文件。</w:t>
      </w:r>
    </w:p>
    <w:p w14:paraId="246BE1D9">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4．本表可在不改变格式的情况下根据具体需要自行增减。                         </w:t>
      </w:r>
    </w:p>
    <w:p w14:paraId="79B7F027">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5、 带有“……”的为本表未列的其他费用，供应商需视情况自行列出。</w:t>
      </w:r>
    </w:p>
    <w:p w14:paraId="4E589E10">
      <w:pPr>
        <w:widowControl/>
        <w:spacing w:line="460" w:lineRule="exact"/>
        <w:ind w:firstLine="44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 ：</w:t>
      </w:r>
    </w:p>
    <w:p w14:paraId="0628937E">
      <w:pPr>
        <w:spacing w:line="460" w:lineRule="atLeast"/>
        <w:ind w:firstLine="440"/>
        <w:rPr>
          <w:rFonts w:ascii="宋体" w:eastAsia="宋体"/>
          <w:b w:val="0"/>
          <w:bCs w:val="0"/>
          <w:color w:val="auto"/>
          <w:sz w:val="36"/>
          <w:highlight w:val="none"/>
        </w:rPr>
      </w:pPr>
      <w:r>
        <w:rPr>
          <w:rFonts w:hint="eastAsia" w:ascii="宋体" w:eastAsia="宋体"/>
          <w:b w:val="0"/>
          <w:bCs w:val="0"/>
          <w:color w:val="auto"/>
          <w:sz w:val="22"/>
          <w:szCs w:val="22"/>
          <w:highlight w:val="none"/>
        </w:rPr>
        <w:t>日期：</w:t>
      </w:r>
    </w:p>
    <w:p w14:paraId="07168747">
      <w:pPr>
        <w:snapToGrid w:val="0"/>
        <w:spacing w:line="500" w:lineRule="atLeast"/>
        <w:ind w:firstLine="4367" w:firstLineChars="1450"/>
        <w:rPr>
          <w:rFonts w:ascii="宋体" w:eastAsia="宋体"/>
          <w:color w:val="auto"/>
          <w:sz w:val="30"/>
          <w:highlight w:val="none"/>
        </w:rPr>
        <w:sectPr>
          <w:headerReference r:id="rId13" w:type="default"/>
          <w:footerReference r:id="rId14" w:type="default"/>
          <w:pgSz w:w="11906" w:h="16838"/>
          <w:pgMar w:top="1440" w:right="1701" w:bottom="1440" w:left="1701" w:header="851" w:footer="992" w:gutter="0"/>
          <w:cols w:space="720" w:num="1"/>
          <w:docGrid w:linePitch="312" w:charSpace="0"/>
        </w:sectPr>
      </w:pPr>
    </w:p>
    <w:p w14:paraId="6694E42B">
      <w:pPr>
        <w:pStyle w:val="8"/>
        <w:rPr>
          <w:rFonts w:ascii="宋体" w:hAnsi="宋体" w:cs="宋体"/>
          <w:color w:val="auto"/>
          <w:highlight w:val="none"/>
        </w:rPr>
      </w:pPr>
      <w:bookmarkStart w:id="118" w:name="_Toc42243287"/>
      <w:bookmarkEnd w:id="118"/>
      <w:bookmarkStart w:id="119" w:name="_Toc1040"/>
      <w:bookmarkEnd w:id="119"/>
      <w:bookmarkStart w:id="120" w:name="_Toc42678695"/>
      <w:bookmarkEnd w:id="120"/>
      <w:bookmarkStart w:id="121" w:name="_Toc65830025"/>
      <w:bookmarkEnd w:id="121"/>
      <w:bookmarkStart w:id="122" w:name="_Toc65590097"/>
      <w:bookmarkEnd w:id="122"/>
      <w:bookmarkStart w:id="123" w:name="_Toc15121"/>
      <w:r>
        <w:rPr>
          <w:rFonts w:hint="eastAsia" w:ascii="宋体" w:hAnsi="宋体" w:cs="宋体"/>
          <w:color w:val="auto"/>
          <w:highlight w:val="none"/>
        </w:rPr>
        <w:t>三、商务技术文件部分格式</w:t>
      </w:r>
      <w:bookmarkEnd w:id="123"/>
    </w:p>
    <w:p w14:paraId="1A436C66">
      <w:pPr>
        <w:widowControl/>
        <w:spacing w:line="460" w:lineRule="atLeast"/>
        <w:jc w:val="left"/>
        <w:rPr>
          <w:rFonts w:ascii="宋体" w:eastAsia="宋体"/>
          <w:color w:val="auto"/>
          <w:sz w:val="22"/>
          <w:szCs w:val="22"/>
          <w:highlight w:val="none"/>
        </w:rPr>
      </w:pPr>
      <w:bookmarkStart w:id="124" w:name="_Toc493530215"/>
      <w:bookmarkEnd w:id="124"/>
      <w:r>
        <w:rPr>
          <w:rFonts w:hint="eastAsia" w:ascii="宋体" w:eastAsia="宋体"/>
          <w:color w:val="auto"/>
          <w:sz w:val="22"/>
          <w:szCs w:val="22"/>
          <w:highlight w:val="none"/>
        </w:rPr>
        <w:t>附件四</w:t>
      </w:r>
    </w:p>
    <w:p w14:paraId="5D25D5E5">
      <w:pPr>
        <w:pStyle w:val="8"/>
        <w:rPr>
          <w:rFonts w:ascii="宋体" w:hAnsi="宋体" w:cs="宋体"/>
          <w:color w:val="auto"/>
          <w:highlight w:val="none"/>
        </w:rPr>
      </w:pPr>
      <w:bookmarkStart w:id="125" w:name="_Toc68187557"/>
      <w:bookmarkEnd w:id="125"/>
      <w:bookmarkStart w:id="126" w:name="_Toc29259"/>
      <w:bookmarkEnd w:id="126"/>
      <w:bookmarkStart w:id="127" w:name="_Toc61444217"/>
      <w:bookmarkEnd w:id="127"/>
      <w:bookmarkStart w:id="128" w:name="_Toc42678696"/>
      <w:bookmarkEnd w:id="128"/>
      <w:bookmarkStart w:id="129" w:name="_Toc19204521"/>
      <w:bookmarkEnd w:id="129"/>
      <w:bookmarkStart w:id="130" w:name="_Toc42678617"/>
      <w:bookmarkEnd w:id="130"/>
      <w:bookmarkStart w:id="131" w:name="_Toc9334949"/>
      <w:bookmarkEnd w:id="131"/>
      <w:bookmarkStart w:id="132" w:name="_Toc42678185"/>
      <w:bookmarkEnd w:id="132"/>
      <w:bookmarkStart w:id="133" w:name="_Toc12111"/>
      <w:bookmarkEnd w:id="133"/>
      <w:bookmarkStart w:id="134" w:name="_Toc87518596"/>
      <w:bookmarkEnd w:id="134"/>
      <w:bookmarkStart w:id="135" w:name="_Toc518512534"/>
      <w:bookmarkEnd w:id="135"/>
      <w:bookmarkStart w:id="136" w:name="_Toc511045481"/>
      <w:bookmarkEnd w:id="136"/>
      <w:bookmarkStart w:id="137" w:name="_Toc18949"/>
      <w:bookmarkEnd w:id="137"/>
      <w:bookmarkStart w:id="138" w:name="_Toc42678030"/>
      <w:bookmarkEnd w:id="138"/>
      <w:bookmarkStart w:id="139" w:name="_Toc65590098"/>
      <w:bookmarkEnd w:id="139"/>
      <w:bookmarkStart w:id="140" w:name="_Toc96970932"/>
      <w:bookmarkEnd w:id="140"/>
      <w:bookmarkStart w:id="141" w:name="_Toc68188793"/>
      <w:bookmarkEnd w:id="141"/>
      <w:bookmarkStart w:id="142" w:name="_Toc21520"/>
      <w:bookmarkEnd w:id="142"/>
      <w:bookmarkStart w:id="143" w:name="_Toc65830026"/>
      <w:bookmarkEnd w:id="143"/>
      <w:bookmarkStart w:id="144" w:name="_Toc42243288"/>
      <w:bookmarkEnd w:id="144"/>
      <w:bookmarkStart w:id="145" w:name="_Toc522469119"/>
      <w:bookmarkEnd w:id="145"/>
      <w:bookmarkStart w:id="146" w:name="_Toc87518419"/>
      <w:bookmarkEnd w:id="146"/>
      <w:bookmarkStart w:id="147" w:name="_Toc68189107"/>
      <w:bookmarkEnd w:id="147"/>
      <w:bookmarkStart w:id="148" w:name="_Toc97033074"/>
      <w:bookmarkEnd w:id="148"/>
      <w:bookmarkStart w:id="149" w:name="_Toc26337"/>
      <w:r>
        <w:rPr>
          <w:rFonts w:hint="eastAsia" w:ascii="宋体" w:hAnsi="宋体" w:cs="宋体"/>
          <w:color w:val="auto"/>
          <w:highlight w:val="none"/>
        </w:rPr>
        <w:t>磋 商 函</w:t>
      </w:r>
      <w:bookmarkEnd w:id="149"/>
    </w:p>
    <w:p w14:paraId="7A30913E">
      <w:pPr>
        <w:autoSpaceDE w:val="0"/>
        <w:autoSpaceDN w:val="0"/>
        <w:adjustRightInd w:val="0"/>
        <w:snapToGrid w:val="0"/>
        <w:spacing w:line="480" w:lineRule="atLeast"/>
        <w:rPr>
          <w:rFonts w:ascii="宋体" w:eastAsia="宋体"/>
          <w:b w:val="0"/>
          <w:bCs w:val="0"/>
          <w:color w:val="auto"/>
          <w:sz w:val="22"/>
          <w:highlight w:val="none"/>
          <w:u w:val="single"/>
        </w:rPr>
      </w:pPr>
      <w:r>
        <w:rPr>
          <w:rFonts w:hint="eastAsia" w:ascii="宋体" w:eastAsia="宋体"/>
          <w:b w:val="0"/>
          <w:bCs w:val="0"/>
          <w:color w:val="auto"/>
          <w:sz w:val="22"/>
          <w:highlight w:val="none"/>
          <w:u w:val="single"/>
          <w:lang w:val="zh-CN"/>
        </w:rPr>
        <w:t xml:space="preserve">  （采购人）   ：</w:t>
      </w:r>
    </w:p>
    <w:p w14:paraId="3F4D7BD2">
      <w:pPr>
        <w:spacing w:line="42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根据贵方为</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项目（项目编号：</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）的投标邀请，我方</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（供应商名称）作为供应商正式授权</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（授权代表全名，职务）代表我方处理有关本项目投标的一切事宜。</w:t>
      </w:r>
    </w:p>
    <w:p w14:paraId="0CE98249">
      <w:pPr>
        <w:autoSpaceDE w:val="0"/>
        <w:autoSpaceDN w:val="0"/>
        <w:adjustRightInd w:val="0"/>
        <w:spacing w:line="420" w:lineRule="atLeast"/>
        <w:ind w:firstLine="440" w:firstLineChars="200"/>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在此提交的投标文件中，包括如下内容，并已分别单独提交：</w:t>
      </w:r>
    </w:p>
    <w:p w14:paraId="46E0F148">
      <w:pPr>
        <w:numPr>
          <w:ilvl w:val="0"/>
          <w:numId w:val="7"/>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按“供应商须知”要求编制的投标文件资格审查资料 ；</w:t>
      </w:r>
    </w:p>
    <w:p w14:paraId="34D91784">
      <w:pPr>
        <w:numPr>
          <w:ilvl w:val="0"/>
          <w:numId w:val="7"/>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按“供应商须知”要求编制的投标文件商务技术文件 ；</w:t>
      </w:r>
    </w:p>
    <w:p w14:paraId="4D546B0C">
      <w:pPr>
        <w:numPr>
          <w:ilvl w:val="0"/>
          <w:numId w:val="7"/>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按“供应商须知”要求编制的投标文件报价文件 。</w:t>
      </w:r>
    </w:p>
    <w:p w14:paraId="5376D1B2">
      <w:pPr>
        <w:autoSpaceDE w:val="0"/>
        <w:autoSpaceDN w:val="0"/>
        <w:adjustRightInd w:val="0"/>
        <w:spacing w:line="420" w:lineRule="atLeast"/>
        <w:ind w:firstLine="440"/>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我方已完全明白采购文件的所有条款要求，并重申以下几点：</w:t>
      </w:r>
    </w:p>
    <w:p w14:paraId="24F872C6">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761B68A0">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同意提供按照贵方可能要求的与投标有关的一切数据或资料等。若贵方需要，我方愿意提供我方做出的一切承诺的证明材料。</w:t>
      </w:r>
    </w:p>
    <w:p w14:paraId="2CC2127C">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如中标，保证按照采购文件要求及投标文件的承诺与采购人签订合同，保证履行合同条款。</w:t>
      </w:r>
    </w:p>
    <w:p w14:paraId="37597D9A">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同意在采购文件中供应商须知规定的开标日期起遵守本投标书中的承诺且在投标有效期满之前均具有约束力。</w:t>
      </w:r>
    </w:p>
    <w:p w14:paraId="0BDE9E07">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如果在开标后规定的投标有效期内撤回投标，我方接受贵方处罚。</w:t>
      </w:r>
    </w:p>
    <w:p w14:paraId="1A69CBCF">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完全理解贵方不一定要接受最低价的投标。</w:t>
      </w:r>
    </w:p>
    <w:p w14:paraId="3A41CFEB">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在参加本项目前三年内（被通报或者处罚的违法行为有：</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）或（没有因违法经营受到刑事处罚或者责令停产停业、吊销许可证或者执照、较大数额罚款等行政处罚或处罚）或（在</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至</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期间禁止参加政府采购活动但是期限届满，须附相关证明文件）</w:t>
      </w:r>
    </w:p>
    <w:p w14:paraId="3C155420">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eastAsia="宋体"/>
          <w:b w:val="0"/>
          <w:bCs w:val="0"/>
          <w:color w:val="auto"/>
          <w:sz w:val="22"/>
          <w:highlight w:val="none"/>
        </w:rPr>
        <w:t>www.creditchina.gov.cn</w:t>
      </w:r>
      <w:r>
        <w:rPr>
          <w:rFonts w:hint="eastAsia" w:ascii="宋体" w:eastAsia="宋体"/>
          <w:b w:val="0"/>
          <w:bCs w:val="0"/>
          <w:color w:val="auto"/>
          <w:sz w:val="22"/>
          <w:highlight w:val="none"/>
        </w:rPr>
        <w:fldChar w:fldCharType="end"/>
      </w:r>
      <w:r>
        <w:rPr>
          <w:rFonts w:hint="eastAsia" w:ascii="宋体" w:eastAsia="宋体"/>
          <w:b w:val="0"/>
          <w:bCs w:val="0"/>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eastAsia="宋体"/>
          <w:b w:val="0"/>
          <w:bCs w:val="0"/>
          <w:color w:val="auto"/>
          <w:sz w:val="22"/>
          <w:highlight w:val="none"/>
        </w:rPr>
        <w:t>www.ccgp.gov.cn</w:t>
      </w:r>
      <w:r>
        <w:rPr>
          <w:rFonts w:hint="eastAsia" w:ascii="宋体" w:eastAsia="宋体"/>
          <w:b w:val="0"/>
          <w:bCs w:val="0"/>
          <w:color w:val="auto"/>
          <w:sz w:val="22"/>
          <w:highlight w:val="none"/>
        </w:rPr>
        <w:fldChar w:fldCharType="end"/>
      </w:r>
      <w:r>
        <w:rPr>
          <w:rFonts w:hint="eastAsia" w:ascii="宋体" w:eastAsia="宋体"/>
          <w:b w:val="0"/>
          <w:bCs w:val="0"/>
          <w:color w:val="auto"/>
          <w:sz w:val="22"/>
          <w:highlight w:val="none"/>
        </w:rPr>
        <w:t>)列入政府采购严重违法失信行为记录名单。）或（被“信用中国”或“中国政府采购网”列入……名单。）</w:t>
      </w:r>
    </w:p>
    <w:p w14:paraId="6B9C4EA3">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如有下列情形之一的，我方愿意被取消中标资格（如中标），同时继续承担其他一切法律后果，并不再寻求任何旨在减轻或免除法律责任的解释：</w:t>
      </w:r>
    </w:p>
    <w:p w14:paraId="6DE84E05">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(1)提供虚假材料（承诺）谋取中标、成交的；</w:t>
      </w:r>
    </w:p>
    <w:p w14:paraId="4EAC2A3C">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(2)采取不正当手段诋毁、排挤其他供应商的；</w:t>
      </w:r>
    </w:p>
    <w:p w14:paraId="0E85C29F">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(3)与采购人、其它供应商或者采购代理机构恶意串通的；</w:t>
      </w:r>
    </w:p>
    <w:p w14:paraId="538AA8CF">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(4)向采购人、采购代理机构行贿或者提供其他不正当利益的；</w:t>
      </w:r>
    </w:p>
    <w:p w14:paraId="56E55169">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(5)在招标采购过程中与采购人进行协商谈判的；</w:t>
      </w:r>
    </w:p>
    <w:p w14:paraId="21019810">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(6)拒绝有关部门监督检查或提供虚假情况的。</w:t>
      </w:r>
    </w:p>
    <w:p w14:paraId="195DEF97">
      <w:pPr>
        <w:numPr>
          <w:ilvl w:val="0"/>
          <w:numId w:val="8"/>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所有与本投标有关的函件请发往下列地址：</w:t>
      </w:r>
    </w:p>
    <w:p w14:paraId="6AE2BD18">
      <w:pPr>
        <w:spacing w:line="420" w:lineRule="exact"/>
        <w:ind w:firstLine="435"/>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地址</w:t>
      </w:r>
      <w:r>
        <w:rPr>
          <w:rFonts w:hint="eastAsia" w:ascii="宋体" w:eastAsia="宋体"/>
          <w:b w:val="0"/>
          <w:bCs w:val="0"/>
          <w:color w:val="auto"/>
          <w:sz w:val="22"/>
          <w:szCs w:val="22"/>
          <w:highlight w:val="none"/>
          <w:u w:val="single"/>
        </w:rPr>
        <w:t xml:space="preserve">                           </w:t>
      </w:r>
    </w:p>
    <w:p w14:paraId="738BE54C">
      <w:pPr>
        <w:spacing w:line="420" w:lineRule="exact"/>
        <w:ind w:firstLine="435"/>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电话</w:t>
      </w:r>
      <w:r>
        <w:rPr>
          <w:rFonts w:hint="eastAsia" w:ascii="宋体" w:eastAsia="宋体"/>
          <w:b w:val="0"/>
          <w:bCs w:val="0"/>
          <w:color w:val="auto"/>
          <w:sz w:val="22"/>
          <w:szCs w:val="22"/>
          <w:highlight w:val="none"/>
          <w:u w:val="single"/>
        </w:rPr>
        <w:t xml:space="preserve">                           </w:t>
      </w:r>
    </w:p>
    <w:p w14:paraId="2FF59BF3">
      <w:pPr>
        <w:spacing w:line="420" w:lineRule="exact"/>
        <w:ind w:firstLine="435"/>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 xml:space="preserve">   传真</w:t>
      </w:r>
      <w:r>
        <w:rPr>
          <w:rFonts w:hint="eastAsia" w:ascii="宋体" w:eastAsia="宋体"/>
          <w:b w:val="0"/>
          <w:bCs w:val="0"/>
          <w:color w:val="auto"/>
          <w:sz w:val="22"/>
          <w:szCs w:val="22"/>
          <w:highlight w:val="none"/>
          <w:u w:val="single"/>
        </w:rPr>
        <w:t xml:space="preserve">                           </w:t>
      </w:r>
    </w:p>
    <w:p w14:paraId="725CB3EE">
      <w:pPr>
        <w:spacing w:line="42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电子邮件</w:t>
      </w:r>
      <w:r>
        <w:rPr>
          <w:rFonts w:hint="eastAsia" w:ascii="宋体" w:eastAsia="宋体"/>
          <w:b w:val="0"/>
          <w:bCs w:val="0"/>
          <w:color w:val="auto"/>
          <w:sz w:val="22"/>
          <w:szCs w:val="22"/>
          <w:highlight w:val="none"/>
          <w:u w:val="single"/>
        </w:rPr>
        <w:t xml:space="preserve">                           </w:t>
      </w:r>
    </w:p>
    <w:p w14:paraId="3A538ACF">
      <w:pPr>
        <w:autoSpaceDE w:val="0"/>
        <w:autoSpaceDN w:val="0"/>
        <w:adjustRightInd w:val="0"/>
        <w:spacing w:line="440" w:lineRule="atLeast"/>
        <w:rPr>
          <w:rFonts w:ascii="宋体" w:eastAsia="宋体"/>
          <w:color w:val="auto"/>
          <w:sz w:val="22"/>
          <w:szCs w:val="22"/>
          <w:highlight w:val="none"/>
        </w:rPr>
      </w:pPr>
    </w:p>
    <w:p w14:paraId="6FBE4729">
      <w:pPr>
        <w:autoSpaceDE w:val="0"/>
        <w:autoSpaceDN w:val="0"/>
        <w:adjustRightInd w:val="0"/>
        <w:spacing w:line="440" w:lineRule="atLeast"/>
        <w:ind w:firstLine="1988" w:firstLineChars="900"/>
        <w:rPr>
          <w:rFonts w:ascii="宋体" w:eastAsia="宋体"/>
          <w:color w:val="auto"/>
          <w:sz w:val="22"/>
          <w:szCs w:val="22"/>
          <w:highlight w:val="none"/>
          <w:lang w:val="zh-CN"/>
        </w:rPr>
      </w:pPr>
    </w:p>
    <w:p w14:paraId="49444EB0">
      <w:pPr>
        <w:autoSpaceDE w:val="0"/>
        <w:autoSpaceDN w:val="0"/>
        <w:adjustRightInd w:val="0"/>
        <w:spacing w:line="440" w:lineRule="atLeast"/>
        <w:jc w:val="lef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供应商全称（盖章）：</w:t>
      </w:r>
    </w:p>
    <w:p w14:paraId="716E7403">
      <w:pPr>
        <w:autoSpaceDE w:val="0"/>
        <w:autoSpaceDN w:val="0"/>
        <w:adjustRightInd w:val="0"/>
        <w:spacing w:line="440" w:lineRule="atLeast"/>
        <w:jc w:val="lef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日期：</w:t>
      </w:r>
    </w:p>
    <w:p w14:paraId="0984E56B">
      <w:pPr>
        <w:autoSpaceDE w:val="0"/>
        <w:autoSpaceDN w:val="0"/>
        <w:adjustRightInd w:val="0"/>
        <w:snapToGrid w:val="0"/>
        <w:spacing w:line="480" w:lineRule="atLeast"/>
        <w:ind w:firstLine="442" w:firstLineChars="200"/>
        <w:jc w:val="left"/>
        <w:rPr>
          <w:rFonts w:ascii="宋体" w:eastAsia="宋体"/>
          <w:color w:val="auto"/>
          <w:sz w:val="22"/>
          <w:highlight w:val="none"/>
          <w:lang w:val="zh-CN"/>
        </w:rPr>
      </w:pPr>
    </w:p>
    <w:p w14:paraId="04F8FAEB">
      <w:pPr>
        <w:rPr>
          <w:rFonts w:ascii="宋体" w:eastAsia="宋体"/>
          <w:color w:val="auto"/>
          <w:sz w:val="22"/>
          <w:szCs w:val="22"/>
          <w:highlight w:val="none"/>
        </w:rPr>
      </w:pPr>
      <w:bookmarkStart w:id="150" w:name="_Toc493530219"/>
      <w:r>
        <w:rPr>
          <w:rFonts w:hint="eastAsia" w:ascii="宋体" w:eastAsia="宋体"/>
          <w:color w:val="auto"/>
          <w:sz w:val="22"/>
          <w:szCs w:val="22"/>
          <w:highlight w:val="none"/>
        </w:rPr>
        <w:br w:type="page"/>
      </w:r>
    </w:p>
    <w:bookmarkEnd w:id="150"/>
    <w:p w14:paraId="0353F1C9">
      <w:pPr>
        <w:widowControl/>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附件五</w:t>
      </w:r>
    </w:p>
    <w:p w14:paraId="3C6793A1">
      <w:pPr>
        <w:tabs>
          <w:tab w:val="left" w:pos="1080"/>
        </w:tabs>
        <w:autoSpaceDE w:val="0"/>
        <w:autoSpaceDN w:val="0"/>
        <w:adjustRightInd w:val="0"/>
        <w:spacing w:line="44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法定代表人诚信投标承诺书</w:t>
      </w:r>
    </w:p>
    <w:p w14:paraId="734BD8FE">
      <w:pPr>
        <w:spacing w:line="360" w:lineRule="auto"/>
        <w:jc w:val="left"/>
        <w:rPr>
          <w:rFonts w:ascii="宋体" w:eastAsia="宋体"/>
          <w:color w:val="auto"/>
          <w:sz w:val="24"/>
          <w:highlight w:val="none"/>
        </w:rPr>
      </w:pPr>
    </w:p>
    <w:p w14:paraId="75478337">
      <w:pPr>
        <w:spacing w:line="46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本人以企业法定代表人的身份郑重承诺：</w:t>
      </w:r>
    </w:p>
    <w:p w14:paraId="685DDED4">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将遵循公开、公平、公正和诚信信用的原则参加</w:t>
      </w:r>
      <w:r>
        <w:rPr>
          <w:rFonts w:hint="eastAsia" w:ascii="宋体" w:eastAsia="宋体"/>
          <w:b w:val="0"/>
          <w:bCs w:val="0"/>
          <w:color w:val="auto"/>
          <w:sz w:val="22"/>
          <w:szCs w:val="22"/>
          <w:highlight w:val="none"/>
          <w:u w:val="single"/>
        </w:rPr>
        <w:t xml:space="preserve">              项目（项目编号：   ）</w:t>
      </w:r>
      <w:r>
        <w:rPr>
          <w:rFonts w:hint="eastAsia" w:ascii="宋体" w:eastAsia="宋体"/>
          <w:b w:val="0"/>
          <w:bCs w:val="0"/>
          <w:color w:val="auto"/>
          <w:sz w:val="22"/>
          <w:szCs w:val="22"/>
          <w:highlight w:val="none"/>
        </w:rPr>
        <w:t>的投标；</w:t>
      </w:r>
    </w:p>
    <w:p w14:paraId="2D85B213">
      <w:pPr>
        <w:spacing w:line="460" w:lineRule="atLeast"/>
        <w:ind w:firstLine="440" w:firstLineChars="200"/>
        <w:jc w:val="left"/>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一、杜绝以收取管理费等形式的一切挂靠、违法转包、分包行为；并选派有丰富经验、无不良行为记录的项目管理人员、技术人员，严格按采购文件、投标文件及合同等要求保证拟派人员的到岗率。</w:t>
      </w:r>
    </w:p>
    <w:p w14:paraId="386F41D5">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二、投标文件所提供的一切材料都是真实、有效、合法的。</w:t>
      </w:r>
    </w:p>
    <w:p w14:paraId="0FCA935D">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三、不与其他投标供应商相互串通投标报价，不排挤其他投标供应商的公平竞争，不损害采购人或其他投标供应商的合法权益。</w:t>
      </w:r>
    </w:p>
    <w:p w14:paraId="6CF0DB4A">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四、不与采购人或采购代理机构串通投标，不损害国家利益，社会公共利益或其他人的合法权益。</w:t>
      </w:r>
    </w:p>
    <w:p w14:paraId="044D1FA6">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五、不向采购人或者评标委员会成员行贿以牟取中标。</w:t>
      </w:r>
    </w:p>
    <w:p w14:paraId="5ACDEE8B">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六、不以其他人名义投标或者以其他方式弄虚作假，骗取中标。</w:t>
      </w:r>
    </w:p>
    <w:p w14:paraId="04574BB1">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七、不在开标后进行虚假恶意投诉。</w:t>
      </w:r>
    </w:p>
    <w:p w14:paraId="2EAA8E9D">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1D5E990C">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九、没有被各地、各级财政部门禁止参加政府采购活动，且在限制期限内：    </w:t>
      </w:r>
    </w:p>
    <w:p w14:paraId="6A68FBDE">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十、参与本项目政府采购活动3年内没有重大违法记录情况。</w:t>
      </w:r>
    </w:p>
    <w:p w14:paraId="008CEB85">
      <w:pPr>
        <w:spacing w:line="460" w:lineRule="atLeas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6B024515">
      <w:pPr>
        <w:spacing w:line="460" w:lineRule="atLeast"/>
        <w:ind w:right="1120" w:firstLine="2970" w:firstLineChars="1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法定代表人（签字或盖章）：</w:t>
      </w:r>
    </w:p>
    <w:p w14:paraId="1056692A">
      <w:pPr>
        <w:spacing w:line="460" w:lineRule="atLeast"/>
        <w:ind w:right="1120" w:firstLine="2970" w:firstLineChars="1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w:t>
      </w:r>
    </w:p>
    <w:p w14:paraId="78BAA1B5">
      <w:pPr>
        <w:spacing w:line="460" w:lineRule="atLeast"/>
        <w:ind w:right="1120" w:firstLine="2970" w:firstLineChars="1350"/>
        <w:rPr>
          <w:rFonts w:ascii="宋体" w:eastAsia="宋体"/>
          <w:b w:val="0"/>
          <w:bCs w:val="0"/>
          <w:color w:val="auto"/>
          <w:highlight w:val="none"/>
        </w:rPr>
      </w:pPr>
      <w:r>
        <w:rPr>
          <w:rFonts w:hint="eastAsia" w:ascii="宋体" w:eastAsia="宋体"/>
          <w:b w:val="0"/>
          <w:bCs w:val="0"/>
          <w:color w:val="auto"/>
          <w:sz w:val="22"/>
          <w:szCs w:val="22"/>
          <w:highlight w:val="none"/>
        </w:rPr>
        <w:t>承诺书签署日期：         年  月  日</w:t>
      </w:r>
    </w:p>
    <w:p w14:paraId="6C48BFD5">
      <w:pPr>
        <w:spacing w:line="360" w:lineRule="exact"/>
        <w:jc w:val="left"/>
        <w:rPr>
          <w:rFonts w:ascii="宋体" w:eastAsia="宋体"/>
          <w:color w:val="auto"/>
          <w:sz w:val="22"/>
          <w:szCs w:val="22"/>
          <w:highlight w:val="none"/>
          <w:u w:val="single"/>
        </w:rPr>
      </w:pPr>
    </w:p>
    <w:p w14:paraId="7DAF50DF">
      <w:pPr>
        <w:spacing w:line="360" w:lineRule="exact"/>
        <w:jc w:val="left"/>
        <w:rPr>
          <w:rFonts w:ascii="宋体" w:eastAsia="宋体"/>
          <w:color w:val="auto"/>
          <w:sz w:val="22"/>
          <w:szCs w:val="22"/>
          <w:highlight w:val="none"/>
          <w:u w:val="single"/>
        </w:rPr>
      </w:pPr>
      <w:r>
        <w:rPr>
          <w:rFonts w:hint="eastAsia" w:ascii="宋体" w:eastAsia="宋体"/>
          <w:color w:val="auto"/>
          <w:sz w:val="22"/>
          <w:szCs w:val="22"/>
          <w:highlight w:val="none"/>
          <w:u w:val="single"/>
        </w:rPr>
        <w:t>备注：▲投标供应商必须提供本承诺书，不提供按无效投标处理。</w:t>
      </w:r>
    </w:p>
    <w:p w14:paraId="42C38520">
      <w:pPr>
        <w:rPr>
          <w:rFonts w:ascii="宋体" w:eastAsia="宋体"/>
          <w:color w:val="auto"/>
          <w:sz w:val="22"/>
          <w:szCs w:val="22"/>
          <w:highlight w:val="none"/>
          <w:u w:val="single"/>
        </w:rPr>
      </w:pPr>
      <w:r>
        <w:rPr>
          <w:rFonts w:hint="eastAsia" w:ascii="宋体" w:eastAsia="宋体"/>
          <w:color w:val="auto"/>
          <w:sz w:val="22"/>
          <w:szCs w:val="22"/>
          <w:highlight w:val="none"/>
          <w:u w:val="single"/>
        </w:rPr>
        <w:br w:type="page"/>
      </w:r>
    </w:p>
    <w:p w14:paraId="7810C304">
      <w:pPr>
        <w:spacing w:line="460" w:lineRule="atLeast"/>
        <w:ind w:firstLine="440"/>
        <w:rPr>
          <w:rFonts w:ascii="宋体" w:eastAsia="宋体"/>
          <w:color w:val="auto"/>
          <w:sz w:val="22"/>
          <w:szCs w:val="22"/>
          <w:highlight w:val="none"/>
        </w:rPr>
      </w:pPr>
      <w:r>
        <w:rPr>
          <w:rFonts w:hint="eastAsia" w:ascii="宋体" w:eastAsia="宋体"/>
          <w:color w:val="auto"/>
          <w:sz w:val="22"/>
          <w:szCs w:val="22"/>
          <w:highlight w:val="none"/>
        </w:rPr>
        <w:t>附件六</w:t>
      </w:r>
    </w:p>
    <w:p w14:paraId="5DA65440">
      <w:pPr>
        <w:pStyle w:val="8"/>
        <w:rPr>
          <w:rFonts w:ascii="宋体" w:hAnsi="宋体" w:cs="宋体"/>
          <w:color w:val="auto"/>
          <w:highlight w:val="none"/>
        </w:rPr>
      </w:pPr>
      <w:bookmarkStart w:id="151" w:name="_Toc42243289"/>
      <w:bookmarkEnd w:id="151"/>
      <w:bookmarkStart w:id="152" w:name="_Toc65830027"/>
      <w:bookmarkEnd w:id="152"/>
      <w:bookmarkStart w:id="153" w:name="_Toc7382"/>
      <w:bookmarkEnd w:id="153"/>
      <w:bookmarkStart w:id="154" w:name="_Toc96970928"/>
      <w:bookmarkEnd w:id="154"/>
      <w:bookmarkStart w:id="155" w:name="_Toc42678186"/>
      <w:bookmarkEnd w:id="155"/>
      <w:bookmarkStart w:id="156" w:name="_Toc518512536"/>
      <w:bookmarkEnd w:id="156"/>
      <w:bookmarkStart w:id="157" w:name="_Toc15893"/>
      <w:bookmarkEnd w:id="157"/>
      <w:bookmarkStart w:id="158" w:name="_Toc68188794"/>
      <w:bookmarkEnd w:id="158"/>
      <w:bookmarkStart w:id="159" w:name="_Toc496618934"/>
      <w:bookmarkEnd w:id="159"/>
      <w:bookmarkStart w:id="160" w:name="_Toc68187558"/>
      <w:bookmarkEnd w:id="160"/>
      <w:bookmarkStart w:id="161" w:name="_Toc438150553"/>
      <w:bookmarkEnd w:id="161"/>
      <w:bookmarkStart w:id="162" w:name="_Toc19204522"/>
      <w:bookmarkEnd w:id="162"/>
      <w:bookmarkStart w:id="163" w:name="_Toc459361857"/>
      <w:bookmarkEnd w:id="163"/>
      <w:bookmarkStart w:id="164" w:name="_Toc42678618"/>
      <w:bookmarkEnd w:id="164"/>
      <w:bookmarkStart w:id="165" w:name="_Toc97033070"/>
      <w:bookmarkEnd w:id="165"/>
      <w:bookmarkStart w:id="166" w:name="_Toc61444218"/>
      <w:bookmarkEnd w:id="166"/>
      <w:bookmarkStart w:id="167" w:name="_Toc522469121"/>
      <w:bookmarkEnd w:id="167"/>
      <w:bookmarkStart w:id="168" w:name="_Toc68189108"/>
      <w:bookmarkEnd w:id="168"/>
      <w:bookmarkStart w:id="169" w:name="_Toc87518415"/>
      <w:bookmarkEnd w:id="169"/>
      <w:bookmarkStart w:id="170" w:name="_Toc26971"/>
      <w:bookmarkEnd w:id="170"/>
      <w:bookmarkStart w:id="171" w:name="_Toc427581337"/>
      <w:bookmarkEnd w:id="171"/>
      <w:bookmarkStart w:id="172" w:name="_Toc7335"/>
      <w:bookmarkEnd w:id="172"/>
      <w:bookmarkStart w:id="173" w:name="_Toc491606420"/>
      <w:bookmarkEnd w:id="173"/>
      <w:bookmarkStart w:id="174" w:name="_Toc9334951"/>
      <w:bookmarkEnd w:id="174"/>
      <w:bookmarkStart w:id="175" w:name="_Toc459450868"/>
      <w:bookmarkEnd w:id="175"/>
      <w:bookmarkStart w:id="176" w:name="_Toc65590099"/>
      <w:bookmarkEnd w:id="176"/>
      <w:bookmarkStart w:id="177" w:name="_Toc410055446"/>
      <w:bookmarkEnd w:id="177"/>
      <w:bookmarkStart w:id="178" w:name="_Toc42678697"/>
      <w:bookmarkEnd w:id="178"/>
      <w:bookmarkStart w:id="179" w:name="_Toc402360964"/>
      <w:bookmarkEnd w:id="179"/>
      <w:bookmarkStart w:id="180" w:name="_Toc404262445"/>
      <w:bookmarkEnd w:id="180"/>
      <w:bookmarkStart w:id="181" w:name="_Toc511045483"/>
      <w:bookmarkEnd w:id="181"/>
      <w:bookmarkStart w:id="182" w:name="_Toc430717503"/>
      <w:bookmarkEnd w:id="182"/>
      <w:bookmarkStart w:id="183" w:name="_Toc42678031"/>
      <w:bookmarkEnd w:id="183"/>
      <w:bookmarkStart w:id="184" w:name="_Toc402361081"/>
      <w:bookmarkEnd w:id="184"/>
      <w:bookmarkStart w:id="185" w:name="_Toc87518592"/>
      <w:bookmarkEnd w:id="185"/>
      <w:bookmarkStart w:id="186" w:name="_Toc855"/>
      <w:bookmarkEnd w:id="186"/>
      <w:bookmarkStart w:id="187" w:name="_Toc24456"/>
      <w:bookmarkStart w:id="188" w:name="_Toc42243285"/>
      <w:bookmarkStart w:id="189" w:name="_Toc42678693"/>
      <w:bookmarkStart w:id="190" w:name="_Toc65590095"/>
      <w:bookmarkStart w:id="191" w:name="_Toc65830023"/>
      <w:r>
        <w:rPr>
          <w:rFonts w:hint="eastAsia" w:ascii="宋体" w:hAnsi="宋体" w:cs="宋体"/>
          <w:color w:val="auto"/>
          <w:highlight w:val="none"/>
        </w:rPr>
        <w:t>法定代表人授权书</w:t>
      </w:r>
      <w:bookmarkEnd w:id="187"/>
    </w:p>
    <w:p w14:paraId="59B0CF56">
      <w:pPr>
        <w:spacing w:line="480" w:lineRule="auto"/>
        <w:rPr>
          <w:rFonts w:ascii="宋体" w:eastAsia="宋体"/>
          <w:b w:val="0"/>
          <w:bCs w:val="0"/>
          <w:color w:val="auto"/>
          <w:sz w:val="22"/>
          <w:szCs w:val="22"/>
          <w:highlight w:val="none"/>
        </w:rPr>
      </w:pPr>
      <w:r>
        <w:rPr>
          <w:rFonts w:hint="eastAsia" w:ascii="宋体" w:eastAsia="宋体"/>
          <w:b w:val="0"/>
          <w:bCs w:val="0"/>
          <w:color w:val="auto"/>
          <w:sz w:val="22"/>
          <w:szCs w:val="22"/>
          <w:highlight w:val="none"/>
          <w:u w:val="single"/>
        </w:rPr>
        <w:t>（采购人名称）</w:t>
      </w:r>
      <w:r>
        <w:rPr>
          <w:rFonts w:hint="eastAsia" w:ascii="宋体" w:eastAsia="宋体"/>
          <w:b w:val="0"/>
          <w:bCs w:val="0"/>
          <w:color w:val="auto"/>
          <w:sz w:val="22"/>
          <w:szCs w:val="22"/>
          <w:highlight w:val="none"/>
          <w:lang w:val="zh-CN"/>
        </w:rPr>
        <w:t>：</w:t>
      </w:r>
    </w:p>
    <w:p w14:paraId="441664AE">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本授权委托书声明：我</w:t>
      </w:r>
      <w:r>
        <w:rPr>
          <w:rFonts w:hint="eastAsia" w:ascii="宋体" w:eastAsia="宋体"/>
          <w:b w:val="0"/>
          <w:bCs w:val="0"/>
          <w:color w:val="auto"/>
          <w:sz w:val="22"/>
          <w:szCs w:val="22"/>
          <w:highlight w:val="none"/>
          <w:u w:val="single"/>
        </w:rPr>
        <w:t xml:space="preserve">   （法定代表人姓名）   </w:t>
      </w:r>
      <w:r>
        <w:rPr>
          <w:rFonts w:hint="eastAsia" w:ascii="宋体" w:eastAsia="宋体"/>
          <w:b w:val="0"/>
          <w:bCs w:val="0"/>
          <w:color w:val="auto"/>
          <w:sz w:val="22"/>
          <w:szCs w:val="22"/>
          <w:highlight w:val="none"/>
        </w:rPr>
        <w:t>系</w:t>
      </w:r>
      <w:r>
        <w:rPr>
          <w:rFonts w:hint="eastAsia" w:ascii="宋体" w:eastAsia="宋体"/>
          <w:b w:val="0"/>
          <w:bCs w:val="0"/>
          <w:color w:val="auto"/>
          <w:sz w:val="22"/>
          <w:szCs w:val="22"/>
          <w:highlight w:val="none"/>
          <w:u w:val="single"/>
        </w:rPr>
        <w:t xml:space="preserve">   （供 应 商 名 称）  </w:t>
      </w:r>
      <w:r>
        <w:rPr>
          <w:rFonts w:hint="eastAsia" w:ascii="宋体" w:eastAsia="宋体"/>
          <w:b w:val="0"/>
          <w:bCs w:val="0"/>
          <w:color w:val="auto"/>
          <w:sz w:val="22"/>
          <w:szCs w:val="22"/>
          <w:highlight w:val="none"/>
        </w:rPr>
        <w:t>的法定代表人，现授权委托</w:t>
      </w:r>
      <w:r>
        <w:rPr>
          <w:rFonts w:hint="eastAsia" w:ascii="宋体" w:eastAsia="宋体"/>
          <w:b w:val="0"/>
          <w:bCs w:val="0"/>
          <w:color w:val="auto"/>
          <w:sz w:val="22"/>
          <w:szCs w:val="22"/>
          <w:highlight w:val="none"/>
          <w:u w:val="single"/>
        </w:rPr>
        <w:t xml:space="preserve">  （单 位 名 称）   </w:t>
      </w:r>
      <w:r>
        <w:rPr>
          <w:rFonts w:hint="eastAsia" w:ascii="宋体" w:eastAsia="宋体"/>
          <w:b w:val="0"/>
          <w:bCs w:val="0"/>
          <w:color w:val="auto"/>
          <w:sz w:val="22"/>
          <w:szCs w:val="22"/>
          <w:highlight w:val="none"/>
        </w:rPr>
        <w:t>的</w:t>
      </w:r>
      <w:r>
        <w:rPr>
          <w:rFonts w:hint="eastAsia" w:ascii="宋体" w:eastAsia="宋体"/>
          <w:b w:val="0"/>
          <w:bCs w:val="0"/>
          <w:color w:val="auto"/>
          <w:sz w:val="22"/>
          <w:szCs w:val="22"/>
          <w:highlight w:val="none"/>
          <w:u w:val="single"/>
        </w:rPr>
        <w:t xml:space="preserve">  （授权代表姓名）  </w:t>
      </w:r>
      <w:r>
        <w:rPr>
          <w:rFonts w:hint="eastAsia" w:ascii="宋体" w:eastAsia="宋体"/>
          <w:b w:val="0"/>
          <w:bCs w:val="0"/>
          <w:color w:val="auto"/>
          <w:sz w:val="22"/>
          <w:szCs w:val="22"/>
          <w:highlight w:val="none"/>
        </w:rPr>
        <w:t>为我公司法定代表人授权代表，参加贵处组织的</w:t>
      </w:r>
      <w:r>
        <w:rPr>
          <w:rFonts w:hint="eastAsia" w:ascii="宋体" w:eastAsia="宋体"/>
          <w:b w:val="0"/>
          <w:bCs w:val="0"/>
          <w:color w:val="auto"/>
          <w:sz w:val="22"/>
          <w:szCs w:val="22"/>
          <w:highlight w:val="none"/>
          <w:u w:val="single"/>
        </w:rPr>
        <w:t xml:space="preserve">  （招标项目名称，括号中填写项目编号）  </w:t>
      </w:r>
      <w:r>
        <w:rPr>
          <w:rFonts w:hint="eastAsia" w:ascii="宋体" w:eastAsia="宋体"/>
          <w:b w:val="0"/>
          <w:bCs w:val="0"/>
          <w:color w:val="auto"/>
          <w:sz w:val="22"/>
          <w:szCs w:val="22"/>
          <w:highlight w:val="none"/>
        </w:rPr>
        <w:t>项目投标，全权处理本次招投标活动中的一切事宜，我承认授权代表全权代表我所签署的本项目的投标文件的内容。</w:t>
      </w:r>
    </w:p>
    <w:p w14:paraId="6DFF6F42">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授权代表无转授权，特此授权</w:t>
      </w:r>
    </w:p>
    <w:p w14:paraId="57A27C1C">
      <w:pPr>
        <w:spacing w:line="360" w:lineRule="auto"/>
        <w:ind w:left="1260"/>
        <w:rPr>
          <w:rFonts w:ascii="宋体" w:eastAsia="宋体"/>
          <w:b w:val="0"/>
          <w:bCs w:val="0"/>
          <w:color w:val="auto"/>
          <w:sz w:val="22"/>
          <w:szCs w:val="22"/>
          <w:highlight w:val="none"/>
        </w:rPr>
      </w:pPr>
    </w:p>
    <w:p w14:paraId="7C389756">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授权代表： 性别 ：</w:t>
      </w:r>
    </w:p>
    <w:p w14:paraId="3A4A143A">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职务：年龄：</w:t>
      </w:r>
    </w:p>
    <w:p w14:paraId="0E0A2AB3">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详细通讯地址： 邮政编码：</w:t>
      </w:r>
    </w:p>
    <w:p w14:paraId="17AA2A6A">
      <w:pPr>
        <w:spacing w:line="480" w:lineRule="auto"/>
        <w:ind w:left="1" w:firstLine="2510" w:firstLineChars="1141"/>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电话： 传真：</w:t>
      </w:r>
    </w:p>
    <w:p w14:paraId="7A6140EB">
      <w:pPr>
        <w:spacing w:line="480" w:lineRule="auto"/>
        <w:ind w:left="1" w:firstLine="422" w:firstLineChars="192"/>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投标供应商：</w:t>
      </w:r>
      <w:r>
        <w:rPr>
          <w:rFonts w:hint="eastAsia" w:ascii="宋体" w:eastAsia="宋体"/>
          <w:b w:val="0"/>
          <w:bCs w:val="0"/>
          <w:color w:val="auto"/>
          <w:sz w:val="22"/>
          <w:szCs w:val="22"/>
          <w:highlight w:val="none"/>
          <w:u w:val="single"/>
        </w:rPr>
        <w:t xml:space="preserve">                              （盖章）</w:t>
      </w:r>
    </w:p>
    <w:p w14:paraId="132337CB">
      <w:pPr>
        <w:spacing w:line="480" w:lineRule="auto"/>
        <w:ind w:left="2100" w:right="440"/>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法定代表人：</w:t>
      </w:r>
      <w:r>
        <w:rPr>
          <w:rFonts w:hint="eastAsia" w:ascii="宋体" w:eastAsia="宋体"/>
          <w:b w:val="0"/>
          <w:bCs w:val="0"/>
          <w:color w:val="auto"/>
          <w:sz w:val="22"/>
          <w:szCs w:val="22"/>
          <w:highlight w:val="none"/>
          <w:u w:val="single"/>
        </w:rPr>
        <w:t xml:space="preserve">                        （签字或盖章）</w:t>
      </w:r>
    </w:p>
    <w:p w14:paraId="57873F7E">
      <w:pPr>
        <w:spacing w:line="480" w:lineRule="auto"/>
        <w:ind w:right="440" w:firstLine="3300" w:firstLineChars="1500"/>
        <w:jc w:val="righ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77C0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067C7784">
            <w:pPr>
              <w:pStyle w:val="26"/>
              <w:spacing w:line="440" w:lineRule="atLeast"/>
              <w:rPr>
                <w:rFonts w:hAnsi="宋体" w:eastAsia="宋体"/>
                <w:b w:val="0"/>
                <w:bCs w:val="0"/>
                <w:color w:val="auto"/>
                <w:sz w:val="36"/>
                <w:highlight w:val="none"/>
              </w:rPr>
            </w:pPr>
          </w:p>
          <w:p w14:paraId="7FF5D449">
            <w:pPr>
              <w:pStyle w:val="26"/>
              <w:spacing w:line="440" w:lineRule="atLeast"/>
              <w:jc w:val="center"/>
              <w:rPr>
                <w:rFonts w:hAnsi="宋体" w:eastAsia="宋体"/>
                <w:b w:val="0"/>
                <w:bCs w:val="0"/>
                <w:color w:val="auto"/>
                <w:sz w:val="36"/>
                <w:highlight w:val="none"/>
              </w:rPr>
            </w:pPr>
          </w:p>
          <w:p w14:paraId="34B738E8">
            <w:pPr>
              <w:pStyle w:val="26"/>
              <w:spacing w:line="440" w:lineRule="atLeast"/>
              <w:jc w:val="center"/>
              <w:rPr>
                <w:rFonts w:hAnsi="宋体" w:eastAsia="宋体"/>
                <w:b w:val="0"/>
                <w:bCs w:val="0"/>
                <w:color w:val="auto"/>
                <w:sz w:val="36"/>
                <w:highlight w:val="none"/>
              </w:rPr>
            </w:pPr>
          </w:p>
          <w:p w14:paraId="36462077">
            <w:pPr>
              <w:pStyle w:val="26"/>
              <w:spacing w:line="440" w:lineRule="atLeast"/>
              <w:jc w:val="center"/>
              <w:rPr>
                <w:rFonts w:hAnsi="宋体" w:eastAsia="宋体"/>
                <w:b w:val="0"/>
                <w:bCs w:val="0"/>
                <w:color w:val="auto"/>
                <w:sz w:val="36"/>
                <w:highlight w:val="none"/>
              </w:rPr>
            </w:pPr>
          </w:p>
          <w:p w14:paraId="7B92D5D9">
            <w:pPr>
              <w:pStyle w:val="26"/>
              <w:spacing w:line="440" w:lineRule="atLeast"/>
              <w:jc w:val="center"/>
              <w:rPr>
                <w:rFonts w:hAnsi="宋体" w:eastAsia="宋体"/>
                <w:b w:val="0"/>
                <w:bCs w:val="0"/>
                <w:color w:val="auto"/>
                <w:sz w:val="36"/>
                <w:highlight w:val="none"/>
              </w:rPr>
            </w:pPr>
            <w:r>
              <w:rPr>
                <w:rFonts w:hint="eastAsia" w:hAnsi="宋体" w:eastAsia="宋体"/>
                <w:b w:val="0"/>
                <w:bCs w:val="0"/>
                <w:color w:val="auto"/>
                <w:sz w:val="36"/>
                <w:highlight w:val="none"/>
              </w:rPr>
              <w:t>（授权代表身份证扫描件或影印件）</w:t>
            </w:r>
          </w:p>
          <w:p w14:paraId="2046B266">
            <w:pPr>
              <w:pStyle w:val="26"/>
              <w:spacing w:line="440" w:lineRule="atLeast"/>
              <w:ind w:left="5271" w:firstLine="1080" w:firstLineChars="300"/>
              <w:rPr>
                <w:rFonts w:hAnsi="宋体" w:eastAsia="宋体"/>
                <w:b w:val="0"/>
                <w:bCs w:val="0"/>
                <w:color w:val="auto"/>
                <w:sz w:val="36"/>
                <w:highlight w:val="none"/>
              </w:rPr>
            </w:pPr>
          </w:p>
        </w:tc>
      </w:tr>
      <w:bookmarkEnd w:id="188"/>
      <w:bookmarkEnd w:id="189"/>
      <w:bookmarkEnd w:id="190"/>
      <w:bookmarkEnd w:id="191"/>
    </w:tbl>
    <w:p w14:paraId="59F6B5C4">
      <w:pPr>
        <w:pStyle w:val="20"/>
        <w:rPr>
          <w:rFonts w:ascii="宋体" w:hAnsi="宋体" w:eastAsia="宋体" w:cs="宋体"/>
          <w:b/>
          <w:bCs/>
          <w:color w:val="auto"/>
          <w:highlight w:val="none"/>
        </w:rPr>
      </w:pPr>
    </w:p>
    <w:p w14:paraId="02AA1B60">
      <w:pPr>
        <w:spacing w:line="360" w:lineRule="exact"/>
        <w:jc w:val="left"/>
        <w:rPr>
          <w:rFonts w:ascii="宋体" w:eastAsia="宋体"/>
          <w:color w:val="auto"/>
          <w:sz w:val="22"/>
          <w:szCs w:val="22"/>
          <w:highlight w:val="none"/>
        </w:rPr>
      </w:pPr>
      <w:r>
        <w:rPr>
          <w:rFonts w:hint="eastAsia" w:ascii="宋体" w:eastAsia="宋体"/>
          <w:color w:val="auto"/>
          <w:sz w:val="22"/>
          <w:szCs w:val="22"/>
          <w:highlight w:val="none"/>
        </w:rPr>
        <w:t>附件七</w:t>
      </w:r>
    </w:p>
    <w:p w14:paraId="452912DE">
      <w:pPr>
        <w:tabs>
          <w:tab w:val="left" w:pos="1080"/>
        </w:tabs>
        <w:autoSpaceDE w:val="0"/>
        <w:autoSpaceDN w:val="0"/>
        <w:adjustRightInd w:val="0"/>
        <w:spacing w:line="44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类似业绩（时间以签订的时间为准）</w:t>
      </w:r>
    </w:p>
    <w:p w14:paraId="7B118B39">
      <w:pPr>
        <w:spacing w:line="4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256D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F2DEF23">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序号</w:t>
            </w:r>
          </w:p>
        </w:tc>
        <w:tc>
          <w:tcPr>
            <w:tcW w:w="1285" w:type="dxa"/>
            <w:vAlign w:val="center"/>
          </w:tcPr>
          <w:p w14:paraId="3839244B">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采购单位</w:t>
            </w:r>
          </w:p>
        </w:tc>
        <w:tc>
          <w:tcPr>
            <w:tcW w:w="1299" w:type="dxa"/>
            <w:vAlign w:val="center"/>
          </w:tcPr>
          <w:p w14:paraId="3D2DC011">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项目名称</w:t>
            </w:r>
          </w:p>
        </w:tc>
        <w:tc>
          <w:tcPr>
            <w:tcW w:w="1355" w:type="dxa"/>
            <w:vAlign w:val="center"/>
          </w:tcPr>
          <w:p w14:paraId="4A910741">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合同金额</w:t>
            </w:r>
          </w:p>
        </w:tc>
        <w:tc>
          <w:tcPr>
            <w:tcW w:w="1296" w:type="dxa"/>
            <w:vAlign w:val="center"/>
          </w:tcPr>
          <w:p w14:paraId="12F899AE">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签约日期</w:t>
            </w:r>
          </w:p>
        </w:tc>
        <w:tc>
          <w:tcPr>
            <w:tcW w:w="1064" w:type="dxa"/>
            <w:vAlign w:val="center"/>
          </w:tcPr>
          <w:p w14:paraId="301D3E9C">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联系人</w:t>
            </w:r>
          </w:p>
        </w:tc>
        <w:tc>
          <w:tcPr>
            <w:tcW w:w="1271" w:type="dxa"/>
            <w:vAlign w:val="center"/>
          </w:tcPr>
          <w:p w14:paraId="273D4337">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联系电话</w:t>
            </w:r>
          </w:p>
        </w:tc>
        <w:tc>
          <w:tcPr>
            <w:tcW w:w="1064" w:type="dxa"/>
            <w:vAlign w:val="center"/>
          </w:tcPr>
          <w:p w14:paraId="25A2E567">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备注</w:t>
            </w:r>
          </w:p>
        </w:tc>
      </w:tr>
      <w:tr w14:paraId="25AD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B023F8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606FBCD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423837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F0A8CD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0BF5AA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36BD7F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49CC508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A4B71E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0BE4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EEA01B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4AA95EB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75C0318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791BC64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64FD9BB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86681A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50AF19A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B0A5914">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247F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7FFC4E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3129DF5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2F133D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2EDE42B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12FA75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8B1C93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0BBB2CC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C344FDA">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4DB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847DFE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3FB1A6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69F1FCC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3A4191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46BA544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E83532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AC2CBA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074F9F9">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340F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820B76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831E3C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378AE0C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3C27E8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15FD3A7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2C32A0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3198B6B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92E807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2558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6F833A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5476547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24D3317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18E7DF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5363F1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57621B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BA4FDF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11162B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1CF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FDB1BE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1B3A251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73E444F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5D49E65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F5C0D4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48C27F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486F6F4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7BEE5AE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706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31303D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FBBF74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75458C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8E25A1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26B428D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F4521D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2B08A34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6A0C71F">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3B12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957E19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475B9EE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30FE940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8B0B04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EEA248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7BC6A42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24AD07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537F0C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1556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7CD1A7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0A01859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290478C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C09128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6FC0948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87843D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3DC61A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778FF3E">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315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151E0A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544FD76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5F059CF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07F371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D0E49A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09F7E5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F6F68E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338270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4F2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670B04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63F6752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03443BA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7F452D7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C6A521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CBDEDC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76E5391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EE1BFFE">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83F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23C0711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0BD2DAE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1783F69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2C01B96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28BAA7D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82AF83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580E55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DAB1972">
            <w:pPr>
              <w:tabs>
                <w:tab w:val="left" w:pos="4140"/>
              </w:tabs>
              <w:adjustRightInd w:val="0"/>
              <w:snapToGrid w:val="0"/>
              <w:spacing w:line="320" w:lineRule="atLeast"/>
              <w:jc w:val="center"/>
              <w:rPr>
                <w:rFonts w:ascii="宋体" w:eastAsia="宋体"/>
                <w:b w:val="0"/>
                <w:bCs w:val="0"/>
                <w:color w:val="auto"/>
                <w:spacing w:val="20"/>
                <w:sz w:val="22"/>
                <w:highlight w:val="none"/>
              </w:rPr>
            </w:pPr>
          </w:p>
        </w:tc>
      </w:tr>
    </w:tbl>
    <w:p w14:paraId="7ABAA664">
      <w:pPr>
        <w:spacing w:line="460" w:lineRule="exact"/>
        <w:ind w:left="755" w:hanging="754" w:hangingChars="343"/>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注：投标供应商可按此表格式复制，需后附合同扫描件加盖公章。</w:t>
      </w:r>
    </w:p>
    <w:p w14:paraId="3B4011EE">
      <w:pPr>
        <w:spacing w:line="460" w:lineRule="exact"/>
        <w:ind w:left="755" w:hanging="754" w:hangingChars="343"/>
        <w:rPr>
          <w:rFonts w:ascii="宋体" w:eastAsia="宋体"/>
          <w:b w:val="0"/>
          <w:bCs w:val="0"/>
          <w:color w:val="auto"/>
          <w:sz w:val="22"/>
          <w:szCs w:val="22"/>
          <w:highlight w:val="none"/>
        </w:rPr>
      </w:pPr>
    </w:p>
    <w:p w14:paraId="233E5AB4">
      <w:pPr>
        <w:spacing w:line="44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供应商全称（盖章）：</w:t>
      </w:r>
    </w:p>
    <w:p w14:paraId="46295964">
      <w:pPr>
        <w:autoSpaceDE w:val="0"/>
        <w:autoSpaceDN w:val="0"/>
        <w:adjustRightInd w:val="0"/>
        <w:spacing w:line="46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75B8964A">
      <w:pPr>
        <w:autoSpaceDE w:val="0"/>
        <w:autoSpaceDN w:val="0"/>
        <w:adjustRightInd w:val="0"/>
        <w:spacing w:line="460" w:lineRule="atLeast"/>
        <w:rPr>
          <w:rFonts w:ascii="宋体" w:eastAsia="宋体"/>
          <w:b w:val="0"/>
          <w:bCs w:val="0"/>
          <w:color w:val="auto"/>
          <w:sz w:val="22"/>
          <w:highlight w:val="none"/>
        </w:rPr>
      </w:pPr>
    </w:p>
    <w:p w14:paraId="5DB470D7">
      <w:pPr>
        <w:autoSpaceDE w:val="0"/>
        <w:autoSpaceDN w:val="0"/>
        <w:adjustRightInd w:val="0"/>
        <w:spacing w:line="460" w:lineRule="atLeast"/>
        <w:rPr>
          <w:rFonts w:ascii="宋体" w:eastAsia="宋体"/>
          <w:color w:val="auto"/>
          <w:sz w:val="22"/>
          <w:highlight w:val="none"/>
        </w:rPr>
      </w:pPr>
    </w:p>
    <w:p w14:paraId="0C2B5481">
      <w:pPr>
        <w:pStyle w:val="8"/>
        <w:rPr>
          <w:rFonts w:ascii="宋体" w:hAnsi="宋体" w:cs="宋体"/>
          <w:color w:val="auto"/>
          <w:highlight w:val="none"/>
        </w:rPr>
      </w:pPr>
    </w:p>
    <w:p w14:paraId="5D9224CC">
      <w:pPr>
        <w:rPr>
          <w:rFonts w:ascii="宋体" w:eastAsia="宋体"/>
          <w:color w:val="auto"/>
          <w:sz w:val="22"/>
          <w:szCs w:val="22"/>
          <w:highlight w:val="none"/>
        </w:rPr>
      </w:pPr>
      <w:r>
        <w:rPr>
          <w:rFonts w:hint="eastAsia" w:ascii="宋体" w:eastAsia="宋体"/>
          <w:color w:val="auto"/>
          <w:sz w:val="22"/>
          <w:szCs w:val="22"/>
          <w:highlight w:val="none"/>
        </w:rPr>
        <w:br w:type="page"/>
      </w:r>
    </w:p>
    <w:p w14:paraId="52E8CE79">
      <w:pPr>
        <w:widowControl/>
        <w:jc w:val="left"/>
        <w:rPr>
          <w:rFonts w:ascii="宋体" w:eastAsia="宋体"/>
          <w:color w:val="auto"/>
          <w:sz w:val="22"/>
          <w:szCs w:val="22"/>
          <w:highlight w:val="none"/>
        </w:rPr>
      </w:pPr>
      <w:r>
        <w:rPr>
          <w:rFonts w:hint="eastAsia" w:ascii="宋体" w:eastAsia="宋体"/>
          <w:color w:val="auto"/>
          <w:sz w:val="22"/>
          <w:szCs w:val="22"/>
          <w:highlight w:val="none"/>
        </w:rPr>
        <w:t>附件八</w:t>
      </w:r>
    </w:p>
    <w:p w14:paraId="7CBA4799">
      <w:pPr>
        <w:pStyle w:val="8"/>
        <w:rPr>
          <w:rFonts w:ascii="宋体" w:hAnsi="宋体" w:cs="宋体"/>
          <w:color w:val="auto"/>
          <w:highlight w:val="none"/>
        </w:rPr>
      </w:pPr>
      <w:bookmarkStart w:id="192" w:name="_Toc24095"/>
      <w:bookmarkEnd w:id="192"/>
      <w:bookmarkStart w:id="193" w:name="_Toc30209"/>
      <w:r>
        <w:rPr>
          <w:rFonts w:hint="eastAsia" w:ascii="宋体" w:hAnsi="宋体" w:cs="宋体"/>
          <w:color w:val="auto"/>
          <w:highlight w:val="none"/>
        </w:rPr>
        <w:t>商务、技术偏离表</w:t>
      </w:r>
      <w:bookmarkEnd w:id="193"/>
    </w:p>
    <w:p w14:paraId="3CE8B926">
      <w:pPr>
        <w:spacing w:line="560" w:lineRule="exact"/>
        <w:ind w:firstLine="431" w:firstLineChars="196"/>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11A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5C5756D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内   容</w:t>
            </w:r>
          </w:p>
        </w:tc>
        <w:tc>
          <w:tcPr>
            <w:tcW w:w="1434" w:type="dxa"/>
            <w:vAlign w:val="center"/>
          </w:tcPr>
          <w:p w14:paraId="07C9A57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采购文件</w:t>
            </w:r>
          </w:p>
          <w:p w14:paraId="2563666B">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条目</w:t>
            </w:r>
          </w:p>
        </w:tc>
        <w:tc>
          <w:tcPr>
            <w:tcW w:w="2743" w:type="dxa"/>
            <w:vAlign w:val="center"/>
          </w:tcPr>
          <w:p w14:paraId="4F2F6A9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采购文件</w:t>
            </w:r>
          </w:p>
          <w:p w14:paraId="4C1FD518">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规格要求</w:t>
            </w:r>
          </w:p>
        </w:tc>
        <w:tc>
          <w:tcPr>
            <w:tcW w:w="3023" w:type="dxa"/>
            <w:vAlign w:val="center"/>
          </w:tcPr>
          <w:p w14:paraId="6C50FE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投标文件</w:t>
            </w:r>
          </w:p>
          <w:p w14:paraId="7AE7FB1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对应规格</w:t>
            </w:r>
          </w:p>
        </w:tc>
        <w:tc>
          <w:tcPr>
            <w:tcW w:w="1260" w:type="dxa"/>
            <w:vAlign w:val="center"/>
          </w:tcPr>
          <w:p w14:paraId="36E2A8F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说   明</w:t>
            </w:r>
          </w:p>
        </w:tc>
      </w:tr>
      <w:tr w14:paraId="7080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7960793D">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技术偏离</w:t>
            </w:r>
          </w:p>
        </w:tc>
        <w:tc>
          <w:tcPr>
            <w:tcW w:w="1434" w:type="dxa"/>
            <w:vAlign w:val="center"/>
          </w:tcPr>
          <w:p w14:paraId="34CC0CE4">
            <w:pPr>
              <w:jc w:val="center"/>
              <w:rPr>
                <w:rFonts w:ascii="宋体" w:eastAsia="宋体"/>
                <w:b w:val="0"/>
                <w:bCs w:val="0"/>
                <w:color w:val="auto"/>
                <w:sz w:val="22"/>
                <w:szCs w:val="22"/>
                <w:highlight w:val="none"/>
              </w:rPr>
            </w:pPr>
          </w:p>
        </w:tc>
        <w:tc>
          <w:tcPr>
            <w:tcW w:w="2743" w:type="dxa"/>
            <w:vAlign w:val="center"/>
          </w:tcPr>
          <w:p w14:paraId="7D862C92">
            <w:pPr>
              <w:jc w:val="center"/>
              <w:rPr>
                <w:rFonts w:ascii="宋体" w:eastAsia="宋体"/>
                <w:b w:val="0"/>
                <w:bCs w:val="0"/>
                <w:color w:val="auto"/>
                <w:sz w:val="22"/>
                <w:szCs w:val="22"/>
                <w:highlight w:val="none"/>
              </w:rPr>
            </w:pPr>
          </w:p>
        </w:tc>
        <w:tc>
          <w:tcPr>
            <w:tcW w:w="3023" w:type="dxa"/>
            <w:vAlign w:val="center"/>
          </w:tcPr>
          <w:p w14:paraId="610E695B">
            <w:pPr>
              <w:jc w:val="center"/>
              <w:rPr>
                <w:rFonts w:ascii="宋体" w:eastAsia="宋体"/>
                <w:b w:val="0"/>
                <w:bCs w:val="0"/>
                <w:color w:val="auto"/>
                <w:sz w:val="22"/>
                <w:szCs w:val="22"/>
                <w:highlight w:val="none"/>
              </w:rPr>
            </w:pPr>
          </w:p>
        </w:tc>
        <w:tc>
          <w:tcPr>
            <w:tcW w:w="1260" w:type="dxa"/>
            <w:vAlign w:val="center"/>
          </w:tcPr>
          <w:p w14:paraId="5018196C">
            <w:pPr>
              <w:jc w:val="center"/>
              <w:rPr>
                <w:rFonts w:ascii="宋体" w:eastAsia="宋体"/>
                <w:b w:val="0"/>
                <w:bCs w:val="0"/>
                <w:color w:val="auto"/>
                <w:sz w:val="22"/>
                <w:szCs w:val="22"/>
                <w:highlight w:val="none"/>
              </w:rPr>
            </w:pPr>
          </w:p>
        </w:tc>
      </w:tr>
      <w:tr w14:paraId="6145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DAF468B">
            <w:pPr>
              <w:jc w:val="center"/>
              <w:rPr>
                <w:rFonts w:ascii="宋体" w:eastAsia="宋体"/>
                <w:b w:val="0"/>
                <w:bCs w:val="0"/>
                <w:color w:val="auto"/>
                <w:sz w:val="22"/>
                <w:szCs w:val="22"/>
                <w:highlight w:val="none"/>
              </w:rPr>
            </w:pPr>
          </w:p>
        </w:tc>
        <w:tc>
          <w:tcPr>
            <w:tcW w:w="1434" w:type="dxa"/>
            <w:vAlign w:val="center"/>
          </w:tcPr>
          <w:p w14:paraId="38E5AFD5">
            <w:pPr>
              <w:jc w:val="center"/>
              <w:rPr>
                <w:rFonts w:ascii="宋体" w:eastAsia="宋体"/>
                <w:b w:val="0"/>
                <w:bCs w:val="0"/>
                <w:color w:val="auto"/>
                <w:sz w:val="22"/>
                <w:szCs w:val="22"/>
                <w:highlight w:val="none"/>
              </w:rPr>
            </w:pPr>
          </w:p>
        </w:tc>
        <w:tc>
          <w:tcPr>
            <w:tcW w:w="2743" w:type="dxa"/>
            <w:vAlign w:val="center"/>
          </w:tcPr>
          <w:p w14:paraId="21EA24AE">
            <w:pPr>
              <w:jc w:val="center"/>
              <w:rPr>
                <w:rFonts w:ascii="宋体" w:eastAsia="宋体"/>
                <w:b w:val="0"/>
                <w:bCs w:val="0"/>
                <w:color w:val="auto"/>
                <w:sz w:val="22"/>
                <w:szCs w:val="22"/>
                <w:highlight w:val="none"/>
              </w:rPr>
            </w:pPr>
          </w:p>
        </w:tc>
        <w:tc>
          <w:tcPr>
            <w:tcW w:w="3023" w:type="dxa"/>
            <w:vAlign w:val="center"/>
          </w:tcPr>
          <w:p w14:paraId="203F1F18">
            <w:pPr>
              <w:jc w:val="center"/>
              <w:rPr>
                <w:rFonts w:ascii="宋体" w:eastAsia="宋体"/>
                <w:b w:val="0"/>
                <w:bCs w:val="0"/>
                <w:color w:val="auto"/>
                <w:sz w:val="22"/>
                <w:szCs w:val="22"/>
                <w:highlight w:val="none"/>
              </w:rPr>
            </w:pPr>
          </w:p>
        </w:tc>
        <w:tc>
          <w:tcPr>
            <w:tcW w:w="1260" w:type="dxa"/>
            <w:vAlign w:val="center"/>
          </w:tcPr>
          <w:p w14:paraId="44BF3E3A">
            <w:pPr>
              <w:jc w:val="center"/>
              <w:rPr>
                <w:rFonts w:ascii="宋体" w:eastAsia="宋体"/>
                <w:b w:val="0"/>
                <w:bCs w:val="0"/>
                <w:color w:val="auto"/>
                <w:sz w:val="22"/>
                <w:szCs w:val="22"/>
                <w:highlight w:val="none"/>
              </w:rPr>
            </w:pPr>
          </w:p>
        </w:tc>
      </w:tr>
      <w:tr w14:paraId="3C6D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02203E2">
            <w:pPr>
              <w:jc w:val="center"/>
              <w:rPr>
                <w:rFonts w:ascii="宋体" w:eastAsia="宋体"/>
                <w:b w:val="0"/>
                <w:bCs w:val="0"/>
                <w:color w:val="auto"/>
                <w:sz w:val="22"/>
                <w:szCs w:val="22"/>
                <w:highlight w:val="none"/>
              </w:rPr>
            </w:pPr>
          </w:p>
        </w:tc>
        <w:tc>
          <w:tcPr>
            <w:tcW w:w="1434" w:type="dxa"/>
            <w:vAlign w:val="center"/>
          </w:tcPr>
          <w:p w14:paraId="30A14DCB">
            <w:pPr>
              <w:jc w:val="center"/>
              <w:rPr>
                <w:rFonts w:ascii="宋体" w:eastAsia="宋体"/>
                <w:b w:val="0"/>
                <w:bCs w:val="0"/>
                <w:color w:val="auto"/>
                <w:sz w:val="22"/>
                <w:szCs w:val="22"/>
                <w:highlight w:val="none"/>
              </w:rPr>
            </w:pPr>
          </w:p>
        </w:tc>
        <w:tc>
          <w:tcPr>
            <w:tcW w:w="2743" w:type="dxa"/>
            <w:vAlign w:val="center"/>
          </w:tcPr>
          <w:p w14:paraId="133D7817">
            <w:pPr>
              <w:jc w:val="center"/>
              <w:rPr>
                <w:rFonts w:ascii="宋体" w:eastAsia="宋体"/>
                <w:b w:val="0"/>
                <w:bCs w:val="0"/>
                <w:color w:val="auto"/>
                <w:sz w:val="22"/>
                <w:szCs w:val="22"/>
                <w:highlight w:val="none"/>
              </w:rPr>
            </w:pPr>
          </w:p>
        </w:tc>
        <w:tc>
          <w:tcPr>
            <w:tcW w:w="3023" w:type="dxa"/>
            <w:vAlign w:val="center"/>
          </w:tcPr>
          <w:p w14:paraId="23B77A53">
            <w:pPr>
              <w:jc w:val="center"/>
              <w:rPr>
                <w:rFonts w:ascii="宋体" w:eastAsia="宋体"/>
                <w:b w:val="0"/>
                <w:bCs w:val="0"/>
                <w:color w:val="auto"/>
                <w:sz w:val="22"/>
                <w:szCs w:val="22"/>
                <w:highlight w:val="none"/>
              </w:rPr>
            </w:pPr>
          </w:p>
        </w:tc>
        <w:tc>
          <w:tcPr>
            <w:tcW w:w="1260" w:type="dxa"/>
            <w:vAlign w:val="center"/>
          </w:tcPr>
          <w:p w14:paraId="23CA1941">
            <w:pPr>
              <w:jc w:val="center"/>
              <w:rPr>
                <w:rFonts w:ascii="宋体" w:eastAsia="宋体"/>
                <w:b w:val="0"/>
                <w:bCs w:val="0"/>
                <w:color w:val="auto"/>
                <w:sz w:val="22"/>
                <w:szCs w:val="22"/>
                <w:highlight w:val="none"/>
              </w:rPr>
            </w:pPr>
          </w:p>
        </w:tc>
      </w:tr>
      <w:tr w14:paraId="26B1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4C90BCA">
            <w:pPr>
              <w:jc w:val="center"/>
              <w:rPr>
                <w:rFonts w:ascii="宋体" w:eastAsia="宋体"/>
                <w:b w:val="0"/>
                <w:bCs w:val="0"/>
                <w:color w:val="auto"/>
                <w:sz w:val="22"/>
                <w:szCs w:val="22"/>
                <w:highlight w:val="none"/>
              </w:rPr>
            </w:pPr>
          </w:p>
        </w:tc>
        <w:tc>
          <w:tcPr>
            <w:tcW w:w="1434" w:type="dxa"/>
            <w:vAlign w:val="center"/>
          </w:tcPr>
          <w:p w14:paraId="57705B0B">
            <w:pPr>
              <w:jc w:val="center"/>
              <w:rPr>
                <w:rFonts w:ascii="宋体" w:eastAsia="宋体"/>
                <w:b w:val="0"/>
                <w:bCs w:val="0"/>
                <w:color w:val="auto"/>
                <w:sz w:val="22"/>
                <w:szCs w:val="22"/>
                <w:highlight w:val="none"/>
              </w:rPr>
            </w:pPr>
          </w:p>
        </w:tc>
        <w:tc>
          <w:tcPr>
            <w:tcW w:w="2743" w:type="dxa"/>
            <w:vAlign w:val="center"/>
          </w:tcPr>
          <w:p w14:paraId="757EF244">
            <w:pPr>
              <w:jc w:val="center"/>
              <w:rPr>
                <w:rFonts w:ascii="宋体" w:eastAsia="宋体"/>
                <w:b w:val="0"/>
                <w:bCs w:val="0"/>
                <w:color w:val="auto"/>
                <w:sz w:val="22"/>
                <w:szCs w:val="22"/>
                <w:highlight w:val="none"/>
              </w:rPr>
            </w:pPr>
          </w:p>
        </w:tc>
        <w:tc>
          <w:tcPr>
            <w:tcW w:w="3023" w:type="dxa"/>
            <w:vAlign w:val="center"/>
          </w:tcPr>
          <w:p w14:paraId="47BA6CB8">
            <w:pPr>
              <w:jc w:val="center"/>
              <w:rPr>
                <w:rFonts w:ascii="宋体" w:eastAsia="宋体"/>
                <w:b w:val="0"/>
                <w:bCs w:val="0"/>
                <w:color w:val="auto"/>
                <w:sz w:val="22"/>
                <w:szCs w:val="22"/>
                <w:highlight w:val="none"/>
              </w:rPr>
            </w:pPr>
          </w:p>
        </w:tc>
        <w:tc>
          <w:tcPr>
            <w:tcW w:w="1260" w:type="dxa"/>
            <w:vAlign w:val="center"/>
          </w:tcPr>
          <w:p w14:paraId="02F2DE9D">
            <w:pPr>
              <w:jc w:val="center"/>
              <w:rPr>
                <w:rFonts w:ascii="宋体" w:eastAsia="宋体"/>
                <w:b w:val="0"/>
                <w:bCs w:val="0"/>
                <w:color w:val="auto"/>
                <w:sz w:val="22"/>
                <w:szCs w:val="22"/>
                <w:highlight w:val="none"/>
              </w:rPr>
            </w:pPr>
          </w:p>
        </w:tc>
      </w:tr>
      <w:tr w14:paraId="460A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F23328C">
            <w:pPr>
              <w:jc w:val="center"/>
              <w:rPr>
                <w:rFonts w:ascii="宋体" w:eastAsia="宋体"/>
                <w:b w:val="0"/>
                <w:bCs w:val="0"/>
                <w:color w:val="auto"/>
                <w:sz w:val="22"/>
                <w:szCs w:val="22"/>
                <w:highlight w:val="none"/>
              </w:rPr>
            </w:pPr>
          </w:p>
        </w:tc>
        <w:tc>
          <w:tcPr>
            <w:tcW w:w="1434" w:type="dxa"/>
            <w:vAlign w:val="center"/>
          </w:tcPr>
          <w:p w14:paraId="469400F4">
            <w:pPr>
              <w:jc w:val="center"/>
              <w:rPr>
                <w:rFonts w:ascii="宋体" w:eastAsia="宋体"/>
                <w:b w:val="0"/>
                <w:bCs w:val="0"/>
                <w:color w:val="auto"/>
                <w:sz w:val="22"/>
                <w:szCs w:val="22"/>
                <w:highlight w:val="none"/>
              </w:rPr>
            </w:pPr>
          </w:p>
        </w:tc>
        <w:tc>
          <w:tcPr>
            <w:tcW w:w="2743" w:type="dxa"/>
            <w:vAlign w:val="center"/>
          </w:tcPr>
          <w:p w14:paraId="1AAB5438">
            <w:pPr>
              <w:jc w:val="center"/>
              <w:rPr>
                <w:rFonts w:ascii="宋体" w:eastAsia="宋体"/>
                <w:b w:val="0"/>
                <w:bCs w:val="0"/>
                <w:color w:val="auto"/>
                <w:sz w:val="22"/>
                <w:szCs w:val="22"/>
                <w:highlight w:val="none"/>
              </w:rPr>
            </w:pPr>
          </w:p>
        </w:tc>
        <w:tc>
          <w:tcPr>
            <w:tcW w:w="3023" w:type="dxa"/>
            <w:vAlign w:val="center"/>
          </w:tcPr>
          <w:p w14:paraId="5F4CD914">
            <w:pPr>
              <w:jc w:val="center"/>
              <w:rPr>
                <w:rFonts w:ascii="宋体" w:eastAsia="宋体"/>
                <w:b w:val="0"/>
                <w:bCs w:val="0"/>
                <w:color w:val="auto"/>
                <w:sz w:val="22"/>
                <w:szCs w:val="22"/>
                <w:highlight w:val="none"/>
              </w:rPr>
            </w:pPr>
          </w:p>
        </w:tc>
        <w:tc>
          <w:tcPr>
            <w:tcW w:w="1260" w:type="dxa"/>
            <w:vAlign w:val="center"/>
          </w:tcPr>
          <w:p w14:paraId="0B84E94C">
            <w:pPr>
              <w:jc w:val="center"/>
              <w:rPr>
                <w:rFonts w:ascii="宋体" w:eastAsia="宋体"/>
                <w:b w:val="0"/>
                <w:bCs w:val="0"/>
                <w:color w:val="auto"/>
                <w:sz w:val="22"/>
                <w:szCs w:val="22"/>
                <w:highlight w:val="none"/>
              </w:rPr>
            </w:pPr>
          </w:p>
        </w:tc>
      </w:tr>
      <w:tr w14:paraId="3B1C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24ABE89D">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商务偏离</w:t>
            </w:r>
          </w:p>
        </w:tc>
        <w:tc>
          <w:tcPr>
            <w:tcW w:w="1434" w:type="dxa"/>
            <w:vAlign w:val="center"/>
          </w:tcPr>
          <w:p w14:paraId="27A863E5">
            <w:pPr>
              <w:jc w:val="center"/>
              <w:rPr>
                <w:rFonts w:ascii="宋体" w:eastAsia="宋体"/>
                <w:b w:val="0"/>
                <w:bCs w:val="0"/>
                <w:color w:val="auto"/>
                <w:sz w:val="22"/>
                <w:szCs w:val="22"/>
                <w:highlight w:val="none"/>
              </w:rPr>
            </w:pPr>
          </w:p>
        </w:tc>
        <w:tc>
          <w:tcPr>
            <w:tcW w:w="2743" w:type="dxa"/>
            <w:vAlign w:val="center"/>
          </w:tcPr>
          <w:p w14:paraId="3BC85A3E">
            <w:pPr>
              <w:jc w:val="center"/>
              <w:rPr>
                <w:rFonts w:ascii="宋体" w:eastAsia="宋体"/>
                <w:b w:val="0"/>
                <w:bCs w:val="0"/>
                <w:color w:val="auto"/>
                <w:sz w:val="22"/>
                <w:szCs w:val="22"/>
                <w:highlight w:val="none"/>
              </w:rPr>
            </w:pPr>
          </w:p>
        </w:tc>
        <w:tc>
          <w:tcPr>
            <w:tcW w:w="3023" w:type="dxa"/>
            <w:vAlign w:val="center"/>
          </w:tcPr>
          <w:p w14:paraId="2076FADA">
            <w:pPr>
              <w:jc w:val="center"/>
              <w:rPr>
                <w:rFonts w:ascii="宋体" w:eastAsia="宋体"/>
                <w:b w:val="0"/>
                <w:bCs w:val="0"/>
                <w:color w:val="auto"/>
                <w:sz w:val="22"/>
                <w:szCs w:val="22"/>
                <w:highlight w:val="none"/>
              </w:rPr>
            </w:pPr>
          </w:p>
        </w:tc>
        <w:tc>
          <w:tcPr>
            <w:tcW w:w="1260" w:type="dxa"/>
            <w:vAlign w:val="center"/>
          </w:tcPr>
          <w:p w14:paraId="4BA9A047">
            <w:pPr>
              <w:jc w:val="center"/>
              <w:rPr>
                <w:rFonts w:ascii="宋体" w:eastAsia="宋体"/>
                <w:b w:val="0"/>
                <w:bCs w:val="0"/>
                <w:color w:val="auto"/>
                <w:sz w:val="22"/>
                <w:szCs w:val="22"/>
                <w:highlight w:val="none"/>
              </w:rPr>
            </w:pPr>
          </w:p>
        </w:tc>
      </w:tr>
      <w:tr w14:paraId="6AD5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E0D7DBD">
            <w:pPr>
              <w:jc w:val="center"/>
              <w:rPr>
                <w:rFonts w:ascii="宋体" w:eastAsia="宋体"/>
                <w:b w:val="0"/>
                <w:bCs w:val="0"/>
                <w:color w:val="auto"/>
                <w:sz w:val="22"/>
                <w:szCs w:val="22"/>
                <w:highlight w:val="none"/>
              </w:rPr>
            </w:pPr>
          </w:p>
        </w:tc>
        <w:tc>
          <w:tcPr>
            <w:tcW w:w="1434" w:type="dxa"/>
            <w:vAlign w:val="center"/>
          </w:tcPr>
          <w:p w14:paraId="597154F7">
            <w:pPr>
              <w:jc w:val="center"/>
              <w:rPr>
                <w:rFonts w:ascii="宋体" w:eastAsia="宋体"/>
                <w:b w:val="0"/>
                <w:bCs w:val="0"/>
                <w:color w:val="auto"/>
                <w:sz w:val="22"/>
                <w:szCs w:val="22"/>
                <w:highlight w:val="none"/>
              </w:rPr>
            </w:pPr>
          </w:p>
        </w:tc>
        <w:tc>
          <w:tcPr>
            <w:tcW w:w="2743" w:type="dxa"/>
            <w:vAlign w:val="center"/>
          </w:tcPr>
          <w:p w14:paraId="68E157F4">
            <w:pPr>
              <w:jc w:val="center"/>
              <w:rPr>
                <w:rFonts w:ascii="宋体" w:eastAsia="宋体"/>
                <w:b w:val="0"/>
                <w:bCs w:val="0"/>
                <w:color w:val="auto"/>
                <w:sz w:val="22"/>
                <w:szCs w:val="22"/>
                <w:highlight w:val="none"/>
              </w:rPr>
            </w:pPr>
          </w:p>
        </w:tc>
        <w:tc>
          <w:tcPr>
            <w:tcW w:w="3023" w:type="dxa"/>
            <w:vAlign w:val="center"/>
          </w:tcPr>
          <w:p w14:paraId="4696C70B">
            <w:pPr>
              <w:jc w:val="center"/>
              <w:rPr>
                <w:rFonts w:ascii="宋体" w:eastAsia="宋体"/>
                <w:b w:val="0"/>
                <w:bCs w:val="0"/>
                <w:color w:val="auto"/>
                <w:sz w:val="22"/>
                <w:szCs w:val="22"/>
                <w:highlight w:val="none"/>
              </w:rPr>
            </w:pPr>
          </w:p>
        </w:tc>
        <w:tc>
          <w:tcPr>
            <w:tcW w:w="1260" w:type="dxa"/>
            <w:vAlign w:val="center"/>
          </w:tcPr>
          <w:p w14:paraId="77B1B743">
            <w:pPr>
              <w:jc w:val="center"/>
              <w:rPr>
                <w:rFonts w:ascii="宋体" w:eastAsia="宋体"/>
                <w:b w:val="0"/>
                <w:bCs w:val="0"/>
                <w:color w:val="auto"/>
                <w:sz w:val="22"/>
                <w:szCs w:val="22"/>
                <w:highlight w:val="none"/>
              </w:rPr>
            </w:pPr>
          </w:p>
        </w:tc>
      </w:tr>
      <w:tr w14:paraId="7C22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9F243C9">
            <w:pPr>
              <w:jc w:val="center"/>
              <w:rPr>
                <w:rFonts w:ascii="宋体" w:eastAsia="宋体"/>
                <w:b w:val="0"/>
                <w:bCs w:val="0"/>
                <w:color w:val="auto"/>
                <w:sz w:val="22"/>
                <w:szCs w:val="22"/>
                <w:highlight w:val="none"/>
              </w:rPr>
            </w:pPr>
          </w:p>
        </w:tc>
        <w:tc>
          <w:tcPr>
            <w:tcW w:w="1434" w:type="dxa"/>
            <w:vAlign w:val="center"/>
          </w:tcPr>
          <w:p w14:paraId="4DEDBDDD">
            <w:pPr>
              <w:jc w:val="center"/>
              <w:rPr>
                <w:rFonts w:ascii="宋体" w:eastAsia="宋体"/>
                <w:b w:val="0"/>
                <w:bCs w:val="0"/>
                <w:color w:val="auto"/>
                <w:sz w:val="22"/>
                <w:szCs w:val="22"/>
                <w:highlight w:val="none"/>
              </w:rPr>
            </w:pPr>
          </w:p>
        </w:tc>
        <w:tc>
          <w:tcPr>
            <w:tcW w:w="2743" w:type="dxa"/>
            <w:vAlign w:val="center"/>
          </w:tcPr>
          <w:p w14:paraId="6E1F5BF0">
            <w:pPr>
              <w:jc w:val="center"/>
              <w:rPr>
                <w:rFonts w:ascii="宋体" w:eastAsia="宋体"/>
                <w:b w:val="0"/>
                <w:bCs w:val="0"/>
                <w:color w:val="auto"/>
                <w:sz w:val="22"/>
                <w:szCs w:val="22"/>
                <w:highlight w:val="none"/>
              </w:rPr>
            </w:pPr>
          </w:p>
        </w:tc>
        <w:tc>
          <w:tcPr>
            <w:tcW w:w="3023" w:type="dxa"/>
            <w:vAlign w:val="center"/>
          </w:tcPr>
          <w:p w14:paraId="413AE735">
            <w:pPr>
              <w:jc w:val="center"/>
              <w:rPr>
                <w:rFonts w:ascii="宋体" w:eastAsia="宋体"/>
                <w:b w:val="0"/>
                <w:bCs w:val="0"/>
                <w:color w:val="auto"/>
                <w:sz w:val="22"/>
                <w:szCs w:val="22"/>
                <w:highlight w:val="none"/>
              </w:rPr>
            </w:pPr>
          </w:p>
        </w:tc>
        <w:tc>
          <w:tcPr>
            <w:tcW w:w="1260" w:type="dxa"/>
            <w:vAlign w:val="center"/>
          </w:tcPr>
          <w:p w14:paraId="6B4B4D21">
            <w:pPr>
              <w:jc w:val="center"/>
              <w:rPr>
                <w:rFonts w:ascii="宋体" w:eastAsia="宋体"/>
                <w:b w:val="0"/>
                <w:bCs w:val="0"/>
                <w:color w:val="auto"/>
                <w:sz w:val="22"/>
                <w:szCs w:val="22"/>
                <w:highlight w:val="none"/>
              </w:rPr>
            </w:pPr>
          </w:p>
        </w:tc>
      </w:tr>
      <w:tr w14:paraId="154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1CDB1570">
            <w:pPr>
              <w:jc w:val="center"/>
              <w:rPr>
                <w:rFonts w:ascii="宋体" w:eastAsia="宋体"/>
                <w:b w:val="0"/>
                <w:bCs w:val="0"/>
                <w:color w:val="auto"/>
                <w:sz w:val="22"/>
                <w:szCs w:val="22"/>
                <w:highlight w:val="none"/>
              </w:rPr>
            </w:pPr>
          </w:p>
        </w:tc>
        <w:tc>
          <w:tcPr>
            <w:tcW w:w="1434" w:type="dxa"/>
            <w:vAlign w:val="center"/>
          </w:tcPr>
          <w:p w14:paraId="443C142B">
            <w:pPr>
              <w:jc w:val="center"/>
              <w:rPr>
                <w:rFonts w:ascii="宋体" w:eastAsia="宋体"/>
                <w:b w:val="0"/>
                <w:bCs w:val="0"/>
                <w:color w:val="auto"/>
                <w:sz w:val="22"/>
                <w:szCs w:val="22"/>
                <w:highlight w:val="none"/>
              </w:rPr>
            </w:pPr>
          </w:p>
        </w:tc>
        <w:tc>
          <w:tcPr>
            <w:tcW w:w="2743" w:type="dxa"/>
            <w:vAlign w:val="center"/>
          </w:tcPr>
          <w:p w14:paraId="111BBFFB">
            <w:pPr>
              <w:jc w:val="center"/>
              <w:rPr>
                <w:rFonts w:ascii="宋体" w:eastAsia="宋体"/>
                <w:b w:val="0"/>
                <w:bCs w:val="0"/>
                <w:color w:val="auto"/>
                <w:sz w:val="22"/>
                <w:szCs w:val="22"/>
                <w:highlight w:val="none"/>
              </w:rPr>
            </w:pPr>
          </w:p>
        </w:tc>
        <w:tc>
          <w:tcPr>
            <w:tcW w:w="3023" w:type="dxa"/>
            <w:vAlign w:val="center"/>
          </w:tcPr>
          <w:p w14:paraId="231E3B80">
            <w:pPr>
              <w:jc w:val="center"/>
              <w:rPr>
                <w:rFonts w:ascii="宋体" w:eastAsia="宋体"/>
                <w:b w:val="0"/>
                <w:bCs w:val="0"/>
                <w:color w:val="auto"/>
                <w:sz w:val="22"/>
                <w:szCs w:val="22"/>
                <w:highlight w:val="none"/>
              </w:rPr>
            </w:pPr>
          </w:p>
        </w:tc>
        <w:tc>
          <w:tcPr>
            <w:tcW w:w="1260" w:type="dxa"/>
            <w:vAlign w:val="center"/>
          </w:tcPr>
          <w:p w14:paraId="48E1941A">
            <w:pPr>
              <w:jc w:val="center"/>
              <w:rPr>
                <w:rFonts w:ascii="宋体" w:eastAsia="宋体"/>
                <w:b w:val="0"/>
                <w:bCs w:val="0"/>
                <w:color w:val="auto"/>
                <w:sz w:val="22"/>
                <w:szCs w:val="22"/>
                <w:highlight w:val="none"/>
              </w:rPr>
            </w:pPr>
          </w:p>
        </w:tc>
      </w:tr>
      <w:tr w14:paraId="04DE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721D4BF">
            <w:pPr>
              <w:jc w:val="center"/>
              <w:rPr>
                <w:rFonts w:ascii="宋体" w:eastAsia="宋体"/>
                <w:b w:val="0"/>
                <w:bCs w:val="0"/>
                <w:color w:val="auto"/>
                <w:sz w:val="22"/>
                <w:szCs w:val="22"/>
                <w:highlight w:val="none"/>
              </w:rPr>
            </w:pPr>
          </w:p>
        </w:tc>
        <w:tc>
          <w:tcPr>
            <w:tcW w:w="1434" w:type="dxa"/>
            <w:vAlign w:val="center"/>
          </w:tcPr>
          <w:p w14:paraId="25DBF5AB">
            <w:pPr>
              <w:jc w:val="center"/>
              <w:rPr>
                <w:rFonts w:ascii="宋体" w:eastAsia="宋体"/>
                <w:b w:val="0"/>
                <w:bCs w:val="0"/>
                <w:color w:val="auto"/>
                <w:sz w:val="22"/>
                <w:szCs w:val="22"/>
                <w:highlight w:val="none"/>
              </w:rPr>
            </w:pPr>
          </w:p>
        </w:tc>
        <w:tc>
          <w:tcPr>
            <w:tcW w:w="2743" w:type="dxa"/>
            <w:vAlign w:val="center"/>
          </w:tcPr>
          <w:p w14:paraId="32E3F894">
            <w:pPr>
              <w:jc w:val="center"/>
              <w:rPr>
                <w:rFonts w:ascii="宋体" w:eastAsia="宋体"/>
                <w:b w:val="0"/>
                <w:bCs w:val="0"/>
                <w:color w:val="auto"/>
                <w:sz w:val="22"/>
                <w:szCs w:val="22"/>
                <w:highlight w:val="none"/>
              </w:rPr>
            </w:pPr>
          </w:p>
        </w:tc>
        <w:tc>
          <w:tcPr>
            <w:tcW w:w="3023" w:type="dxa"/>
            <w:vAlign w:val="center"/>
          </w:tcPr>
          <w:p w14:paraId="55FE14F2">
            <w:pPr>
              <w:jc w:val="center"/>
              <w:rPr>
                <w:rFonts w:ascii="宋体" w:eastAsia="宋体"/>
                <w:b w:val="0"/>
                <w:bCs w:val="0"/>
                <w:color w:val="auto"/>
                <w:sz w:val="22"/>
                <w:szCs w:val="22"/>
                <w:highlight w:val="none"/>
              </w:rPr>
            </w:pPr>
          </w:p>
        </w:tc>
        <w:tc>
          <w:tcPr>
            <w:tcW w:w="1260" w:type="dxa"/>
            <w:vAlign w:val="center"/>
          </w:tcPr>
          <w:p w14:paraId="12D14723">
            <w:pPr>
              <w:jc w:val="center"/>
              <w:rPr>
                <w:rFonts w:ascii="宋体" w:eastAsia="宋体"/>
                <w:b w:val="0"/>
                <w:bCs w:val="0"/>
                <w:color w:val="auto"/>
                <w:sz w:val="22"/>
                <w:szCs w:val="22"/>
                <w:highlight w:val="none"/>
              </w:rPr>
            </w:pPr>
          </w:p>
        </w:tc>
      </w:tr>
    </w:tbl>
    <w:p w14:paraId="634729FC">
      <w:pPr>
        <w:pStyle w:val="26"/>
        <w:spacing w:line="340" w:lineRule="exact"/>
        <w:rPr>
          <w:rFonts w:hAnsi="宋体" w:eastAsia="宋体"/>
          <w:color w:val="auto"/>
          <w:sz w:val="22"/>
          <w:szCs w:val="22"/>
          <w:highlight w:val="none"/>
        </w:rPr>
      </w:pPr>
      <w:r>
        <w:rPr>
          <w:rFonts w:hint="eastAsia" w:hAnsi="宋体" w:eastAsia="宋体"/>
          <w:color w:val="auto"/>
          <w:sz w:val="22"/>
          <w:szCs w:val="22"/>
          <w:highlight w:val="none"/>
        </w:rPr>
        <w:t>注：1、偏离表中进行如实填写详细对比说明并注明无偏离、正偏离和负偏离。</w:t>
      </w:r>
    </w:p>
    <w:p w14:paraId="25A2C172">
      <w:pPr>
        <w:pStyle w:val="26"/>
        <w:spacing w:line="340" w:lineRule="exact"/>
        <w:ind w:firstLine="442" w:firstLineChars="200"/>
        <w:rPr>
          <w:rFonts w:hAnsi="宋体" w:eastAsia="宋体"/>
          <w:color w:val="auto"/>
          <w:sz w:val="22"/>
          <w:szCs w:val="22"/>
          <w:highlight w:val="none"/>
        </w:rPr>
      </w:pPr>
      <w:r>
        <w:rPr>
          <w:rFonts w:hint="eastAsia" w:hAnsi="宋体" w:eastAsia="宋体"/>
          <w:color w:val="auto"/>
          <w:sz w:val="22"/>
          <w:szCs w:val="22"/>
          <w:highlight w:val="none"/>
        </w:rPr>
        <w:t>2、不填写此表视作完全响应采购文件要求。</w:t>
      </w:r>
    </w:p>
    <w:p w14:paraId="532097A5">
      <w:pPr>
        <w:pStyle w:val="26"/>
        <w:spacing w:line="340" w:lineRule="exact"/>
        <w:ind w:firstLine="442" w:firstLineChars="200"/>
        <w:rPr>
          <w:rFonts w:hAnsi="宋体" w:eastAsia="宋体"/>
          <w:color w:val="auto"/>
          <w:sz w:val="22"/>
          <w:szCs w:val="22"/>
          <w:highlight w:val="none"/>
          <w:u w:val="single"/>
        </w:rPr>
      </w:pPr>
      <w:r>
        <w:rPr>
          <w:rFonts w:hint="eastAsia" w:hAnsi="宋体" w:eastAsia="宋体"/>
          <w:color w:val="auto"/>
          <w:sz w:val="22"/>
          <w:szCs w:val="22"/>
          <w:highlight w:val="none"/>
        </w:rPr>
        <w:t>3、▲</w:t>
      </w:r>
      <w:r>
        <w:rPr>
          <w:rFonts w:hint="eastAsia" w:hAnsi="宋体" w:eastAsia="宋体"/>
          <w:color w:val="auto"/>
          <w:sz w:val="22"/>
          <w:szCs w:val="22"/>
          <w:highlight w:val="none"/>
          <w:u w:val="single"/>
          <w:lang w:val="zh-CN"/>
        </w:rPr>
        <w:t>不提供此表的视为没有实质性响应采购文件,其投标将被拒绝。</w:t>
      </w:r>
    </w:p>
    <w:p w14:paraId="18CD509E">
      <w:pPr>
        <w:pStyle w:val="26"/>
        <w:spacing w:line="340" w:lineRule="exact"/>
        <w:rPr>
          <w:rFonts w:hAnsi="宋体" w:eastAsia="宋体"/>
          <w:color w:val="auto"/>
          <w:sz w:val="22"/>
          <w:highlight w:val="none"/>
        </w:rPr>
      </w:pPr>
    </w:p>
    <w:p w14:paraId="589F7A12">
      <w:pPr>
        <w:pStyle w:val="26"/>
        <w:spacing w:line="340" w:lineRule="exact"/>
        <w:ind w:left="657" w:leftChars="313" w:firstLine="4196" w:firstLineChars="1900"/>
        <w:rPr>
          <w:rFonts w:hAnsi="宋体" w:eastAsia="宋体"/>
          <w:color w:val="auto"/>
          <w:sz w:val="22"/>
          <w:highlight w:val="none"/>
        </w:rPr>
      </w:pPr>
    </w:p>
    <w:p w14:paraId="66989C05">
      <w:pPr>
        <w:pStyle w:val="26"/>
        <w:spacing w:line="360" w:lineRule="auto"/>
        <w:rPr>
          <w:rFonts w:hAnsi="宋体" w:eastAsia="宋体"/>
          <w:b w:val="0"/>
          <w:bCs w:val="0"/>
          <w:color w:val="auto"/>
          <w:sz w:val="22"/>
          <w:szCs w:val="22"/>
          <w:highlight w:val="none"/>
        </w:rPr>
      </w:pPr>
      <w:r>
        <w:rPr>
          <w:rFonts w:hint="eastAsia" w:hAnsi="宋体" w:eastAsia="宋体"/>
          <w:b w:val="0"/>
          <w:bCs w:val="0"/>
          <w:color w:val="auto"/>
          <w:sz w:val="22"/>
          <w:szCs w:val="22"/>
          <w:highlight w:val="none"/>
        </w:rPr>
        <w:t>投标供应商全称（盖章）：</w:t>
      </w:r>
    </w:p>
    <w:p w14:paraId="5D323EBA">
      <w:pPr>
        <w:pStyle w:val="26"/>
        <w:spacing w:line="360" w:lineRule="auto"/>
        <w:rPr>
          <w:rFonts w:hAnsi="宋体" w:eastAsia="宋体"/>
          <w:b w:val="0"/>
          <w:bCs w:val="0"/>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eastAsia="宋体"/>
          <w:b w:val="0"/>
          <w:bCs w:val="0"/>
          <w:color w:val="auto"/>
          <w:sz w:val="22"/>
          <w:szCs w:val="22"/>
          <w:highlight w:val="none"/>
        </w:rPr>
        <w:t>日 期：       年      月      日</w:t>
      </w:r>
    </w:p>
    <w:p w14:paraId="2134D201">
      <w:pPr>
        <w:pStyle w:val="8"/>
        <w:jc w:val="left"/>
        <w:rPr>
          <w:rFonts w:ascii="宋体" w:hAnsi="宋体" w:cs="宋体"/>
          <w:color w:val="auto"/>
          <w:sz w:val="22"/>
          <w:szCs w:val="22"/>
          <w:highlight w:val="none"/>
        </w:rPr>
      </w:pPr>
      <w:bookmarkStart w:id="194" w:name="_Toc11714"/>
      <w:bookmarkEnd w:id="194"/>
      <w:bookmarkStart w:id="195" w:name="_Toc4918"/>
      <w:r>
        <w:rPr>
          <w:rFonts w:hint="eastAsia" w:ascii="宋体" w:hAnsi="宋体" w:cs="宋体"/>
          <w:color w:val="auto"/>
          <w:sz w:val="22"/>
          <w:szCs w:val="22"/>
          <w:highlight w:val="none"/>
        </w:rPr>
        <w:t>附件九</w:t>
      </w:r>
      <w:bookmarkEnd w:id="195"/>
    </w:p>
    <w:p w14:paraId="791EFBEA">
      <w:pPr>
        <w:pStyle w:val="8"/>
        <w:rPr>
          <w:rFonts w:ascii="宋体" w:hAnsi="宋体" w:cs="宋体"/>
          <w:color w:val="auto"/>
          <w:highlight w:val="none"/>
        </w:rPr>
      </w:pPr>
      <w:bookmarkStart w:id="196" w:name="_Toc13133"/>
      <w:bookmarkEnd w:id="196"/>
      <w:bookmarkStart w:id="197" w:name="_Toc13285"/>
      <w:r>
        <w:rPr>
          <w:rFonts w:hint="eastAsia" w:ascii="宋体" w:hAnsi="宋体" w:cs="宋体"/>
          <w:color w:val="auto"/>
          <w:highlight w:val="none"/>
        </w:rPr>
        <w:t>供应商项目服务人员汇总表</w:t>
      </w:r>
      <w:bookmarkEnd w:id="197"/>
    </w:p>
    <w:p w14:paraId="03E3AF9B">
      <w:pPr>
        <w:spacing w:line="360" w:lineRule="auto"/>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项目名称：                                 招标编号：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C7D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53477D6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0F59CC8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376C6917">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7B5DEA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272049B5">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0952C46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专业</w:t>
            </w:r>
          </w:p>
          <w:p w14:paraId="486DC2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411FA914">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职务</w:t>
            </w:r>
          </w:p>
          <w:p w14:paraId="26CB05B8">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和职称/认证</w:t>
            </w:r>
          </w:p>
        </w:tc>
        <w:tc>
          <w:tcPr>
            <w:tcW w:w="1560" w:type="dxa"/>
            <w:tcBorders>
              <w:top w:val="single" w:color="auto" w:sz="4" w:space="0"/>
              <w:left w:val="single" w:color="auto" w:sz="4" w:space="0"/>
              <w:bottom w:val="single" w:color="auto" w:sz="4" w:space="0"/>
              <w:right w:val="single" w:color="auto" w:sz="4" w:space="0"/>
            </w:tcBorders>
            <w:vAlign w:val="center"/>
          </w:tcPr>
          <w:p w14:paraId="69D5DD02">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到现场服务</w:t>
            </w:r>
          </w:p>
          <w:p w14:paraId="0AFC423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起止时间</w:t>
            </w:r>
          </w:p>
        </w:tc>
      </w:tr>
      <w:tr w14:paraId="4E3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176AA87">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9F4C181">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7D655F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15EE50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6F7A53B">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72DB85">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7D854EC">
            <w:pPr>
              <w:spacing w:line="360" w:lineRule="auto"/>
              <w:ind w:left="5250"/>
              <w:rPr>
                <w:rFonts w:ascii="宋体" w:eastAsia="宋体"/>
                <w:b w:val="0"/>
                <w:bCs w:val="0"/>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16C96B">
            <w:pPr>
              <w:spacing w:line="360" w:lineRule="auto"/>
              <w:rPr>
                <w:rFonts w:ascii="宋体" w:eastAsia="宋体"/>
                <w:b w:val="0"/>
                <w:bCs w:val="0"/>
                <w:color w:val="auto"/>
                <w:sz w:val="22"/>
                <w:szCs w:val="22"/>
                <w:highlight w:val="none"/>
              </w:rPr>
            </w:pPr>
          </w:p>
        </w:tc>
      </w:tr>
      <w:tr w14:paraId="4D0C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E2085C6">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851014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1D9F394">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DF701D7">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B0C85A2">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6A8B1E2">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C9F132F">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17DF817">
            <w:pPr>
              <w:spacing w:line="360" w:lineRule="auto"/>
              <w:ind w:left="5250"/>
              <w:rPr>
                <w:rFonts w:ascii="宋体" w:eastAsia="宋体"/>
                <w:b w:val="0"/>
                <w:bCs w:val="0"/>
                <w:color w:val="auto"/>
                <w:spacing w:val="12"/>
                <w:sz w:val="22"/>
                <w:szCs w:val="22"/>
                <w:highlight w:val="none"/>
              </w:rPr>
            </w:pPr>
          </w:p>
        </w:tc>
      </w:tr>
      <w:tr w14:paraId="6045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A2CC30">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E7729D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306D90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65D1A88">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2BA1F19">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FD95970">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613DF46">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0F7CD13">
            <w:pPr>
              <w:spacing w:line="360" w:lineRule="auto"/>
              <w:rPr>
                <w:rFonts w:ascii="宋体" w:eastAsia="宋体"/>
                <w:b w:val="0"/>
                <w:bCs w:val="0"/>
                <w:color w:val="auto"/>
                <w:sz w:val="22"/>
                <w:szCs w:val="22"/>
                <w:highlight w:val="none"/>
              </w:rPr>
            </w:pPr>
          </w:p>
        </w:tc>
      </w:tr>
      <w:tr w14:paraId="2607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D3A09BD">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92155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891AA4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17CE46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9A3AAB1">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C843B02">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F994AFF">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41C73B7">
            <w:pPr>
              <w:spacing w:line="360" w:lineRule="auto"/>
              <w:rPr>
                <w:rFonts w:ascii="宋体" w:eastAsia="宋体"/>
                <w:b w:val="0"/>
                <w:bCs w:val="0"/>
                <w:color w:val="auto"/>
                <w:sz w:val="22"/>
                <w:szCs w:val="22"/>
                <w:highlight w:val="none"/>
              </w:rPr>
            </w:pPr>
          </w:p>
        </w:tc>
      </w:tr>
      <w:tr w14:paraId="7699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387C3C2">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49CD54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B2DC82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4DC70E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1A5BE04">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B71EC80">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B99C707">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65C7AA1">
            <w:pPr>
              <w:spacing w:line="360" w:lineRule="auto"/>
              <w:rPr>
                <w:rFonts w:ascii="宋体" w:eastAsia="宋体"/>
                <w:b w:val="0"/>
                <w:bCs w:val="0"/>
                <w:color w:val="auto"/>
                <w:sz w:val="22"/>
                <w:szCs w:val="22"/>
                <w:highlight w:val="none"/>
              </w:rPr>
            </w:pPr>
          </w:p>
        </w:tc>
      </w:tr>
      <w:tr w14:paraId="5FDC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1B18BE5">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85D31B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773017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9FBBE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0D6D6C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662999">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AB42DB0">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327691E">
            <w:pPr>
              <w:spacing w:line="360" w:lineRule="auto"/>
              <w:rPr>
                <w:rFonts w:ascii="宋体" w:eastAsia="宋体"/>
                <w:b w:val="0"/>
                <w:bCs w:val="0"/>
                <w:color w:val="auto"/>
                <w:sz w:val="22"/>
                <w:szCs w:val="22"/>
                <w:highlight w:val="none"/>
              </w:rPr>
            </w:pPr>
          </w:p>
        </w:tc>
      </w:tr>
      <w:tr w14:paraId="01E0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2262BB4">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B49979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6ECA41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5AA2C9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F6F3F42">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9158FA7">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7C09937">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01AD2F6">
            <w:pPr>
              <w:spacing w:line="360" w:lineRule="auto"/>
              <w:rPr>
                <w:rFonts w:ascii="宋体" w:eastAsia="宋体"/>
                <w:b w:val="0"/>
                <w:bCs w:val="0"/>
                <w:color w:val="auto"/>
                <w:sz w:val="22"/>
                <w:szCs w:val="22"/>
                <w:highlight w:val="none"/>
              </w:rPr>
            </w:pPr>
          </w:p>
        </w:tc>
      </w:tr>
      <w:tr w14:paraId="30F4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2E30B37">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B33A6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BE33582">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F77CDC7">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747E5FE">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FF2C3C">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8520A32">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7378FAD">
            <w:pPr>
              <w:spacing w:line="360" w:lineRule="auto"/>
              <w:rPr>
                <w:rFonts w:ascii="宋体" w:eastAsia="宋体"/>
                <w:b w:val="0"/>
                <w:bCs w:val="0"/>
                <w:color w:val="auto"/>
                <w:sz w:val="22"/>
                <w:szCs w:val="22"/>
                <w:highlight w:val="none"/>
              </w:rPr>
            </w:pPr>
          </w:p>
        </w:tc>
      </w:tr>
      <w:tr w14:paraId="74F1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0485D0F">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D0DF13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DF3457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5E7788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93A74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59867C5">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DCD6383">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E4227A3">
            <w:pPr>
              <w:spacing w:line="360" w:lineRule="auto"/>
              <w:rPr>
                <w:rFonts w:ascii="宋体" w:eastAsia="宋体"/>
                <w:b w:val="0"/>
                <w:bCs w:val="0"/>
                <w:color w:val="auto"/>
                <w:sz w:val="22"/>
                <w:szCs w:val="22"/>
                <w:highlight w:val="none"/>
              </w:rPr>
            </w:pPr>
          </w:p>
        </w:tc>
      </w:tr>
      <w:tr w14:paraId="2DE3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4ACAC32">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57FC0A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1B1DC2">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DB400DE">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5421254">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76F16A8">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A3D9DDB">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C4367C">
            <w:pPr>
              <w:spacing w:line="360" w:lineRule="auto"/>
              <w:rPr>
                <w:rFonts w:ascii="宋体" w:eastAsia="宋体"/>
                <w:b w:val="0"/>
                <w:bCs w:val="0"/>
                <w:color w:val="auto"/>
                <w:sz w:val="22"/>
                <w:szCs w:val="22"/>
                <w:highlight w:val="none"/>
              </w:rPr>
            </w:pPr>
          </w:p>
        </w:tc>
      </w:tr>
      <w:tr w14:paraId="20E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BB67D48">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983DD34">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55C4E6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7856E2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F77D1C1">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540C267">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02484AE">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1666D">
            <w:pPr>
              <w:spacing w:line="360" w:lineRule="auto"/>
              <w:rPr>
                <w:rFonts w:ascii="宋体" w:eastAsia="宋体"/>
                <w:b w:val="0"/>
                <w:bCs w:val="0"/>
                <w:color w:val="auto"/>
                <w:sz w:val="22"/>
                <w:szCs w:val="22"/>
                <w:highlight w:val="none"/>
              </w:rPr>
            </w:pPr>
          </w:p>
        </w:tc>
      </w:tr>
      <w:tr w14:paraId="68AF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19D065E">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E01BD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ABBA13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D10325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BA61095">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D8D94DE">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99ED8FB">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8E86E7">
            <w:pPr>
              <w:spacing w:line="360" w:lineRule="auto"/>
              <w:rPr>
                <w:rFonts w:ascii="宋体" w:eastAsia="宋体"/>
                <w:b w:val="0"/>
                <w:bCs w:val="0"/>
                <w:color w:val="auto"/>
                <w:sz w:val="22"/>
                <w:szCs w:val="22"/>
                <w:highlight w:val="none"/>
              </w:rPr>
            </w:pPr>
          </w:p>
        </w:tc>
      </w:tr>
      <w:tr w14:paraId="51BC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9F54638">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0BC75A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E4D0F1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348B28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D0925F0">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8BF29F">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EFCC755">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4133CF">
            <w:pPr>
              <w:spacing w:line="360" w:lineRule="auto"/>
              <w:rPr>
                <w:rFonts w:ascii="宋体" w:eastAsia="宋体"/>
                <w:b w:val="0"/>
                <w:bCs w:val="0"/>
                <w:color w:val="auto"/>
                <w:sz w:val="22"/>
                <w:szCs w:val="22"/>
                <w:highlight w:val="none"/>
              </w:rPr>
            </w:pPr>
          </w:p>
        </w:tc>
      </w:tr>
      <w:tr w14:paraId="4BC0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6F85EC4">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668A8B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B9A54F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AF6D1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460C48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6C4A099">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E3FB264">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AC07093">
            <w:pPr>
              <w:spacing w:line="360" w:lineRule="auto"/>
              <w:rPr>
                <w:rFonts w:ascii="宋体" w:eastAsia="宋体"/>
                <w:b w:val="0"/>
                <w:bCs w:val="0"/>
                <w:color w:val="auto"/>
                <w:sz w:val="22"/>
                <w:szCs w:val="22"/>
                <w:highlight w:val="none"/>
              </w:rPr>
            </w:pPr>
          </w:p>
        </w:tc>
      </w:tr>
      <w:tr w14:paraId="5C2E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D5D2755">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48862F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DA5D87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1B050B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C08156">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7D785D">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8F0B5FA">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C22804F">
            <w:pPr>
              <w:spacing w:line="360" w:lineRule="auto"/>
              <w:rPr>
                <w:rFonts w:ascii="宋体" w:eastAsia="宋体"/>
                <w:b w:val="0"/>
                <w:bCs w:val="0"/>
                <w:color w:val="auto"/>
                <w:sz w:val="22"/>
                <w:szCs w:val="22"/>
                <w:highlight w:val="none"/>
              </w:rPr>
            </w:pPr>
          </w:p>
        </w:tc>
      </w:tr>
    </w:tbl>
    <w:p w14:paraId="1B511DD6">
      <w:pPr>
        <w:spacing w:line="360" w:lineRule="exact"/>
        <w:ind w:left="968" w:hanging="968" w:hangingChars="44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附注：1. 项目负责人、技术负责人以及各主要专业工种负责人均应列入；</w:t>
      </w:r>
    </w:p>
    <w:p w14:paraId="261F49CF">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2、表格可以延续。</w:t>
      </w:r>
    </w:p>
    <w:p w14:paraId="34906305">
      <w:pPr>
        <w:spacing w:line="360" w:lineRule="exact"/>
        <w:ind w:left="718" w:leftChars="321" w:hanging="44" w:hangingChars="20"/>
        <w:rPr>
          <w:rFonts w:ascii="宋体" w:eastAsia="宋体"/>
          <w:b w:val="0"/>
          <w:bCs w:val="0"/>
          <w:color w:val="auto"/>
          <w:sz w:val="22"/>
          <w:szCs w:val="22"/>
          <w:highlight w:val="none"/>
        </w:rPr>
      </w:pPr>
    </w:p>
    <w:p w14:paraId="6A59F304">
      <w:pPr>
        <w:spacing w:line="360" w:lineRule="exact"/>
        <w:ind w:left="718" w:leftChars="321" w:hanging="44" w:hangingChars="20"/>
        <w:rPr>
          <w:rFonts w:ascii="宋体" w:eastAsia="宋体"/>
          <w:b w:val="0"/>
          <w:bCs w:val="0"/>
          <w:color w:val="auto"/>
          <w:sz w:val="22"/>
          <w:szCs w:val="22"/>
          <w:highlight w:val="none"/>
        </w:rPr>
      </w:pPr>
    </w:p>
    <w:p w14:paraId="6CB86C33">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投标供应商全称（公章）：</w:t>
      </w:r>
    </w:p>
    <w:p w14:paraId="7857D4E8">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日期：  年  月  日</w:t>
      </w:r>
    </w:p>
    <w:p w14:paraId="66F2E385">
      <w:pPr>
        <w:pStyle w:val="8"/>
        <w:rPr>
          <w:rFonts w:ascii="宋体" w:hAnsi="宋体" w:cs="宋体"/>
          <w:b w:val="0"/>
          <w:bCs w:val="0"/>
          <w:color w:val="auto"/>
          <w:sz w:val="30"/>
          <w:szCs w:val="30"/>
          <w:highlight w:val="none"/>
        </w:rPr>
        <w:sectPr>
          <w:headerReference r:id="rId16" w:type="first"/>
          <w:headerReference r:id="rId15" w:type="default"/>
          <w:footerReference r:id="rId17" w:type="default"/>
          <w:pgSz w:w="11906" w:h="16838"/>
          <w:pgMar w:top="1134" w:right="1134" w:bottom="1134" w:left="1134" w:header="851" w:footer="850" w:gutter="0"/>
          <w:cols w:space="720" w:num="1"/>
          <w:titlePg/>
          <w:docGrid w:type="lines" w:linePitch="312" w:charSpace="0"/>
        </w:sectPr>
      </w:pPr>
    </w:p>
    <w:p w14:paraId="6AC74BFC">
      <w:pPr>
        <w:pStyle w:val="8"/>
        <w:rPr>
          <w:rFonts w:ascii="宋体" w:hAnsi="宋体" w:cs="宋体"/>
          <w:color w:val="auto"/>
          <w:highlight w:val="none"/>
        </w:rPr>
      </w:pPr>
      <w:bookmarkStart w:id="198" w:name="_Toc23137"/>
      <w:r>
        <w:rPr>
          <w:rFonts w:hint="eastAsia" w:ascii="宋体" w:hAnsi="宋体" w:cs="宋体"/>
          <w:color w:val="auto"/>
          <w:highlight w:val="none"/>
        </w:rPr>
        <w:t>第七部分 评标定标办法</w:t>
      </w:r>
      <w:bookmarkEnd w:id="86"/>
      <w:bookmarkEnd w:id="198"/>
    </w:p>
    <w:p w14:paraId="5DA08C5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根据《中华人民共和国政府采购法》等有关政府采购法规，结合本次所要采购服务的实际，按照公平、公正、科学、择优的原则选择中标人，特制定本评审办法。</w:t>
      </w:r>
    </w:p>
    <w:p w14:paraId="34A27ED4">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一、总则</w:t>
      </w:r>
    </w:p>
    <w:p w14:paraId="3255632E">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遵循公平、公正、民主、科学的原则和诚实、信誉、效率的服务原则。本着科学、严谨的态度，认真进行评审。择优选定提供服务单位，最大限度地保护当事人权益，严格按照竞争性磋商文件的商务、技术要求，对磋商响应文件进行综合评定，提出优选方案，编写评审报告。磋商小组必须严格遵守保密规定，不得泄露评审的有关情况，不得索贿受贿，不得接受吃请和礼品，不得参加影响公正评审的有关活动。对未中标人，磋商小组不做任何解释。投标供应商不得以任何方式干扰采购工作的进行，一经发现其磋商响应文件将被拒绝。</w:t>
      </w:r>
    </w:p>
    <w:p w14:paraId="43FBE1E0">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二、评审组织</w:t>
      </w:r>
    </w:p>
    <w:p w14:paraId="5D9C6ED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01A27A09">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三、磋商程序、磋商原则和方式</w:t>
      </w:r>
    </w:p>
    <w:p w14:paraId="47673C4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1、本次采购是根据竞争性磋商采购方式进行。</w:t>
      </w:r>
    </w:p>
    <w:p w14:paraId="2FC0905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1.1、如磋商小组认为竞争性磋商文件能够详细列明采购标的技术、服务要求的，评审结束后，磋商小组可以直接对投标供应商进行打分评价。</w:t>
      </w:r>
    </w:p>
    <w:p w14:paraId="10F3F1E1">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1.2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A673F58">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对竞争性磋商文件作出的实质性变动是磋商文件的有效组成部分，磋商小组应当及时以书面形式同时通知所有参加磋商的投标供应商。</w:t>
      </w:r>
    </w:p>
    <w:p w14:paraId="710168E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投标供应商应当按照竞争性磋商文件的变动情况和磋商小组的要求重新提交磋商响应文件，并由其法定代表人或授权代表签字或者加盖公章。由授权代表签字的，应当附法定代表人授权书。投标供应商为自然人的，应当由本人签字并附身份证明。</w:t>
      </w:r>
    </w:p>
    <w:p w14:paraId="5D2293DE">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已提交磋商响应文件的投标供应商，在提交最后磋商报价之前，可以根据磋商情况退出磋商。</w:t>
      </w:r>
    </w:p>
    <w:p w14:paraId="2A4546CC">
      <w:pPr>
        <w:spacing w:line="360" w:lineRule="auto"/>
        <w:ind w:firstLine="440" w:firstLineChars="200"/>
        <w:rPr>
          <w:rFonts w:ascii="宋体" w:eastAsia="宋体"/>
          <w:color w:val="auto"/>
          <w:sz w:val="22"/>
          <w:szCs w:val="22"/>
          <w:highlight w:val="none"/>
          <w:u w:val="single"/>
        </w:rPr>
      </w:pPr>
      <w:r>
        <w:rPr>
          <w:rFonts w:hint="eastAsia" w:ascii="宋体" w:eastAsia="宋体"/>
          <w:b w:val="0"/>
          <w:color w:val="auto"/>
          <w:sz w:val="22"/>
          <w:szCs w:val="22"/>
          <w:highlight w:val="none"/>
        </w:rPr>
        <w:t>1.3、磋商的顺序，按投标供应商签到的顺序进行。开展磋商，磋商小组所有成员集中与单一投标供应商分别进行磋商</w:t>
      </w:r>
      <w:r>
        <w:rPr>
          <w:rFonts w:hint="eastAsia" w:ascii="宋体" w:eastAsia="宋体"/>
          <w:color w:val="auto"/>
          <w:sz w:val="22"/>
          <w:szCs w:val="22"/>
          <w:highlight w:val="none"/>
        </w:rPr>
        <w:t>（如有需要可进行2至3次磋商，磋商次数由磋商小组讨论决定）</w:t>
      </w:r>
      <w:r>
        <w:rPr>
          <w:rFonts w:hint="eastAsia" w:ascii="宋体" w:eastAsia="宋体"/>
          <w:b w:val="0"/>
          <w:color w:val="auto"/>
          <w:sz w:val="22"/>
          <w:szCs w:val="22"/>
          <w:highlight w:val="none"/>
        </w:rPr>
        <w:t>，</w:t>
      </w:r>
      <w:r>
        <w:rPr>
          <w:rFonts w:hint="eastAsia" w:ascii="宋体" w:eastAsia="宋体"/>
          <w:color w:val="auto"/>
          <w:sz w:val="22"/>
          <w:szCs w:val="22"/>
          <w:highlight w:val="none"/>
        </w:rPr>
        <w:t>并要求投标供应商提交最终磋商报价（最终磋商报价可以是一次报价，如有需要可进行2至3次磋商报价，磋商报价次数由磋商小组讨论决定）。</w:t>
      </w:r>
      <w:r>
        <w:rPr>
          <w:rFonts w:hint="eastAsia" w:ascii="宋体" w:eastAsia="宋体"/>
          <w:color w:val="auto"/>
          <w:sz w:val="22"/>
          <w:szCs w:val="22"/>
          <w:highlight w:val="none"/>
          <w:u w:val="single"/>
        </w:rPr>
        <w:t>在竞争性磋商文件未做任何调整的情况下，参与磋商的投标供应商如有出现最终磋商报价超过磋商响应文件中报价的，则该投标供应商的报价按无效处理。超过规定时间提交的最终磋商报价作无效处理。</w:t>
      </w:r>
    </w:p>
    <w:p w14:paraId="0061E20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2、评审原则和方法</w:t>
      </w:r>
    </w:p>
    <w:p w14:paraId="629F772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2.1、磋商小组负责审查磋商响应文件是否符合竞争性磋商文件的要求，并作出评价。磋商小组认为必要时，可向投标供应商进行质疑。磋商小组有权决定全部或部分投标供应商磋商响应文件无效。</w:t>
      </w:r>
    </w:p>
    <w:p w14:paraId="208F8F2D">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 xml:space="preserve">2.2、磋商小组将综合分析合格投标供应商的各项指标，而不是以单项指标的优劣评选出成交的投标供应商。   </w:t>
      </w:r>
    </w:p>
    <w:p w14:paraId="0FB8DC2B">
      <w:pPr>
        <w:spacing w:line="360" w:lineRule="auto"/>
        <w:ind w:firstLine="440" w:firstLineChars="200"/>
        <w:rPr>
          <w:rFonts w:ascii="宋体" w:eastAsia="宋体"/>
          <w:color w:val="auto"/>
          <w:sz w:val="22"/>
          <w:szCs w:val="22"/>
          <w:highlight w:val="none"/>
        </w:rPr>
      </w:pPr>
      <w:r>
        <w:rPr>
          <w:rFonts w:hint="eastAsia" w:ascii="宋体" w:eastAsia="宋体"/>
          <w:b w:val="0"/>
          <w:color w:val="auto"/>
          <w:sz w:val="22"/>
          <w:szCs w:val="22"/>
          <w:highlight w:val="none"/>
        </w:rPr>
        <w:t>2.3、经磋商确定最终采购需求和提交最后报价的投标供应商后，由磋商小组采用综合评分法对提交最后报价的投标供应商的磋商响应文件和最后磋商报价进行综合评分。如竞争性磋商文件所列采购内容明确不需要修改的或投标供应商磋商响应文件清楚明确不需要澄清的，</w:t>
      </w:r>
      <w:r>
        <w:rPr>
          <w:rFonts w:hint="eastAsia" w:ascii="宋体" w:eastAsia="宋体"/>
          <w:color w:val="auto"/>
          <w:sz w:val="22"/>
          <w:szCs w:val="22"/>
          <w:highlight w:val="none"/>
        </w:rPr>
        <w:t>可以不进行磋商环节，直接要求投标供应商进行最终磋商报价，进行综合评分。</w:t>
      </w:r>
    </w:p>
    <w:p w14:paraId="46E33D4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次评审采用综合评分法，磋商小组根据竞争性磋商文件制定的评审办法对投标供应商进行评审排序，推荐综合得分前3名（若2家继续开标的，推荐综合得分前2名）为中标候选人，将综合得分第一名的供应商向采购人推荐其为成交供应商。</w:t>
      </w:r>
    </w:p>
    <w:p w14:paraId="5AD2E1E9">
      <w:pPr>
        <w:adjustRightInd w:val="0"/>
        <w:spacing w:before="100" w:after="50" w:line="360" w:lineRule="auto"/>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四、评分细则</w:t>
      </w:r>
    </w:p>
    <w:p w14:paraId="1D3D296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一、报价评分</w:t>
      </w:r>
      <w:r>
        <w:rPr>
          <w:rFonts w:hint="eastAsia" w:ascii="宋体" w:eastAsia="宋体"/>
          <w:b w:val="0"/>
          <w:color w:val="auto"/>
          <w:sz w:val="22"/>
          <w:szCs w:val="22"/>
          <w:highlight w:val="none"/>
          <w:lang w:val="en-US" w:eastAsia="zh-CN"/>
        </w:rPr>
        <w:t>30</w:t>
      </w:r>
      <w:r>
        <w:rPr>
          <w:rFonts w:hint="eastAsia" w:ascii="宋体" w:eastAsia="宋体"/>
          <w:b w:val="0"/>
          <w:color w:val="auto"/>
          <w:sz w:val="22"/>
          <w:szCs w:val="22"/>
          <w:highlight w:val="none"/>
        </w:rPr>
        <w:t>分</w:t>
      </w:r>
    </w:p>
    <w:p w14:paraId="65CF3070">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1、以供应商磋商后的最终报价中的最低价为评标基准价，得满分</w:t>
      </w:r>
      <w:r>
        <w:rPr>
          <w:rFonts w:hint="eastAsia" w:ascii="宋体" w:eastAsia="宋体"/>
          <w:color w:val="auto"/>
          <w:sz w:val="22"/>
          <w:szCs w:val="22"/>
          <w:highlight w:val="none"/>
          <w:u w:val="single"/>
          <w:lang w:val="en-US" w:eastAsia="zh-CN"/>
        </w:rPr>
        <w:t>30</w:t>
      </w:r>
      <w:r>
        <w:rPr>
          <w:rFonts w:hint="eastAsia" w:ascii="宋体" w:eastAsia="宋体"/>
          <w:color w:val="auto"/>
          <w:sz w:val="22"/>
          <w:szCs w:val="22"/>
          <w:highlight w:val="none"/>
          <w:u w:val="single"/>
        </w:rPr>
        <w:t>分。报价评分结算公式为:投标报价得分=(评标基准价／磋商后的最终报价)×</w:t>
      </w:r>
      <w:r>
        <w:rPr>
          <w:rFonts w:hint="eastAsia" w:ascii="宋体" w:eastAsia="宋体"/>
          <w:color w:val="auto"/>
          <w:sz w:val="22"/>
          <w:szCs w:val="22"/>
          <w:highlight w:val="none"/>
          <w:u w:val="single"/>
          <w:lang w:val="en-US" w:eastAsia="zh-CN"/>
        </w:rPr>
        <w:t>30</w:t>
      </w:r>
      <w:r>
        <w:rPr>
          <w:rFonts w:hint="eastAsia" w:ascii="宋体" w:eastAsia="宋体"/>
          <w:color w:val="auto"/>
          <w:sz w:val="22"/>
          <w:szCs w:val="22"/>
          <w:highlight w:val="none"/>
          <w:u w:val="single"/>
        </w:rPr>
        <w:t>%×100。</w:t>
      </w:r>
    </w:p>
    <w:p w14:paraId="1A51B754">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2、符合采购文件规定条件的小、微企业（或监狱企业、残疾人企业），给予评标价格折扣（10%）。</w:t>
      </w:r>
      <w:bookmarkStart w:id="200" w:name="_GoBack"/>
      <w:bookmarkEnd w:id="200"/>
    </w:p>
    <w:p w14:paraId="0C59A29B">
      <w:pPr>
        <w:numPr>
          <w:ilvl w:val="0"/>
          <w:numId w:val="9"/>
        </w:numPr>
        <w:spacing w:before="120" w:beforeLines="50" w:after="120" w:afterLines="50" w:line="360" w:lineRule="auto"/>
        <w:ind w:firstLine="220" w:firstLineChars="100"/>
        <w:rPr>
          <w:rFonts w:ascii="宋体" w:eastAsia="宋体"/>
          <w:b w:val="0"/>
          <w:color w:val="auto"/>
          <w:sz w:val="22"/>
          <w:szCs w:val="22"/>
          <w:highlight w:val="none"/>
        </w:rPr>
      </w:pPr>
      <w:r>
        <w:rPr>
          <w:rFonts w:hint="eastAsia" w:ascii="宋体" w:eastAsia="宋体"/>
          <w:b w:val="0"/>
          <w:color w:val="auto"/>
          <w:sz w:val="22"/>
          <w:szCs w:val="22"/>
          <w:highlight w:val="none"/>
        </w:rPr>
        <w:t>技术、服务等综合评分</w:t>
      </w:r>
      <w:r>
        <w:rPr>
          <w:rFonts w:hint="eastAsia" w:ascii="宋体" w:eastAsia="宋体"/>
          <w:b w:val="0"/>
          <w:color w:val="auto"/>
          <w:sz w:val="22"/>
          <w:szCs w:val="22"/>
          <w:highlight w:val="none"/>
          <w:lang w:val="en-US" w:eastAsia="zh-CN"/>
        </w:rPr>
        <w:t>70</w:t>
      </w:r>
      <w:r>
        <w:rPr>
          <w:rFonts w:hint="eastAsia" w:ascii="宋体" w:eastAsia="宋体"/>
          <w:b w:val="0"/>
          <w:color w:val="auto"/>
          <w:sz w:val="22"/>
          <w:szCs w:val="22"/>
          <w:highlight w:val="none"/>
        </w:rPr>
        <w:t>分</w:t>
      </w:r>
    </w:p>
    <w:tbl>
      <w:tblPr>
        <w:tblStyle w:val="43"/>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55"/>
        <w:gridCol w:w="1475"/>
        <w:gridCol w:w="1109"/>
        <w:gridCol w:w="5423"/>
      </w:tblGrid>
      <w:tr w14:paraId="7902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noWrap w:val="0"/>
            <w:vAlign w:val="center"/>
          </w:tcPr>
          <w:p w14:paraId="3BE8AE08">
            <w:pPr>
              <w:jc w:val="center"/>
              <w:rPr>
                <w:rFonts w:hint="eastAsia" w:ascii="宋体" w:hAnsi="宋体" w:eastAsia="宋体" w:cs="宋体"/>
                <w:color w:val="auto"/>
                <w:sz w:val="22"/>
                <w:szCs w:val="22"/>
                <w:highlight w:val="none"/>
              </w:rPr>
            </w:pPr>
            <w:bookmarkStart w:id="199" w:name="_Hlk70423009"/>
            <w:r>
              <w:rPr>
                <w:rFonts w:hint="eastAsia" w:ascii="宋体" w:hAnsi="宋体" w:eastAsia="宋体" w:cs="宋体"/>
                <w:color w:val="auto"/>
                <w:sz w:val="22"/>
                <w:szCs w:val="22"/>
                <w:highlight w:val="none"/>
              </w:rPr>
              <w:t>序号</w:t>
            </w:r>
          </w:p>
        </w:tc>
        <w:tc>
          <w:tcPr>
            <w:tcW w:w="2430" w:type="dxa"/>
            <w:gridSpan w:val="2"/>
            <w:noWrap w:val="0"/>
            <w:vAlign w:val="center"/>
          </w:tcPr>
          <w:p w14:paraId="51353EA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1109" w:type="dxa"/>
            <w:noWrap w:val="0"/>
            <w:vAlign w:val="center"/>
          </w:tcPr>
          <w:p w14:paraId="5DC98FA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5423" w:type="dxa"/>
            <w:noWrap w:val="0"/>
            <w:vAlign w:val="center"/>
          </w:tcPr>
          <w:p w14:paraId="6334700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r>
      <w:tr w14:paraId="1570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75" w:type="dxa"/>
            <w:noWrap w:val="0"/>
            <w:vAlign w:val="center"/>
          </w:tcPr>
          <w:p w14:paraId="6C3E1645">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430" w:type="dxa"/>
            <w:gridSpan w:val="2"/>
            <w:noWrap w:val="0"/>
            <w:vAlign w:val="center"/>
          </w:tcPr>
          <w:p w14:paraId="52ADD70B">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综合实力</w:t>
            </w:r>
          </w:p>
        </w:tc>
        <w:tc>
          <w:tcPr>
            <w:tcW w:w="1109" w:type="dxa"/>
            <w:noWrap w:val="0"/>
            <w:vAlign w:val="center"/>
          </w:tcPr>
          <w:p w14:paraId="5BEB90A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0～5分</w:t>
            </w:r>
          </w:p>
        </w:tc>
        <w:tc>
          <w:tcPr>
            <w:tcW w:w="5423" w:type="dxa"/>
            <w:noWrap w:val="0"/>
            <w:vAlign w:val="top"/>
          </w:tcPr>
          <w:p w14:paraId="65CC58B0">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根据企业的企业实力、仓储设施、企业近三年农作物种子储备经营收入、各级种子技术支撑单位的评价等</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满分5分</w:t>
            </w:r>
            <w:r>
              <w:rPr>
                <w:rFonts w:hint="eastAsia" w:ascii="宋体" w:hAnsi="宋体" w:eastAsia="宋体" w:cs="宋体"/>
                <w:b w:val="0"/>
                <w:bCs w:val="0"/>
                <w:color w:val="auto"/>
                <w:sz w:val="22"/>
                <w:szCs w:val="22"/>
                <w:highlight w:val="none"/>
                <w:vertAlign w:val="baseline"/>
                <w:lang w:val="en-US" w:eastAsia="zh-CN"/>
              </w:rPr>
              <w:t>（评分范围：5，4，3，2，1，0）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rPr>
              <w:tab/>
            </w:r>
          </w:p>
        </w:tc>
      </w:tr>
      <w:tr w14:paraId="1621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575" w:type="dxa"/>
            <w:noWrap w:val="0"/>
            <w:vAlign w:val="center"/>
          </w:tcPr>
          <w:p w14:paraId="5C90CA00">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2430" w:type="dxa"/>
            <w:gridSpan w:val="2"/>
            <w:noWrap w:val="0"/>
            <w:vAlign w:val="center"/>
          </w:tcPr>
          <w:p w14:paraId="531C760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项目案例业绩</w:t>
            </w:r>
          </w:p>
        </w:tc>
        <w:tc>
          <w:tcPr>
            <w:tcW w:w="1109" w:type="dxa"/>
            <w:noWrap w:val="0"/>
            <w:vAlign w:val="center"/>
          </w:tcPr>
          <w:p w14:paraId="181DF601">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c>
          <w:tcPr>
            <w:tcW w:w="5423" w:type="dxa"/>
            <w:noWrap w:val="0"/>
            <w:vAlign w:val="top"/>
          </w:tcPr>
          <w:p w14:paraId="6121C52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2018年1月1日至今（以委托储备合同或协议签订时间为准）承担过类似农作物种子储备业绩情况，每提供1个业绩的</w:t>
            </w:r>
            <w:r>
              <w:rPr>
                <w:rFonts w:hint="eastAsia" w:ascii="宋体" w:eastAsia="宋体" w:cs="宋体"/>
                <w:b w:val="0"/>
                <w:bCs w:val="0"/>
                <w:color w:val="auto"/>
                <w:sz w:val="22"/>
                <w:szCs w:val="22"/>
                <w:highlight w:val="none"/>
                <w:lang w:val="en-US" w:eastAsia="zh-CN"/>
              </w:rPr>
              <w:t>0.6</w:t>
            </w:r>
            <w:r>
              <w:rPr>
                <w:rFonts w:hint="eastAsia" w:ascii="宋体" w:hAnsi="宋体" w:eastAsia="宋体" w:cs="宋体"/>
                <w:b w:val="0"/>
                <w:bCs w:val="0"/>
                <w:color w:val="auto"/>
                <w:sz w:val="22"/>
                <w:szCs w:val="22"/>
                <w:highlight w:val="none"/>
              </w:rPr>
              <w:t>分，最高得</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分。（需要提供合同或中标通知书）</w:t>
            </w:r>
          </w:p>
        </w:tc>
      </w:tr>
      <w:tr w14:paraId="14A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5" w:type="dxa"/>
            <w:vMerge w:val="restart"/>
            <w:noWrap w:val="0"/>
            <w:vAlign w:val="center"/>
          </w:tcPr>
          <w:p w14:paraId="53656451">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5" w:type="dxa"/>
            <w:vMerge w:val="restart"/>
            <w:noWrap w:val="0"/>
            <w:vAlign w:val="center"/>
          </w:tcPr>
          <w:p w14:paraId="05A2AA6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服务内容和措施、技术力量</w:t>
            </w:r>
          </w:p>
        </w:tc>
        <w:tc>
          <w:tcPr>
            <w:tcW w:w="1475" w:type="dxa"/>
            <w:vMerge w:val="restart"/>
            <w:noWrap w:val="0"/>
            <w:vAlign w:val="center"/>
          </w:tcPr>
          <w:p w14:paraId="11DD22D7">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服务质量标准</w:t>
            </w:r>
          </w:p>
        </w:tc>
        <w:tc>
          <w:tcPr>
            <w:tcW w:w="1109" w:type="dxa"/>
            <w:noWrap w:val="0"/>
            <w:vAlign w:val="center"/>
          </w:tcPr>
          <w:p w14:paraId="49168FAB">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36F3A4E1">
            <w:p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明确的质量保证目标</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lang w:eastAsia="zh-CN"/>
              </w:rPr>
              <w:t>；</w:t>
            </w:r>
          </w:p>
        </w:tc>
      </w:tr>
      <w:tr w14:paraId="7028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75" w:type="dxa"/>
            <w:vMerge w:val="continue"/>
            <w:noWrap w:val="0"/>
            <w:vAlign w:val="center"/>
          </w:tcPr>
          <w:p w14:paraId="7AE41257">
            <w:p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30071E90">
            <w:pPr>
              <w:rPr>
                <w:rFonts w:hint="eastAsia" w:ascii="宋体" w:hAnsi="宋体" w:eastAsia="宋体" w:cs="宋体"/>
                <w:b w:val="0"/>
                <w:bCs w:val="0"/>
                <w:color w:val="auto"/>
                <w:sz w:val="22"/>
                <w:szCs w:val="22"/>
                <w:highlight w:val="none"/>
              </w:rPr>
            </w:pPr>
          </w:p>
        </w:tc>
        <w:tc>
          <w:tcPr>
            <w:tcW w:w="1475" w:type="dxa"/>
            <w:vMerge w:val="continue"/>
            <w:noWrap w:val="0"/>
            <w:vAlign w:val="center"/>
          </w:tcPr>
          <w:p w14:paraId="4E73ACD2">
            <w:pPr>
              <w:rPr>
                <w:rFonts w:hint="eastAsia" w:ascii="宋体" w:hAnsi="宋体" w:eastAsia="宋体" w:cs="宋体"/>
                <w:b w:val="0"/>
                <w:bCs w:val="0"/>
                <w:color w:val="auto"/>
                <w:sz w:val="22"/>
                <w:szCs w:val="22"/>
                <w:highlight w:val="none"/>
              </w:rPr>
            </w:pPr>
          </w:p>
        </w:tc>
        <w:tc>
          <w:tcPr>
            <w:tcW w:w="1109" w:type="dxa"/>
            <w:noWrap w:val="0"/>
            <w:vAlign w:val="center"/>
          </w:tcPr>
          <w:p w14:paraId="50F67154">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0EC07A55">
            <w:pPr>
              <w:numPr>
                <w:ilvl w:val="0"/>
                <w:numId w:val="0"/>
              </w:num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质量保证措施</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lang w:eastAsia="zh-CN"/>
              </w:rPr>
              <w:t>；</w:t>
            </w:r>
          </w:p>
        </w:tc>
      </w:tr>
      <w:tr w14:paraId="5485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75" w:type="dxa"/>
            <w:vMerge w:val="continue"/>
            <w:noWrap w:val="0"/>
            <w:vAlign w:val="center"/>
          </w:tcPr>
          <w:p w14:paraId="36E7A9B0">
            <w:p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27A6F423">
            <w:pPr>
              <w:rPr>
                <w:rFonts w:hint="eastAsia" w:ascii="宋体" w:hAnsi="宋体" w:eastAsia="宋体" w:cs="宋体"/>
                <w:b w:val="0"/>
                <w:bCs w:val="0"/>
                <w:color w:val="auto"/>
                <w:sz w:val="22"/>
                <w:szCs w:val="22"/>
                <w:highlight w:val="none"/>
              </w:rPr>
            </w:pPr>
          </w:p>
        </w:tc>
        <w:tc>
          <w:tcPr>
            <w:tcW w:w="1475" w:type="dxa"/>
            <w:vMerge w:val="continue"/>
            <w:noWrap w:val="0"/>
            <w:vAlign w:val="center"/>
          </w:tcPr>
          <w:p w14:paraId="2FF0E692">
            <w:pPr>
              <w:rPr>
                <w:rFonts w:hint="eastAsia" w:ascii="宋体" w:hAnsi="宋体" w:eastAsia="宋体" w:cs="宋体"/>
                <w:b w:val="0"/>
                <w:bCs w:val="0"/>
                <w:color w:val="auto"/>
                <w:sz w:val="22"/>
                <w:szCs w:val="22"/>
                <w:highlight w:val="none"/>
              </w:rPr>
            </w:pPr>
          </w:p>
        </w:tc>
        <w:tc>
          <w:tcPr>
            <w:tcW w:w="1109" w:type="dxa"/>
            <w:noWrap w:val="0"/>
            <w:vAlign w:val="center"/>
          </w:tcPr>
          <w:p w14:paraId="16281F3D">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5425E460">
            <w:pPr>
              <w:numPr>
                <w:ilvl w:val="0"/>
                <w:numId w:val="0"/>
              </w:num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体系合理制度</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rPr>
              <w:t>。</w:t>
            </w:r>
          </w:p>
        </w:tc>
      </w:tr>
      <w:tr w14:paraId="57F7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75" w:type="dxa"/>
            <w:vMerge w:val="continue"/>
            <w:noWrap w:val="0"/>
            <w:vAlign w:val="center"/>
          </w:tcPr>
          <w:p w14:paraId="3F996715">
            <w:pPr>
              <w:numPr>
                <w:ilvl w:val="0"/>
                <w:numId w:val="10"/>
              </w:num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5259E2F0">
            <w:pPr>
              <w:rPr>
                <w:rFonts w:hint="eastAsia" w:ascii="宋体" w:hAnsi="宋体" w:eastAsia="宋体" w:cs="宋体"/>
                <w:b w:val="0"/>
                <w:bCs w:val="0"/>
                <w:color w:val="auto"/>
                <w:sz w:val="22"/>
                <w:szCs w:val="22"/>
                <w:highlight w:val="none"/>
              </w:rPr>
            </w:pPr>
          </w:p>
        </w:tc>
        <w:tc>
          <w:tcPr>
            <w:tcW w:w="1475" w:type="dxa"/>
            <w:vMerge w:val="restart"/>
            <w:noWrap w:val="0"/>
            <w:vAlign w:val="center"/>
          </w:tcPr>
          <w:p w14:paraId="06267A37">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管理制度及奖惩制度</w:t>
            </w:r>
          </w:p>
        </w:tc>
        <w:tc>
          <w:tcPr>
            <w:tcW w:w="1109" w:type="dxa"/>
            <w:noWrap w:val="0"/>
            <w:vAlign w:val="center"/>
          </w:tcPr>
          <w:p w14:paraId="176972C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7B2DD7DC">
            <w:p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对</w:t>
            </w:r>
            <w:r>
              <w:rPr>
                <w:rFonts w:hint="eastAsia" w:ascii="宋体" w:hAnsi="宋体" w:eastAsia="宋体" w:cs="宋体"/>
                <w:b w:val="0"/>
                <w:bCs w:val="0"/>
                <w:color w:val="auto"/>
                <w:sz w:val="22"/>
                <w:szCs w:val="22"/>
                <w:highlight w:val="none"/>
              </w:rPr>
              <w:t>服务承诺总体的管理和监督措施</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lang w:eastAsia="zh-CN"/>
              </w:rPr>
              <w:t>；</w:t>
            </w:r>
          </w:p>
        </w:tc>
      </w:tr>
      <w:tr w14:paraId="1FF9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75" w:type="dxa"/>
            <w:vMerge w:val="continue"/>
            <w:noWrap w:val="0"/>
            <w:vAlign w:val="center"/>
          </w:tcPr>
          <w:p w14:paraId="2773CEBF">
            <w:pPr>
              <w:numPr>
                <w:ilvl w:val="0"/>
                <w:numId w:val="10"/>
              </w:num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3059D466">
            <w:pPr>
              <w:rPr>
                <w:rFonts w:hint="eastAsia" w:ascii="宋体" w:hAnsi="宋体" w:eastAsia="宋体" w:cs="宋体"/>
                <w:b w:val="0"/>
                <w:bCs w:val="0"/>
                <w:color w:val="auto"/>
                <w:sz w:val="22"/>
                <w:szCs w:val="22"/>
                <w:highlight w:val="none"/>
              </w:rPr>
            </w:pPr>
          </w:p>
        </w:tc>
        <w:tc>
          <w:tcPr>
            <w:tcW w:w="1475" w:type="dxa"/>
            <w:vMerge w:val="continue"/>
            <w:noWrap w:val="0"/>
            <w:vAlign w:val="center"/>
          </w:tcPr>
          <w:p w14:paraId="3E97216A">
            <w:pPr>
              <w:rPr>
                <w:rFonts w:hint="eastAsia" w:ascii="宋体" w:hAnsi="宋体" w:eastAsia="宋体" w:cs="宋体"/>
                <w:b w:val="0"/>
                <w:bCs w:val="0"/>
                <w:color w:val="auto"/>
                <w:sz w:val="22"/>
                <w:szCs w:val="22"/>
                <w:highlight w:val="none"/>
              </w:rPr>
            </w:pPr>
          </w:p>
        </w:tc>
        <w:tc>
          <w:tcPr>
            <w:tcW w:w="1109" w:type="dxa"/>
            <w:noWrap w:val="0"/>
            <w:vAlign w:val="center"/>
          </w:tcPr>
          <w:p w14:paraId="739154FB">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0007E95A">
            <w:p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对现场工作规程、质量控制及奖惩制度等的管理规划</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rPr>
              <w:t>。</w:t>
            </w:r>
          </w:p>
        </w:tc>
      </w:tr>
      <w:tr w14:paraId="2392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5" w:type="dxa"/>
            <w:vMerge w:val="continue"/>
            <w:noWrap w:val="0"/>
            <w:vAlign w:val="center"/>
          </w:tcPr>
          <w:p w14:paraId="67FA7690">
            <w:pPr>
              <w:numPr>
                <w:ilvl w:val="0"/>
                <w:numId w:val="10"/>
              </w:num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5D513BA8">
            <w:pPr>
              <w:rPr>
                <w:rFonts w:hint="eastAsia" w:ascii="宋体" w:hAnsi="宋体" w:eastAsia="宋体" w:cs="宋体"/>
                <w:b w:val="0"/>
                <w:bCs w:val="0"/>
                <w:color w:val="auto"/>
                <w:sz w:val="22"/>
                <w:szCs w:val="22"/>
                <w:highlight w:val="none"/>
              </w:rPr>
            </w:pPr>
          </w:p>
        </w:tc>
        <w:tc>
          <w:tcPr>
            <w:tcW w:w="1475" w:type="dxa"/>
            <w:vMerge w:val="restart"/>
            <w:noWrap w:val="0"/>
            <w:vAlign w:val="center"/>
          </w:tcPr>
          <w:p w14:paraId="0106ABE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针对本项目特点和难点分析及解决措施</w:t>
            </w:r>
          </w:p>
        </w:tc>
        <w:tc>
          <w:tcPr>
            <w:tcW w:w="1109" w:type="dxa"/>
            <w:noWrap w:val="0"/>
            <w:vAlign w:val="center"/>
          </w:tcPr>
          <w:p w14:paraId="0C51B4BF">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7D305133">
            <w:pPr>
              <w:numPr>
                <w:ilvl w:val="0"/>
                <w:numId w:val="0"/>
              </w:num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项目重点、技术难点的分析</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lang w:eastAsia="zh-CN"/>
              </w:rPr>
              <w:t>；</w:t>
            </w:r>
          </w:p>
        </w:tc>
      </w:tr>
      <w:tr w14:paraId="5533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75" w:type="dxa"/>
            <w:vMerge w:val="continue"/>
            <w:noWrap w:val="0"/>
            <w:vAlign w:val="center"/>
          </w:tcPr>
          <w:p w14:paraId="6D6EDBC8">
            <w:pPr>
              <w:numPr>
                <w:ilvl w:val="0"/>
                <w:numId w:val="10"/>
              </w:num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50012612">
            <w:pPr>
              <w:rPr>
                <w:rFonts w:hint="eastAsia" w:ascii="宋体" w:hAnsi="宋体" w:eastAsia="宋体" w:cs="宋体"/>
                <w:b w:val="0"/>
                <w:bCs w:val="0"/>
                <w:color w:val="auto"/>
                <w:sz w:val="22"/>
                <w:szCs w:val="22"/>
                <w:highlight w:val="none"/>
              </w:rPr>
            </w:pPr>
          </w:p>
        </w:tc>
        <w:tc>
          <w:tcPr>
            <w:tcW w:w="1475" w:type="dxa"/>
            <w:vMerge w:val="continue"/>
            <w:noWrap w:val="0"/>
            <w:vAlign w:val="center"/>
          </w:tcPr>
          <w:p w14:paraId="1C1CE808">
            <w:pPr>
              <w:rPr>
                <w:rFonts w:hint="eastAsia" w:ascii="宋体" w:hAnsi="宋体" w:eastAsia="宋体" w:cs="宋体"/>
                <w:b w:val="0"/>
                <w:bCs w:val="0"/>
                <w:color w:val="auto"/>
                <w:sz w:val="22"/>
                <w:szCs w:val="22"/>
                <w:highlight w:val="none"/>
              </w:rPr>
            </w:pPr>
          </w:p>
        </w:tc>
        <w:tc>
          <w:tcPr>
            <w:tcW w:w="1109" w:type="dxa"/>
            <w:noWrap w:val="0"/>
            <w:vAlign w:val="center"/>
          </w:tcPr>
          <w:p w14:paraId="775AA84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5423" w:type="dxa"/>
            <w:noWrap w:val="0"/>
            <w:vAlign w:val="center"/>
          </w:tcPr>
          <w:p w14:paraId="24E75B21">
            <w:pPr>
              <w:numPr>
                <w:ilvl w:val="0"/>
                <w:numId w:val="0"/>
              </w:num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解决措施等情况</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w:t>
            </w: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vertAlign w:val="baseline"/>
                <w:lang w:val="en-US" w:eastAsia="zh-CN"/>
              </w:rPr>
              <w:t>（评分范围：</w:t>
            </w:r>
            <w:r>
              <w:rPr>
                <w:rFonts w:hint="eastAsia" w:ascii="宋体" w:eastAsia="宋体" w:cs="宋体"/>
                <w:b w:val="0"/>
                <w:bCs w:val="0"/>
                <w:color w:val="auto"/>
                <w:sz w:val="22"/>
                <w:szCs w:val="22"/>
                <w:highlight w:val="none"/>
                <w:vertAlign w:val="baseline"/>
                <w:lang w:val="en-US" w:eastAsia="zh-CN"/>
              </w:rPr>
              <w:t>4，</w:t>
            </w:r>
            <w:r>
              <w:rPr>
                <w:rFonts w:hint="eastAsia" w:ascii="宋体" w:hAnsi="宋体" w:eastAsia="宋体" w:cs="宋体"/>
                <w:b w:val="0"/>
                <w:bCs w:val="0"/>
                <w:color w:val="auto"/>
                <w:sz w:val="22"/>
                <w:szCs w:val="22"/>
                <w:highlight w:val="none"/>
                <w:vertAlign w:val="baseline"/>
                <w:lang w:val="en-US" w:eastAsia="zh-CN"/>
              </w:rPr>
              <w:t>3，2，1，0）</w:t>
            </w:r>
            <w:r>
              <w:rPr>
                <w:rFonts w:hint="eastAsia" w:ascii="宋体" w:hAnsi="宋体" w:eastAsia="宋体" w:cs="宋体"/>
                <w:b w:val="0"/>
                <w:bCs w:val="0"/>
                <w:color w:val="auto"/>
                <w:sz w:val="22"/>
                <w:szCs w:val="22"/>
                <w:highlight w:val="none"/>
              </w:rPr>
              <w:t>。</w:t>
            </w:r>
          </w:p>
        </w:tc>
      </w:tr>
      <w:tr w14:paraId="22EF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vMerge w:val="continue"/>
            <w:noWrap w:val="0"/>
            <w:vAlign w:val="center"/>
          </w:tcPr>
          <w:p w14:paraId="07432E04">
            <w:pPr>
              <w:numPr>
                <w:ilvl w:val="0"/>
                <w:numId w:val="10"/>
              </w:numPr>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6DB55E46">
            <w:pPr>
              <w:rPr>
                <w:rFonts w:hint="eastAsia" w:ascii="宋体" w:hAnsi="宋体" w:eastAsia="宋体" w:cs="宋体"/>
                <w:b w:val="0"/>
                <w:bCs w:val="0"/>
                <w:color w:val="auto"/>
                <w:sz w:val="22"/>
                <w:szCs w:val="22"/>
                <w:highlight w:val="none"/>
              </w:rPr>
            </w:pPr>
          </w:p>
        </w:tc>
        <w:tc>
          <w:tcPr>
            <w:tcW w:w="1475" w:type="dxa"/>
            <w:noWrap w:val="0"/>
            <w:vAlign w:val="center"/>
          </w:tcPr>
          <w:p w14:paraId="447CE1CD">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应急保障措施</w:t>
            </w:r>
          </w:p>
        </w:tc>
        <w:tc>
          <w:tcPr>
            <w:tcW w:w="1109" w:type="dxa"/>
            <w:noWrap w:val="0"/>
            <w:vAlign w:val="center"/>
          </w:tcPr>
          <w:p w14:paraId="5C035A6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0～5分</w:t>
            </w:r>
          </w:p>
        </w:tc>
        <w:tc>
          <w:tcPr>
            <w:tcW w:w="5423" w:type="dxa"/>
            <w:noWrap w:val="0"/>
            <w:vAlign w:val="top"/>
          </w:tcPr>
          <w:p w14:paraId="6564E721">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对紧急情况时的保障措施综合评分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满分5分</w:t>
            </w:r>
            <w:r>
              <w:rPr>
                <w:rFonts w:hint="eastAsia" w:ascii="宋体" w:hAnsi="宋体" w:eastAsia="宋体" w:cs="宋体"/>
                <w:b w:val="0"/>
                <w:bCs w:val="0"/>
                <w:color w:val="auto"/>
                <w:sz w:val="22"/>
                <w:szCs w:val="22"/>
                <w:highlight w:val="none"/>
                <w:vertAlign w:val="baseline"/>
                <w:lang w:val="en-US" w:eastAsia="zh-CN"/>
              </w:rPr>
              <w:t>（评分范围：5，4，3，2，1，0）</w:t>
            </w:r>
            <w:r>
              <w:rPr>
                <w:rFonts w:hint="eastAsia" w:ascii="宋体" w:hAnsi="宋体" w:eastAsia="宋体" w:cs="宋体"/>
                <w:b w:val="0"/>
                <w:bCs w:val="0"/>
                <w:color w:val="auto"/>
                <w:sz w:val="22"/>
                <w:szCs w:val="22"/>
                <w:highlight w:val="none"/>
              </w:rPr>
              <w:t>。</w:t>
            </w:r>
          </w:p>
        </w:tc>
      </w:tr>
      <w:tr w14:paraId="0502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vMerge w:val="restart"/>
            <w:noWrap w:val="0"/>
            <w:vAlign w:val="center"/>
          </w:tcPr>
          <w:p w14:paraId="3877BE2D">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5" w:type="dxa"/>
            <w:vMerge w:val="restart"/>
            <w:noWrap w:val="0"/>
            <w:vAlign w:val="center"/>
          </w:tcPr>
          <w:p w14:paraId="3495254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项目组成员</w:t>
            </w:r>
          </w:p>
        </w:tc>
        <w:tc>
          <w:tcPr>
            <w:tcW w:w="1475" w:type="dxa"/>
            <w:noWrap w:val="0"/>
            <w:vAlign w:val="center"/>
          </w:tcPr>
          <w:p w14:paraId="0F573FC6">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项目负责人情况</w:t>
            </w:r>
          </w:p>
        </w:tc>
        <w:tc>
          <w:tcPr>
            <w:tcW w:w="1109" w:type="dxa"/>
            <w:noWrap w:val="0"/>
            <w:vAlign w:val="center"/>
          </w:tcPr>
          <w:p w14:paraId="4A8D326F">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0～5分</w:t>
            </w:r>
          </w:p>
        </w:tc>
        <w:tc>
          <w:tcPr>
            <w:tcW w:w="5423" w:type="dxa"/>
            <w:noWrap w:val="0"/>
            <w:vAlign w:val="top"/>
          </w:tcPr>
          <w:p w14:paraId="592F2A2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根据投标人所选</w:t>
            </w:r>
            <w:r>
              <w:rPr>
                <w:rFonts w:hint="eastAsia" w:ascii="宋体" w:eastAsia="宋体" w:cs="宋体"/>
                <w:b w:val="0"/>
                <w:bCs w:val="0"/>
                <w:color w:val="auto"/>
                <w:sz w:val="22"/>
                <w:szCs w:val="22"/>
                <w:highlight w:val="none"/>
                <w:lang w:eastAsia="zh-CN"/>
              </w:rPr>
              <w:t>项目</w:t>
            </w:r>
            <w:r>
              <w:rPr>
                <w:rFonts w:hint="eastAsia" w:ascii="宋体" w:hAnsi="宋体" w:eastAsia="宋体" w:cs="宋体"/>
                <w:b w:val="0"/>
                <w:bCs w:val="0"/>
                <w:color w:val="auto"/>
                <w:sz w:val="22"/>
                <w:szCs w:val="22"/>
                <w:highlight w:val="none"/>
              </w:rPr>
              <w:t>负责人类似项目经验，学历，年龄，专业配备及年限等情况进行综合评分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满分5分</w:t>
            </w:r>
            <w:r>
              <w:rPr>
                <w:rFonts w:hint="eastAsia" w:ascii="宋体" w:hAnsi="宋体" w:eastAsia="宋体" w:cs="宋体"/>
                <w:b w:val="0"/>
                <w:bCs w:val="0"/>
                <w:color w:val="auto"/>
                <w:sz w:val="22"/>
                <w:szCs w:val="22"/>
                <w:highlight w:val="none"/>
                <w:vertAlign w:val="baseline"/>
                <w:lang w:val="en-US" w:eastAsia="zh-CN"/>
              </w:rPr>
              <w:t>（评分范围：5，4，3，2，1，0）</w:t>
            </w:r>
            <w:r>
              <w:rPr>
                <w:rFonts w:hint="eastAsia" w:ascii="宋体" w:hAnsi="宋体" w:eastAsia="宋体" w:cs="宋体"/>
                <w:b w:val="0"/>
                <w:bCs w:val="0"/>
                <w:color w:val="auto"/>
                <w:sz w:val="22"/>
                <w:szCs w:val="22"/>
                <w:highlight w:val="none"/>
              </w:rPr>
              <w:t>。</w:t>
            </w:r>
          </w:p>
        </w:tc>
      </w:tr>
      <w:tr w14:paraId="7416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vMerge w:val="continue"/>
            <w:noWrap w:val="0"/>
            <w:vAlign w:val="center"/>
          </w:tcPr>
          <w:p w14:paraId="2461E107">
            <w:pPr>
              <w:ind w:left="420"/>
              <w:jc w:val="center"/>
              <w:rPr>
                <w:rFonts w:hint="eastAsia" w:ascii="宋体" w:hAnsi="宋体" w:eastAsia="宋体" w:cs="宋体"/>
                <w:b w:val="0"/>
                <w:bCs w:val="0"/>
                <w:color w:val="auto"/>
                <w:sz w:val="22"/>
                <w:szCs w:val="22"/>
                <w:highlight w:val="none"/>
              </w:rPr>
            </w:pPr>
          </w:p>
        </w:tc>
        <w:tc>
          <w:tcPr>
            <w:tcW w:w="955" w:type="dxa"/>
            <w:vMerge w:val="continue"/>
            <w:noWrap w:val="0"/>
            <w:vAlign w:val="center"/>
          </w:tcPr>
          <w:p w14:paraId="23F084AE">
            <w:pPr>
              <w:rPr>
                <w:rFonts w:hint="eastAsia" w:ascii="宋体" w:hAnsi="宋体" w:eastAsia="宋体" w:cs="宋体"/>
                <w:b w:val="0"/>
                <w:bCs w:val="0"/>
                <w:color w:val="auto"/>
                <w:sz w:val="22"/>
                <w:szCs w:val="22"/>
                <w:highlight w:val="none"/>
              </w:rPr>
            </w:pPr>
          </w:p>
        </w:tc>
        <w:tc>
          <w:tcPr>
            <w:tcW w:w="1475" w:type="dxa"/>
            <w:noWrap w:val="0"/>
            <w:vAlign w:val="center"/>
          </w:tcPr>
          <w:p w14:paraId="135A422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项目组人员配置计划</w:t>
            </w:r>
          </w:p>
        </w:tc>
        <w:tc>
          <w:tcPr>
            <w:tcW w:w="1109" w:type="dxa"/>
            <w:noWrap w:val="0"/>
            <w:vAlign w:val="center"/>
          </w:tcPr>
          <w:p w14:paraId="6092885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0～7分</w:t>
            </w:r>
          </w:p>
        </w:tc>
        <w:tc>
          <w:tcPr>
            <w:tcW w:w="5423" w:type="dxa"/>
            <w:noWrap w:val="0"/>
            <w:vAlign w:val="top"/>
          </w:tcPr>
          <w:p w14:paraId="582B06CF">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投标人所选员工类似项目经验</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满分3分</w:t>
            </w:r>
            <w:r>
              <w:rPr>
                <w:rFonts w:hint="eastAsia" w:ascii="宋体" w:hAnsi="宋体" w:eastAsia="宋体" w:cs="宋体"/>
                <w:b w:val="0"/>
                <w:bCs w:val="0"/>
                <w:color w:val="auto"/>
                <w:sz w:val="22"/>
                <w:szCs w:val="22"/>
                <w:highlight w:val="none"/>
                <w:vertAlign w:val="baseline"/>
                <w:lang w:val="en-US" w:eastAsia="zh-CN"/>
              </w:rPr>
              <w:t>（评分范围：3，2，1，0）</w:t>
            </w:r>
            <w:r>
              <w:rPr>
                <w:rFonts w:hint="eastAsia" w:ascii="宋体" w:hAnsi="宋体" w:eastAsia="宋体" w:cs="宋体"/>
                <w:b w:val="0"/>
                <w:bCs w:val="0"/>
                <w:color w:val="auto"/>
                <w:sz w:val="22"/>
                <w:szCs w:val="22"/>
                <w:highlight w:val="none"/>
                <w:lang w:eastAsia="zh-CN"/>
              </w:rPr>
              <w:t>；</w:t>
            </w:r>
          </w:p>
          <w:p w14:paraId="445D3A8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人员素质</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满分4分</w:t>
            </w:r>
            <w:r>
              <w:rPr>
                <w:rFonts w:hint="eastAsia" w:ascii="宋体" w:hAnsi="宋体" w:eastAsia="宋体" w:cs="宋体"/>
                <w:b w:val="0"/>
                <w:bCs w:val="0"/>
                <w:color w:val="auto"/>
                <w:sz w:val="22"/>
                <w:szCs w:val="22"/>
                <w:highlight w:val="none"/>
                <w:vertAlign w:val="baseline"/>
                <w:lang w:val="en-US" w:eastAsia="zh-CN"/>
              </w:rPr>
              <w:t>（评分范围：4，3，2，1，0）</w:t>
            </w:r>
            <w:r>
              <w:rPr>
                <w:rFonts w:hint="eastAsia" w:ascii="宋体" w:hAnsi="宋体" w:eastAsia="宋体" w:cs="宋体"/>
                <w:b w:val="0"/>
                <w:bCs w:val="0"/>
                <w:color w:val="auto"/>
                <w:sz w:val="22"/>
                <w:szCs w:val="22"/>
                <w:highlight w:val="none"/>
              </w:rPr>
              <w:t>。</w:t>
            </w:r>
          </w:p>
        </w:tc>
      </w:tr>
      <w:tr w14:paraId="427D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tcBorders>
              <w:top w:val="single" w:color="auto" w:sz="4" w:space="0"/>
              <w:left w:val="single" w:color="auto" w:sz="4" w:space="0"/>
              <w:right w:val="single" w:color="auto" w:sz="4" w:space="0"/>
            </w:tcBorders>
            <w:noWrap w:val="0"/>
            <w:vAlign w:val="center"/>
          </w:tcPr>
          <w:p w14:paraId="3C6B98B0">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2430" w:type="dxa"/>
            <w:gridSpan w:val="2"/>
            <w:tcBorders>
              <w:top w:val="single" w:color="auto" w:sz="4" w:space="0"/>
              <w:left w:val="single" w:color="auto" w:sz="4" w:space="0"/>
              <w:right w:val="single" w:color="auto" w:sz="4" w:space="0"/>
            </w:tcBorders>
            <w:noWrap w:val="0"/>
            <w:vAlign w:val="center"/>
          </w:tcPr>
          <w:p w14:paraId="164950D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服务承诺</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784AF3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0～9分</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101874D7">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质保期</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满分3分</w:t>
            </w:r>
            <w:r>
              <w:rPr>
                <w:rFonts w:hint="eastAsia" w:ascii="宋体" w:hAnsi="宋体" w:eastAsia="宋体" w:cs="宋体"/>
                <w:b w:val="0"/>
                <w:bCs w:val="0"/>
                <w:color w:val="auto"/>
                <w:sz w:val="22"/>
                <w:szCs w:val="22"/>
                <w:highlight w:val="none"/>
                <w:vertAlign w:val="baseline"/>
                <w:lang w:val="en-US" w:eastAsia="zh-CN"/>
              </w:rPr>
              <w:t>（评分范围：3，2，1，0）</w:t>
            </w:r>
            <w:r>
              <w:rPr>
                <w:rFonts w:hint="eastAsia" w:ascii="宋体" w:hAnsi="宋体" w:eastAsia="宋体" w:cs="宋体"/>
                <w:b w:val="0"/>
                <w:bCs w:val="0"/>
                <w:color w:val="auto"/>
                <w:sz w:val="22"/>
                <w:szCs w:val="22"/>
                <w:highlight w:val="none"/>
                <w:lang w:eastAsia="zh-CN"/>
              </w:rPr>
              <w:t>；</w:t>
            </w:r>
          </w:p>
          <w:p w14:paraId="52A9B566">
            <w:pPr>
              <w:numPr>
                <w:ilvl w:val="0"/>
                <w:numId w:val="11"/>
              </w:num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响应速度</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满分3分</w:t>
            </w:r>
            <w:r>
              <w:rPr>
                <w:rFonts w:hint="eastAsia" w:ascii="宋体" w:hAnsi="宋体" w:eastAsia="宋体" w:cs="宋体"/>
                <w:b w:val="0"/>
                <w:bCs w:val="0"/>
                <w:color w:val="auto"/>
                <w:sz w:val="22"/>
                <w:szCs w:val="22"/>
                <w:highlight w:val="none"/>
                <w:vertAlign w:val="baseline"/>
                <w:lang w:val="en-US" w:eastAsia="zh-CN"/>
              </w:rPr>
              <w:t>（评分范围：3，2，1，0）</w:t>
            </w:r>
            <w:r>
              <w:rPr>
                <w:rFonts w:hint="eastAsia" w:ascii="宋体" w:hAnsi="宋体" w:eastAsia="宋体" w:cs="宋体"/>
                <w:b w:val="0"/>
                <w:bCs w:val="0"/>
                <w:color w:val="auto"/>
                <w:sz w:val="22"/>
                <w:szCs w:val="22"/>
                <w:highlight w:val="none"/>
                <w:lang w:eastAsia="zh-CN"/>
              </w:rPr>
              <w:t>；</w:t>
            </w:r>
          </w:p>
          <w:p w14:paraId="5895D233">
            <w:pPr>
              <w:numPr>
                <w:ilvl w:val="0"/>
                <w:numId w:val="11"/>
              </w:num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服务内容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满分3分</w:t>
            </w:r>
            <w:r>
              <w:rPr>
                <w:rFonts w:hint="eastAsia" w:ascii="宋体" w:hAnsi="宋体" w:eastAsia="宋体" w:cs="宋体"/>
                <w:b w:val="0"/>
                <w:bCs w:val="0"/>
                <w:color w:val="auto"/>
                <w:sz w:val="22"/>
                <w:szCs w:val="22"/>
                <w:highlight w:val="none"/>
                <w:vertAlign w:val="baseline"/>
                <w:lang w:val="en-US" w:eastAsia="zh-CN"/>
              </w:rPr>
              <w:t>（评分范围：3，2，1，0）</w:t>
            </w:r>
            <w:r>
              <w:rPr>
                <w:rFonts w:hint="eastAsia" w:ascii="宋体" w:hAnsi="宋体" w:eastAsia="宋体" w:cs="宋体"/>
                <w:b w:val="0"/>
                <w:bCs w:val="0"/>
                <w:color w:val="auto"/>
                <w:sz w:val="22"/>
                <w:szCs w:val="22"/>
                <w:highlight w:val="none"/>
              </w:rPr>
              <w:t>。</w:t>
            </w:r>
          </w:p>
        </w:tc>
      </w:tr>
      <w:tr w14:paraId="3795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75" w:type="dxa"/>
            <w:tcBorders>
              <w:top w:val="single" w:color="auto" w:sz="4" w:space="0"/>
              <w:left w:val="single" w:color="auto" w:sz="4" w:space="0"/>
              <w:right w:val="single" w:color="auto" w:sz="4" w:space="0"/>
            </w:tcBorders>
            <w:noWrap w:val="0"/>
            <w:vAlign w:val="center"/>
          </w:tcPr>
          <w:p w14:paraId="32A3EF2A">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2430" w:type="dxa"/>
            <w:gridSpan w:val="2"/>
            <w:tcBorders>
              <w:top w:val="single" w:color="auto" w:sz="4" w:space="0"/>
              <w:left w:val="single" w:color="auto" w:sz="4" w:space="0"/>
              <w:right w:val="single" w:color="auto" w:sz="4" w:space="0"/>
            </w:tcBorders>
            <w:noWrap w:val="0"/>
            <w:vAlign w:val="center"/>
          </w:tcPr>
          <w:p w14:paraId="39B1BBCA">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设备及工具</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FC7EBCE">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0～5分</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38F0D08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根据储备设备及必需物料的配备计划、数量、品种等情况综合评分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满分5分</w:t>
            </w:r>
            <w:r>
              <w:rPr>
                <w:rFonts w:hint="eastAsia" w:ascii="宋体" w:hAnsi="宋体" w:eastAsia="宋体" w:cs="宋体"/>
                <w:b w:val="0"/>
                <w:bCs w:val="0"/>
                <w:color w:val="auto"/>
                <w:sz w:val="22"/>
                <w:szCs w:val="22"/>
                <w:highlight w:val="none"/>
                <w:vertAlign w:val="baseline"/>
                <w:lang w:val="en-US" w:eastAsia="zh-CN"/>
              </w:rPr>
              <w:t>（评分范围：5，4，3，2，1，0）</w:t>
            </w:r>
            <w:r>
              <w:rPr>
                <w:rFonts w:hint="eastAsia" w:ascii="宋体" w:hAnsi="宋体" w:eastAsia="宋体" w:cs="宋体"/>
                <w:b w:val="0"/>
                <w:bCs w:val="0"/>
                <w:color w:val="auto"/>
                <w:sz w:val="22"/>
                <w:szCs w:val="22"/>
                <w:highlight w:val="none"/>
              </w:rPr>
              <w:t>。</w:t>
            </w:r>
          </w:p>
        </w:tc>
      </w:tr>
      <w:tr w14:paraId="466F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5" w:type="dxa"/>
            <w:tcBorders>
              <w:left w:val="single" w:color="auto" w:sz="4" w:space="0"/>
              <w:right w:val="single" w:color="auto" w:sz="4" w:space="0"/>
            </w:tcBorders>
            <w:noWrap w:val="0"/>
            <w:vAlign w:val="center"/>
          </w:tcPr>
          <w:p w14:paraId="1DC4DC1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2430" w:type="dxa"/>
            <w:gridSpan w:val="2"/>
            <w:tcBorders>
              <w:left w:val="single" w:color="auto" w:sz="4" w:space="0"/>
              <w:right w:val="single" w:color="auto" w:sz="4" w:space="0"/>
            </w:tcBorders>
            <w:noWrap w:val="0"/>
            <w:vAlign w:val="center"/>
          </w:tcPr>
          <w:p w14:paraId="7DF5542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合理化建议</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E3CE41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0～3分</w:t>
            </w:r>
          </w:p>
        </w:tc>
        <w:tc>
          <w:tcPr>
            <w:tcW w:w="5423" w:type="dxa"/>
            <w:tcBorders>
              <w:top w:val="single" w:color="auto" w:sz="4" w:space="0"/>
              <w:left w:val="single" w:color="auto" w:sz="4" w:space="0"/>
              <w:bottom w:val="single" w:color="auto" w:sz="4" w:space="0"/>
              <w:right w:val="single" w:color="auto" w:sz="4" w:space="0"/>
            </w:tcBorders>
            <w:noWrap w:val="0"/>
            <w:vAlign w:val="top"/>
          </w:tcPr>
          <w:p w14:paraId="526B81E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评标委员会视具体满足采购人实际储备需要等综合评分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满分3分</w:t>
            </w:r>
            <w:r>
              <w:rPr>
                <w:rFonts w:hint="eastAsia" w:ascii="宋体" w:hAnsi="宋体" w:eastAsia="宋体" w:cs="宋体"/>
                <w:b w:val="0"/>
                <w:bCs w:val="0"/>
                <w:color w:val="auto"/>
                <w:sz w:val="22"/>
                <w:szCs w:val="22"/>
                <w:highlight w:val="none"/>
                <w:vertAlign w:val="baseline"/>
                <w:lang w:val="en-US" w:eastAsia="zh-CN"/>
              </w:rPr>
              <w:t>（评分范围：3，2，1，0）</w:t>
            </w:r>
            <w:r>
              <w:rPr>
                <w:rFonts w:hint="eastAsia" w:ascii="宋体" w:hAnsi="宋体" w:eastAsia="宋体" w:cs="宋体"/>
                <w:b w:val="0"/>
                <w:bCs w:val="0"/>
                <w:color w:val="auto"/>
                <w:sz w:val="22"/>
                <w:szCs w:val="22"/>
                <w:highlight w:val="none"/>
              </w:rPr>
              <w:t>。</w:t>
            </w:r>
          </w:p>
        </w:tc>
      </w:tr>
      <w:bookmarkEnd w:id="199"/>
    </w:tbl>
    <w:p w14:paraId="4D68CA53">
      <w:pPr>
        <w:spacing w:line="360" w:lineRule="auto"/>
        <w:rPr>
          <w:rFonts w:ascii="宋体" w:eastAsia="宋体"/>
          <w:b w:val="0"/>
          <w:color w:val="auto"/>
          <w:sz w:val="22"/>
          <w:szCs w:val="22"/>
          <w:highlight w:val="none"/>
        </w:rPr>
      </w:pPr>
      <w:r>
        <w:rPr>
          <w:rFonts w:hint="eastAsia" w:ascii="宋体" w:eastAsia="宋体"/>
          <w:b w:val="0"/>
          <w:color w:val="auto"/>
          <w:sz w:val="22"/>
          <w:szCs w:val="22"/>
          <w:highlight w:val="none"/>
        </w:rPr>
        <w:t>三、说明</w:t>
      </w:r>
    </w:p>
    <w:p w14:paraId="5A956E5F">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1、每个投标供应商最终得分=技术资信部分分值（所有磋商小组成员打分的算术平均值）+报价部分分值。</w:t>
      </w:r>
    </w:p>
    <w:p w14:paraId="7BBFE08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2、所有分值计算保留小数点后二位，小数点后三位四舍五入。</w:t>
      </w:r>
    </w:p>
    <w:p w14:paraId="2D66F6B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3、参见本竞争性磋商采购第三部分：“投标供应商须知” 中的相关内容，未尽事宜按有关法律规定处理。</w:t>
      </w:r>
    </w:p>
    <w:sectPr>
      <w:headerReference r:id="rId19" w:type="first"/>
      <w:headerReference r:id="rId18" w:type="default"/>
      <w:footerReference r:id="rId20" w:type="default"/>
      <w:pgSz w:w="11906" w:h="16838"/>
      <w:pgMar w:top="1355" w:right="135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61CA">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D8C27">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14:paraId="063D8C27">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A046">
    <w:pPr>
      <w:pStyle w:val="32"/>
      <w:wordWrap w:val="0"/>
      <w:ind w:right="36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BCDD3">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457BCDD3">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9B5D">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2102E">
                          <w:pPr>
                            <w:pStyle w:val="32"/>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Jpb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yaWzLAQAAnAMAAA4AAAAAAAAAAQAgAAAAHgEAAGRycy9lMm9E&#10;b2MueG1sUEsFBgAAAAAGAAYAWQEAAFsFAAAAAA==&#10;">
              <v:fill on="f" focussize="0,0"/>
              <v:stroke on="f"/>
              <v:imagedata o:title=""/>
              <o:lock v:ext="edit" aspectratio="f"/>
              <v:textbox inset="0mm,0mm,0mm,0mm" style="mso-fit-shape-to-text:t;">
                <w:txbxContent>
                  <w:p w14:paraId="0742102E">
                    <w:pPr>
                      <w:pStyle w:val="3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5CD9">
    <w:pPr>
      <w:widowControl/>
      <w:tabs>
        <w:tab w:val="center" w:pos="4153"/>
        <w:tab w:val="right" w:pos="8306"/>
      </w:tabs>
      <w:snapToGrid w:val="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5ETJ+kBAADcAwAADgAAAGRycy9lMm9Eb2MueG1srVNLjhMx&#10;EN0jcQfLe9KdQAamlc4sJgwsEEQCDlBx292W/JPLk07OwjVYseE4cw3K7kyAYZMFvWiV6/Oq3nN5&#10;dXOwhu1lRO1dy+ezmjPphO+061v+9cvdizecYQLXgfFOtvwokd+snz9bjaGRCz9408nICMRhM4aW&#10;DymFpqpQDNICznyQjoLKRwuJjrGvuggjoVtTLer6qhp97EL0QiKSdzMF+QkxXgLoldJCbry4t9Kl&#10;CTVKA4ko4aAD8nWZVikp0ielUCZmWk5MU/lTE7J3+V+tV9D0EcKgxWkEuGSEJ5wsaEdNz1AbSMDu&#10;o/4HymoRPXqVZsLbaiJSFCEW8/qJNp8HCLJwIakxnEXH/wcrPu63kemONoEzB5Yu/OHb94cfP9m8&#10;XlxlecaADWXdum08nTBsY+Z6UNEyZXR4n6uzh/iwQxH3eBZXHhIT5Fxev3xVv15yJh5j1QSRC0PE&#10;9E56y7LRcqNd5g0N7D9goraU+piS3caxseXXy0WGA1pCRZdPpg1EBF1fatEb3d1pY3IFxn53ayLb&#10;Q16E8mVyhPtXWm6yARymvBKaVmSQ0L11HUvHQBI5ehk8j2Blx5mR9JCyRYDQJNDmkkxqbRxNkPWd&#10;FM3WznfHInTx06WXGU8Lmrfqz3Op/v0o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5hzU9UA&#10;AAAIAQAADwAAAAAAAAABACAAAAAiAAAAZHJzL2Rvd25yZXYueG1sUEsBAhQAFAAAAAgAh07iQBuR&#10;EyfpAQAA3AMAAA4AAAAAAAAAAQAgAAAAJAEAAGRycy9lMm9Eb2MueG1sUEsFBgAAAAAGAAYAWQEA&#10;AH8FA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2C1C">
    <w:pPr>
      <w:pStyle w:val="32"/>
      <w:wordWrap w:val="0"/>
      <w:ind w:right="360"/>
      <w:jc w:val="right"/>
      <w:rPr>
        <w:rFonts w:ascii="宋体"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1C21B">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D5g8sBAACc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oo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kA+YPLAQAAnAMAAA4AAAAAAAAAAQAgAAAAHgEAAGRycy9lMm9E&#10;b2MueG1sUEsFBgAAAAAGAAYAWQEAAFsFAAAAAA==&#10;">
              <v:fill on="f" focussize="0,0"/>
              <v:stroke on="f"/>
              <v:imagedata o:title=""/>
              <o:lock v:ext="edit" aspectratio="f"/>
              <v:textbox inset="0mm,0mm,0mm,0mm" style="mso-fit-shape-to-text:t;">
                <w:txbxContent>
                  <w:p w14:paraId="7AB1C21B">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3914">
    <w:pPr>
      <w:pStyle w:val="3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02A4D">
                          <w:pPr>
                            <w:pStyle w:val="32"/>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2s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1HiuMWBX75/u/z4dfn5lSyr&#10;5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8trLAQAAnAMAAA4AAAAAAAAAAQAgAAAAHgEAAGRycy9lMm9E&#10;b2MueG1sUEsFBgAAAAAGAAYAWQEAAFsFAAAAAA==&#10;">
              <v:fill on="f" focussize="0,0"/>
              <v:stroke on="f"/>
              <v:imagedata o:title=""/>
              <o:lock v:ext="edit" aspectratio="f"/>
              <v:textbox inset="0mm,0mm,0mm,0mm" style="mso-fit-shape-to-text:t;">
                <w:txbxContent>
                  <w:p w14:paraId="37F02A4D">
                    <w:pPr>
                      <w:pStyle w:val="3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F26F">
    <w:pPr>
      <w:pStyle w:val="32"/>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32</w:t>
    </w:r>
    <w:r>
      <w:rPr>
        <w:rFonts w:ascii="宋体"/>
      </w:rPr>
      <w:fldChar w:fldCharType="end"/>
    </w:r>
  </w:p>
  <w:p w14:paraId="6E8C3E0C">
    <w:pPr>
      <w:pStyle w:val="32"/>
      <w:ind w:right="720"/>
      <w:rPr>
        <w:rFonts w:ascii="宋体"/>
      </w:rPr>
    </w:pPr>
    <w:r>
      <w:rPr>
        <w:rFonts w:ascii="宋体"/>
      </w:rPr>
      <w:t>温州市中概工程管理咨询有限公司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9E1A">
    <w:pPr>
      <w:pStyle w:val="32"/>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54</w:t>
    </w:r>
    <w:r>
      <w:rPr>
        <w:rFonts w:ascii="宋体"/>
      </w:rPr>
      <w:fldChar w:fldCharType="end"/>
    </w:r>
  </w:p>
  <w:p w14:paraId="13103A2F">
    <w:pPr>
      <w:pStyle w:val="32"/>
      <w:ind w:right="720"/>
      <w:jc w:val="right"/>
      <w:rPr>
        <w:rFonts w:ascii="宋体"/>
      </w:rPr>
    </w:pPr>
    <w:r>
      <w:rPr>
        <w:rFonts w:ascii="宋体"/>
      </w:rPr>
      <w:t>温州市中概工程管理咨询有限公司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EB52">
    <w:pPr>
      <w:pStyle w:val="32"/>
      <w:jc w:val="right"/>
      <w:rPr>
        <w:rFonts w:ascii="宋体"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1D7A2">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1iNc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er3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MNYjXLAQAAnAMAAA4AAAAAAAAAAQAgAAAAHgEAAGRycy9lMm9E&#10;b2MueG1sUEsFBgAAAAAGAAYAWQEAAFsFAAAAAA==&#10;">
              <v:fill on="f" focussize="0,0"/>
              <v:stroke on="f"/>
              <v:imagedata o:title=""/>
              <o:lock v:ext="edit" aspectratio="f"/>
              <v:textbox inset="0mm,0mm,0mm,0mm" style="mso-fit-shape-to-text:t;">
                <w:txbxContent>
                  <w:p w14:paraId="3781D7A2">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v:textbox>
            </v:shape>
          </w:pict>
        </mc:Fallback>
      </mc:AlternateContent>
    </w:r>
    <w:r>
      <w:rPr>
        <w:rFonts w:ascii="宋体" w:eastAsia="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11E84">
    <w:pPr>
      <w:pStyle w:val="33"/>
      <w:jc w:val="both"/>
      <w:rPr>
        <w:rFonts w:ascii="宋体" w:eastAsia="宋体"/>
        <w:b w:val="0"/>
      </w:rPr>
    </w:pPr>
    <w:r>
      <w:rPr>
        <w:rFonts w:hint="eastAsia" w:ascii="宋体" w:eastAsia="宋体"/>
        <w:b w:val="0"/>
      </w:rPr>
      <w:t>永嘉县政府采购竞争性磋商文件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192A">
    <w:pPr>
      <w:pStyle w:val="33"/>
      <w:jc w:val="both"/>
      <w:rPr>
        <w:rFonts w:ascii="宋体" w:eastAsia="宋体"/>
        <w:b w:val="0"/>
      </w:rPr>
    </w:pPr>
    <w:r>
      <w:rPr>
        <w:rFonts w:hint="eastAsia" w:ascii="宋体" w:eastAsia="宋体"/>
        <w:b w:val="0"/>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AD17">
    <w:pPr>
      <w:pStyle w:val="33"/>
      <w:jc w:val="both"/>
    </w:pPr>
    <w:r>
      <w:rPr>
        <w:rFonts w:hint="eastAsia" w:ascii="宋体" w:eastAsia="宋体"/>
        <w:b w:val="0"/>
      </w:rPr>
      <w:t>永嘉县政府采购竞争性磋商文件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16D1">
    <w:pPr>
      <w:pStyle w:val="33"/>
      <w:jc w:val="both"/>
    </w:pPr>
    <w:r>
      <w:rPr>
        <w:rFonts w:hint="eastAsia" w:ascii="宋体" w:eastAsia="宋体"/>
        <w:b w:val="0"/>
      </w:rPr>
      <w:t>永嘉县政府采购竞争性磋商文件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68B">
    <w:pPr>
      <w:pStyle w:val="33"/>
      <w:jc w:val="both"/>
      <w:rPr>
        <w:rFonts w:ascii="宋体"/>
      </w:rPr>
    </w:pPr>
    <w:r>
      <w:rPr>
        <w:rFonts w:hint="eastAsia" w:ascii="宋体"/>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45B6">
    <w:pPr>
      <w:pStyle w:val="33"/>
      <w:jc w:val="both"/>
      <w:rPr>
        <w:rFonts w:ascii="宋体"/>
      </w:rPr>
    </w:pPr>
    <w:r>
      <w:rPr>
        <w:rFonts w:hint="eastAsia" w:ascii="宋体"/>
      </w:rPr>
      <w:t>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62A4">
    <w:pPr>
      <w:pStyle w:val="33"/>
      <w:jc w:val="both"/>
      <w:rPr>
        <w:rFonts w:ascii="宋体"/>
      </w:rPr>
    </w:pPr>
    <w:r>
      <w:rPr>
        <w:rFonts w:hint="eastAsia" w:ascii="宋体"/>
      </w:rPr>
      <w:t>政府采购招标文件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5491">
    <w:pPr>
      <w:pStyle w:val="33"/>
      <w:jc w:val="both"/>
      <w:rPr>
        <w:rFonts w:ascii="宋体" w:eastAsia="宋体"/>
        <w:b w:val="0"/>
      </w:rPr>
    </w:pPr>
    <w:r>
      <w:rPr>
        <w:rFonts w:hint="eastAsia" w:ascii="宋体" w:eastAsia="宋体"/>
        <w:b w:val="0"/>
      </w:rPr>
      <w:t>永嘉县政府采购竞争性磋商文件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1085">
    <w:pPr>
      <w:pStyle w:val="33"/>
      <w:jc w:val="both"/>
      <w:rPr>
        <w:rFonts w:ascii="宋体" w:eastAsia="宋体"/>
        <w:b w:val="0"/>
      </w:rPr>
    </w:pPr>
    <w:r>
      <w:rPr>
        <w:rFonts w:hint="eastAsia" w:ascii="宋体" w:eastAsia="宋体"/>
        <w:b w:val="0"/>
      </w:rPr>
      <w:t>永嘉县政府采购竞争性磋商文件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36006"/>
    <w:multiLevelType w:val="singleLevel"/>
    <w:tmpl w:val="89C36006"/>
    <w:lvl w:ilvl="0" w:tentative="0">
      <w:start w:val="1"/>
      <w:numFmt w:val="decimal"/>
      <w:suff w:val="nothing"/>
      <w:lvlText w:val="%1、"/>
      <w:lvlJc w:val="left"/>
    </w:lvl>
  </w:abstractNum>
  <w:abstractNum w:abstractNumId="1">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A541B892"/>
    <w:multiLevelType w:val="singleLevel"/>
    <w:tmpl w:val="A541B892"/>
    <w:lvl w:ilvl="0" w:tentative="0">
      <w:start w:val="1"/>
      <w:numFmt w:val="decimal"/>
      <w:suff w:val="space"/>
      <w:lvlText w:val="%1."/>
      <w:lvlJc w:val="left"/>
    </w:lvl>
  </w:abstractNum>
  <w:abstractNum w:abstractNumId="4">
    <w:nsid w:val="D06C4EA3"/>
    <w:multiLevelType w:val="singleLevel"/>
    <w:tmpl w:val="D06C4EA3"/>
    <w:lvl w:ilvl="0" w:tentative="0">
      <w:start w:val="5"/>
      <w:numFmt w:val="chineseCounting"/>
      <w:suff w:val="space"/>
      <w:lvlText w:val="第%1部分"/>
      <w:lvlJc w:val="left"/>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146DE902"/>
    <w:multiLevelType w:val="singleLevel"/>
    <w:tmpl w:val="146DE902"/>
    <w:lvl w:ilvl="0" w:tentative="0">
      <w:start w:val="2"/>
      <w:numFmt w:val="chineseCounting"/>
      <w:suff w:val="nothing"/>
      <w:lvlText w:val="%1、"/>
      <w:lvlJc w:val="left"/>
      <w:rPr>
        <w:rFonts w:hint="eastAsia"/>
      </w:rPr>
    </w:lvl>
  </w:abstractNum>
  <w:abstractNum w:abstractNumId="7">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8">
    <w:nsid w:val="346384F1"/>
    <w:multiLevelType w:val="singleLevel"/>
    <w:tmpl w:val="346384F1"/>
    <w:lvl w:ilvl="0" w:tentative="0">
      <w:start w:val="2"/>
      <w:numFmt w:val="decimal"/>
      <w:suff w:val="nothing"/>
      <w:lvlText w:val="%1、"/>
      <w:lvlJc w:val="left"/>
    </w:lvl>
  </w:abstractNum>
  <w:abstractNum w:abstractNumId="9">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0">
    <w:nsid w:val="7062247B"/>
    <w:multiLevelType w:val="multilevel"/>
    <w:tmpl w:val="7062247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0"/>
  </w:num>
  <w:num w:numId="3">
    <w:abstractNumId w:val="9"/>
  </w:num>
  <w:num w:numId="4">
    <w:abstractNumId w:val="3"/>
  </w:num>
  <w:num w:numId="5">
    <w:abstractNumId w:val="4"/>
  </w:num>
  <w:num w:numId="6">
    <w:abstractNumId w:val="5"/>
  </w:num>
  <w:num w:numId="7">
    <w:abstractNumId w:val="2"/>
  </w:num>
  <w:num w:numId="8">
    <w:abstractNumId w:val="1"/>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hideSpellingErrors/>
  <w:documentProtection w:enforcement="0"/>
  <w:defaultTabStop w:val="420"/>
  <w:evenAndOddHeaders w:val="1"/>
  <w:drawingGridHorizontalSpacing w:val="21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RhNGU0YTJiZGQzZDEyM2Q3ZGQ2YTc1YTRjNGEifQ=="/>
  </w:docVars>
  <w:rsids>
    <w:rsidRoot w:val="00FE7518"/>
    <w:rsid w:val="00000BCE"/>
    <w:rsid w:val="00001535"/>
    <w:rsid w:val="00001A16"/>
    <w:rsid w:val="0000209F"/>
    <w:rsid w:val="00003778"/>
    <w:rsid w:val="00003978"/>
    <w:rsid w:val="00004015"/>
    <w:rsid w:val="000049D8"/>
    <w:rsid w:val="0000568B"/>
    <w:rsid w:val="00005B61"/>
    <w:rsid w:val="00012A31"/>
    <w:rsid w:val="00012FA4"/>
    <w:rsid w:val="00013662"/>
    <w:rsid w:val="00014581"/>
    <w:rsid w:val="00015CE6"/>
    <w:rsid w:val="000205DC"/>
    <w:rsid w:val="00024F68"/>
    <w:rsid w:val="0002712D"/>
    <w:rsid w:val="000341BE"/>
    <w:rsid w:val="00034BC1"/>
    <w:rsid w:val="00037660"/>
    <w:rsid w:val="0003787E"/>
    <w:rsid w:val="00037CA9"/>
    <w:rsid w:val="00040739"/>
    <w:rsid w:val="00041953"/>
    <w:rsid w:val="00042F04"/>
    <w:rsid w:val="0004308D"/>
    <w:rsid w:val="00043911"/>
    <w:rsid w:val="000442AB"/>
    <w:rsid w:val="000447FA"/>
    <w:rsid w:val="00044D10"/>
    <w:rsid w:val="00045483"/>
    <w:rsid w:val="00045FF4"/>
    <w:rsid w:val="000509D7"/>
    <w:rsid w:val="000523CA"/>
    <w:rsid w:val="0005318F"/>
    <w:rsid w:val="00054CFD"/>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4597"/>
    <w:rsid w:val="00076D91"/>
    <w:rsid w:val="000779CA"/>
    <w:rsid w:val="000800E7"/>
    <w:rsid w:val="00081907"/>
    <w:rsid w:val="0008309A"/>
    <w:rsid w:val="00084975"/>
    <w:rsid w:val="0008539C"/>
    <w:rsid w:val="00086937"/>
    <w:rsid w:val="00087A70"/>
    <w:rsid w:val="0009096E"/>
    <w:rsid w:val="00090B45"/>
    <w:rsid w:val="0009165F"/>
    <w:rsid w:val="00091C24"/>
    <w:rsid w:val="000938FD"/>
    <w:rsid w:val="00095895"/>
    <w:rsid w:val="00095AEA"/>
    <w:rsid w:val="00096907"/>
    <w:rsid w:val="000973A2"/>
    <w:rsid w:val="000975BF"/>
    <w:rsid w:val="000A0CFB"/>
    <w:rsid w:val="000A1751"/>
    <w:rsid w:val="000A3160"/>
    <w:rsid w:val="000A3A39"/>
    <w:rsid w:val="000A3FE5"/>
    <w:rsid w:val="000A40A8"/>
    <w:rsid w:val="000A4281"/>
    <w:rsid w:val="000A4D72"/>
    <w:rsid w:val="000A66A3"/>
    <w:rsid w:val="000B1B62"/>
    <w:rsid w:val="000B22B1"/>
    <w:rsid w:val="000B281D"/>
    <w:rsid w:val="000B6727"/>
    <w:rsid w:val="000B7046"/>
    <w:rsid w:val="000C1EAB"/>
    <w:rsid w:val="000C1F34"/>
    <w:rsid w:val="000C2552"/>
    <w:rsid w:val="000C3CC7"/>
    <w:rsid w:val="000C3DEB"/>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9B6"/>
    <w:rsid w:val="000F3DBE"/>
    <w:rsid w:val="000F3FEF"/>
    <w:rsid w:val="000F64E5"/>
    <w:rsid w:val="000F70E4"/>
    <w:rsid w:val="000F7379"/>
    <w:rsid w:val="000F7B24"/>
    <w:rsid w:val="00100AD4"/>
    <w:rsid w:val="00102B0D"/>
    <w:rsid w:val="0010338D"/>
    <w:rsid w:val="00104387"/>
    <w:rsid w:val="00104DF3"/>
    <w:rsid w:val="00104F29"/>
    <w:rsid w:val="00106538"/>
    <w:rsid w:val="0010682E"/>
    <w:rsid w:val="001070D4"/>
    <w:rsid w:val="00110097"/>
    <w:rsid w:val="001102EF"/>
    <w:rsid w:val="0011156A"/>
    <w:rsid w:val="00111649"/>
    <w:rsid w:val="0011198F"/>
    <w:rsid w:val="0011209E"/>
    <w:rsid w:val="0011243F"/>
    <w:rsid w:val="00112BFF"/>
    <w:rsid w:val="0011309B"/>
    <w:rsid w:val="00113F34"/>
    <w:rsid w:val="001141EC"/>
    <w:rsid w:val="001143F2"/>
    <w:rsid w:val="00120AAB"/>
    <w:rsid w:val="001223E4"/>
    <w:rsid w:val="00122644"/>
    <w:rsid w:val="00124D66"/>
    <w:rsid w:val="00126147"/>
    <w:rsid w:val="00126DC1"/>
    <w:rsid w:val="00127776"/>
    <w:rsid w:val="00131CD7"/>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981"/>
    <w:rsid w:val="001612FB"/>
    <w:rsid w:val="00162489"/>
    <w:rsid w:val="0016301D"/>
    <w:rsid w:val="00165080"/>
    <w:rsid w:val="00166FCF"/>
    <w:rsid w:val="00167FA0"/>
    <w:rsid w:val="00170EEF"/>
    <w:rsid w:val="0017111C"/>
    <w:rsid w:val="00171C34"/>
    <w:rsid w:val="00172883"/>
    <w:rsid w:val="001736B7"/>
    <w:rsid w:val="00173ADF"/>
    <w:rsid w:val="001744BB"/>
    <w:rsid w:val="00177522"/>
    <w:rsid w:val="001777E1"/>
    <w:rsid w:val="001804D0"/>
    <w:rsid w:val="0018213F"/>
    <w:rsid w:val="00182575"/>
    <w:rsid w:val="001833ED"/>
    <w:rsid w:val="001837B7"/>
    <w:rsid w:val="0018414B"/>
    <w:rsid w:val="0018426D"/>
    <w:rsid w:val="00184978"/>
    <w:rsid w:val="00185D4F"/>
    <w:rsid w:val="00194154"/>
    <w:rsid w:val="001943C4"/>
    <w:rsid w:val="00195185"/>
    <w:rsid w:val="001965B1"/>
    <w:rsid w:val="001A1F7B"/>
    <w:rsid w:val="001A20B6"/>
    <w:rsid w:val="001A39B2"/>
    <w:rsid w:val="001A3DFA"/>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4D4D"/>
    <w:rsid w:val="001C5815"/>
    <w:rsid w:val="001C6306"/>
    <w:rsid w:val="001D132A"/>
    <w:rsid w:val="001D28BF"/>
    <w:rsid w:val="001D3362"/>
    <w:rsid w:val="001D37C4"/>
    <w:rsid w:val="001D4315"/>
    <w:rsid w:val="001D6EBA"/>
    <w:rsid w:val="001D7DC4"/>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5B25"/>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50C9"/>
    <w:rsid w:val="002471F3"/>
    <w:rsid w:val="00247FBD"/>
    <w:rsid w:val="0025002F"/>
    <w:rsid w:val="00250440"/>
    <w:rsid w:val="00251121"/>
    <w:rsid w:val="00251200"/>
    <w:rsid w:val="002521CD"/>
    <w:rsid w:val="00252652"/>
    <w:rsid w:val="002533A1"/>
    <w:rsid w:val="00253D1A"/>
    <w:rsid w:val="002567B2"/>
    <w:rsid w:val="0025700A"/>
    <w:rsid w:val="002606D4"/>
    <w:rsid w:val="00262173"/>
    <w:rsid w:val="0026228F"/>
    <w:rsid w:val="00262DA7"/>
    <w:rsid w:val="00265D80"/>
    <w:rsid w:val="00267DBD"/>
    <w:rsid w:val="00270475"/>
    <w:rsid w:val="002722D7"/>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F8B"/>
    <w:rsid w:val="002C3005"/>
    <w:rsid w:val="002C343B"/>
    <w:rsid w:val="002C3869"/>
    <w:rsid w:val="002C51D6"/>
    <w:rsid w:val="002C5BB3"/>
    <w:rsid w:val="002C5E94"/>
    <w:rsid w:val="002C731C"/>
    <w:rsid w:val="002C7B95"/>
    <w:rsid w:val="002D07FE"/>
    <w:rsid w:val="002D1823"/>
    <w:rsid w:val="002D3B35"/>
    <w:rsid w:val="002D55E4"/>
    <w:rsid w:val="002D6894"/>
    <w:rsid w:val="002E0E77"/>
    <w:rsid w:val="002E1D1D"/>
    <w:rsid w:val="002E2534"/>
    <w:rsid w:val="002E3856"/>
    <w:rsid w:val="002E3FE3"/>
    <w:rsid w:val="002E5B29"/>
    <w:rsid w:val="002E6505"/>
    <w:rsid w:val="002F08BC"/>
    <w:rsid w:val="002F127C"/>
    <w:rsid w:val="002F1D52"/>
    <w:rsid w:val="002F581F"/>
    <w:rsid w:val="002F5FDD"/>
    <w:rsid w:val="003017DD"/>
    <w:rsid w:val="003019C3"/>
    <w:rsid w:val="003022D9"/>
    <w:rsid w:val="0030291B"/>
    <w:rsid w:val="0030429E"/>
    <w:rsid w:val="00306667"/>
    <w:rsid w:val="00306BB2"/>
    <w:rsid w:val="003075BD"/>
    <w:rsid w:val="00310163"/>
    <w:rsid w:val="00310B53"/>
    <w:rsid w:val="00311034"/>
    <w:rsid w:val="00312F6F"/>
    <w:rsid w:val="003132F0"/>
    <w:rsid w:val="003138F8"/>
    <w:rsid w:val="00313906"/>
    <w:rsid w:val="00316026"/>
    <w:rsid w:val="00316256"/>
    <w:rsid w:val="00316F37"/>
    <w:rsid w:val="00320A0D"/>
    <w:rsid w:val="00321CBE"/>
    <w:rsid w:val="0032258C"/>
    <w:rsid w:val="00323A5A"/>
    <w:rsid w:val="0032412A"/>
    <w:rsid w:val="0032480A"/>
    <w:rsid w:val="003301BE"/>
    <w:rsid w:val="00336BF9"/>
    <w:rsid w:val="003377FC"/>
    <w:rsid w:val="00337E3E"/>
    <w:rsid w:val="0034033F"/>
    <w:rsid w:val="003417FD"/>
    <w:rsid w:val="00341CB5"/>
    <w:rsid w:val="003423A0"/>
    <w:rsid w:val="00342955"/>
    <w:rsid w:val="003442C0"/>
    <w:rsid w:val="003461B2"/>
    <w:rsid w:val="00346AF4"/>
    <w:rsid w:val="00353807"/>
    <w:rsid w:val="00354489"/>
    <w:rsid w:val="0035706A"/>
    <w:rsid w:val="00357A93"/>
    <w:rsid w:val="00360CEA"/>
    <w:rsid w:val="0036286A"/>
    <w:rsid w:val="00362C7B"/>
    <w:rsid w:val="00364CEB"/>
    <w:rsid w:val="00366F52"/>
    <w:rsid w:val="00367865"/>
    <w:rsid w:val="003702A8"/>
    <w:rsid w:val="003717AA"/>
    <w:rsid w:val="00371C38"/>
    <w:rsid w:val="0037468B"/>
    <w:rsid w:val="00376AF8"/>
    <w:rsid w:val="0037776C"/>
    <w:rsid w:val="00380CD6"/>
    <w:rsid w:val="0038456D"/>
    <w:rsid w:val="00384BD9"/>
    <w:rsid w:val="003859ED"/>
    <w:rsid w:val="0038615C"/>
    <w:rsid w:val="00386828"/>
    <w:rsid w:val="0038758F"/>
    <w:rsid w:val="00393038"/>
    <w:rsid w:val="003930D7"/>
    <w:rsid w:val="00393204"/>
    <w:rsid w:val="00394B55"/>
    <w:rsid w:val="00394DAB"/>
    <w:rsid w:val="0039582C"/>
    <w:rsid w:val="003A1187"/>
    <w:rsid w:val="003A1FA3"/>
    <w:rsid w:val="003A30A9"/>
    <w:rsid w:val="003A3720"/>
    <w:rsid w:val="003A43B9"/>
    <w:rsid w:val="003A4626"/>
    <w:rsid w:val="003A6D23"/>
    <w:rsid w:val="003A6FE3"/>
    <w:rsid w:val="003A7CCC"/>
    <w:rsid w:val="003B3A8E"/>
    <w:rsid w:val="003B47DA"/>
    <w:rsid w:val="003C05E2"/>
    <w:rsid w:val="003C0B1B"/>
    <w:rsid w:val="003C2649"/>
    <w:rsid w:val="003C29BA"/>
    <w:rsid w:val="003C6213"/>
    <w:rsid w:val="003C6352"/>
    <w:rsid w:val="003C7955"/>
    <w:rsid w:val="003D070B"/>
    <w:rsid w:val="003D1904"/>
    <w:rsid w:val="003D221B"/>
    <w:rsid w:val="003D31C7"/>
    <w:rsid w:val="003D4C81"/>
    <w:rsid w:val="003D5B02"/>
    <w:rsid w:val="003D5E95"/>
    <w:rsid w:val="003D6A34"/>
    <w:rsid w:val="003D6CCC"/>
    <w:rsid w:val="003D7577"/>
    <w:rsid w:val="003E12DB"/>
    <w:rsid w:val="003E410A"/>
    <w:rsid w:val="003E5CE2"/>
    <w:rsid w:val="003E6758"/>
    <w:rsid w:val="003E6D3B"/>
    <w:rsid w:val="003E73C2"/>
    <w:rsid w:val="003F1591"/>
    <w:rsid w:val="003F1A1C"/>
    <w:rsid w:val="003F260E"/>
    <w:rsid w:val="003F28B7"/>
    <w:rsid w:val="003F55CD"/>
    <w:rsid w:val="003F64C4"/>
    <w:rsid w:val="00400AA5"/>
    <w:rsid w:val="004015C3"/>
    <w:rsid w:val="004028A4"/>
    <w:rsid w:val="00403119"/>
    <w:rsid w:val="00403329"/>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33DC"/>
    <w:rsid w:val="00463DE2"/>
    <w:rsid w:val="00463FA6"/>
    <w:rsid w:val="00464353"/>
    <w:rsid w:val="004668A5"/>
    <w:rsid w:val="004676DB"/>
    <w:rsid w:val="00470D76"/>
    <w:rsid w:val="00471192"/>
    <w:rsid w:val="00472769"/>
    <w:rsid w:val="00481EB8"/>
    <w:rsid w:val="0048202D"/>
    <w:rsid w:val="00484BE8"/>
    <w:rsid w:val="004861D1"/>
    <w:rsid w:val="00487BD9"/>
    <w:rsid w:val="00492AED"/>
    <w:rsid w:val="00494873"/>
    <w:rsid w:val="00495780"/>
    <w:rsid w:val="00495CC0"/>
    <w:rsid w:val="00495EF7"/>
    <w:rsid w:val="004962A2"/>
    <w:rsid w:val="00496CA3"/>
    <w:rsid w:val="00496CD7"/>
    <w:rsid w:val="0049714D"/>
    <w:rsid w:val="00497C86"/>
    <w:rsid w:val="004A3132"/>
    <w:rsid w:val="004A358F"/>
    <w:rsid w:val="004A38A8"/>
    <w:rsid w:val="004A5A66"/>
    <w:rsid w:val="004A5D2E"/>
    <w:rsid w:val="004A5DD6"/>
    <w:rsid w:val="004A6ED4"/>
    <w:rsid w:val="004B0C5C"/>
    <w:rsid w:val="004B1232"/>
    <w:rsid w:val="004B19BB"/>
    <w:rsid w:val="004B1A2C"/>
    <w:rsid w:val="004B4081"/>
    <w:rsid w:val="004B4B7D"/>
    <w:rsid w:val="004B4F5C"/>
    <w:rsid w:val="004B68F7"/>
    <w:rsid w:val="004B7911"/>
    <w:rsid w:val="004C1888"/>
    <w:rsid w:val="004C24B9"/>
    <w:rsid w:val="004C3990"/>
    <w:rsid w:val="004C6D91"/>
    <w:rsid w:val="004C7EBB"/>
    <w:rsid w:val="004D04B9"/>
    <w:rsid w:val="004D2913"/>
    <w:rsid w:val="004D2F25"/>
    <w:rsid w:val="004D56C8"/>
    <w:rsid w:val="004D5990"/>
    <w:rsid w:val="004D6E62"/>
    <w:rsid w:val="004D6F3E"/>
    <w:rsid w:val="004D701B"/>
    <w:rsid w:val="004E1BAF"/>
    <w:rsid w:val="004E1C16"/>
    <w:rsid w:val="004E1EF8"/>
    <w:rsid w:val="004E208A"/>
    <w:rsid w:val="004E3092"/>
    <w:rsid w:val="004E36FA"/>
    <w:rsid w:val="004E37AD"/>
    <w:rsid w:val="004E4BAD"/>
    <w:rsid w:val="004E4D2B"/>
    <w:rsid w:val="004E4EA0"/>
    <w:rsid w:val="004E50F3"/>
    <w:rsid w:val="004E5EC0"/>
    <w:rsid w:val="004E75EA"/>
    <w:rsid w:val="004E7EE5"/>
    <w:rsid w:val="004F05F4"/>
    <w:rsid w:val="004F062D"/>
    <w:rsid w:val="004F0804"/>
    <w:rsid w:val="004F1480"/>
    <w:rsid w:val="004F1AD6"/>
    <w:rsid w:val="004F20A6"/>
    <w:rsid w:val="004F24F7"/>
    <w:rsid w:val="004F2876"/>
    <w:rsid w:val="004F2D78"/>
    <w:rsid w:val="004F364D"/>
    <w:rsid w:val="004F38E2"/>
    <w:rsid w:val="004F6415"/>
    <w:rsid w:val="004F642D"/>
    <w:rsid w:val="004F769B"/>
    <w:rsid w:val="0050308C"/>
    <w:rsid w:val="005032F1"/>
    <w:rsid w:val="0050468D"/>
    <w:rsid w:val="00504B78"/>
    <w:rsid w:val="00504EA1"/>
    <w:rsid w:val="00505BBA"/>
    <w:rsid w:val="00510D9C"/>
    <w:rsid w:val="005122D6"/>
    <w:rsid w:val="0051264D"/>
    <w:rsid w:val="005128C0"/>
    <w:rsid w:val="00512AB7"/>
    <w:rsid w:val="00515059"/>
    <w:rsid w:val="00515811"/>
    <w:rsid w:val="005223A1"/>
    <w:rsid w:val="00526ADF"/>
    <w:rsid w:val="005304F7"/>
    <w:rsid w:val="005308D2"/>
    <w:rsid w:val="00531201"/>
    <w:rsid w:val="00531E7B"/>
    <w:rsid w:val="00532655"/>
    <w:rsid w:val="00533DF3"/>
    <w:rsid w:val="0054079F"/>
    <w:rsid w:val="00540A74"/>
    <w:rsid w:val="00541D6F"/>
    <w:rsid w:val="00544D84"/>
    <w:rsid w:val="00545023"/>
    <w:rsid w:val="005458DB"/>
    <w:rsid w:val="005478CC"/>
    <w:rsid w:val="0055006E"/>
    <w:rsid w:val="00550BC7"/>
    <w:rsid w:val="00551E44"/>
    <w:rsid w:val="0055378E"/>
    <w:rsid w:val="00553C0E"/>
    <w:rsid w:val="0055483E"/>
    <w:rsid w:val="005576FF"/>
    <w:rsid w:val="0056132E"/>
    <w:rsid w:val="005614CD"/>
    <w:rsid w:val="005619E0"/>
    <w:rsid w:val="005625C8"/>
    <w:rsid w:val="00562CE2"/>
    <w:rsid w:val="00563334"/>
    <w:rsid w:val="00563ED5"/>
    <w:rsid w:val="00566C47"/>
    <w:rsid w:val="00567059"/>
    <w:rsid w:val="0056725C"/>
    <w:rsid w:val="0057046A"/>
    <w:rsid w:val="00570566"/>
    <w:rsid w:val="00572910"/>
    <w:rsid w:val="00573487"/>
    <w:rsid w:val="005739E7"/>
    <w:rsid w:val="0057411D"/>
    <w:rsid w:val="00574CDD"/>
    <w:rsid w:val="00575DF1"/>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6AA"/>
    <w:rsid w:val="0059794B"/>
    <w:rsid w:val="005A1AB5"/>
    <w:rsid w:val="005A1FAF"/>
    <w:rsid w:val="005A236F"/>
    <w:rsid w:val="005A3036"/>
    <w:rsid w:val="005A3547"/>
    <w:rsid w:val="005A3F43"/>
    <w:rsid w:val="005A6D75"/>
    <w:rsid w:val="005B3741"/>
    <w:rsid w:val="005B5CC9"/>
    <w:rsid w:val="005C1902"/>
    <w:rsid w:val="005C195F"/>
    <w:rsid w:val="005C1F25"/>
    <w:rsid w:val="005C1F45"/>
    <w:rsid w:val="005C2639"/>
    <w:rsid w:val="005C444B"/>
    <w:rsid w:val="005C4C2A"/>
    <w:rsid w:val="005C5AE1"/>
    <w:rsid w:val="005C5E7C"/>
    <w:rsid w:val="005C7046"/>
    <w:rsid w:val="005D0354"/>
    <w:rsid w:val="005D1395"/>
    <w:rsid w:val="005D17B6"/>
    <w:rsid w:val="005D3157"/>
    <w:rsid w:val="005D4805"/>
    <w:rsid w:val="005D5ABE"/>
    <w:rsid w:val="005D5F25"/>
    <w:rsid w:val="005E2808"/>
    <w:rsid w:val="005E2D4F"/>
    <w:rsid w:val="005E3AF5"/>
    <w:rsid w:val="005E3E67"/>
    <w:rsid w:val="005E6542"/>
    <w:rsid w:val="005E6AE4"/>
    <w:rsid w:val="005E7729"/>
    <w:rsid w:val="005E7AE8"/>
    <w:rsid w:val="005F0360"/>
    <w:rsid w:val="005F0583"/>
    <w:rsid w:val="005F0A3E"/>
    <w:rsid w:val="005F1A1E"/>
    <w:rsid w:val="005F3E96"/>
    <w:rsid w:val="005F4552"/>
    <w:rsid w:val="005F51FF"/>
    <w:rsid w:val="005F7749"/>
    <w:rsid w:val="005F7CFE"/>
    <w:rsid w:val="00600EB7"/>
    <w:rsid w:val="006037AE"/>
    <w:rsid w:val="00605593"/>
    <w:rsid w:val="00605BCC"/>
    <w:rsid w:val="00606684"/>
    <w:rsid w:val="00607E7C"/>
    <w:rsid w:val="00610344"/>
    <w:rsid w:val="00615A5E"/>
    <w:rsid w:val="0061637B"/>
    <w:rsid w:val="006175C3"/>
    <w:rsid w:val="00622125"/>
    <w:rsid w:val="00622517"/>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626EF"/>
    <w:rsid w:val="0066492D"/>
    <w:rsid w:val="00664A55"/>
    <w:rsid w:val="00670F0D"/>
    <w:rsid w:val="00671409"/>
    <w:rsid w:val="00671F39"/>
    <w:rsid w:val="006733DC"/>
    <w:rsid w:val="00674A7E"/>
    <w:rsid w:val="00674C91"/>
    <w:rsid w:val="00674D1D"/>
    <w:rsid w:val="00674DA5"/>
    <w:rsid w:val="00674F6A"/>
    <w:rsid w:val="00677213"/>
    <w:rsid w:val="006802F6"/>
    <w:rsid w:val="00680598"/>
    <w:rsid w:val="00680C3D"/>
    <w:rsid w:val="00682388"/>
    <w:rsid w:val="00682A25"/>
    <w:rsid w:val="00683040"/>
    <w:rsid w:val="0068371D"/>
    <w:rsid w:val="00684BDF"/>
    <w:rsid w:val="006854EE"/>
    <w:rsid w:val="00686DED"/>
    <w:rsid w:val="00687EA8"/>
    <w:rsid w:val="00691E44"/>
    <w:rsid w:val="00691EFB"/>
    <w:rsid w:val="006935CA"/>
    <w:rsid w:val="0069360F"/>
    <w:rsid w:val="0069401B"/>
    <w:rsid w:val="00694BDB"/>
    <w:rsid w:val="00697C83"/>
    <w:rsid w:val="006A0269"/>
    <w:rsid w:val="006A08A0"/>
    <w:rsid w:val="006A1912"/>
    <w:rsid w:val="006A1944"/>
    <w:rsid w:val="006A2AC8"/>
    <w:rsid w:val="006A3D82"/>
    <w:rsid w:val="006A41DE"/>
    <w:rsid w:val="006A51EA"/>
    <w:rsid w:val="006A5A14"/>
    <w:rsid w:val="006A5C4F"/>
    <w:rsid w:val="006A6A94"/>
    <w:rsid w:val="006B053C"/>
    <w:rsid w:val="006B08CB"/>
    <w:rsid w:val="006B1BC7"/>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5C72"/>
    <w:rsid w:val="006C61BB"/>
    <w:rsid w:val="006D12AD"/>
    <w:rsid w:val="006D1682"/>
    <w:rsid w:val="006D172B"/>
    <w:rsid w:val="006D1B8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FDC"/>
    <w:rsid w:val="006F7BF9"/>
    <w:rsid w:val="007002B2"/>
    <w:rsid w:val="00700D01"/>
    <w:rsid w:val="00700FF4"/>
    <w:rsid w:val="00701C1E"/>
    <w:rsid w:val="00701C35"/>
    <w:rsid w:val="007020B0"/>
    <w:rsid w:val="00704784"/>
    <w:rsid w:val="0070552B"/>
    <w:rsid w:val="00705BAA"/>
    <w:rsid w:val="00706D35"/>
    <w:rsid w:val="00707910"/>
    <w:rsid w:val="00710899"/>
    <w:rsid w:val="00710A5E"/>
    <w:rsid w:val="00712209"/>
    <w:rsid w:val="007122EB"/>
    <w:rsid w:val="00712F9D"/>
    <w:rsid w:val="0071368A"/>
    <w:rsid w:val="00713932"/>
    <w:rsid w:val="007148C2"/>
    <w:rsid w:val="007168FF"/>
    <w:rsid w:val="00716A48"/>
    <w:rsid w:val="00720C10"/>
    <w:rsid w:val="00721CA7"/>
    <w:rsid w:val="007244B3"/>
    <w:rsid w:val="007313DE"/>
    <w:rsid w:val="00732897"/>
    <w:rsid w:val="0073504A"/>
    <w:rsid w:val="00735117"/>
    <w:rsid w:val="00736598"/>
    <w:rsid w:val="00737BFE"/>
    <w:rsid w:val="0074117B"/>
    <w:rsid w:val="00742056"/>
    <w:rsid w:val="007429EB"/>
    <w:rsid w:val="00743078"/>
    <w:rsid w:val="00745CC7"/>
    <w:rsid w:val="007461A2"/>
    <w:rsid w:val="0074692D"/>
    <w:rsid w:val="007519DC"/>
    <w:rsid w:val="00752732"/>
    <w:rsid w:val="00752D82"/>
    <w:rsid w:val="00753082"/>
    <w:rsid w:val="00754384"/>
    <w:rsid w:val="007555AA"/>
    <w:rsid w:val="00756DE1"/>
    <w:rsid w:val="00756E01"/>
    <w:rsid w:val="00757AE6"/>
    <w:rsid w:val="00762EE1"/>
    <w:rsid w:val="00763422"/>
    <w:rsid w:val="00765AE4"/>
    <w:rsid w:val="007722B4"/>
    <w:rsid w:val="00776FA1"/>
    <w:rsid w:val="00777917"/>
    <w:rsid w:val="007836AF"/>
    <w:rsid w:val="00783A80"/>
    <w:rsid w:val="007853A1"/>
    <w:rsid w:val="007869B2"/>
    <w:rsid w:val="007872EB"/>
    <w:rsid w:val="007873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B0249"/>
    <w:rsid w:val="007B0573"/>
    <w:rsid w:val="007B2389"/>
    <w:rsid w:val="007B6C2D"/>
    <w:rsid w:val="007B7E01"/>
    <w:rsid w:val="007C2306"/>
    <w:rsid w:val="007C3A84"/>
    <w:rsid w:val="007C3F39"/>
    <w:rsid w:val="007C4024"/>
    <w:rsid w:val="007C55BA"/>
    <w:rsid w:val="007C5AC6"/>
    <w:rsid w:val="007C5D11"/>
    <w:rsid w:val="007C7088"/>
    <w:rsid w:val="007D06AA"/>
    <w:rsid w:val="007D266C"/>
    <w:rsid w:val="007D29A4"/>
    <w:rsid w:val="007D3F90"/>
    <w:rsid w:val="007E0AD7"/>
    <w:rsid w:val="007E159C"/>
    <w:rsid w:val="007E187D"/>
    <w:rsid w:val="007E2124"/>
    <w:rsid w:val="007E2A37"/>
    <w:rsid w:val="007E2B41"/>
    <w:rsid w:val="007E4627"/>
    <w:rsid w:val="007E7D4A"/>
    <w:rsid w:val="007F310B"/>
    <w:rsid w:val="007F36E1"/>
    <w:rsid w:val="007F4013"/>
    <w:rsid w:val="007F69EC"/>
    <w:rsid w:val="007F74DE"/>
    <w:rsid w:val="007F78C5"/>
    <w:rsid w:val="007F7E7E"/>
    <w:rsid w:val="00803799"/>
    <w:rsid w:val="0080380B"/>
    <w:rsid w:val="00803C09"/>
    <w:rsid w:val="00807971"/>
    <w:rsid w:val="0081225D"/>
    <w:rsid w:val="008157D3"/>
    <w:rsid w:val="00816AC0"/>
    <w:rsid w:val="00816C75"/>
    <w:rsid w:val="00816C91"/>
    <w:rsid w:val="00820174"/>
    <w:rsid w:val="008203BE"/>
    <w:rsid w:val="008207C3"/>
    <w:rsid w:val="0082280A"/>
    <w:rsid w:val="0082482C"/>
    <w:rsid w:val="008257AA"/>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1765"/>
    <w:rsid w:val="00852B1C"/>
    <w:rsid w:val="00853A11"/>
    <w:rsid w:val="00853DBA"/>
    <w:rsid w:val="00854E2D"/>
    <w:rsid w:val="0085539B"/>
    <w:rsid w:val="0086105D"/>
    <w:rsid w:val="00863082"/>
    <w:rsid w:val="008632F7"/>
    <w:rsid w:val="00864AA1"/>
    <w:rsid w:val="008667A6"/>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1220"/>
    <w:rsid w:val="008A33EC"/>
    <w:rsid w:val="008A37E8"/>
    <w:rsid w:val="008A3DF8"/>
    <w:rsid w:val="008A3FA4"/>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5029"/>
    <w:rsid w:val="008F74DE"/>
    <w:rsid w:val="009017A9"/>
    <w:rsid w:val="00901FBA"/>
    <w:rsid w:val="00902066"/>
    <w:rsid w:val="00903432"/>
    <w:rsid w:val="0090478B"/>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30E61"/>
    <w:rsid w:val="009316DA"/>
    <w:rsid w:val="00931BE5"/>
    <w:rsid w:val="00931C3C"/>
    <w:rsid w:val="00931E05"/>
    <w:rsid w:val="009332DA"/>
    <w:rsid w:val="0093348D"/>
    <w:rsid w:val="0093406B"/>
    <w:rsid w:val="009340F3"/>
    <w:rsid w:val="00936D82"/>
    <w:rsid w:val="0093742D"/>
    <w:rsid w:val="00940F82"/>
    <w:rsid w:val="0094138F"/>
    <w:rsid w:val="0094175A"/>
    <w:rsid w:val="009420A4"/>
    <w:rsid w:val="00944B3C"/>
    <w:rsid w:val="009462A4"/>
    <w:rsid w:val="00946C0D"/>
    <w:rsid w:val="00946DA7"/>
    <w:rsid w:val="009475AC"/>
    <w:rsid w:val="00950243"/>
    <w:rsid w:val="00950B25"/>
    <w:rsid w:val="00951C4D"/>
    <w:rsid w:val="00954021"/>
    <w:rsid w:val="009542ED"/>
    <w:rsid w:val="0095435C"/>
    <w:rsid w:val="00955C73"/>
    <w:rsid w:val="00956C31"/>
    <w:rsid w:val="009576F1"/>
    <w:rsid w:val="00957AD4"/>
    <w:rsid w:val="00960C8E"/>
    <w:rsid w:val="00961A5A"/>
    <w:rsid w:val="00963083"/>
    <w:rsid w:val="009640DF"/>
    <w:rsid w:val="00964739"/>
    <w:rsid w:val="00966595"/>
    <w:rsid w:val="009668A7"/>
    <w:rsid w:val="00966C92"/>
    <w:rsid w:val="0096785B"/>
    <w:rsid w:val="00970558"/>
    <w:rsid w:val="009717BD"/>
    <w:rsid w:val="00972A04"/>
    <w:rsid w:val="009730CA"/>
    <w:rsid w:val="00973A3A"/>
    <w:rsid w:val="00976350"/>
    <w:rsid w:val="00977058"/>
    <w:rsid w:val="00977553"/>
    <w:rsid w:val="00981254"/>
    <w:rsid w:val="00981E94"/>
    <w:rsid w:val="009836C0"/>
    <w:rsid w:val="00983FFE"/>
    <w:rsid w:val="00984DC9"/>
    <w:rsid w:val="00984E11"/>
    <w:rsid w:val="00985432"/>
    <w:rsid w:val="0099321C"/>
    <w:rsid w:val="009945D7"/>
    <w:rsid w:val="00995465"/>
    <w:rsid w:val="009A03B0"/>
    <w:rsid w:val="009A07C4"/>
    <w:rsid w:val="009A15BC"/>
    <w:rsid w:val="009A3AB9"/>
    <w:rsid w:val="009A4C47"/>
    <w:rsid w:val="009A4CAE"/>
    <w:rsid w:val="009A575B"/>
    <w:rsid w:val="009A6048"/>
    <w:rsid w:val="009A63A7"/>
    <w:rsid w:val="009A6520"/>
    <w:rsid w:val="009B12F3"/>
    <w:rsid w:val="009B486D"/>
    <w:rsid w:val="009B5329"/>
    <w:rsid w:val="009B5BEE"/>
    <w:rsid w:val="009B6A91"/>
    <w:rsid w:val="009B7CD2"/>
    <w:rsid w:val="009C1F85"/>
    <w:rsid w:val="009C2427"/>
    <w:rsid w:val="009C2F69"/>
    <w:rsid w:val="009C4547"/>
    <w:rsid w:val="009C4BA5"/>
    <w:rsid w:val="009C60F1"/>
    <w:rsid w:val="009C61A8"/>
    <w:rsid w:val="009D03AC"/>
    <w:rsid w:val="009D062B"/>
    <w:rsid w:val="009D300C"/>
    <w:rsid w:val="009D477E"/>
    <w:rsid w:val="009D4787"/>
    <w:rsid w:val="009D5618"/>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5EBA"/>
    <w:rsid w:val="00A160B1"/>
    <w:rsid w:val="00A160FD"/>
    <w:rsid w:val="00A1647D"/>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EBE"/>
    <w:rsid w:val="00A90B0D"/>
    <w:rsid w:val="00A91640"/>
    <w:rsid w:val="00A9203E"/>
    <w:rsid w:val="00A93975"/>
    <w:rsid w:val="00A93EB8"/>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6FB"/>
    <w:rsid w:val="00AB684F"/>
    <w:rsid w:val="00AB73EB"/>
    <w:rsid w:val="00AB7D1D"/>
    <w:rsid w:val="00AC0770"/>
    <w:rsid w:val="00AC3C61"/>
    <w:rsid w:val="00AC4510"/>
    <w:rsid w:val="00AC4A42"/>
    <w:rsid w:val="00AC58E3"/>
    <w:rsid w:val="00AC59EA"/>
    <w:rsid w:val="00AC5AFF"/>
    <w:rsid w:val="00AC6762"/>
    <w:rsid w:val="00AC6EEC"/>
    <w:rsid w:val="00AC7375"/>
    <w:rsid w:val="00AC77BC"/>
    <w:rsid w:val="00AC7AF2"/>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6BA"/>
    <w:rsid w:val="00AF1828"/>
    <w:rsid w:val="00AF238D"/>
    <w:rsid w:val="00AF275D"/>
    <w:rsid w:val="00AF2D9C"/>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790F"/>
    <w:rsid w:val="00B102BA"/>
    <w:rsid w:val="00B10C70"/>
    <w:rsid w:val="00B11ABB"/>
    <w:rsid w:val="00B13BB5"/>
    <w:rsid w:val="00B15972"/>
    <w:rsid w:val="00B176C6"/>
    <w:rsid w:val="00B177A2"/>
    <w:rsid w:val="00B25541"/>
    <w:rsid w:val="00B263D2"/>
    <w:rsid w:val="00B26BBF"/>
    <w:rsid w:val="00B27692"/>
    <w:rsid w:val="00B27932"/>
    <w:rsid w:val="00B27A81"/>
    <w:rsid w:val="00B32288"/>
    <w:rsid w:val="00B324C6"/>
    <w:rsid w:val="00B34A6C"/>
    <w:rsid w:val="00B35B9B"/>
    <w:rsid w:val="00B35FB5"/>
    <w:rsid w:val="00B3603F"/>
    <w:rsid w:val="00B36963"/>
    <w:rsid w:val="00B37FCB"/>
    <w:rsid w:val="00B41E8D"/>
    <w:rsid w:val="00B421C2"/>
    <w:rsid w:val="00B4239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2AE2"/>
    <w:rsid w:val="00B72BD8"/>
    <w:rsid w:val="00B74779"/>
    <w:rsid w:val="00B75A5F"/>
    <w:rsid w:val="00B75FC0"/>
    <w:rsid w:val="00B77115"/>
    <w:rsid w:val="00B77212"/>
    <w:rsid w:val="00B806F3"/>
    <w:rsid w:val="00B8083C"/>
    <w:rsid w:val="00B80DE4"/>
    <w:rsid w:val="00B82BDF"/>
    <w:rsid w:val="00B83642"/>
    <w:rsid w:val="00B84876"/>
    <w:rsid w:val="00B8649C"/>
    <w:rsid w:val="00B86B03"/>
    <w:rsid w:val="00B92658"/>
    <w:rsid w:val="00B92BD0"/>
    <w:rsid w:val="00B931F7"/>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149C"/>
    <w:rsid w:val="00BD180A"/>
    <w:rsid w:val="00BD4535"/>
    <w:rsid w:val="00BD4BA8"/>
    <w:rsid w:val="00BD6B2E"/>
    <w:rsid w:val="00BE0560"/>
    <w:rsid w:val="00BE2448"/>
    <w:rsid w:val="00BE2C60"/>
    <w:rsid w:val="00BE42DA"/>
    <w:rsid w:val="00BE4FB1"/>
    <w:rsid w:val="00BE5B91"/>
    <w:rsid w:val="00BE705C"/>
    <w:rsid w:val="00BE722E"/>
    <w:rsid w:val="00BE73BC"/>
    <w:rsid w:val="00BF2C4C"/>
    <w:rsid w:val="00BF30DC"/>
    <w:rsid w:val="00BF6F4E"/>
    <w:rsid w:val="00C00140"/>
    <w:rsid w:val="00C0073E"/>
    <w:rsid w:val="00C04C84"/>
    <w:rsid w:val="00C1039C"/>
    <w:rsid w:val="00C105E8"/>
    <w:rsid w:val="00C109CC"/>
    <w:rsid w:val="00C128CA"/>
    <w:rsid w:val="00C14D90"/>
    <w:rsid w:val="00C15B5C"/>
    <w:rsid w:val="00C1722A"/>
    <w:rsid w:val="00C176E8"/>
    <w:rsid w:val="00C1771D"/>
    <w:rsid w:val="00C17870"/>
    <w:rsid w:val="00C2202D"/>
    <w:rsid w:val="00C22573"/>
    <w:rsid w:val="00C22E0F"/>
    <w:rsid w:val="00C23551"/>
    <w:rsid w:val="00C23EB1"/>
    <w:rsid w:val="00C247B4"/>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273F"/>
    <w:rsid w:val="00C62BB6"/>
    <w:rsid w:val="00C62D6B"/>
    <w:rsid w:val="00C645D2"/>
    <w:rsid w:val="00C652C2"/>
    <w:rsid w:val="00C65396"/>
    <w:rsid w:val="00C66CBA"/>
    <w:rsid w:val="00C70051"/>
    <w:rsid w:val="00C703B7"/>
    <w:rsid w:val="00C70D83"/>
    <w:rsid w:val="00C71248"/>
    <w:rsid w:val="00C726BA"/>
    <w:rsid w:val="00C72849"/>
    <w:rsid w:val="00C72B8E"/>
    <w:rsid w:val="00C73919"/>
    <w:rsid w:val="00C739A7"/>
    <w:rsid w:val="00C754AC"/>
    <w:rsid w:val="00C766E3"/>
    <w:rsid w:val="00C7749C"/>
    <w:rsid w:val="00C8009A"/>
    <w:rsid w:val="00C8135B"/>
    <w:rsid w:val="00C81D3C"/>
    <w:rsid w:val="00C83123"/>
    <w:rsid w:val="00C83BED"/>
    <w:rsid w:val="00C8566E"/>
    <w:rsid w:val="00C863B1"/>
    <w:rsid w:val="00C87BBA"/>
    <w:rsid w:val="00C87FF8"/>
    <w:rsid w:val="00C91A5C"/>
    <w:rsid w:val="00C92590"/>
    <w:rsid w:val="00C94DBD"/>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514C"/>
    <w:rsid w:val="00CC54F3"/>
    <w:rsid w:val="00CC5FC4"/>
    <w:rsid w:val="00CC6C27"/>
    <w:rsid w:val="00CD0A92"/>
    <w:rsid w:val="00CD23FD"/>
    <w:rsid w:val="00CD2420"/>
    <w:rsid w:val="00CD5D5E"/>
    <w:rsid w:val="00CD670C"/>
    <w:rsid w:val="00CD7E50"/>
    <w:rsid w:val="00CE2CC2"/>
    <w:rsid w:val="00CE35D2"/>
    <w:rsid w:val="00CE57F4"/>
    <w:rsid w:val="00CF0A1A"/>
    <w:rsid w:val="00CF3D54"/>
    <w:rsid w:val="00CF52B3"/>
    <w:rsid w:val="00CF57FF"/>
    <w:rsid w:val="00CF7AC6"/>
    <w:rsid w:val="00CF7F7D"/>
    <w:rsid w:val="00D00AF8"/>
    <w:rsid w:val="00D01479"/>
    <w:rsid w:val="00D01872"/>
    <w:rsid w:val="00D028D9"/>
    <w:rsid w:val="00D033C3"/>
    <w:rsid w:val="00D039D2"/>
    <w:rsid w:val="00D0503C"/>
    <w:rsid w:val="00D05169"/>
    <w:rsid w:val="00D06544"/>
    <w:rsid w:val="00D104D3"/>
    <w:rsid w:val="00D10B4B"/>
    <w:rsid w:val="00D10DDB"/>
    <w:rsid w:val="00D10DE1"/>
    <w:rsid w:val="00D1149F"/>
    <w:rsid w:val="00D123EC"/>
    <w:rsid w:val="00D15018"/>
    <w:rsid w:val="00D16F60"/>
    <w:rsid w:val="00D1784D"/>
    <w:rsid w:val="00D17AA8"/>
    <w:rsid w:val="00D2050C"/>
    <w:rsid w:val="00D21A2E"/>
    <w:rsid w:val="00D21C8D"/>
    <w:rsid w:val="00D21E4A"/>
    <w:rsid w:val="00D231C9"/>
    <w:rsid w:val="00D247CF"/>
    <w:rsid w:val="00D25107"/>
    <w:rsid w:val="00D26834"/>
    <w:rsid w:val="00D27283"/>
    <w:rsid w:val="00D27856"/>
    <w:rsid w:val="00D305A3"/>
    <w:rsid w:val="00D325A6"/>
    <w:rsid w:val="00D3374C"/>
    <w:rsid w:val="00D33D78"/>
    <w:rsid w:val="00D34097"/>
    <w:rsid w:val="00D361B3"/>
    <w:rsid w:val="00D40A65"/>
    <w:rsid w:val="00D4151A"/>
    <w:rsid w:val="00D41C6D"/>
    <w:rsid w:val="00D42F00"/>
    <w:rsid w:val="00D43244"/>
    <w:rsid w:val="00D4434E"/>
    <w:rsid w:val="00D44632"/>
    <w:rsid w:val="00D44842"/>
    <w:rsid w:val="00D45FF7"/>
    <w:rsid w:val="00D47704"/>
    <w:rsid w:val="00D47729"/>
    <w:rsid w:val="00D506A3"/>
    <w:rsid w:val="00D517B1"/>
    <w:rsid w:val="00D52D23"/>
    <w:rsid w:val="00D53430"/>
    <w:rsid w:val="00D53755"/>
    <w:rsid w:val="00D54883"/>
    <w:rsid w:val="00D54AF1"/>
    <w:rsid w:val="00D54EA7"/>
    <w:rsid w:val="00D558F8"/>
    <w:rsid w:val="00D574DB"/>
    <w:rsid w:val="00D5750B"/>
    <w:rsid w:val="00D601DF"/>
    <w:rsid w:val="00D60E6D"/>
    <w:rsid w:val="00D62DAA"/>
    <w:rsid w:val="00D640A1"/>
    <w:rsid w:val="00D642AA"/>
    <w:rsid w:val="00D66652"/>
    <w:rsid w:val="00D6699D"/>
    <w:rsid w:val="00D673BA"/>
    <w:rsid w:val="00D721D5"/>
    <w:rsid w:val="00D727FE"/>
    <w:rsid w:val="00D72C9E"/>
    <w:rsid w:val="00D7367A"/>
    <w:rsid w:val="00D73CBE"/>
    <w:rsid w:val="00D74468"/>
    <w:rsid w:val="00D74CD8"/>
    <w:rsid w:val="00D75155"/>
    <w:rsid w:val="00D75E05"/>
    <w:rsid w:val="00D76005"/>
    <w:rsid w:val="00D763A5"/>
    <w:rsid w:val="00D76B01"/>
    <w:rsid w:val="00D76B7E"/>
    <w:rsid w:val="00D77398"/>
    <w:rsid w:val="00D802CC"/>
    <w:rsid w:val="00D82491"/>
    <w:rsid w:val="00D826F1"/>
    <w:rsid w:val="00D82D3E"/>
    <w:rsid w:val="00D859B6"/>
    <w:rsid w:val="00D863EE"/>
    <w:rsid w:val="00D94E22"/>
    <w:rsid w:val="00D957DB"/>
    <w:rsid w:val="00D95A79"/>
    <w:rsid w:val="00D962A6"/>
    <w:rsid w:val="00D97CD6"/>
    <w:rsid w:val="00DA2921"/>
    <w:rsid w:val="00DA2D66"/>
    <w:rsid w:val="00DA4EE5"/>
    <w:rsid w:val="00DA59C4"/>
    <w:rsid w:val="00DA660C"/>
    <w:rsid w:val="00DA67F8"/>
    <w:rsid w:val="00DB1B1D"/>
    <w:rsid w:val="00DB232D"/>
    <w:rsid w:val="00DB2BBE"/>
    <w:rsid w:val="00DB4CB2"/>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D003C"/>
    <w:rsid w:val="00DD0215"/>
    <w:rsid w:val="00DD15C2"/>
    <w:rsid w:val="00DD4075"/>
    <w:rsid w:val="00DD48AA"/>
    <w:rsid w:val="00DD5D74"/>
    <w:rsid w:val="00DD740C"/>
    <w:rsid w:val="00DD759F"/>
    <w:rsid w:val="00DD76B3"/>
    <w:rsid w:val="00DE00B1"/>
    <w:rsid w:val="00DE3EC4"/>
    <w:rsid w:val="00DE440A"/>
    <w:rsid w:val="00DF01D8"/>
    <w:rsid w:val="00DF023B"/>
    <w:rsid w:val="00DF216D"/>
    <w:rsid w:val="00DF2783"/>
    <w:rsid w:val="00DF2F64"/>
    <w:rsid w:val="00DF304D"/>
    <w:rsid w:val="00DF32C7"/>
    <w:rsid w:val="00DF41B6"/>
    <w:rsid w:val="00DF4435"/>
    <w:rsid w:val="00DF4958"/>
    <w:rsid w:val="00DF4C5B"/>
    <w:rsid w:val="00DF5A57"/>
    <w:rsid w:val="00DF605F"/>
    <w:rsid w:val="00DF63DC"/>
    <w:rsid w:val="00DF64DC"/>
    <w:rsid w:val="00DF68B5"/>
    <w:rsid w:val="00DF6B46"/>
    <w:rsid w:val="00DF6CE3"/>
    <w:rsid w:val="00E0114E"/>
    <w:rsid w:val="00E02D7B"/>
    <w:rsid w:val="00E03B99"/>
    <w:rsid w:val="00E04A38"/>
    <w:rsid w:val="00E04C2C"/>
    <w:rsid w:val="00E04E6B"/>
    <w:rsid w:val="00E0504F"/>
    <w:rsid w:val="00E05BE1"/>
    <w:rsid w:val="00E07293"/>
    <w:rsid w:val="00E0742F"/>
    <w:rsid w:val="00E13713"/>
    <w:rsid w:val="00E13926"/>
    <w:rsid w:val="00E14476"/>
    <w:rsid w:val="00E1463E"/>
    <w:rsid w:val="00E14AD3"/>
    <w:rsid w:val="00E14D14"/>
    <w:rsid w:val="00E1578C"/>
    <w:rsid w:val="00E1597A"/>
    <w:rsid w:val="00E15B46"/>
    <w:rsid w:val="00E16133"/>
    <w:rsid w:val="00E16F02"/>
    <w:rsid w:val="00E16FF9"/>
    <w:rsid w:val="00E17ADF"/>
    <w:rsid w:val="00E20A80"/>
    <w:rsid w:val="00E218E7"/>
    <w:rsid w:val="00E25248"/>
    <w:rsid w:val="00E25D3C"/>
    <w:rsid w:val="00E306F2"/>
    <w:rsid w:val="00E32000"/>
    <w:rsid w:val="00E32FCA"/>
    <w:rsid w:val="00E33234"/>
    <w:rsid w:val="00E33739"/>
    <w:rsid w:val="00E34283"/>
    <w:rsid w:val="00E37BB7"/>
    <w:rsid w:val="00E37EFF"/>
    <w:rsid w:val="00E40482"/>
    <w:rsid w:val="00E40A18"/>
    <w:rsid w:val="00E40AE1"/>
    <w:rsid w:val="00E42D1D"/>
    <w:rsid w:val="00E449BB"/>
    <w:rsid w:val="00E501D0"/>
    <w:rsid w:val="00E51154"/>
    <w:rsid w:val="00E51F42"/>
    <w:rsid w:val="00E52688"/>
    <w:rsid w:val="00E549FC"/>
    <w:rsid w:val="00E5603A"/>
    <w:rsid w:val="00E5788E"/>
    <w:rsid w:val="00E57F03"/>
    <w:rsid w:val="00E57F79"/>
    <w:rsid w:val="00E62348"/>
    <w:rsid w:val="00E631DA"/>
    <w:rsid w:val="00E6460B"/>
    <w:rsid w:val="00E64934"/>
    <w:rsid w:val="00E66577"/>
    <w:rsid w:val="00E672D7"/>
    <w:rsid w:val="00E676FB"/>
    <w:rsid w:val="00E700F4"/>
    <w:rsid w:val="00E7030C"/>
    <w:rsid w:val="00E7072E"/>
    <w:rsid w:val="00E709F0"/>
    <w:rsid w:val="00E716A6"/>
    <w:rsid w:val="00E71815"/>
    <w:rsid w:val="00E71AB1"/>
    <w:rsid w:val="00E7498C"/>
    <w:rsid w:val="00E7580C"/>
    <w:rsid w:val="00E76FC6"/>
    <w:rsid w:val="00E775E4"/>
    <w:rsid w:val="00E776D1"/>
    <w:rsid w:val="00E77D0A"/>
    <w:rsid w:val="00E80001"/>
    <w:rsid w:val="00E8142A"/>
    <w:rsid w:val="00E82508"/>
    <w:rsid w:val="00E82726"/>
    <w:rsid w:val="00E832AA"/>
    <w:rsid w:val="00E83AA7"/>
    <w:rsid w:val="00E83B05"/>
    <w:rsid w:val="00E83DC7"/>
    <w:rsid w:val="00E85D10"/>
    <w:rsid w:val="00E9492A"/>
    <w:rsid w:val="00E9608E"/>
    <w:rsid w:val="00E97062"/>
    <w:rsid w:val="00E97918"/>
    <w:rsid w:val="00EA0935"/>
    <w:rsid w:val="00EA0AFD"/>
    <w:rsid w:val="00EA16F9"/>
    <w:rsid w:val="00EA2042"/>
    <w:rsid w:val="00EA2D6A"/>
    <w:rsid w:val="00EA3CE0"/>
    <w:rsid w:val="00EA3D9B"/>
    <w:rsid w:val="00EA6931"/>
    <w:rsid w:val="00EB1A74"/>
    <w:rsid w:val="00EB34A0"/>
    <w:rsid w:val="00EB4579"/>
    <w:rsid w:val="00EB45EB"/>
    <w:rsid w:val="00EB4B93"/>
    <w:rsid w:val="00EB5410"/>
    <w:rsid w:val="00EB5C80"/>
    <w:rsid w:val="00EC077F"/>
    <w:rsid w:val="00EC0AF2"/>
    <w:rsid w:val="00EC0C39"/>
    <w:rsid w:val="00EC0C44"/>
    <w:rsid w:val="00EC2099"/>
    <w:rsid w:val="00EC281A"/>
    <w:rsid w:val="00EC2AAC"/>
    <w:rsid w:val="00EC4847"/>
    <w:rsid w:val="00EC4C25"/>
    <w:rsid w:val="00EC503E"/>
    <w:rsid w:val="00EC5D2C"/>
    <w:rsid w:val="00EC6A6C"/>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2EA5"/>
    <w:rsid w:val="00EE4D3F"/>
    <w:rsid w:val="00EE5855"/>
    <w:rsid w:val="00EE5E36"/>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46C1"/>
    <w:rsid w:val="00F0482F"/>
    <w:rsid w:val="00F05603"/>
    <w:rsid w:val="00F060CE"/>
    <w:rsid w:val="00F068F1"/>
    <w:rsid w:val="00F07C8C"/>
    <w:rsid w:val="00F1128C"/>
    <w:rsid w:val="00F12C3F"/>
    <w:rsid w:val="00F13D97"/>
    <w:rsid w:val="00F14254"/>
    <w:rsid w:val="00F14263"/>
    <w:rsid w:val="00F1715D"/>
    <w:rsid w:val="00F218D5"/>
    <w:rsid w:val="00F21914"/>
    <w:rsid w:val="00F21EA1"/>
    <w:rsid w:val="00F2536D"/>
    <w:rsid w:val="00F25A9A"/>
    <w:rsid w:val="00F25BBF"/>
    <w:rsid w:val="00F26C62"/>
    <w:rsid w:val="00F27F61"/>
    <w:rsid w:val="00F30141"/>
    <w:rsid w:val="00F318B0"/>
    <w:rsid w:val="00F31F6F"/>
    <w:rsid w:val="00F323A7"/>
    <w:rsid w:val="00F33CB8"/>
    <w:rsid w:val="00F33E5C"/>
    <w:rsid w:val="00F33F07"/>
    <w:rsid w:val="00F349CB"/>
    <w:rsid w:val="00F37F7A"/>
    <w:rsid w:val="00F4034D"/>
    <w:rsid w:val="00F40730"/>
    <w:rsid w:val="00F42919"/>
    <w:rsid w:val="00F43D97"/>
    <w:rsid w:val="00F43E90"/>
    <w:rsid w:val="00F446AF"/>
    <w:rsid w:val="00F451E1"/>
    <w:rsid w:val="00F4729F"/>
    <w:rsid w:val="00F47643"/>
    <w:rsid w:val="00F47FA7"/>
    <w:rsid w:val="00F51702"/>
    <w:rsid w:val="00F54036"/>
    <w:rsid w:val="00F54878"/>
    <w:rsid w:val="00F55149"/>
    <w:rsid w:val="00F56A93"/>
    <w:rsid w:val="00F5728F"/>
    <w:rsid w:val="00F60AD5"/>
    <w:rsid w:val="00F61D0C"/>
    <w:rsid w:val="00F61F3E"/>
    <w:rsid w:val="00F62851"/>
    <w:rsid w:val="00F63036"/>
    <w:rsid w:val="00F634FC"/>
    <w:rsid w:val="00F655BF"/>
    <w:rsid w:val="00F658E5"/>
    <w:rsid w:val="00F65949"/>
    <w:rsid w:val="00F662A7"/>
    <w:rsid w:val="00F66AB6"/>
    <w:rsid w:val="00F66FD6"/>
    <w:rsid w:val="00F70E08"/>
    <w:rsid w:val="00F72278"/>
    <w:rsid w:val="00F7259A"/>
    <w:rsid w:val="00F73036"/>
    <w:rsid w:val="00F7545D"/>
    <w:rsid w:val="00F81122"/>
    <w:rsid w:val="00F81329"/>
    <w:rsid w:val="00F81559"/>
    <w:rsid w:val="00F82303"/>
    <w:rsid w:val="00F82CD9"/>
    <w:rsid w:val="00F84A8A"/>
    <w:rsid w:val="00F85FAB"/>
    <w:rsid w:val="00F870B8"/>
    <w:rsid w:val="00F90E5B"/>
    <w:rsid w:val="00F93996"/>
    <w:rsid w:val="00F9498F"/>
    <w:rsid w:val="00F94F20"/>
    <w:rsid w:val="00F95B7E"/>
    <w:rsid w:val="00FA0666"/>
    <w:rsid w:val="00FA2145"/>
    <w:rsid w:val="00FA274E"/>
    <w:rsid w:val="00FA2BD3"/>
    <w:rsid w:val="00FA3E8E"/>
    <w:rsid w:val="00FA42E9"/>
    <w:rsid w:val="00FA4BC8"/>
    <w:rsid w:val="00FA4EC3"/>
    <w:rsid w:val="00FA5E1D"/>
    <w:rsid w:val="00FB0635"/>
    <w:rsid w:val="00FB11AA"/>
    <w:rsid w:val="00FB1E75"/>
    <w:rsid w:val="00FB33F5"/>
    <w:rsid w:val="00FC2E25"/>
    <w:rsid w:val="00FC3BF2"/>
    <w:rsid w:val="00FC7610"/>
    <w:rsid w:val="00FC7F1E"/>
    <w:rsid w:val="00FD03C9"/>
    <w:rsid w:val="00FD06EC"/>
    <w:rsid w:val="00FD0F99"/>
    <w:rsid w:val="00FD3A0B"/>
    <w:rsid w:val="00FD48DC"/>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2D3A25"/>
    <w:rsid w:val="01653082"/>
    <w:rsid w:val="0177122F"/>
    <w:rsid w:val="01A51E8A"/>
    <w:rsid w:val="01C24E01"/>
    <w:rsid w:val="02341D2A"/>
    <w:rsid w:val="027361A2"/>
    <w:rsid w:val="028E3C74"/>
    <w:rsid w:val="02F1192F"/>
    <w:rsid w:val="032C4D22"/>
    <w:rsid w:val="035E02DE"/>
    <w:rsid w:val="038414D8"/>
    <w:rsid w:val="03C929A9"/>
    <w:rsid w:val="041C7CB0"/>
    <w:rsid w:val="04542CD1"/>
    <w:rsid w:val="045A4C30"/>
    <w:rsid w:val="049668CF"/>
    <w:rsid w:val="04BB1D87"/>
    <w:rsid w:val="05E22441"/>
    <w:rsid w:val="05F2138A"/>
    <w:rsid w:val="05F26F9A"/>
    <w:rsid w:val="067C7CBB"/>
    <w:rsid w:val="06C522AA"/>
    <w:rsid w:val="06FD2E75"/>
    <w:rsid w:val="07171C81"/>
    <w:rsid w:val="0720306C"/>
    <w:rsid w:val="074B5E4C"/>
    <w:rsid w:val="075A14EB"/>
    <w:rsid w:val="07813558"/>
    <w:rsid w:val="0806701C"/>
    <w:rsid w:val="08122FE0"/>
    <w:rsid w:val="081E6C33"/>
    <w:rsid w:val="08234049"/>
    <w:rsid w:val="08256240"/>
    <w:rsid w:val="08503A6B"/>
    <w:rsid w:val="085E144C"/>
    <w:rsid w:val="085F500C"/>
    <w:rsid w:val="08B139F4"/>
    <w:rsid w:val="08DB40D3"/>
    <w:rsid w:val="08E93512"/>
    <w:rsid w:val="090652EF"/>
    <w:rsid w:val="091937E1"/>
    <w:rsid w:val="0926526C"/>
    <w:rsid w:val="09292C09"/>
    <w:rsid w:val="09443782"/>
    <w:rsid w:val="09466F9E"/>
    <w:rsid w:val="099B4D46"/>
    <w:rsid w:val="09DB6B15"/>
    <w:rsid w:val="0A661BEC"/>
    <w:rsid w:val="0A974141"/>
    <w:rsid w:val="0A9B024A"/>
    <w:rsid w:val="0ABC0BBA"/>
    <w:rsid w:val="0ACA5040"/>
    <w:rsid w:val="0ACC58A6"/>
    <w:rsid w:val="0C455E4D"/>
    <w:rsid w:val="0C593C96"/>
    <w:rsid w:val="0CA978E5"/>
    <w:rsid w:val="0CE71744"/>
    <w:rsid w:val="0CFC49FF"/>
    <w:rsid w:val="0D032FEF"/>
    <w:rsid w:val="0D0F2A01"/>
    <w:rsid w:val="0D344F62"/>
    <w:rsid w:val="0D566C31"/>
    <w:rsid w:val="0D8B6485"/>
    <w:rsid w:val="0D954DD1"/>
    <w:rsid w:val="0D9B2DFA"/>
    <w:rsid w:val="0E0F5ED0"/>
    <w:rsid w:val="0E2C153B"/>
    <w:rsid w:val="0E3C3FBC"/>
    <w:rsid w:val="0E3D1FBA"/>
    <w:rsid w:val="0E740908"/>
    <w:rsid w:val="0E7B2D23"/>
    <w:rsid w:val="0F28184F"/>
    <w:rsid w:val="0F390158"/>
    <w:rsid w:val="0F53679A"/>
    <w:rsid w:val="0F9F2801"/>
    <w:rsid w:val="1025588C"/>
    <w:rsid w:val="102638EF"/>
    <w:rsid w:val="105D43A7"/>
    <w:rsid w:val="10FB206F"/>
    <w:rsid w:val="11415174"/>
    <w:rsid w:val="11B17200"/>
    <w:rsid w:val="12016EF0"/>
    <w:rsid w:val="12772F79"/>
    <w:rsid w:val="12BE7C49"/>
    <w:rsid w:val="133C69CE"/>
    <w:rsid w:val="13B56934"/>
    <w:rsid w:val="13C24AD0"/>
    <w:rsid w:val="13E91FBF"/>
    <w:rsid w:val="142344D0"/>
    <w:rsid w:val="14304765"/>
    <w:rsid w:val="143B6EA3"/>
    <w:rsid w:val="146B10C3"/>
    <w:rsid w:val="14EF5683"/>
    <w:rsid w:val="14F864ED"/>
    <w:rsid w:val="161126E5"/>
    <w:rsid w:val="165976AF"/>
    <w:rsid w:val="16615545"/>
    <w:rsid w:val="166A1F56"/>
    <w:rsid w:val="16971CF1"/>
    <w:rsid w:val="16A15A11"/>
    <w:rsid w:val="16E01D14"/>
    <w:rsid w:val="16F04865"/>
    <w:rsid w:val="170F0A85"/>
    <w:rsid w:val="177617BE"/>
    <w:rsid w:val="17834C1C"/>
    <w:rsid w:val="17FF0778"/>
    <w:rsid w:val="187A3419"/>
    <w:rsid w:val="189C0871"/>
    <w:rsid w:val="19186721"/>
    <w:rsid w:val="19B946FD"/>
    <w:rsid w:val="19BB7719"/>
    <w:rsid w:val="19D97744"/>
    <w:rsid w:val="19FC3FD6"/>
    <w:rsid w:val="1A1DA7C1"/>
    <w:rsid w:val="1A2B59C4"/>
    <w:rsid w:val="1A804EC7"/>
    <w:rsid w:val="1A8563C8"/>
    <w:rsid w:val="1A9E2095"/>
    <w:rsid w:val="1AF06321"/>
    <w:rsid w:val="1B0077FC"/>
    <w:rsid w:val="1B5832CE"/>
    <w:rsid w:val="1BA76B79"/>
    <w:rsid w:val="1BAF2A04"/>
    <w:rsid w:val="1BC1209C"/>
    <w:rsid w:val="1BE51D1C"/>
    <w:rsid w:val="1BF82ED8"/>
    <w:rsid w:val="1C11473E"/>
    <w:rsid w:val="1C182F3B"/>
    <w:rsid w:val="1C246950"/>
    <w:rsid w:val="1C4B56BA"/>
    <w:rsid w:val="1C5D372B"/>
    <w:rsid w:val="1C6E7210"/>
    <w:rsid w:val="1CCF10A1"/>
    <w:rsid w:val="1D364BB6"/>
    <w:rsid w:val="1D6C09D7"/>
    <w:rsid w:val="1D8B71D5"/>
    <w:rsid w:val="1D8C2C74"/>
    <w:rsid w:val="1DAB5AB9"/>
    <w:rsid w:val="1DB71BBB"/>
    <w:rsid w:val="1E4D771D"/>
    <w:rsid w:val="1E6DA088"/>
    <w:rsid w:val="1E6E10AB"/>
    <w:rsid w:val="1E773AB6"/>
    <w:rsid w:val="1ED420C5"/>
    <w:rsid w:val="1EE54FDD"/>
    <w:rsid w:val="1F27643D"/>
    <w:rsid w:val="1F724766"/>
    <w:rsid w:val="1FE734F3"/>
    <w:rsid w:val="1FE77FCA"/>
    <w:rsid w:val="2027526B"/>
    <w:rsid w:val="204019CC"/>
    <w:rsid w:val="2068573B"/>
    <w:rsid w:val="20C368CF"/>
    <w:rsid w:val="210A1A63"/>
    <w:rsid w:val="21A71388"/>
    <w:rsid w:val="21E27297"/>
    <w:rsid w:val="21F34AE6"/>
    <w:rsid w:val="220E5B1B"/>
    <w:rsid w:val="221C28CA"/>
    <w:rsid w:val="222B17FB"/>
    <w:rsid w:val="22392389"/>
    <w:rsid w:val="224710BF"/>
    <w:rsid w:val="22C063E1"/>
    <w:rsid w:val="22C23B07"/>
    <w:rsid w:val="22C736B1"/>
    <w:rsid w:val="23074A7C"/>
    <w:rsid w:val="231E0BF3"/>
    <w:rsid w:val="237409B3"/>
    <w:rsid w:val="237E4AE2"/>
    <w:rsid w:val="23FF59BB"/>
    <w:rsid w:val="246433D2"/>
    <w:rsid w:val="24780FDD"/>
    <w:rsid w:val="24822062"/>
    <w:rsid w:val="24FC7917"/>
    <w:rsid w:val="251E50D3"/>
    <w:rsid w:val="258B6DE3"/>
    <w:rsid w:val="25CF6559"/>
    <w:rsid w:val="25FB0620"/>
    <w:rsid w:val="26012CDD"/>
    <w:rsid w:val="262940F3"/>
    <w:rsid w:val="265377E3"/>
    <w:rsid w:val="266E675C"/>
    <w:rsid w:val="267020A2"/>
    <w:rsid w:val="26910428"/>
    <w:rsid w:val="26AE3D70"/>
    <w:rsid w:val="26F5350F"/>
    <w:rsid w:val="271600D4"/>
    <w:rsid w:val="27653419"/>
    <w:rsid w:val="2792337D"/>
    <w:rsid w:val="27B65FBB"/>
    <w:rsid w:val="28031C3E"/>
    <w:rsid w:val="28090196"/>
    <w:rsid w:val="28927481"/>
    <w:rsid w:val="29116B87"/>
    <w:rsid w:val="29970631"/>
    <w:rsid w:val="299A6941"/>
    <w:rsid w:val="299B7CEB"/>
    <w:rsid w:val="29C4745C"/>
    <w:rsid w:val="29CE24E7"/>
    <w:rsid w:val="2A547D58"/>
    <w:rsid w:val="2A6C223D"/>
    <w:rsid w:val="2A706CFE"/>
    <w:rsid w:val="2A7C43E5"/>
    <w:rsid w:val="2A7F4333"/>
    <w:rsid w:val="2AB2666F"/>
    <w:rsid w:val="2ABD2793"/>
    <w:rsid w:val="2B0B2DA8"/>
    <w:rsid w:val="2B5B3A06"/>
    <w:rsid w:val="2B6A10EE"/>
    <w:rsid w:val="2CBE5396"/>
    <w:rsid w:val="2CBE9A02"/>
    <w:rsid w:val="2CC43900"/>
    <w:rsid w:val="2CC60283"/>
    <w:rsid w:val="2CF34544"/>
    <w:rsid w:val="2D804CB1"/>
    <w:rsid w:val="2DC8596B"/>
    <w:rsid w:val="2DFFF615"/>
    <w:rsid w:val="2E270F01"/>
    <w:rsid w:val="2E33424C"/>
    <w:rsid w:val="2E73541B"/>
    <w:rsid w:val="2EDD163D"/>
    <w:rsid w:val="2EEC7C36"/>
    <w:rsid w:val="2F197A15"/>
    <w:rsid w:val="2F37641D"/>
    <w:rsid w:val="2F44590F"/>
    <w:rsid w:val="2F7B7C19"/>
    <w:rsid w:val="2F8921ED"/>
    <w:rsid w:val="303B755E"/>
    <w:rsid w:val="30403272"/>
    <w:rsid w:val="30630637"/>
    <w:rsid w:val="30B21CEB"/>
    <w:rsid w:val="30D818E8"/>
    <w:rsid w:val="30E31201"/>
    <w:rsid w:val="30F540A9"/>
    <w:rsid w:val="31752FEE"/>
    <w:rsid w:val="318F45C6"/>
    <w:rsid w:val="31BA1094"/>
    <w:rsid w:val="31D34BF0"/>
    <w:rsid w:val="31D7564F"/>
    <w:rsid w:val="31FC546F"/>
    <w:rsid w:val="320C04F7"/>
    <w:rsid w:val="320D5A13"/>
    <w:rsid w:val="32505C4B"/>
    <w:rsid w:val="326602A5"/>
    <w:rsid w:val="32B42EB4"/>
    <w:rsid w:val="32C9763C"/>
    <w:rsid w:val="32CC60FB"/>
    <w:rsid w:val="32E82A97"/>
    <w:rsid w:val="334F4866"/>
    <w:rsid w:val="335425AD"/>
    <w:rsid w:val="3360282E"/>
    <w:rsid w:val="33613DD7"/>
    <w:rsid w:val="33AA3F45"/>
    <w:rsid w:val="33E85F03"/>
    <w:rsid w:val="349B4E39"/>
    <w:rsid w:val="34CC4049"/>
    <w:rsid w:val="35105848"/>
    <w:rsid w:val="351A33A9"/>
    <w:rsid w:val="357C0CDE"/>
    <w:rsid w:val="357C65CB"/>
    <w:rsid w:val="35E4397E"/>
    <w:rsid w:val="3719300D"/>
    <w:rsid w:val="37321C86"/>
    <w:rsid w:val="3736348A"/>
    <w:rsid w:val="375E61D9"/>
    <w:rsid w:val="378D4D8B"/>
    <w:rsid w:val="37A525EE"/>
    <w:rsid w:val="37A537E5"/>
    <w:rsid w:val="37A784FC"/>
    <w:rsid w:val="37AA558E"/>
    <w:rsid w:val="37AD2D9F"/>
    <w:rsid w:val="3872527C"/>
    <w:rsid w:val="389C406E"/>
    <w:rsid w:val="38D83D46"/>
    <w:rsid w:val="38DC24E7"/>
    <w:rsid w:val="38DD400D"/>
    <w:rsid w:val="38E40B34"/>
    <w:rsid w:val="39517098"/>
    <w:rsid w:val="398C294A"/>
    <w:rsid w:val="398F421A"/>
    <w:rsid w:val="39955922"/>
    <w:rsid w:val="39AD05D8"/>
    <w:rsid w:val="39EA1CAF"/>
    <w:rsid w:val="3A474D18"/>
    <w:rsid w:val="3A723576"/>
    <w:rsid w:val="3A9D7E92"/>
    <w:rsid w:val="3A9E6A8B"/>
    <w:rsid w:val="3ABF34DC"/>
    <w:rsid w:val="3AE00E3C"/>
    <w:rsid w:val="3AFF1566"/>
    <w:rsid w:val="3B254B31"/>
    <w:rsid w:val="3B3807CF"/>
    <w:rsid w:val="3B3E21C7"/>
    <w:rsid w:val="3B570A9E"/>
    <w:rsid w:val="3B792763"/>
    <w:rsid w:val="3B873BA3"/>
    <w:rsid w:val="3BBE7837"/>
    <w:rsid w:val="3BEDD179"/>
    <w:rsid w:val="3C0201DA"/>
    <w:rsid w:val="3C2C120B"/>
    <w:rsid w:val="3CCA17F1"/>
    <w:rsid w:val="3D2B1C42"/>
    <w:rsid w:val="3D2C00D6"/>
    <w:rsid w:val="3D804233"/>
    <w:rsid w:val="3DB21666"/>
    <w:rsid w:val="3DF7E8AA"/>
    <w:rsid w:val="3E0E1B05"/>
    <w:rsid w:val="3E2F4622"/>
    <w:rsid w:val="3E735452"/>
    <w:rsid w:val="3E830483"/>
    <w:rsid w:val="3EFD48F6"/>
    <w:rsid w:val="3F151053"/>
    <w:rsid w:val="3F2D2350"/>
    <w:rsid w:val="3F32094C"/>
    <w:rsid w:val="3F371C7A"/>
    <w:rsid w:val="3F374F28"/>
    <w:rsid w:val="3F9D0B16"/>
    <w:rsid w:val="3F9E6F8D"/>
    <w:rsid w:val="3FC55D7F"/>
    <w:rsid w:val="3FFEB543"/>
    <w:rsid w:val="3FFFFBBE"/>
    <w:rsid w:val="40517E0D"/>
    <w:rsid w:val="4132723C"/>
    <w:rsid w:val="416C5CCB"/>
    <w:rsid w:val="4170052D"/>
    <w:rsid w:val="417F42CC"/>
    <w:rsid w:val="41892E00"/>
    <w:rsid w:val="41F1307E"/>
    <w:rsid w:val="420311B6"/>
    <w:rsid w:val="42B41E77"/>
    <w:rsid w:val="42C703F3"/>
    <w:rsid w:val="42D633BD"/>
    <w:rsid w:val="42E94CB8"/>
    <w:rsid w:val="432439DA"/>
    <w:rsid w:val="432D75F3"/>
    <w:rsid w:val="43565B34"/>
    <w:rsid w:val="436A6192"/>
    <w:rsid w:val="43AE6EA7"/>
    <w:rsid w:val="43EE59F5"/>
    <w:rsid w:val="43EF05D2"/>
    <w:rsid w:val="441000AA"/>
    <w:rsid w:val="441526C9"/>
    <w:rsid w:val="44542E71"/>
    <w:rsid w:val="44C67067"/>
    <w:rsid w:val="44F86C12"/>
    <w:rsid w:val="45A46D27"/>
    <w:rsid w:val="45AD2BE1"/>
    <w:rsid w:val="46623CEE"/>
    <w:rsid w:val="46DC1E55"/>
    <w:rsid w:val="46FC4477"/>
    <w:rsid w:val="47213E85"/>
    <w:rsid w:val="47925299"/>
    <w:rsid w:val="47945FDF"/>
    <w:rsid w:val="47A9313F"/>
    <w:rsid w:val="47AF20B0"/>
    <w:rsid w:val="4820016B"/>
    <w:rsid w:val="487F6A26"/>
    <w:rsid w:val="4897228A"/>
    <w:rsid w:val="48B3414B"/>
    <w:rsid w:val="49211F77"/>
    <w:rsid w:val="49571754"/>
    <w:rsid w:val="49D03B24"/>
    <w:rsid w:val="49F168FF"/>
    <w:rsid w:val="4A1033F0"/>
    <w:rsid w:val="4A3076B5"/>
    <w:rsid w:val="4A3C0DAC"/>
    <w:rsid w:val="4A71306B"/>
    <w:rsid w:val="4A7571B3"/>
    <w:rsid w:val="4ADD4EF3"/>
    <w:rsid w:val="4AE56B61"/>
    <w:rsid w:val="4B4B5A6A"/>
    <w:rsid w:val="4B6E7574"/>
    <w:rsid w:val="4C5466A0"/>
    <w:rsid w:val="4C981247"/>
    <w:rsid w:val="4CE722B4"/>
    <w:rsid w:val="4CF07BB0"/>
    <w:rsid w:val="4D1350FB"/>
    <w:rsid w:val="4D225B57"/>
    <w:rsid w:val="4D6E2844"/>
    <w:rsid w:val="4E3A3DAE"/>
    <w:rsid w:val="4EE96249"/>
    <w:rsid w:val="4F577CD7"/>
    <w:rsid w:val="4F626FA1"/>
    <w:rsid w:val="4F7147CF"/>
    <w:rsid w:val="4F7B3091"/>
    <w:rsid w:val="4FFD8404"/>
    <w:rsid w:val="50611028"/>
    <w:rsid w:val="506F7248"/>
    <w:rsid w:val="507C6D8E"/>
    <w:rsid w:val="508108BA"/>
    <w:rsid w:val="50847526"/>
    <w:rsid w:val="50A266B5"/>
    <w:rsid w:val="50E16A56"/>
    <w:rsid w:val="513B380C"/>
    <w:rsid w:val="51B9183E"/>
    <w:rsid w:val="51C27F32"/>
    <w:rsid w:val="521A765A"/>
    <w:rsid w:val="523C02CF"/>
    <w:rsid w:val="5297682B"/>
    <w:rsid w:val="52A97EC3"/>
    <w:rsid w:val="52C40D55"/>
    <w:rsid w:val="52CA631E"/>
    <w:rsid w:val="52F62635"/>
    <w:rsid w:val="53817C7B"/>
    <w:rsid w:val="53887BD9"/>
    <w:rsid w:val="539B30C5"/>
    <w:rsid w:val="53AA0CEC"/>
    <w:rsid w:val="53C625A3"/>
    <w:rsid w:val="53E20746"/>
    <w:rsid w:val="542A7705"/>
    <w:rsid w:val="545D7B40"/>
    <w:rsid w:val="545F36D3"/>
    <w:rsid w:val="54890A66"/>
    <w:rsid w:val="549D5FFA"/>
    <w:rsid w:val="54C91A7A"/>
    <w:rsid w:val="54D50974"/>
    <w:rsid w:val="551D671C"/>
    <w:rsid w:val="55231967"/>
    <w:rsid w:val="5544479C"/>
    <w:rsid w:val="556D336B"/>
    <w:rsid w:val="5572174A"/>
    <w:rsid w:val="55880576"/>
    <w:rsid w:val="55DE36CB"/>
    <w:rsid w:val="55EC2A7E"/>
    <w:rsid w:val="567000F9"/>
    <w:rsid w:val="568B2A0A"/>
    <w:rsid w:val="569061FA"/>
    <w:rsid w:val="56980407"/>
    <w:rsid w:val="56D7133F"/>
    <w:rsid w:val="5759285A"/>
    <w:rsid w:val="57A80998"/>
    <w:rsid w:val="57CB665C"/>
    <w:rsid w:val="57FA6344"/>
    <w:rsid w:val="580B14CE"/>
    <w:rsid w:val="583C4CB4"/>
    <w:rsid w:val="58401A79"/>
    <w:rsid w:val="58452660"/>
    <w:rsid w:val="585A68CB"/>
    <w:rsid w:val="586B6575"/>
    <w:rsid w:val="58831E04"/>
    <w:rsid w:val="58A8086E"/>
    <w:rsid w:val="58BE6AF4"/>
    <w:rsid w:val="58C07673"/>
    <w:rsid w:val="58C11F54"/>
    <w:rsid w:val="58E31508"/>
    <w:rsid w:val="59157E46"/>
    <w:rsid w:val="5916226A"/>
    <w:rsid w:val="59351713"/>
    <w:rsid w:val="593E5DBA"/>
    <w:rsid w:val="595F2C73"/>
    <w:rsid w:val="59D64D04"/>
    <w:rsid w:val="59D76B4B"/>
    <w:rsid w:val="59ED58A4"/>
    <w:rsid w:val="59FA2929"/>
    <w:rsid w:val="5A335999"/>
    <w:rsid w:val="5A657A84"/>
    <w:rsid w:val="5ADE0EE2"/>
    <w:rsid w:val="5AE1359D"/>
    <w:rsid w:val="5AE67930"/>
    <w:rsid w:val="5B313D3A"/>
    <w:rsid w:val="5B63783D"/>
    <w:rsid w:val="5B88604B"/>
    <w:rsid w:val="5B8A5EB3"/>
    <w:rsid w:val="5BA12CE0"/>
    <w:rsid w:val="5BE47D10"/>
    <w:rsid w:val="5C332DC9"/>
    <w:rsid w:val="5C944F29"/>
    <w:rsid w:val="5CC1224C"/>
    <w:rsid w:val="5CE600DB"/>
    <w:rsid w:val="5D1758EC"/>
    <w:rsid w:val="5D22729F"/>
    <w:rsid w:val="5D2A508A"/>
    <w:rsid w:val="5D2A5454"/>
    <w:rsid w:val="5D5A09D6"/>
    <w:rsid w:val="5D68483A"/>
    <w:rsid w:val="5D7924D7"/>
    <w:rsid w:val="5D9A3E21"/>
    <w:rsid w:val="5DC31172"/>
    <w:rsid w:val="5DD65C8C"/>
    <w:rsid w:val="5DDF5EEB"/>
    <w:rsid w:val="5DDF669F"/>
    <w:rsid w:val="5DE40384"/>
    <w:rsid w:val="5DFE0DE0"/>
    <w:rsid w:val="5E3741CA"/>
    <w:rsid w:val="5E572476"/>
    <w:rsid w:val="5E8248A7"/>
    <w:rsid w:val="5E8E5228"/>
    <w:rsid w:val="5F017A94"/>
    <w:rsid w:val="5F1B2384"/>
    <w:rsid w:val="5F53FEC9"/>
    <w:rsid w:val="5FA3430A"/>
    <w:rsid w:val="5FBFDD8E"/>
    <w:rsid w:val="5FDD0936"/>
    <w:rsid w:val="5FE27DA3"/>
    <w:rsid w:val="603352C3"/>
    <w:rsid w:val="604775DE"/>
    <w:rsid w:val="60715845"/>
    <w:rsid w:val="60887168"/>
    <w:rsid w:val="609C1D66"/>
    <w:rsid w:val="60A75087"/>
    <w:rsid w:val="60C327DD"/>
    <w:rsid w:val="60E35D6D"/>
    <w:rsid w:val="614F5635"/>
    <w:rsid w:val="616A31D9"/>
    <w:rsid w:val="61932627"/>
    <w:rsid w:val="61B27B2C"/>
    <w:rsid w:val="61DF7B38"/>
    <w:rsid w:val="61F12FB6"/>
    <w:rsid w:val="623201CC"/>
    <w:rsid w:val="62393FF7"/>
    <w:rsid w:val="626B6ADE"/>
    <w:rsid w:val="62762A9A"/>
    <w:rsid w:val="62771E48"/>
    <w:rsid w:val="62844CDB"/>
    <w:rsid w:val="631D0E0D"/>
    <w:rsid w:val="6345240D"/>
    <w:rsid w:val="635C7D60"/>
    <w:rsid w:val="637B125E"/>
    <w:rsid w:val="63C57165"/>
    <w:rsid w:val="63D751DB"/>
    <w:rsid w:val="63DB226E"/>
    <w:rsid w:val="63E17B85"/>
    <w:rsid w:val="64322363"/>
    <w:rsid w:val="643557C2"/>
    <w:rsid w:val="64652967"/>
    <w:rsid w:val="64DF6794"/>
    <w:rsid w:val="64FC0336"/>
    <w:rsid w:val="653E4BCB"/>
    <w:rsid w:val="65A405CF"/>
    <w:rsid w:val="664805EF"/>
    <w:rsid w:val="66544705"/>
    <w:rsid w:val="669241EF"/>
    <w:rsid w:val="66974C5D"/>
    <w:rsid w:val="66DF3544"/>
    <w:rsid w:val="67154F93"/>
    <w:rsid w:val="677DBDC6"/>
    <w:rsid w:val="678A35A0"/>
    <w:rsid w:val="679FCF60"/>
    <w:rsid w:val="67A260BC"/>
    <w:rsid w:val="68012C96"/>
    <w:rsid w:val="68076296"/>
    <w:rsid w:val="6818658C"/>
    <w:rsid w:val="684635BE"/>
    <w:rsid w:val="685513E3"/>
    <w:rsid w:val="687B0926"/>
    <w:rsid w:val="687B3BFB"/>
    <w:rsid w:val="68DF23F5"/>
    <w:rsid w:val="690249FC"/>
    <w:rsid w:val="69806DA9"/>
    <w:rsid w:val="699A175A"/>
    <w:rsid w:val="6A032CFC"/>
    <w:rsid w:val="6A2D133A"/>
    <w:rsid w:val="6A326A99"/>
    <w:rsid w:val="6A4C3880"/>
    <w:rsid w:val="6B435169"/>
    <w:rsid w:val="6B5A712D"/>
    <w:rsid w:val="6B6444BD"/>
    <w:rsid w:val="6B6F1ECC"/>
    <w:rsid w:val="6B874193"/>
    <w:rsid w:val="6BCC765E"/>
    <w:rsid w:val="6C424B68"/>
    <w:rsid w:val="6C987BFB"/>
    <w:rsid w:val="6CEE142A"/>
    <w:rsid w:val="6D157EF7"/>
    <w:rsid w:val="6D4B43FC"/>
    <w:rsid w:val="6D50643E"/>
    <w:rsid w:val="6D6E5962"/>
    <w:rsid w:val="6D837B95"/>
    <w:rsid w:val="6DAB546F"/>
    <w:rsid w:val="6DC47430"/>
    <w:rsid w:val="6DE930EB"/>
    <w:rsid w:val="6E48121F"/>
    <w:rsid w:val="6E5F2D14"/>
    <w:rsid w:val="6E955DDC"/>
    <w:rsid w:val="6ECC7C2E"/>
    <w:rsid w:val="6F4B35B8"/>
    <w:rsid w:val="6F8C39FA"/>
    <w:rsid w:val="6FC1198B"/>
    <w:rsid w:val="6FC14767"/>
    <w:rsid w:val="6FDE1D56"/>
    <w:rsid w:val="6FDF658B"/>
    <w:rsid w:val="6FDF9F29"/>
    <w:rsid w:val="6FFF038F"/>
    <w:rsid w:val="6FFF544E"/>
    <w:rsid w:val="6FFF8E6B"/>
    <w:rsid w:val="701E0B1F"/>
    <w:rsid w:val="704A1E94"/>
    <w:rsid w:val="704E70B6"/>
    <w:rsid w:val="70DD93B3"/>
    <w:rsid w:val="71513538"/>
    <w:rsid w:val="71954A5F"/>
    <w:rsid w:val="719B2687"/>
    <w:rsid w:val="71F31AC9"/>
    <w:rsid w:val="71FB6B58"/>
    <w:rsid w:val="72005918"/>
    <w:rsid w:val="72380AD8"/>
    <w:rsid w:val="72735F5B"/>
    <w:rsid w:val="72994CA5"/>
    <w:rsid w:val="72C4680E"/>
    <w:rsid w:val="72D0244C"/>
    <w:rsid w:val="730178BE"/>
    <w:rsid w:val="738675C4"/>
    <w:rsid w:val="739201E5"/>
    <w:rsid w:val="73B55061"/>
    <w:rsid w:val="73E04AEC"/>
    <w:rsid w:val="741B6060"/>
    <w:rsid w:val="749B47AB"/>
    <w:rsid w:val="74B755DF"/>
    <w:rsid w:val="74C117E3"/>
    <w:rsid w:val="750B2EC6"/>
    <w:rsid w:val="750E53EE"/>
    <w:rsid w:val="75194C94"/>
    <w:rsid w:val="75707D1A"/>
    <w:rsid w:val="75883018"/>
    <w:rsid w:val="75FD6C18"/>
    <w:rsid w:val="7663186B"/>
    <w:rsid w:val="76826276"/>
    <w:rsid w:val="76B4739E"/>
    <w:rsid w:val="76EE2C7B"/>
    <w:rsid w:val="77611DE8"/>
    <w:rsid w:val="77CF4B98"/>
    <w:rsid w:val="77FDE848"/>
    <w:rsid w:val="790770B5"/>
    <w:rsid w:val="790F14B3"/>
    <w:rsid w:val="794744E3"/>
    <w:rsid w:val="79AD7577"/>
    <w:rsid w:val="79CE7069"/>
    <w:rsid w:val="79D36C08"/>
    <w:rsid w:val="7A4F3FC3"/>
    <w:rsid w:val="7A5144F4"/>
    <w:rsid w:val="7A5E2007"/>
    <w:rsid w:val="7AAA85CF"/>
    <w:rsid w:val="7ADD148F"/>
    <w:rsid w:val="7AFF7436"/>
    <w:rsid w:val="7B3E6B4B"/>
    <w:rsid w:val="7B991A96"/>
    <w:rsid w:val="7B9E3217"/>
    <w:rsid w:val="7BA341B1"/>
    <w:rsid w:val="7BD33B0A"/>
    <w:rsid w:val="7BDFEE8C"/>
    <w:rsid w:val="7C5334A2"/>
    <w:rsid w:val="7C601008"/>
    <w:rsid w:val="7CA558DA"/>
    <w:rsid w:val="7CE72E05"/>
    <w:rsid w:val="7CEA5EE0"/>
    <w:rsid w:val="7CF774BA"/>
    <w:rsid w:val="7D2BFAEE"/>
    <w:rsid w:val="7D44180B"/>
    <w:rsid w:val="7D4C35AF"/>
    <w:rsid w:val="7DF72017"/>
    <w:rsid w:val="7E724D21"/>
    <w:rsid w:val="7E732A04"/>
    <w:rsid w:val="7E8936ED"/>
    <w:rsid w:val="7E9D52BC"/>
    <w:rsid w:val="7EC6726C"/>
    <w:rsid w:val="7ED43DB1"/>
    <w:rsid w:val="7EEEA799"/>
    <w:rsid w:val="7F1E53CE"/>
    <w:rsid w:val="7F1F23B8"/>
    <w:rsid w:val="7F333089"/>
    <w:rsid w:val="7F5FE971"/>
    <w:rsid w:val="7F667A62"/>
    <w:rsid w:val="7F707145"/>
    <w:rsid w:val="7FDD2550"/>
    <w:rsid w:val="7FF23947"/>
    <w:rsid w:val="7FF9DD2D"/>
    <w:rsid w:val="9FBC9A88"/>
    <w:rsid w:val="A7CE9978"/>
    <w:rsid w:val="AAFF3C8A"/>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link w:val="54"/>
    <w:qFormat/>
    <w:uiPriority w:val="0"/>
    <w:pPr>
      <w:keepNext/>
      <w:keepLines/>
      <w:numPr>
        <w:ilvl w:val="0"/>
        <w:numId w:val="1"/>
      </w:numPr>
      <w:spacing w:before="340" w:afterLines="50" w:line="578" w:lineRule="auto"/>
      <w:outlineLvl w:val="0"/>
    </w:pPr>
    <w:rPr>
      <w:rFonts w:ascii="Arial" w:hAnsi="Arial" w:eastAsia="黑体"/>
      <w:b w:val="0"/>
      <w:bCs w:val="0"/>
      <w:spacing w:val="20"/>
      <w:kern w:val="44"/>
      <w:sz w:val="36"/>
      <w:szCs w:val="44"/>
    </w:rPr>
  </w:style>
  <w:style w:type="paragraph" w:styleId="3">
    <w:name w:val="heading 2"/>
    <w:basedOn w:val="1"/>
    <w:next w:val="1"/>
    <w:link w:val="56"/>
    <w:qFormat/>
    <w:uiPriority w:val="0"/>
    <w:pPr>
      <w:keepNext/>
      <w:keepLines/>
      <w:numPr>
        <w:ilvl w:val="1"/>
        <w:numId w:val="1"/>
      </w:numPr>
      <w:spacing w:before="260" w:afterLines="50" w:line="416" w:lineRule="auto"/>
      <w:outlineLvl w:val="1"/>
    </w:pPr>
    <w:rPr>
      <w:rFonts w:ascii="Arial" w:hAnsi="Arial" w:eastAsia="黑体"/>
      <w:b w:val="0"/>
      <w:bCs w:val="0"/>
      <w:spacing w:val="20"/>
      <w:sz w:val="32"/>
      <w:szCs w:val="32"/>
    </w:rPr>
  </w:style>
  <w:style w:type="paragraph" w:styleId="4">
    <w:name w:val="heading 3"/>
    <w:basedOn w:val="1"/>
    <w:next w:val="5"/>
    <w:link w:val="57"/>
    <w:qFormat/>
    <w:uiPriority w:val="0"/>
    <w:pPr>
      <w:keepNext/>
      <w:keepLines/>
      <w:numPr>
        <w:ilvl w:val="2"/>
        <w:numId w:val="1"/>
      </w:numPr>
      <w:spacing w:before="260" w:afterLines="50" w:line="416" w:lineRule="auto"/>
      <w:outlineLvl w:val="2"/>
    </w:pPr>
    <w:rPr>
      <w:rFonts w:ascii="Arial" w:hAnsi="Arial" w:eastAsia="黑体"/>
      <w:b w:val="0"/>
      <w:bCs w:val="0"/>
      <w:spacing w:val="20"/>
      <w:sz w:val="30"/>
      <w:szCs w:val="32"/>
    </w:rPr>
  </w:style>
  <w:style w:type="paragraph" w:styleId="7">
    <w:name w:val="heading 4"/>
    <w:basedOn w:val="8"/>
    <w:next w:val="1"/>
    <w:qFormat/>
    <w:uiPriority w:val="0"/>
    <w:pPr>
      <w:keepNext/>
      <w:keepLines/>
      <w:numPr>
        <w:ilvl w:val="3"/>
        <w:numId w:val="1"/>
      </w:numPr>
      <w:tabs>
        <w:tab w:val="left" w:pos="1079"/>
        <w:tab w:val="clear" w:pos="1440"/>
      </w:tabs>
      <w:spacing w:before="280" w:afterLines="50" w:line="377" w:lineRule="auto"/>
      <w:ind w:left="1077" w:hanging="1077"/>
      <w:outlineLvl w:val="3"/>
    </w:pPr>
    <w:rPr>
      <w:rFonts w:eastAsia="黑体"/>
      <w:b w:val="0"/>
      <w:bCs w:val="0"/>
      <w:spacing w:val="10"/>
      <w:sz w:val="28"/>
      <w:szCs w:val="28"/>
    </w:rPr>
  </w:style>
  <w:style w:type="paragraph" w:styleId="9">
    <w:name w:val="heading 5"/>
    <w:basedOn w:val="1"/>
    <w:next w:val="5"/>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5"/>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b w:val="0"/>
      <w:bCs w:val="0"/>
      <w:spacing w:val="10"/>
      <w:sz w:val="24"/>
    </w:rPr>
  </w:style>
  <w:style w:type="paragraph" w:styleId="11">
    <w:name w:val="heading 7"/>
    <w:basedOn w:val="1"/>
    <w:next w:val="5"/>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b w:val="0"/>
      <w:bCs w:val="0"/>
      <w:sz w:val="24"/>
    </w:rPr>
  </w:style>
  <w:style w:type="paragraph" w:styleId="12">
    <w:name w:val="heading 8"/>
    <w:basedOn w:val="1"/>
    <w:next w:val="5"/>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sz w:val="24"/>
    </w:rPr>
  </w:style>
  <w:style w:type="paragraph" w:styleId="13">
    <w:name w:val="heading 9"/>
    <w:basedOn w:val="1"/>
    <w:next w:val="5"/>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55"/>
    <w:qFormat/>
    <w:uiPriority w:val="0"/>
    <w:pPr>
      <w:ind w:firstLine="420" w:firstLineChars="200"/>
    </w:pPr>
  </w:style>
  <w:style w:type="paragraph" w:styleId="6">
    <w:name w:val="Body Text Indent"/>
    <w:basedOn w:val="1"/>
    <w:next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8">
    <w:name w:val="Title"/>
    <w:basedOn w:val="1"/>
    <w:next w:val="1"/>
    <w:link w:val="64"/>
    <w:qFormat/>
    <w:uiPriority w:val="0"/>
    <w:pPr>
      <w:spacing w:before="240" w:after="60"/>
      <w:jc w:val="center"/>
      <w:outlineLvl w:val="0"/>
    </w:pPr>
    <w:rPr>
      <w:rFonts w:ascii="Arial" w:hAnsi="Arial" w:eastAsia="宋体" w:cs="Times New Roman"/>
      <w:sz w:val="32"/>
      <w:szCs w:val="32"/>
    </w:rPr>
  </w:style>
  <w:style w:type="paragraph" w:styleId="14">
    <w:name w:val="caption"/>
    <w:basedOn w:val="1"/>
    <w:next w:val="1"/>
    <w:qFormat/>
    <w:uiPriority w:val="0"/>
    <w:rPr>
      <w:rFonts w:ascii="Arial" w:hAnsi="Arial" w:eastAsia="黑体" w:cs="Arial"/>
      <w:b w:val="0"/>
      <w:bCs w:val="0"/>
      <w:kern w:val="1"/>
      <w:sz w:val="20"/>
      <w:szCs w:val="20"/>
    </w:rPr>
  </w:style>
  <w:style w:type="paragraph" w:styleId="15">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58"/>
    <w:semiHidden/>
    <w:qFormat/>
    <w:uiPriority w:val="0"/>
    <w:pPr>
      <w:jc w:val="left"/>
    </w:pPr>
    <w:rPr>
      <w:rFonts w:cs="Times New Roman"/>
    </w:rPr>
  </w:style>
  <w:style w:type="paragraph" w:styleId="19">
    <w:name w:val="Body Text"/>
    <w:basedOn w:val="1"/>
    <w:next w:val="20"/>
    <w:qFormat/>
    <w:uiPriority w:val="0"/>
    <w:pPr>
      <w:spacing w:after="120"/>
    </w:pPr>
    <w:rPr>
      <w:rFonts w:ascii="Times New Roman" w:hAnsi="Times New Roman" w:eastAsia="宋体" w:cs="Times New Roman"/>
      <w:b w:val="0"/>
      <w:bCs w:val="0"/>
      <w:color w:val="auto"/>
      <w:kern w:val="2"/>
      <w:szCs w:val="24"/>
    </w:rPr>
  </w:style>
  <w:style w:type="paragraph" w:styleId="20">
    <w:name w:val="Body Text First Indent"/>
    <w:basedOn w:val="19"/>
    <w:next w:val="21"/>
    <w:qFormat/>
    <w:uiPriority w:val="0"/>
    <w:pPr>
      <w:ind w:firstLine="420"/>
    </w:pPr>
    <w:rPr>
      <w:rFonts w:eastAsia="楷体_GB2312"/>
      <w:sz w:val="32"/>
      <w:szCs w:val="20"/>
    </w:rPr>
  </w:style>
  <w:style w:type="paragraph" w:styleId="21">
    <w:name w:val="toc 6"/>
    <w:basedOn w:val="1"/>
    <w:next w:val="1"/>
    <w:qFormat/>
    <w:uiPriority w:val="0"/>
    <w:pPr>
      <w:ind w:left="2100" w:leftChars="1000"/>
    </w:pPr>
  </w:style>
  <w:style w:type="paragraph" w:styleId="22">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3">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4">
    <w:name w:val="Block Text"/>
    <w:basedOn w:val="1"/>
    <w:qFormat/>
    <w:uiPriority w:val="0"/>
    <w:pPr>
      <w:spacing w:after="120"/>
      <w:ind w:left="1440" w:leftChars="700" w:right="1440" w:rightChars="700"/>
    </w:pPr>
    <w:rPr>
      <w:rFonts w:ascii="Times New Roman" w:hAnsi="Times New Roman" w:eastAsia="宋体" w:cs="Times New Roman"/>
      <w:b w:val="0"/>
      <w:bCs w:val="0"/>
      <w:color w:val="auto"/>
      <w:kern w:val="2"/>
      <w:szCs w:val="22"/>
    </w:rPr>
  </w:style>
  <w:style w:type="paragraph" w:styleId="25">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6">
    <w:name w:val="Plain Text"/>
    <w:basedOn w:val="1"/>
    <w:next w:val="27"/>
    <w:link w:val="59"/>
    <w:qFormat/>
    <w:uiPriority w:val="0"/>
    <w:rPr>
      <w:rFonts w:ascii="宋体" w:hAnsi="Courier New"/>
      <w:szCs w:val="20"/>
    </w:rPr>
  </w:style>
  <w:style w:type="paragraph" w:styleId="27">
    <w:name w:val="toc 2"/>
    <w:basedOn w:val="1"/>
    <w:next w:val="1"/>
    <w:qFormat/>
    <w:uiPriority w:val="39"/>
    <w:pPr>
      <w:ind w:left="420" w:leftChars="200"/>
    </w:pPr>
    <w:rPr>
      <w:szCs w:val="20"/>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widowControl/>
      <w:spacing w:line="480" w:lineRule="atLeast"/>
      <w:ind w:firstLine="480"/>
    </w:pPr>
    <w:rPr>
      <w:rFonts w:ascii="宋体"/>
      <w:sz w:val="24"/>
      <w:szCs w:val="20"/>
    </w:rPr>
  </w:style>
  <w:style w:type="paragraph" w:styleId="30">
    <w:name w:val="endnote text"/>
    <w:basedOn w:val="1"/>
    <w:qFormat/>
    <w:uiPriority w:val="99"/>
    <w:rPr>
      <w:rFonts w:ascii="Calibri" w:hAnsi="Calibri" w:cs="Calibri"/>
    </w:rPr>
  </w:style>
  <w:style w:type="paragraph" w:styleId="31">
    <w:name w:val="Balloon Text"/>
    <w:basedOn w:val="1"/>
    <w:semiHidden/>
    <w:qFormat/>
    <w:uiPriority w:val="0"/>
    <w:rPr>
      <w:sz w:val="18"/>
      <w:szCs w:val="18"/>
    </w:rPr>
  </w:style>
  <w:style w:type="paragraph" w:styleId="32">
    <w:name w:val="footer"/>
    <w:basedOn w:val="1"/>
    <w:link w:val="60"/>
    <w:qFormat/>
    <w:uiPriority w:val="0"/>
    <w:pPr>
      <w:tabs>
        <w:tab w:val="center" w:pos="4153"/>
        <w:tab w:val="right" w:pos="8306"/>
      </w:tabs>
      <w:snapToGrid w:val="0"/>
      <w:jc w:val="left"/>
    </w:pPr>
    <w:rPr>
      <w:sz w:val="18"/>
      <w:szCs w:val="18"/>
    </w:rPr>
  </w:style>
  <w:style w:type="paragraph" w:styleId="33">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35">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36">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7">
    <w:name w:val="footnote text"/>
    <w:basedOn w:val="1"/>
    <w:link w:val="140"/>
    <w:qFormat/>
    <w:uiPriority w:val="0"/>
    <w:pPr>
      <w:snapToGrid w:val="0"/>
      <w:jc w:val="left"/>
    </w:pPr>
    <w:rPr>
      <w:rFonts w:ascii="Times New Roman" w:hAnsi="Times New Roman" w:eastAsia="宋体" w:cs="Times New Roman"/>
      <w:b w:val="0"/>
      <w:bCs w:val="0"/>
      <w:color w:val="auto"/>
      <w:kern w:val="2"/>
      <w:sz w:val="18"/>
      <w:szCs w:val="24"/>
    </w:rPr>
  </w:style>
  <w:style w:type="paragraph" w:styleId="38">
    <w:name w:val="Body Text Indent 3"/>
    <w:basedOn w:val="1"/>
    <w:link w:val="141"/>
    <w:qFormat/>
    <w:uiPriority w:val="0"/>
    <w:pPr>
      <w:spacing w:after="120"/>
      <w:ind w:left="420" w:leftChars="200"/>
    </w:pPr>
    <w:rPr>
      <w:sz w:val="16"/>
      <w:szCs w:val="16"/>
    </w:rPr>
  </w:style>
  <w:style w:type="paragraph" w:styleId="39">
    <w:name w:val="Body Text 2"/>
    <w:basedOn w:val="1"/>
    <w:qFormat/>
    <w:uiPriority w:val="0"/>
    <w:pPr>
      <w:spacing w:after="120" w:line="480" w:lineRule="auto"/>
    </w:pPr>
    <w:rPr>
      <w:rFonts w:ascii="Times New Roman" w:hAnsi="Times New Roman" w:eastAsia="宋体" w:cs="Times New Roman"/>
      <w:b w:val="0"/>
      <w:bCs w:val="0"/>
      <w:color w:val="auto"/>
      <w:kern w:val="2"/>
      <w:szCs w:val="24"/>
    </w:rPr>
  </w:style>
  <w:style w:type="paragraph" w:styleId="4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b w:val="0"/>
      <w:bCs w:val="0"/>
      <w:color w:val="auto"/>
      <w:sz w:val="20"/>
      <w:szCs w:val="20"/>
    </w:rPr>
  </w:style>
  <w:style w:type="paragraph" w:styleId="41">
    <w:name w:val="Normal (Web)"/>
    <w:basedOn w:val="1"/>
    <w:link w:val="63"/>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42">
    <w:name w:val="annotation subject"/>
    <w:basedOn w:val="18"/>
    <w:next w:val="18"/>
    <w:semiHidden/>
    <w:qFormat/>
    <w:uiPriority w:val="0"/>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style>
  <w:style w:type="character" w:styleId="50">
    <w:name w:val="Hyperlink"/>
    <w:basedOn w:val="45"/>
    <w:qFormat/>
    <w:uiPriority w:val="99"/>
    <w:rPr>
      <w:color w:val="0000FF"/>
      <w:u w:val="single"/>
    </w:rPr>
  </w:style>
  <w:style w:type="character" w:styleId="51">
    <w:name w:val="annotation reference"/>
    <w:semiHidden/>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0"/>
    <w:rPr>
      <w:rFonts w:ascii="Courier New" w:hAnsi="Courier New"/>
    </w:rPr>
  </w:style>
  <w:style w:type="character" w:customStyle="1" w:styleId="54">
    <w:name w:val="标题 1 字符"/>
    <w:link w:val="2"/>
    <w:qFormat/>
    <w:uiPriority w:val="0"/>
    <w:rPr>
      <w:rFonts w:ascii="Arial" w:hAnsi="Arial" w:eastAsia="黑体" w:cs="宋体"/>
      <w:color w:val="000000"/>
      <w:spacing w:val="20"/>
      <w:kern w:val="44"/>
      <w:sz w:val="36"/>
      <w:szCs w:val="44"/>
      <w:lang w:val="en-US" w:eastAsia="zh-CN" w:bidi="ar-SA"/>
    </w:rPr>
  </w:style>
  <w:style w:type="character" w:customStyle="1" w:styleId="55">
    <w:name w:val="正文缩进 字符"/>
    <w:link w:val="5"/>
    <w:qFormat/>
    <w:uiPriority w:val="0"/>
    <w:rPr>
      <w:rFonts w:ascii="仿宋_GB2312" w:hAnsi="宋体" w:eastAsia="仿宋_GB2312" w:cs="宋体"/>
      <w:b/>
      <w:bCs/>
      <w:color w:val="000000"/>
      <w:sz w:val="21"/>
      <w:szCs w:val="21"/>
      <w:lang w:val="en-US" w:eastAsia="zh-CN" w:bidi="ar-SA"/>
    </w:rPr>
  </w:style>
  <w:style w:type="character" w:customStyle="1" w:styleId="56">
    <w:name w:val="标题 2 字符"/>
    <w:link w:val="3"/>
    <w:qFormat/>
    <w:uiPriority w:val="0"/>
    <w:rPr>
      <w:rFonts w:ascii="Arial" w:hAnsi="Arial" w:eastAsia="黑体" w:cs="宋体"/>
      <w:color w:val="000000"/>
      <w:spacing w:val="20"/>
      <w:sz w:val="32"/>
      <w:szCs w:val="32"/>
      <w:lang w:val="en-US" w:eastAsia="zh-CN" w:bidi="ar-SA"/>
    </w:rPr>
  </w:style>
  <w:style w:type="character" w:customStyle="1" w:styleId="57">
    <w:name w:val="标题 3 字符"/>
    <w:link w:val="4"/>
    <w:qFormat/>
    <w:uiPriority w:val="0"/>
    <w:rPr>
      <w:rFonts w:ascii="Arial" w:hAnsi="Arial" w:eastAsia="黑体" w:cs="宋体"/>
      <w:color w:val="000000"/>
      <w:spacing w:val="20"/>
      <w:sz w:val="30"/>
      <w:szCs w:val="32"/>
      <w:lang w:val="en-US" w:eastAsia="zh-CN" w:bidi="ar-SA"/>
    </w:rPr>
  </w:style>
  <w:style w:type="character" w:customStyle="1" w:styleId="58">
    <w:name w:val="批注文字 字符"/>
    <w:link w:val="18"/>
    <w:semiHidden/>
    <w:qFormat/>
    <w:uiPriority w:val="0"/>
    <w:rPr>
      <w:rFonts w:ascii="仿宋_GB2312" w:hAnsi="宋体" w:eastAsia="仿宋_GB2312" w:cs="宋体"/>
      <w:b/>
      <w:bCs/>
      <w:color w:val="000000"/>
      <w:sz w:val="21"/>
      <w:szCs w:val="21"/>
    </w:rPr>
  </w:style>
  <w:style w:type="character" w:customStyle="1" w:styleId="59">
    <w:name w:val="纯文本 字符"/>
    <w:link w:val="26"/>
    <w:qFormat/>
    <w:uiPriority w:val="0"/>
    <w:rPr>
      <w:rFonts w:ascii="宋体" w:hAnsi="Courier New" w:eastAsia="仿宋_GB2312" w:cs="宋体"/>
      <w:b/>
      <w:bCs/>
      <w:color w:val="000000"/>
      <w:sz w:val="21"/>
      <w:lang w:val="en-US" w:eastAsia="zh-CN" w:bidi="ar-SA"/>
    </w:rPr>
  </w:style>
  <w:style w:type="character" w:customStyle="1" w:styleId="60">
    <w:name w:val="页脚 字符"/>
    <w:link w:val="32"/>
    <w:qFormat/>
    <w:uiPriority w:val="0"/>
    <w:rPr>
      <w:rFonts w:ascii="仿宋_GB2312" w:hAnsi="宋体" w:eastAsia="仿宋_GB2312" w:cs="宋体"/>
      <w:b/>
      <w:bCs/>
      <w:color w:val="000000"/>
      <w:sz w:val="18"/>
      <w:szCs w:val="18"/>
      <w:lang w:val="en-US" w:eastAsia="zh-CN" w:bidi="ar-SA"/>
    </w:rPr>
  </w:style>
  <w:style w:type="character" w:customStyle="1" w:styleId="61">
    <w:name w:val="页眉 字符"/>
    <w:link w:val="33"/>
    <w:qFormat/>
    <w:uiPriority w:val="0"/>
    <w:rPr>
      <w:rFonts w:ascii="仿宋_GB2312" w:hAnsi="宋体" w:eastAsia="仿宋_GB2312" w:cs="宋体"/>
      <w:b/>
      <w:bCs/>
      <w:color w:val="000000"/>
      <w:sz w:val="18"/>
      <w:szCs w:val="18"/>
      <w:lang w:val="en-US" w:eastAsia="zh-CN" w:bidi="ar-SA"/>
    </w:rPr>
  </w:style>
  <w:style w:type="character" w:customStyle="1" w:styleId="62">
    <w:name w:val="HTML 预设格式 字符"/>
    <w:link w:val="40"/>
    <w:qFormat/>
    <w:uiPriority w:val="0"/>
    <w:rPr>
      <w:rFonts w:ascii="黑体" w:hAnsi="Courier New" w:eastAsia="黑体" w:cs="Courier New"/>
    </w:rPr>
  </w:style>
  <w:style w:type="character" w:customStyle="1" w:styleId="63">
    <w:name w:val="普通(网站) 字符"/>
    <w:link w:val="41"/>
    <w:qFormat/>
    <w:uiPriority w:val="0"/>
    <w:rPr>
      <w:rFonts w:eastAsia="宋体"/>
      <w:sz w:val="24"/>
      <w:szCs w:val="24"/>
      <w:lang w:val="en-US" w:eastAsia="zh-CN" w:bidi="ar-SA"/>
    </w:rPr>
  </w:style>
  <w:style w:type="character" w:customStyle="1" w:styleId="64">
    <w:name w:val="标题 字符"/>
    <w:link w:val="8"/>
    <w:qFormat/>
    <w:uiPriority w:val="0"/>
    <w:rPr>
      <w:rFonts w:ascii="Arial" w:hAnsi="Arial" w:cs="Arial"/>
      <w:b/>
      <w:bCs/>
      <w:color w:val="000000"/>
      <w:sz w:val="32"/>
      <w:szCs w:val="32"/>
    </w:rPr>
  </w:style>
  <w:style w:type="character" w:customStyle="1" w:styleId="65">
    <w:name w:val="普通文字 Char Char1"/>
    <w:qFormat/>
    <w:uiPriority w:val="0"/>
    <w:rPr>
      <w:rFonts w:ascii="宋体" w:hAnsi="Courier New" w:eastAsia="仿宋_GB2312" w:cs="宋体"/>
      <w:b/>
      <w:bCs/>
      <w:color w:val="000000"/>
      <w:sz w:val="21"/>
      <w:lang w:val="en-US" w:eastAsia="zh-CN" w:bidi="ar-SA"/>
    </w:rPr>
  </w:style>
  <w:style w:type="character" w:customStyle="1" w:styleId="66">
    <w:name w:val="style11"/>
    <w:qFormat/>
    <w:uiPriority w:val="0"/>
    <w:rPr>
      <w:sz w:val="18"/>
      <w:szCs w:val="18"/>
    </w:rPr>
  </w:style>
  <w:style w:type="character" w:customStyle="1" w:styleId="67">
    <w:name w:val="Char Char2"/>
    <w:qFormat/>
    <w:uiPriority w:val="0"/>
    <w:rPr>
      <w:rFonts w:eastAsia="宋体"/>
      <w:kern w:val="2"/>
      <w:sz w:val="18"/>
      <w:szCs w:val="18"/>
      <w:lang w:val="en-US" w:eastAsia="zh-CN" w:bidi="ar-SA"/>
    </w:rPr>
  </w:style>
  <w:style w:type="character" w:customStyle="1" w:styleId="68">
    <w:name w:val="ca-6"/>
    <w:basedOn w:val="45"/>
    <w:qFormat/>
    <w:uiPriority w:val="0"/>
  </w:style>
  <w:style w:type="character" w:customStyle="1" w:styleId="69">
    <w:name w:val="unnamed11"/>
    <w:qFormat/>
    <w:uiPriority w:val="0"/>
    <w:rPr>
      <w:color w:val="000000"/>
      <w:sz w:val="20"/>
      <w:szCs w:val="20"/>
    </w:rPr>
  </w:style>
  <w:style w:type="character" w:customStyle="1" w:styleId="70">
    <w:name w:val="Texte Char Char"/>
    <w:qFormat/>
    <w:uiPriority w:val="0"/>
    <w:rPr>
      <w:rFonts w:ascii="宋体" w:hAnsi="Courier New" w:eastAsia="仿宋_GB2312" w:cs="宋体"/>
      <w:b/>
      <w:bCs/>
      <w:color w:val="000000"/>
      <w:sz w:val="21"/>
      <w:lang w:val="en-US" w:eastAsia="zh-CN" w:bidi="ar-SA"/>
    </w:rPr>
  </w:style>
  <w:style w:type="character" w:customStyle="1" w:styleId="71">
    <w:name w:val="纯文本 Char"/>
    <w:qFormat/>
    <w:uiPriority w:val="0"/>
    <w:rPr>
      <w:rFonts w:ascii="宋体" w:hAnsi="Courier New" w:eastAsia="宋体"/>
      <w:kern w:val="2"/>
      <w:sz w:val="21"/>
      <w:szCs w:val="21"/>
      <w:lang w:bidi="ar-SA"/>
    </w:rPr>
  </w:style>
  <w:style w:type="character" w:customStyle="1" w:styleId="72">
    <w:name w:val="f10"/>
    <w:basedOn w:val="45"/>
    <w:qFormat/>
    <w:uiPriority w:val="0"/>
  </w:style>
  <w:style w:type="character" w:customStyle="1" w:styleId="73">
    <w:name w:val="ca-2"/>
    <w:basedOn w:val="45"/>
    <w:qFormat/>
    <w:uiPriority w:val="0"/>
  </w:style>
  <w:style w:type="character" w:customStyle="1" w:styleId="74">
    <w:name w:val="缩进2字符 Char"/>
    <w:link w:val="75"/>
    <w:qFormat/>
    <w:locked/>
    <w:uiPriority w:val="0"/>
    <w:rPr>
      <w:rFonts w:ascii="仿宋_GB2312" w:hAnsi="仿宋_GB2312" w:eastAsia="仿宋_GB2312" w:cs="Arial"/>
      <w:snapToGrid w:val="0"/>
      <w:color w:val="000000"/>
      <w:sz w:val="28"/>
      <w:szCs w:val="28"/>
      <w:lang w:bidi="ar-SA"/>
    </w:rPr>
  </w:style>
  <w:style w:type="paragraph" w:customStyle="1" w:styleId="75">
    <w:name w:val="缩进2字符"/>
    <w:basedOn w:val="1"/>
    <w:link w:val="74"/>
    <w:qFormat/>
    <w:uiPriority w:val="0"/>
    <w:pPr>
      <w:widowControl/>
      <w:ind w:firstLine="200" w:firstLineChars="200"/>
      <w:jc w:val="left"/>
    </w:pPr>
    <w:rPr>
      <w:rFonts w:hAnsi="仿宋_GB2312" w:cs="Arial"/>
      <w:b w:val="0"/>
      <w:bCs w:val="0"/>
      <w:snapToGrid w:val="0"/>
      <w:sz w:val="28"/>
      <w:szCs w:val="28"/>
    </w:rPr>
  </w:style>
  <w:style w:type="character" w:customStyle="1" w:styleId="76">
    <w:name w:val="ca-11"/>
    <w:qFormat/>
    <w:uiPriority w:val="0"/>
    <w:rPr>
      <w:rFonts w:hint="eastAsia" w:ascii="宋体" w:hAnsi="宋体" w:eastAsia="宋体"/>
      <w:sz w:val="18"/>
      <w:szCs w:val="18"/>
    </w:rPr>
  </w:style>
  <w:style w:type="character" w:customStyle="1" w:styleId="77">
    <w:name w:val="标题 Char1"/>
    <w:qFormat/>
    <w:locked/>
    <w:uiPriority w:val="0"/>
    <w:rPr>
      <w:rFonts w:ascii="Arial" w:hAnsi="Arial" w:cs="Arial"/>
      <w:b/>
      <w:bCs/>
      <w:color w:val="000000"/>
      <w:sz w:val="32"/>
      <w:szCs w:val="32"/>
    </w:rPr>
  </w:style>
  <w:style w:type="character" w:customStyle="1" w:styleId="78">
    <w:name w:val="ca-3"/>
    <w:basedOn w:val="45"/>
    <w:qFormat/>
    <w:uiPriority w:val="0"/>
  </w:style>
  <w:style w:type="character" w:customStyle="1" w:styleId="79">
    <w:name w:val="NormalCharacter"/>
    <w:link w:val="80"/>
    <w:qFormat/>
    <w:uiPriority w:val="0"/>
    <w:rPr>
      <w:rFonts w:ascii="Tahoma" w:hAnsi="Tahoma"/>
      <w:sz w:val="24"/>
    </w:rPr>
  </w:style>
  <w:style w:type="paragraph" w:customStyle="1" w:styleId="80">
    <w:name w:val="UserStyle_13"/>
    <w:basedOn w:val="1"/>
    <w:link w:val="79"/>
    <w:qFormat/>
    <w:uiPriority w:val="0"/>
    <w:pPr>
      <w:widowControl/>
      <w:spacing w:line="360" w:lineRule="auto"/>
      <w:ind w:firstLine="200" w:firstLineChars="200"/>
    </w:pPr>
    <w:rPr>
      <w:rFonts w:ascii="Tahoma" w:hAnsi="Tahoma"/>
      <w:sz w:val="24"/>
    </w:rPr>
  </w:style>
  <w:style w:type="character" w:customStyle="1" w:styleId="81">
    <w:name w:val="纯文本 Char1"/>
    <w:qFormat/>
    <w:uiPriority w:val="0"/>
    <w:rPr>
      <w:rFonts w:ascii="宋体" w:hAnsi="Courier New" w:eastAsia="仿宋_GB2312" w:cs="宋体"/>
      <w:b/>
      <w:bCs/>
      <w:color w:val="000000"/>
      <w:sz w:val="21"/>
      <w:lang w:val="en-US" w:eastAsia="zh-CN" w:bidi="ar-SA"/>
    </w:rPr>
  </w:style>
  <w:style w:type="character" w:customStyle="1" w:styleId="82">
    <w:name w:val="para"/>
    <w:basedOn w:val="45"/>
    <w:qFormat/>
    <w:uiPriority w:val="0"/>
  </w:style>
  <w:style w:type="character" w:customStyle="1" w:styleId="83">
    <w:name w:val="表格文本 Char"/>
    <w:link w:val="84"/>
    <w:qFormat/>
    <w:locked/>
    <w:uiPriority w:val="0"/>
    <w:rPr>
      <w:rFonts w:ascii="宋体" w:hAnsi="宋体" w:eastAsia="宋体" w:cs="Arial"/>
      <w:snapToGrid w:val="0"/>
      <w:szCs w:val="21"/>
      <w:lang w:bidi="ar-SA"/>
    </w:rPr>
  </w:style>
  <w:style w:type="paragraph" w:customStyle="1" w:styleId="84">
    <w:name w:val="表格文本"/>
    <w:basedOn w:val="1"/>
    <w:link w:val="83"/>
    <w:qFormat/>
    <w:uiPriority w:val="0"/>
    <w:pPr>
      <w:snapToGrid w:val="0"/>
      <w:jc w:val="left"/>
    </w:pPr>
    <w:rPr>
      <w:rFonts w:ascii="宋体" w:eastAsia="宋体" w:cs="Arial"/>
      <w:b w:val="0"/>
      <w:bCs w:val="0"/>
      <w:snapToGrid w:val="0"/>
      <w:color w:val="auto"/>
      <w:sz w:val="20"/>
    </w:rPr>
  </w:style>
  <w:style w:type="character" w:customStyle="1" w:styleId="85">
    <w:name w:val="ca-8"/>
    <w:basedOn w:val="45"/>
    <w:qFormat/>
    <w:uiPriority w:val="0"/>
  </w:style>
  <w:style w:type="character" w:customStyle="1" w:styleId="86">
    <w:name w:val="smalltxt1"/>
    <w:qFormat/>
    <w:uiPriority w:val="0"/>
    <w:rPr>
      <w:rFonts w:hint="default" w:ascii="ˎ̥" w:hAnsi="ˎ̥" w:eastAsia="仿宋_GB2312"/>
      <w:b/>
      <w:sz w:val="24"/>
      <w:szCs w:val="24"/>
    </w:rPr>
  </w:style>
  <w:style w:type="character" w:customStyle="1" w:styleId="87">
    <w:name w:val="Char Char1"/>
    <w:qFormat/>
    <w:uiPriority w:val="0"/>
    <w:rPr>
      <w:rFonts w:ascii="宋体" w:hAnsi="Courier New" w:eastAsia="仿宋_GB2312" w:cs="宋体"/>
      <w:b/>
      <w:bCs/>
      <w:color w:val="000000"/>
      <w:sz w:val="21"/>
      <w:lang w:val="en-US" w:eastAsia="zh-CN" w:bidi="ar-SA"/>
    </w:rPr>
  </w:style>
  <w:style w:type="character" w:customStyle="1" w:styleId="88">
    <w:name w:val="Char Char"/>
    <w:qFormat/>
    <w:uiPriority w:val="0"/>
    <w:rPr>
      <w:rFonts w:ascii="宋体" w:hAnsi="Courier New" w:eastAsia="仿宋_GB2312"/>
      <w:b/>
      <w:color w:val="000000"/>
      <w:sz w:val="21"/>
      <w:lang w:val="en-US" w:eastAsia="zh-CN"/>
    </w:rPr>
  </w:style>
  <w:style w:type="character" w:customStyle="1" w:styleId="89">
    <w:name w:val="apple-converted-space"/>
    <w:basedOn w:val="45"/>
    <w:qFormat/>
    <w:uiPriority w:val="0"/>
  </w:style>
  <w:style w:type="character" w:customStyle="1" w:styleId="90">
    <w:name w:val="bigtitle1"/>
    <w:qFormat/>
    <w:uiPriority w:val="0"/>
    <w:rPr>
      <w:sz w:val="28"/>
      <w:szCs w:val="28"/>
    </w:rPr>
  </w:style>
  <w:style w:type="character" w:customStyle="1" w:styleId="91">
    <w:name w:val="Char Char4"/>
    <w:qFormat/>
    <w:uiPriority w:val="0"/>
    <w:rPr>
      <w:rFonts w:eastAsia="宋体"/>
      <w:sz w:val="18"/>
      <w:szCs w:val="18"/>
      <w:lang w:val="en-US" w:eastAsia="zh-CN" w:bidi="ar-SA"/>
    </w:rPr>
  </w:style>
  <w:style w:type="character" w:customStyle="1" w:styleId="92">
    <w:name w:val="样式3 Char"/>
    <w:link w:val="93"/>
    <w:qFormat/>
    <w:uiPriority w:val="0"/>
    <w:rPr>
      <w:rFonts w:eastAsia="黑体"/>
      <w:kern w:val="2"/>
      <w:sz w:val="28"/>
      <w:szCs w:val="21"/>
      <w:lang w:val="en-US" w:eastAsia="zh-CN" w:bidi="ar-SA"/>
    </w:rPr>
  </w:style>
  <w:style w:type="paragraph" w:customStyle="1" w:styleId="93">
    <w:name w:val="样式3"/>
    <w:basedOn w:val="1"/>
    <w:link w:val="92"/>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94">
    <w:name w:val="unnamed51"/>
    <w:qFormat/>
    <w:uiPriority w:val="0"/>
    <w:rPr>
      <w:sz w:val="22"/>
      <w:szCs w:val="22"/>
    </w:rPr>
  </w:style>
  <w:style w:type="paragraph" w:customStyle="1" w:styleId="95">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96">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97">
    <w:name w:val="Char Char Char Char"/>
    <w:basedOn w:val="16"/>
    <w:qFormat/>
    <w:uiPriority w:val="0"/>
    <w:rPr>
      <w:rFonts w:ascii="Tahoma" w:hAnsi="Tahoma"/>
      <w:sz w:val="24"/>
    </w:rPr>
  </w:style>
  <w:style w:type="paragraph" w:customStyle="1" w:styleId="98">
    <w:name w:val="Char"/>
    <w:basedOn w:val="1"/>
    <w:qFormat/>
    <w:uiPriority w:val="0"/>
    <w:rPr>
      <w:rFonts w:hAnsi="Times New Roman" w:cs="Times New Roman"/>
      <w:bCs w:val="0"/>
      <w:color w:val="auto"/>
      <w:kern w:val="2"/>
      <w:sz w:val="32"/>
      <w:szCs w:val="32"/>
    </w:rPr>
  </w:style>
  <w:style w:type="paragraph" w:customStyle="1" w:styleId="99">
    <w:name w:val="Char2"/>
    <w:basedOn w:val="1"/>
    <w:qFormat/>
    <w:uiPriority w:val="0"/>
    <w:rPr>
      <w:b w:val="0"/>
      <w:sz w:val="32"/>
      <w:szCs w:val="32"/>
    </w:rPr>
  </w:style>
  <w:style w:type="paragraph" w:customStyle="1" w:styleId="100">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01">
    <w:name w:val="样式1"/>
    <w:basedOn w:val="3"/>
    <w:qFormat/>
    <w:uiPriority w:val="0"/>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102">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03">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04">
    <w:name w:val="Char1 Char Char Char"/>
    <w:basedOn w:val="1"/>
    <w:qFormat/>
    <w:uiPriority w:val="0"/>
    <w:rPr>
      <w:rFonts w:hAnsi="Times New Roman" w:cs="Times New Roman"/>
      <w:bCs w:val="0"/>
      <w:color w:val="auto"/>
      <w:kern w:val="2"/>
      <w:sz w:val="32"/>
      <w:szCs w:val="32"/>
    </w:rPr>
  </w:style>
  <w:style w:type="paragraph" w:customStyle="1" w:styleId="105">
    <w:name w:val="Body Text(ch)"/>
    <w:basedOn w:val="1"/>
    <w:next w:val="19"/>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06">
    <w:name w:val="Char Char Char Char1"/>
    <w:basedOn w:val="1"/>
    <w:semiHidden/>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0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09">
    <w:name w:val="Char Char1 Char Char Char Char Char Char Char Char Char Char"/>
    <w:basedOn w:val="1"/>
    <w:qFormat/>
    <w:uiPriority w:val="0"/>
    <w:rPr>
      <w:rFonts w:ascii="Tahoma" w:hAnsi="Tahoma"/>
      <w:sz w:val="24"/>
      <w:szCs w:val="20"/>
    </w:rPr>
  </w:style>
  <w:style w:type="paragraph" w:customStyle="1" w:styleId="110">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11">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12">
    <w:name w:val="Char Char Char"/>
    <w:basedOn w:val="1"/>
    <w:qFormat/>
    <w:uiPriority w:val="0"/>
    <w:rPr>
      <w:rFonts w:ascii="Tahoma" w:hAnsi="Tahoma" w:eastAsia="宋体" w:cs="Times New Roman"/>
      <w:b w:val="0"/>
      <w:bCs w:val="0"/>
      <w:color w:val="auto"/>
      <w:kern w:val="2"/>
      <w:sz w:val="24"/>
      <w:szCs w:val="20"/>
    </w:rPr>
  </w:style>
  <w:style w:type="paragraph" w:customStyle="1" w:styleId="113">
    <w:name w:val="List Paragraph1"/>
    <w:basedOn w:val="1"/>
    <w:qFormat/>
    <w:uiPriority w:val="0"/>
    <w:pPr>
      <w:ind w:firstLine="420" w:firstLineChars="200"/>
    </w:pPr>
    <w:rPr>
      <w:rFonts w:cs="仿宋_GB2312"/>
    </w:rPr>
  </w:style>
  <w:style w:type="paragraph" w:customStyle="1" w:styleId="114">
    <w:name w:val="列出段落3"/>
    <w:basedOn w:val="1"/>
    <w:qFormat/>
    <w:uiPriority w:val="0"/>
    <w:pPr>
      <w:spacing w:line="360" w:lineRule="auto"/>
      <w:ind w:firstLine="420" w:firstLineChars="200"/>
    </w:pPr>
    <w:rPr>
      <w:rFonts w:ascii="Calibri" w:hAnsi="Calibri" w:eastAsia="宋体" w:cs="Times New Roman"/>
      <w:b w:val="0"/>
      <w:bCs w:val="0"/>
      <w:color w:val="auto"/>
      <w:kern w:val="2"/>
      <w:sz w:val="24"/>
      <w:szCs w:val="22"/>
    </w:rPr>
  </w:style>
  <w:style w:type="paragraph" w:customStyle="1" w:styleId="115">
    <w:name w:val="默认段落字体 Para Char Char Char Char Char Char Char Char Char1 Char Char Char Char Char Char Char"/>
    <w:basedOn w:val="16"/>
    <w:qFormat/>
    <w:uiPriority w:val="0"/>
    <w:rPr>
      <w:rFonts w:ascii="Tahoma" w:hAnsi="Tahoma"/>
      <w:sz w:val="24"/>
    </w:rPr>
  </w:style>
  <w:style w:type="paragraph" w:customStyle="1" w:styleId="116">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7">
    <w:name w:val="[Normal]"/>
    <w:qFormat/>
    <w:uiPriority w:val="99"/>
    <w:rPr>
      <w:rFonts w:ascii="宋体" w:hAnsi="宋体" w:eastAsia="宋体" w:cs="Times New Roman"/>
      <w:sz w:val="24"/>
      <w:szCs w:val="22"/>
      <w:lang w:val="zh-CN" w:eastAsia="zh-CN" w:bidi="ar-SA"/>
    </w:rPr>
  </w:style>
  <w:style w:type="paragraph" w:customStyle="1" w:styleId="118">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19">
    <w:name w:val="Numbered list 2.3"/>
    <w:basedOn w:val="4"/>
    <w:next w:val="1"/>
    <w:qFormat/>
    <w:uiPriority w:val="0"/>
    <w:pPr>
      <w:keepLines w:val="0"/>
      <w:widowControl/>
      <w:numPr>
        <w:ilvl w:val="0"/>
        <w:numId w:val="0"/>
      </w:numPr>
      <w:tabs>
        <w:tab w:val="left" w:pos="360"/>
        <w:tab w:val="left" w:pos="705"/>
        <w:tab w:val="left" w:pos="1080"/>
        <w:tab w:val="clear" w:pos="720"/>
      </w:tabs>
      <w:spacing w:before="240" w:afterLines="0" w:line="240" w:lineRule="auto"/>
      <w:ind w:left="720" w:hanging="720"/>
      <w:jc w:val="left"/>
    </w:pPr>
    <w:rPr>
      <w:rFonts w:eastAsia="宋体" w:cs="Times New Roman"/>
      <w:bCs/>
      <w:iCs/>
      <w:color w:val="auto"/>
      <w:spacing w:val="0"/>
      <w:sz w:val="28"/>
      <w:szCs w:val="24"/>
    </w:rPr>
  </w:style>
  <w:style w:type="paragraph" w:customStyle="1" w:styleId="120">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21">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22">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3">
    <w:name w:val="Char3"/>
    <w:basedOn w:val="1"/>
    <w:qFormat/>
    <w:uiPriority w:val="0"/>
    <w:rPr>
      <w:rFonts w:ascii="Times New Roman" w:hAnsi="Times New Roman" w:eastAsia="宋体" w:cs="Times New Roman"/>
      <w:b w:val="0"/>
      <w:bCs w:val="0"/>
      <w:color w:val="auto"/>
      <w:kern w:val="2"/>
      <w:szCs w:val="20"/>
    </w:rPr>
  </w:style>
  <w:style w:type="paragraph" w:customStyle="1" w:styleId="124">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5">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styleId="127">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128">
    <w:name w:val="正文－恩普"/>
    <w:basedOn w:val="5"/>
    <w:qFormat/>
    <w:uiPriority w:val="0"/>
    <w:pPr>
      <w:widowControl/>
      <w:spacing w:before="100" w:beforeAutospacing="1" w:afterLines="50" w:afterAutospacing="1" w:line="360" w:lineRule="auto"/>
      <w:ind w:firstLine="480"/>
      <w:jc w:val="left"/>
    </w:pPr>
    <w:rPr>
      <w:sz w:val="24"/>
      <w:szCs w:val="20"/>
    </w:rPr>
  </w:style>
  <w:style w:type="paragraph" w:customStyle="1" w:styleId="129">
    <w:name w:val="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30">
    <w:name w:val="Char Char Char1"/>
    <w:basedOn w:val="16"/>
    <w:qFormat/>
    <w:uiPriority w:val="0"/>
    <w:rPr>
      <w:rFonts w:ascii="Tahoma" w:hAnsi="Tahoma"/>
      <w:sz w:val="24"/>
    </w:rPr>
  </w:style>
  <w:style w:type="paragraph" w:customStyle="1" w:styleId="131">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2">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3">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34">
    <w:name w:val="Table Paragraph"/>
    <w:basedOn w:val="1"/>
    <w:qFormat/>
    <w:uiPriority w:val="1"/>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135">
    <w:name w:val="标题 4 Char1"/>
    <w:qFormat/>
    <w:uiPriority w:val="0"/>
    <w:rPr>
      <w:rFonts w:ascii="Arial" w:hAnsi="Arial" w:eastAsia="黑体"/>
      <w:b/>
      <w:bCs/>
      <w:kern w:val="2"/>
      <w:sz w:val="28"/>
      <w:szCs w:val="28"/>
      <w:lang w:val="en-US" w:eastAsia="zh-CN" w:bidi="ar-SA"/>
    </w:rPr>
  </w:style>
  <w:style w:type="paragraph" w:customStyle="1" w:styleId="136">
    <w:name w:val="正文缩进1"/>
    <w:basedOn w:val="1"/>
    <w:qFormat/>
    <w:uiPriority w:val="0"/>
    <w:pPr>
      <w:spacing w:line="360" w:lineRule="auto"/>
      <w:ind w:firstLine="454"/>
      <w:jc w:val="left"/>
    </w:pPr>
    <w:rPr>
      <w:rFonts w:ascii="Times New Roman" w:hAnsi="Times New Roman" w:eastAsia="宋体" w:cs="Times New Roman"/>
      <w:b w:val="0"/>
      <w:bCs w:val="0"/>
      <w:color w:val="auto"/>
      <w:kern w:val="2"/>
      <w:sz w:val="24"/>
      <w:szCs w:val="24"/>
    </w:rPr>
  </w:style>
  <w:style w:type="character" w:customStyle="1" w:styleId="137">
    <w:name w:val="skancount"/>
    <w:basedOn w:val="45"/>
    <w:qFormat/>
    <w:uiPriority w:val="0"/>
  </w:style>
  <w:style w:type="character" w:customStyle="1" w:styleId="138">
    <w:name w:val="bookmark-item"/>
    <w:basedOn w:val="45"/>
    <w:qFormat/>
    <w:uiPriority w:val="0"/>
  </w:style>
  <w:style w:type="paragraph" w:customStyle="1" w:styleId="139">
    <w:name w:val="列出段落1"/>
    <w:basedOn w:val="1"/>
    <w:qFormat/>
    <w:uiPriority w:val="0"/>
    <w:pPr>
      <w:ind w:firstLine="420" w:firstLineChars="200"/>
    </w:pPr>
    <w:rPr>
      <w:rFonts w:ascii="Times New Roman" w:hAnsi="Times New Roman" w:eastAsia="宋体" w:cs="Times New Roman"/>
      <w:b w:val="0"/>
      <w:bCs w:val="0"/>
      <w:color w:val="auto"/>
      <w:kern w:val="2"/>
      <w:sz w:val="36"/>
      <w:szCs w:val="20"/>
    </w:rPr>
  </w:style>
  <w:style w:type="character" w:customStyle="1" w:styleId="140">
    <w:name w:val="脚注文本 字符"/>
    <w:basedOn w:val="45"/>
    <w:link w:val="37"/>
    <w:qFormat/>
    <w:uiPriority w:val="0"/>
    <w:rPr>
      <w:kern w:val="2"/>
      <w:sz w:val="18"/>
      <w:szCs w:val="24"/>
    </w:rPr>
  </w:style>
  <w:style w:type="character" w:customStyle="1" w:styleId="141">
    <w:name w:val="正文文本缩进 3 字符"/>
    <w:basedOn w:val="45"/>
    <w:link w:val="38"/>
    <w:qFormat/>
    <w:uiPriority w:val="0"/>
    <w:rPr>
      <w:rFonts w:ascii="仿宋_GB2312" w:hAnsi="宋体" w:eastAsia="仿宋_GB2312" w:cs="宋体"/>
      <w:b/>
      <w:bCs/>
      <w:color w:val="000000"/>
      <w:sz w:val="16"/>
      <w:szCs w:val="16"/>
    </w:rPr>
  </w:style>
  <w:style w:type="character" w:customStyle="1" w:styleId="142">
    <w:name w:val="无"/>
    <w:qFormat/>
    <w:uiPriority w:val="0"/>
  </w:style>
  <w:style w:type="paragraph" w:customStyle="1" w:styleId="143">
    <w:name w:val="正文文本首行缩进1"/>
    <w:basedOn w:val="19"/>
    <w:qFormat/>
    <w:uiPriority w:val="0"/>
    <w:pPr>
      <w:spacing w:after="0" w:line="360" w:lineRule="auto"/>
      <w:ind w:firstLine="200" w:firstLineChars="200"/>
    </w:pPr>
    <w:rPr>
      <w:rFonts w:ascii="宋体" w:hAnsi="宋体"/>
      <w:bCs/>
      <w:sz w:val="24"/>
      <w:szCs w:val="21"/>
    </w:rPr>
  </w:style>
  <w:style w:type="paragraph" w:customStyle="1" w:styleId="144">
    <w:name w:val="列表段落1"/>
    <w:basedOn w:val="1"/>
    <w:qFormat/>
    <w:uiPriority w:val="0"/>
    <w:pPr>
      <w:ind w:firstLine="420" w:firstLineChars="200"/>
    </w:pPr>
    <w:rPr>
      <w:rFonts w:asciiTheme="minorHAnsi" w:hAnsiTheme="minorHAnsi" w:eastAsiaTheme="minorEastAsia" w:cstheme="minorBidi"/>
      <w:b w:val="0"/>
      <w:bCs w:val="0"/>
      <w:color w:val="auto"/>
      <w:kern w:val="2"/>
      <w:sz w:val="24"/>
      <w:szCs w:val="24"/>
    </w:rPr>
  </w:style>
  <w:style w:type="paragraph" w:customStyle="1" w:styleId="145">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color w:val="auto"/>
      <w:kern w:val="2"/>
    </w:rPr>
  </w:style>
  <w:style w:type="character" w:customStyle="1" w:styleId="146">
    <w:name w:val="bold1"/>
    <w:basedOn w:val="45"/>
    <w:qFormat/>
    <w:uiPriority w:val="0"/>
    <w:rPr>
      <w:b/>
      <w:bCs/>
    </w:rPr>
  </w:style>
  <w:style w:type="paragraph" w:customStyle="1" w:styleId="147">
    <w:name w:val="缩进正文"/>
    <w:basedOn w:val="1"/>
    <w:qFormat/>
    <w:uiPriority w:val="0"/>
    <w:pPr>
      <w:ind w:firstLine="200" w:firstLineChars="200"/>
    </w:pPr>
  </w:style>
  <w:style w:type="character" w:customStyle="1" w:styleId="148">
    <w:name w:val="font31"/>
    <w:basedOn w:val="45"/>
    <w:qFormat/>
    <w:uiPriority w:val="0"/>
    <w:rPr>
      <w:rFonts w:hint="eastAsia" w:ascii="宋体" w:hAnsi="宋体" w:eastAsia="宋体" w:cs="宋体"/>
      <w:color w:val="000000"/>
      <w:sz w:val="21"/>
      <w:szCs w:val="21"/>
      <w:u w:val="none"/>
    </w:rPr>
  </w:style>
  <w:style w:type="character" w:customStyle="1" w:styleId="149">
    <w:name w:val="font01"/>
    <w:basedOn w:val="45"/>
    <w:qFormat/>
    <w:uiPriority w:val="0"/>
    <w:rPr>
      <w:rFonts w:hint="eastAsia" w:ascii="宋体" w:hAnsi="宋体" w:eastAsia="宋体" w:cs="宋体"/>
      <w:b/>
      <w:bCs/>
      <w:color w:val="000000"/>
      <w:sz w:val="22"/>
      <w:szCs w:val="22"/>
      <w:u w:val="none"/>
    </w:rPr>
  </w:style>
  <w:style w:type="paragraph" w:customStyle="1" w:styleId="150">
    <w:name w:val="表格文字"/>
    <w:basedOn w:val="26"/>
    <w:next w:val="19"/>
    <w:qFormat/>
    <w:uiPriority w:val="0"/>
    <w:pPr>
      <w:adjustRightInd w:val="0"/>
      <w:spacing w:line="420" w:lineRule="atLeast"/>
      <w:jc w:val="left"/>
      <w:textAlignment w:val="baseline"/>
    </w:pPr>
    <w:rPr>
      <w:rFonts w:ascii="Times New Roman" w:hAnsi="Times New Roman" w:eastAsia="宋体" w:cs="Times New Roman"/>
      <w:szCs w:val="24"/>
    </w:rPr>
  </w:style>
  <w:style w:type="paragraph" w:customStyle="1" w:styleId="151">
    <w:name w:val="Default"/>
    <w:next w:val="152"/>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font21"/>
    <w:basedOn w:val="45"/>
    <w:qFormat/>
    <w:uiPriority w:val="0"/>
    <w:rPr>
      <w:rFonts w:hint="eastAsia" w:ascii="微软雅黑" w:hAnsi="微软雅黑" w:eastAsia="微软雅黑" w:cs="微软雅黑"/>
      <w:color w:val="000000"/>
      <w:sz w:val="20"/>
      <w:szCs w:val="20"/>
      <w:u w:val="none"/>
    </w:rPr>
  </w:style>
  <w:style w:type="paragraph" w:customStyle="1" w:styleId="154">
    <w:name w:val="正文_2"/>
    <w:basedOn w:val="155"/>
    <w:qFormat/>
    <w:uiPriority w:val="0"/>
    <w:rPr>
      <w:rFonts w:cs="Calibri"/>
      <w:szCs w:val="21"/>
    </w:rPr>
  </w:style>
  <w:style w:type="paragraph" w:customStyle="1" w:styleId="15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57">
    <w:name w:val="设计院报告正文"/>
    <w:basedOn w:val="5"/>
    <w:qFormat/>
    <w:uiPriority w:val="0"/>
    <w:pPr>
      <w:autoSpaceDE w:val="0"/>
      <w:autoSpaceDN w:val="0"/>
      <w:textAlignment w:val="baseline"/>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A1397-6E2D-4B65-B4E2-0257527EC688}">
  <ds:schemaRefs/>
</ds:datastoreItem>
</file>

<file path=docProps/app.xml><?xml version="1.0" encoding="utf-8"?>
<Properties xmlns="http://schemas.openxmlformats.org/officeDocument/2006/extended-properties" xmlns:vt="http://schemas.openxmlformats.org/officeDocument/2006/docPropsVTypes">
  <Template>Normal</Template>
  <Pages>44</Pages>
  <Words>13194</Words>
  <Characters>13962</Characters>
  <Lines>222</Lines>
  <Paragraphs>62</Paragraphs>
  <TotalTime>13</TotalTime>
  <ScaleCrop>false</ScaleCrop>
  <LinksUpToDate>false</LinksUpToDate>
  <CharactersWithSpaces>14388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2025-04-30T00:03:00Z</dcterms:created>
  <dcterms:modified xsi:type="dcterms:W3CDTF">2025-07-07T06:30:18Z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eyJoZGlkIjoiNTY3MzRhNGU0YTJiZGQzZDEyM2Q3ZGQ2YTc1YTRjNGEiLCJ1c2VySWQiOiI2NTAwNzYzNDQifQ==</vt:lpwstr>
  </property>
  <property fmtid="{D5CDD505-2E9C-101B-9397-08002B2CF9AE}" pid="3" name="KSOProductBuildVer">
    <vt:lpwstr>2052-12.1.0.21541</vt:lpwstr>
  </property>
  <property fmtid="{D5CDD505-2E9C-101B-9397-08002B2CF9AE}" pid="4" name="ICV">
    <vt:lpwstr>5753135BF6C34614BC556B3A95C95D21_13</vt:lpwstr>
  </property>
</Properties>
</file>