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92720">
      <w:pPr>
        <w:spacing w:line="360" w:lineRule="auto"/>
        <w:jc w:val="left"/>
        <w:rPr>
          <w:rFonts w:ascii="仿宋" w:hAnsi="仿宋" w:eastAsia="仿宋" w:cs="仿宋"/>
          <w:sz w:val="24"/>
        </w:rPr>
      </w:pPr>
    </w:p>
    <w:p w14:paraId="6CE53893">
      <w:pPr>
        <w:spacing w:line="360" w:lineRule="auto"/>
        <w:jc w:val="center"/>
        <w:rPr>
          <w:rFonts w:ascii="仿宋" w:hAnsi="仿宋" w:eastAsia="仿宋" w:cs="仿宋"/>
          <w:sz w:val="24"/>
        </w:rPr>
      </w:pPr>
    </w:p>
    <w:p w14:paraId="7E7BF205">
      <w:pPr>
        <w:adjustRightInd/>
        <w:spacing w:line="360" w:lineRule="auto"/>
        <w:jc w:val="center"/>
        <w:rPr>
          <w:rFonts w:hint="eastAsia" w:ascii="仿宋" w:hAnsi="仿宋" w:eastAsia="仿宋" w:cs="仿宋"/>
          <w:b/>
          <w:sz w:val="48"/>
          <w:szCs w:val="48"/>
        </w:rPr>
      </w:pPr>
    </w:p>
    <w:p w14:paraId="0053C9CA">
      <w:pPr>
        <w:adjustRightInd/>
        <w:spacing w:line="360" w:lineRule="auto"/>
        <w:jc w:val="center"/>
        <w:rPr>
          <w:rFonts w:ascii="仿宋" w:hAnsi="仿宋" w:eastAsia="仿宋" w:cs="仿宋"/>
          <w:b/>
          <w:sz w:val="60"/>
          <w:szCs w:val="60"/>
        </w:rPr>
      </w:pPr>
      <w:r>
        <w:rPr>
          <w:rFonts w:hint="eastAsia" w:ascii="仿宋" w:hAnsi="仿宋" w:eastAsia="仿宋" w:cs="仿宋"/>
          <w:b/>
          <w:sz w:val="60"/>
          <w:szCs w:val="60"/>
        </w:rPr>
        <w:t>招标文件</w:t>
      </w:r>
    </w:p>
    <w:p w14:paraId="77EEC30A">
      <w:pPr>
        <w:pStyle w:val="3"/>
        <w:rPr>
          <w:rFonts w:ascii="仿宋" w:hAnsi="仿宋" w:eastAsia="仿宋" w:cs="仿宋"/>
        </w:rPr>
      </w:pPr>
    </w:p>
    <w:p w14:paraId="20C992A2">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14:paraId="5B1A90B0">
      <w:pPr>
        <w:snapToGrid w:val="0"/>
        <w:spacing w:line="360" w:lineRule="auto"/>
        <w:ind w:firstLine="1800" w:firstLineChars="600"/>
        <w:jc w:val="left"/>
        <w:rPr>
          <w:rFonts w:ascii="仿宋" w:hAnsi="仿宋" w:eastAsia="仿宋" w:cs="仿宋"/>
          <w:sz w:val="30"/>
          <w:szCs w:val="30"/>
        </w:rPr>
      </w:pPr>
    </w:p>
    <w:p w14:paraId="31EAD6B2">
      <w:pPr>
        <w:pStyle w:val="23"/>
        <w:rPr>
          <w:rFonts w:ascii="仿宋" w:hAnsi="仿宋" w:eastAsia="仿宋" w:cs="仿宋"/>
        </w:rPr>
      </w:pPr>
    </w:p>
    <w:p w14:paraId="41CA7F19">
      <w:pPr>
        <w:pStyle w:val="23"/>
        <w:rPr>
          <w:rFonts w:ascii="仿宋" w:hAnsi="仿宋" w:eastAsia="仿宋" w:cs="仿宋"/>
        </w:rPr>
      </w:pPr>
    </w:p>
    <w:p w14:paraId="35B35335">
      <w:pPr>
        <w:snapToGrid w:val="0"/>
        <w:spacing w:line="360" w:lineRule="auto"/>
        <w:ind w:firstLine="1800" w:firstLineChars="600"/>
        <w:jc w:val="left"/>
        <w:rPr>
          <w:rFonts w:hint="eastAsia" w:ascii="仿宋" w:hAnsi="仿宋" w:eastAsia="仿宋" w:cs="仿宋"/>
          <w:sz w:val="30"/>
          <w:szCs w:val="30"/>
          <w:lang w:val="en-US" w:eastAsia="zh-CN"/>
        </w:rPr>
      </w:pPr>
    </w:p>
    <w:p w14:paraId="14F4B37C">
      <w:pPr>
        <w:snapToGrid w:val="0"/>
        <w:spacing w:line="360" w:lineRule="auto"/>
        <w:ind w:firstLine="1800" w:firstLineChars="600"/>
        <w:jc w:val="left"/>
        <w:rPr>
          <w:rFonts w:hint="eastAsia" w:ascii="仿宋" w:hAnsi="仿宋" w:eastAsia="仿宋" w:cs="仿宋"/>
          <w:sz w:val="30"/>
          <w:szCs w:val="30"/>
          <w:u w:val="single"/>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eastAsia="仿宋" w:cs="仿宋"/>
          <w:sz w:val="30"/>
          <w:szCs w:val="30"/>
          <w:u w:val="none"/>
          <w:lang w:val="en-US" w:eastAsia="zh-CN"/>
        </w:rPr>
        <w:t>：</w:t>
      </w:r>
      <w:r>
        <w:rPr>
          <w:rFonts w:hint="eastAsia" w:ascii="仿宋" w:hAnsi="仿宋" w:eastAsia="仿宋" w:cs="仿宋"/>
          <w:sz w:val="30"/>
          <w:szCs w:val="30"/>
          <w:u w:val="single"/>
          <w:lang w:eastAsia="zh-CN"/>
        </w:rPr>
        <w:t>ZJLC20250617</w:t>
      </w:r>
    </w:p>
    <w:p w14:paraId="0B2D33A4">
      <w:pPr>
        <w:snapToGrid w:val="0"/>
        <w:spacing w:line="360" w:lineRule="auto"/>
        <w:ind w:firstLine="1800" w:firstLineChars="600"/>
        <w:jc w:val="left"/>
        <w:rPr>
          <w:rFonts w:hint="eastAsia" w:ascii="仿宋" w:hAnsi="仿宋" w:eastAsia="仿宋" w:cs="仿宋"/>
          <w:sz w:val="30"/>
          <w:szCs w:val="30"/>
          <w:u w:val="single"/>
          <w:lang w:val="en-US" w:eastAsia="zh-CN"/>
        </w:rPr>
      </w:pPr>
      <w:r>
        <w:rPr>
          <w:rFonts w:hint="eastAsia" w:ascii="仿宋" w:hAnsi="仿宋" w:eastAsia="仿宋" w:cs="仿宋"/>
          <w:sz w:val="30"/>
          <w:szCs w:val="30"/>
          <w:u w:val="none"/>
          <w:lang w:val="en-US" w:eastAsia="zh-CN"/>
        </w:rPr>
        <w:t>项目名称：</w:t>
      </w:r>
      <w:r>
        <w:rPr>
          <w:rFonts w:hint="eastAsia" w:ascii="仿宋" w:hAnsi="仿宋" w:eastAsia="仿宋" w:cs="仿宋"/>
          <w:sz w:val="30"/>
          <w:szCs w:val="30"/>
          <w:u w:val="single"/>
          <w:lang w:eastAsia="zh-CN"/>
        </w:rPr>
        <w:t>瞿溪华侨中学厨房设备采购</w:t>
      </w:r>
    </w:p>
    <w:p w14:paraId="304D60D5">
      <w:pPr>
        <w:snapToGrid w:val="0"/>
        <w:spacing w:line="360" w:lineRule="auto"/>
        <w:ind w:firstLine="1800" w:firstLineChars="600"/>
        <w:jc w:val="left"/>
        <w:rPr>
          <w:rFonts w:ascii="仿宋" w:hAnsi="仿宋" w:eastAsia="仿宋" w:cs="仿宋"/>
          <w:sz w:val="30"/>
          <w:szCs w:val="30"/>
        </w:rPr>
      </w:pPr>
      <w:r>
        <w:rPr>
          <w:rFonts w:hint="eastAsia" w:ascii="仿宋" w:hAnsi="仿宋" w:eastAsia="仿宋" w:cs="仿宋"/>
          <w:sz w:val="30"/>
          <w:szCs w:val="30"/>
        </w:rPr>
        <w:t>采购方式：</w:t>
      </w:r>
      <w:r>
        <w:rPr>
          <w:rFonts w:hint="eastAsia" w:ascii="仿宋" w:hAnsi="仿宋" w:eastAsia="仿宋" w:cs="仿宋"/>
          <w:sz w:val="30"/>
          <w:szCs w:val="30"/>
          <w:u w:val="single"/>
        </w:rPr>
        <w:t>公开招标</w:t>
      </w:r>
    </w:p>
    <w:p w14:paraId="7489A6F2">
      <w:pPr>
        <w:spacing w:line="360" w:lineRule="auto"/>
        <w:jc w:val="center"/>
        <w:rPr>
          <w:rFonts w:ascii="仿宋" w:hAnsi="仿宋" w:eastAsia="仿宋" w:cs="仿宋"/>
          <w:sz w:val="24"/>
        </w:rPr>
      </w:pPr>
    </w:p>
    <w:p w14:paraId="07312B27">
      <w:pPr>
        <w:pStyle w:val="23"/>
        <w:rPr>
          <w:rFonts w:ascii="仿宋" w:hAnsi="仿宋" w:eastAsia="仿宋" w:cs="仿宋"/>
        </w:rPr>
      </w:pPr>
    </w:p>
    <w:p w14:paraId="5627CC69">
      <w:pPr>
        <w:spacing w:line="360" w:lineRule="auto"/>
        <w:jc w:val="center"/>
        <w:rPr>
          <w:rFonts w:ascii="仿宋" w:hAnsi="仿宋" w:eastAsia="仿宋" w:cs="仿宋"/>
          <w:sz w:val="24"/>
        </w:rPr>
      </w:pPr>
    </w:p>
    <w:p w14:paraId="4B321399">
      <w:pPr>
        <w:spacing w:line="360" w:lineRule="auto"/>
        <w:jc w:val="center"/>
        <w:rPr>
          <w:rFonts w:ascii="仿宋" w:hAnsi="仿宋" w:eastAsia="仿宋" w:cs="仿宋"/>
          <w:sz w:val="24"/>
        </w:rPr>
      </w:pPr>
    </w:p>
    <w:p w14:paraId="4C790296">
      <w:pPr>
        <w:spacing w:line="360" w:lineRule="auto"/>
        <w:jc w:val="center"/>
        <w:rPr>
          <w:rFonts w:ascii="仿宋" w:hAnsi="仿宋" w:eastAsia="仿宋" w:cs="仿宋"/>
          <w:sz w:val="24"/>
        </w:rPr>
      </w:pPr>
    </w:p>
    <w:p w14:paraId="55C865D6">
      <w:pPr>
        <w:snapToGrid w:val="0"/>
        <w:spacing w:line="360" w:lineRule="auto"/>
        <w:ind w:left="2557" w:leftChars="608" w:hanging="1280" w:hangingChars="400"/>
        <w:jc w:val="left"/>
        <w:rPr>
          <w:rFonts w:hint="eastAsia" w:ascii="仿宋" w:hAnsi="仿宋" w:eastAsia="仿宋" w:cs="仿宋"/>
          <w:bCs/>
          <w:sz w:val="32"/>
          <w:szCs w:val="32"/>
          <w:u w:val="single"/>
          <w:lang w:eastAsia="zh-CN"/>
        </w:rPr>
      </w:pPr>
      <w:r>
        <w:rPr>
          <w:rFonts w:hint="eastAsia" w:ascii="仿宋" w:hAnsi="仿宋" w:eastAsia="仿宋" w:cs="仿宋"/>
          <w:sz w:val="32"/>
          <w:szCs w:val="32"/>
        </w:rPr>
        <w:t>采购人：</w:t>
      </w:r>
      <w:r>
        <w:rPr>
          <w:rFonts w:hint="eastAsia" w:ascii="仿宋" w:hAnsi="仿宋" w:eastAsia="仿宋" w:cs="仿宋"/>
          <w:bCs/>
          <w:sz w:val="32"/>
          <w:szCs w:val="32"/>
          <w:u w:val="single"/>
          <w:lang w:eastAsia="zh-CN"/>
        </w:rPr>
        <w:t>温州市瓯海区瞿溪华侨中学</w:t>
      </w:r>
    </w:p>
    <w:p w14:paraId="67ECEA43">
      <w:pPr>
        <w:snapToGrid w:val="0"/>
        <w:spacing w:line="360" w:lineRule="auto"/>
        <w:ind w:firstLine="1280" w:firstLineChars="400"/>
        <w:jc w:val="left"/>
        <w:rPr>
          <w:rFonts w:hint="eastAsia" w:ascii="仿宋" w:hAnsi="仿宋" w:eastAsia="仿宋" w:cs="仿宋"/>
          <w:bCs/>
          <w:sz w:val="32"/>
          <w:szCs w:val="32"/>
          <w:u w:val="single"/>
          <w:lang w:eastAsia="zh-CN"/>
        </w:rPr>
      </w:pPr>
      <w:r>
        <w:rPr>
          <w:rFonts w:hint="eastAsia" w:ascii="仿宋" w:hAnsi="仿宋" w:eastAsia="仿宋" w:cs="仿宋"/>
          <w:bCs/>
          <w:sz w:val="32"/>
          <w:szCs w:val="32"/>
        </w:rPr>
        <w:t>采购代理机构：</w:t>
      </w:r>
      <w:r>
        <w:rPr>
          <w:rFonts w:hint="eastAsia" w:ascii="仿宋" w:hAnsi="仿宋" w:eastAsia="仿宋" w:cs="仿宋"/>
          <w:bCs/>
          <w:sz w:val="32"/>
          <w:szCs w:val="32"/>
          <w:u w:val="single"/>
          <w:lang w:eastAsia="zh-CN"/>
        </w:rPr>
        <w:t>浙江立创项目管理有限公司</w:t>
      </w:r>
    </w:p>
    <w:p w14:paraId="2560A5B3">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六</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p>
    <w:p w14:paraId="72B44D48">
      <w:pPr>
        <w:rPr>
          <w:rFonts w:hint="eastAsia" w:ascii="仿宋" w:hAnsi="仿宋" w:eastAsia="仿宋" w:cs="仿宋"/>
          <w:bCs/>
          <w:sz w:val="32"/>
          <w:szCs w:val="32"/>
        </w:rPr>
      </w:pPr>
      <w:r>
        <w:rPr>
          <w:rFonts w:hint="eastAsia" w:ascii="仿宋" w:hAnsi="仿宋" w:eastAsia="仿宋" w:cs="仿宋"/>
          <w:bCs/>
          <w:sz w:val="32"/>
          <w:szCs w:val="32"/>
        </w:rPr>
        <w:br w:type="page"/>
      </w:r>
    </w:p>
    <w:p w14:paraId="34445984">
      <w:pPr>
        <w:snapToGrid w:val="0"/>
        <w:spacing w:line="360" w:lineRule="auto"/>
        <w:jc w:val="center"/>
        <w:rPr>
          <w:rFonts w:hint="eastAsia" w:ascii="仿宋" w:hAnsi="仿宋" w:eastAsia="仿宋" w:cs="仿宋"/>
          <w:bCs/>
          <w:sz w:val="32"/>
          <w:szCs w:val="32"/>
        </w:rPr>
      </w:pPr>
    </w:p>
    <w:p w14:paraId="5C42085A">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45FA0B8E">
      <w:pPr>
        <w:spacing w:line="360" w:lineRule="auto"/>
        <w:rPr>
          <w:rFonts w:ascii="仿宋" w:hAnsi="仿宋" w:eastAsia="仿宋" w:cs="仿宋"/>
          <w:sz w:val="32"/>
          <w:szCs w:val="32"/>
        </w:rPr>
      </w:pPr>
    </w:p>
    <w:p w14:paraId="5DD21CE5">
      <w:pPr>
        <w:spacing w:line="360" w:lineRule="auto"/>
        <w:rPr>
          <w:rFonts w:ascii="仿宋" w:hAnsi="仿宋" w:eastAsia="仿宋" w:cs="仿宋"/>
          <w:sz w:val="32"/>
          <w:szCs w:val="32"/>
        </w:rPr>
      </w:pPr>
    </w:p>
    <w:p w14:paraId="52801AF0">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14:paraId="4701E0BD">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14:paraId="637F1716">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1275315F">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拟签订的合同文本</w:t>
      </w:r>
    </w:p>
    <w:p w14:paraId="5E507465">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应提交的有关格式范例</w:t>
      </w:r>
    </w:p>
    <w:p w14:paraId="68D02C6B">
      <w:pPr>
        <w:spacing w:line="360" w:lineRule="auto"/>
        <w:ind w:firstLine="1280" w:firstLineChars="400"/>
        <w:rPr>
          <w:rFonts w:ascii="仿宋" w:hAnsi="仿宋" w:eastAsia="仿宋" w:cs="仿宋"/>
          <w:sz w:val="32"/>
          <w:szCs w:val="32"/>
        </w:rPr>
      </w:pPr>
      <w:bookmarkStart w:id="0" w:name="_Hlt91233176"/>
      <w:bookmarkEnd w:id="0"/>
      <w:r>
        <w:rPr>
          <w:rFonts w:hint="eastAsia" w:ascii="仿宋" w:hAnsi="仿宋" w:eastAsia="仿宋" w:cs="仿宋"/>
          <w:sz w:val="32"/>
          <w:szCs w:val="32"/>
        </w:rPr>
        <w:t>第六部分  评标办法</w:t>
      </w:r>
    </w:p>
    <w:p w14:paraId="03F65A63">
      <w:pPr>
        <w:spacing w:line="360" w:lineRule="auto"/>
        <w:ind w:firstLine="549" w:firstLineChars="229"/>
        <w:rPr>
          <w:rFonts w:ascii="仿宋" w:hAnsi="仿宋" w:eastAsia="仿宋" w:cs="仿宋"/>
          <w:sz w:val="24"/>
        </w:rPr>
      </w:pPr>
    </w:p>
    <w:p w14:paraId="4226E55C">
      <w:pPr>
        <w:widowControl/>
        <w:adjustRightInd/>
        <w:jc w:val="left"/>
        <w:rPr>
          <w:rFonts w:ascii="仿宋" w:hAnsi="仿宋" w:eastAsia="仿宋" w:cs="仿宋"/>
        </w:rPr>
      </w:pPr>
      <w:r>
        <w:rPr>
          <w:rFonts w:hint="eastAsia" w:ascii="仿宋" w:hAnsi="仿宋" w:eastAsia="仿宋" w:cs="仿宋"/>
        </w:rPr>
        <w:br w:type="page"/>
      </w:r>
    </w:p>
    <w:p w14:paraId="723C6280">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第一部分  招标公告</w:t>
      </w:r>
    </w:p>
    <w:p w14:paraId="1D97B8B1">
      <w:pPr>
        <w:widowControl/>
        <w:adjustRightInd/>
        <w:jc w:val="center"/>
        <w:rPr>
          <w:rFonts w:ascii="仿宋" w:hAnsi="仿宋" w:eastAsia="仿宋" w:cs="仿宋"/>
          <w:b/>
          <w:bCs/>
          <w:kern w:val="0"/>
          <w:sz w:val="28"/>
          <w:szCs w:val="28"/>
        </w:rPr>
      </w:pPr>
      <w:r>
        <w:rPr>
          <w:rFonts w:hint="eastAsia" w:ascii="仿宋" w:hAnsi="仿宋" w:eastAsia="仿宋" w:cs="仿宋"/>
          <w:b/>
          <w:bCs/>
          <w:kern w:val="0"/>
          <w:sz w:val="28"/>
          <w:szCs w:val="28"/>
          <w:u w:val="single"/>
          <w:lang w:eastAsia="zh-CN"/>
        </w:rPr>
        <w:t>浙江立创项目管理有限公司</w:t>
      </w:r>
      <w:r>
        <w:rPr>
          <w:rFonts w:hint="eastAsia" w:ascii="仿宋" w:hAnsi="仿宋" w:eastAsia="仿宋" w:cs="仿宋"/>
          <w:b/>
          <w:bCs/>
          <w:kern w:val="0"/>
          <w:sz w:val="28"/>
          <w:szCs w:val="28"/>
        </w:rPr>
        <w:t>关于</w:t>
      </w:r>
      <w:r>
        <w:rPr>
          <w:rFonts w:hint="eastAsia" w:ascii="仿宋" w:hAnsi="仿宋" w:eastAsia="仿宋" w:cs="仿宋"/>
          <w:b/>
          <w:bCs/>
          <w:kern w:val="0"/>
          <w:sz w:val="28"/>
          <w:szCs w:val="28"/>
          <w:u w:val="single"/>
          <w:lang w:eastAsia="zh-CN"/>
        </w:rPr>
        <w:t>瞿溪华侨中学厨房设备采购</w:t>
      </w:r>
      <w:r>
        <w:rPr>
          <w:rFonts w:hint="eastAsia" w:ascii="仿宋" w:hAnsi="仿宋" w:eastAsia="仿宋" w:cs="仿宋"/>
          <w:b/>
          <w:bCs/>
          <w:kern w:val="0"/>
          <w:sz w:val="28"/>
          <w:szCs w:val="28"/>
        </w:rPr>
        <w:t>的公开招标公告</w:t>
      </w:r>
    </w:p>
    <w:p w14:paraId="2C67F981">
      <w:pPr>
        <w:widowControl/>
        <w:adjustRightInd/>
        <w:jc w:val="center"/>
        <w:rPr>
          <w:rFonts w:ascii="仿宋" w:hAnsi="仿宋" w:eastAsia="仿宋" w:cs="仿宋"/>
          <w:b/>
          <w:bCs/>
          <w:kern w:val="0"/>
          <w:sz w:val="24"/>
        </w:rPr>
      </w:pP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95"/>
      </w:tblGrid>
      <w:tr w14:paraId="0C56F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5" w:type="dxa"/>
          </w:tcPr>
          <w:p w14:paraId="3E0B2CEA">
            <w:pPr>
              <w:widowControl/>
              <w:snapToGrid w:val="0"/>
              <w:spacing w:before="120" w:beforeLines="50" w:line="360" w:lineRule="auto"/>
              <w:jc w:val="left"/>
              <w:rPr>
                <w:rFonts w:ascii="仿宋" w:hAnsi="仿宋" w:eastAsia="仿宋" w:cs="仿宋"/>
                <w:kern w:val="0"/>
                <w:sz w:val="24"/>
              </w:rPr>
            </w:pPr>
            <w:r>
              <w:rPr>
                <w:rFonts w:hint="eastAsia" w:ascii="仿宋" w:hAnsi="仿宋" w:eastAsia="仿宋" w:cs="仿宋"/>
                <w:kern w:val="0"/>
                <w:sz w:val="24"/>
              </w:rPr>
              <w:t>项目概况</w:t>
            </w:r>
          </w:p>
          <w:p w14:paraId="7D430F24">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jc w:val="left"/>
              <w:textAlignment w:val="auto"/>
              <w:rPr>
                <w:rFonts w:ascii="仿宋" w:hAnsi="仿宋" w:eastAsia="仿宋" w:cs="仿宋"/>
                <w:b/>
                <w:bCs/>
                <w:kern w:val="0"/>
                <w:sz w:val="24"/>
              </w:rPr>
            </w:pPr>
            <w:r>
              <w:rPr>
                <w:rFonts w:hint="eastAsia" w:ascii="仿宋" w:hAnsi="仿宋" w:eastAsia="仿宋" w:cs="仿宋"/>
                <w:kern w:val="0"/>
                <w:sz w:val="24"/>
                <w:lang w:eastAsia="zh-CN"/>
              </w:rPr>
              <w:t>瞿溪华侨中学厨房设备采购</w:t>
            </w:r>
            <w:r>
              <w:rPr>
                <w:rFonts w:hint="eastAsia" w:ascii="仿宋" w:hAnsi="仿宋" w:eastAsia="仿宋" w:cs="仿宋"/>
                <w:kern w:val="0"/>
                <w:sz w:val="24"/>
              </w:rPr>
              <w:t>的潜在投标人应在政采云平台</w:t>
            </w:r>
            <w:r>
              <w:rPr>
                <w:rStyle w:val="73"/>
                <w:rFonts w:hint="eastAsia" w:ascii="仿宋" w:hAnsi="仿宋" w:eastAsia="仿宋" w:cs="仿宋"/>
                <w:color w:val="auto"/>
                <w:kern w:val="0"/>
                <w:sz w:val="24"/>
              </w:rPr>
              <w:fldChar w:fldCharType="begin"/>
            </w:r>
            <w:r>
              <w:rPr>
                <w:rStyle w:val="73"/>
                <w:rFonts w:hint="eastAsia" w:ascii="仿宋" w:hAnsi="仿宋" w:eastAsia="仿宋" w:cs="仿宋"/>
                <w:color w:val="auto"/>
                <w:kern w:val="0"/>
                <w:sz w:val="24"/>
              </w:rPr>
              <w:instrText xml:space="preserve"> HYPERLINK "https://www.zcygov.cn/获取（下载）招标文件，并于2025年2月" </w:instrText>
            </w:r>
            <w:r>
              <w:rPr>
                <w:rStyle w:val="73"/>
                <w:rFonts w:hint="eastAsia" w:ascii="仿宋" w:hAnsi="仿宋" w:eastAsia="仿宋" w:cs="仿宋"/>
                <w:color w:val="auto"/>
                <w:kern w:val="0"/>
                <w:sz w:val="24"/>
              </w:rPr>
              <w:fldChar w:fldCharType="separate"/>
            </w:r>
            <w:r>
              <w:rPr>
                <w:rStyle w:val="73"/>
                <w:rFonts w:hint="eastAsia" w:ascii="仿宋" w:hAnsi="仿宋" w:eastAsia="仿宋" w:cs="仿宋"/>
                <w:color w:val="auto"/>
                <w:kern w:val="0"/>
                <w:sz w:val="24"/>
              </w:rPr>
              <w:t>https://www.zcygov.cn/获取（下载）招标文件，并于2025年</w:t>
            </w:r>
            <w:r>
              <w:rPr>
                <w:rStyle w:val="73"/>
                <w:rFonts w:hint="eastAsia" w:ascii="仿宋" w:hAnsi="仿宋" w:eastAsia="仿宋" w:cs="仿宋"/>
                <w:color w:val="auto"/>
                <w:kern w:val="0"/>
                <w:sz w:val="24"/>
                <w:lang w:val="en-US" w:eastAsia="zh-CN"/>
              </w:rPr>
              <w:t>07</w:t>
            </w:r>
            <w:r>
              <w:rPr>
                <w:rStyle w:val="73"/>
                <w:rFonts w:hint="eastAsia" w:ascii="仿宋" w:hAnsi="仿宋" w:eastAsia="仿宋" w:cs="仿宋"/>
                <w:color w:val="auto"/>
                <w:kern w:val="0"/>
                <w:sz w:val="24"/>
              </w:rPr>
              <w:t>月</w:t>
            </w:r>
            <w:r>
              <w:rPr>
                <w:rStyle w:val="73"/>
                <w:rFonts w:hint="eastAsia" w:ascii="仿宋" w:hAnsi="仿宋" w:eastAsia="仿宋" w:cs="仿宋"/>
                <w:color w:val="auto"/>
                <w:kern w:val="0"/>
                <w:sz w:val="24"/>
              </w:rPr>
              <w:fldChar w:fldCharType="end"/>
            </w:r>
            <w:r>
              <w:rPr>
                <w:rStyle w:val="73"/>
                <w:rFonts w:hint="eastAsia" w:ascii="仿宋" w:hAnsi="仿宋" w:eastAsia="仿宋" w:cs="仿宋"/>
                <w:color w:val="auto"/>
                <w:kern w:val="0"/>
                <w:sz w:val="24"/>
                <w:lang w:val="en-US" w:eastAsia="zh-CN"/>
              </w:rPr>
              <w:t>22</w:t>
            </w:r>
            <w:r>
              <w:rPr>
                <w:rStyle w:val="73"/>
                <w:rFonts w:hint="eastAsia" w:ascii="仿宋" w:hAnsi="仿宋" w:eastAsia="仿宋" w:cs="仿宋"/>
                <w:color w:val="auto"/>
                <w:kern w:val="0"/>
                <w:sz w:val="24"/>
              </w:rPr>
              <w:t>日</w:t>
            </w:r>
            <w:r>
              <w:rPr>
                <w:rFonts w:ascii="仿宋" w:hAnsi="仿宋" w:eastAsia="仿宋" w:cs="仿宋"/>
                <w:bCs/>
                <w:sz w:val="24"/>
                <w:u w:val="single"/>
              </w:rPr>
              <w:t>14</w:t>
            </w:r>
            <w:r>
              <w:rPr>
                <w:rFonts w:hint="eastAsia" w:ascii="仿宋" w:hAnsi="仿宋" w:eastAsia="仿宋" w:cs="仿宋"/>
                <w:bCs/>
                <w:sz w:val="24"/>
                <w:u w:val="single"/>
              </w:rPr>
              <w:t xml:space="preserve"> </w:t>
            </w:r>
            <w:r>
              <w:rPr>
                <w:rFonts w:hint="eastAsia" w:ascii="仿宋" w:hAnsi="仿宋" w:eastAsia="仿宋" w:cs="仿宋"/>
                <w:kern w:val="0"/>
                <w:sz w:val="24"/>
                <w:u w:val="single"/>
              </w:rPr>
              <w:t>:30</w:t>
            </w:r>
            <w:r>
              <w:rPr>
                <w:rFonts w:hint="eastAsia" w:ascii="仿宋" w:hAnsi="仿宋" w:eastAsia="仿宋" w:cs="仿宋"/>
                <w:kern w:val="0"/>
                <w:sz w:val="24"/>
              </w:rPr>
              <w:t>（北京时间）前递交（上传）投标文件。</w:t>
            </w:r>
          </w:p>
        </w:tc>
      </w:tr>
    </w:tbl>
    <w:p w14:paraId="5DD997BE">
      <w:pPr>
        <w:widowControl/>
        <w:snapToGrid w:val="0"/>
        <w:spacing w:line="360" w:lineRule="auto"/>
        <w:jc w:val="center"/>
        <w:rPr>
          <w:rFonts w:ascii="仿宋" w:hAnsi="仿宋" w:eastAsia="仿宋" w:cs="仿宋"/>
          <w:b/>
          <w:bCs/>
          <w:kern w:val="0"/>
          <w:sz w:val="24"/>
        </w:rPr>
      </w:pPr>
    </w:p>
    <w:p w14:paraId="48B2A306">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一、项目基本情况</w:t>
      </w:r>
    </w:p>
    <w:p w14:paraId="18EE9AEA">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项目编号：</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ZJLC20250617</w:t>
      </w:r>
    </w:p>
    <w:p w14:paraId="370A4F02">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项目名称：</w:t>
      </w:r>
      <w:r>
        <w:rPr>
          <w:rFonts w:hint="eastAsia" w:ascii="仿宋" w:hAnsi="仿宋" w:eastAsia="仿宋" w:cs="仿宋"/>
          <w:kern w:val="0"/>
          <w:sz w:val="24"/>
          <w:u w:val="single"/>
          <w:lang w:eastAsia="zh-CN"/>
        </w:rPr>
        <w:t>瞿溪华侨中学厨房设备采购</w:t>
      </w:r>
    </w:p>
    <w:p w14:paraId="27716752">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预算金额（元）：</w:t>
      </w:r>
      <w:r>
        <w:rPr>
          <w:rFonts w:hint="eastAsia" w:ascii="仿宋" w:hAnsi="仿宋" w:eastAsia="仿宋" w:cs="仿宋"/>
          <w:bCs/>
          <w:sz w:val="24"/>
          <w:u w:val="single"/>
          <w:lang w:eastAsia="zh-CN"/>
        </w:rPr>
        <w:t>1300000</w:t>
      </w:r>
    </w:p>
    <w:p w14:paraId="2C3CB519">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最高限价（元）：</w:t>
      </w:r>
      <w:r>
        <w:rPr>
          <w:rFonts w:hint="eastAsia" w:ascii="仿宋" w:hAnsi="仿宋" w:eastAsia="仿宋" w:cs="仿宋"/>
          <w:bCs/>
          <w:sz w:val="24"/>
          <w:u w:val="single"/>
          <w:lang w:eastAsia="zh-CN"/>
        </w:rPr>
        <w:t>1300000</w:t>
      </w:r>
    </w:p>
    <w:p w14:paraId="61C5853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采购需求：</w:t>
      </w:r>
    </w:p>
    <w:p w14:paraId="45F10C6C">
      <w:pPr>
        <w:widowControl/>
        <w:snapToGrid w:val="0"/>
        <w:spacing w:line="360" w:lineRule="auto"/>
        <w:ind w:left="420" w:leftChars="200"/>
        <w:jc w:val="left"/>
        <w:rPr>
          <w:rFonts w:hint="eastAsia" w:ascii="仿宋" w:hAnsi="仿宋" w:eastAsia="仿宋" w:cs="仿宋"/>
          <w:kern w:val="0"/>
          <w:sz w:val="24"/>
          <w:lang w:eastAsia="zh-CN"/>
        </w:rPr>
      </w:pPr>
      <w:r>
        <w:rPr>
          <w:rFonts w:hint="eastAsia" w:ascii="仿宋" w:hAnsi="仿宋" w:eastAsia="仿宋" w:cs="仿宋"/>
          <w:kern w:val="0"/>
          <w:sz w:val="24"/>
        </w:rPr>
        <w:t>标项名称:</w:t>
      </w:r>
      <w:r>
        <w:rPr>
          <w:rFonts w:hint="eastAsia" w:ascii="仿宋" w:hAnsi="仿宋" w:eastAsia="仿宋" w:cs="仿宋"/>
          <w:kern w:val="0"/>
          <w:sz w:val="24"/>
          <w:u w:val="single"/>
          <w:lang w:eastAsia="zh-CN"/>
        </w:rPr>
        <w:t>瞿溪华侨中学厨房设备采购</w:t>
      </w:r>
    </w:p>
    <w:p w14:paraId="0C27F97A">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数量:</w:t>
      </w:r>
      <w:r>
        <w:rPr>
          <w:rFonts w:hint="eastAsia" w:ascii="仿宋" w:hAnsi="仿宋" w:eastAsia="仿宋" w:cs="仿宋"/>
          <w:bCs/>
          <w:sz w:val="24"/>
          <w:u w:val="single"/>
        </w:rPr>
        <w:t xml:space="preserve">  1  </w:t>
      </w:r>
    </w:p>
    <w:p w14:paraId="57347535">
      <w:pPr>
        <w:widowControl/>
        <w:snapToGrid w:val="0"/>
        <w:spacing w:line="360" w:lineRule="auto"/>
        <w:ind w:left="420" w:leftChars="200"/>
        <w:jc w:val="left"/>
        <w:rPr>
          <w:rFonts w:hint="eastAsia" w:ascii="仿宋" w:hAnsi="仿宋" w:eastAsia="仿宋" w:cs="仿宋"/>
          <w:bCs/>
          <w:sz w:val="24"/>
          <w:u w:val="single"/>
          <w:lang w:eastAsia="zh-CN"/>
        </w:rPr>
      </w:pPr>
      <w:r>
        <w:rPr>
          <w:rFonts w:hint="eastAsia" w:ascii="仿宋" w:hAnsi="仿宋" w:eastAsia="仿宋" w:cs="仿宋"/>
          <w:kern w:val="0"/>
          <w:sz w:val="24"/>
        </w:rPr>
        <w:t>预算金额（元）:</w:t>
      </w:r>
      <w:r>
        <w:rPr>
          <w:rFonts w:hint="eastAsia" w:ascii="仿宋" w:hAnsi="仿宋" w:eastAsia="仿宋" w:cs="仿宋"/>
          <w:bCs/>
          <w:sz w:val="24"/>
          <w:u w:val="single"/>
          <w:lang w:eastAsia="zh-CN"/>
        </w:rPr>
        <w:t>1300</w:t>
      </w:r>
      <w:bookmarkStart w:id="119" w:name="_GoBack"/>
      <w:bookmarkEnd w:id="119"/>
      <w:r>
        <w:rPr>
          <w:rFonts w:hint="eastAsia" w:ascii="仿宋" w:hAnsi="仿宋" w:eastAsia="仿宋" w:cs="仿宋"/>
          <w:bCs/>
          <w:sz w:val="24"/>
          <w:u w:val="single"/>
          <w:lang w:eastAsia="zh-CN"/>
        </w:rPr>
        <w:t>000</w:t>
      </w:r>
    </w:p>
    <w:p w14:paraId="12A517D2">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简要规格描述或项目基本概况介绍、用途：</w:t>
      </w:r>
      <w:r>
        <w:rPr>
          <w:rFonts w:hint="eastAsia" w:ascii="仿宋" w:hAnsi="仿宋" w:eastAsia="仿宋" w:cs="仿宋"/>
          <w:kern w:val="0"/>
          <w:sz w:val="24"/>
          <w:u w:val="single"/>
          <w:lang w:eastAsia="zh-CN"/>
        </w:rPr>
        <w:t>瞿溪华侨中学厨房设备采购</w:t>
      </w:r>
      <w:r>
        <w:rPr>
          <w:rFonts w:hint="eastAsia" w:ascii="仿宋" w:hAnsi="仿宋" w:eastAsia="仿宋" w:cs="仿宋"/>
          <w:bCs/>
          <w:sz w:val="24"/>
          <w:u w:val="single"/>
        </w:rPr>
        <w:t xml:space="preserve">，具体详见招标文件 </w:t>
      </w:r>
    </w:p>
    <w:p w14:paraId="46E5F2D1">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备注：</w:t>
      </w:r>
      <w:r>
        <w:rPr>
          <w:rFonts w:hint="eastAsia" w:ascii="仿宋" w:hAnsi="仿宋" w:eastAsia="仿宋" w:cs="仿宋"/>
          <w:bCs/>
          <w:sz w:val="24"/>
          <w:u w:val="single"/>
        </w:rPr>
        <w:t xml:space="preserve">  /  </w:t>
      </w:r>
    </w:p>
    <w:p w14:paraId="2041E9B2">
      <w:pPr>
        <w:widowControl/>
        <w:snapToGrid w:val="0"/>
        <w:spacing w:line="360" w:lineRule="auto"/>
        <w:ind w:left="420" w:leftChars="200"/>
        <w:jc w:val="left"/>
        <w:rPr>
          <w:rFonts w:ascii="仿宋" w:hAnsi="仿宋" w:eastAsia="仿宋" w:cs="仿宋"/>
          <w:bCs/>
          <w:sz w:val="24"/>
          <w:u w:val="single"/>
        </w:rPr>
      </w:pPr>
      <w:r>
        <w:rPr>
          <w:rFonts w:hint="eastAsia" w:ascii="仿宋" w:hAnsi="仿宋" w:eastAsia="仿宋" w:cs="仿宋"/>
          <w:kern w:val="0"/>
          <w:sz w:val="24"/>
        </w:rPr>
        <w:t>合同履约期限：</w:t>
      </w:r>
      <w:r>
        <w:rPr>
          <w:rFonts w:hint="eastAsia" w:ascii="仿宋" w:hAnsi="仿宋" w:eastAsia="仿宋" w:cs="仿宋"/>
          <w:bCs/>
          <w:sz w:val="24"/>
          <w:u w:val="single"/>
        </w:rPr>
        <w:t xml:space="preserve">具体详见招标文件 </w:t>
      </w:r>
    </w:p>
    <w:p w14:paraId="60AE9664">
      <w:pPr>
        <w:widowControl/>
        <w:snapToGrid w:val="0"/>
        <w:spacing w:line="360" w:lineRule="auto"/>
        <w:ind w:left="420" w:leftChars="200"/>
        <w:jc w:val="left"/>
        <w:rPr>
          <w:rFonts w:ascii="仿宋" w:hAnsi="仿宋" w:eastAsia="仿宋" w:cs="仿宋"/>
          <w:kern w:val="0"/>
          <w:sz w:val="24"/>
        </w:rPr>
      </w:pPr>
      <w:r>
        <w:rPr>
          <w:rFonts w:hint="eastAsia" w:ascii="仿宋" w:hAnsi="仿宋" w:eastAsia="仿宋" w:cs="仿宋"/>
          <w:kern w:val="0"/>
          <w:sz w:val="24"/>
        </w:rPr>
        <w:t>本项目</w:t>
      </w:r>
      <w:r>
        <w:rPr>
          <w:rFonts w:hint="eastAsia" w:ascii="仿宋" w:hAnsi="仿宋" w:eastAsia="仿宋" w:cs="仿宋"/>
          <w:kern w:val="0"/>
          <w:sz w:val="24"/>
          <w:u w:val="single"/>
        </w:rPr>
        <w:t xml:space="preserve"> 是 </w:t>
      </w:r>
      <w:r>
        <w:rPr>
          <w:rFonts w:hint="eastAsia" w:ascii="仿宋" w:hAnsi="仿宋" w:eastAsia="仿宋" w:cs="仿宋"/>
          <w:kern w:val="0"/>
          <w:sz w:val="24"/>
        </w:rPr>
        <w:t>接受联合体投标。</w:t>
      </w:r>
    </w:p>
    <w:p w14:paraId="18CF4293">
      <w:pPr>
        <w:widowControl/>
        <w:snapToGrid w:val="0"/>
        <w:spacing w:line="360" w:lineRule="auto"/>
        <w:jc w:val="left"/>
        <w:rPr>
          <w:rFonts w:ascii="仿宋" w:hAnsi="仿宋" w:eastAsia="仿宋" w:cs="仿宋"/>
          <w:kern w:val="0"/>
          <w:sz w:val="24"/>
        </w:rPr>
      </w:pPr>
      <w:r>
        <w:rPr>
          <w:rFonts w:hint="eastAsia" w:ascii="仿宋" w:hAnsi="仿宋" w:eastAsia="仿宋" w:cs="仿宋"/>
          <w:b/>
          <w:bCs/>
          <w:kern w:val="0"/>
          <w:sz w:val="24"/>
        </w:rPr>
        <w:t>二、申请人的资格要求</w:t>
      </w:r>
    </w:p>
    <w:p w14:paraId="67C8DF9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0EC53C80">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rPr>
        <w:t>2.落实政府采购政策需满足的资格要求：</w:t>
      </w:r>
      <w:r>
        <w:rPr>
          <w:rFonts w:ascii="仿宋" w:hAnsi="仿宋" w:eastAsia="仿宋" w:cs="仿宋"/>
          <w:kern w:val="0"/>
          <w:sz w:val="24"/>
          <w:u w:val="single"/>
        </w:rPr>
        <w:t>专门面向中小企业采购</w:t>
      </w:r>
      <w:r>
        <w:rPr>
          <w:rFonts w:hint="eastAsia" w:ascii="仿宋" w:hAnsi="仿宋" w:eastAsia="仿宋" w:cs="仿宋"/>
          <w:kern w:val="0"/>
          <w:sz w:val="24"/>
          <w:u w:val="single"/>
        </w:rPr>
        <w:t>，提供中小企业声明函</w:t>
      </w:r>
      <w:r>
        <w:rPr>
          <w:rFonts w:hint="eastAsia" w:ascii="仿宋" w:hAnsi="仿宋" w:eastAsia="仿宋" w:cs="仿宋"/>
          <w:bCs/>
          <w:kern w:val="0"/>
          <w:sz w:val="24"/>
          <w:u w:val="single"/>
        </w:rPr>
        <w:t>。</w:t>
      </w:r>
    </w:p>
    <w:p w14:paraId="0D0DA8FA">
      <w:pPr>
        <w:pStyle w:val="22"/>
        <w:ind w:firstLine="0" w:firstLineChars="0"/>
        <w:rPr>
          <w:rFonts w:ascii="仿宋" w:hAnsi="仿宋" w:eastAsia="仿宋" w:cs="仿宋"/>
        </w:rPr>
      </w:pPr>
      <w:r>
        <w:rPr>
          <w:rFonts w:hint="eastAsia" w:ascii="仿宋" w:hAnsi="仿宋" w:eastAsia="仿宋" w:cs="仿宋"/>
          <w:kern w:val="0"/>
          <w:sz w:val="24"/>
        </w:rPr>
        <w:t>3.本项目的特定资格要求：</w:t>
      </w:r>
      <w:r>
        <w:rPr>
          <w:rFonts w:hint="eastAsia" w:ascii="仿宋" w:hAnsi="仿宋" w:eastAsia="仿宋" w:cs="仿宋"/>
          <w:kern w:val="0"/>
          <w:sz w:val="24"/>
          <w:u w:val="single"/>
        </w:rPr>
        <w:t>无。</w:t>
      </w:r>
    </w:p>
    <w:p w14:paraId="6214D172">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三、获取招标文件</w:t>
      </w:r>
    </w:p>
    <w:p w14:paraId="5C8A1E5B">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时间：</w:t>
      </w:r>
      <w:r>
        <w:rPr>
          <w:rFonts w:hint="eastAsia" w:ascii="仿宋" w:hAnsi="仿宋" w:eastAsia="仿宋" w:cs="仿宋"/>
          <w:kern w:val="0"/>
          <w:sz w:val="24"/>
          <w:u w:val="single"/>
        </w:rPr>
        <w:t>公告发布</w:t>
      </w:r>
      <w:r>
        <w:rPr>
          <w:rFonts w:ascii="仿宋" w:hAnsi="仿宋" w:eastAsia="仿宋" w:cs="仿宋"/>
          <w:kern w:val="0"/>
          <w:sz w:val="24"/>
          <w:u w:val="single"/>
        </w:rPr>
        <w:t>之</w:t>
      </w:r>
      <w:r>
        <w:rPr>
          <w:rFonts w:hint="eastAsia" w:ascii="仿宋" w:hAnsi="仿宋" w:eastAsia="仿宋" w:cs="仿宋"/>
          <w:kern w:val="0"/>
          <w:sz w:val="24"/>
          <w:u w:val="single"/>
        </w:rPr>
        <w:t>时</w:t>
      </w:r>
      <w:r>
        <w:rPr>
          <w:rFonts w:hint="eastAsia" w:ascii="仿宋" w:hAnsi="仿宋" w:eastAsia="仿宋" w:cs="仿宋"/>
          <w:kern w:val="0"/>
          <w:sz w:val="24"/>
        </w:rPr>
        <w:t>至</w:t>
      </w:r>
      <w:r>
        <w:rPr>
          <w:rFonts w:hint="eastAsia" w:ascii="仿宋" w:hAnsi="仿宋" w:eastAsia="仿宋" w:cs="仿宋"/>
          <w:kern w:val="0"/>
          <w:sz w:val="24"/>
          <w:u w:val="single"/>
        </w:rPr>
        <w:t>提交投标文件截止时间</w:t>
      </w:r>
      <w:r>
        <w:rPr>
          <w:rFonts w:hint="eastAsia" w:ascii="仿宋" w:hAnsi="仿宋" w:eastAsia="仿宋" w:cs="仿宋"/>
          <w:kern w:val="0"/>
          <w:sz w:val="24"/>
        </w:rPr>
        <w:t>（投标</w:t>
      </w:r>
      <w:r>
        <w:rPr>
          <w:rFonts w:ascii="仿宋" w:hAnsi="仿宋" w:eastAsia="仿宋" w:cs="仿宋"/>
          <w:kern w:val="0"/>
          <w:sz w:val="24"/>
        </w:rPr>
        <w:t>截止之</w:t>
      </w:r>
      <w:r>
        <w:rPr>
          <w:rFonts w:hint="eastAsia" w:ascii="仿宋" w:hAnsi="仿宋" w:eastAsia="仿宋" w:cs="仿宋"/>
          <w:kern w:val="0"/>
          <w:sz w:val="24"/>
        </w:rPr>
        <w:t>时</w:t>
      </w:r>
      <w:r>
        <w:rPr>
          <w:rFonts w:ascii="仿宋" w:hAnsi="仿宋" w:eastAsia="仿宋" w:cs="仿宋"/>
          <w:kern w:val="0"/>
          <w:sz w:val="24"/>
        </w:rPr>
        <w:t>）</w:t>
      </w:r>
      <w:r>
        <w:rPr>
          <w:rFonts w:hint="eastAsia" w:ascii="仿宋" w:hAnsi="仿宋" w:eastAsia="仿宋" w:cs="仿宋"/>
          <w:kern w:val="0"/>
          <w:sz w:val="24"/>
        </w:rPr>
        <w:t>，每天上午00:00至12:00，下午12:00至23:59（北京时间，线上获取法定节假日均可，线下获取文件法定节假日除外）</w:t>
      </w:r>
    </w:p>
    <w:p w14:paraId="5A8ED2C9">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地点（网址）：政采云平台https://www.zcygov.cn/</w:t>
      </w:r>
    </w:p>
    <w:p w14:paraId="6139054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方式：投标人登录政采云平台https://www.zcygov.cn/在线申请获取招标文件（进入“项目采购”应用，在获取招标文件菜单中选择项目，申请获取招标文件）</w:t>
      </w:r>
    </w:p>
    <w:p w14:paraId="6F1770B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售价（元）：0</w:t>
      </w:r>
    </w:p>
    <w:p w14:paraId="3F15B396">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四、提交投标文件截止时间、开标时间和地点</w:t>
      </w:r>
    </w:p>
    <w:p w14:paraId="74024A7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提交投标文件截止时间：202</w:t>
      </w:r>
      <w:r>
        <w:rPr>
          <w:rFonts w:ascii="仿宋" w:hAnsi="仿宋" w:eastAsia="仿宋" w:cs="仿宋"/>
          <w:kern w:val="0"/>
          <w:sz w:val="24"/>
        </w:rPr>
        <w:t>5</w:t>
      </w:r>
      <w:r>
        <w:rPr>
          <w:rFonts w:hint="eastAsia" w:ascii="仿宋" w:hAnsi="仿宋" w:eastAsia="仿宋" w:cs="仿宋"/>
          <w:kern w:val="0"/>
          <w:sz w:val="24"/>
        </w:rPr>
        <w:t>年</w:t>
      </w:r>
      <w:r>
        <w:rPr>
          <w:rFonts w:hint="eastAsia" w:ascii="仿宋" w:hAnsi="仿宋" w:eastAsia="仿宋" w:cs="仿宋"/>
          <w:kern w:val="0"/>
          <w:sz w:val="24"/>
          <w:lang w:val="en-US" w:eastAsia="zh-CN"/>
        </w:rPr>
        <w:t>0</w:t>
      </w:r>
      <w:r>
        <w:rPr>
          <w:rFonts w:hint="eastAsia" w:ascii="仿宋" w:hAnsi="仿宋" w:eastAsia="仿宋" w:cs="仿宋"/>
          <w:bCs/>
          <w:sz w:val="24"/>
          <w:u w:val="single"/>
          <w:lang w:val="en-US" w:eastAsia="zh-CN"/>
        </w:rPr>
        <w:t>7</w:t>
      </w:r>
      <w:r>
        <w:rPr>
          <w:rFonts w:hint="eastAsia" w:ascii="仿宋" w:hAnsi="仿宋" w:eastAsia="仿宋" w:cs="仿宋"/>
          <w:kern w:val="0"/>
          <w:sz w:val="24"/>
        </w:rPr>
        <w:t>月</w:t>
      </w:r>
      <w:r>
        <w:rPr>
          <w:rFonts w:hint="eastAsia" w:ascii="仿宋" w:hAnsi="仿宋" w:eastAsia="仿宋" w:cs="仿宋"/>
          <w:bCs/>
          <w:sz w:val="24"/>
          <w:u w:val="single"/>
          <w:lang w:val="en-US" w:eastAsia="zh-CN"/>
        </w:rPr>
        <w:t>22</w:t>
      </w:r>
      <w:r>
        <w:rPr>
          <w:rFonts w:hint="eastAsia" w:ascii="仿宋" w:hAnsi="仿宋" w:eastAsia="仿宋" w:cs="仿宋"/>
          <w:kern w:val="0"/>
          <w:sz w:val="24"/>
        </w:rPr>
        <w:t>日</w:t>
      </w:r>
      <w:r>
        <w:rPr>
          <w:rFonts w:hint="eastAsia" w:ascii="仿宋" w:hAnsi="仿宋" w:eastAsia="仿宋" w:cs="仿宋"/>
          <w:kern w:val="0"/>
          <w:sz w:val="24"/>
          <w:u w:val="single"/>
        </w:rPr>
        <w:t xml:space="preserve"> </w:t>
      </w:r>
      <w:r>
        <w:rPr>
          <w:rFonts w:ascii="仿宋" w:hAnsi="仿宋" w:eastAsia="仿宋" w:cs="仿宋"/>
          <w:kern w:val="0"/>
          <w:sz w:val="24"/>
          <w:u w:val="single"/>
        </w:rPr>
        <w:t>14</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30 </w:t>
      </w:r>
      <w:r>
        <w:rPr>
          <w:rFonts w:hint="eastAsia" w:ascii="仿宋" w:hAnsi="仿宋" w:eastAsia="仿宋" w:cs="仿宋"/>
          <w:kern w:val="0"/>
          <w:sz w:val="24"/>
        </w:rPr>
        <w:t>（北京时间）</w:t>
      </w:r>
    </w:p>
    <w:p w14:paraId="10717F87">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投标地点（网址）：政采云平台（</w:t>
      </w:r>
      <w:r>
        <w:fldChar w:fldCharType="begin"/>
      </w:r>
      <w:r>
        <w:instrText xml:space="preserve"> HYPERLINK "https://www.zcygov.cn/）" </w:instrText>
      </w:r>
      <w:r>
        <w:fldChar w:fldCharType="separate"/>
      </w:r>
      <w:r>
        <w:rPr>
          <w:rStyle w:val="73"/>
          <w:rFonts w:hint="eastAsia" w:ascii="仿宋" w:hAnsi="仿宋" w:eastAsia="仿宋" w:cs="仿宋"/>
          <w:color w:val="auto"/>
          <w:kern w:val="0"/>
          <w:sz w:val="24"/>
        </w:rPr>
        <w:t>https://www.zcygov.cn/）</w:t>
      </w:r>
      <w:r>
        <w:rPr>
          <w:rStyle w:val="73"/>
          <w:rFonts w:hint="eastAsia" w:ascii="仿宋" w:hAnsi="仿宋" w:eastAsia="仿宋" w:cs="仿宋"/>
          <w:color w:val="auto"/>
          <w:kern w:val="0"/>
          <w:sz w:val="24"/>
        </w:rPr>
        <w:fldChar w:fldCharType="end"/>
      </w:r>
    </w:p>
    <w:p w14:paraId="51A65052">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开标时间：202</w:t>
      </w:r>
      <w:r>
        <w:rPr>
          <w:rFonts w:ascii="仿宋" w:hAnsi="仿宋" w:eastAsia="仿宋" w:cs="仿宋"/>
          <w:kern w:val="0"/>
          <w:sz w:val="24"/>
        </w:rPr>
        <w:t>5</w:t>
      </w:r>
      <w:r>
        <w:rPr>
          <w:rFonts w:hint="eastAsia" w:ascii="仿宋" w:hAnsi="仿宋" w:eastAsia="仿宋" w:cs="仿宋"/>
          <w:kern w:val="0"/>
          <w:sz w:val="24"/>
        </w:rPr>
        <w:t>年</w:t>
      </w:r>
      <w:r>
        <w:rPr>
          <w:rFonts w:hint="eastAsia" w:ascii="仿宋" w:hAnsi="仿宋" w:eastAsia="仿宋" w:cs="仿宋"/>
          <w:bCs/>
          <w:sz w:val="24"/>
          <w:u w:val="single"/>
          <w:lang w:val="en-US" w:eastAsia="zh-CN"/>
        </w:rPr>
        <w:t>07</w:t>
      </w:r>
      <w:r>
        <w:rPr>
          <w:rFonts w:hint="eastAsia" w:ascii="仿宋" w:hAnsi="仿宋" w:eastAsia="仿宋" w:cs="仿宋"/>
          <w:kern w:val="0"/>
          <w:sz w:val="24"/>
        </w:rPr>
        <w:t>月</w:t>
      </w:r>
      <w:r>
        <w:rPr>
          <w:rFonts w:hint="eastAsia" w:ascii="仿宋" w:hAnsi="仿宋" w:eastAsia="仿宋" w:cs="仿宋"/>
          <w:bCs/>
          <w:sz w:val="24"/>
          <w:u w:val="single"/>
          <w:lang w:val="en-US" w:eastAsia="zh-CN"/>
        </w:rPr>
        <w:t>22</w:t>
      </w:r>
      <w:r>
        <w:rPr>
          <w:rFonts w:hint="eastAsia" w:ascii="仿宋" w:hAnsi="仿宋" w:eastAsia="仿宋" w:cs="仿宋"/>
          <w:kern w:val="0"/>
          <w:sz w:val="24"/>
        </w:rPr>
        <w:t>日</w:t>
      </w:r>
      <w:r>
        <w:rPr>
          <w:rFonts w:hint="eastAsia" w:ascii="仿宋" w:hAnsi="仿宋" w:eastAsia="仿宋" w:cs="仿宋"/>
          <w:kern w:val="0"/>
          <w:sz w:val="24"/>
          <w:u w:val="single"/>
        </w:rPr>
        <w:t xml:space="preserve"> </w:t>
      </w:r>
      <w:r>
        <w:rPr>
          <w:rFonts w:ascii="仿宋" w:hAnsi="仿宋" w:eastAsia="仿宋" w:cs="仿宋"/>
          <w:kern w:val="0"/>
          <w:sz w:val="24"/>
          <w:u w:val="single"/>
        </w:rPr>
        <w:t>14</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kern w:val="0"/>
          <w:sz w:val="24"/>
          <w:u w:val="single"/>
        </w:rPr>
        <w:t xml:space="preserve"> 30 </w:t>
      </w:r>
    </w:p>
    <w:p w14:paraId="3657202A">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开标地点（网址）：</w:t>
      </w:r>
      <w:r>
        <w:rPr>
          <w:rFonts w:hint="eastAsia" w:ascii="仿宋" w:hAnsi="仿宋" w:eastAsia="仿宋" w:cs="仿宋"/>
          <w:kern w:val="0"/>
          <w:sz w:val="24"/>
          <w:lang w:eastAsia="zh-CN"/>
        </w:rPr>
        <w:t>浙江立创项目管理有限公司</w:t>
      </w:r>
      <w:r>
        <w:rPr>
          <w:rFonts w:hint="eastAsia" w:ascii="仿宋" w:hAnsi="仿宋" w:eastAsia="仿宋" w:cs="仿宋"/>
          <w:kern w:val="0"/>
          <w:sz w:val="24"/>
        </w:rPr>
        <w:t>开标室（</w:t>
      </w:r>
      <w:r>
        <w:rPr>
          <w:rFonts w:hint="eastAsia" w:ascii="仿宋" w:hAnsi="仿宋" w:eastAsia="仿宋" w:cs="仿宋"/>
          <w:kern w:val="0"/>
          <w:sz w:val="24"/>
          <w:lang w:eastAsia="zh-CN"/>
        </w:rPr>
        <w:t>温州市瓯海区娄桥街道仁汇路建设大厦20楼西北首</w:t>
      </w:r>
      <w:r>
        <w:rPr>
          <w:rFonts w:hint="eastAsia" w:ascii="仿宋" w:hAnsi="仿宋" w:eastAsia="仿宋" w:cs="仿宋"/>
          <w:kern w:val="0"/>
          <w:sz w:val="24"/>
        </w:rPr>
        <w:t>）（同时在政采云平台（https://www.zcygov.cn/）线上开标）。</w:t>
      </w:r>
    </w:p>
    <w:p w14:paraId="0B61F955">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五、公告期限</w:t>
      </w:r>
    </w:p>
    <w:p w14:paraId="49CB8BDE">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自本公告发布之日起5个工作日。</w:t>
      </w:r>
    </w:p>
    <w:p w14:paraId="7F53F9F2">
      <w:pPr>
        <w:widowControl/>
        <w:snapToGrid w:val="0"/>
        <w:spacing w:line="360" w:lineRule="auto"/>
        <w:rPr>
          <w:rFonts w:ascii="仿宋" w:hAnsi="仿宋" w:eastAsia="仿宋" w:cs="仿宋"/>
          <w:kern w:val="0"/>
          <w:sz w:val="24"/>
        </w:rPr>
      </w:pPr>
      <w:r>
        <w:rPr>
          <w:rFonts w:hint="eastAsia" w:ascii="仿宋" w:hAnsi="仿宋" w:eastAsia="仿宋" w:cs="仿宋"/>
          <w:b/>
          <w:bCs/>
          <w:kern w:val="0"/>
          <w:sz w:val="24"/>
        </w:rPr>
        <w:t>六、其他补充事宜</w:t>
      </w:r>
    </w:p>
    <w:p w14:paraId="38CD651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0CEDD7">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2.《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779C0CB8">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FCD7397">
      <w:pPr>
        <w:widowControl/>
        <w:snapToGrid w:val="0"/>
        <w:spacing w:line="360" w:lineRule="auto"/>
        <w:jc w:val="both"/>
        <w:rPr>
          <w:rFonts w:ascii="仿宋" w:hAnsi="仿宋" w:eastAsia="仿宋" w:cs="仿宋"/>
          <w:kern w:val="0"/>
          <w:sz w:val="24"/>
          <w:u w:val="single"/>
        </w:rPr>
      </w:pPr>
      <w:r>
        <w:rPr>
          <w:rFonts w:hint="eastAsia" w:ascii="仿宋" w:hAnsi="仿宋" w:eastAsia="仿宋" w:cs="仿宋"/>
          <w:kern w:val="0"/>
          <w:sz w:val="24"/>
        </w:rPr>
        <w:t>4.其他事项：</w:t>
      </w:r>
      <w:r>
        <w:rPr>
          <w:rFonts w:hint="eastAsia" w:ascii="仿宋" w:hAnsi="仿宋" w:eastAsia="仿宋" w:cs="仿宋"/>
          <w:kern w:val="0"/>
          <w:sz w:val="24"/>
          <w:u w:val="single"/>
        </w:rPr>
        <w:t>（1）电子招投标：本项目以数据电文形式，依托“政采云平台（www.zcygov.cn）”进行招投标活动，各投标人应按照本项目招标文件和政采云平台的要求编制、加密并递交投标文件，不接受纸质投标文件。</w:t>
      </w:r>
    </w:p>
    <w:p w14:paraId="0064A8EF">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（2）投标准备：</w:t>
      </w:r>
    </w:p>
    <w:p w14:paraId="5A5635AF">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1)注册账号--点击“商家入驻”，进行政府采购供应商资料填写，通过审核后可成为正式供应商；</w:t>
      </w:r>
    </w:p>
    <w:p w14:paraId="074D41D9">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44DAD7F6">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办理流程详见:《CA证书办理操作指南》https://service.zcygov.cn/#/knowledges/cm2eqWwBFdiHxlNd_otq/lwV6GXABiyELHE-oVMj3</w:t>
      </w:r>
    </w:p>
    <w:p w14:paraId="59EB10E1">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CA热点问题汇总：https://service.zcygov.cn/#/knowledges/depk120BkjoVoiMyPhAJ/8QejCnEBiyELHE-ohzp-</w:t>
      </w:r>
    </w:p>
    <w:p w14:paraId="7F1029B9">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rPr>
          <w:rFonts w:ascii="仿宋" w:hAnsi="仿宋" w:eastAsia="仿宋" w:cs="仿宋"/>
          <w:kern w:val="0"/>
          <w:sz w:val="24"/>
          <w:u w:val="single"/>
        </w:rPr>
      </w:pPr>
      <w:r>
        <w:rPr>
          <w:rFonts w:hint="eastAsia" w:ascii="仿宋" w:hAnsi="仿宋" w:eastAsia="仿宋" w:cs="仿宋"/>
          <w:kern w:val="0"/>
          <w:sz w:val="24"/>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2CA7CE1A">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（3）投标文件的制作：在“政采云电子交易客户端”中完成“填写基本信息”、“导入投标文件”、“标书关联”、“标书检查”、“电子签名”、“生成电子标书”等操作。</w:t>
      </w:r>
    </w:p>
    <w:p w14:paraId="26B98585">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（4）投标文件的传输递交：投标人在投标截止时间前将加密的投标文件上传至政采云平台。</w:t>
      </w:r>
    </w:p>
    <w:p w14:paraId="5F4AC569">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（5）投标文件的解密：投标人按照平台提示和招标文件的规定在开标时间起30分钟内完成在线解密。</w:t>
      </w:r>
    </w:p>
    <w:p w14:paraId="671F9353">
      <w:pPr>
        <w:widowControl/>
        <w:snapToGrid w:val="0"/>
        <w:spacing w:line="360" w:lineRule="auto"/>
        <w:jc w:val="left"/>
        <w:rPr>
          <w:rFonts w:ascii="仿宋" w:hAnsi="仿宋" w:eastAsia="仿宋" w:cs="仿宋"/>
          <w:kern w:val="0"/>
          <w:sz w:val="24"/>
          <w:u w:val="single"/>
        </w:rPr>
      </w:pPr>
      <w:r>
        <w:rPr>
          <w:rFonts w:hint="eastAsia" w:ascii="仿宋" w:hAnsi="仿宋" w:eastAsia="仿宋" w:cs="仿宋"/>
          <w:kern w:val="0"/>
          <w:sz w:val="24"/>
          <w:u w:val="single"/>
        </w:rPr>
        <w:t>（6）具体操作指南：详见政采云平台“服务中心-帮助文档-项目采购-操作流程-电子招投标-政府采购项目电子交易管理操作指南-供应商”：浙江省政府采购项目政采云平台学习专题</w:t>
      </w:r>
      <w:r>
        <w:fldChar w:fldCharType="begin"/>
      </w:r>
      <w:r>
        <w:instrText xml:space="preserve"> HYPERLINK "https://edu.zcygov.cn/luban/e-biding" </w:instrText>
      </w:r>
      <w:r>
        <w:fldChar w:fldCharType="separate"/>
      </w:r>
      <w:r>
        <w:rPr>
          <w:rStyle w:val="73"/>
          <w:rFonts w:hint="eastAsia" w:ascii="仿宋" w:hAnsi="仿宋" w:eastAsia="仿宋" w:cs="仿宋"/>
          <w:color w:val="auto"/>
          <w:kern w:val="0"/>
          <w:sz w:val="24"/>
        </w:rPr>
        <w:t>https://edu.zcygov.cn/luban/e-biding</w:t>
      </w:r>
      <w:r>
        <w:rPr>
          <w:rStyle w:val="73"/>
          <w:rFonts w:hint="eastAsia" w:ascii="仿宋" w:hAnsi="仿宋" w:eastAsia="仿宋" w:cs="仿宋"/>
          <w:color w:val="auto"/>
          <w:kern w:val="0"/>
          <w:sz w:val="24"/>
        </w:rPr>
        <w:fldChar w:fldCharType="end"/>
      </w:r>
      <w:r>
        <w:rPr>
          <w:rFonts w:hint="eastAsia" w:ascii="仿宋" w:hAnsi="仿宋" w:eastAsia="仿宋" w:cs="仿宋"/>
          <w:kern w:val="0"/>
          <w:sz w:val="24"/>
          <w:u w:val="single"/>
        </w:rPr>
        <w:t>。</w:t>
      </w:r>
    </w:p>
    <w:p w14:paraId="1B4A328B">
      <w:pPr>
        <w:widowControl/>
        <w:snapToGrid w:val="0"/>
        <w:spacing w:line="360" w:lineRule="auto"/>
        <w:jc w:val="left"/>
        <w:rPr>
          <w:rFonts w:ascii="仿宋" w:hAnsi="仿宋" w:eastAsia="仿宋" w:cs="仿宋"/>
          <w:kern w:val="0"/>
          <w:sz w:val="24"/>
        </w:rPr>
      </w:pPr>
      <w:r>
        <w:rPr>
          <w:rFonts w:hint="eastAsia" w:ascii="仿宋" w:hAnsi="仿宋" w:eastAsia="仿宋" w:cs="仿宋"/>
          <w:b/>
          <w:bCs/>
          <w:kern w:val="0"/>
          <w:sz w:val="24"/>
        </w:rPr>
        <w:t>七、对本次采购提出询问、质疑、投诉，请按以下方式联系</w:t>
      </w:r>
    </w:p>
    <w:p w14:paraId="2FAB984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1.采购人信息</w:t>
      </w:r>
    </w:p>
    <w:p w14:paraId="0A34899B">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名称：</w:t>
      </w:r>
      <w:r>
        <w:rPr>
          <w:rFonts w:hint="eastAsia" w:ascii="仿宋" w:hAnsi="仿宋" w:eastAsia="仿宋" w:cs="仿宋"/>
          <w:kern w:val="0"/>
          <w:sz w:val="24"/>
          <w:u w:val="single"/>
          <w:lang w:eastAsia="zh-CN"/>
        </w:rPr>
        <w:t>温州市瓯海区瞿溪华侨中学</w:t>
      </w:r>
    </w:p>
    <w:p w14:paraId="1B7E7BAA">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地址：</w:t>
      </w:r>
      <w:r>
        <w:rPr>
          <w:rFonts w:hint="eastAsia" w:ascii="仿宋" w:hAnsi="仿宋" w:eastAsia="仿宋" w:cs="仿宋"/>
          <w:kern w:val="0"/>
          <w:sz w:val="24"/>
          <w:u w:val="single"/>
          <w:lang w:eastAsia="zh-CN"/>
        </w:rPr>
        <w:t>浙江省温州市瓯海区会龙路57号</w:t>
      </w:r>
    </w:p>
    <w:p w14:paraId="33A6C345">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  </w:t>
      </w:r>
    </w:p>
    <w:p w14:paraId="4A4F9E1A">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项目联系人（询问）：</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周老师</w:t>
      </w:r>
      <w:r>
        <w:rPr>
          <w:rFonts w:hint="eastAsia" w:ascii="仿宋" w:hAnsi="仿宋" w:eastAsia="仿宋" w:cs="仿宋"/>
          <w:kern w:val="0"/>
          <w:sz w:val="24"/>
          <w:u w:val="single"/>
        </w:rPr>
        <w:t xml:space="preserve"> </w:t>
      </w:r>
    </w:p>
    <w:p w14:paraId="28379E7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项目联系方式（询问）：</w:t>
      </w:r>
      <w:r>
        <w:rPr>
          <w:rFonts w:hint="eastAsia" w:ascii="仿宋" w:hAnsi="仿宋" w:eastAsia="仿宋" w:cs="仿宋"/>
          <w:kern w:val="0"/>
          <w:sz w:val="24"/>
          <w:u w:val="single"/>
        </w:rPr>
        <w:t>0577-55613726</w:t>
      </w:r>
    </w:p>
    <w:p w14:paraId="46F8C367">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质疑联系人：</w:t>
      </w:r>
      <w:r>
        <w:rPr>
          <w:rFonts w:hint="eastAsia" w:ascii="仿宋" w:hAnsi="仿宋" w:eastAsia="仿宋" w:cs="仿宋"/>
          <w:kern w:val="0"/>
          <w:sz w:val="24"/>
          <w:u w:val="single"/>
          <w:lang w:val="en-US" w:eastAsia="zh-CN"/>
        </w:rPr>
        <w:t>金老师</w:t>
      </w:r>
    </w:p>
    <w:p w14:paraId="396BC5BD">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质疑联系方式：</w:t>
      </w:r>
      <w:r>
        <w:rPr>
          <w:rFonts w:hint="eastAsia" w:ascii="仿宋" w:hAnsi="仿宋" w:eastAsia="仿宋" w:cs="仿宋"/>
          <w:kern w:val="0"/>
          <w:sz w:val="24"/>
          <w:u w:val="single"/>
          <w:lang w:val="en-US" w:eastAsia="zh-CN"/>
        </w:rPr>
        <w:t>0577-86261316</w:t>
      </w:r>
    </w:p>
    <w:p w14:paraId="5BD72A33">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2.采购代理机构信息</w:t>
      </w:r>
    </w:p>
    <w:p w14:paraId="77B1B970">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名称：</w:t>
      </w:r>
      <w:r>
        <w:rPr>
          <w:rFonts w:hint="eastAsia" w:ascii="仿宋" w:hAnsi="仿宋" w:eastAsia="仿宋" w:cs="仿宋"/>
          <w:kern w:val="0"/>
          <w:sz w:val="24"/>
          <w:u w:val="single"/>
          <w:lang w:eastAsia="zh-CN"/>
        </w:rPr>
        <w:t>浙江立创项目管理有限公司</w:t>
      </w:r>
    </w:p>
    <w:p w14:paraId="010CEAEA">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地址：</w:t>
      </w:r>
      <w:r>
        <w:rPr>
          <w:rFonts w:hint="eastAsia" w:ascii="仿宋" w:hAnsi="仿宋" w:eastAsia="仿宋" w:cs="仿宋"/>
          <w:kern w:val="0"/>
          <w:sz w:val="24"/>
          <w:u w:val="single"/>
          <w:lang w:eastAsia="zh-CN"/>
        </w:rPr>
        <w:t>温州市瓯海区娄桥街道仁汇路建设大厦20楼西北首</w:t>
      </w:r>
    </w:p>
    <w:p w14:paraId="41790883">
      <w:pPr>
        <w:widowControl/>
        <w:snapToGrid w:val="0"/>
        <w:spacing w:line="360" w:lineRule="auto"/>
        <w:jc w:val="left"/>
        <w:rPr>
          <w:rFonts w:hint="eastAsia" w:ascii="仿宋" w:hAnsi="仿宋" w:eastAsia="仿宋" w:cs="仿宋"/>
          <w:kern w:val="0"/>
          <w:sz w:val="24"/>
          <w:lang w:eastAsia="zh-CN"/>
        </w:rPr>
      </w:pPr>
      <w:r>
        <w:rPr>
          <w:rFonts w:hint="eastAsia" w:ascii="仿宋" w:hAnsi="仿宋" w:eastAsia="仿宋" w:cs="仿宋"/>
          <w:kern w:val="0"/>
          <w:sz w:val="24"/>
        </w:rPr>
        <w:t>项目联系人（询问）：</w:t>
      </w:r>
      <w:r>
        <w:rPr>
          <w:rFonts w:hint="eastAsia" w:ascii="仿宋" w:hAnsi="仿宋" w:eastAsia="仿宋" w:cs="仿宋"/>
          <w:kern w:val="0"/>
          <w:sz w:val="24"/>
          <w:u w:val="single"/>
          <w:lang w:eastAsia="zh-CN"/>
        </w:rPr>
        <w:t>麻双建</w:t>
      </w:r>
    </w:p>
    <w:p w14:paraId="72CBDEE7">
      <w:pPr>
        <w:widowControl/>
        <w:snapToGrid w:val="0"/>
        <w:spacing w:line="360" w:lineRule="auto"/>
        <w:jc w:val="left"/>
        <w:rPr>
          <w:rFonts w:hint="eastAsia" w:ascii="仿宋" w:hAnsi="仿宋" w:eastAsia="仿宋" w:cs="仿宋"/>
          <w:kern w:val="0"/>
          <w:sz w:val="24"/>
          <w:u w:val="single"/>
          <w:lang w:eastAsia="zh-CN"/>
        </w:rPr>
      </w:pPr>
      <w:r>
        <w:rPr>
          <w:rFonts w:hint="eastAsia" w:ascii="仿宋" w:hAnsi="仿宋" w:eastAsia="仿宋" w:cs="仿宋"/>
          <w:kern w:val="0"/>
          <w:sz w:val="24"/>
        </w:rPr>
        <w:t>项目联系方式（询问）：</w:t>
      </w:r>
      <w:r>
        <w:rPr>
          <w:rFonts w:hint="eastAsia" w:ascii="仿宋" w:hAnsi="仿宋" w:eastAsia="仿宋" w:cs="仿宋"/>
          <w:kern w:val="0"/>
          <w:sz w:val="24"/>
          <w:u w:val="single"/>
          <w:lang w:eastAsia="zh-CN"/>
        </w:rPr>
        <w:t>0577-88410388/18058839300</w:t>
      </w:r>
    </w:p>
    <w:p w14:paraId="289F541C">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电子邮箱：</w:t>
      </w:r>
      <w:r>
        <w:rPr>
          <w:rFonts w:hint="eastAsia" w:ascii="仿宋" w:hAnsi="仿宋" w:eastAsia="仿宋" w:cs="仿宋"/>
          <w:kern w:val="0"/>
          <w:sz w:val="24"/>
          <w:u w:val="single"/>
          <w:lang w:val="en-US" w:eastAsia="zh-CN"/>
        </w:rPr>
        <w:t>5499379</w:t>
      </w:r>
      <w:r>
        <w:rPr>
          <w:rFonts w:hint="eastAsia" w:ascii="仿宋" w:hAnsi="仿宋" w:eastAsia="仿宋" w:cs="仿宋"/>
          <w:kern w:val="0"/>
          <w:sz w:val="24"/>
          <w:u w:val="single"/>
        </w:rPr>
        <w:t>@qq.com</w:t>
      </w:r>
    </w:p>
    <w:p w14:paraId="196A3E86">
      <w:pPr>
        <w:widowControl/>
        <w:snapToGrid w:val="0"/>
        <w:spacing w:line="360" w:lineRule="auto"/>
        <w:jc w:val="left"/>
        <w:rPr>
          <w:rFonts w:hint="default" w:ascii="仿宋" w:hAnsi="仿宋" w:eastAsia="仿宋" w:cs="仿宋"/>
          <w:kern w:val="0"/>
          <w:sz w:val="24"/>
          <w:lang w:val="en-US" w:eastAsia="zh-CN"/>
        </w:rPr>
      </w:pPr>
      <w:r>
        <w:rPr>
          <w:rFonts w:hint="eastAsia" w:ascii="仿宋" w:hAnsi="仿宋" w:eastAsia="仿宋" w:cs="仿宋"/>
          <w:kern w:val="0"/>
          <w:sz w:val="24"/>
        </w:rPr>
        <w:t>质疑联系人：</w:t>
      </w:r>
      <w:r>
        <w:rPr>
          <w:rFonts w:hint="eastAsia" w:ascii="仿宋" w:hAnsi="仿宋" w:eastAsia="仿宋" w:cs="仿宋"/>
          <w:kern w:val="0"/>
          <w:sz w:val="24"/>
          <w:u w:val="single"/>
          <w:lang w:val="en-US" w:eastAsia="zh-CN"/>
        </w:rPr>
        <w:t>陈先生</w:t>
      </w:r>
    </w:p>
    <w:p w14:paraId="045F78F4">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t>质疑联系方式：</w:t>
      </w:r>
      <w:r>
        <w:rPr>
          <w:rFonts w:hint="eastAsia" w:ascii="仿宋" w:hAnsi="仿宋" w:eastAsia="仿宋" w:cs="仿宋"/>
          <w:kern w:val="0"/>
          <w:sz w:val="24"/>
          <w:u w:val="single"/>
        </w:rPr>
        <w:t>0577-</w:t>
      </w:r>
      <w:r>
        <w:rPr>
          <w:rFonts w:hint="eastAsia" w:ascii="仿宋" w:hAnsi="仿宋" w:eastAsia="仿宋" w:cs="仿宋"/>
          <w:kern w:val="0"/>
          <w:sz w:val="24"/>
          <w:u w:val="single"/>
          <w:lang w:val="en-US" w:eastAsia="zh-CN"/>
        </w:rPr>
        <w:t>88410388</w:t>
      </w:r>
      <w:r>
        <w:rPr>
          <w:rFonts w:hint="eastAsia" w:ascii="仿宋" w:hAnsi="仿宋" w:eastAsia="仿宋" w:cs="仿宋"/>
          <w:kern w:val="0"/>
          <w:sz w:val="24"/>
        </w:rPr>
        <w:t xml:space="preserve"> </w:t>
      </w:r>
    </w:p>
    <w:p w14:paraId="4A603CF4">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3.同级政府采购监管管理部门：温州市瓯海区财政局（浙江省政府采购行政裁决服务中心（温州）</w:t>
      </w:r>
    </w:p>
    <w:p w14:paraId="6A7864B1">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联系人：李老师、王老师</w:t>
      </w:r>
    </w:p>
    <w:p w14:paraId="6F7D34F9">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监督投诉电话：0577-85501561，0577-85501562</w:t>
      </w:r>
    </w:p>
    <w:p w14:paraId="06484C52">
      <w:pPr>
        <w:widowControl/>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lang w:val="en-US" w:eastAsia="zh-CN"/>
        </w:rPr>
        <w:t>地址：</w:t>
      </w:r>
      <w:r>
        <w:rPr>
          <w:rFonts w:hint="eastAsia" w:ascii="仿宋" w:hAnsi="仿宋" w:eastAsia="仿宋" w:cs="仿宋"/>
          <w:kern w:val="0"/>
          <w:sz w:val="24"/>
        </w:rPr>
        <w:t>温州市鹿城区滨江街道瓯江路展银大厦1606室</w:t>
      </w:r>
    </w:p>
    <w:p w14:paraId="454D3016">
      <w:pPr>
        <w:widowControl/>
        <w:snapToGrid w:val="0"/>
        <w:spacing w:line="360" w:lineRule="auto"/>
        <w:jc w:val="left"/>
        <w:rPr>
          <w:rFonts w:ascii="仿宋" w:hAnsi="仿宋" w:eastAsia="仿宋" w:cs="仿宋"/>
          <w:kern w:val="0"/>
          <w:szCs w:val="21"/>
        </w:rPr>
      </w:pPr>
      <w:r>
        <w:rPr>
          <w:rFonts w:hint="eastAsia" w:ascii="仿宋" w:hAnsi="仿宋" w:eastAsia="仿宋" w:cs="仿宋"/>
          <w:kern w:val="0"/>
          <w:szCs w:val="21"/>
        </w:rPr>
        <w:t>若对项目采购电子交易系统操作有疑问，可登录政采云（</w:t>
      </w:r>
      <w:r>
        <w:fldChar w:fldCharType="begin"/>
      </w:r>
      <w:r>
        <w:instrText xml:space="preserve"> HYPERLINK "https://www.zcygov.cn/" </w:instrText>
      </w:r>
      <w:r>
        <w:fldChar w:fldCharType="separate"/>
      </w:r>
      <w:r>
        <w:rPr>
          <w:rStyle w:val="73"/>
          <w:rFonts w:hint="eastAsia" w:ascii="仿宋" w:hAnsi="仿宋" w:eastAsia="仿宋" w:cs="仿宋"/>
          <w:color w:val="auto"/>
          <w:kern w:val="0"/>
          <w:szCs w:val="21"/>
        </w:rPr>
        <w:t>https://www.zcygov.cn/</w:t>
      </w:r>
      <w:r>
        <w:rPr>
          <w:rStyle w:val="73"/>
          <w:rFonts w:hint="eastAsia" w:ascii="仿宋" w:hAnsi="仿宋" w:eastAsia="仿宋" w:cs="仿宋"/>
          <w:color w:val="auto"/>
          <w:kern w:val="0"/>
          <w:szCs w:val="21"/>
        </w:rPr>
        <w:fldChar w:fldCharType="end"/>
      </w:r>
      <w:r>
        <w:rPr>
          <w:rFonts w:hint="eastAsia" w:ascii="仿宋" w:hAnsi="仿宋" w:eastAsia="仿宋" w:cs="仿宋"/>
          <w:kern w:val="0"/>
          <w:szCs w:val="21"/>
        </w:rPr>
        <w:t>），点击右侧咨询小采，获取采小蜜智能服务管家帮助，或拨打政采云服务热线400-881-7190获取热线服务帮助。</w:t>
      </w:r>
    </w:p>
    <w:p w14:paraId="430860E7">
      <w:pPr>
        <w:widowControl/>
        <w:snapToGrid w:val="0"/>
        <w:spacing w:line="360" w:lineRule="auto"/>
        <w:jc w:val="left"/>
        <w:rPr>
          <w:rFonts w:ascii="仿宋" w:hAnsi="仿宋" w:eastAsia="仿宋" w:cs="仿宋"/>
          <w:kern w:val="0"/>
          <w:szCs w:val="21"/>
        </w:rPr>
      </w:pPr>
      <w:r>
        <w:rPr>
          <w:rFonts w:hint="eastAsia" w:ascii="仿宋" w:hAnsi="仿宋" w:eastAsia="仿宋" w:cs="仿宋"/>
          <w:kern w:val="0"/>
          <w:szCs w:val="21"/>
        </w:rPr>
        <w:t>CA问题联系电话（人工）：汇信CA400-888-4636；天谷CA400-087-8198。</w:t>
      </w:r>
    </w:p>
    <w:p w14:paraId="6B8FEAD6">
      <w:pPr>
        <w:widowControl/>
        <w:snapToGrid w:val="0"/>
        <w:spacing w:line="360" w:lineRule="auto"/>
        <w:jc w:val="left"/>
        <w:rPr>
          <w:rFonts w:ascii="仿宋" w:hAnsi="仿宋" w:eastAsia="仿宋" w:cs="仿宋"/>
          <w:kern w:val="0"/>
          <w:sz w:val="24"/>
        </w:rPr>
      </w:pPr>
      <w:r>
        <w:rPr>
          <w:rFonts w:hint="eastAsia" w:ascii="仿宋" w:hAnsi="仿宋" w:eastAsia="仿宋" w:cs="仿宋"/>
          <w:kern w:val="0"/>
          <w:sz w:val="24"/>
        </w:rPr>
        <w:br w:type="page"/>
      </w:r>
    </w:p>
    <w:p w14:paraId="2E55D8DA">
      <w:pPr>
        <w:widowControl/>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第二部分  投标人须知</w:t>
      </w:r>
    </w:p>
    <w:p w14:paraId="72DA1A5E">
      <w:pPr>
        <w:widowControl/>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00A8490D">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46DBFC">
            <w:pPr>
              <w:snapToGrid w:val="0"/>
              <w:jc w:val="center"/>
              <w:rPr>
                <w:rFonts w:ascii="仿宋" w:hAnsi="仿宋" w:eastAsia="仿宋" w:cs="仿宋"/>
                <w:kern w:val="0"/>
                <w:sz w:val="24"/>
              </w:rPr>
            </w:pPr>
            <w:r>
              <w:rPr>
                <w:rFonts w:hint="eastAsia" w:ascii="仿宋" w:hAnsi="仿宋" w:eastAsia="仿宋" w:cs="仿宋"/>
                <w:kern w:val="0"/>
                <w:sz w:val="24"/>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782B51B1">
            <w:pPr>
              <w:snapToGrid w:val="0"/>
              <w:jc w:val="center"/>
              <w:rPr>
                <w:rFonts w:ascii="仿宋" w:hAnsi="仿宋" w:eastAsia="仿宋" w:cs="仿宋"/>
                <w:kern w:val="0"/>
                <w:sz w:val="24"/>
              </w:rPr>
            </w:pPr>
            <w:r>
              <w:rPr>
                <w:rFonts w:hint="eastAsia" w:ascii="仿宋" w:hAnsi="仿宋" w:eastAsia="仿宋" w:cs="仿宋"/>
                <w:kern w:val="0"/>
                <w:sz w:val="24"/>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6DBB91F">
            <w:pPr>
              <w:snapToGrid w:val="0"/>
              <w:jc w:val="center"/>
              <w:rPr>
                <w:rFonts w:ascii="仿宋" w:hAnsi="仿宋" w:eastAsia="仿宋" w:cs="仿宋"/>
                <w:kern w:val="0"/>
                <w:sz w:val="24"/>
              </w:rPr>
            </w:pPr>
            <w:r>
              <w:rPr>
                <w:rFonts w:hint="eastAsia" w:ascii="仿宋" w:hAnsi="仿宋" w:eastAsia="仿宋" w:cs="仿宋"/>
                <w:kern w:val="0"/>
                <w:sz w:val="24"/>
              </w:rPr>
              <w:t>编列内容</w:t>
            </w:r>
          </w:p>
        </w:tc>
      </w:tr>
      <w:tr w14:paraId="76BE8BA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67BEBF">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2993B65">
            <w:pPr>
              <w:snapToGrid w:val="0"/>
              <w:jc w:val="center"/>
              <w:rPr>
                <w:rFonts w:ascii="仿宋" w:hAnsi="仿宋" w:eastAsia="仿宋" w:cs="仿宋"/>
                <w:kern w:val="0"/>
                <w:sz w:val="24"/>
              </w:rPr>
            </w:pPr>
            <w:r>
              <w:rPr>
                <w:rFonts w:hint="eastAsia" w:ascii="仿宋" w:hAnsi="仿宋" w:eastAsia="仿宋" w:cs="仿宋"/>
                <w:kern w:val="0"/>
                <w:sz w:val="24"/>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6DDCA670">
            <w:pPr>
              <w:snapToGrid w:val="0"/>
              <w:rPr>
                <w:rFonts w:ascii="仿宋" w:hAnsi="仿宋" w:eastAsia="仿宋" w:cs="仿宋"/>
                <w:kern w:val="0"/>
                <w:sz w:val="24"/>
              </w:rPr>
            </w:pPr>
            <w:r>
              <w:rPr>
                <w:rFonts w:hint="eastAsia" w:ascii="仿宋" w:hAnsi="仿宋" w:eastAsia="仿宋" w:cs="仿宋"/>
                <w:kern w:val="0"/>
                <w:sz w:val="24"/>
              </w:rPr>
              <w:t>采购标的对应的中小企业划分标准所属行业：</w:t>
            </w:r>
          </w:p>
          <w:p w14:paraId="6EF5CAAB">
            <w:pPr>
              <w:numPr>
                <w:ilvl w:val="0"/>
                <w:numId w:val="1"/>
              </w:numPr>
              <w:snapToGrid w:val="0"/>
              <w:ind w:firstLine="240" w:firstLineChars="100"/>
              <w:rPr>
                <w:rFonts w:ascii="仿宋" w:hAnsi="仿宋" w:eastAsia="仿宋" w:cs="仿宋"/>
                <w:kern w:val="0"/>
                <w:sz w:val="24"/>
              </w:rPr>
            </w:pPr>
            <w:r>
              <w:rPr>
                <w:rFonts w:hint="eastAsia" w:ascii="仿宋" w:hAnsi="仿宋" w:eastAsia="仿宋" w:cs="仿宋"/>
                <w:kern w:val="0"/>
                <w:sz w:val="24"/>
              </w:rPr>
              <w:t>标的：</w:t>
            </w:r>
            <w:r>
              <w:rPr>
                <w:rFonts w:hint="eastAsia" w:ascii="仿宋" w:hAnsi="仿宋" w:eastAsia="仿宋" w:cs="仿宋"/>
                <w:bCs/>
                <w:sz w:val="24"/>
                <w:u w:val="single"/>
              </w:rPr>
              <w:t xml:space="preserve"> 厨房设备 </w:t>
            </w:r>
            <w:r>
              <w:rPr>
                <w:rFonts w:hint="eastAsia" w:ascii="仿宋" w:hAnsi="仿宋" w:eastAsia="仿宋" w:cs="仿宋"/>
                <w:kern w:val="0"/>
                <w:sz w:val="24"/>
              </w:rPr>
              <w:t>，属于</w:t>
            </w:r>
            <w:r>
              <w:rPr>
                <w:rFonts w:hint="eastAsia" w:ascii="仿宋" w:hAnsi="仿宋" w:eastAsia="仿宋" w:cs="仿宋"/>
                <w:bCs/>
                <w:sz w:val="24"/>
                <w:u w:val="single"/>
              </w:rPr>
              <w:t xml:space="preserve"> 工业 </w:t>
            </w:r>
            <w:r>
              <w:rPr>
                <w:rFonts w:hint="eastAsia" w:ascii="仿宋" w:hAnsi="仿宋" w:eastAsia="仿宋" w:cs="仿宋"/>
                <w:kern w:val="0"/>
                <w:sz w:val="24"/>
              </w:rPr>
              <w:t>行业；</w:t>
            </w:r>
          </w:p>
          <w:p w14:paraId="60C731CD">
            <w:pPr>
              <w:snapToGrid w:val="0"/>
              <w:rPr>
                <w:rFonts w:ascii="仿宋" w:hAnsi="仿宋" w:eastAsia="仿宋" w:cs="仿宋"/>
                <w:kern w:val="0"/>
                <w:sz w:val="24"/>
              </w:rPr>
            </w:pPr>
            <w:r>
              <w:rPr>
                <w:rFonts w:hint="eastAsia" w:ascii="仿宋" w:hAnsi="仿宋" w:eastAsia="仿宋" w:cs="仿宋"/>
                <w:kern w:val="0"/>
                <w:sz w:val="24"/>
              </w:rPr>
              <w:t>中小企业的划分标准依据《关于印发中小企业划型标准规定的通知》（工信部联企业〔2011〕300号）文件执行。</w:t>
            </w:r>
          </w:p>
        </w:tc>
      </w:tr>
      <w:tr w14:paraId="36FCAE5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02D948E">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EFE068F">
            <w:pPr>
              <w:snapToGrid w:val="0"/>
              <w:jc w:val="center"/>
              <w:rPr>
                <w:rFonts w:ascii="仿宋" w:hAnsi="仿宋" w:eastAsia="仿宋" w:cs="仿宋"/>
                <w:sz w:val="24"/>
              </w:rPr>
            </w:pPr>
            <w:r>
              <w:rPr>
                <w:rFonts w:hint="eastAsia" w:ascii="仿宋" w:hAnsi="仿宋" w:eastAsia="仿宋" w:cs="仿宋"/>
                <w:sz w:val="24"/>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323FAD97">
            <w:pPr>
              <w:snapToGrid w:val="0"/>
              <w:rPr>
                <w:rFonts w:hint="eastAsia" w:ascii="仿宋" w:hAnsi="仿宋" w:eastAsia="仿宋" w:cs="仿宋"/>
                <w:sz w:val="24"/>
                <w:lang w:eastAsia="zh-CN"/>
              </w:rPr>
            </w:pPr>
            <w:r>
              <w:rPr>
                <w:rFonts w:hint="eastAsia" w:ascii="仿宋" w:hAnsi="仿宋" w:eastAsia="仿宋" w:cs="仿宋"/>
                <w:kern w:val="0"/>
                <w:sz w:val="24"/>
              </w:rPr>
              <w:sym w:font="Wingdings" w:char="00FE"/>
            </w:r>
            <w:r>
              <w:rPr>
                <w:rFonts w:hint="eastAsia" w:ascii="仿宋" w:hAnsi="仿宋" w:eastAsia="仿宋" w:cs="仿宋"/>
                <w:sz w:val="24"/>
              </w:rPr>
              <w:t>货物类，单一产品或核心产品为：</w:t>
            </w:r>
            <w:r>
              <w:rPr>
                <w:rFonts w:hint="eastAsia" w:ascii="仿宋" w:hAnsi="仿宋" w:eastAsia="仿宋" w:cs="仿宋"/>
                <w:sz w:val="24"/>
                <w:u w:val="single"/>
                <w:lang w:val="en-US" w:eastAsia="zh-CN"/>
              </w:rPr>
              <w:t>/</w:t>
            </w:r>
          </w:p>
        </w:tc>
      </w:tr>
      <w:tr w14:paraId="092249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B05108C">
            <w:pPr>
              <w:snapToGrid w:val="0"/>
              <w:jc w:val="center"/>
              <w:rPr>
                <w:rFonts w:ascii="仿宋" w:hAnsi="仿宋" w:eastAsia="仿宋" w:cs="仿宋"/>
                <w:kern w:val="0"/>
                <w:sz w:val="24"/>
              </w:rPr>
            </w:pPr>
            <w:r>
              <w:rPr>
                <w:rFonts w:hint="eastAsia" w:ascii="仿宋" w:hAnsi="仿宋" w:eastAsia="仿宋" w:cs="仿宋"/>
                <w:kern w:val="0"/>
                <w:sz w:val="24"/>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D2FFDDF">
            <w:pPr>
              <w:snapToGrid w:val="0"/>
              <w:spacing w:line="276" w:lineRule="auto"/>
              <w:rPr>
                <w:rFonts w:hint="eastAsia" w:ascii="仿宋" w:hAnsi="仿宋" w:eastAsia="仿宋" w:cs="仿宋"/>
                <w:kern w:val="0"/>
                <w:sz w:val="24"/>
              </w:rPr>
            </w:pPr>
            <w:r>
              <w:rPr>
                <w:rFonts w:hint="eastAsia" w:ascii="仿宋" w:hAnsi="仿宋" w:eastAsia="仿宋" w:cs="仿宋"/>
                <w:kern w:val="0"/>
                <w:sz w:val="24"/>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0C556EB8">
            <w:pPr>
              <w:snapToGrid w:val="0"/>
              <w:spacing w:line="276" w:lineRule="auto"/>
              <w:rPr>
                <w:rFonts w:hint="eastAsia" w:ascii="仿宋" w:hAnsi="仿宋" w:eastAsia="仿宋" w:cs="仿宋"/>
                <w:kern w:val="0"/>
                <w:sz w:val="24"/>
                <w:lang w:eastAsia="zh-CN"/>
              </w:rPr>
            </w:pPr>
            <w:r>
              <w:rPr>
                <w:rFonts w:hint="eastAsia" w:ascii="仿宋" w:hAnsi="仿宋" w:eastAsia="仿宋" w:cs="仿宋"/>
                <w:kern w:val="0"/>
                <w:sz w:val="24"/>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20D24BA6">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E104ADF">
            <w:pPr>
              <w:snapToGrid w:val="0"/>
              <w:jc w:val="center"/>
              <w:rPr>
                <w:rFonts w:ascii="仿宋" w:hAnsi="仿宋" w:eastAsia="仿宋" w:cs="仿宋"/>
                <w:kern w:val="0"/>
                <w:sz w:val="24"/>
              </w:rPr>
            </w:pPr>
            <w:r>
              <w:rPr>
                <w:rFonts w:hint="eastAsia" w:ascii="仿宋" w:hAnsi="仿宋" w:eastAsia="仿宋" w:cs="仿宋"/>
                <w:kern w:val="0"/>
                <w:sz w:val="24"/>
              </w:rPr>
              <w:t>6.1</w:t>
            </w:r>
          </w:p>
        </w:tc>
        <w:tc>
          <w:tcPr>
            <w:tcW w:w="1687" w:type="dxa"/>
            <w:tcBorders>
              <w:top w:val="single" w:color="auto" w:sz="4" w:space="0"/>
              <w:left w:val="single" w:color="auto" w:sz="4" w:space="0"/>
              <w:bottom w:val="single" w:color="auto" w:sz="4" w:space="0"/>
              <w:right w:val="single" w:color="auto" w:sz="4" w:space="0"/>
            </w:tcBorders>
            <w:vAlign w:val="center"/>
          </w:tcPr>
          <w:p w14:paraId="17FF5760">
            <w:pPr>
              <w:snapToGrid w:val="0"/>
              <w:jc w:val="center"/>
              <w:rPr>
                <w:rFonts w:ascii="仿宋" w:hAnsi="仿宋" w:eastAsia="仿宋" w:cs="仿宋"/>
                <w:sz w:val="24"/>
              </w:rPr>
            </w:pPr>
            <w:r>
              <w:rPr>
                <w:rFonts w:hint="eastAsia" w:ascii="仿宋" w:hAnsi="仿宋" w:eastAsia="仿宋" w:cs="仿宋"/>
                <w:sz w:val="24"/>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B96C4AC">
            <w:pPr>
              <w:snapToGrid w:val="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6045A34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90C520E">
            <w:pPr>
              <w:snapToGrid w:val="0"/>
              <w:jc w:val="center"/>
              <w:rPr>
                <w:rFonts w:ascii="仿宋" w:hAnsi="仿宋" w:eastAsia="仿宋" w:cs="仿宋"/>
                <w:kern w:val="0"/>
                <w:sz w:val="24"/>
              </w:rPr>
            </w:pPr>
            <w:r>
              <w:rPr>
                <w:rFonts w:hint="eastAsia" w:ascii="仿宋" w:hAnsi="仿宋" w:eastAsia="仿宋" w:cs="仿宋"/>
                <w:kern w:val="0"/>
                <w:sz w:val="24"/>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4B98C3">
            <w:pPr>
              <w:snapToGrid w:val="0"/>
              <w:jc w:val="center"/>
              <w:rPr>
                <w:rFonts w:ascii="仿宋" w:hAnsi="仿宋" w:eastAsia="仿宋" w:cs="仿宋"/>
                <w:sz w:val="24"/>
              </w:rPr>
            </w:pPr>
            <w:r>
              <w:rPr>
                <w:rFonts w:hint="eastAsia" w:ascii="仿宋" w:hAnsi="仿宋" w:eastAsia="仿宋" w:cs="仿宋"/>
                <w:sz w:val="24"/>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04995649">
            <w:pPr>
              <w:snapToGrid w:val="0"/>
              <w:spacing w:line="276" w:lineRule="auto"/>
              <w:rPr>
                <w:rFonts w:ascii="仿宋" w:hAnsi="仿宋" w:eastAsia="仿宋" w:cs="仿宋"/>
                <w:kern w:val="0"/>
                <w:sz w:val="24"/>
                <w:lang w:val="zh-CN"/>
              </w:rPr>
            </w:pPr>
            <w:r>
              <w:rPr>
                <w:rFonts w:hint="eastAsia" w:ascii="仿宋" w:hAnsi="仿宋" w:eastAsia="仿宋" w:cs="仿宋"/>
                <w:kern w:val="0"/>
                <w:sz w:val="24"/>
              </w:rPr>
              <w:t>完整的《投标文件》由“资格文件”、“报价文件”和“商务技术文件”三个部分组成。</w:t>
            </w:r>
          </w:p>
        </w:tc>
      </w:tr>
      <w:tr w14:paraId="558E397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2E38050">
            <w:pPr>
              <w:snapToGrid w:val="0"/>
              <w:jc w:val="center"/>
              <w:rPr>
                <w:rFonts w:ascii="仿宋" w:hAnsi="仿宋" w:eastAsia="仿宋" w:cs="仿宋"/>
                <w:kern w:val="0"/>
                <w:sz w:val="24"/>
              </w:rPr>
            </w:pPr>
            <w:r>
              <w:rPr>
                <w:rFonts w:hint="eastAsia" w:ascii="仿宋" w:hAnsi="仿宋" w:eastAsia="仿宋" w:cs="仿宋"/>
                <w:kern w:val="0"/>
                <w:sz w:val="24"/>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006648D7">
            <w:pPr>
              <w:snapToGrid w:val="0"/>
              <w:spacing w:line="276" w:lineRule="auto"/>
              <w:jc w:val="center"/>
              <w:rPr>
                <w:rFonts w:ascii="仿宋" w:hAnsi="仿宋" w:eastAsia="仿宋" w:cs="仿宋"/>
                <w:kern w:val="0"/>
                <w:sz w:val="24"/>
              </w:rPr>
            </w:pPr>
            <w:r>
              <w:rPr>
                <w:rFonts w:hint="eastAsia" w:ascii="仿宋" w:hAnsi="仿宋" w:eastAsia="仿宋" w:cs="仿宋"/>
                <w:sz w:val="24"/>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474B8D8C">
            <w:pPr>
              <w:snapToGrid w:val="0"/>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视频演示。“演示视频U盘”：提供</w:t>
            </w:r>
            <w:r>
              <w:rPr>
                <w:rFonts w:hint="eastAsia" w:ascii="仿宋" w:hAnsi="仿宋" w:eastAsia="仿宋" w:cs="仿宋"/>
                <w:sz w:val="24"/>
                <w:lang w:val="en-US" w:eastAsia="zh-CN"/>
              </w:rPr>
              <w:t>演示视频U盘</w:t>
            </w:r>
            <w:r>
              <w:rPr>
                <w:rFonts w:hint="eastAsia" w:ascii="仿宋" w:hAnsi="仿宋" w:eastAsia="仿宋" w:cs="仿宋"/>
                <w:kern w:val="0"/>
                <w:sz w:val="24"/>
              </w:rPr>
              <w:t>的时间：</w:t>
            </w:r>
            <w:r>
              <w:rPr>
                <w:rFonts w:hint="eastAsia" w:ascii="仿宋" w:hAnsi="仿宋" w:eastAsia="仿宋" w:cs="仿宋"/>
                <w:kern w:val="0"/>
                <w:sz w:val="24"/>
                <w:lang w:val="en-US" w:eastAsia="zh-CN"/>
              </w:rPr>
              <w:t>2025年7月22日12：00前</w:t>
            </w:r>
            <w:r>
              <w:rPr>
                <w:rFonts w:hint="eastAsia" w:ascii="仿宋" w:hAnsi="仿宋" w:eastAsia="仿宋" w:cs="仿宋"/>
                <w:kern w:val="0"/>
                <w:sz w:val="24"/>
              </w:rPr>
              <w:t>；供应商录制演示视屏将视屏文件拷贝进U盘</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演示视频时间不得超过10分钟</w:t>
            </w:r>
            <w:r>
              <w:rPr>
                <w:rFonts w:hint="eastAsia" w:ascii="仿宋" w:hAnsi="仿宋" w:eastAsia="仿宋" w:cs="仿宋"/>
                <w:kern w:val="0"/>
                <w:sz w:val="24"/>
                <w:lang w:eastAsia="zh-CN"/>
              </w:rPr>
              <w:t>）</w:t>
            </w:r>
            <w:r>
              <w:rPr>
                <w:rFonts w:hint="eastAsia" w:ascii="仿宋" w:hAnsi="仿宋" w:eastAsia="仿宋" w:cs="仿宋"/>
                <w:kern w:val="0"/>
                <w:sz w:val="24"/>
              </w:rPr>
              <w:t>，密封包装后（当面送达由代理单位签收或采用邮寄形式由代理单位签收）</w:t>
            </w:r>
            <w:r>
              <w:rPr>
                <w:rFonts w:hint="eastAsia" w:ascii="仿宋" w:hAnsi="仿宋" w:eastAsia="仿宋" w:cs="仿宋"/>
                <w:kern w:val="0"/>
                <w:sz w:val="24"/>
                <w:lang w:val="en-US" w:eastAsia="zh-CN"/>
              </w:rPr>
              <w:t>按提时间截止前</w:t>
            </w:r>
            <w:r>
              <w:rPr>
                <w:rFonts w:hint="eastAsia" w:ascii="仿宋" w:hAnsi="仿宋" w:eastAsia="仿宋" w:cs="仿宋"/>
                <w:kern w:val="0"/>
                <w:sz w:val="24"/>
              </w:rPr>
              <w:t>递交（一份）（收件地址：</w:t>
            </w:r>
            <w:r>
              <w:rPr>
                <w:rFonts w:hint="eastAsia" w:ascii="仿宋" w:hAnsi="仿宋" w:eastAsia="仿宋" w:cs="仿宋"/>
                <w:kern w:val="0"/>
                <w:sz w:val="24"/>
                <w:lang w:val="en-US" w:eastAsia="zh-CN"/>
              </w:rPr>
              <w:t>温州市瓯海区娄桥街道仁汇路建设大厦20楼</w:t>
            </w:r>
            <w:r>
              <w:rPr>
                <w:rFonts w:hint="eastAsia" w:ascii="仿宋" w:hAnsi="仿宋" w:eastAsia="仿宋" w:cs="仿宋"/>
                <w:kern w:val="0"/>
                <w:sz w:val="24"/>
              </w:rPr>
              <w:t>（浙江</w:t>
            </w:r>
            <w:r>
              <w:rPr>
                <w:rFonts w:hint="eastAsia" w:ascii="仿宋" w:hAnsi="仿宋" w:eastAsia="仿宋" w:cs="仿宋"/>
                <w:kern w:val="0"/>
                <w:sz w:val="24"/>
                <w:lang w:val="en-US" w:eastAsia="zh-CN"/>
              </w:rPr>
              <w:t>立创</w:t>
            </w:r>
            <w:r>
              <w:rPr>
                <w:rFonts w:hint="eastAsia" w:ascii="仿宋" w:hAnsi="仿宋" w:eastAsia="仿宋" w:cs="仿宋"/>
                <w:kern w:val="0"/>
                <w:sz w:val="24"/>
              </w:rPr>
              <w:t xml:space="preserve">项目管理有限公司 </w:t>
            </w:r>
            <w:r>
              <w:rPr>
                <w:rFonts w:hint="eastAsia" w:ascii="仿宋" w:hAnsi="仿宋" w:eastAsia="仿宋" w:cs="仿宋"/>
                <w:kern w:val="0"/>
                <w:sz w:val="24"/>
                <w:lang w:val="en-US" w:eastAsia="zh-CN"/>
              </w:rPr>
              <w:t>陈</w:t>
            </w:r>
            <w:r>
              <w:rPr>
                <w:rFonts w:hint="eastAsia" w:ascii="仿宋" w:hAnsi="仿宋" w:eastAsia="仿宋" w:cs="仿宋"/>
                <w:kern w:val="0"/>
                <w:sz w:val="24"/>
              </w:rPr>
              <w:t>先生收 联系电话：</w:t>
            </w:r>
            <w:r>
              <w:rPr>
                <w:rFonts w:hint="eastAsia" w:ascii="仿宋" w:hAnsi="仿宋" w:eastAsia="仿宋" w:cs="仿宋"/>
                <w:kern w:val="0"/>
                <w:sz w:val="24"/>
                <w:lang w:eastAsia="zh-CN"/>
              </w:rPr>
              <w:t>15968793001</w:t>
            </w:r>
            <w:r>
              <w:rPr>
                <w:rFonts w:hint="eastAsia" w:ascii="仿宋" w:hAnsi="仿宋" w:eastAsia="仿宋" w:cs="仿宋"/>
                <w:kern w:val="0"/>
                <w:sz w:val="24"/>
              </w:rPr>
              <w:t>）。未提交“演示视频U盘”</w:t>
            </w:r>
            <w:r>
              <w:rPr>
                <w:rFonts w:hint="eastAsia" w:ascii="仿宋" w:hAnsi="仿宋" w:eastAsia="仿宋" w:cs="仿宋"/>
                <w:kern w:val="0"/>
                <w:sz w:val="24"/>
                <w:lang w:val="en-US" w:eastAsia="zh-CN"/>
              </w:rPr>
              <w:t>和演示视频不法打开的</w:t>
            </w:r>
            <w:r>
              <w:rPr>
                <w:rFonts w:hint="eastAsia" w:ascii="仿宋" w:hAnsi="仿宋" w:eastAsia="仿宋" w:cs="仿宋"/>
                <w:kern w:val="0"/>
                <w:sz w:val="24"/>
              </w:rPr>
              <w:t>的供应商在演示部分将不予计分。</w:t>
            </w:r>
          </w:p>
        </w:tc>
      </w:tr>
      <w:tr w14:paraId="67C0634F">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992C246">
            <w:pPr>
              <w:snapToGrid w:val="0"/>
              <w:jc w:val="center"/>
              <w:rPr>
                <w:rFonts w:ascii="仿宋" w:hAnsi="仿宋" w:eastAsia="仿宋" w:cs="仿宋"/>
                <w:kern w:val="0"/>
                <w:sz w:val="24"/>
              </w:rPr>
            </w:pPr>
            <w:r>
              <w:rPr>
                <w:rFonts w:hint="eastAsia" w:ascii="仿宋" w:hAnsi="仿宋" w:eastAsia="仿宋" w:cs="仿宋"/>
                <w:kern w:val="0"/>
                <w:sz w:val="24"/>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2758F4D2">
            <w:pPr>
              <w:snapToGrid w:val="0"/>
              <w:spacing w:line="276" w:lineRule="auto"/>
              <w:jc w:val="center"/>
              <w:rPr>
                <w:rFonts w:hint="default" w:ascii="仿宋" w:hAnsi="仿宋" w:eastAsia="仿宋" w:cs="仿宋"/>
                <w:sz w:val="24"/>
                <w:lang w:val="en-US" w:eastAsia="zh-CN"/>
              </w:rPr>
            </w:pPr>
            <w:r>
              <w:rPr>
                <w:rFonts w:hint="eastAsia" w:ascii="仿宋" w:hAnsi="仿宋" w:eastAsia="仿宋" w:cs="仿宋"/>
                <w:sz w:val="24"/>
              </w:rPr>
              <w:t>样品</w:t>
            </w:r>
            <w:r>
              <w:rPr>
                <w:rFonts w:hint="eastAsia" w:ascii="仿宋" w:hAnsi="仿宋" w:eastAsia="仿宋" w:cs="仿宋"/>
                <w:sz w:val="24"/>
                <w:lang w:val="en-US" w:eastAsia="zh-CN"/>
              </w:rPr>
              <w:t>及演示视频U盘</w:t>
            </w:r>
          </w:p>
        </w:tc>
        <w:tc>
          <w:tcPr>
            <w:tcW w:w="6261" w:type="dxa"/>
            <w:tcBorders>
              <w:top w:val="single" w:color="auto" w:sz="4" w:space="0"/>
              <w:left w:val="single" w:color="auto" w:sz="4" w:space="0"/>
              <w:bottom w:val="single" w:color="auto" w:sz="4" w:space="0"/>
              <w:right w:val="single" w:color="auto" w:sz="4" w:space="0"/>
            </w:tcBorders>
            <w:vAlign w:val="center"/>
          </w:tcPr>
          <w:p w14:paraId="15E7BA23">
            <w:pPr>
              <w:snapToGrid w:val="0"/>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需要</w:t>
            </w:r>
          </w:p>
          <w:p w14:paraId="594D99D4">
            <w:pPr>
              <w:numPr>
                <w:ilvl w:val="0"/>
                <w:numId w:val="2"/>
              </w:numPr>
              <w:snapToGrid w:val="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样品：</w:t>
            </w:r>
          </w:p>
          <w:p w14:paraId="62323F95">
            <w:pPr>
              <w:numPr>
                <w:ilvl w:val="0"/>
                <w:numId w:val="0"/>
              </w:numPr>
              <w:snapToGrid w:val="0"/>
              <w:rPr>
                <w:rFonts w:ascii="仿宋" w:hAnsi="仿宋" w:eastAsia="仿宋" w:cs="仿宋"/>
                <w:kern w:val="0"/>
                <w:sz w:val="24"/>
              </w:rPr>
            </w:pPr>
            <w:r>
              <w:rPr>
                <w:rFonts w:hint="eastAsia" w:ascii="仿宋" w:hAnsi="仿宋" w:eastAsia="仿宋" w:cs="仿宋"/>
                <w:kern w:val="0"/>
                <w:sz w:val="24"/>
              </w:rPr>
              <w:t>（1）样品：</w:t>
            </w:r>
            <w:r>
              <w:rPr>
                <w:rFonts w:hint="eastAsia" w:ascii="仿宋" w:hAnsi="仿宋" w:eastAsia="仿宋" w:cs="仿宋"/>
                <w:sz w:val="22"/>
                <w:szCs w:val="22"/>
                <w:u w:val="single"/>
                <w:lang w:val="en-US" w:eastAsia="zh-CN"/>
              </w:rPr>
              <w:t>电磁自动摇摆汤炉</w:t>
            </w:r>
            <w:r>
              <w:rPr>
                <w:rFonts w:hint="eastAsia" w:ascii="仿宋" w:hAnsi="仿宋" w:eastAsia="仿宋" w:cs="仿宋"/>
                <w:sz w:val="22"/>
                <w:szCs w:val="22"/>
                <w:u w:val="single"/>
                <w:lang w:val="zh-CN" w:eastAsia="zh-CN"/>
              </w:rPr>
              <w:t>样品1台（</w:t>
            </w:r>
            <w:r>
              <w:rPr>
                <w:rFonts w:hint="eastAsia" w:ascii="仿宋" w:hAnsi="仿宋" w:eastAsia="仿宋" w:cs="仿宋"/>
                <w:sz w:val="22"/>
                <w:szCs w:val="22"/>
                <w:u w:val="single"/>
                <w:lang w:val="en-US" w:eastAsia="zh-CN"/>
              </w:rPr>
              <w:t>同时提供操作手册</w:t>
            </w:r>
            <w:r>
              <w:rPr>
                <w:rFonts w:hint="eastAsia" w:ascii="仿宋" w:hAnsi="仿宋" w:eastAsia="仿宋" w:cs="仿宋"/>
                <w:sz w:val="22"/>
                <w:szCs w:val="22"/>
                <w:u w:val="single"/>
                <w:lang w:val="zh-CN" w:eastAsia="zh-CN"/>
              </w:rPr>
              <w:t>）</w:t>
            </w:r>
            <w:r>
              <w:rPr>
                <w:rFonts w:hint="eastAsia" w:ascii="仿宋" w:hAnsi="仿宋" w:eastAsia="仿宋" w:cs="仿宋"/>
                <w:kern w:val="0"/>
                <w:sz w:val="24"/>
              </w:rPr>
              <w:t>；</w:t>
            </w:r>
          </w:p>
          <w:p w14:paraId="03C493B7">
            <w:pPr>
              <w:snapToGrid w:val="0"/>
              <w:rPr>
                <w:rFonts w:ascii="仿宋" w:hAnsi="仿宋" w:eastAsia="仿宋" w:cs="仿宋"/>
                <w:kern w:val="0"/>
                <w:sz w:val="24"/>
              </w:rPr>
            </w:pPr>
            <w:r>
              <w:rPr>
                <w:rFonts w:hint="eastAsia" w:ascii="仿宋" w:hAnsi="仿宋" w:eastAsia="仿宋" w:cs="仿宋"/>
                <w:kern w:val="0"/>
                <w:sz w:val="24"/>
              </w:rPr>
              <w:t>（2）样品制作的标准和要求：见技术参数要求；</w:t>
            </w:r>
          </w:p>
          <w:p w14:paraId="02BC6EC4">
            <w:pPr>
              <w:snapToGrid w:val="0"/>
              <w:rPr>
                <w:rFonts w:ascii="仿宋" w:hAnsi="仿宋" w:eastAsia="仿宋" w:cs="仿宋"/>
                <w:kern w:val="0"/>
                <w:sz w:val="24"/>
              </w:rPr>
            </w:pPr>
            <w:r>
              <w:rPr>
                <w:rFonts w:hint="eastAsia" w:ascii="仿宋" w:hAnsi="仿宋" w:eastAsia="仿宋" w:cs="仿宋"/>
                <w:kern w:val="0"/>
                <w:sz w:val="24"/>
              </w:rPr>
              <w:t>（3）样品的评审方法以及评审标准：详见评标办法；</w:t>
            </w:r>
          </w:p>
          <w:p w14:paraId="7A4CE306">
            <w:pPr>
              <w:snapToGrid w:val="0"/>
              <w:rPr>
                <w:rFonts w:ascii="仿宋" w:hAnsi="仿宋" w:eastAsia="仿宋" w:cs="仿宋"/>
                <w:kern w:val="0"/>
                <w:sz w:val="24"/>
              </w:rPr>
            </w:pPr>
            <w:r>
              <w:rPr>
                <w:rFonts w:hint="eastAsia" w:ascii="仿宋" w:hAnsi="仿宋" w:eastAsia="仿宋" w:cs="仿宋"/>
                <w:kern w:val="0"/>
                <w:sz w:val="24"/>
              </w:rPr>
              <w:t>（4）提供</w:t>
            </w:r>
            <w:r>
              <w:rPr>
                <w:rFonts w:hint="eastAsia" w:ascii="仿宋" w:hAnsi="仿宋" w:eastAsia="仿宋" w:cs="仿宋"/>
                <w:sz w:val="24"/>
              </w:rPr>
              <w:t>样品</w:t>
            </w:r>
            <w:r>
              <w:rPr>
                <w:rFonts w:hint="eastAsia" w:ascii="仿宋" w:hAnsi="仿宋" w:eastAsia="仿宋" w:cs="仿宋"/>
                <w:kern w:val="0"/>
                <w:sz w:val="24"/>
              </w:rPr>
              <w:t>的时间：</w:t>
            </w:r>
            <w:r>
              <w:rPr>
                <w:rFonts w:hint="eastAsia" w:ascii="仿宋" w:hAnsi="仿宋" w:eastAsia="仿宋" w:cs="仿宋"/>
                <w:kern w:val="0"/>
                <w:sz w:val="24"/>
                <w:lang w:val="en-US" w:eastAsia="zh-CN"/>
              </w:rPr>
              <w:t>2025年7月22日12：00前</w:t>
            </w:r>
            <w:r>
              <w:rPr>
                <w:rFonts w:hint="eastAsia" w:ascii="仿宋" w:hAnsi="仿宋" w:eastAsia="仿宋" w:cs="仿宋"/>
                <w:kern w:val="0"/>
                <w:sz w:val="24"/>
              </w:rPr>
              <w:t>；地点：</w:t>
            </w:r>
            <w:r>
              <w:rPr>
                <w:rFonts w:hint="eastAsia" w:ascii="仿宋" w:hAnsi="仿宋" w:eastAsia="仿宋" w:cs="仿宋"/>
                <w:kern w:val="0"/>
                <w:sz w:val="24"/>
                <w:u w:val="single"/>
                <w:lang w:eastAsia="zh-CN"/>
              </w:rPr>
              <w:t>温州市瓯海区娄桥街道仁汇路建设大厦20楼西北首</w:t>
            </w:r>
            <w:r>
              <w:rPr>
                <w:rFonts w:hint="eastAsia" w:ascii="仿宋" w:hAnsi="仿宋" w:eastAsia="仿宋" w:cs="仿宋"/>
                <w:kern w:val="0"/>
                <w:sz w:val="24"/>
              </w:rPr>
              <w:t>；联系人：</w:t>
            </w:r>
            <w:r>
              <w:rPr>
                <w:rFonts w:hint="eastAsia" w:ascii="仿宋" w:hAnsi="仿宋" w:eastAsia="仿宋" w:cs="仿宋"/>
                <w:kern w:val="0"/>
                <w:sz w:val="24"/>
                <w:lang w:val="en-US" w:eastAsia="zh-CN"/>
              </w:rPr>
              <w:t>陈先生</w:t>
            </w:r>
            <w:r>
              <w:rPr>
                <w:rFonts w:hint="eastAsia" w:ascii="仿宋" w:hAnsi="仿宋" w:eastAsia="仿宋" w:cs="仿宋"/>
                <w:kern w:val="0"/>
                <w:sz w:val="24"/>
              </w:rPr>
              <w:t>，联系电话：</w:t>
            </w:r>
            <w:r>
              <w:rPr>
                <w:rFonts w:hint="eastAsia" w:ascii="仿宋" w:hAnsi="仿宋" w:eastAsia="仿宋" w:cs="仿宋"/>
                <w:kern w:val="0"/>
                <w:sz w:val="24"/>
                <w:lang w:eastAsia="zh-CN"/>
              </w:rPr>
              <w:t>15968793001</w:t>
            </w:r>
            <w:r>
              <w:rPr>
                <w:rFonts w:hint="eastAsia" w:ascii="仿宋" w:hAnsi="仿宋" w:eastAsia="仿宋" w:cs="仿宋"/>
                <w:kern w:val="0"/>
                <w:sz w:val="24"/>
              </w:rPr>
              <w:t>。请投标人在上述时间内提供样品并按规定位置安装完毕。超过截止时间的，采购人或采购代理机构将不予接收，并将清场并封闭样品现场。</w:t>
            </w:r>
          </w:p>
          <w:p w14:paraId="19FAA0F8">
            <w:pPr>
              <w:snapToGrid w:val="0"/>
              <w:rPr>
                <w:rFonts w:ascii="仿宋" w:hAnsi="仿宋" w:eastAsia="仿宋" w:cs="仿宋"/>
                <w:kern w:val="0"/>
                <w:sz w:val="24"/>
              </w:rPr>
            </w:pPr>
            <w:r>
              <w:rPr>
                <w:rFonts w:hint="eastAsia" w:ascii="仿宋" w:hAnsi="仿宋" w:eastAsia="仿宋" w:cs="仿宋"/>
                <w:kern w:val="0"/>
                <w:sz w:val="24"/>
              </w:rPr>
              <w:t xml:space="preserve"> (5)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643D37">
            <w:pPr>
              <w:snapToGrid w:val="0"/>
              <w:rPr>
                <w:rFonts w:hint="eastAsia" w:ascii="仿宋" w:hAnsi="仿宋" w:eastAsia="仿宋" w:cs="仿宋"/>
                <w:kern w:val="0"/>
                <w:sz w:val="24"/>
                <w:lang w:val="en-US" w:eastAsia="zh-CN"/>
              </w:rPr>
            </w:pPr>
            <w:r>
              <w:rPr>
                <w:rFonts w:hint="eastAsia" w:ascii="仿宋" w:hAnsi="仿宋" w:eastAsia="仿宋" w:cs="仿宋"/>
                <w:kern w:val="0"/>
                <w:sz w:val="24"/>
              </w:rPr>
              <w:t>（6）制作、运输、安装和保管样品所发生的一切费用由投标人自理。</w:t>
            </w:r>
          </w:p>
        </w:tc>
      </w:tr>
      <w:tr w14:paraId="3EA77E3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2DE021">
            <w:pPr>
              <w:snapToGrid w:val="0"/>
              <w:jc w:val="center"/>
              <w:rPr>
                <w:rFonts w:ascii="仿宋" w:hAnsi="仿宋" w:eastAsia="仿宋" w:cs="仿宋"/>
                <w:kern w:val="0"/>
                <w:sz w:val="24"/>
              </w:rPr>
            </w:pPr>
            <w:r>
              <w:rPr>
                <w:rFonts w:hint="eastAsia" w:ascii="仿宋" w:hAnsi="仿宋" w:eastAsia="仿宋" w:cs="仿宋"/>
                <w:kern w:val="0"/>
                <w:sz w:val="24"/>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EC8099">
            <w:pPr>
              <w:snapToGrid w:val="0"/>
              <w:rPr>
                <w:rFonts w:ascii="仿宋" w:hAnsi="仿宋" w:eastAsia="仿宋" w:cs="仿宋"/>
                <w:kern w:val="0"/>
                <w:sz w:val="24"/>
              </w:rPr>
            </w:pPr>
            <w:r>
              <w:rPr>
                <w:rFonts w:hint="eastAsia" w:ascii="仿宋" w:hAnsi="仿宋" w:eastAsia="仿宋" w:cs="仿宋"/>
                <w:kern w:val="0"/>
                <w:sz w:val="24"/>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741854F2">
            <w:pPr>
              <w:snapToGrid w:val="0"/>
              <w:rPr>
                <w:rFonts w:ascii="仿宋" w:hAnsi="仿宋" w:eastAsia="仿宋" w:cs="仿宋"/>
                <w:kern w:val="0"/>
                <w:sz w:val="24"/>
              </w:rPr>
            </w:pPr>
            <w:r>
              <w:rPr>
                <w:rFonts w:hint="eastAsia" w:ascii="仿宋" w:hAnsi="仿宋" w:eastAsia="仿宋" w:cs="仿宋"/>
                <w:kern w:val="0"/>
                <w:sz w:val="24"/>
              </w:rPr>
              <w:t>投标</w:t>
            </w:r>
            <w:r>
              <w:rPr>
                <w:rFonts w:hint="eastAsia" w:ascii="仿宋" w:hAnsi="仿宋" w:eastAsia="仿宋" w:cs="仿宋"/>
                <w:kern w:val="0"/>
                <w:sz w:val="24"/>
                <w:lang w:val="zh-CN"/>
              </w:rPr>
              <w:t>报价包含的内容：</w:t>
            </w:r>
          </w:p>
          <w:p w14:paraId="7CA660F3">
            <w:pPr>
              <w:snapToGrid w:val="0"/>
              <w:rPr>
                <w:rFonts w:ascii="仿宋" w:hAnsi="仿宋" w:eastAsia="仿宋" w:cs="仿宋"/>
                <w:kern w:val="0"/>
                <w:sz w:val="24"/>
                <w:u w:val="single"/>
              </w:rPr>
            </w:pPr>
            <w:r>
              <w:rPr>
                <w:rFonts w:hint="eastAsia" w:ascii="仿宋" w:hAnsi="仿宋" w:eastAsia="仿宋" w:cs="仿宋"/>
                <w:kern w:val="0"/>
                <w:sz w:val="24"/>
              </w:rPr>
              <w:sym w:font="Wingdings" w:char="F0FE"/>
            </w:r>
            <w:r>
              <w:rPr>
                <w:rFonts w:hint="eastAsia" w:ascii="仿宋" w:hAnsi="仿宋" w:eastAsia="仿宋" w:cs="仿宋"/>
                <w:kern w:val="0"/>
                <w:sz w:val="24"/>
                <w:u w:val="single"/>
              </w:rPr>
              <w:t>报价必须包括设备的供货、税金、包装、运输、保险、装卸、验收（含第三方验收）、技术服务、售后服务、质保期保障、材料费等完成合同所需的一切本身和不可或缺的所有工作开支、政策性文件规定及合同包含的所有风险、责任等各项全部费用</w:t>
            </w:r>
            <w:r>
              <w:rPr>
                <w:rFonts w:hint="eastAsia" w:ascii="仿宋" w:hAnsi="仿宋" w:eastAsia="仿宋" w:cs="仿宋"/>
                <w:kern w:val="0"/>
                <w:sz w:val="24"/>
              </w:rPr>
              <w:t>；</w:t>
            </w:r>
          </w:p>
          <w:p w14:paraId="70B03525">
            <w:pPr>
              <w:snapToGrid w:val="0"/>
              <w:rPr>
                <w:rFonts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u w:val="single"/>
              </w:rPr>
              <w:t>采购代理服务费，采购代理服务费</w:t>
            </w:r>
            <w:r>
              <w:rPr>
                <w:rFonts w:hint="eastAsia" w:ascii="仿宋" w:hAnsi="仿宋" w:eastAsia="仿宋" w:cs="仿宋"/>
                <w:kern w:val="0"/>
                <w:sz w:val="24"/>
                <w:u w:val="single"/>
                <w:lang w:val="en-US" w:eastAsia="zh-CN"/>
              </w:rPr>
              <w:t>以采购预算为基准</w:t>
            </w:r>
            <w:r>
              <w:rPr>
                <w:rFonts w:hint="eastAsia" w:ascii="仿宋" w:hAnsi="仿宋" w:eastAsia="仿宋" w:cs="仿宋"/>
                <w:kern w:val="0"/>
                <w:sz w:val="24"/>
                <w:u w:val="single"/>
              </w:rPr>
              <w:t>按计价格[2002]1980号文件规定的货物类取费标准计取，由中标（成交）单位在领取中标通知书前一次性支付给代理机构，投标供应商在报价时应充分考虑该部分费用</w:t>
            </w:r>
            <w:r>
              <w:rPr>
                <w:rFonts w:hint="eastAsia" w:ascii="仿宋" w:hAnsi="仿宋" w:eastAsia="仿宋" w:cs="仿宋"/>
                <w:kern w:val="0"/>
                <w:sz w:val="24"/>
              </w:rPr>
              <w:t>；</w:t>
            </w:r>
          </w:p>
        </w:tc>
      </w:tr>
      <w:tr w14:paraId="4CA3F3E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01B1C7A">
            <w:pPr>
              <w:snapToGrid w:val="0"/>
              <w:jc w:val="center"/>
              <w:rPr>
                <w:rFonts w:ascii="仿宋" w:hAnsi="仿宋" w:eastAsia="仿宋" w:cs="仿宋"/>
                <w:kern w:val="0"/>
                <w:sz w:val="24"/>
              </w:rPr>
            </w:pPr>
            <w:r>
              <w:rPr>
                <w:rFonts w:hint="eastAsia" w:ascii="仿宋" w:hAnsi="仿宋" w:eastAsia="仿宋" w:cs="仿宋"/>
                <w:kern w:val="0"/>
                <w:sz w:val="24"/>
              </w:rPr>
              <w:t>14</w:t>
            </w:r>
          </w:p>
        </w:tc>
        <w:tc>
          <w:tcPr>
            <w:tcW w:w="1687" w:type="dxa"/>
            <w:tcBorders>
              <w:top w:val="single" w:color="auto" w:sz="4" w:space="0"/>
              <w:left w:val="single" w:color="auto" w:sz="4" w:space="0"/>
              <w:bottom w:val="single" w:color="auto" w:sz="4" w:space="0"/>
              <w:right w:val="single" w:color="auto" w:sz="4" w:space="0"/>
            </w:tcBorders>
            <w:vAlign w:val="center"/>
          </w:tcPr>
          <w:p w14:paraId="0BCD3EB9">
            <w:pPr>
              <w:snapToGrid w:val="0"/>
              <w:rPr>
                <w:rFonts w:ascii="仿宋" w:hAnsi="仿宋" w:eastAsia="仿宋" w:cs="仿宋"/>
                <w:kern w:val="0"/>
                <w:sz w:val="24"/>
              </w:rPr>
            </w:pPr>
            <w:r>
              <w:rPr>
                <w:rFonts w:hint="eastAsia" w:ascii="仿宋" w:hAnsi="仿宋" w:eastAsia="仿宋" w:cs="仿宋"/>
                <w:kern w:val="0"/>
                <w:sz w:val="24"/>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009D6493">
            <w:pPr>
              <w:snapToGrid w:val="0"/>
              <w:rPr>
                <w:rFonts w:ascii="仿宋" w:hAnsi="仿宋" w:eastAsia="仿宋" w:cs="仿宋"/>
                <w:sz w:val="24"/>
                <w:u w:val="single"/>
              </w:rPr>
            </w:pPr>
            <w:r>
              <w:rPr>
                <w:rFonts w:hint="eastAsia" w:ascii="仿宋" w:hAnsi="仿宋" w:eastAsia="仿宋" w:cs="仿宋"/>
                <w:kern w:val="0"/>
                <w:sz w:val="24"/>
              </w:rPr>
              <w:sym w:font="Wingdings" w:char="F0FE"/>
            </w:r>
            <w:r>
              <w:rPr>
                <w:rFonts w:hint="eastAsia" w:ascii="仿宋" w:hAnsi="仿宋" w:eastAsia="仿宋" w:cs="仿宋"/>
                <w:kern w:val="0"/>
                <w:sz w:val="24"/>
              </w:rPr>
              <w:t>无需提交</w:t>
            </w:r>
          </w:p>
        </w:tc>
      </w:tr>
      <w:tr w14:paraId="6C2DA3FF">
        <w:tblPrEx>
          <w:tblCellMar>
            <w:top w:w="0" w:type="dxa"/>
            <w:left w:w="108" w:type="dxa"/>
            <w:bottom w:w="0" w:type="dxa"/>
            <w:right w:w="108" w:type="dxa"/>
          </w:tblCellMar>
        </w:tblPrEx>
        <w:trPr>
          <w:trHeight w:val="5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9E8FD6F">
            <w:pPr>
              <w:snapToGrid w:val="0"/>
              <w:jc w:val="center"/>
              <w:rPr>
                <w:rFonts w:ascii="仿宋" w:hAnsi="仿宋" w:eastAsia="仿宋" w:cs="仿宋"/>
                <w:kern w:val="0"/>
                <w:sz w:val="24"/>
              </w:rPr>
            </w:pPr>
            <w:r>
              <w:rPr>
                <w:rFonts w:hint="eastAsia" w:ascii="仿宋" w:hAnsi="仿宋" w:eastAsia="仿宋" w:cs="仿宋"/>
                <w:kern w:val="0"/>
                <w:sz w:val="24"/>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A6E94A4">
            <w:pPr>
              <w:snapToGrid w:val="0"/>
              <w:rPr>
                <w:rFonts w:ascii="仿宋" w:hAnsi="仿宋" w:eastAsia="仿宋" w:cs="仿宋"/>
                <w:kern w:val="0"/>
                <w:sz w:val="24"/>
              </w:rPr>
            </w:pPr>
            <w:r>
              <w:rPr>
                <w:rFonts w:hint="eastAsia" w:ascii="仿宋" w:hAnsi="仿宋" w:eastAsia="仿宋" w:cs="仿宋"/>
                <w:kern w:val="0"/>
                <w:sz w:val="24"/>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1912AB90">
            <w:pPr>
              <w:snapToGrid w:val="0"/>
              <w:rPr>
                <w:rFonts w:ascii="仿宋" w:hAnsi="仿宋" w:eastAsia="仿宋" w:cs="仿宋"/>
                <w:kern w:val="0"/>
                <w:sz w:val="24"/>
              </w:rPr>
            </w:pPr>
            <w:r>
              <w:rPr>
                <w:rFonts w:hint="eastAsia" w:ascii="仿宋" w:hAnsi="仿宋" w:eastAsia="仿宋" w:cs="仿宋"/>
                <w:kern w:val="0"/>
                <w:sz w:val="24"/>
                <w:u w:val="single"/>
              </w:rPr>
              <w:t>90</w:t>
            </w:r>
            <w:r>
              <w:rPr>
                <w:rFonts w:hint="eastAsia" w:ascii="仿宋" w:hAnsi="仿宋" w:eastAsia="仿宋" w:cs="仿宋"/>
                <w:kern w:val="0"/>
                <w:sz w:val="24"/>
              </w:rPr>
              <w:t>天</w:t>
            </w:r>
          </w:p>
        </w:tc>
      </w:tr>
      <w:tr w14:paraId="7E384C8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CEAD48">
            <w:pPr>
              <w:snapToGrid w:val="0"/>
              <w:jc w:val="center"/>
              <w:rPr>
                <w:rFonts w:ascii="仿宋" w:hAnsi="仿宋" w:eastAsia="仿宋" w:cs="仿宋"/>
                <w:kern w:val="0"/>
                <w:sz w:val="24"/>
              </w:rPr>
            </w:pPr>
            <w:r>
              <w:rPr>
                <w:rFonts w:hint="eastAsia" w:ascii="仿宋" w:hAnsi="仿宋" w:eastAsia="仿宋" w:cs="仿宋"/>
                <w:kern w:val="0"/>
                <w:sz w:val="24"/>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F0E62D0">
            <w:pPr>
              <w:snapToGrid w:val="0"/>
              <w:rPr>
                <w:rFonts w:ascii="仿宋" w:hAnsi="仿宋" w:eastAsia="仿宋" w:cs="仿宋"/>
                <w:kern w:val="0"/>
                <w:sz w:val="24"/>
              </w:rPr>
            </w:pPr>
            <w:r>
              <w:rPr>
                <w:rFonts w:hint="eastAsia" w:ascii="仿宋" w:hAnsi="仿宋" w:eastAsia="仿宋" w:cs="仿宋"/>
                <w:kern w:val="0"/>
                <w:sz w:val="24"/>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16B35FA2">
            <w:pPr>
              <w:snapToGrid w:val="0"/>
              <w:rPr>
                <w:rFonts w:ascii="仿宋" w:hAnsi="仿宋" w:eastAsia="仿宋" w:cs="仿宋"/>
                <w:kern w:val="0"/>
                <w:sz w:val="24"/>
              </w:rPr>
            </w:pPr>
            <w:r>
              <w:rPr>
                <w:rFonts w:hint="eastAsia" w:ascii="仿宋" w:hAnsi="仿宋" w:eastAsia="仿宋" w:cs="仿宋"/>
                <w:kern w:val="0"/>
                <w:sz w:val="24"/>
              </w:rPr>
              <w:t>1、开标当天在投标递交截止时间前自行送达至</w:t>
            </w:r>
            <w:r>
              <w:rPr>
                <w:rFonts w:hint="eastAsia" w:ascii="仿宋" w:hAnsi="仿宋" w:eastAsia="仿宋" w:cs="仿宋"/>
                <w:kern w:val="0"/>
                <w:sz w:val="24"/>
                <w:lang w:eastAsia="zh-CN"/>
              </w:rPr>
              <w:t>温州市瓯海区娄桥街道仁汇路建设大厦20楼西北首</w:t>
            </w:r>
            <w:r>
              <w:rPr>
                <w:rFonts w:hint="eastAsia" w:ascii="仿宋" w:hAnsi="仿宋" w:eastAsia="仿宋" w:cs="仿宋"/>
                <w:kern w:val="0"/>
                <w:sz w:val="24"/>
              </w:rPr>
              <w:t xml:space="preserve">。 </w:t>
            </w:r>
          </w:p>
          <w:p w14:paraId="0F9D28AE">
            <w:pPr>
              <w:snapToGrid w:val="0"/>
              <w:rPr>
                <w:rFonts w:ascii="仿宋" w:hAnsi="仿宋" w:eastAsia="仿宋" w:cs="仿宋"/>
                <w:kern w:val="0"/>
                <w:sz w:val="24"/>
              </w:rPr>
            </w:pPr>
            <w:r>
              <w:rPr>
                <w:rFonts w:hint="eastAsia" w:ascii="仿宋" w:hAnsi="仿宋" w:eastAsia="仿宋" w:cs="仿宋"/>
                <w:kern w:val="0"/>
                <w:sz w:val="24"/>
              </w:rPr>
              <w:t>2、可以（邮寄形式）在投标截止时间前送达，并需采购代理机构确认是否收到。</w:t>
            </w:r>
          </w:p>
          <w:p w14:paraId="455EBBBF">
            <w:pPr>
              <w:snapToGrid w:val="0"/>
              <w:rPr>
                <w:rFonts w:hint="eastAsia" w:ascii="仿宋" w:hAnsi="仿宋" w:eastAsia="仿宋" w:cs="仿宋"/>
                <w:kern w:val="0"/>
                <w:sz w:val="24"/>
                <w:lang w:eastAsia="zh-CN"/>
              </w:rPr>
            </w:pPr>
            <w:r>
              <w:rPr>
                <w:rFonts w:hint="eastAsia" w:ascii="仿宋" w:hAnsi="仿宋" w:eastAsia="仿宋" w:cs="仿宋"/>
                <w:kern w:val="0"/>
                <w:sz w:val="24"/>
              </w:rPr>
              <w:t>邮寄地址：</w:t>
            </w:r>
            <w:r>
              <w:rPr>
                <w:rFonts w:hint="eastAsia" w:ascii="仿宋" w:hAnsi="仿宋" w:eastAsia="仿宋" w:cs="仿宋"/>
                <w:kern w:val="0"/>
                <w:sz w:val="24"/>
                <w:lang w:eastAsia="zh-CN"/>
              </w:rPr>
              <w:t>温州市瓯海区娄桥街道仁汇路建设大厦20楼西北首</w:t>
            </w:r>
          </w:p>
          <w:p w14:paraId="101D7527">
            <w:pPr>
              <w:snapToGrid w:val="0"/>
              <w:rPr>
                <w:rFonts w:hint="eastAsia" w:ascii="仿宋" w:hAnsi="仿宋" w:eastAsia="仿宋" w:cs="仿宋"/>
                <w:kern w:val="0"/>
                <w:sz w:val="24"/>
                <w:lang w:eastAsia="zh-CN"/>
              </w:rPr>
            </w:pPr>
            <w:r>
              <w:rPr>
                <w:rFonts w:hint="eastAsia" w:ascii="仿宋" w:hAnsi="仿宋" w:eastAsia="仿宋" w:cs="仿宋"/>
                <w:kern w:val="0"/>
                <w:sz w:val="24"/>
              </w:rPr>
              <w:t>联系人：</w:t>
            </w:r>
            <w:r>
              <w:rPr>
                <w:rFonts w:hint="eastAsia" w:ascii="仿宋" w:hAnsi="仿宋" w:eastAsia="仿宋" w:cs="仿宋"/>
                <w:kern w:val="0"/>
                <w:sz w:val="24"/>
                <w:lang w:val="en-US" w:eastAsia="zh-CN"/>
              </w:rPr>
              <w:t>陈先生</w:t>
            </w:r>
            <w:r>
              <w:rPr>
                <w:rFonts w:hint="eastAsia" w:ascii="仿宋" w:hAnsi="仿宋" w:eastAsia="仿宋" w:cs="仿宋"/>
                <w:kern w:val="0"/>
                <w:sz w:val="24"/>
              </w:rPr>
              <w:t xml:space="preserve">   联系电话：</w:t>
            </w:r>
            <w:r>
              <w:rPr>
                <w:rFonts w:hint="eastAsia" w:ascii="仿宋" w:hAnsi="仿宋" w:eastAsia="仿宋" w:cs="仿宋"/>
                <w:kern w:val="0"/>
                <w:sz w:val="24"/>
                <w:lang w:eastAsia="zh-CN"/>
              </w:rPr>
              <w:t>15968793001</w:t>
            </w:r>
          </w:p>
          <w:p w14:paraId="447C2E1B">
            <w:pPr>
              <w:snapToGrid w:val="0"/>
              <w:rPr>
                <w:rFonts w:ascii="仿宋" w:hAnsi="仿宋" w:eastAsia="仿宋" w:cs="仿宋"/>
                <w:kern w:val="0"/>
                <w:sz w:val="24"/>
                <w:u w:val="single"/>
              </w:rPr>
            </w:pPr>
            <w:r>
              <w:rPr>
                <w:rFonts w:hint="eastAsia" w:ascii="仿宋" w:hAnsi="仿宋" w:eastAsia="仿宋" w:cs="仿宋"/>
                <w:kern w:val="0"/>
                <w:sz w:val="24"/>
              </w:rPr>
              <w:t>（若不提供备份投标文件，开标当天电子加密投标文件解密失败，投标人自行负责。）</w:t>
            </w:r>
          </w:p>
        </w:tc>
      </w:tr>
      <w:tr w14:paraId="6C0114A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2248B9">
            <w:pPr>
              <w:snapToGrid w:val="0"/>
              <w:jc w:val="center"/>
              <w:rPr>
                <w:rFonts w:ascii="仿宋" w:hAnsi="仿宋" w:eastAsia="仿宋" w:cs="仿宋"/>
                <w:kern w:val="0"/>
                <w:sz w:val="24"/>
                <w:lang w:val="zh-CN"/>
              </w:rPr>
            </w:pPr>
            <w:r>
              <w:rPr>
                <w:rFonts w:hint="eastAsia" w:ascii="仿宋" w:hAnsi="仿宋" w:eastAsia="仿宋" w:cs="仿宋"/>
                <w:kern w:val="0"/>
                <w:sz w:val="24"/>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73B95FA">
            <w:pPr>
              <w:snapToGrid w:val="0"/>
              <w:rPr>
                <w:rFonts w:ascii="仿宋" w:hAnsi="仿宋" w:eastAsia="仿宋" w:cs="仿宋"/>
                <w:kern w:val="0"/>
                <w:sz w:val="24"/>
                <w:lang w:val="zh-CN"/>
              </w:rPr>
            </w:pPr>
            <w:r>
              <w:rPr>
                <w:rFonts w:hint="eastAsia" w:ascii="仿宋" w:hAnsi="仿宋" w:eastAsia="仿宋" w:cs="仿宋"/>
                <w:kern w:val="0"/>
                <w:sz w:val="24"/>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78C74E85">
            <w:pPr>
              <w:snapToGrid w:val="0"/>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不</w:t>
            </w:r>
            <w:r>
              <w:rPr>
                <w:rFonts w:hint="eastAsia" w:ascii="仿宋" w:hAnsi="仿宋" w:eastAsia="仿宋" w:cs="Arial"/>
                <w:kern w:val="0"/>
                <w:sz w:val="24"/>
                <w:lang w:val="zh-CN"/>
              </w:rPr>
              <w:t>需要</w:t>
            </w:r>
          </w:p>
        </w:tc>
      </w:tr>
      <w:tr w14:paraId="26C78DC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58DFA7">
            <w:pPr>
              <w:snapToGrid w:val="0"/>
              <w:jc w:val="center"/>
              <w:rPr>
                <w:rFonts w:ascii="仿宋" w:hAnsi="仿宋" w:eastAsia="仿宋" w:cs="仿宋"/>
                <w:kern w:val="0"/>
                <w:sz w:val="24"/>
              </w:rPr>
            </w:pPr>
            <w:r>
              <w:rPr>
                <w:rFonts w:hint="eastAsia" w:ascii="仿宋" w:hAnsi="仿宋" w:eastAsia="仿宋" w:cs="仿宋"/>
                <w:sz w:val="24"/>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5683532">
            <w:pPr>
              <w:snapToGrid w:val="0"/>
              <w:rPr>
                <w:rFonts w:ascii="仿宋" w:hAnsi="仿宋" w:eastAsia="仿宋" w:cs="仿宋"/>
                <w:kern w:val="0"/>
                <w:sz w:val="24"/>
              </w:rPr>
            </w:pPr>
            <w:r>
              <w:rPr>
                <w:rFonts w:hint="eastAsia" w:ascii="仿宋" w:hAnsi="仿宋" w:eastAsia="仿宋" w:cs="仿宋"/>
                <w:kern w:val="0"/>
                <w:sz w:val="24"/>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6837BFBD">
            <w:pPr>
              <w:rPr>
                <w:rFonts w:ascii="仿宋" w:hAnsi="仿宋" w:eastAsia="仿宋" w:cs="仿宋"/>
                <w:sz w:val="24"/>
              </w:rPr>
            </w:pPr>
            <w:r>
              <w:rPr>
                <w:rFonts w:hint="eastAsia" w:ascii="仿宋" w:hAnsi="仿宋" w:eastAsia="仿宋" w:cs="仿宋"/>
                <w:sz w:val="24"/>
              </w:rPr>
              <w:t>1、招标文件各个组成部分中出现的措辞“发包人”和“承包人”，或者“甲方”和“乙方”（或“中标供应商”）等，在采购阶段应当分别按“采购人”和“投标人”进行理解，其中“中标供应商”与“中标人”同义。</w:t>
            </w:r>
          </w:p>
          <w:p w14:paraId="471FB3BD">
            <w:pPr>
              <w:snapToGrid w:val="0"/>
              <w:rPr>
                <w:rFonts w:ascii="仿宋" w:hAnsi="仿宋" w:eastAsia="仿宋" w:cs="仿宋"/>
                <w:sz w:val="24"/>
              </w:rPr>
            </w:pPr>
            <w:r>
              <w:rPr>
                <w:rFonts w:hint="eastAsia" w:ascii="仿宋" w:hAnsi="仿宋" w:eastAsia="仿宋" w:cs="仿宋"/>
                <w:sz w:val="24"/>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8ED9038">
            <w:pPr>
              <w:snapToGrid w:val="0"/>
              <w:rPr>
                <w:rFonts w:ascii="仿宋" w:hAnsi="仿宋" w:eastAsia="仿宋" w:cs="仿宋"/>
                <w:sz w:val="24"/>
              </w:rPr>
            </w:pPr>
            <w:r>
              <w:rPr>
                <w:rFonts w:hint="eastAsia" w:ascii="仿宋" w:hAnsi="仿宋" w:eastAsia="仿宋" w:cs="仿宋"/>
                <w:sz w:val="24"/>
              </w:rPr>
              <w:t>3、本项目采用电子招投标，开标现场组织人员在政采云平台在线公布投标文件解密情况并组织签署《政府采购活动现场确认声明书》（投标文件解密结束后60分钟内完成《政府采购活动现场确认声明书》的提交，将以E-mail电子邮件形式发送给采购代理机构（</w:t>
            </w:r>
            <w:r>
              <w:rPr>
                <w:rFonts w:hint="eastAsia" w:ascii="仿宋" w:hAnsi="仿宋" w:eastAsia="仿宋" w:cs="仿宋"/>
                <w:sz w:val="24"/>
                <w:lang w:eastAsia="zh-CN"/>
              </w:rPr>
              <w:t>5499379@qq.com</w:t>
            </w:r>
            <w:r>
              <w:rPr>
                <w:rFonts w:hint="eastAsia" w:ascii="仿宋" w:hAnsi="仿宋" w:eastAsia="仿宋" w:cs="仿宋"/>
                <w:sz w:val="24"/>
              </w:rPr>
              <w:t>）；</w:t>
            </w:r>
          </w:p>
          <w:p w14:paraId="7F958234">
            <w:pPr>
              <w:snapToGrid w:val="0"/>
              <w:rPr>
                <w:rFonts w:hint="default" w:ascii="仿宋" w:hAnsi="仿宋" w:eastAsia="仿宋" w:cs="仿宋"/>
                <w:bCs/>
                <w:sz w:val="24"/>
                <w:lang w:val="en-US" w:eastAsia="zh-CN"/>
              </w:rPr>
            </w:pPr>
            <w:r>
              <w:rPr>
                <w:rFonts w:hint="eastAsia" w:ascii="仿宋" w:hAnsi="仿宋" w:eastAsia="仿宋" w:cs="仿宋"/>
                <w:sz w:val="24"/>
              </w:rPr>
              <w:t>4、</w:t>
            </w:r>
            <w:r>
              <w:rPr>
                <w:rFonts w:hint="eastAsia" w:ascii="仿宋" w:hAnsi="仿宋" w:eastAsia="仿宋" w:cs="仿宋"/>
                <w:bCs/>
                <w:sz w:val="24"/>
              </w:rPr>
              <w:t>中标人在领取中标通知书时应提供与电子投标文件内容一致的纸质投标文件（一正二副）。</w:t>
            </w:r>
          </w:p>
        </w:tc>
      </w:tr>
    </w:tbl>
    <w:p w14:paraId="1BDF52B2">
      <w:pPr>
        <w:rPr>
          <w:rFonts w:ascii="仿宋" w:hAnsi="仿宋" w:eastAsia="仿宋" w:cs="仿宋"/>
        </w:rPr>
      </w:pPr>
      <w:bookmarkStart w:id="1" w:name="_Toc222114876"/>
      <w:bookmarkStart w:id="2" w:name="_Toc221374623"/>
      <w:bookmarkStart w:id="3" w:name="_Toc223715995"/>
      <w:bookmarkStart w:id="4" w:name="_Toc265529380"/>
      <w:bookmarkStart w:id="5" w:name="_Toc239145351"/>
      <w:bookmarkStart w:id="6" w:name="_Toc221423616"/>
      <w:bookmarkStart w:id="7" w:name="_Toc221356948"/>
      <w:bookmarkStart w:id="8" w:name="_Toc221356883"/>
      <w:bookmarkStart w:id="9" w:name="_Toc241404199"/>
      <w:bookmarkStart w:id="10" w:name="_Toc34508130"/>
      <w:r>
        <w:rPr>
          <w:rFonts w:hint="eastAsia" w:ascii="仿宋" w:hAnsi="仿宋" w:eastAsia="仿宋" w:cs="仿宋"/>
        </w:rPr>
        <w:br w:type="page"/>
      </w:r>
    </w:p>
    <w:p w14:paraId="73A7FDD6">
      <w:pPr>
        <w:pStyle w:val="977"/>
        <w:spacing w:line="500" w:lineRule="exact"/>
        <w:ind w:firstLine="602"/>
        <w:jc w:val="center"/>
        <w:rPr>
          <w:rFonts w:ascii="仿宋" w:hAnsi="仿宋" w:eastAsia="仿宋" w:cs="仿宋"/>
          <w:b/>
          <w:sz w:val="30"/>
          <w:szCs w:val="30"/>
        </w:rPr>
      </w:pPr>
      <w:r>
        <w:rPr>
          <w:rFonts w:hint="eastAsia" w:ascii="仿宋" w:hAnsi="仿宋" w:eastAsia="仿宋" w:cs="仿宋"/>
          <w:b/>
          <w:sz w:val="30"/>
          <w:szCs w:val="30"/>
        </w:rPr>
        <w:t>政府采购活动现场确认声明书</w:t>
      </w:r>
    </w:p>
    <w:p w14:paraId="55265073">
      <w:pPr>
        <w:pStyle w:val="977"/>
        <w:spacing w:line="500" w:lineRule="exact"/>
        <w:rPr>
          <w:rFonts w:ascii="仿宋" w:hAnsi="仿宋" w:eastAsia="仿宋" w:cs="仿宋"/>
          <w:b/>
          <w:bCs/>
          <w:sz w:val="24"/>
          <w:szCs w:val="24"/>
        </w:rPr>
      </w:pPr>
      <w:r>
        <w:rPr>
          <w:rFonts w:hint="eastAsia" w:ascii="仿宋" w:hAnsi="仿宋" w:eastAsia="仿宋" w:cs="仿宋"/>
          <w:b/>
          <w:bCs/>
          <w:sz w:val="24"/>
          <w:szCs w:val="24"/>
          <w:lang w:eastAsia="zh-CN"/>
        </w:rPr>
        <w:t>温州市瓯海区瞿溪华侨中学</w:t>
      </w:r>
      <w:r>
        <w:rPr>
          <w:rFonts w:hint="eastAsia" w:ascii="仿宋" w:hAnsi="仿宋" w:eastAsia="仿宋" w:cs="仿宋"/>
          <w:b/>
          <w:bCs/>
          <w:sz w:val="24"/>
          <w:szCs w:val="24"/>
        </w:rPr>
        <w:t>：</w:t>
      </w:r>
    </w:p>
    <w:p w14:paraId="6F539CB2">
      <w:pPr>
        <w:pStyle w:val="977"/>
        <w:spacing w:line="500" w:lineRule="exact"/>
        <w:rPr>
          <w:rFonts w:ascii="仿宋" w:hAnsi="仿宋" w:eastAsia="仿宋" w:cs="仿宋"/>
          <w:b/>
          <w:sz w:val="24"/>
          <w:szCs w:val="24"/>
        </w:rPr>
      </w:pPr>
      <w:r>
        <w:rPr>
          <w:rFonts w:hint="eastAsia" w:ascii="仿宋" w:hAnsi="仿宋" w:eastAsia="仿宋" w:cs="仿宋"/>
          <w:b/>
          <w:bCs/>
          <w:sz w:val="24"/>
          <w:szCs w:val="24"/>
          <w:lang w:eastAsia="zh-CN"/>
        </w:rPr>
        <w:t>浙江立创项目管理有限公司</w:t>
      </w:r>
      <w:r>
        <w:rPr>
          <w:rFonts w:hint="eastAsia" w:ascii="仿宋" w:hAnsi="仿宋" w:eastAsia="仿宋" w:cs="仿宋"/>
          <w:b/>
          <w:kern w:val="0"/>
          <w:sz w:val="24"/>
          <w:szCs w:val="24"/>
        </w:rPr>
        <w:t>：</w:t>
      </w:r>
    </w:p>
    <w:p w14:paraId="71607762">
      <w:pPr>
        <w:pStyle w:val="977"/>
        <w:spacing w:line="440" w:lineRule="exact"/>
        <w:ind w:firstLine="504"/>
        <w:rPr>
          <w:rFonts w:ascii="仿宋" w:hAnsi="仿宋" w:eastAsia="仿宋" w:cs="仿宋"/>
          <w:spacing w:val="6"/>
          <w:sz w:val="24"/>
          <w:szCs w:val="24"/>
        </w:rPr>
      </w:pPr>
      <w:r>
        <w:rPr>
          <w:rFonts w:hint="eastAsia" w:ascii="仿宋" w:hAnsi="仿宋" w:eastAsia="仿宋" w:cs="仿宋"/>
          <w:spacing w:val="6"/>
          <w:sz w:val="24"/>
          <w:szCs w:val="24"/>
        </w:rPr>
        <w:t>本人经由</w:t>
      </w:r>
      <w:r>
        <w:rPr>
          <w:rFonts w:hint="eastAsia" w:ascii="仿宋" w:hAnsi="仿宋" w:eastAsia="仿宋" w:cs="仿宋"/>
          <w:spacing w:val="6"/>
          <w:sz w:val="24"/>
          <w:szCs w:val="24"/>
          <w:u w:val="single"/>
        </w:rPr>
        <w:t xml:space="preserve">                  （单位）</w:t>
      </w:r>
      <w:r>
        <w:rPr>
          <w:rFonts w:hint="eastAsia" w:ascii="仿宋" w:hAnsi="仿宋" w:eastAsia="仿宋" w:cs="仿宋"/>
          <w:spacing w:val="6"/>
          <w:sz w:val="24"/>
          <w:szCs w:val="24"/>
        </w:rPr>
        <w:t>负责人</w:t>
      </w:r>
      <w:r>
        <w:rPr>
          <w:rFonts w:hint="eastAsia" w:ascii="仿宋" w:hAnsi="仿宋" w:eastAsia="仿宋" w:cs="仿宋"/>
          <w:spacing w:val="6"/>
          <w:sz w:val="24"/>
          <w:szCs w:val="24"/>
          <w:u w:val="single"/>
        </w:rPr>
        <w:t xml:space="preserve">        （姓名）</w:t>
      </w:r>
      <w:r>
        <w:rPr>
          <w:rFonts w:hint="eastAsia" w:ascii="仿宋" w:hAnsi="仿宋" w:eastAsia="仿宋" w:cs="仿宋"/>
          <w:spacing w:val="6"/>
          <w:sz w:val="24"/>
          <w:szCs w:val="24"/>
        </w:rPr>
        <w:t>合法授权参加项目（编号：</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）政府采购活动，经与本单位法人代表（负责人）联系确认，现就有关公平竞争事项郑重声明如下： </w:t>
      </w:r>
    </w:p>
    <w:p w14:paraId="61330153">
      <w:pPr>
        <w:pStyle w:val="976"/>
        <w:numPr>
          <w:ilvl w:val="0"/>
          <w:numId w:val="3"/>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kern w:val="0"/>
          <w:sz w:val="24"/>
          <w:szCs w:val="24"/>
        </w:rPr>
        <w:t>本单位与采购人之间 □不存在利害关系 □存在下列利害关系：</w:t>
      </w:r>
    </w:p>
    <w:p w14:paraId="52022CD8">
      <w:pPr>
        <w:pStyle w:val="976"/>
        <w:snapToGrid w:val="0"/>
        <w:spacing w:line="440" w:lineRule="exact"/>
        <w:rPr>
          <w:rFonts w:ascii="仿宋" w:hAnsi="仿宋" w:eastAsia="仿宋" w:cs="仿宋"/>
          <w:kern w:val="0"/>
          <w:sz w:val="24"/>
          <w:szCs w:val="24"/>
        </w:rPr>
      </w:pPr>
      <w:r>
        <w:rPr>
          <w:rFonts w:hint="eastAsia" w:ascii="仿宋" w:hAnsi="仿宋" w:eastAsia="仿宋" w:cs="仿宋"/>
          <w:kern w:val="0"/>
          <w:sz w:val="24"/>
          <w:szCs w:val="24"/>
        </w:rPr>
        <w:t xml:space="preserve">  A.投资关系    B.行政隶属关系    C.业务指导关系</w:t>
      </w:r>
    </w:p>
    <w:p w14:paraId="65FB414E">
      <w:pPr>
        <w:pStyle w:val="976"/>
        <w:snapToGrid w:val="0"/>
        <w:spacing w:line="440" w:lineRule="exact"/>
        <w:rPr>
          <w:rFonts w:ascii="仿宋" w:hAnsi="仿宋" w:eastAsia="仿宋" w:cs="仿宋"/>
          <w:kern w:val="0"/>
          <w:sz w:val="24"/>
          <w:szCs w:val="24"/>
        </w:rPr>
      </w:pPr>
      <w:r>
        <w:rPr>
          <w:rFonts w:hint="eastAsia" w:ascii="仿宋" w:hAnsi="仿宋" w:eastAsia="仿宋" w:cs="仿宋"/>
          <w:kern w:val="0"/>
          <w:sz w:val="24"/>
          <w:szCs w:val="24"/>
        </w:rPr>
        <w:t xml:space="preserve">  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利害关系</w:t>
      </w:r>
      <w:r>
        <w:rPr>
          <w:rFonts w:hint="eastAsia" w:ascii="仿宋" w:hAnsi="仿宋" w:eastAsia="仿宋" w:cs="仿宋"/>
          <w:kern w:val="0"/>
          <w:sz w:val="24"/>
          <w:szCs w:val="24"/>
          <w:u w:val="single"/>
        </w:rPr>
        <w:t xml:space="preserve">（如有，请如实说明）                 </w:t>
      </w:r>
      <w:r>
        <w:rPr>
          <w:rFonts w:hint="eastAsia" w:ascii="仿宋" w:hAnsi="仿宋" w:eastAsia="仿宋" w:cs="仿宋"/>
          <w:kern w:val="0"/>
          <w:sz w:val="24"/>
          <w:szCs w:val="24"/>
        </w:rPr>
        <w:t>。</w:t>
      </w:r>
    </w:p>
    <w:p w14:paraId="12F5EE3F">
      <w:pPr>
        <w:pStyle w:val="976"/>
        <w:snapToGrid w:val="0"/>
        <w:spacing w:line="440" w:lineRule="exact"/>
        <w:rPr>
          <w:rFonts w:ascii="仿宋" w:hAnsi="仿宋" w:eastAsia="仿宋" w:cs="仿宋"/>
          <w:kern w:val="0"/>
          <w:sz w:val="24"/>
          <w:szCs w:val="24"/>
        </w:rPr>
      </w:pPr>
      <w:r>
        <w:rPr>
          <w:rFonts w:hint="eastAsia" w:ascii="仿宋" w:hAnsi="仿宋" w:eastAsia="仿宋" w:cs="仿宋"/>
          <w:spacing w:val="6"/>
          <w:sz w:val="24"/>
          <w:szCs w:val="24"/>
        </w:rPr>
        <w:t xml:space="preserve">  二、</w:t>
      </w:r>
      <w:r>
        <w:rPr>
          <w:rFonts w:hint="eastAsia" w:ascii="仿宋" w:hAnsi="仿宋" w:eastAsia="仿宋" w:cs="仿宋"/>
          <w:kern w:val="0"/>
          <w:sz w:val="24"/>
          <w:szCs w:val="24"/>
        </w:rPr>
        <w:t xml:space="preserve">现已清楚知道参加本项目采购活动的其他所有供应商名称，本单位 □与其他所有供应商之间均不存在利害关系 </w:t>
      </w:r>
      <w:r>
        <w:rPr>
          <w:rFonts w:hint="eastAsia" w:ascii="仿宋" w:hAnsi="仿宋" w:eastAsia="仿宋" w:cs="仿宋"/>
          <w:kern w:val="0"/>
          <w:sz w:val="24"/>
          <w:szCs w:val="24"/>
        </w:rPr>
        <w:sym w:font="Wingdings 2" w:char="0052"/>
      </w:r>
      <w:r>
        <w:rPr>
          <w:rFonts w:hint="eastAsia" w:ascii="仿宋" w:hAnsi="仿宋" w:eastAsia="仿宋" w:cs="仿宋"/>
          <w:kern w:val="0"/>
          <w:sz w:val="24"/>
          <w:szCs w:val="24"/>
        </w:rPr>
        <w:t>与</w:t>
      </w:r>
      <w:r>
        <w:rPr>
          <w:rFonts w:hint="eastAsia" w:ascii="仿宋" w:hAnsi="仿宋" w:eastAsia="仿宋" w:cs="仿宋"/>
          <w:kern w:val="0"/>
          <w:sz w:val="24"/>
          <w:szCs w:val="24"/>
          <w:u w:val="single"/>
        </w:rPr>
        <w:t xml:space="preserve">           （供应商名称）</w:t>
      </w:r>
      <w:r>
        <w:rPr>
          <w:rFonts w:hint="eastAsia" w:ascii="仿宋" w:hAnsi="仿宋" w:eastAsia="仿宋" w:cs="仿宋"/>
          <w:kern w:val="0"/>
          <w:sz w:val="24"/>
          <w:szCs w:val="24"/>
        </w:rPr>
        <w:t>之间存在下列利害关系：</w:t>
      </w:r>
    </w:p>
    <w:p w14:paraId="471EC404">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A.法定代表人或负责人或实际控制人是同一人</w:t>
      </w:r>
    </w:p>
    <w:p w14:paraId="0C8EE119">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B.法定代表人或负责人或实际控制人是夫妻关系</w:t>
      </w:r>
    </w:p>
    <w:p w14:paraId="67283E62">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C.法定代表人或负责人或实际控制人是直系血亲关系</w:t>
      </w:r>
    </w:p>
    <w:p w14:paraId="125F5B63">
      <w:pPr>
        <w:pStyle w:val="977"/>
        <w:spacing w:line="440" w:lineRule="exact"/>
        <w:ind w:firstLine="480"/>
        <w:rPr>
          <w:rFonts w:ascii="仿宋" w:hAnsi="仿宋" w:eastAsia="仿宋" w:cs="仿宋"/>
          <w:spacing w:val="6"/>
          <w:sz w:val="24"/>
          <w:szCs w:val="24"/>
        </w:rPr>
      </w:pPr>
      <w:r>
        <w:rPr>
          <w:rFonts w:hint="eastAsia" w:ascii="仿宋" w:hAnsi="仿宋" w:eastAsia="仿宋" w:cs="仿宋"/>
          <w:kern w:val="0"/>
          <w:sz w:val="24"/>
          <w:szCs w:val="24"/>
        </w:rPr>
        <w:t xml:space="preserve">  D.法定代表人或负责人或实际控制人存在三代以内旁系血亲关系</w:t>
      </w:r>
    </w:p>
    <w:p w14:paraId="0AE04F49">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E.法定代表人或负责人或实际控制人存在近姻亲关系</w:t>
      </w:r>
    </w:p>
    <w:p w14:paraId="7674BA76">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F.法定代表人或负责人或实际控制人存在股份控制或实际控制关系</w:t>
      </w:r>
    </w:p>
    <w:p w14:paraId="0AC9DB02">
      <w:pPr>
        <w:pStyle w:val="977"/>
        <w:spacing w:line="44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G.存在共同直接或间接投资设立子公司、联营企业和合营企业情况</w:t>
      </w:r>
    </w:p>
    <w:p w14:paraId="174F5896">
      <w:pPr>
        <w:pStyle w:val="977"/>
        <w:spacing w:line="440" w:lineRule="exact"/>
        <w:ind w:firstLine="480"/>
        <w:rPr>
          <w:rFonts w:ascii="仿宋" w:hAnsi="仿宋" w:eastAsia="仿宋" w:cs="仿宋"/>
          <w:sz w:val="24"/>
          <w:szCs w:val="24"/>
        </w:rPr>
      </w:pPr>
      <w:r>
        <w:rPr>
          <w:rFonts w:hint="eastAsia" w:ascii="仿宋" w:hAnsi="仿宋" w:eastAsia="仿宋" w:cs="仿宋"/>
          <w:kern w:val="0"/>
          <w:sz w:val="24"/>
          <w:szCs w:val="24"/>
        </w:rPr>
        <w:t xml:space="preserve">  H.存在分级代理或代销关系、同一生产制造商关系、</w:t>
      </w:r>
      <w:r>
        <w:rPr>
          <w:rFonts w:hint="eastAsia" w:ascii="仿宋" w:hAnsi="仿宋" w:eastAsia="仿宋" w:cs="仿宋"/>
          <w:sz w:val="24"/>
          <w:szCs w:val="24"/>
        </w:rPr>
        <w:t>管理关系、重要业务（占主营业务收入50%以上）或重要财务往来关系（如融资）等其他实质性控制关系</w:t>
      </w:r>
    </w:p>
    <w:p w14:paraId="452D8991">
      <w:pPr>
        <w:pStyle w:val="977"/>
        <w:spacing w:line="440" w:lineRule="exact"/>
        <w:ind w:firstLine="480"/>
        <w:rPr>
          <w:rFonts w:ascii="仿宋" w:hAnsi="仿宋" w:eastAsia="仿宋" w:cs="仿宋"/>
          <w:spacing w:val="6"/>
          <w:sz w:val="24"/>
          <w:szCs w:val="24"/>
        </w:rPr>
      </w:pPr>
      <w:r>
        <w:rPr>
          <w:rFonts w:hint="eastAsia" w:ascii="仿宋" w:hAnsi="仿宋" w:eastAsia="仿宋" w:cs="仿宋"/>
          <w:sz w:val="24"/>
          <w:szCs w:val="24"/>
        </w:rPr>
        <w:t xml:space="preserve">    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kern w:val="0"/>
          <w:sz w:val="24"/>
          <w:szCs w:val="24"/>
        </w:rPr>
        <w:t>。</w:t>
      </w:r>
    </w:p>
    <w:p w14:paraId="5CBDAF64">
      <w:pPr>
        <w:pStyle w:val="976"/>
        <w:numPr>
          <w:ilvl w:val="0"/>
          <w:numId w:val="4"/>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sz w:val="24"/>
          <w:szCs w:val="24"/>
        </w:rPr>
        <w:t>现已清楚知道并</w:t>
      </w:r>
      <w:r>
        <w:rPr>
          <w:rFonts w:hint="eastAsia" w:ascii="仿宋" w:hAnsi="仿宋" w:eastAsia="仿宋" w:cs="仿宋"/>
          <w:kern w:val="0"/>
          <w:sz w:val="24"/>
          <w:szCs w:val="24"/>
        </w:rPr>
        <w:t>严格遵守政府采购法律法规和现场纪律。</w:t>
      </w:r>
    </w:p>
    <w:p w14:paraId="16E49ECC">
      <w:pPr>
        <w:pStyle w:val="976"/>
        <w:numPr>
          <w:ilvl w:val="0"/>
          <w:numId w:val="4"/>
        </w:numPr>
        <w:snapToGrid w:val="0"/>
        <w:spacing w:line="440" w:lineRule="exact"/>
        <w:ind w:firstLine="453" w:firstLineChars="189"/>
        <w:rPr>
          <w:rFonts w:ascii="仿宋" w:hAnsi="仿宋" w:eastAsia="仿宋" w:cs="仿宋"/>
          <w:kern w:val="0"/>
          <w:sz w:val="24"/>
          <w:szCs w:val="24"/>
        </w:rPr>
      </w:pPr>
      <w:r>
        <w:rPr>
          <w:rFonts w:hint="eastAsia" w:ascii="仿宋" w:hAnsi="仿宋" w:eastAsia="仿宋" w:cs="仿宋"/>
          <w:kern w:val="0"/>
          <w:sz w:val="24"/>
          <w:szCs w:val="24"/>
        </w:rPr>
        <w:t>我发现</w:t>
      </w:r>
      <w:r>
        <w:rPr>
          <w:rFonts w:ascii="Calibri" w:hAnsi="Calibri" w:eastAsia="仿宋" w:cs="Calibri"/>
          <w:kern w:val="0"/>
          <w:sz w:val="24"/>
          <w:szCs w:val="24"/>
          <w:u w:val="single"/>
        </w:rPr>
        <w:t>             </w:t>
      </w:r>
      <w:r>
        <w:rPr>
          <w:rFonts w:hint="eastAsia" w:ascii="仿宋" w:hAnsi="仿宋" w:eastAsia="仿宋" w:cs="仿宋"/>
          <w:kern w:val="0"/>
          <w:sz w:val="24"/>
          <w:szCs w:val="24"/>
        </w:rPr>
        <w:t>供应商之间存在或可能存在上述第二条第</w:t>
      </w:r>
      <w:r>
        <w:rPr>
          <w:rFonts w:ascii="Calibri" w:hAnsi="Calibri" w:eastAsia="仿宋" w:cs="Calibri"/>
          <w:kern w:val="0"/>
          <w:sz w:val="24"/>
          <w:szCs w:val="24"/>
          <w:u w:val="single"/>
        </w:rPr>
        <w:t>        </w:t>
      </w:r>
      <w:r>
        <w:rPr>
          <w:rFonts w:hint="eastAsia" w:ascii="仿宋" w:hAnsi="仿宋" w:eastAsia="仿宋" w:cs="仿宋"/>
          <w:kern w:val="0"/>
          <w:sz w:val="24"/>
          <w:szCs w:val="24"/>
        </w:rPr>
        <w:t>项利害关系。</w:t>
      </w:r>
    </w:p>
    <w:p w14:paraId="31CDF73D">
      <w:pPr>
        <w:pStyle w:val="977"/>
        <w:spacing w:line="440" w:lineRule="exact"/>
        <w:ind w:firstLine="480"/>
        <w:rPr>
          <w:rFonts w:ascii="仿宋" w:hAnsi="仿宋" w:eastAsia="仿宋" w:cs="仿宋"/>
          <w:sz w:val="24"/>
          <w:szCs w:val="24"/>
          <w:u w:val="single"/>
        </w:rPr>
      </w:pPr>
      <w:r>
        <w:rPr>
          <w:rFonts w:hint="eastAsia" w:ascii="仿宋" w:hAnsi="仿宋" w:eastAsia="仿宋" w:cs="仿宋"/>
          <w:sz w:val="24"/>
          <w:szCs w:val="24"/>
        </w:rPr>
        <w:t>投标人代表签字：</w:t>
      </w:r>
    </w:p>
    <w:p w14:paraId="3A4ABE8F">
      <w:pPr>
        <w:spacing w:line="360" w:lineRule="auto"/>
        <w:jc w:val="right"/>
        <w:rPr>
          <w:rFonts w:ascii="仿宋" w:hAnsi="仿宋" w:eastAsia="仿宋" w:cs="仿宋"/>
          <w:b/>
          <w:bCs/>
          <w:sz w:val="24"/>
        </w:rPr>
      </w:pPr>
      <w:r>
        <w:rPr>
          <w:rFonts w:hint="eastAsia" w:ascii="仿宋" w:hAnsi="仿宋" w:eastAsia="仿宋" w:cs="仿宋"/>
          <w:sz w:val="24"/>
        </w:rPr>
        <w:t xml:space="preserve"> 2025年  月  日</w:t>
      </w:r>
    </w:p>
    <w:p w14:paraId="72AE06FD">
      <w:pPr>
        <w:widowControl/>
        <w:adjustRightInd/>
        <w:jc w:val="left"/>
        <w:rPr>
          <w:rFonts w:ascii="仿宋" w:hAnsi="仿宋" w:eastAsia="仿宋" w:cs="仿宋"/>
          <w:b/>
          <w:sz w:val="28"/>
          <w:szCs w:val="28"/>
        </w:rPr>
      </w:pPr>
      <w:r>
        <w:rPr>
          <w:rFonts w:hint="eastAsia" w:ascii="仿宋" w:hAnsi="仿宋" w:eastAsia="仿宋" w:cs="仿宋"/>
          <w:sz w:val="24"/>
        </w:rPr>
        <w:t>注：投标文件解密结束后60分钟内将《政府采购活动现场确认声明书》以E-mail电子邮件形式发送给采购代理机构（</w:t>
      </w:r>
      <w:r>
        <w:rPr>
          <w:rFonts w:hint="eastAsia" w:ascii="仿宋" w:hAnsi="仿宋" w:eastAsia="仿宋" w:cs="仿宋"/>
          <w:sz w:val="24"/>
          <w:lang w:eastAsia="zh-CN"/>
        </w:rPr>
        <w:t>5499379@qq.com</w:t>
      </w:r>
      <w:r>
        <w:rPr>
          <w:rFonts w:hint="eastAsia" w:ascii="仿宋" w:hAnsi="仿宋" w:eastAsia="仿宋" w:cs="仿宋"/>
          <w:sz w:val="24"/>
        </w:rPr>
        <w:t>）。</w:t>
      </w:r>
      <w:r>
        <w:rPr>
          <w:rFonts w:ascii="仿宋" w:hAnsi="仿宋" w:eastAsia="仿宋" w:cs="仿宋"/>
          <w:b/>
          <w:sz w:val="28"/>
          <w:szCs w:val="28"/>
        </w:rPr>
        <w:br w:type="page"/>
      </w:r>
    </w:p>
    <w:p w14:paraId="03458E5F">
      <w:pPr>
        <w:rPr>
          <w:rFonts w:ascii="仿宋" w:hAnsi="仿宋" w:eastAsia="仿宋" w:cs="仿宋"/>
          <w:b/>
          <w:sz w:val="28"/>
          <w:szCs w:val="28"/>
        </w:rPr>
      </w:pPr>
    </w:p>
    <w:p w14:paraId="3C71F965">
      <w:pPr>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sz w:val="28"/>
          <w:szCs w:val="28"/>
        </w:rPr>
        <w:t>总则</w:t>
      </w:r>
    </w:p>
    <w:p w14:paraId="29B603F3">
      <w:pPr>
        <w:tabs>
          <w:tab w:val="left" w:pos="540"/>
          <w:tab w:val="left" w:pos="900"/>
        </w:tabs>
        <w:snapToGrid w:val="0"/>
        <w:spacing w:line="360" w:lineRule="auto"/>
        <w:rPr>
          <w:rFonts w:ascii="仿宋" w:hAnsi="仿宋" w:eastAsia="仿宋" w:cs="仿宋"/>
          <w:b/>
          <w:sz w:val="24"/>
        </w:rPr>
      </w:pPr>
      <w:r>
        <w:rPr>
          <w:rFonts w:hint="eastAsia" w:ascii="仿宋" w:hAnsi="仿宋" w:eastAsia="仿宋" w:cs="仿宋"/>
          <w:b/>
          <w:sz w:val="24"/>
        </w:rPr>
        <w:t>1.总说明</w:t>
      </w:r>
    </w:p>
    <w:p w14:paraId="3CE37EBA">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本项目采购是按照《中华人民共和国政府采购法》《中华人民共和国政府采购法实施条例》《关于进一步规范政府采购活动的若干意见》等法律及有关法规组织和实施的。</w:t>
      </w:r>
    </w:p>
    <w:p w14:paraId="259765D5">
      <w:pPr>
        <w:tabs>
          <w:tab w:val="left" w:pos="540"/>
          <w:tab w:val="left" w:pos="900"/>
        </w:tabs>
        <w:snapToGrid w:val="0"/>
        <w:spacing w:line="360" w:lineRule="auto"/>
        <w:rPr>
          <w:rFonts w:ascii="仿宋" w:hAnsi="仿宋" w:eastAsia="仿宋" w:cs="仿宋"/>
          <w:b/>
          <w:sz w:val="24"/>
        </w:rPr>
      </w:pPr>
      <w:bookmarkStart w:id="11" w:name="_Hlk93147856"/>
      <w:r>
        <w:rPr>
          <w:rFonts w:hint="eastAsia" w:ascii="仿宋" w:hAnsi="仿宋" w:eastAsia="仿宋" w:cs="仿宋"/>
          <w:b/>
          <w:bCs/>
          <w:sz w:val="24"/>
        </w:rPr>
        <w:t>2.</w:t>
      </w:r>
      <w:r>
        <w:rPr>
          <w:rFonts w:hint="eastAsia" w:ascii="仿宋" w:hAnsi="仿宋" w:eastAsia="仿宋" w:cs="仿宋"/>
          <w:b/>
          <w:sz w:val="24"/>
        </w:rPr>
        <w:t>采购项目</w:t>
      </w:r>
    </w:p>
    <w:p w14:paraId="61F1CB99">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2.1采购项目的基本情况见招标公告，采购需求见招标文件第三部分“采购需求”。项目采购标的对应的行业划分、项目属性、是否允许偏离等情况见投标人须知前附表。</w:t>
      </w:r>
    </w:p>
    <w:p w14:paraId="0831537C">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2.2采用最低评标价法的</w:t>
      </w:r>
      <w:r>
        <w:rPr>
          <w:rFonts w:hint="eastAsia" w:ascii="仿宋" w:hAnsi="仿宋" w:eastAsia="仿宋" w:cs="仿宋"/>
          <w:sz w:val="24"/>
        </w:rPr>
        <w:t>货物类</w:t>
      </w:r>
      <w:r>
        <w:rPr>
          <w:rFonts w:hint="eastAsia" w:ascii="仿宋" w:hAnsi="仿宋" w:eastAsia="仿宋" w:cs="仿宋"/>
          <w:bCs/>
          <w:spacing w:val="6"/>
          <w:sz w:val="24"/>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48386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使用综合评分法的</w:t>
      </w:r>
      <w:r>
        <w:rPr>
          <w:rFonts w:hint="eastAsia" w:ascii="仿宋" w:hAnsi="仿宋" w:eastAsia="仿宋" w:cs="仿宋"/>
          <w:sz w:val="24"/>
        </w:rPr>
        <w:t>货物类</w:t>
      </w:r>
      <w:r>
        <w:rPr>
          <w:rFonts w:hint="eastAsia" w:ascii="仿宋" w:hAnsi="仿宋" w:eastAsia="仿宋" w:cs="仿宋"/>
          <w:bCs/>
          <w:spacing w:val="6"/>
          <w:sz w:val="24"/>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8C430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非单一产品采购项目，多家投标人提供的核心产品（见</w:t>
      </w:r>
      <w:r>
        <w:rPr>
          <w:rFonts w:hint="eastAsia" w:ascii="仿宋" w:hAnsi="仿宋" w:eastAsia="仿宋" w:cs="仿宋"/>
          <w:sz w:val="24"/>
        </w:rPr>
        <w:t>投标人须知前附表</w:t>
      </w:r>
      <w:r>
        <w:rPr>
          <w:rFonts w:hint="eastAsia" w:ascii="仿宋" w:hAnsi="仿宋" w:eastAsia="仿宋" w:cs="仿宋"/>
          <w:bCs/>
          <w:spacing w:val="6"/>
          <w:sz w:val="24"/>
        </w:rPr>
        <w:t>）品牌相同的，按前两款规定处理。</w:t>
      </w:r>
    </w:p>
    <w:p w14:paraId="422E9DEE">
      <w:pPr>
        <w:snapToGrid w:val="0"/>
        <w:spacing w:line="360" w:lineRule="auto"/>
        <w:ind w:firstLine="480" w:firstLineChars="200"/>
        <w:rPr>
          <w:rFonts w:ascii="仿宋" w:hAnsi="仿宋" w:eastAsia="仿宋" w:cs="仿宋"/>
          <w:bCs/>
          <w:spacing w:val="6"/>
          <w:sz w:val="24"/>
        </w:rPr>
      </w:pPr>
      <w:r>
        <w:rPr>
          <w:rFonts w:hint="eastAsia" w:ascii="仿宋" w:hAnsi="仿宋" w:eastAsia="仿宋" w:cs="仿宋"/>
          <w:sz w:val="24"/>
        </w:rPr>
        <w:t>2.3货物类是否允许采购进口产品、是否要求节能/环境标志产品等情况见投标人须知前附表。</w:t>
      </w:r>
      <w:bookmarkEnd w:id="11"/>
    </w:p>
    <w:p w14:paraId="13CA0A1D">
      <w:pPr>
        <w:tabs>
          <w:tab w:val="left" w:pos="540"/>
          <w:tab w:val="left" w:pos="900"/>
        </w:tabs>
        <w:snapToGrid w:val="0"/>
        <w:spacing w:line="360" w:lineRule="auto"/>
        <w:rPr>
          <w:rFonts w:ascii="仿宋" w:hAnsi="仿宋" w:eastAsia="仿宋" w:cs="仿宋"/>
          <w:b/>
          <w:bCs/>
          <w:sz w:val="24"/>
        </w:rPr>
      </w:pPr>
      <w:r>
        <w:rPr>
          <w:rFonts w:hint="eastAsia" w:ascii="仿宋" w:hAnsi="仿宋" w:eastAsia="仿宋" w:cs="仿宋"/>
          <w:b/>
          <w:bCs/>
          <w:sz w:val="24"/>
        </w:rPr>
        <w:t>3.合格的投标人</w:t>
      </w:r>
    </w:p>
    <w:p w14:paraId="41E60799">
      <w:pPr>
        <w:tabs>
          <w:tab w:val="left" w:pos="540"/>
          <w:tab w:val="left" w:pos="90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3.1合格的投标人应满足招标文件第一部分“招标公告”对申请人的资格要求。</w:t>
      </w:r>
    </w:p>
    <w:p w14:paraId="5FCE59E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3.2</w:t>
      </w:r>
      <w:r>
        <w:rPr>
          <w:rFonts w:hint="eastAsia" w:ascii="仿宋" w:hAnsi="仿宋" w:eastAsia="仿宋" w:cs="仿宋"/>
          <w:b/>
          <w:kern w:val="0"/>
          <w:sz w:val="24"/>
          <w:u w:val="single"/>
        </w:rPr>
        <w:t>▲</w:t>
      </w:r>
      <w:r>
        <w:rPr>
          <w:rFonts w:hint="eastAsia" w:ascii="仿宋" w:hAnsi="仿宋" w:eastAsia="仿宋" w:cs="仿宋"/>
          <w:b/>
          <w:bCs/>
          <w:spacing w:val="6"/>
          <w:sz w:val="24"/>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spacing w:val="6"/>
          <w:sz w:val="24"/>
        </w:rPr>
        <w:t>。</w:t>
      </w:r>
    </w:p>
    <w:p w14:paraId="5A1C511C">
      <w:pPr>
        <w:tabs>
          <w:tab w:val="left" w:pos="540"/>
          <w:tab w:val="left" w:pos="90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F8313A3">
      <w:pPr>
        <w:tabs>
          <w:tab w:val="left" w:pos="540"/>
          <w:tab w:val="left" w:pos="900"/>
        </w:tabs>
        <w:snapToGrid w:val="0"/>
        <w:spacing w:line="360" w:lineRule="auto"/>
        <w:rPr>
          <w:rFonts w:ascii="仿宋" w:hAnsi="仿宋" w:eastAsia="仿宋" w:cs="仿宋"/>
          <w:b/>
          <w:sz w:val="24"/>
        </w:rPr>
      </w:pPr>
      <w:r>
        <w:rPr>
          <w:rFonts w:hint="eastAsia" w:ascii="仿宋" w:hAnsi="仿宋" w:eastAsia="仿宋" w:cs="仿宋"/>
          <w:b/>
          <w:sz w:val="24"/>
        </w:rPr>
        <w:t>4.投标费用</w:t>
      </w:r>
    </w:p>
    <w:p w14:paraId="7D4C3E5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投标人应承担所有与准备和参加投标有关费用，不论投标的结果如何，采购人和采购代理机构均无义务和责任承担这些费用。</w:t>
      </w:r>
    </w:p>
    <w:p w14:paraId="7D07CD6F">
      <w:pPr>
        <w:tabs>
          <w:tab w:val="left" w:pos="540"/>
          <w:tab w:val="left" w:pos="900"/>
        </w:tabs>
        <w:snapToGrid w:val="0"/>
        <w:spacing w:line="360" w:lineRule="auto"/>
        <w:rPr>
          <w:rFonts w:ascii="仿宋" w:hAnsi="仿宋" w:eastAsia="仿宋" w:cs="仿宋"/>
          <w:b/>
          <w:sz w:val="24"/>
        </w:rPr>
      </w:pPr>
      <w:bookmarkStart w:id="12" w:name="_Hlk93148567"/>
      <w:r>
        <w:rPr>
          <w:rFonts w:hint="eastAsia" w:ascii="仿宋" w:hAnsi="仿宋" w:eastAsia="仿宋" w:cs="仿宋"/>
          <w:b/>
          <w:sz w:val="24"/>
        </w:rPr>
        <w:t>5.保密</w:t>
      </w:r>
    </w:p>
    <w:p w14:paraId="674E721D">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参与采购活动的各方应对招标文件和投标文件中的商业和技术等秘密保密，否则应承担相应的法律责任。</w:t>
      </w:r>
    </w:p>
    <w:p w14:paraId="2C7C8CCD">
      <w:pPr>
        <w:snapToGrid w:val="0"/>
        <w:spacing w:line="360" w:lineRule="auto"/>
        <w:rPr>
          <w:rFonts w:ascii="仿宋" w:hAnsi="仿宋" w:eastAsia="仿宋" w:cs="仿宋"/>
          <w:b/>
          <w:bCs/>
          <w:spacing w:val="6"/>
          <w:sz w:val="24"/>
        </w:rPr>
      </w:pPr>
      <w:r>
        <w:rPr>
          <w:rFonts w:hint="eastAsia" w:ascii="仿宋" w:hAnsi="仿宋" w:eastAsia="仿宋" w:cs="仿宋"/>
          <w:b/>
          <w:bCs/>
          <w:spacing w:val="6"/>
          <w:sz w:val="24"/>
        </w:rPr>
        <w:t>6.标前答疑会或现场考察</w:t>
      </w:r>
    </w:p>
    <w:p w14:paraId="081926E1">
      <w:pPr>
        <w:pStyle w:val="21"/>
        <w:kinsoku w:val="0"/>
        <w:autoSpaceDE w:val="0"/>
        <w:autoSpaceDN w:val="0"/>
        <w:snapToGrid w:val="0"/>
        <w:spacing w:after="0" w:line="360" w:lineRule="auto"/>
        <w:ind w:firstLine="480" w:firstLineChars="200"/>
        <w:jc w:val="left"/>
        <w:rPr>
          <w:rFonts w:ascii="仿宋" w:hAnsi="仿宋" w:eastAsia="仿宋" w:cs="仿宋"/>
          <w:sz w:val="24"/>
        </w:rPr>
      </w:pPr>
      <w:r>
        <w:rPr>
          <w:rFonts w:hint="eastAsia" w:ascii="仿宋" w:hAnsi="仿宋" w:eastAsia="仿宋" w:cs="仿宋"/>
          <w:sz w:val="24"/>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5C38732A">
      <w:pPr>
        <w:pStyle w:val="21"/>
        <w:kinsoku w:val="0"/>
        <w:autoSpaceDE w:val="0"/>
        <w:autoSpaceDN w:val="0"/>
        <w:snapToGrid w:val="0"/>
        <w:spacing w:after="0" w:line="360" w:lineRule="auto"/>
        <w:ind w:firstLine="480" w:firstLineChars="200"/>
        <w:jc w:val="left"/>
        <w:rPr>
          <w:rFonts w:ascii="仿宋" w:hAnsi="仿宋" w:eastAsia="仿宋" w:cs="仿宋"/>
          <w:sz w:val="24"/>
        </w:rPr>
      </w:pPr>
      <w:r>
        <w:rPr>
          <w:rFonts w:hint="eastAsia" w:ascii="仿宋" w:hAnsi="仿宋" w:eastAsia="仿宋" w:cs="仿宋"/>
          <w:sz w:val="24"/>
        </w:rPr>
        <w:t>6.2投标人考察现场发生的费用自理。除采购人的原因外，投标人自行负责在考察现场中所发生的人员伤亡和财产损失。</w:t>
      </w:r>
    </w:p>
    <w:bookmarkEnd w:id="12"/>
    <w:p w14:paraId="3C3E4FAF">
      <w:pPr>
        <w:snapToGrid w:val="0"/>
        <w:spacing w:line="360" w:lineRule="auto"/>
        <w:rPr>
          <w:rFonts w:ascii="仿宋" w:hAnsi="仿宋" w:eastAsia="仿宋" w:cs="仿宋"/>
          <w:b/>
          <w:bCs/>
          <w:spacing w:val="6"/>
          <w:sz w:val="24"/>
        </w:rPr>
      </w:pPr>
      <w:bookmarkStart w:id="14" w:name="_Hlk93148676"/>
      <w:r>
        <w:rPr>
          <w:rFonts w:hint="eastAsia" w:ascii="仿宋" w:hAnsi="仿宋" w:eastAsia="仿宋" w:cs="仿宋"/>
          <w:b/>
          <w:bCs/>
          <w:spacing w:val="6"/>
          <w:sz w:val="24"/>
        </w:rPr>
        <w:t>7.落实政府采购政策</w:t>
      </w:r>
    </w:p>
    <w:p w14:paraId="2AB5A8F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017AC0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7.2支持绿色发展</w:t>
      </w:r>
    </w:p>
    <w:p w14:paraId="4174C31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pacing w:val="6"/>
          <w:sz w:val="24"/>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spacing w:val="6"/>
          <w:sz w:val="24"/>
        </w:rPr>
        <w:t>。</w:t>
      </w:r>
    </w:p>
    <w:p w14:paraId="1E72718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0D5C3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7.3支持中小企业发展</w:t>
      </w:r>
    </w:p>
    <w:p w14:paraId="1F64E18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2018C9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符合中小企业划分标准的个体工商户，在政府采购活动中视同中小企业。</w:t>
      </w:r>
    </w:p>
    <w:p w14:paraId="296EA24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7.3.2在政府采购活动中，投标人提供的货物、工程或者服务符合下列情形的，享受中小企业扶持政策：</w:t>
      </w:r>
    </w:p>
    <w:p w14:paraId="082DF55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（1）在货物采购项目中，货物由中小企业制造，即货物由中小企业生产且使用该中小企业商号或者注册商标；</w:t>
      </w:r>
    </w:p>
    <w:p w14:paraId="4023697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（2）在工程采购项目中，工程由中小企业承建，即工程施工单位为中小企业；</w:t>
      </w:r>
    </w:p>
    <w:p w14:paraId="1DECE23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（3）在服务采购项目中，服务由中小企业承接，即提供服务的人员为中小企业依照《中华人民共和国劳动合同法》订立劳动合同的从业人员。</w:t>
      </w:r>
    </w:p>
    <w:p w14:paraId="472E0EA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在货物采购项目中，投标人提供的货物既有中小企业制造货物，也有大型企业制造货物的，不享受中小企业扶持政策。</w:t>
      </w:r>
    </w:p>
    <w:p w14:paraId="5E95133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以联合体形式参加政府采购活动，联合体各方均为中小企业的，联合体视同中小企业。其中，联合体各方均为小微企业的，联合体视同小微企业。</w:t>
      </w:r>
    </w:p>
    <w:p w14:paraId="21EE569B">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7.3.3对于未预留份额专门面向中小企业采购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0FE2C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4F06E48">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价格扣除比例或者价格分加分比例对小型企业和微型企业同等对待，不作区分。具体采购项目的价格扣除比例或者价格分加分比例，见招标文件第六部分评标办法。</w:t>
      </w:r>
    </w:p>
    <w:p w14:paraId="425DCFB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7.3.4符合《关于促进残疾人就业政府采购政策的通知》（财库〔2017〕141号）规定的条件并提供《残疾人福利性单位声明函》的残疾人福利性单位视同小型、微型企业；</w:t>
      </w:r>
    </w:p>
    <w:p w14:paraId="4E01D1C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6EEC7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4C1F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7.3.7中小企业享受扶持政策获得政府采购合同的，小微企业不得将合同分包给大中型企业，中型企业不得将合同分包给大型企业。</w:t>
      </w:r>
    </w:p>
    <w:p w14:paraId="58B9E4A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 支持科技创新发展</w:t>
      </w:r>
    </w:p>
    <w:p w14:paraId="24BF850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7.4.1优先推荐专精特新中小企业，创新产品参加政府采购活动。</w:t>
      </w:r>
    </w:p>
    <w:p w14:paraId="758236C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7.4.2对省级以上主管部门认定的首台套产品，自纳入《省推广应用指导目录》起三年内参加政府采购活动，视同已具备相应销售业绩，业绩分为满分。</w:t>
      </w:r>
    </w:p>
    <w:p w14:paraId="0967356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7.5为支持和促进中小企业发展，进一步发挥政府采购政策功能，温州海洋经济发展示范区财政局出台了《温州海洋经济发展示范区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2A0054AB">
      <w:pPr>
        <w:snapToGrid w:val="0"/>
        <w:spacing w:line="360" w:lineRule="auto"/>
        <w:rPr>
          <w:rFonts w:ascii="仿宋" w:hAnsi="仿宋" w:eastAsia="仿宋" w:cs="仿宋"/>
          <w:b/>
          <w:bCs/>
          <w:spacing w:val="6"/>
          <w:sz w:val="24"/>
        </w:rPr>
      </w:pPr>
      <w:bookmarkStart w:id="15" w:name="_Hlk93148897"/>
      <w:r>
        <w:rPr>
          <w:rFonts w:hint="eastAsia" w:ascii="仿宋" w:hAnsi="仿宋" w:eastAsia="仿宋" w:cs="仿宋"/>
          <w:b/>
          <w:bCs/>
          <w:spacing w:val="6"/>
          <w:sz w:val="24"/>
        </w:rPr>
        <w:t>8.询问、质疑、投诉</w:t>
      </w:r>
    </w:p>
    <w:p w14:paraId="094519D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8.1询问</w:t>
      </w:r>
    </w:p>
    <w:p w14:paraId="508461B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DD7ACF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8.2质疑</w:t>
      </w:r>
    </w:p>
    <w:p w14:paraId="038E65D8">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8.2.1提出质疑的投标人应当是参与所质疑项目采购活动的供应商。潜在投标人已依法获取其可质疑的招标文件的，可以对该文件提出质疑。</w:t>
      </w:r>
    </w:p>
    <w:p w14:paraId="4751FE8F">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087FE1F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（1）对招标文件提出质疑的，质疑期限为投标人获得招标文件之日或者招标文件公告期限届满之日起计算。</w:t>
      </w:r>
    </w:p>
    <w:p w14:paraId="7D9704B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（2）对采购过程提出质疑的，质疑期限为各采购程序环节结束之日起计算。对同一采购程序环节的质疑，质疑人须一次性提出。</w:t>
      </w:r>
    </w:p>
    <w:p w14:paraId="7954AC81">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（3）对采购结果提出质疑的，质疑期限自采购结果公告期限届满之日起计算。</w:t>
      </w:r>
    </w:p>
    <w:p w14:paraId="05D0C34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8.2.3投标人提出质疑应当提交质疑函和必要的证明材料。质疑函应当包括下列内容：</w:t>
      </w:r>
    </w:p>
    <w:p w14:paraId="7C4EB262">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（1）供应商的姓名或者名称、地址、邮编、联系人及联系电话；</w:t>
      </w:r>
    </w:p>
    <w:p w14:paraId="35E8AED0">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（2）质疑项目的名称、编号；</w:t>
      </w:r>
    </w:p>
    <w:p w14:paraId="290C8FEC">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（3）具体、明确的质疑事项和与质疑事项相关的请求；</w:t>
      </w:r>
    </w:p>
    <w:p w14:paraId="6775F72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（4）事实依据；</w:t>
      </w:r>
    </w:p>
    <w:p w14:paraId="08706E3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（5）必要的法律依据；</w:t>
      </w:r>
    </w:p>
    <w:p w14:paraId="4B3861CD">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（6）提出质疑的日期。</w:t>
      </w:r>
    </w:p>
    <w:p w14:paraId="296636C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投标人提交的质疑函需一式三份。投标人为自然人的，应当由本人签字；投标人为法人或者其他组织的，应当由法定代表人、主要负责人，或者其授权代表签字或者盖章，并加盖公章。</w:t>
      </w:r>
    </w:p>
    <w:p w14:paraId="1950E3A4">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8.2.4采购人或者采购机构应当在收到质疑人的书面质疑后七个工作日内作出答复，并以书面形式通知质疑人和其他与质疑处理结果有利害关系的政府采购当事人，但答复的内容不得涉及商业秘密。</w:t>
      </w:r>
    </w:p>
    <w:p w14:paraId="37E26417">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8.2.5询问或者质疑事项可能影响采购结果的，采购人应当暂停签订合同，已经签订合同的，应当中止履行合同。</w:t>
      </w:r>
    </w:p>
    <w:p w14:paraId="5C27D353">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8.3投诉</w:t>
      </w:r>
    </w:p>
    <w:p w14:paraId="5F5C1DE9">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8.3.1质疑人对采购人、采购机构的答复不满意或者采购人、采购机构未在规定的时间内作出答复的，可以在答复期满后十五个工作日内向同级政府采购监督管理部门提出投诉。</w:t>
      </w:r>
    </w:p>
    <w:p w14:paraId="68164FA5">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8.3.2投标人投诉的事项不得超出已质疑事项的范围，基于质疑答复内容提出的投诉事项除外。</w:t>
      </w:r>
    </w:p>
    <w:p w14:paraId="1DE8383E">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8.3.3投标人投诉应当有明确的请求和必要的证明材料。</w:t>
      </w:r>
    </w:p>
    <w:p w14:paraId="78EBE546">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8.3.5以联合体形式参加政府采购活动的，其投诉应当由组成联合体的所有供应商共同提出。</w:t>
      </w:r>
    </w:p>
    <w:p w14:paraId="041A3F1A">
      <w:pPr>
        <w:snapToGrid w:val="0"/>
        <w:spacing w:line="360" w:lineRule="auto"/>
        <w:ind w:firstLine="504" w:firstLineChars="200"/>
        <w:rPr>
          <w:rFonts w:ascii="仿宋" w:hAnsi="仿宋" w:eastAsia="仿宋" w:cs="仿宋"/>
          <w:bCs/>
          <w:spacing w:val="6"/>
          <w:sz w:val="24"/>
        </w:rPr>
      </w:pPr>
      <w:r>
        <w:rPr>
          <w:rFonts w:hint="eastAsia" w:ascii="仿宋" w:hAnsi="仿宋" w:eastAsia="仿宋" w:cs="仿宋"/>
          <w:bCs/>
          <w:spacing w:val="6"/>
          <w:sz w:val="24"/>
        </w:rPr>
        <w:t>8.4根据《政府采购质疑和投诉办法》第三十七条的规定，投诉人在全国范围12个月内三次以上投诉查无实据的，由财政部门列入不良行为记录名单。</w:t>
      </w:r>
      <w:bookmarkEnd w:id="15"/>
    </w:p>
    <w:p w14:paraId="71DEB200">
      <w:pPr>
        <w:snapToGrid w:val="0"/>
        <w:spacing w:line="360" w:lineRule="auto"/>
        <w:jc w:val="center"/>
        <w:rPr>
          <w:rFonts w:ascii="仿宋" w:hAnsi="仿宋" w:eastAsia="仿宋" w:cs="仿宋"/>
          <w:b/>
          <w:sz w:val="28"/>
          <w:szCs w:val="28"/>
        </w:rPr>
      </w:pPr>
      <w:bookmarkStart w:id="16" w:name="_Toc221356884"/>
      <w:bookmarkStart w:id="17" w:name="_Toc265529381"/>
      <w:bookmarkStart w:id="18" w:name="_Toc221423617"/>
      <w:bookmarkStart w:id="19" w:name="_Toc239145352"/>
      <w:bookmarkStart w:id="20" w:name="_Toc221374624"/>
      <w:bookmarkStart w:id="21" w:name="_Toc34508131"/>
      <w:bookmarkStart w:id="22" w:name="_Toc241404200"/>
      <w:bookmarkStart w:id="23" w:name="_Toc223715996"/>
      <w:bookmarkStart w:id="24" w:name="_Toc222114877"/>
      <w:bookmarkStart w:id="25" w:name="_Toc221356949"/>
      <w:r>
        <w:rPr>
          <w:rFonts w:hint="eastAsia" w:ascii="仿宋" w:hAnsi="仿宋" w:eastAsia="仿宋" w:cs="仿宋"/>
          <w:b/>
          <w:sz w:val="28"/>
          <w:szCs w:val="28"/>
        </w:rPr>
        <w:t>二、招标文件</w:t>
      </w:r>
      <w:bookmarkEnd w:id="16"/>
      <w:bookmarkEnd w:id="17"/>
      <w:bookmarkEnd w:id="18"/>
      <w:bookmarkEnd w:id="19"/>
      <w:bookmarkEnd w:id="20"/>
      <w:bookmarkEnd w:id="21"/>
      <w:bookmarkEnd w:id="22"/>
      <w:bookmarkEnd w:id="23"/>
      <w:bookmarkEnd w:id="24"/>
      <w:bookmarkEnd w:id="25"/>
    </w:p>
    <w:p w14:paraId="208E21C8">
      <w:pPr>
        <w:tabs>
          <w:tab w:val="left" w:pos="540"/>
        </w:tabs>
        <w:snapToGrid w:val="0"/>
        <w:spacing w:line="360" w:lineRule="auto"/>
        <w:rPr>
          <w:rFonts w:ascii="仿宋" w:hAnsi="仿宋" w:eastAsia="仿宋" w:cs="仿宋"/>
          <w:b/>
          <w:sz w:val="24"/>
        </w:rPr>
      </w:pPr>
      <w:r>
        <w:rPr>
          <w:rFonts w:hint="eastAsia" w:ascii="仿宋" w:hAnsi="仿宋" w:eastAsia="仿宋" w:cs="仿宋"/>
          <w:b/>
          <w:sz w:val="24"/>
        </w:rPr>
        <w:t>9.招标文件</w:t>
      </w:r>
    </w:p>
    <w:p w14:paraId="67438B80">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9.1本项目招标文件由招标文件目录所列内容及相关资料组成。</w:t>
      </w:r>
      <w:bookmarkStart w:id="26" w:name="_Hlk93148980"/>
      <w:r>
        <w:rPr>
          <w:rFonts w:hint="eastAsia" w:ascii="仿宋" w:hAnsi="仿宋" w:eastAsia="仿宋" w:cs="仿宋"/>
          <w:sz w:val="24"/>
        </w:rPr>
        <w:t>获取招标文件的时间期限、地点、方式及招标文件售价等情况详见招标公告。</w:t>
      </w:r>
      <w:bookmarkEnd w:id="26"/>
    </w:p>
    <w:p w14:paraId="425A3F5F">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9.2招标文件的澄清或修改</w:t>
      </w:r>
    </w:p>
    <w:p w14:paraId="1BBA7D55">
      <w:pPr>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6203C83">
      <w:pPr>
        <w:snapToGrid w:val="0"/>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6558EDFA">
      <w:pPr>
        <w:snapToGrid w:val="0"/>
        <w:spacing w:line="360" w:lineRule="auto"/>
        <w:jc w:val="center"/>
        <w:outlineLvl w:val="1"/>
        <w:rPr>
          <w:rFonts w:ascii="仿宋" w:hAnsi="仿宋" w:eastAsia="仿宋" w:cs="仿宋"/>
          <w:b/>
          <w:sz w:val="28"/>
          <w:szCs w:val="28"/>
        </w:rPr>
      </w:pPr>
      <w:bookmarkStart w:id="27" w:name="_Toc241404201"/>
      <w:bookmarkStart w:id="28" w:name="_Toc223715997"/>
      <w:bookmarkStart w:id="29" w:name="_Toc265529382"/>
      <w:bookmarkStart w:id="30" w:name="_Toc239145353"/>
      <w:bookmarkStart w:id="31" w:name="_Toc34508132"/>
      <w:bookmarkStart w:id="32" w:name="_Toc221374625"/>
      <w:bookmarkStart w:id="33" w:name="_Toc221356950"/>
      <w:bookmarkStart w:id="34" w:name="_Toc221356885"/>
      <w:bookmarkStart w:id="35" w:name="_Toc222114878"/>
      <w:bookmarkStart w:id="36" w:name="_Toc221423618"/>
      <w:r>
        <w:rPr>
          <w:rFonts w:hint="eastAsia" w:ascii="仿宋" w:hAnsi="仿宋" w:eastAsia="仿宋" w:cs="仿宋"/>
          <w:b/>
          <w:sz w:val="28"/>
          <w:szCs w:val="28"/>
        </w:rPr>
        <w:t>三、投标文件</w:t>
      </w:r>
      <w:bookmarkEnd w:id="27"/>
      <w:bookmarkEnd w:id="28"/>
      <w:bookmarkEnd w:id="29"/>
      <w:bookmarkEnd w:id="30"/>
      <w:bookmarkEnd w:id="31"/>
      <w:bookmarkEnd w:id="32"/>
      <w:bookmarkEnd w:id="33"/>
      <w:bookmarkEnd w:id="34"/>
      <w:bookmarkEnd w:id="35"/>
      <w:bookmarkEnd w:id="36"/>
    </w:p>
    <w:p w14:paraId="05B5DE58">
      <w:pPr>
        <w:snapToGrid w:val="0"/>
        <w:spacing w:line="360" w:lineRule="auto"/>
        <w:rPr>
          <w:rFonts w:ascii="仿宋" w:hAnsi="仿宋" w:eastAsia="仿宋" w:cs="仿宋"/>
          <w:b/>
          <w:bCs/>
          <w:snapToGrid w:val="0"/>
          <w:sz w:val="24"/>
        </w:rPr>
      </w:pPr>
      <w:bookmarkStart w:id="37" w:name="_Toc221356886"/>
      <w:bookmarkStart w:id="38" w:name="_Hlk93149286"/>
      <w:r>
        <w:rPr>
          <w:rFonts w:hint="eastAsia" w:ascii="仿宋" w:hAnsi="仿宋" w:eastAsia="仿宋" w:cs="仿宋"/>
          <w:b/>
          <w:snapToGrid w:val="0"/>
          <w:sz w:val="24"/>
        </w:rPr>
        <w:t>10.</w:t>
      </w:r>
      <w:r>
        <w:rPr>
          <w:rFonts w:hint="eastAsia" w:ascii="仿宋" w:hAnsi="仿宋" w:eastAsia="仿宋" w:cs="仿宋"/>
          <w:b/>
          <w:bCs/>
          <w:snapToGrid w:val="0"/>
          <w:sz w:val="24"/>
        </w:rPr>
        <w:t>投标文件的构成</w:t>
      </w:r>
    </w:p>
    <w:p w14:paraId="3198729A">
      <w:pPr>
        <w:snapToGrid w:val="0"/>
        <w:spacing w:line="360" w:lineRule="auto"/>
        <w:ind w:firstLine="470" w:firstLineChars="196"/>
        <w:rPr>
          <w:rFonts w:ascii="仿宋" w:hAnsi="仿宋" w:eastAsia="仿宋" w:cs="仿宋"/>
          <w:bCs/>
          <w:sz w:val="24"/>
        </w:rPr>
      </w:pPr>
      <w:r>
        <w:rPr>
          <w:rFonts w:hint="eastAsia" w:ascii="仿宋" w:hAnsi="仿宋" w:eastAsia="仿宋" w:cs="仿宋"/>
          <w:bCs/>
          <w:sz w:val="24"/>
        </w:rPr>
        <w:t>包括资格文件、商务技术文件、报价文件三部分。</w:t>
      </w:r>
    </w:p>
    <w:p w14:paraId="1566B35A">
      <w:pPr>
        <w:tabs>
          <w:tab w:val="left" w:pos="360"/>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10.1 资格文件须包括下列内容：</w:t>
      </w:r>
    </w:p>
    <w:p w14:paraId="0C46A03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10.1.1符合参加政府采购活动应当具备的一般条件的承诺函；</w:t>
      </w:r>
    </w:p>
    <w:p w14:paraId="16D8A9D5">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10.1.2落实政府采购政策需满足的资格要求；</w:t>
      </w:r>
    </w:p>
    <w:p w14:paraId="436869F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10.1.3本项目的特定资格要求（如有）。</w:t>
      </w:r>
    </w:p>
    <w:p w14:paraId="5C6F3540">
      <w:pPr>
        <w:tabs>
          <w:tab w:val="left" w:pos="360"/>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10.2 商务技术文件应包括下列部分：</w:t>
      </w:r>
    </w:p>
    <w:p w14:paraId="5E34C27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10.2.1投标函；</w:t>
      </w:r>
    </w:p>
    <w:p w14:paraId="6F7A2D33">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10.2.2授权委托书或法定代表人（单位负责人、自然人本人）身份证明；</w:t>
      </w:r>
    </w:p>
    <w:p w14:paraId="2FED258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10.2.3符合性审查资料；</w:t>
      </w:r>
    </w:p>
    <w:p w14:paraId="208BD16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10.2.4评标标准相应的商务技术资料；</w:t>
      </w:r>
    </w:p>
    <w:p w14:paraId="64A2ECA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10.2.5商务技术偏离表；</w:t>
      </w:r>
    </w:p>
    <w:p w14:paraId="2D97CAE4">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10.</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6投标人认为需要提供的其他相关资料</w:t>
      </w:r>
      <w:r>
        <w:rPr>
          <w:rFonts w:hint="eastAsia" w:ascii="仿宋" w:hAnsi="仿宋" w:eastAsia="仿宋" w:cs="仿宋"/>
          <w:sz w:val="24"/>
          <w:lang w:val="zh-CN"/>
        </w:rPr>
        <w:t>。</w:t>
      </w:r>
    </w:p>
    <w:p w14:paraId="4FBA3056">
      <w:pPr>
        <w:tabs>
          <w:tab w:val="left" w:pos="5355"/>
        </w:tabs>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10.3 报价文件应包括下列部分：</w:t>
      </w:r>
    </w:p>
    <w:p w14:paraId="49DA4A1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10.3.1开标一览表（报价表）；</w:t>
      </w:r>
    </w:p>
    <w:p w14:paraId="1A59B1A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10.3.2价格组成表。</w:t>
      </w:r>
    </w:p>
    <w:p w14:paraId="64E98D58">
      <w:pPr>
        <w:snapToGrid w:val="0"/>
        <w:spacing w:line="360" w:lineRule="auto"/>
        <w:ind w:firstLine="482" w:firstLineChars="200"/>
        <w:rPr>
          <w:rFonts w:ascii="仿宋" w:hAnsi="仿宋" w:eastAsia="仿宋" w:cs="仿宋"/>
          <w:sz w:val="24"/>
        </w:rPr>
      </w:pPr>
      <w:r>
        <w:rPr>
          <w:rFonts w:hint="eastAsia" w:ascii="仿宋" w:hAnsi="仿宋" w:eastAsia="仿宋" w:cs="仿宋"/>
          <w:b/>
          <w:bCs/>
          <w:sz w:val="24"/>
        </w:rPr>
        <w:t>10.4 要求投标人提供样品、讲解或演示的，见投标人须知前附表。</w:t>
      </w:r>
    </w:p>
    <w:bookmarkEnd w:id="37"/>
    <w:p w14:paraId="7A1F38FF">
      <w:pPr>
        <w:snapToGrid w:val="0"/>
        <w:spacing w:line="360" w:lineRule="auto"/>
        <w:rPr>
          <w:rFonts w:ascii="仿宋" w:hAnsi="仿宋" w:eastAsia="仿宋" w:cs="仿宋"/>
          <w:b/>
          <w:bCs/>
          <w:sz w:val="24"/>
        </w:rPr>
      </w:pPr>
      <w:r>
        <w:rPr>
          <w:rFonts w:hint="eastAsia" w:ascii="仿宋" w:hAnsi="仿宋" w:eastAsia="仿宋" w:cs="仿宋"/>
          <w:b/>
          <w:bCs/>
          <w:sz w:val="24"/>
        </w:rPr>
        <w:t>11.投标文件编制</w:t>
      </w:r>
    </w:p>
    <w:p w14:paraId="341324C9">
      <w:pPr>
        <w:tabs>
          <w:tab w:val="left" w:pos="360"/>
        </w:tabs>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kern w:val="0"/>
          <w:sz w:val="24"/>
          <w:u w:val="single"/>
        </w:rPr>
        <w:t>▲</w:t>
      </w:r>
      <w:r>
        <w:rPr>
          <w:rFonts w:hint="eastAsia" w:ascii="仿宋" w:hAnsi="仿宋" w:eastAsia="仿宋" w:cs="仿宋"/>
          <w:b/>
          <w:kern w:val="0"/>
          <w:sz w:val="24"/>
          <w:u w:val="single"/>
          <w:lang w:val="zh-CN"/>
        </w:rPr>
        <w:t>投标人未按规定加密的投标文件，政采云平台将拒收并提示</w:t>
      </w:r>
      <w:r>
        <w:rPr>
          <w:rFonts w:hint="eastAsia" w:ascii="仿宋" w:hAnsi="仿宋" w:eastAsia="仿宋" w:cs="仿宋"/>
          <w:kern w:val="0"/>
          <w:sz w:val="24"/>
          <w:lang w:val="zh-CN"/>
        </w:rPr>
        <w:t>。</w:t>
      </w:r>
    </w:p>
    <w:p w14:paraId="0A2F5B3F">
      <w:pPr>
        <w:snapToGrid w:val="0"/>
        <w:spacing w:line="360" w:lineRule="auto"/>
        <w:ind w:firstLine="480" w:firstLineChars="200"/>
        <w:rPr>
          <w:rFonts w:ascii="仿宋" w:hAnsi="仿宋" w:eastAsia="仿宋" w:cs="仿宋"/>
          <w:b/>
          <w:sz w:val="24"/>
        </w:rPr>
      </w:pPr>
      <w:r>
        <w:rPr>
          <w:rFonts w:hint="eastAsia" w:ascii="仿宋" w:hAnsi="仿宋" w:eastAsia="仿宋" w:cs="仿宋"/>
          <w:sz w:val="24"/>
        </w:rPr>
        <w:t>11.2投标人应当按照本部分“投标文件的构成”规定的内容及顺序在“政采云电子交易客户端”编制投标文件。</w:t>
      </w:r>
      <w:r>
        <w:rPr>
          <w:rFonts w:hint="eastAsia" w:ascii="仿宋" w:hAnsi="仿宋" w:eastAsia="仿宋" w:cs="仿宋"/>
          <w:kern w:val="0"/>
          <w:sz w:val="24"/>
          <w:lang w:val="zh-CN"/>
        </w:rPr>
        <w:t>各投标人在编制投标文件时请按照招标文件第五部分规定的格式进行，混乱的编排导致投标文件被误读或评标委员会查找不到有效文件的风险由投标人自行承担。</w:t>
      </w:r>
    </w:p>
    <w:p w14:paraId="38129834">
      <w:pPr>
        <w:tabs>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11.3使用“政采云电子交易客户端”需要提前申领CA数字证书，申领流程请自行前往“浙江政府采购网-下载专区-电子交易客户端-CA驱动和申领流程”进行查阅。</w:t>
      </w:r>
    </w:p>
    <w:p w14:paraId="25BE4589">
      <w:pPr>
        <w:snapToGrid w:val="0"/>
        <w:spacing w:line="360" w:lineRule="auto"/>
        <w:rPr>
          <w:rFonts w:ascii="仿宋" w:hAnsi="仿宋" w:eastAsia="仿宋" w:cs="仿宋"/>
          <w:b/>
          <w:bCs/>
          <w:sz w:val="24"/>
        </w:rPr>
      </w:pPr>
      <w:r>
        <w:rPr>
          <w:rFonts w:hint="eastAsia" w:ascii="仿宋" w:hAnsi="仿宋" w:eastAsia="仿宋" w:cs="仿宋"/>
          <w:b/>
          <w:bCs/>
          <w:sz w:val="24"/>
        </w:rPr>
        <w:t>12.投标文件的签署、盖章</w:t>
      </w:r>
    </w:p>
    <w:p w14:paraId="2B4FDF1F">
      <w:pPr>
        <w:pStyle w:val="97"/>
        <w:snapToGrid w:val="0"/>
        <w:spacing w:before="0"/>
        <w:ind w:firstLine="480"/>
        <w:rPr>
          <w:rFonts w:ascii="仿宋" w:hAnsi="仿宋" w:eastAsia="仿宋" w:cs="仿宋"/>
          <w:b/>
          <w:szCs w:val="24"/>
        </w:rPr>
      </w:pPr>
      <w:r>
        <w:rPr>
          <w:rFonts w:hint="eastAsia" w:ascii="仿宋" w:hAnsi="仿宋" w:eastAsia="仿宋" w:cs="仿宋"/>
          <w:szCs w:val="24"/>
        </w:rPr>
        <w:t>12.1投标文件按照招标文件第五部分格式要求进行签署、盖章。</w:t>
      </w:r>
    </w:p>
    <w:p w14:paraId="18881E7B">
      <w:pPr>
        <w:pStyle w:val="97"/>
        <w:snapToGrid w:val="0"/>
        <w:spacing w:before="0"/>
        <w:ind w:firstLine="480"/>
        <w:rPr>
          <w:rFonts w:ascii="仿宋" w:hAnsi="仿宋" w:eastAsia="仿宋" w:cs="仿宋"/>
          <w:szCs w:val="24"/>
        </w:rPr>
      </w:pPr>
      <w:r>
        <w:rPr>
          <w:rFonts w:hint="eastAsia" w:ascii="仿宋" w:hAnsi="仿宋" w:eastAsia="仿宋" w:cs="仿宋"/>
          <w:szCs w:val="24"/>
        </w:rPr>
        <w:t>12.2为确保网上操作合法、有效和安全，投标人应当在投标截止时间前完成在“政采云平台”的身份认证，确保在电子投标过程中能够对相关数据电文进行加密和使用电子签名。</w:t>
      </w:r>
    </w:p>
    <w:p w14:paraId="7083C4B0">
      <w:pPr>
        <w:pStyle w:val="97"/>
        <w:snapToGrid w:val="0"/>
        <w:spacing w:before="0"/>
        <w:ind w:firstLine="480"/>
        <w:rPr>
          <w:rFonts w:ascii="仿宋" w:hAnsi="仿宋" w:eastAsia="仿宋" w:cs="仿宋"/>
          <w:szCs w:val="24"/>
        </w:rPr>
      </w:pPr>
      <w:r>
        <w:rPr>
          <w:rFonts w:hint="eastAsia" w:ascii="仿宋" w:hAnsi="仿宋" w:eastAsia="仿宋" w:cs="仿宋"/>
          <w:szCs w:val="24"/>
        </w:rPr>
        <w:t>12.3招标文件对投标文件签署、盖章的要求适用于电子签名。</w:t>
      </w:r>
      <w:bookmarkEnd w:id="38"/>
    </w:p>
    <w:p w14:paraId="4F507B3C">
      <w:pPr>
        <w:tabs>
          <w:tab w:val="left" w:pos="540"/>
        </w:tabs>
        <w:snapToGrid w:val="0"/>
        <w:spacing w:line="360" w:lineRule="auto"/>
        <w:rPr>
          <w:rFonts w:ascii="仿宋" w:hAnsi="仿宋" w:eastAsia="仿宋" w:cs="仿宋"/>
          <w:b/>
          <w:sz w:val="24"/>
        </w:rPr>
      </w:pPr>
      <w:bookmarkStart w:id="39" w:name="_Hlk93149637"/>
      <w:r>
        <w:rPr>
          <w:rFonts w:hint="eastAsia" w:ascii="仿宋" w:hAnsi="仿宋" w:eastAsia="仿宋" w:cs="仿宋"/>
          <w:b/>
          <w:bCs/>
          <w:sz w:val="24"/>
        </w:rPr>
        <w:t>13.投标报价</w:t>
      </w:r>
    </w:p>
    <w:p w14:paraId="1E71B3EC">
      <w:pPr>
        <w:tabs>
          <w:tab w:val="left" w:pos="5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8177A4A">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13.2有关本项目实施所需的所有费用（含税费）均计入报价。</w:t>
      </w:r>
      <w:r>
        <w:rPr>
          <w:rFonts w:hint="eastAsia" w:ascii="仿宋" w:hAnsi="仿宋" w:eastAsia="仿宋" w:cs="仿宋"/>
          <w:sz w:val="24"/>
        </w:rPr>
        <w:t>所有投标报价均以人民币报价。</w:t>
      </w:r>
      <w:r>
        <w:rPr>
          <w:rFonts w:hint="eastAsia" w:ascii="仿宋" w:hAnsi="仿宋" w:eastAsia="仿宋" w:cs="仿宋"/>
          <w:kern w:val="0"/>
          <w:sz w:val="24"/>
          <w:lang w:val="zh-CN"/>
        </w:rPr>
        <w:t>招标文件未列明，而投标人认为必需的费用也需列入报价。</w:t>
      </w:r>
    </w:p>
    <w:p w14:paraId="76BF6A8C">
      <w:pPr>
        <w:snapToGrid w:val="0"/>
        <w:spacing w:line="360" w:lineRule="auto"/>
        <w:ind w:firstLine="472" w:firstLineChars="196"/>
        <w:jc w:val="left"/>
        <w:rPr>
          <w:rFonts w:ascii="仿宋" w:hAnsi="仿宋" w:eastAsia="仿宋" w:cs="仿宋"/>
          <w:b/>
          <w:sz w:val="24"/>
        </w:rPr>
      </w:pPr>
      <w:r>
        <w:rPr>
          <w:rFonts w:hint="eastAsia" w:ascii="仿宋" w:hAnsi="仿宋" w:eastAsia="仿宋" w:cs="仿宋"/>
          <w:b/>
          <w:kern w:val="0"/>
          <w:sz w:val="24"/>
          <w:lang w:val="zh-CN"/>
        </w:rPr>
        <w:t>13.3</w:t>
      </w:r>
      <w:r>
        <w:rPr>
          <w:rFonts w:hint="eastAsia" w:ascii="仿宋" w:hAnsi="仿宋" w:eastAsia="仿宋" w:cs="仿宋"/>
          <w:b/>
          <w:sz w:val="24"/>
        </w:rPr>
        <w:t>投标报价其他要求见投标人须知前附表。</w:t>
      </w:r>
      <w:bookmarkEnd w:id="39"/>
    </w:p>
    <w:p w14:paraId="70394DB6">
      <w:pPr>
        <w:tabs>
          <w:tab w:val="left" w:pos="-180"/>
          <w:tab w:val="left" w:pos="180"/>
          <w:tab w:val="left" w:pos="360"/>
        </w:tabs>
        <w:snapToGrid w:val="0"/>
        <w:spacing w:line="360" w:lineRule="auto"/>
        <w:rPr>
          <w:rFonts w:ascii="仿宋" w:hAnsi="仿宋" w:eastAsia="仿宋" w:cs="仿宋"/>
          <w:b/>
          <w:bCs/>
          <w:sz w:val="24"/>
        </w:rPr>
      </w:pPr>
      <w:bookmarkStart w:id="40" w:name="_Toc265529383"/>
      <w:bookmarkStart w:id="41" w:name="_Toc241404202"/>
      <w:bookmarkStart w:id="42" w:name="_Toc222114879"/>
      <w:bookmarkStart w:id="43" w:name="_Toc239145354"/>
      <w:bookmarkStart w:id="44" w:name="_Toc221374626"/>
      <w:bookmarkStart w:id="45" w:name="_Toc221356951"/>
      <w:bookmarkStart w:id="46" w:name="_Toc223715998"/>
      <w:bookmarkStart w:id="47" w:name="_Toc221356887"/>
      <w:bookmarkStart w:id="48" w:name="_Toc221423619"/>
      <w:r>
        <w:rPr>
          <w:rFonts w:hint="eastAsia" w:ascii="仿宋" w:hAnsi="仿宋" w:eastAsia="仿宋" w:cs="仿宋"/>
          <w:b/>
          <w:bCs/>
          <w:sz w:val="24"/>
        </w:rPr>
        <w:t>14.投标保证金</w:t>
      </w:r>
    </w:p>
    <w:p w14:paraId="29306C9E">
      <w:pPr>
        <w:tabs>
          <w:tab w:val="left" w:pos="-180"/>
          <w:tab w:val="left" w:pos="180"/>
          <w:tab w:val="left" w:pos="36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sz w:val="24"/>
        </w:rPr>
        <w:t>适用招标投标法的政府采购工程建设项目如有特殊情况需提交投标保证金的，见投标人须知前附表</w:t>
      </w:r>
      <w:r>
        <w:rPr>
          <w:rFonts w:hint="eastAsia" w:ascii="仿宋" w:hAnsi="仿宋" w:eastAsia="仿宋" w:cs="仿宋"/>
          <w:bCs/>
          <w:sz w:val="24"/>
        </w:rPr>
        <w:t>。</w:t>
      </w:r>
    </w:p>
    <w:p w14:paraId="31DAB787">
      <w:pPr>
        <w:tabs>
          <w:tab w:val="left" w:pos="-180"/>
          <w:tab w:val="left" w:pos="180"/>
          <w:tab w:val="left" w:pos="360"/>
        </w:tabs>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14.2无论是否收取投标保证金，投标人在政府采购活动中违反政府采购相关规定给采购组织机构造成损失的，采购组织机构可要求投标人承担赔偿责任。</w:t>
      </w:r>
    </w:p>
    <w:p w14:paraId="34E21247">
      <w:pPr>
        <w:tabs>
          <w:tab w:val="left" w:pos="-180"/>
          <w:tab w:val="left" w:pos="180"/>
          <w:tab w:val="left" w:pos="36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有下列情形之一的，采购人将按项目预算的2%要求投标人赔偿：</w:t>
      </w:r>
    </w:p>
    <w:p w14:paraId="160E996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（1）投标人在投标有效期内撤销投标文件；</w:t>
      </w:r>
    </w:p>
    <w:p w14:paraId="76FF98B2">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（2）中标人在收到中标通知书后，无正当理由不与采购人订立合同，在签订合同时向采购人提出附加条件。</w:t>
      </w:r>
    </w:p>
    <w:p w14:paraId="32951297">
      <w:pPr>
        <w:tabs>
          <w:tab w:val="left" w:pos="-180"/>
          <w:tab w:val="left" w:pos="180"/>
          <w:tab w:val="left" w:pos="360"/>
        </w:tabs>
        <w:snapToGrid w:val="0"/>
        <w:spacing w:line="360" w:lineRule="auto"/>
        <w:rPr>
          <w:rFonts w:ascii="仿宋" w:hAnsi="仿宋" w:eastAsia="仿宋" w:cs="仿宋"/>
          <w:b/>
          <w:bCs/>
          <w:sz w:val="24"/>
        </w:rPr>
      </w:pPr>
      <w:r>
        <w:rPr>
          <w:rFonts w:hint="eastAsia" w:ascii="仿宋" w:hAnsi="仿宋" w:eastAsia="仿宋" w:cs="仿宋"/>
          <w:b/>
          <w:bCs/>
          <w:sz w:val="24"/>
        </w:rPr>
        <w:t>15.投标有效期</w:t>
      </w:r>
    </w:p>
    <w:p w14:paraId="66DEB024">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15.1</w:t>
      </w:r>
      <w:bookmarkStart w:id="49" w:name="_Hlk93150253"/>
      <w:r>
        <w:rPr>
          <w:rFonts w:hint="eastAsia" w:ascii="仿宋" w:hAnsi="仿宋" w:eastAsia="仿宋" w:cs="仿宋"/>
          <w:kern w:val="0"/>
          <w:sz w:val="24"/>
        </w:rPr>
        <w:t>投标有效期见投标人须知前附表。</w:t>
      </w:r>
      <w:r>
        <w:rPr>
          <w:rFonts w:hint="eastAsia" w:ascii="仿宋" w:hAnsi="仿宋" w:eastAsia="仿宋" w:cs="仿宋"/>
          <w:b/>
          <w:kern w:val="0"/>
          <w:sz w:val="24"/>
          <w:u w:val="single"/>
        </w:rPr>
        <w:t>▲投标人的投标文件中承诺的投标有效期少于招标文件中载明的投标有效期的，投标无效</w:t>
      </w:r>
      <w:r>
        <w:rPr>
          <w:rFonts w:hint="eastAsia" w:ascii="仿宋" w:hAnsi="仿宋" w:eastAsia="仿宋" w:cs="仿宋"/>
          <w:kern w:val="0"/>
          <w:sz w:val="24"/>
        </w:rPr>
        <w:t>。</w:t>
      </w:r>
    </w:p>
    <w:p w14:paraId="31E97197">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15.2投标文件合格投递后，自投标截止日期起，在投标有效期内有效。</w:t>
      </w:r>
    </w:p>
    <w:p w14:paraId="42B8A4C6">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669C0584">
      <w:pPr>
        <w:pStyle w:val="97"/>
        <w:snapToGrid w:val="0"/>
        <w:spacing w:before="0"/>
        <w:ind w:firstLine="0" w:firstLineChars="0"/>
        <w:rPr>
          <w:rFonts w:ascii="仿宋" w:hAnsi="仿宋" w:eastAsia="仿宋" w:cs="仿宋"/>
          <w:b/>
          <w:szCs w:val="24"/>
        </w:rPr>
      </w:pPr>
      <w:bookmarkStart w:id="50" w:name="_Hlk93150425"/>
      <w:r>
        <w:rPr>
          <w:rFonts w:hint="eastAsia" w:ascii="仿宋" w:hAnsi="仿宋" w:eastAsia="仿宋" w:cs="仿宋"/>
          <w:b/>
          <w:szCs w:val="24"/>
        </w:rPr>
        <w:t>16.投标文件的递交、补充、修改、撤回</w:t>
      </w:r>
    </w:p>
    <w:p w14:paraId="75E9AEFF">
      <w:pPr>
        <w:pStyle w:val="97"/>
        <w:snapToGrid w:val="0"/>
        <w:spacing w:before="0"/>
        <w:ind w:firstLine="480"/>
        <w:rPr>
          <w:rFonts w:ascii="仿宋" w:hAnsi="仿宋" w:eastAsia="仿宋" w:cs="仿宋"/>
          <w:szCs w:val="24"/>
        </w:rPr>
      </w:pPr>
      <w:r>
        <w:rPr>
          <w:rFonts w:hint="eastAsia" w:ascii="仿宋" w:hAnsi="仿宋" w:eastAsia="仿宋" w:cs="仿宋"/>
          <w:szCs w:val="24"/>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kern w:val="0"/>
          <w:u w:val="single"/>
        </w:rPr>
        <w:t>▲</w:t>
      </w:r>
      <w:r>
        <w:rPr>
          <w:rFonts w:hint="eastAsia" w:ascii="仿宋" w:hAnsi="仿宋" w:eastAsia="仿宋" w:cs="仿宋"/>
          <w:b/>
          <w:szCs w:val="24"/>
          <w:u w:val="single"/>
        </w:rPr>
        <w:t>投标截止时间后递交的投标文件，政采云平台将拒收</w:t>
      </w:r>
      <w:r>
        <w:rPr>
          <w:rFonts w:hint="eastAsia" w:ascii="仿宋" w:hAnsi="仿宋" w:eastAsia="仿宋" w:cs="仿宋"/>
          <w:szCs w:val="24"/>
        </w:rPr>
        <w:t>。</w:t>
      </w:r>
    </w:p>
    <w:p w14:paraId="249AF8C1">
      <w:pPr>
        <w:pStyle w:val="97"/>
        <w:snapToGrid w:val="0"/>
        <w:spacing w:before="0"/>
        <w:ind w:firstLine="480"/>
        <w:rPr>
          <w:rFonts w:ascii="仿宋" w:hAnsi="仿宋" w:eastAsia="仿宋" w:cs="仿宋"/>
          <w:szCs w:val="24"/>
        </w:rPr>
      </w:pPr>
      <w:r>
        <w:rPr>
          <w:rFonts w:hint="eastAsia" w:ascii="仿宋" w:hAnsi="仿宋" w:eastAsia="仿宋" w:cs="仿宋"/>
          <w:szCs w:val="24"/>
        </w:rPr>
        <w:t>16.2政采云平台收到投标文件，将妥善保存并即时向投标人发出确认回执通知。在投标截止时间前，除投标人补充、修改或者撤回投标文件外，任何单位和个人不得解密或提取投标文件。</w:t>
      </w:r>
    </w:p>
    <w:p w14:paraId="09C8E88E">
      <w:pPr>
        <w:pStyle w:val="97"/>
        <w:snapToGrid w:val="0"/>
        <w:spacing w:before="0"/>
        <w:ind w:firstLine="480"/>
        <w:rPr>
          <w:rFonts w:ascii="仿宋" w:hAnsi="仿宋" w:eastAsia="仿宋" w:cs="仿宋"/>
          <w:szCs w:val="24"/>
        </w:rPr>
      </w:pPr>
      <w:r>
        <w:rPr>
          <w:rFonts w:hint="eastAsia" w:ascii="仿宋" w:hAnsi="仿宋" w:eastAsia="仿宋" w:cs="仿宋"/>
          <w:szCs w:val="24"/>
        </w:rPr>
        <w:t>16.3采购人、采购机构可以视情况延长投标文件提交的截止时间。在上述情况下，采购机构与投标人以前在投标截止期方面的全部权利、责任和义务，将适用于延长至新的投标截止期。</w:t>
      </w:r>
    </w:p>
    <w:p w14:paraId="7D07916B">
      <w:pPr>
        <w:pStyle w:val="30"/>
        <w:snapToGrid w:val="0"/>
        <w:spacing w:line="360" w:lineRule="auto"/>
        <w:rPr>
          <w:rFonts w:ascii="仿宋" w:hAnsi="仿宋" w:eastAsia="仿宋" w:cs="仿宋"/>
          <w:b/>
          <w:sz w:val="24"/>
          <w:szCs w:val="24"/>
        </w:rPr>
      </w:pPr>
      <w:r>
        <w:rPr>
          <w:rFonts w:hint="eastAsia" w:ascii="仿宋" w:hAnsi="仿宋" w:eastAsia="仿宋" w:cs="仿宋"/>
          <w:b/>
          <w:sz w:val="24"/>
          <w:szCs w:val="24"/>
        </w:rPr>
        <w:t>17.备份投标文件</w:t>
      </w:r>
    </w:p>
    <w:p w14:paraId="01C979B4">
      <w:pPr>
        <w:pStyle w:val="3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sz w:val="24"/>
          <w:szCs w:val="24"/>
        </w:rPr>
        <w:t>但采购人、采购机构不强制或变相强制投标人提交备份投标文件。</w:t>
      </w:r>
    </w:p>
    <w:p w14:paraId="7C4E23D1">
      <w:pPr>
        <w:pStyle w:val="30"/>
        <w:snapToGrid w:val="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szCs w:val="24"/>
        </w:rPr>
        <w:t>不符合上述制作、存储、密封规定的备份投标文件将被视为无效或者被拒绝接收。</w:t>
      </w:r>
    </w:p>
    <w:p w14:paraId="2BB0A64F">
      <w:pPr>
        <w:pStyle w:val="30"/>
        <w:snapToGrid w:val="0"/>
        <w:spacing w:line="360" w:lineRule="auto"/>
        <w:ind w:firstLine="480" w:firstLineChars="200"/>
        <w:rPr>
          <w:rFonts w:ascii="仿宋" w:hAnsi="仿宋" w:eastAsia="仿宋" w:cs="仿宋"/>
          <w:b/>
          <w:sz w:val="24"/>
          <w:szCs w:val="24"/>
          <w:lang w:val="zh-CN"/>
        </w:rPr>
      </w:pPr>
      <w:r>
        <w:rPr>
          <w:rFonts w:hint="eastAsia" w:ascii="仿宋" w:hAnsi="仿宋" w:eastAsia="仿宋" w:cs="仿宋"/>
          <w:sz w:val="24"/>
          <w:szCs w:val="24"/>
        </w:rPr>
        <w:t>17.3</w:t>
      </w:r>
      <w:r>
        <w:rPr>
          <w:rFonts w:hint="eastAsia" w:ascii="仿宋" w:hAnsi="仿宋" w:eastAsia="仿宋" w:cs="仿宋"/>
          <w:b/>
          <w:bCs/>
          <w:sz w:val="24"/>
          <w:szCs w:val="24"/>
        </w:rPr>
        <w:t>采购机构将拒绝接受逾期送达的备份投标文件。</w:t>
      </w:r>
      <w:r>
        <w:rPr>
          <w:rFonts w:hint="eastAsia" w:ascii="仿宋" w:hAnsi="仿宋" w:eastAsia="仿宋" w:cs="仿宋"/>
          <w:sz w:val="24"/>
          <w:szCs w:val="24"/>
        </w:rPr>
        <w:t>采用邮政快递方式递交备份投标文件的，送达时间以签收人签收时间为准。邮寄过程中，备份投标文件发生泄露、遗失、损坏或延期送达等情况的，由投标人自行负责。</w:t>
      </w:r>
      <w:r>
        <w:rPr>
          <w:rFonts w:hint="eastAsia" w:ascii="仿宋" w:hAnsi="仿宋" w:eastAsia="仿宋" w:cs="仿宋"/>
          <w:b/>
          <w:sz w:val="24"/>
          <w:szCs w:val="24"/>
        </w:rPr>
        <w:t>投标人需保证上传的电子加密投标文件与提交的备份投标文件必须同时生成且内容完全一致。</w:t>
      </w:r>
    </w:p>
    <w:p w14:paraId="265E5731">
      <w:pPr>
        <w:pStyle w:val="30"/>
        <w:snapToGrid w:val="0"/>
        <w:spacing w:line="360" w:lineRule="auto"/>
        <w:ind w:firstLine="472" w:firstLineChars="196"/>
        <w:rPr>
          <w:rFonts w:ascii="仿宋" w:hAnsi="仿宋" w:eastAsia="仿宋" w:cs="仿宋"/>
          <w:b/>
          <w:sz w:val="24"/>
          <w:szCs w:val="24"/>
        </w:rPr>
      </w:pPr>
      <w:r>
        <w:rPr>
          <w:rFonts w:hint="eastAsia" w:ascii="仿宋" w:hAnsi="仿宋" w:eastAsia="仿宋" w:cs="仿宋"/>
          <w:b/>
          <w:sz w:val="24"/>
          <w:szCs w:val="24"/>
        </w:rPr>
        <w:t>17.4</w:t>
      </w:r>
      <w:r>
        <w:rPr>
          <w:rFonts w:hint="eastAsia" w:ascii="仿宋" w:hAnsi="仿宋" w:eastAsia="仿宋" w:cs="仿宋"/>
          <w:b/>
          <w:kern w:val="0"/>
          <w:sz w:val="24"/>
          <w:u w:val="single"/>
        </w:rPr>
        <w:t>▲</w:t>
      </w:r>
      <w:r>
        <w:rPr>
          <w:rFonts w:hint="eastAsia" w:ascii="仿宋" w:hAnsi="仿宋" w:eastAsia="仿宋" w:cs="仿宋"/>
          <w:b/>
          <w:sz w:val="24"/>
          <w:szCs w:val="24"/>
          <w:u w:val="single"/>
        </w:rPr>
        <w:t>投标人仅提交备份投标文件，没有在政采云平台传输递交投标文件的，投标无效</w:t>
      </w:r>
      <w:r>
        <w:rPr>
          <w:rFonts w:hint="eastAsia" w:ascii="仿宋" w:hAnsi="仿宋" w:eastAsia="仿宋" w:cs="仿宋"/>
          <w:b/>
          <w:sz w:val="24"/>
          <w:szCs w:val="24"/>
        </w:rPr>
        <w:t>。</w:t>
      </w:r>
    </w:p>
    <w:p w14:paraId="1DBD2CEC">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18.投标文件的无效处理</w:t>
      </w:r>
    </w:p>
    <w:p w14:paraId="6CA8A4C3">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见招标文件第六部分评标办法。</w:t>
      </w:r>
      <w:bookmarkEnd w:id="50"/>
    </w:p>
    <w:p w14:paraId="05C6FE91">
      <w:pPr>
        <w:pStyle w:val="97"/>
        <w:snapToGrid w:val="0"/>
        <w:spacing w:before="0"/>
        <w:ind w:firstLine="0" w:firstLineChars="0"/>
        <w:jc w:val="center"/>
        <w:outlineLvl w:val="1"/>
        <w:rPr>
          <w:rFonts w:ascii="仿宋" w:hAnsi="仿宋" w:eastAsia="仿宋" w:cs="仿宋"/>
          <w:b/>
          <w:sz w:val="28"/>
          <w:szCs w:val="28"/>
        </w:rPr>
      </w:pPr>
      <w:r>
        <w:rPr>
          <w:rFonts w:hint="eastAsia" w:ascii="仿宋" w:hAnsi="仿宋" w:eastAsia="仿宋" w:cs="仿宋"/>
          <w:b/>
          <w:sz w:val="28"/>
          <w:szCs w:val="28"/>
        </w:rPr>
        <w:t>四、开标、资格审查与信用信息查询</w:t>
      </w:r>
    </w:p>
    <w:p w14:paraId="2358BF6E">
      <w:pPr>
        <w:pStyle w:val="100"/>
        <w:snapToGrid w:val="0"/>
        <w:spacing w:before="0" w:line="360" w:lineRule="auto"/>
        <w:ind w:left="0" w:firstLine="0"/>
        <w:rPr>
          <w:rFonts w:ascii="仿宋" w:hAnsi="仿宋" w:eastAsia="仿宋" w:cs="仿宋"/>
          <w:sz w:val="24"/>
          <w:szCs w:val="24"/>
        </w:rPr>
      </w:pPr>
      <w:r>
        <w:rPr>
          <w:rFonts w:hint="eastAsia" w:ascii="仿宋" w:hAnsi="仿宋" w:eastAsia="仿宋" w:cs="仿宋"/>
          <w:b/>
          <w:sz w:val="24"/>
          <w:szCs w:val="24"/>
        </w:rPr>
        <w:t>19.开标</w:t>
      </w:r>
    </w:p>
    <w:p w14:paraId="3DF1277C">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19.1采购机构按照招标文件规定的时间通过政采云平台组织开标，所有投标人均应当准时在线参加。投标人不足3家的，不得开标。</w:t>
      </w:r>
    </w:p>
    <w:p w14:paraId="433BA34F">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19.2开标时，政采云平台按开标时间自动提取所有投标文件。采购机构依托政采云平台发起开始解密指令，投标人按照平台提示和招标文件的规定完成在线解密。</w:t>
      </w:r>
    </w:p>
    <w:p w14:paraId="316648A8">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19.3特别说明：</w:t>
      </w:r>
    </w:p>
    <w:p w14:paraId="0CFA33C4">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（1）如遇“政采云平台”电子化开标或评审程序（含相关数据公布）调整的，按调整后程序执行。</w:t>
      </w:r>
    </w:p>
    <w:p w14:paraId="3EB2E947">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（2）开标过程中需要相关当事人进行签字或盖章确认的材料将通过“政采云平台”进行，若因“政采云平台”技术问题无法进行签字或盖章确认的，采购组织机构将通过邮件、传真等形式组织确认。</w:t>
      </w:r>
    </w:p>
    <w:p w14:paraId="3EFE4932">
      <w:pPr>
        <w:tabs>
          <w:tab w:val="left" w:pos="540"/>
        </w:tabs>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2B11BF8">
      <w:pPr>
        <w:pStyle w:val="100"/>
        <w:snapToGrid w:val="0"/>
        <w:spacing w:before="0" w:line="360" w:lineRule="auto"/>
        <w:ind w:left="0" w:firstLine="480" w:firstLineChars="200"/>
        <w:rPr>
          <w:rFonts w:ascii="仿宋" w:hAnsi="仿宋" w:eastAsia="仿宋" w:cs="仿宋"/>
          <w:sz w:val="24"/>
          <w:szCs w:val="24"/>
        </w:rPr>
      </w:pPr>
      <w:r>
        <w:rPr>
          <w:rFonts w:hint="eastAsia" w:ascii="仿宋" w:hAnsi="仿宋" w:eastAsia="仿宋" w:cs="仿宋"/>
          <w:sz w:val="24"/>
          <w:szCs w:val="24"/>
        </w:rPr>
        <w:t>19.4投标文件未按时解密，投标人提供了备份投标文件的，以备份投标文件作为依据，否则视为投标文件撤回。投标文件已按时解密的，备份投标文件自动失效。</w:t>
      </w:r>
    </w:p>
    <w:p w14:paraId="77DE43B0">
      <w:pPr>
        <w:widowControl/>
        <w:snapToGrid w:val="0"/>
        <w:spacing w:line="360" w:lineRule="auto"/>
        <w:jc w:val="left"/>
        <w:rPr>
          <w:rFonts w:ascii="仿宋" w:hAnsi="仿宋" w:eastAsia="仿宋" w:cs="仿宋"/>
          <w:b/>
          <w:sz w:val="24"/>
        </w:rPr>
      </w:pPr>
      <w:r>
        <w:rPr>
          <w:rFonts w:hint="eastAsia" w:ascii="仿宋" w:hAnsi="仿宋" w:eastAsia="仿宋" w:cs="仿宋"/>
          <w:b/>
          <w:sz w:val="24"/>
        </w:rPr>
        <w:t>20、资格审查</w:t>
      </w:r>
    </w:p>
    <w:p w14:paraId="44D3EF58">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20.1开标后，采购人或采购代理机构将依法对投标人的资格进行审查。</w:t>
      </w:r>
    </w:p>
    <w:p w14:paraId="6905169B">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sz w:val="24"/>
        </w:rPr>
        <w:t>采购人或采购代理机构依据法律法规和招标文件的规定，对投标人的基本资格条件、落实政府采购政策需满足的资格要求、特定资格条件进行审查。</w:t>
      </w:r>
    </w:p>
    <w:p w14:paraId="49A77D16">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20.3</w:t>
      </w:r>
      <w:r>
        <w:rPr>
          <w:rFonts w:hint="eastAsia" w:ascii="仿宋" w:hAnsi="仿宋" w:eastAsia="仿宋" w:cs="仿宋"/>
          <w:b/>
          <w:kern w:val="0"/>
          <w:u w:val="single"/>
        </w:rPr>
        <w:t>▲</w:t>
      </w:r>
      <w:r>
        <w:rPr>
          <w:rFonts w:hint="eastAsia" w:ascii="仿宋" w:hAnsi="仿宋" w:eastAsia="仿宋" w:cs="仿宋"/>
          <w:b/>
          <w:kern w:val="0"/>
          <w:szCs w:val="24"/>
          <w:u w:val="single"/>
        </w:rPr>
        <w:t>投标人未按照招标文件要求提供与</w:t>
      </w:r>
      <w:r>
        <w:rPr>
          <w:rFonts w:hint="eastAsia" w:ascii="仿宋" w:hAnsi="仿宋" w:eastAsia="仿宋" w:cs="仿宋"/>
          <w:b/>
          <w:szCs w:val="24"/>
          <w:u w:val="single"/>
        </w:rPr>
        <w:t>基本资格条件、</w:t>
      </w:r>
      <w:r>
        <w:rPr>
          <w:rFonts w:hint="eastAsia" w:ascii="仿宋" w:hAnsi="仿宋" w:eastAsia="仿宋" w:cs="仿宋"/>
          <w:b/>
          <w:u w:val="single"/>
        </w:rPr>
        <w:t>落实政府采购政策需满足的资格要求、</w:t>
      </w:r>
      <w:r>
        <w:rPr>
          <w:rFonts w:hint="eastAsia" w:ascii="仿宋" w:hAnsi="仿宋" w:eastAsia="仿宋" w:cs="仿宋"/>
          <w:b/>
          <w:szCs w:val="24"/>
          <w:u w:val="single"/>
        </w:rPr>
        <w:t>特定资格条件相应的</w:t>
      </w:r>
      <w:r>
        <w:rPr>
          <w:rFonts w:hint="eastAsia" w:ascii="仿宋" w:hAnsi="仿宋" w:eastAsia="仿宋" w:cs="仿宋"/>
          <w:b/>
          <w:kern w:val="0"/>
          <w:szCs w:val="24"/>
          <w:u w:val="single"/>
        </w:rPr>
        <w:t>有效资格证明材料的，视为</w:t>
      </w:r>
      <w:r>
        <w:rPr>
          <w:rFonts w:hint="eastAsia" w:ascii="仿宋" w:hAnsi="仿宋" w:eastAsia="仿宋" w:cs="仿宋"/>
          <w:b/>
          <w:szCs w:val="24"/>
          <w:u w:val="single"/>
        </w:rPr>
        <w:t>投标人不具备招标文件中规定的资格要求，其投标无效</w:t>
      </w:r>
      <w:r>
        <w:rPr>
          <w:rFonts w:hint="eastAsia" w:ascii="仿宋" w:hAnsi="仿宋" w:eastAsia="仿宋" w:cs="仿宋"/>
          <w:szCs w:val="24"/>
        </w:rPr>
        <w:t>。</w:t>
      </w:r>
    </w:p>
    <w:p w14:paraId="6FF551B9">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w:t>
      </w:r>
      <w:r>
        <w:rPr>
          <w:rFonts w:hint="eastAsia" w:ascii="仿宋" w:hAnsi="仿宋" w:eastAsia="仿宋" w:cs="仿宋"/>
          <w:szCs w:val="24"/>
        </w:rPr>
        <w:t>4对未通过资格审查的投标人，采购人或采购代理机构告知其未通过的原因。</w:t>
      </w:r>
    </w:p>
    <w:p w14:paraId="3D7EB058">
      <w:pPr>
        <w:pStyle w:val="97"/>
        <w:snapToGrid w:val="0"/>
        <w:spacing w:before="0"/>
        <w:ind w:firstLine="480"/>
        <w:rPr>
          <w:rFonts w:ascii="仿宋" w:hAnsi="仿宋" w:eastAsia="仿宋" w:cs="仿宋"/>
          <w:szCs w:val="24"/>
        </w:rPr>
      </w:pPr>
      <w:r>
        <w:rPr>
          <w:rFonts w:hint="eastAsia" w:ascii="仿宋" w:hAnsi="仿宋" w:eastAsia="仿宋" w:cs="仿宋"/>
          <w:kern w:val="0"/>
          <w:szCs w:val="24"/>
        </w:rPr>
        <w:t>20.</w:t>
      </w:r>
      <w:r>
        <w:rPr>
          <w:rFonts w:hint="eastAsia" w:ascii="仿宋" w:hAnsi="仿宋" w:eastAsia="仿宋" w:cs="仿宋"/>
          <w:szCs w:val="24"/>
        </w:rPr>
        <w:t>5合格投标人不足3家的，不再评标。</w:t>
      </w:r>
    </w:p>
    <w:p w14:paraId="596E4D09">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21、信用信息查询</w:t>
      </w:r>
    </w:p>
    <w:p w14:paraId="11295FA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21.1信用信息查询渠道及截止时间：采购机构将通过“信用中国”网站(www.creditchina.gov.cn)、中国政府采购网(www.ccgp.gov.cn)渠道查询供应商投标截止时间当天的信用记录。</w:t>
      </w:r>
    </w:p>
    <w:p w14:paraId="240F9A79">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21.2信用信息查询记录和证据留存的具体方式：现场查询的供应商的信用记录、查询结果经确认后将与招标文件一起存档。</w:t>
      </w:r>
    </w:p>
    <w:p w14:paraId="447A6C6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21.3信用信息的使用规则：经查询列入失信被执行人名单、重大税收违法案件当事人名单、政府采购严重违法失信行为记录名单的供应商将被拒绝参与政府采购活动。</w:t>
      </w:r>
    </w:p>
    <w:p w14:paraId="1C98C9B6">
      <w:pPr>
        <w:pStyle w:val="97"/>
        <w:snapToGrid w:val="0"/>
        <w:spacing w:before="0"/>
        <w:ind w:firstLine="480"/>
        <w:rPr>
          <w:rFonts w:ascii="仿宋" w:hAnsi="仿宋" w:eastAsia="仿宋" w:cs="仿宋"/>
          <w:szCs w:val="24"/>
        </w:rPr>
      </w:pPr>
      <w:r>
        <w:rPr>
          <w:rFonts w:hint="eastAsia" w:ascii="仿宋" w:hAnsi="仿宋" w:eastAsia="仿宋" w:cs="仿宋"/>
          <w:kern w:val="0"/>
          <w:szCs w:val="24"/>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14:paraId="1FDC779B">
      <w:pPr>
        <w:snapToGrid w:val="0"/>
        <w:spacing w:line="360" w:lineRule="auto"/>
        <w:jc w:val="center"/>
        <w:outlineLvl w:val="1"/>
        <w:rPr>
          <w:rFonts w:ascii="仿宋" w:hAnsi="仿宋" w:eastAsia="仿宋" w:cs="仿宋"/>
          <w:b/>
          <w:sz w:val="28"/>
          <w:szCs w:val="28"/>
        </w:rPr>
      </w:pPr>
      <w:bookmarkStart w:id="51" w:name="_Toc34508135"/>
      <w:bookmarkStart w:id="52" w:name="_Toc34221900"/>
      <w:r>
        <w:rPr>
          <w:rFonts w:hint="eastAsia" w:ascii="仿宋" w:hAnsi="仿宋" w:eastAsia="仿宋" w:cs="仿宋"/>
          <w:b/>
          <w:sz w:val="28"/>
          <w:szCs w:val="28"/>
        </w:rPr>
        <w:t>五、评标</w:t>
      </w:r>
      <w:bookmarkEnd w:id="51"/>
      <w:bookmarkEnd w:id="52"/>
    </w:p>
    <w:p w14:paraId="2C02E14D">
      <w:pPr>
        <w:snapToGrid w:val="0"/>
        <w:spacing w:line="360" w:lineRule="auto"/>
        <w:rPr>
          <w:rFonts w:ascii="仿宋" w:hAnsi="仿宋" w:eastAsia="仿宋" w:cs="仿宋"/>
          <w:b/>
          <w:sz w:val="24"/>
        </w:rPr>
      </w:pPr>
      <w:r>
        <w:rPr>
          <w:rFonts w:hint="eastAsia" w:ascii="仿宋" w:hAnsi="仿宋" w:eastAsia="仿宋" w:cs="仿宋"/>
          <w:b/>
          <w:sz w:val="24"/>
        </w:rPr>
        <w:t>22.评标委员会</w:t>
      </w:r>
    </w:p>
    <w:p w14:paraId="7539D3D7">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19867FE">
      <w:pPr>
        <w:snapToGrid w:val="0"/>
        <w:spacing w:line="360" w:lineRule="auto"/>
        <w:rPr>
          <w:rFonts w:ascii="仿宋" w:hAnsi="仿宋" w:eastAsia="仿宋" w:cs="仿宋"/>
          <w:b/>
          <w:sz w:val="24"/>
        </w:rPr>
      </w:pPr>
      <w:r>
        <w:rPr>
          <w:rFonts w:hint="eastAsia" w:ascii="仿宋" w:hAnsi="仿宋" w:eastAsia="仿宋" w:cs="仿宋"/>
          <w:b/>
          <w:sz w:val="24"/>
        </w:rPr>
        <w:t>23.评标程序</w:t>
      </w:r>
    </w:p>
    <w:p w14:paraId="156F852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具体见招标文件第六部分评标办法。</w:t>
      </w:r>
    </w:p>
    <w:p w14:paraId="5434B2A8">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六、定标</w:t>
      </w:r>
    </w:p>
    <w:p w14:paraId="64B9DBF1">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24.确定中标人</w:t>
      </w:r>
    </w:p>
    <w:p w14:paraId="6E367369">
      <w:pPr>
        <w:pStyle w:val="97"/>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采购人将自收到评审报告之日起5个工作日内通过政采云平台在评审报告推荐的中标候选人中按顺序确定中标人。</w:t>
      </w:r>
    </w:p>
    <w:p w14:paraId="6BF07952">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25.中标通知与中标结果公告</w:t>
      </w:r>
    </w:p>
    <w:p w14:paraId="04060A2C">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25.1自中标人确定之日起2个工作日内，采购人向中标人发出中标通知书，同时编制发布采购结果公告。</w:t>
      </w:r>
    </w:p>
    <w:p w14:paraId="7CA8C033">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6104416">
      <w:pPr>
        <w:widowControl/>
        <w:shd w:val="clear" w:color="auto" w:fill="FFFFFF"/>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25.3公告期限为1个工作日。</w:t>
      </w:r>
    </w:p>
    <w:p w14:paraId="0E28C388">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七、合同授予</w:t>
      </w:r>
    </w:p>
    <w:p w14:paraId="501C1718">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26.合同的签订</w:t>
      </w:r>
    </w:p>
    <w:p w14:paraId="0BF68C81">
      <w:pPr>
        <w:widowControl/>
        <w:shd w:val="clear" w:color="auto" w:fill="FFFFFF"/>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26.1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sz w:val="24"/>
        </w:rPr>
        <w:t>合同主要条款详见第四部分拟签订的合同文本。</w:t>
      </w:r>
    </w:p>
    <w:p w14:paraId="67E1BE8F">
      <w:pPr>
        <w:pStyle w:val="97"/>
        <w:snapToGrid w:val="0"/>
        <w:spacing w:before="0"/>
        <w:ind w:firstLine="480"/>
        <w:rPr>
          <w:rFonts w:ascii="仿宋" w:hAnsi="仿宋" w:eastAsia="仿宋" w:cs="仿宋"/>
          <w:kern w:val="0"/>
          <w:szCs w:val="24"/>
          <w:lang w:val="zh-CN"/>
        </w:rPr>
      </w:pPr>
      <w:r>
        <w:rPr>
          <w:rFonts w:hint="eastAsia" w:ascii="仿宋" w:hAnsi="仿宋" w:eastAsia="仿宋" w:cs="仿宋"/>
          <w:kern w:val="0"/>
          <w:szCs w:val="24"/>
          <w:lang w:val="zh-CN"/>
        </w:rPr>
        <w:t>26.2中标人按规定的日期、时间、地点，由法定代表人或其授权代表与采购人代表签订合同。如中标人为联合体的，由联合体成员各方法定代表人或其授权代表与采购人代表签订合同。</w:t>
      </w:r>
    </w:p>
    <w:p w14:paraId="51BE883B">
      <w:pPr>
        <w:pStyle w:val="97"/>
        <w:snapToGrid w:val="0"/>
        <w:spacing w:before="0"/>
        <w:ind w:firstLine="480"/>
        <w:rPr>
          <w:rFonts w:ascii="仿宋" w:hAnsi="仿宋" w:eastAsia="仿宋" w:cs="仿宋"/>
          <w:szCs w:val="24"/>
        </w:rPr>
      </w:pPr>
      <w:r>
        <w:rPr>
          <w:rFonts w:hint="eastAsia" w:ascii="仿宋" w:hAnsi="仿宋" w:eastAsia="仿宋" w:cs="仿宋"/>
          <w:szCs w:val="24"/>
        </w:rPr>
        <w:t>26.3中标人拒绝与采购人签订合同的，采购人可以按照评审报告推荐的中标候选人名单排序，确定下一候选人为中标人，也可以重新开展政府采购活动。</w:t>
      </w:r>
    </w:p>
    <w:p w14:paraId="66DD06A6">
      <w:pPr>
        <w:pStyle w:val="97"/>
        <w:snapToGrid w:val="0"/>
        <w:spacing w:before="0"/>
        <w:ind w:firstLine="480"/>
        <w:rPr>
          <w:rFonts w:ascii="仿宋" w:hAnsi="仿宋" w:eastAsia="仿宋" w:cs="仿宋"/>
          <w:szCs w:val="24"/>
        </w:rPr>
      </w:pPr>
      <w:r>
        <w:rPr>
          <w:rFonts w:hint="eastAsia" w:ascii="仿宋" w:hAnsi="仿宋" w:eastAsia="仿宋" w:cs="仿宋"/>
          <w:szCs w:val="24"/>
        </w:rPr>
        <w:t>26.4采购合同可由采购人与中标人根据招标文件、投标文件等内容通过政采云平台在线签订，自动备案。</w:t>
      </w:r>
    </w:p>
    <w:p w14:paraId="30833888">
      <w:pPr>
        <w:pStyle w:val="97"/>
        <w:snapToGrid w:val="0"/>
        <w:spacing w:before="0"/>
        <w:ind w:firstLine="0" w:firstLineChars="0"/>
        <w:rPr>
          <w:rFonts w:ascii="仿宋" w:hAnsi="仿宋" w:eastAsia="仿宋" w:cs="仿宋"/>
          <w:b/>
          <w:szCs w:val="24"/>
        </w:rPr>
      </w:pPr>
      <w:r>
        <w:rPr>
          <w:rFonts w:hint="eastAsia" w:ascii="仿宋" w:hAnsi="仿宋" w:eastAsia="仿宋" w:cs="仿宋"/>
          <w:b/>
          <w:szCs w:val="24"/>
        </w:rPr>
        <w:t>27.合同履约管理</w:t>
      </w:r>
    </w:p>
    <w:p w14:paraId="467B0F2E">
      <w:pPr>
        <w:pStyle w:val="97"/>
        <w:snapToGrid w:val="0"/>
        <w:spacing w:before="0"/>
        <w:ind w:firstLine="480"/>
        <w:rPr>
          <w:rFonts w:ascii="仿宋" w:hAnsi="仿宋" w:eastAsia="仿宋" w:cs="仿宋"/>
          <w:szCs w:val="24"/>
        </w:rPr>
      </w:pPr>
      <w:r>
        <w:rPr>
          <w:rFonts w:hint="eastAsia" w:ascii="仿宋" w:hAnsi="仿宋" w:eastAsia="仿宋" w:cs="仿宋"/>
          <w:szCs w:val="24"/>
        </w:rPr>
        <w:t>合同签订后，采购人依法加强对合同履约进行管理，并在中标单位服务、项目验收等重要关节，如实填写《合同验收报告》（或考核资料），并及时向同级财政部门报告验收过程中遇到的问题。</w:t>
      </w:r>
    </w:p>
    <w:p w14:paraId="04F9BFA9">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28.履约保证金</w:t>
      </w:r>
    </w:p>
    <w:p w14:paraId="5DA417D9">
      <w:pPr>
        <w:tabs>
          <w:tab w:val="left" w:pos="0"/>
        </w:tabs>
        <w:snapToGrid w:val="0"/>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不要求。</w:t>
      </w:r>
    </w:p>
    <w:p w14:paraId="65F07CBF">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八、电子交易活动的中止</w:t>
      </w:r>
    </w:p>
    <w:p w14:paraId="3DD63C65">
      <w:pPr>
        <w:pStyle w:val="97"/>
        <w:snapToGrid w:val="0"/>
        <w:spacing w:before="0"/>
        <w:ind w:firstLine="0" w:firstLineChars="0"/>
        <w:rPr>
          <w:rFonts w:ascii="仿宋" w:hAnsi="仿宋" w:eastAsia="仿宋" w:cs="仿宋"/>
          <w:b/>
          <w:szCs w:val="24"/>
        </w:rPr>
      </w:pPr>
      <w:r>
        <w:rPr>
          <w:rFonts w:hint="eastAsia" w:ascii="仿宋" w:hAnsi="仿宋" w:eastAsia="仿宋" w:cs="仿宋"/>
          <w:szCs w:val="24"/>
        </w:rPr>
        <w:t>29</w:t>
      </w:r>
      <w:r>
        <w:rPr>
          <w:rFonts w:hint="eastAsia" w:ascii="仿宋" w:hAnsi="仿宋" w:eastAsia="仿宋" w:cs="仿宋"/>
          <w:b/>
          <w:szCs w:val="24"/>
        </w:rPr>
        <w:t>.电子交易活动的中止。</w:t>
      </w:r>
    </w:p>
    <w:p w14:paraId="4A64AAAB">
      <w:pPr>
        <w:pStyle w:val="97"/>
        <w:snapToGrid w:val="0"/>
        <w:spacing w:before="0"/>
        <w:ind w:firstLine="480"/>
        <w:rPr>
          <w:rFonts w:ascii="仿宋" w:hAnsi="仿宋" w:eastAsia="仿宋" w:cs="仿宋"/>
          <w:szCs w:val="24"/>
        </w:rPr>
      </w:pPr>
      <w:r>
        <w:rPr>
          <w:rFonts w:hint="eastAsia" w:ascii="仿宋" w:hAnsi="仿宋" w:eastAsia="仿宋" w:cs="仿宋"/>
          <w:szCs w:val="24"/>
        </w:rPr>
        <w:t>采购过程中出现以下情形，导致政采云平台无法正常运行，或者无法保证电子交易的公平、公正和安全时，采购机构可中止电子交易活动：</w:t>
      </w:r>
    </w:p>
    <w:p w14:paraId="303AC25A">
      <w:pPr>
        <w:pStyle w:val="97"/>
        <w:snapToGrid w:val="0"/>
        <w:spacing w:before="0"/>
        <w:ind w:firstLine="480"/>
        <w:rPr>
          <w:rFonts w:ascii="仿宋" w:hAnsi="仿宋" w:eastAsia="仿宋" w:cs="仿宋"/>
          <w:szCs w:val="24"/>
        </w:rPr>
      </w:pPr>
      <w:r>
        <w:rPr>
          <w:rFonts w:hint="eastAsia" w:ascii="仿宋" w:hAnsi="仿宋" w:eastAsia="仿宋" w:cs="仿宋"/>
          <w:szCs w:val="24"/>
        </w:rPr>
        <w:t xml:space="preserve">29.1政采云平台发生故障而无法登录访问的； </w:t>
      </w:r>
    </w:p>
    <w:p w14:paraId="1EE34B77">
      <w:pPr>
        <w:pStyle w:val="97"/>
        <w:snapToGrid w:val="0"/>
        <w:spacing w:before="0"/>
        <w:ind w:firstLine="480"/>
        <w:rPr>
          <w:rFonts w:ascii="仿宋" w:hAnsi="仿宋" w:eastAsia="仿宋" w:cs="仿宋"/>
          <w:szCs w:val="24"/>
        </w:rPr>
      </w:pPr>
      <w:r>
        <w:rPr>
          <w:rFonts w:hint="eastAsia" w:ascii="仿宋" w:hAnsi="仿宋" w:eastAsia="仿宋" w:cs="仿宋"/>
          <w:szCs w:val="24"/>
        </w:rPr>
        <w:t>29.2政采云平台应用或数据库出现错误，不能进行正常操作的；</w:t>
      </w:r>
    </w:p>
    <w:p w14:paraId="30D4F71B">
      <w:pPr>
        <w:pStyle w:val="97"/>
        <w:snapToGrid w:val="0"/>
        <w:spacing w:before="0"/>
        <w:ind w:firstLine="480"/>
        <w:rPr>
          <w:rFonts w:ascii="仿宋" w:hAnsi="仿宋" w:eastAsia="仿宋" w:cs="仿宋"/>
          <w:szCs w:val="24"/>
        </w:rPr>
      </w:pPr>
      <w:r>
        <w:rPr>
          <w:rFonts w:hint="eastAsia" w:ascii="仿宋" w:hAnsi="仿宋" w:eastAsia="仿宋" w:cs="仿宋"/>
          <w:szCs w:val="24"/>
        </w:rPr>
        <w:t>29.3政采云平台发现严重安全漏洞，有潜在泄密危险的；</w:t>
      </w:r>
    </w:p>
    <w:p w14:paraId="7FD4C51D">
      <w:pPr>
        <w:pStyle w:val="97"/>
        <w:snapToGrid w:val="0"/>
        <w:spacing w:before="0"/>
        <w:ind w:firstLine="480"/>
        <w:rPr>
          <w:rFonts w:ascii="仿宋" w:hAnsi="仿宋" w:eastAsia="仿宋" w:cs="仿宋"/>
          <w:szCs w:val="24"/>
        </w:rPr>
      </w:pPr>
      <w:r>
        <w:rPr>
          <w:rFonts w:hint="eastAsia" w:ascii="仿宋" w:hAnsi="仿宋" w:eastAsia="仿宋" w:cs="仿宋"/>
          <w:szCs w:val="24"/>
        </w:rPr>
        <w:t xml:space="preserve">29.4病毒发作导致不能进行正常操作的； </w:t>
      </w:r>
    </w:p>
    <w:p w14:paraId="504A83EB">
      <w:pPr>
        <w:pStyle w:val="97"/>
        <w:snapToGrid w:val="0"/>
        <w:spacing w:before="0"/>
        <w:ind w:firstLine="480"/>
        <w:rPr>
          <w:rFonts w:ascii="仿宋" w:hAnsi="仿宋" w:eastAsia="仿宋" w:cs="仿宋"/>
          <w:szCs w:val="24"/>
        </w:rPr>
      </w:pPr>
      <w:r>
        <w:rPr>
          <w:rFonts w:hint="eastAsia" w:ascii="仿宋" w:hAnsi="仿宋" w:eastAsia="仿宋" w:cs="仿宋"/>
          <w:szCs w:val="24"/>
        </w:rPr>
        <w:t>29.5其他无法保证电子交易的公平、公正和安全的情况。</w:t>
      </w:r>
    </w:p>
    <w:p w14:paraId="139E3249">
      <w:pPr>
        <w:pStyle w:val="97"/>
        <w:snapToGrid w:val="0"/>
        <w:spacing w:before="0"/>
        <w:ind w:firstLine="470" w:firstLineChars="196"/>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14:paraId="0EB9DB5E">
      <w:pPr>
        <w:pStyle w:val="23"/>
        <w:snapToGrid w:val="0"/>
        <w:spacing w:line="360" w:lineRule="auto"/>
        <w:ind w:left="479" w:hanging="479" w:hangingChars="199"/>
        <w:rPr>
          <w:rFonts w:ascii="仿宋" w:hAnsi="仿宋" w:eastAsia="仿宋" w:cs="仿宋"/>
          <w:b/>
        </w:rPr>
      </w:pPr>
      <w:r>
        <w:rPr>
          <w:rFonts w:hint="eastAsia" w:ascii="仿宋" w:hAnsi="仿宋" w:eastAsia="仿宋" w:cs="仿宋"/>
          <w:b/>
        </w:rPr>
        <w:t>30.重新采购</w:t>
      </w:r>
    </w:p>
    <w:p w14:paraId="4EADE29C">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有政府采购法第七十一条、第七十二条规定的违法行为之一，影响或者可能影响中标、成交结果的，依照下列规定处理：</w:t>
      </w:r>
    </w:p>
    <w:p w14:paraId="4114F35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30.1未确定中标、成交供应商的，终止本次政府采购活动，重新开展政府采购活动。</w:t>
      </w:r>
    </w:p>
    <w:p w14:paraId="0A0520D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30.2中标、成交供应商已经确定但采购合同尚未履行的，撤销合同，从合格的中标、成交候选人中另行确定中标、成交供应商；没有合格的中标、成交候选人的，重新开展政府采购活动。</w:t>
      </w:r>
    </w:p>
    <w:p w14:paraId="38BF7C6F">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30.3政府采购合同已签订但尚未履行的，撤销合同，从合格的中标候选人中另行确定中标或者中标人；没有合格的中标候选人的，重新开展政府采购活动。</w:t>
      </w:r>
    </w:p>
    <w:p w14:paraId="325B0EF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30.4政府采购合同已经履行，给采购人、供应商造成损失的，由责任人承担赔偿责任。</w:t>
      </w:r>
    </w:p>
    <w:p w14:paraId="38638CEA">
      <w:pPr>
        <w:tabs>
          <w:tab w:val="left" w:pos="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4BB8BE8C">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九、验收</w:t>
      </w:r>
    </w:p>
    <w:p w14:paraId="0453D0F5">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31.验收</w:t>
      </w:r>
    </w:p>
    <w:p w14:paraId="74908A4C">
      <w:pPr>
        <w:tabs>
          <w:tab w:val="left" w:pos="0"/>
        </w:tabs>
        <w:snapToGrid w:val="0"/>
        <w:spacing w:line="360" w:lineRule="auto"/>
        <w:ind w:firstLine="480" w:firstLineChars="200"/>
        <w:rPr>
          <w:rFonts w:ascii="仿宋" w:hAnsi="仿宋" w:eastAsia="仿宋" w:cs="仿宋"/>
          <w:kern w:val="0"/>
          <w:sz w:val="24"/>
        </w:rPr>
      </w:pPr>
      <w:bookmarkStart w:id="53" w:name="_Hlk93169321"/>
      <w:r>
        <w:rPr>
          <w:rFonts w:hint="eastAsia" w:ascii="仿宋" w:hAnsi="仿宋" w:eastAsia="仿宋" w:cs="仿宋"/>
          <w:kern w:val="0"/>
          <w:sz w:val="24"/>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B393E1">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31.2采购人可以邀请参加本项目的其他投标人或者第三方机构参与验收。参与验收的投标人或者第三方机构的意见作为验收书的参考资料一并存档。</w:t>
      </w:r>
    </w:p>
    <w:p w14:paraId="3118C534">
      <w:pPr>
        <w:tabs>
          <w:tab w:val="left" w:pos="0"/>
        </w:tabs>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70DB8C91">
      <w:pPr>
        <w:widowControl/>
        <w:snapToGrid w:val="0"/>
        <w:spacing w:line="360" w:lineRule="auto"/>
        <w:ind w:firstLine="480" w:firstLineChars="200"/>
        <w:jc w:val="left"/>
        <w:rPr>
          <w:rFonts w:ascii="仿宋" w:hAnsi="仿宋" w:eastAsia="仿宋" w:cs="仿宋"/>
          <w:sz w:val="24"/>
        </w:rPr>
      </w:pPr>
      <w:bookmarkStart w:id="54" w:name="_Hlk93169378"/>
      <w:r>
        <w:rPr>
          <w:rFonts w:hint="eastAsia" w:ascii="仿宋" w:hAnsi="仿宋" w:eastAsia="仿宋" w:cs="仿宋"/>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EEA6F">
      <w:pPr>
        <w:snapToGrid w:val="0"/>
        <w:spacing w:line="360" w:lineRule="auto"/>
        <w:jc w:val="center"/>
        <w:outlineLvl w:val="1"/>
        <w:rPr>
          <w:rFonts w:ascii="仿宋" w:hAnsi="仿宋" w:eastAsia="仿宋" w:cs="仿宋"/>
          <w:b/>
          <w:sz w:val="28"/>
          <w:szCs w:val="28"/>
        </w:rPr>
      </w:pPr>
      <w:r>
        <w:rPr>
          <w:rFonts w:hint="eastAsia" w:ascii="仿宋" w:hAnsi="仿宋" w:eastAsia="仿宋" w:cs="仿宋"/>
          <w:b/>
          <w:sz w:val="28"/>
          <w:szCs w:val="28"/>
        </w:rPr>
        <w:t>十、其他说明</w:t>
      </w:r>
    </w:p>
    <w:p w14:paraId="2C8576CA">
      <w:pPr>
        <w:pStyle w:val="23"/>
        <w:adjustRightInd w:val="0"/>
        <w:snapToGrid w:val="0"/>
        <w:spacing w:line="360" w:lineRule="auto"/>
        <w:ind w:left="0" w:firstLine="0" w:firstLineChars="0"/>
        <w:rPr>
          <w:rFonts w:ascii="仿宋" w:hAnsi="仿宋" w:eastAsia="仿宋" w:cs="仿宋"/>
          <w:b/>
        </w:rPr>
      </w:pPr>
      <w:r>
        <w:rPr>
          <w:rFonts w:hint="eastAsia" w:ascii="仿宋" w:hAnsi="仿宋" w:eastAsia="仿宋" w:cs="仿宋"/>
          <w:b/>
        </w:rPr>
        <w:t>32.其他说明</w:t>
      </w:r>
    </w:p>
    <w:p w14:paraId="45424FC1">
      <w:pPr>
        <w:widowControl/>
        <w:snapToGrid w:val="0"/>
        <w:spacing w:line="360" w:lineRule="auto"/>
        <w:ind w:firstLine="480" w:firstLineChars="200"/>
        <w:jc w:val="left"/>
        <w:rPr>
          <w:rFonts w:ascii="仿宋" w:hAnsi="仿宋" w:eastAsia="仿宋" w:cs="仿宋"/>
          <w:sz w:val="22"/>
          <w:szCs w:val="22"/>
        </w:rPr>
      </w:pPr>
      <w:r>
        <w:rPr>
          <w:rFonts w:hint="eastAsia" w:ascii="仿宋" w:hAnsi="仿宋" w:eastAsia="仿宋" w:cs="仿宋"/>
          <w:kern w:val="0"/>
          <w:sz w:val="24"/>
        </w:rPr>
        <w:t>见投标人须知前附表。</w:t>
      </w:r>
      <w:bookmarkEnd w:id="54"/>
    </w:p>
    <w:p w14:paraId="593F7A97">
      <w:pPr>
        <w:widowControl/>
        <w:adjustRightInd/>
        <w:jc w:val="left"/>
        <w:rPr>
          <w:rFonts w:ascii="仿宋" w:hAnsi="仿宋" w:eastAsia="仿宋" w:cs="仿宋"/>
          <w:b/>
          <w:bCs/>
          <w:sz w:val="22"/>
          <w:szCs w:val="22"/>
        </w:rPr>
      </w:pPr>
      <w:r>
        <w:rPr>
          <w:rFonts w:hint="eastAsia" w:ascii="仿宋" w:hAnsi="仿宋" w:eastAsia="仿宋" w:cs="仿宋"/>
          <w:b/>
          <w:bCs/>
          <w:sz w:val="22"/>
          <w:szCs w:val="22"/>
        </w:rPr>
        <w:br w:type="page"/>
      </w:r>
    </w:p>
    <w:p w14:paraId="12080CA1">
      <w:pPr>
        <w:snapToGrid w:val="0"/>
        <w:spacing w:before="240" w:beforeLines="100" w:after="120" w:afterLines="50" w:line="360" w:lineRule="auto"/>
        <w:jc w:val="center"/>
        <w:outlineLvl w:val="0"/>
        <w:rPr>
          <w:rFonts w:ascii="仿宋" w:hAnsi="仿宋" w:eastAsia="仿宋" w:cs="仿宋"/>
          <w:b/>
          <w:sz w:val="36"/>
          <w:szCs w:val="36"/>
        </w:rPr>
      </w:pPr>
      <w:r>
        <w:rPr>
          <w:rFonts w:hint="eastAsia" w:ascii="仿宋" w:hAnsi="仿宋" w:eastAsia="仿宋" w:cs="仿宋"/>
          <w:b/>
          <w:sz w:val="36"/>
          <w:szCs w:val="36"/>
        </w:rPr>
        <w:t>第三部分  采购需求</w:t>
      </w:r>
    </w:p>
    <w:p w14:paraId="4263043B">
      <w:pPr>
        <w:spacing w:line="460" w:lineRule="exact"/>
        <w:ind w:firstLine="541" w:firstLineChars="245"/>
        <w:outlineLvl w:val="1"/>
        <w:rPr>
          <w:rFonts w:ascii="仿宋" w:hAnsi="仿宋" w:eastAsia="仿宋" w:cs="仿宋"/>
          <w:b/>
          <w:sz w:val="22"/>
          <w:szCs w:val="22"/>
        </w:rPr>
      </w:pPr>
      <w:bookmarkStart w:id="55" w:name="_Toc17165"/>
      <w:bookmarkStart w:id="56" w:name="_Toc9977"/>
      <w:r>
        <w:rPr>
          <w:rFonts w:hint="eastAsia" w:ascii="仿宋" w:hAnsi="仿宋" w:eastAsia="仿宋" w:cs="仿宋"/>
          <w:b/>
          <w:sz w:val="22"/>
          <w:szCs w:val="22"/>
        </w:rPr>
        <w:t>一、</w:t>
      </w:r>
      <w:r>
        <w:rPr>
          <w:rFonts w:hint="eastAsia" w:ascii="仿宋" w:hAnsi="仿宋" w:eastAsia="仿宋" w:cs="仿宋"/>
          <w:b/>
          <w:sz w:val="22"/>
          <w:szCs w:val="22"/>
          <w:lang w:val="zh-CN"/>
        </w:rPr>
        <w:t>总体要求</w:t>
      </w:r>
      <w:bookmarkEnd w:id="55"/>
      <w:bookmarkEnd w:id="56"/>
    </w:p>
    <w:p w14:paraId="1600933F">
      <w:pPr>
        <w:spacing w:line="460" w:lineRule="exact"/>
        <w:ind w:firstLine="541" w:firstLineChars="245"/>
        <w:rPr>
          <w:rFonts w:ascii="仿宋" w:hAnsi="仿宋" w:eastAsia="仿宋" w:cs="仿宋"/>
          <w:b/>
          <w:sz w:val="22"/>
          <w:szCs w:val="22"/>
        </w:rPr>
      </w:pPr>
      <w:r>
        <w:rPr>
          <w:rFonts w:hint="eastAsia" w:ascii="仿宋" w:hAnsi="仿宋" w:eastAsia="仿宋" w:cs="仿宋"/>
          <w:b/>
          <w:sz w:val="22"/>
          <w:szCs w:val="22"/>
        </w:rPr>
        <w:t>1、本项目为交钥匙工程。投标人应提供所投所有设备及其附件的设计、采购、制造、检测、试验、至最终目的地的运输和保险、现场仓储以及安装、验收、技术服务及培训、相关文件的提交、质保期维护等所有服务，在投标文件相应的部分明确。</w:t>
      </w:r>
    </w:p>
    <w:p w14:paraId="5B74509B">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2、本技术规范要求提出的是最低限度的基本技术要求，并未对所有技术细节作出规定，投标人应提供符合本技术要求和国家标准、行业标准的优质产品。</w:t>
      </w:r>
    </w:p>
    <w:p w14:paraId="0C5B6424">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投标人所投产品与本技术要求不一致时，投标人应在投标文件中予以说明，并由评审小组鉴定投标人产品能否达到要求。如投标人没有在投标文件中提出异议，则视为投标人提供的产品完全按照本采购文件要求。</w:t>
      </w:r>
    </w:p>
    <w:p w14:paraId="1B5032B6">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4、技术要求及标准的执行</w:t>
      </w:r>
    </w:p>
    <w:p w14:paraId="47A517B6">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投标人提供的产品所执行的质量标准，若同一标准已颁发新标准，则按最新标准执行。若同一产品同时有几个标准（国际标准、国家标准、行业标准、企业标准等），则按最高层次的标准执行。</w:t>
      </w:r>
    </w:p>
    <w:p w14:paraId="02D7DD3F">
      <w:pPr>
        <w:numPr>
          <w:ilvl w:val="0"/>
          <w:numId w:val="5"/>
        </w:numPr>
        <w:spacing w:line="460" w:lineRule="exact"/>
        <w:ind w:firstLine="541" w:firstLineChars="245"/>
        <w:outlineLvl w:val="1"/>
        <w:rPr>
          <w:rFonts w:ascii="仿宋" w:hAnsi="仿宋" w:eastAsia="仿宋" w:cs="仿宋"/>
          <w:b/>
          <w:sz w:val="22"/>
          <w:szCs w:val="22"/>
        </w:rPr>
      </w:pPr>
      <w:r>
        <w:rPr>
          <w:rFonts w:hint="eastAsia" w:ascii="仿宋" w:hAnsi="仿宋" w:eastAsia="仿宋" w:cs="仿宋"/>
          <w:b/>
          <w:sz w:val="22"/>
          <w:szCs w:val="22"/>
        </w:rPr>
        <w:t>采购货物清单及要求</w:t>
      </w:r>
    </w:p>
    <w:tbl>
      <w:tblPr>
        <w:tblStyle w:val="57"/>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209"/>
        <w:gridCol w:w="1031"/>
        <w:gridCol w:w="911"/>
        <w:gridCol w:w="1191"/>
        <w:gridCol w:w="1217"/>
      </w:tblGrid>
      <w:tr w14:paraId="2DD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49" w:type="dxa"/>
            <w:noWrap w:val="0"/>
            <w:vAlign w:val="center"/>
          </w:tcPr>
          <w:p w14:paraId="013EB45F">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w:t>
            </w:r>
          </w:p>
        </w:tc>
        <w:tc>
          <w:tcPr>
            <w:tcW w:w="4209" w:type="dxa"/>
            <w:noWrap w:val="0"/>
            <w:vAlign w:val="center"/>
          </w:tcPr>
          <w:p w14:paraId="546832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名称</w:t>
            </w:r>
          </w:p>
        </w:tc>
        <w:tc>
          <w:tcPr>
            <w:tcW w:w="1031" w:type="dxa"/>
            <w:noWrap w:val="0"/>
            <w:vAlign w:val="center"/>
          </w:tcPr>
          <w:p w14:paraId="0CAFEF6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数量</w:t>
            </w:r>
          </w:p>
        </w:tc>
        <w:tc>
          <w:tcPr>
            <w:tcW w:w="911" w:type="dxa"/>
            <w:noWrap w:val="0"/>
            <w:vAlign w:val="center"/>
          </w:tcPr>
          <w:p w14:paraId="67FC102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单价</w:t>
            </w:r>
          </w:p>
        </w:tc>
        <w:tc>
          <w:tcPr>
            <w:tcW w:w="1191" w:type="dxa"/>
            <w:noWrap w:val="0"/>
            <w:vAlign w:val="center"/>
          </w:tcPr>
          <w:p w14:paraId="3BB8D0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w:t>
            </w:r>
          </w:p>
        </w:tc>
        <w:tc>
          <w:tcPr>
            <w:tcW w:w="1217" w:type="dxa"/>
            <w:noWrap w:val="0"/>
            <w:vAlign w:val="center"/>
          </w:tcPr>
          <w:p w14:paraId="6FA65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i w:val="0"/>
                <w:color w:val="auto"/>
                <w:kern w:val="0"/>
                <w:sz w:val="21"/>
                <w:szCs w:val="21"/>
                <w:highlight w:val="none"/>
                <w:u w:val="none"/>
                <w:lang w:val="en-US" w:eastAsia="zh-CN" w:bidi="ar"/>
              </w:rPr>
              <w:t>参考图片</w:t>
            </w:r>
          </w:p>
        </w:tc>
      </w:tr>
      <w:tr w14:paraId="7151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0"/>
            <w:vAlign w:val="center"/>
          </w:tcPr>
          <w:p w14:paraId="4FD5D311">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eastAsia="zh-CN"/>
              </w:rPr>
            </w:pPr>
          </w:p>
        </w:tc>
        <w:tc>
          <w:tcPr>
            <w:tcW w:w="4209" w:type="dxa"/>
            <w:noWrap w:val="0"/>
            <w:vAlign w:val="center"/>
          </w:tcPr>
          <w:p w14:paraId="20F43D7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女更衣室</w:t>
            </w:r>
          </w:p>
        </w:tc>
        <w:tc>
          <w:tcPr>
            <w:tcW w:w="1031" w:type="dxa"/>
            <w:noWrap w:val="0"/>
            <w:vAlign w:val="center"/>
          </w:tcPr>
          <w:p w14:paraId="039B3ED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p>
        </w:tc>
        <w:tc>
          <w:tcPr>
            <w:tcW w:w="911" w:type="dxa"/>
            <w:noWrap w:val="0"/>
            <w:vAlign w:val="center"/>
          </w:tcPr>
          <w:p w14:paraId="7B13455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191" w:type="dxa"/>
            <w:noWrap w:val="0"/>
            <w:vAlign w:val="center"/>
          </w:tcPr>
          <w:p w14:paraId="22CC841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217" w:type="dxa"/>
            <w:noWrap w:val="0"/>
            <w:vAlign w:val="center"/>
          </w:tcPr>
          <w:p w14:paraId="48C483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r>
      <w:tr w14:paraId="33EC73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35" w:hRule="atLeast"/>
          <w:jc w:val="center"/>
        </w:trPr>
        <w:tc>
          <w:tcPr>
            <w:tcW w:w="649" w:type="dxa"/>
            <w:tcBorders>
              <w:left w:val="single" w:color="auto" w:sz="4" w:space="0"/>
              <w:right w:val="single" w:color="auto" w:sz="4" w:space="0"/>
            </w:tcBorders>
            <w:noWrap w:val="0"/>
            <w:vAlign w:val="center"/>
          </w:tcPr>
          <w:p w14:paraId="5D86775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FFEF7A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挂式洗手星盆</w:t>
            </w:r>
          </w:p>
          <w:p w14:paraId="02CB7C9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，配优质不锈钢落水器、拦渣斗。</w:t>
            </w:r>
          </w:p>
          <w:p w14:paraId="03B6017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规格：400×450×（200+150）</w:t>
            </w:r>
          </w:p>
        </w:tc>
        <w:tc>
          <w:tcPr>
            <w:tcW w:w="1031" w:type="dxa"/>
            <w:tcBorders>
              <w:left w:val="single" w:color="auto" w:sz="4" w:space="0"/>
              <w:right w:val="single" w:color="auto" w:sz="4" w:space="0"/>
            </w:tcBorders>
            <w:noWrap w:val="0"/>
            <w:vAlign w:val="center"/>
          </w:tcPr>
          <w:p w14:paraId="61F7AD5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FF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66872D7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170522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93169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685800" cy="408940"/>
                  <wp:effectExtent l="0" t="0" r="0" b="10160"/>
                  <wp:docPr id="6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2"/>
                          <pic:cNvPicPr>
                            <a:picLocks noChangeAspect="1"/>
                          </pic:cNvPicPr>
                        </pic:nvPicPr>
                        <pic:blipFill>
                          <a:blip r:embed="rId6"/>
                          <a:stretch>
                            <a:fillRect/>
                          </a:stretch>
                        </pic:blipFill>
                        <pic:spPr>
                          <a:xfrm>
                            <a:off x="0" y="0"/>
                            <a:ext cx="685800" cy="408940"/>
                          </a:xfrm>
                          <a:prstGeom prst="rect">
                            <a:avLst/>
                          </a:prstGeom>
                          <a:noFill/>
                          <a:ln w="9525">
                            <a:noFill/>
                          </a:ln>
                        </pic:spPr>
                      </pic:pic>
                    </a:graphicData>
                  </a:graphic>
                </wp:inline>
              </w:drawing>
            </w:r>
          </w:p>
        </w:tc>
      </w:tr>
      <w:tr w14:paraId="57382D5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82" w:hRule="atLeast"/>
          <w:jc w:val="center"/>
        </w:trPr>
        <w:tc>
          <w:tcPr>
            <w:tcW w:w="649" w:type="dxa"/>
            <w:tcBorders>
              <w:left w:val="single" w:color="auto" w:sz="4" w:space="0"/>
              <w:right w:val="single" w:color="auto" w:sz="4" w:space="0"/>
            </w:tcBorders>
            <w:noWrap w:val="0"/>
            <w:vAlign w:val="center"/>
          </w:tcPr>
          <w:p w14:paraId="3BB6107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423AAF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感应水龙头</w:t>
            </w:r>
          </w:p>
          <w:p w14:paraId="2938FF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说明：单孔装台面龙头，配G1/1′进水接头，出水管中心距60mm，4′对中镀铬镍黄铜本体。</w:t>
            </w:r>
          </w:p>
        </w:tc>
        <w:tc>
          <w:tcPr>
            <w:tcW w:w="1031" w:type="dxa"/>
            <w:tcBorders>
              <w:left w:val="single" w:color="auto" w:sz="4" w:space="0"/>
              <w:right w:val="single" w:color="auto" w:sz="4" w:space="0"/>
            </w:tcBorders>
            <w:noWrap w:val="0"/>
            <w:vAlign w:val="center"/>
          </w:tcPr>
          <w:p w14:paraId="08B45E9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1个</w:t>
            </w:r>
          </w:p>
        </w:tc>
        <w:tc>
          <w:tcPr>
            <w:tcW w:w="911" w:type="dxa"/>
            <w:tcBorders>
              <w:left w:val="single" w:color="auto" w:sz="4" w:space="0"/>
              <w:right w:val="single" w:color="auto" w:sz="4" w:space="0"/>
            </w:tcBorders>
            <w:noWrap w:val="0"/>
            <w:vAlign w:val="center"/>
          </w:tcPr>
          <w:p w14:paraId="69D918C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CCE96C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F5663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10210" cy="310515"/>
                  <wp:effectExtent l="0" t="0" r="8890" b="13335"/>
                  <wp:docPr id="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1"/>
                          <pic:cNvPicPr>
                            <a:picLocks noChangeAspect="1"/>
                          </pic:cNvPicPr>
                        </pic:nvPicPr>
                        <pic:blipFill>
                          <a:blip r:embed="rId7"/>
                          <a:stretch>
                            <a:fillRect/>
                          </a:stretch>
                        </pic:blipFill>
                        <pic:spPr>
                          <a:xfrm>
                            <a:off x="0" y="0"/>
                            <a:ext cx="410210" cy="310515"/>
                          </a:xfrm>
                          <a:prstGeom prst="rect">
                            <a:avLst/>
                          </a:prstGeom>
                          <a:noFill/>
                          <a:ln>
                            <a:noFill/>
                          </a:ln>
                        </pic:spPr>
                      </pic:pic>
                    </a:graphicData>
                  </a:graphic>
                </wp:inline>
              </w:drawing>
            </w:r>
          </w:p>
        </w:tc>
      </w:tr>
      <w:tr w14:paraId="7F0C983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601A31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718FFC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干手器</w:t>
            </w:r>
          </w:p>
          <w:p w14:paraId="468799C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说明：智能全自动感应，涡轮增压风箱，强劲风力，安全保护，为洁净双手保驾护航。</w:t>
            </w:r>
          </w:p>
          <w:p w14:paraId="27C0F4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功率：2000W/220V</w:t>
            </w:r>
          </w:p>
        </w:tc>
        <w:tc>
          <w:tcPr>
            <w:tcW w:w="1031" w:type="dxa"/>
            <w:tcBorders>
              <w:left w:val="single" w:color="auto" w:sz="4" w:space="0"/>
              <w:right w:val="single" w:color="auto" w:sz="4" w:space="0"/>
            </w:tcBorders>
            <w:noWrap w:val="0"/>
            <w:vAlign w:val="center"/>
          </w:tcPr>
          <w:p w14:paraId="49F691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3F4CBF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1344E7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02861F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anchor distT="0" distB="0" distL="114300" distR="114300" simplePos="0" relativeHeight="251659264" behindDoc="0" locked="0" layoutInCell="1" allowOverlap="1">
                  <wp:simplePos x="0" y="0"/>
                  <wp:positionH relativeFrom="column">
                    <wp:posOffset>29845</wp:posOffset>
                  </wp:positionH>
                  <wp:positionV relativeFrom="paragraph">
                    <wp:posOffset>27305</wp:posOffset>
                  </wp:positionV>
                  <wp:extent cx="636905" cy="636905"/>
                  <wp:effectExtent l="0" t="0" r="10795" b="10795"/>
                  <wp:wrapSquare wrapText="bothSides"/>
                  <wp:docPr id="619" name="图片 619"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图片 619" descr="timg (1)"/>
                          <pic:cNvPicPr>
                            <a:picLocks noChangeAspect="1"/>
                          </pic:cNvPicPr>
                        </pic:nvPicPr>
                        <pic:blipFill>
                          <a:blip r:embed="rId8"/>
                          <a:stretch>
                            <a:fillRect/>
                          </a:stretch>
                        </pic:blipFill>
                        <pic:spPr>
                          <a:xfrm>
                            <a:off x="0" y="0"/>
                            <a:ext cx="636905" cy="636905"/>
                          </a:xfrm>
                          <a:prstGeom prst="rect">
                            <a:avLst/>
                          </a:prstGeom>
                        </pic:spPr>
                      </pic:pic>
                    </a:graphicData>
                  </a:graphic>
                </wp:anchor>
              </w:drawing>
            </w:r>
          </w:p>
        </w:tc>
      </w:tr>
      <w:tr w14:paraId="3533147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7579D76">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4209" w:type="dxa"/>
            <w:tcBorders>
              <w:left w:val="single" w:color="auto" w:sz="4" w:space="0"/>
              <w:right w:val="single" w:color="auto" w:sz="4" w:space="0"/>
            </w:tcBorders>
            <w:noWrap w:val="0"/>
            <w:vAlign w:val="center"/>
          </w:tcPr>
          <w:p w14:paraId="2B7C890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六门更衣柜</w:t>
            </w:r>
          </w:p>
          <w:p w14:paraId="33709B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说明：冷轧钢板，六开门设计，内置层板，配不锈钢加强筋；铝合金拉手；独立带安全锁。</w:t>
            </w:r>
          </w:p>
          <w:p w14:paraId="01DBA3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规格：900×400×1800</w:t>
            </w:r>
          </w:p>
        </w:tc>
        <w:tc>
          <w:tcPr>
            <w:tcW w:w="1031" w:type="dxa"/>
            <w:tcBorders>
              <w:left w:val="single" w:color="auto" w:sz="4" w:space="0"/>
              <w:right w:val="single" w:color="auto" w:sz="4" w:space="0"/>
            </w:tcBorders>
            <w:noWrap w:val="0"/>
            <w:vAlign w:val="center"/>
          </w:tcPr>
          <w:p w14:paraId="3D2C56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3台</w:t>
            </w:r>
          </w:p>
        </w:tc>
        <w:tc>
          <w:tcPr>
            <w:tcW w:w="911" w:type="dxa"/>
            <w:tcBorders>
              <w:left w:val="single" w:color="auto" w:sz="4" w:space="0"/>
              <w:right w:val="single" w:color="auto" w:sz="4" w:space="0"/>
            </w:tcBorders>
            <w:noWrap w:val="0"/>
            <w:vAlign w:val="center"/>
          </w:tcPr>
          <w:p w14:paraId="7255381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953CEB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7E1502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INCLUDEPICTURE "C:\\Users\\Administrator\\AppData\\Roaming\\Tencent\\Users\\114082838\\QQ\\WinTemp\\RichOle\\Y$CHL{Z`YMKY6$@J{1KA5{2.png" \* MERGEFORMATINET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drawing>
                <wp:inline distT="0" distB="0" distL="114300" distR="114300">
                  <wp:extent cx="362585" cy="701040"/>
                  <wp:effectExtent l="0" t="0" r="18415" b="3810"/>
                  <wp:docPr id="5" name="图片 5" descr="Y$CHL{Z`YMKY6$@J{1K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Y$CHL{Z`YMKY6$@J{1KA5{2"/>
                          <pic:cNvPicPr>
                            <a:picLocks noChangeAspect="1"/>
                          </pic:cNvPicPr>
                        </pic:nvPicPr>
                        <pic:blipFill>
                          <a:blip r:embed="rId9"/>
                          <a:stretch>
                            <a:fillRect/>
                          </a:stretch>
                        </pic:blipFill>
                        <pic:spPr>
                          <a:xfrm>
                            <a:off x="0" y="0"/>
                            <a:ext cx="362585" cy="701040"/>
                          </a:xfrm>
                          <a:prstGeom prst="rect">
                            <a:avLst/>
                          </a:prstGeom>
                          <a:noFill/>
                          <a:ln>
                            <a:noFill/>
                          </a:ln>
                        </pic:spPr>
                      </pic:pic>
                    </a:graphicData>
                  </a:graphic>
                </wp:inline>
              </w:drawing>
            </w:r>
            <w:r>
              <w:rPr>
                <w:rFonts w:hint="eastAsia" w:ascii="宋体" w:hAnsi="宋体" w:eastAsia="宋体" w:cs="宋体"/>
                <w:color w:val="auto"/>
                <w:kern w:val="0"/>
                <w:sz w:val="21"/>
                <w:szCs w:val="21"/>
                <w:highlight w:val="none"/>
              </w:rPr>
              <w:fldChar w:fldCharType="end"/>
            </w:r>
          </w:p>
        </w:tc>
      </w:tr>
      <w:tr w14:paraId="51DA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49" w:type="dxa"/>
            <w:noWrap w:val="0"/>
            <w:vAlign w:val="center"/>
          </w:tcPr>
          <w:p w14:paraId="738D2161">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eastAsia="zh-CN"/>
              </w:rPr>
            </w:pPr>
          </w:p>
        </w:tc>
        <w:tc>
          <w:tcPr>
            <w:tcW w:w="4209" w:type="dxa"/>
            <w:noWrap w:val="0"/>
            <w:vAlign w:val="center"/>
          </w:tcPr>
          <w:p w14:paraId="2E311C4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男更衣室</w:t>
            </w:r>
          </w:p>
        </w:tc>
        <w:tc>
          <w:tcPr>
            <w:tcW w:w="1031" w:type="dxa"/>
            <w:noWrap w:val="0"/>
            <w:vAlign w:val="center"/>
          </w:tcPr>
          <w:p w14:paraId="3B8B6F6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noWrap w:val="0"/>
            <w:vAlign w:val="center"/>
          </w:tcPr>
          <w:p w14:paraId="1477C38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noWrap w:val="0"/>
            <w:vAlign w:val="center"/>
          </w:tcPr>
          <w:p w14:paraId="2711B86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noWrap w:val="0"/>
            <w:vAlign w:val="center"/>
          </w:tcPr>
          <w:p w14:paraId="44F03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p>
        </w:tc>
      </w:tr>
      <w:tr w14:paraId="2C0A22D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4EA7C66">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1124DAD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挂式洗手星盆</w:t>
            </w:r>
          </w:p>
          <w:p w14:paraId="0480C20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，配优质不锈钢落水器、拦渣斗。</w:t>
            </w:r>
          </w:p>
          <w:p w14:paraId="68EE7C9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规格：400×450×（200+150）</w:t>
            </w:r>
          </w:p>
        </w:tc>
        <w:tc>
          <w:tcPr>
            <w:tcW w:w="1031" w:type="dxa"/>
            <w:tcBorders>
              <w:left w:val="single" w:color="auto" w:sz="4" w:space="0"/>
              <w:right w:val="single" w:color="auto" w:sz="4" w:space="0"/>
            </w:tcBorders>
            <w:noWrap w:val="0"/>
            <w:vAlign w:val="center"/>
          </w:tcPr>
          <w:p w14:paraId="7A754A3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16C81A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6F4A09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5F5D6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685800" cy="408940"/>
                  <wp:effectExtent l="0" t="0" r="0"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85800" cy="408940"/>
                          </a:xfrm>
                          <a:prstGeom prst="rect">
                            <a:avLst/>
                          </a:prstGeom>
                          <a:noFill/>
                          <a:ln w="9525">
                            <a:noFill/>
                          </a:ln>
                        </pic:spPr>
                      </pic:pic>
                    </a:graphicData>
                  </a:graphic>
                </wp:inline>
              </w:drawing>
            </w:r>
          </w:p>
        </w:tc>
      </w:tr>
      <w:tr w14:paraId="0B5C7BE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54E0C2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A7C72B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感应水龙头</w:t>
            </w:r>
          </w:p>
          <w:p w14:paraId="5D4D33A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说明：单孔装台面龙头，配G1/1′进水接头，出水管中心距60mm，4′对中镀铬镍黄铜本体。</w:t>
            </w:r>
          </w:p>
        </w:tc>
        <w:tc>
          <w:tcPr>
            <w:tcW w:w="1031" w:type="dxa"/>
            <w:tcBorders>
              <w:left w:val="single" w:color="auto" w:sz="4" w:space="0"/>
              <w:right w:val="single" w:color="auto" w:sz="4" w:space="0"/>
            </w:tcBorders>
            <w:noWrap w:val="0"/>
            <w:vAlign w:val="center"/>
          </w:tcPr>
          <w:p w14:paraId="25EBD1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1个</w:t>
            </w:r>
          </w:p>
        </w:tc>
        <w:tc>
          <w:tcPr>
            <w:tcW w:w="911" w:type="dxa"/>
            <w:tcBorders>
              <w:left w:val="single" w:color="auto" w:sz="4" w:space="0"/>
              <w:right w:val="single" w:color="auto" w:sz="4" w:space="0"/>
            </w:tcBorders>
            <w:noWrap w:val="0"/>
            <w:vAlign w:val="center"/>
          </w:tcPr>
          <w:p w14:paraId="4D6C7D7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C7DB04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15E75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10210" cy="310515"/>
                  <wp:effectExtent l="0" t="0" r="889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10210" cy="310515"/>
                          </a:xfrm>
                          <a:prstGeom prst="rect">
                            <a:avLst/>
                          </a:prstGeom>
                          <a:noFill/>
                          <a:ln>
                            <a:noFill/>
                          </a:ln>
                        </pic:spPr>
                      </pic:pic>
                    </a:graphicData>
                  </a:graphic>
                </wp:inline>
              </w:drawing>
            </w:r>
          </w:p>
        </w:tc>
      </w:tr>
      <w:tr w14:paraId="1D1CBD6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8685C7A">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22D6FF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干手器</w:t>
            </w:r>
          </w:p>
          <w:p w14:paraId="17D7580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说明：智能全自动感应，涡轮增压风箱，强劲风力，安全保护，为洁净双手保驾护航。</w:t>
            </w:r>
          </w:p>
          <w:p w14:paraId="19FD4CC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功率：2000W/220V</w:t>
            </w:r>
          </w:p>
        </w:tc>
        <w:tc>
          <w:tcPr>
            <w:tcW w:w="1031" w:type="dxa"/>
            <w:tcBorders>
              <w:left w:val="single" w:color="auto" w:sz="4" w:space="0"/>
              <w:right w:val="single" w:color="auto" w:sz="4" w:space="0"/>
            </w:tcBorders>
            <w:noWrap w:val="0"/>
            <w:vAlign w:val="center"/>
          </w:tcPr>
          <w:p w14:paraId="5303107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7FD21D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515D20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2DA08E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anchor distT="0" distB="0" distL="114300" distR="114300" simplePos="0" relativeHeight="251660288" behindDoc="0" locked="0" layoutInCell="1" allowOverlap="1">
                  <wp:simplePos x="0" y="0"/>
                  <wp:positionH relativeFrom="column">
                    <wp:posOffset>29845</wp:posOffset>
                  </wp:positionH>
                  <wp:positionV relativeFrom="paragraph">
                    <wp:posOffset>32385</wp:posOffset>
                  </wp:positionV>
                  <wp:extent cx="636905" cy="636905"/>
                  <wp:effectExtent l="0" t="0" r="10795" b="10795"/>
                  <wp:wrapSquare wrapText="bothSides"/>
                  <wp:docPr id="3" name="图片 3"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g (1)"/>
                          <pic:cNvPicPr>
                            <a:picLocks noChangeAspect="1"/>
                          </pic:cNvPicPr>
                        </pic:nvPicPr>
                        <pic:blipFill>
                          <a:blip r:embed="rId8"/>
                          <a:stretch>
                            <a:fillRect/>
                          </a:stretch>
                        </pic:blipFill>
                        <pic:spPr>
                          <a:xfrm>
                            <a:off x="0" y="0"/>
                            <a:ext cx="636905" cy="636905"/>
                          </a:xfrm>
                          <a:prstGeom prst="rect">
                            <a:avLst/>
                          </a:prstGeom>
                        </pic:spPr>
                      </pic:pic>
                    </a:graphicData>
                  </a:graphic>
                </wp:anchor>
              </w:drawing>
            </w:r>
          </w:p>
        </w:tc>
      </w:tr>
      <w:tr w14:paraId="58AABD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5DFDD3E">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62530AF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六门更衣柜</w:t>
            </w:r>
          </w:p>
          <w:p w14:paraId="2E1E2D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说明：冷轧钢板，六开门设计，内置层板，配不锈钢加强筋；铝合金拉手；独立带安全锁。</w:t>
            </w:r>
          </w:p>
          <w:p w14:paraId="60E4A76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规格：900×400×1800</w:t>
            </w:r>
          </w:p>
        </w:tc>
        <w:tc>
          <w:tcPr>
            <w:tcW w:w="1031" w:type="dxa"/>
            <w:tcBorders>
              <w:left w:val="single" w:color="auto" w:sz="4" w:space="0"/>
              <w:right w:val="single" w:color="auto" w:sz="4" w:space="0"/>
            </w:tcBorders>
            <w:noWrap w:val="0"/>
            <w:vAlign w:val="center"/>
          </w:tcPr>
          <w:p w14:paraId="5BB50FE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3台</w:t>
            </w:r>
          </w:p>
        </w:tc>
        <w:tc>
          <w:tcPr>
            <w:tcW w:w="911" w:type="dxa"/>
            <w:tcBorders>
              <w:left w:val="single" w:color="auto" w:sz="4" w:space="0"/>
              <w:right w:val="single" w:color="auto" w:sz="4" w:space="0"/>
            </w:tcBorders>
            <w:noWrap w:val="0"/>
            <w:vAlign w:val="center"/>
          </w:tcPr>
          <w:p w14:paraId="69E8123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2846BE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5E5E83E">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INCLUDEPICTURE "C:\\Users\\Administrator\\AppData\\Roaming\\Tencent\\Users\\114082838\\QQ\\WinTemp\\RichOle\\Y$CHL{Z`YMKY6$@J{1KA5{2.png" \* MERGEFORMATINET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drawing>
                <wp:inline distT="0" distB="0" distL="114300" distR="114300">
                  <wp:extent cx="362585" cy="701040"/>
                  <wp:effectExtent l="0" t="0" r="18415" b="3810"/>
                  <wp:docPr id="620" name="图片 620" descr="Y$CHL{Z`YMKY6$@J{1KA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图片 620" descr="Y$CHL{Z`YMKY6$@J{1KA5{2"/>
                          <pic:cNvPicPr>
                            <a:picLocks noChangeAspect="1"/>
                          </pic:cNvPicPr>
                        </pic:nvPicPr>
                        <pic:blipFill>
                          <a:blip r:embed="rId9"/>
                          <a:stretch>
                            <a:fillRect/>
                          </a:stretch>
                        </pic:blipFill>
                        <pic:spPr>
                          <a:xfrm>
                            <a:off x="0" y="0"/>
                            <a:ext cx="362585" cy="701040"/>
                          </a:xfrm>
                          <a:prstGeom prst="rect">
                            <a:avLst/>
                          </a:prstGeom>
                          <a:noFill/>
                          <a:ln>
                            <a:noFill/>
                          </a:ln>
                        </pic:spPr>
                      </pic:pic>
                    </a:graphicData>
                  </a:graphic>
                </wp:inline>
              </w:drawing>
            </w:r>
            <w:r>
              <w:rPr>
                <w:rFonts w:hint="eastAsia" w:ascii="宋体" w:hAnsi="宋体" w:eastAsia="宋体" w:cs="宋体"/>
                <w:color w:val="auto"/>
                <w:kern w:val="0"/>
                <w:sz w:val="21"/>
                <w:szCs w:val="21"/>
                <w:highlight w:val="none"/>
              </w:rPr>
              <w:fldChar w:fldCharType="end"/>
            </w:r>
          </w:p>
        </w:tc>
      </w:tr>
      <w:tr w14:paraId="57EF96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CAF5DCA">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2B275C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主/副食库</w:t>
            </w:r>
          </w:p>
        </w:tc>
        <w:tc>
          <w:tcPr>
            <w:tcW w:w="1031" w:type="dxa"/>
            <w:tcBorders>
              <w:left w:val="single" w:color="auto" w:sz="4" w:space="0"/>
              <w:right w:val="single" w:color="auto" w:sz="4" w:space="0"/>
            </w:tcBorders>
            <w:noWrap w:val="0"/>
            <w:vAlign w:val="center"/>
          </w:tcPr>
          <w:p w14:paraId="363D84E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3682388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31260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5617E8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lang w:bidi="ar"/>
              </w:rPr>
            </w:pPr>
          </w:p>
        </w:tc>
      </w:tr>
      <w:tr w14:paraId="16DF8D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F0FFCD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13B590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低搁架</w:t>
            </w:r>
          </w:p>
          <w:p w14:paraId="042A2F0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说明：选用SUS304-2B优质50×50不锈钢方管制作，骨架</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。配防滑皮垫。</w:t>
            </w:r>
          </w:p>
          <w:p w14:paraId="3CD6141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规格：1200×500×300</w:t>
            </w:r>
          </w:p>
        </w:tc>
        <w:tc>
          <w:tcPr>
            <w:tcW w:w="1031" w:type="dxa"/>
            <w:tcBorders>
              <w:left w:val="single" w:color="auto" w:sz="4" w:space="0"/>
              <w:right w:val="single" w:color="auto" w:sz="4" w:space="0"/>
            </w:tcBorders>
            <w:noWrap w:val="0"/>
            <w:vAlign w:val="center"/>
          </w:tcPr>
          <w:p w14:paraId="0C12198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5台</w:t>
            </w:r>
          </w:p>
        </w:tc>
        <w:tc>
          <w:tcPr>
            <w:tcW w:w="911" w:type="dxa"/>
            <w:tcBorders>
              <w:left w:val="single" w:color="auto" w:sz="4" w:space="0"/>
              <w:right w:val="single" w:color="auto" w:sz="4" w:space="0"/>
            </w:tcBorders>
            <w:noWrap w:val="0"/>
            <w:vAlign w:val="center"/>
          </w:tcPr>
          <w:p w14:paraId="436AEBB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2846E2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C03E65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31495" cy="403860"/>
                  <wp:effectExtent l="0" t="0" r="1905" b="15240"/>
                  <wp:docPr id="628" name="图片 24" descr="说明: 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图片 24" descr="说明: 低搁架 副本"/>
                          <pic:cNvPicPr>
                            <a:picLocks noChangeAspect="1"/>
                          </pic:cNvPicPr>
                        </pic:nvPicPr>
                        <pic:blipFill>
                          <a:blip r:embed="rId10">
                            <a:lum contrast="6000"/>
                          </a:blip>
                          <a:stretch>
                            <a:fillRect/>
                          </a:stretch>
                        </pic:blipFill>
                        <pic:spPr>
                          <a:xfrm>
                            <a:off x="0" y="0"/>
                            <a:ext cx="531495" cy="403860"/>
                          </a:xfrm>
                          <a:prstGeom prst="rect">
                            <a:avLst/>
                          </a:prstGeom>
                          <a:noFill/>
                          <a:ln w="9525">
                            <a:noFill/>
                          </a:ln>
                        </pic:spPr>
                      </pic:pic>
                    </a:graphicData>
                  </a:graphic>
                </wp:inline>
              </w:drawing>
            </w:r>
          </w:p>
        </w:tc>
      </w:tr>
      <w:tr w14:paraId="7D868E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D17856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461B9F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四层平板架（利旧4台）</w:t>
            </w:r>
            <w:r>
              <w:rPr>
                <w:rFonts w:hint="eastAsia" w:ascii="宋体" w:hAnsi="宋体" w:eastAsia="宋体" w:cs="宋体"/>
                <w:color w:val="000000"/>
                <w:kern w:val="2"/>
                <w:sz w:val="21"/>
                <w:szCs w:val="21"/>
                <w:highlight w:val="none"/>
                <w:lang w:val="en-US" w:eastAsia="zh-CN" w:bidi="ar"/>
              </w:rPr>
              <w:tab/>
            </w:r>
            <w:r>
              <w:rPr>
                <w:rFonts w:hint="eastAsia" w:ascii="宋体" w:hAnsi="宋体" w:eastAsia="宋体" w:cs="宋体"/>
                <w:color w:val="000000"/>
                <w:kern w:val="2"/>
                <w:sz w:val="21"/>
                <w:szCs w:val="21"/>
                <w:highlight w:val="none"/>
                <w:lang w:val="en-US" w:eastAsia="zh-CN" w:bidi="ar"/>
              </w:rPr>
              <w:t xml:space="preserve">   </w:t>
            </w:r>
            <w:r>
              <w:rPr>
                <w:rFonts w:hint="eastAsia" w:ascii="宋体" w:hAnsi="宋体" w:eastAsia="宋体" w:cs="宋体"/>
                <w:color w:val="000000"/>
                <w:kern w:val="2"/>
                <w:sz w:val="21"/>
                <w:szCs w:val="21"/>
                <w:highlight w:val="none"/>
                <w:lang w:val="en-US" w:eastAsia="zh-CN" w:bidi="ar"/>
              </w:rPr>
              <w:tab/>
            </w:r>
            <w:r>
              <w:rPr>
                <w:rFonts w:hint="eastAsia" w:ascii="宋体" w:hAnsi="宋体" w:eastAsia="宋体" w:cs="宋体"/>
                <w:color w:val="000000"/>
                <w:kern w:val="2"/>
                <w:sz w:val="21"/>
                <w:szCs w:val="21"/>
                <w:highlight w:val="none"/>
                <w:lang w:val="en-US" w:eastAsia="zh-CN" w:bidi="ar"/>
              </w:rPr>
              <w:tab/>
            </w:r>
            <w:r>
              <w:rPr>
                <w:rFonts w:hint="eastAsia" w:ascii="宋体" w:hAnsi="宋体" w:eastAsia="宋体" w:cs="宋体"/>
                <w:color w:val="000000"/>
                <w:kern w:val="2"/>
                <w:sz w:val="21"/>
                <w:szCs w:val="21"/>
                <w:highlight w:val="none"/>
                <w:lang w:val="en-US" w:eastAsia="zh-CN" w:bidi="ar"/>
              </w:rPr>
              <w:t xml:space="preserve">     </w:t>
            </w:r>
          </w:p>
          <w:p w14:paraId="3AE14F5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说明：选用SUS304-2B优质发纹贴塑不锈钢板制作，骨架</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。￠38圆管，层板δ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 下衬加宽加强，脚φ38×1.0mm（配有可调子弹脚）。</w:t>
            </w:r>
          </w:p>
          <w:p w14:paraId="532892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规格：1150×500×1550</w:t>
            </w:r>
          </w:p>
        </w:tc>
        <w:tc>
          <w:tcPr>
            <w:tcW w:w="1031" w:type="dxa"/>
            <w:tcBorders>
              <w:left w:val="single" w:color="auto" w:sz="4" w:space="0"/>
              <w:right w:val="single" w:color="auto" w:sz="4" w:space="0"/>
            </w:tcBorders>
            <w:noWrap w:val="0"/>
            <w:vAlign w:val="center"/>
          </w:tcPr>
          <w:p w14:paraId="76F09EB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6台</w:t>
            </w:r>
          </w:p>
        </w:tc>
        <w:tc>
          <w:tcPr>
            <w:tcW w:w="911" w:type="dxa"/>
            <w:tcBorders>
              <w:left w:val="single" w:color="auto" w:sz="4" w:space="0"/>
              <w:right w:val="single" w:color="auto" w:sz="4" w:space="0"/>
            </w:tcBorders>
            <w:noWrap w:val="0"/>
            <w:vAlign w:val="center"/>
          </w:tcPr>
          <w:p w14:paraId="3F0EFE0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EE2BD5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76D1323">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74040" cy="591185"/>
                  <wp:effectExtent l="0" t="0" r="16510" b="18415"/>
                  <wp:docPr id="6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10"/>
                          <pic:cNvPicPr>
                            <a:picLocks noChangeAspect="1"/>
                          </pic:cNvPicPr>
                        </pic:nvPicPr>
                        <pic:blipFill>
                          <a:blip r:embed="rId11"/>
                          <a:stretch>
                            <a:fillRect/>
                          </a:stretch>
                        </pic:blipFill>
                        <pic:spPr>
                          <a:xfrm>
                            <a:off x="0" y="0"/>
                            <a:ext cx="574040" cy="591185"/>
                          </a:xfrm>
                          <a:prstGeom prst="rect">
                            <a:avLst/>
                          </a:prstGeom>
                          <a:noFill/>
                          <a:ln>
                            <a:noFill/>
                          </a:ln>
                        </pic:spPr>
                      </pic:pic>
                    </a:graphicData>
                  </a:graphic>
                </wp:inline>
              </w:drawing>
            </w:r>
          </w:p>
        </w:tc>
      </w:tr>
      <w:tr w14:paraId="648F65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A304BE1">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662DBD4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洁具间</w:t>
            </w:r>
          </w:p>
        </w:tc>
        <w:tc>
          <w:tcPr>
            <w:tcW w:w="1031" w:type="dxa"/>
            <w:tcBorders>
              <w:left w:val="single" w:color="auto" w:sz="4" w:space="0"/>
              <w:right w:val="single" w:color="auto" w:sz="4" w:space="0"/>
            </w:tcBorders>
            <w:noWrap w:val="0"/>
            <w:vAlign w:val="center"/>
          </w:tcPr>
          <w:p w14:paraId="38AF80C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77889A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EE5A3C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59A52BD">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sz w:val="21"/>
                <w:szCs w:val="21"/>
                <w:highlight w:val="none"/>
              </w:rPr>
            </w:pPr>
          </w:p>
        </w:tc>
      </w:tr>
      <w:tr w14:paraId="3782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0"/>
            <w:vAlign w:val="center"/>
          </w:tcPr>
          <w:p w14:paraId="3B0924C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noWrap w:val="0"/>
            <w:vAlign w:val="center"/>
          </w:tcPr>
          <w:p w14:paraId="0E3F370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拖把池连架</w:t>
            </w:r>
          </w:p>
          <w:p w14:paraId="5C1F43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，配置Φ38mm不锈钢可调节重力子弹脚，配优质不锈钢落水器、拦渣斗。</w:t>
            </w:r>
          </w:p>
          <w:p w14:paraId="3A3165B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规格：1200×500×(500+1300)</w:t>
            </w:r>
          </w:p>
        </w:tc>
        <w:tc>
          <w:tcPr>
            <w:tcW w:w="1031" w:type="dxa"/>
            <w:noWrap w:val="0"/>
            <w:vAlign w:val="center"/>
          </w:tcPr>
          <w:p w14:paraId="2C294D7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noWrap w:val="0"/>
            <w:vAlign w:val="center"/>
          </w:tcPr>
          <w:p w14:paraId="03CE57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noWrap w:val="0"/>
            <w:vAlign w:val="center"/>
          </w:tcPr>
          <w:p w14:paraId="483884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noWrap w:val="0"/>
            <w:vAlign w:val="center"/>
          </w:tcPr>
          <w:p w14:paraId="034906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INCLUDEPICTURE "http://g.search2.alicdn.com/img/bao/uploaded/i4/i3/16284028864788498/T1g3.yXdXdXXXXXXXX_!!0-item_pic.jpg_210x210.jpg" \* MERGEFORMATINET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drawing>
                <wp:inline distT="0" distB="0" distL="114300" distR="114300">
                  <wp:extent cx="606425" cy="932815"/>
                  <wp:effectExtent l="0" t="0" r="3175" b="635"/>
                  <wp:docPr id="622" name="图片 1" descr="T1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1" descr="T1g3"/>
                          <pic:cNvPicPr>
                            <a:picLocks noChangeAspect="1"/>
                          </pic:cNvPicPr>
                        </pic:nvPicPr>
                        <pic:blipFill>
                          <a:blip r:embed="rId12"/>
                          <a:stretch>
                            <a:fillRect/>
                          </a:stretch>
                        </pic:blipFill>
                        <pic:spPr>
                          <a:xfrm>
                            <a:off x="0" y="0"/>
                            <a:ext cx="606425" cy="932815"/>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end"/>
            </w:r>
          </w:p>
        </w:tc>
      </w:tr>
      <w:tr w14:paraId="7584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0"/>
            <w:vAlign w:val="center"/>
          </w:tcPr>
          <w:p w14:paraId="5337667D">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noWrap w:val="0"/>
            <w:vAlign w:val="center"/>
          </w:tcPr>
          <w:p w14:paraId="4BAAC7E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蔬菜/肉类/鱼类加工切配间</w:t>
            </w:r>
          </w:p>
        </w:tc>
        <w:tc>
          <w:tcPr>
            <w:tcW w:w="1031" w:type="dxa"/>
            <w:noWrap w:val="0"/>
            <w:vAlign w:val="center"/>
          </w:tcPr>
          <w:p w14:paraId="78DBC08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noWrap w:val="0"/>
            <w:vAlign w:val="center"/>
          </w:tcPr>
          <w:p w14:paraId="362384C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noWrap w:val="0"/>
            <w:vAlign w:val="center"/>
          </w:tcPr>
          <w:p w14:paraId="6311D1E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noWrap w:val="0"/>
            <w:vAlign w:val="center"/>
          </w:tcPr>
          <w:p w14:paraId="081F18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p>
        </w:tc>
      </w:tr>
      <w:tr w14:paraId="359D1D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285E81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04864150">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大单星盆台</w:t>
            </w:r>
          </w:p>
          <w:p w14:paraId="7D78892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mm；配置Φ38mm不锈钢可调节重力子弹脚，配优质不锈钢落水器、拦渣斗。</w:t>
            </w:r>
          </w:p>
          <w:p w14:paraId="2E517E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规格：1000×700×(800+150)</w:t>
            </w:r>
          </w:p>
        </w:tc>
        <w:tc>
          <w:tcPr>
            <w:tcW w:w="1031" w:type="dxa"/>
            <w:tcBorders>
              <w:left w:val="single" w:color="auto" w:sz="4" w:space="0"/>
              <w:right w:val="single" w:color="auto" w:sz="4" w:space="0"/>
            </w:tcBorders>
            <w:noWrap w:val="0"/>
            <w:vAlign w:val="center"/>
          </w:tcPr>
          <w:p w14:paraId="720769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07F0DD4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BD93FD5">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B52EE6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15240" b="12065"/>
                  <wp:docPr id="6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31"/>
                          <pic:cNvPicPr>
                            <a:picLocks noChangeAspect="1"/>
                          </pic:cNvPicPr>
                        </pic:nvPicPr>
                        <pic:blipFill>
                          <a:blip r:embed="rId13"/>
                          <a:stretch>
                            <a:fillRect/>
                          </a:stretch>
                        </pic:blipFill>
                        <pic:spPr>
                          <a:xfrm>
                            <a:off x="0" y="0"/>
                            <a:ext cx="632460" cy="578485"/>
                          </a:xfrm>
                          <a:prstGeom prst="rect">
                            <a:avLst/>
                          </a:prstGeom>
                          <a:noFill/>
                          <a:ln>
                            <a:noFill/>
                          </a:ln>
                        </pic:spPr>
                      </pic:pic>
                    </a:graphicData>
                  </a:graphic>
                </wp:inline>
              </w:drawing>
            </w:r>
          </w:p>
        </w:tc>
      </w:tr>
      <w:tr w14:paraId="050A1F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8D8AC8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6B17B47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双层平板工作台</w:t>
            </w:r>
          </w:p>
          <w:p w14:paraId="0070D47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（下衬12mm高密度板减噪）。下层板采用δ=1.0mm不锈钢板复边成型。加强筋δ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mm（配有可调子弹脚）。</w:t>
            </w:r>
          </w:p>
          <w:p w14:paraId="511E6FC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规格：1500×700×800</w:t>
            </w:r>
          </w:p>
        </w:tc>
        <w:tc>
          <w:tcPr>
            <w:tcW w:w="1031" w:type="dxa"/>
            <w:tcBorders>
              <w:left w:val="single" w:color="auto" w:sz="4" w:space="0"/>
              <w:right w:val="single" w:color="auto" w:sz="4" w:space="0"/>
            </w:tcBorders>
            <w:noWrap w:val="0"/>
            <w:vAlign w:val="center"/>
          </w:tcPr>
          <w:p w14:paraId="016A8C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8台</w:t>
            </w:r>
          </w:p>
        </w:tc>
        <w:tc>
          <w:tcPr>
            <w:tcW w:w="911" w:type="dxa"/>
            <w:tcBorders>
              <w:left w:val="single" w:color="auto" w:sz="4" w:space="0"/>
              <w:right w:val="single" w:color="auto" w:sz="4" w:space="0"/>
            </w:tcBorders>
            <w:noWrap w:val="0"/>
            <w:vAlign w:val="center"/>
          </w:tcPr>
          <w:p w14:paraId="533E459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F9DBC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F22FB9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35305" cy="365125"/>
                  <wp:effectExtent l="0" t="0" r="17145" b="15875"/>
                  <wp:docPr id="693" name="图片 23" descr="双层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23" descr="双层工作台"/>
                          <pic:cNvPicPr>
                            <a:picLocks noChangeAspect="1"/>
                          </pic:cNvPicPr>
                        </pic:nvPicPr>
                        <pic:blipFill>
                          <a:blip r:embed="rId14"/>
                          <a:stretch>
                            <a:fillRect/>
                          </a:stretch>
                        </pic:blipFill>
                        <pic:spPr>
                          <a:xfrm>
                            <a:off x="0" y="0"/>
                            <a:ext cx="535305" cy="365125"/>
                          </a:xfrm>
                          <a:prstGeom prst="rect">
                            <a:avLst/>
                          </a:prstGeom>
                          <a:noFill/>
                          <a:ln w="9525">
                            <a:noFill/>
                          </a:ln>
                        </pic:spPr>
                      </pic:pic>
                    </a:graphicData>
                  </a:graphic>
                </wp:inline>
              </w:drawing>
            </w:r>
          </w:p>
        </w:tc>
      </w:tr>
      <w:tr w14:paraId="06F71DF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38F15E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43DB67E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四层格栅架</w:t>
            </w:r>
          </w:p>
          <w:p w14:paraId="0221794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说明：选用SUS304-2B优质不锈钢板制作，骨架</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，￠38圆管，栅板δ</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0.8mm复边成条状，脚φ38×1.0mm（配有可调子弹脚）。</w:t>
            </w:r>
          </w:p>
          <w:p w14:paraId="5448C51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规格：1150×500×1550</w:t>
            </w:r>
          </w:p>
        </w:tc>
        <w:tc>
          <w:tcPr>
            <w:tcW w:w="1031" w:type="dxa"/>
            <w:tcBorders>
              <w:left w:val="single" w:color="auto" w:sz="4" w:space="0"/>
              <w:right w:val="single" w:color="auto" w:sz="4" w:space="0"/>
            </w:tcBorders>
            <w:noWrap w:val="0"/>
            <w:vAlign w:val="center"/>
          </w:tcPr>
          <w:p w14:paraId="7B696B8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6台</w:t>
            </w:r>
          </w:p>
        </w:tc>
        <w:tc>
          <w:tcPr>
            <w:tcW w:w="911" w:type="dxa"/>
            <w:tcBorders>
              <w:left w:val="single" w:color="auto" w:sz="4" w:space="0"/>
              <w:right w:val="single" w:color="auto" w:sz="4" w:space="0"/>
            </w:tcBorders>
            <w:noWrap w:val="0"/>
            <w:vAlign w:val="center"/>
          </w:tcPr>
          <w:p w14:paraId="1379978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AEF784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FBDD8D7">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51510" cy="579120"/>
                  <wp:effectExtent l="0" t="0" r="15240" b="11430"/>
                  <wp:docPr id="6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图片 4"/>
                          <pic:cNvPicPr>
                            <a:picLocks noChangeAspect="1"/>
                          </pic:cNvPicPr>
                        </pic:nvPicPr>
                        <pic:blipFill>
                          <a:blip r:embed="rId15"/>
                          <a:stretch>
                            <a:fillRect/>
                          </a:stretch>
                        </pic:blipFill>
                        <pic:spPr>
                          <a:xfrm>
                            <a:off x="0" y="0"/>
                            <a:ext cx="651510" cy="579120"/>
                          </a:xfrm>
                          <a:prstGeom prst="rect">
                            <a:avLst/>
                          </a:prstGeom>
                          <a:noFill/>
                          <a:ln>
                            <a:noFill/>
                          </a:ln>
                        </pic:spPr>
                      </pic:pic>
                    </a:graphicData>
                  </a:graphic>
                </wp:inline>
              </w:drawing>
            </w:r>
          </w:p>
        </w:tc>
      </w:tr>
      <w:tr w14:paraId="30444D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8AF679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3F3A539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多功能切菜机</w:t>
            </w:r>
          </w:p>
          <w:p w14:paraId="0EF590B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电压功率：220v/1.5KW</w:t>
            </w:r>
          </w:p>
          <w:p w14:paraId="5F66C9D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生产能力： 500-1000KG/H(叶菜)/300-1000KG/H(根茎)</w:t>
            </w:r>
          </w:p>
          <w:p w14:paraId="0D737EB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叶菜切段规格：1-60mm(可调)</w:t>
            </w:r>
          </w:p>
          <w:p w14:paraId="5659FF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球茎切菜规格：标配3mm厚切斜片刀盘（可订做切片2-8mm厚切片刀盘）</w:t>
            </w:r>
          </w:p>
          <w:p w14:paraId="72D08BD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              标配3mm粗斜切丝刀盘（可订做切片2-10mm斜切丝刀盘）</w:t>
            </w:r>
          </w:p>
          <w:p w14:paraId="7248C0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           标配12mm立方切丁刀盘组合（可订做切丁规格6/8/10/12/15/20/25立方毫米)</w:t>
            </w:r>
          </w:p>
          <w:p w14:paraId="30AE6E6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传送带宽： 120mm</w:t>
            </w:r>
          </w:p>
          <w:p w14:paraId="0CE6409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机器材质：整体SUS304不锈钢。 </w:t>
            </w:r>
          </w:p>
          <w:p w14:paraId="689D09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机器净重：</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140KG</w:t>
            </w:r>
          </w:p>
          <w:p w14:paraId="2F45D39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机器尺寸： 1350×600×1400mm</w:t>
            </w:r>
            <w:r>
              <w:rPr>
                <w:rFonts w:hint="eastAsia" w:ascii="Arial" w:hAnsi="Arial" w:eastAsia="宋体" w:cs="Arial"/>
                <w:color w:val="000000"/>
                <w:kern w:val="2"/>
                <w:sz w:val="20"/>
                <w:szCs w:val="24"/>
                <w:lang w:val="en-US" w:eastAsia="zh-CN" w:bidi="ar"/>
              </w:rPr>
              <w:t>(±5%)</w:t>
            </w:r>
          </w:p>
          <w:p w14:paraId="3B403AD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机器需加大料斗，便于入料</w:t>
            </w:r>
          </w:p>
          <w:p w14:paraId="4F26F09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加高机身，便于出料</w:t>
            </w:r>
          </w:p>
          <w:p w14:paraId="50377E1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传送带一侧：通过调节传送带步进速度和圆刀转速，可加工包菜丝，洋葱丝，黄瓜莴笋圆片，蒜苗，缸豆段，酸豆角丁，芹菜，白菜，大葱圈，小葱花，韭菜花，菠菜段等绝大多数叶类菜和长条形菜</w:t>
            </w:r>
          </w:p>
          <w:p w14:paraId="68375E8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球根茎一侧，通过更换不同功能刀盘可将土豆，红薯，萝卜，胡萝卜，黄瓜，莴笋等 球根茎食材加工成丝（条），片，丁（块）</w:t>
            </w:r>
          </w:p>
          <w:p w14:paraId="6AFF658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★所投</w:t>
            </w:r>
            <w:r>
              <w:rPr>
                <w:rFonts w:hint="eastAsia" w:ascii="宋体" w:hAnsi="宋体" w:cs="宋体"/>
                <w:b/>
                <w:bCs/>
                <w:color w:val="000000"/>
                <w:kern w:val="2"/>
                <w:sz w:val="21"/>
                <w:szCs w:val="21"/>
                <w:highlight w:val="none"/>
                <w:lang w:val="en-US" w:eastAsia="zh-CN" w:bidi="ar"/>
              </w:rPr>
              <w:t>切菜机</w:t>
            </w:r>
            <w:r>
              <w:rPr>
                <w:rFonts w:hint="eastAsia" w:ascii="宋体" w:hAnsi="宋体" w:eastAsia="宋体" w:cs="宋体"/>
                <w:b/>
                <w:bCs/>
                <w:color w:val="000000"/>
                <w:kern w:val="2"/>
                <w:sz w:val="21"/>
                <w:szCs w:val="21"/>
                <w:highlight w:val="none"/>
                <w:lang w:val="en-US" w:eastAsia="zh-CN" w:bidi="ar"/>
              </w:rPr>
              <w:t>提供内壁和刀片，符合GB4806.1-2016，GB4806.7-2023，GB4806.9-2023食品接触安全检测标准，检验合格。 (需提供经国家认可的检测机构出具的在其“认可的检测能力范围”内带“CMA，CNAS”标识的检测报告，不提供或不同时满足视为负偏离）。</w:t>
            </w:r>
          </w:p>
        </w:tc>
        <w:tc>
          <w:tcPr>
            <w:tcW w:w="1031" w:type="dxa"/>
            <w:tcBorders>
              <w:left w:val="single" w:color="auto" w:sz="4" w:space="0"/>
              <w:right w:val="single" w:color="auto" w:sz="4" w:space="0"/>
            </w:tcBorders>
            <w:noWrap w:val="0"/>
            <w:vAlign w:val="center"/>
          </w:tcPr>
          <w:p w14:paraId="3D2B08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414025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E7CBA1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41B7C8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FF0000"/>
                <w:sz w:val="21"/>
                <w:szCs w:val="21"/>
                <w:highlight w:val="none"/>
              </w:rPr>
              <w:fldChar w:fldCharType="begin"/>
            </w:r>
            <w:r>
              <w:rPr>
                <w:rFonts w:hint="eastAsia" w:ascii="宋体" w:hAnsi="宋体" w:eastAsia="宋体" w:cs="宋体"/>
                <w:b w:val="0"/>
                <w:bCs/>
                <w:color w:val="FF0000"/>
                <w:sz w:val="21"/>
                <w:szCs w:val="21"/>
                <w:highlight w:val="none"/>
              </w:rPr>
              <w:instrText xml:space="preserve"> INCLUDEPICTURE "C:\\Users\\Administrator.WIN-THNQ4B0AHS5\\AppData\\Roaming\\Tencent\\Users\\88462000\\QQ\\WinTemp\\RichOle\\495X$1`1F`9YXA5ZYPUC[NC.png" \* MERGEFORMAT </w:instrText>
            </w:r>
            <w:r>
              <w:rPr>
                <w:rFonts w:hint="eastAsia" w:ascii="宋体" w:hAnsi="宋体" w:eastAsia="宋体" w:cs="宋体"/>
                <w:b w:val="0"/>
                <w:bCs/>
                <w:color w:val="FF0000"/>
                <w:sz w:val="21"/>
                <w:szCs w:val="21"/>
                <w:highlight w:val="none"/>
              </w:rPr>
              <w:fldChar w:fldCharType="separate"/>
            </w:r>
            <w:r>
              <w:rPr>
                <w:rFonts w:hint="eastAsia" w:ascii="宋体" w:hAnsi="宋体" w:eastAsia="宋体" w:cs="宋体"/>
                <w:b w:val="0"/>
                <w:bCs/>
                <w:color w:val="FF0000"/>
                <w:sz w:val="21"/>
                <w:szCs w:val="21"/>
                <w:highlight w:val="none"/>
              </w:rPr>
              <w:drawing>
                <wp:inline distT="0" distB="0" distL="114300" distR="114300">
                  <wp:extent cx="383540" cy="467995"/>
                  <wp:effectExtent l="0" t="0" r="16510" b="8255"/>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6"/>
                          <a:stretch>
                            <a:fillRect/>
                          </a:stretch>
                        </pic:blipFill>
                        <pic:spPr>
                          <a:xfrm>
                            <a:off x="0" y="0"/>
                            <a:ext cx="383540" cy="467995"/>
                          </a:xfrm>
                          <a:prstGeom prst="rect">
                            <a:avLst/>
                          </a:prstGeom>
                          <a:noFill/>
                          <a:ln>
                            <a:noFill/>
                          </a:ln>
                        </pic:spPr>
                      </pic:pic>
                    </a:graphicData>
                  </a:graphic>
                </wp:inline>
              </w:drawing>
            </w:r>
            <w:r>
              <w:rPr>
                <w:rFonts w:hint="eastAsia" w:ascii="宋体" w:hAnsi="宋体" w:eastAsia="宋体" w:cs="宋体"/>
                <w:b w:val="0"/>
                <w:bCs/>
                <w:color w:val="FF0000"/>
                <w:sz w:val="21"/>
                <w:szCs w:val="21"/>
                <w:highlight w:val="none"/>
              </w:rPr>
              <w:fldChar w:fldCharType="end"/>
            </w:r>
          </w:p>
        </w:tc>
      </w:tr>
      <w:tr w14:paraId="76CCEFC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08A0226">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67AB37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四门双温</w:t>
            </w:r>
          </w:p>
          <w:p w14:paraId="2BA080F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冷藏温度：+4～-5℃</w:t>
            </w:r>
          </w:p>
          <w:p w14:paraId="511D701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冷冻温度：-3～-18℃</w:t>
            </w:r>
          </w:p>
          <w:p w14:paraId="71CAB23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压缩机、温控器、微电脑控制面板，全铜管制造，优质不锈钢加厚板材，板材表面无指纹处理，经久耐锈，自动回归门，硬质聚氨酯整体发泡，加厚保温层，箱体强度高，提高承重能力，底板、门衬板为一次性拉伸成型，内箱底板拐角处圆弧过渡，无卫生死角便于清洁。</w:t>
            </w:r>
          </w:p>
          <w:p w14:paraId="015E0B9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规格：1200×705×1950</w:t>
            </w:r>
          </w:p>
        </w:tc>
        <w:tc>
          <w:tcPr>
            <w:tcW w:w="1031" w:type="dxa"/>
            <w:tcBorders>
              <w:left w:val="single" w:color="auto" w:sz="4" w:space="0"/>
              <w:right w:val="single" w:color="auto" w:sz="4" w:space="0"/>
            </w:tcBorders>
            <w:noWrap w:val="0"/>
            <w:vAlign w:val="center"/>
          </w:tcPr>
          <w:p w14:paraId="3EFC74B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4台</w:t>
            </w:r>
          </w:p>
        </w:tc>
        <w:tc>
          <w:tcPr>
            <w:tcW w:w="911" w:type="dxa"/>
            <w:tcBorders>
              <w:left w:val="single" w:color="auto" w:sz="4" w:space="0"/>
              <w:right w:val="single" w:color="auto" w:sz="4" w:space="0"/>
            </w:tcBorders>
            <w:noWrap w:val="0"/>
            <w:vAlign w:val="center"/>
          </w:tcPr>
          <w:p w14:paraId="70B96AE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843F26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2C5FD7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drawing>
                <wp:inline distT="0" distB="0" distL="114300" distR="114300">
                  <wp:extent cx="576580" cy="801370"/>
                  <wp:effectExtent l="0" t="0" r="13970" b="17780"/>
                  <wp:docPr id="13" name="图片 2" descr="1587486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1587486766(1)"/>
                          <pic:cNvPicPr>
                            <a:picLocks noChangeAspect="1"/>
                          </pic:cNvPicPr>
                        </pic:nvPicPr>
                        <pic:blipFill>
                          <a:blip r:embed="rId17" cstate="print"/>
                          <a:stretch>
                            <a:fillRect/>
                          </a:stretch>
                        </pic:blipFill>
                        <pic:spPr>
                          <a:xfrm>
                            <a:off x="0" y="0"/>
                            <a:ext cx="576580" cy="801370"/>
                          </a:xfrm>
                          <a:prstGeom prst="rect">
                            <a:avLst/>
                          </a:prstGeom>
                          <a:noFill/>
                          <a:ln w="9525">
                            <a:noFill/>
                          </a:ln>
                        </pic:spPr>
                      </pic:pic>
                    </a:graphicData>
                  </a:graphic>
                </wp:inline>
              </w:drawing>
            </w:r>
          </w:p>
        </w:tc>
      </w:tr>
      <w:tr w14:paraId="58E1EE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AFB175D">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000000" w:themeColor="text1"/>
                <w:sz w:val="21"/>
                <w:szCs w:val="21"/>
                <w:highlight w:val="none"/>
                <w14:textFill>
                  <w14:solidFill>
                    <w14:schemeClr w14:val="tx1"/>
                  </w14:solidFill>
                </w14:textFill>
              </w:rPr>
            </w:pPr>
          </w:p>
        </w:tc>
        <w:tc>
          <w:tcPr>
            <w:tcW w:w="4209" w:type="dxa"/>
            <w:tcBorders>
              <w:left w:val="single" w:color="auto" w:sz="4" w:space="0"/>
              <w:right w:val="single" w:color="auto" w:sz="4" w:space="0"/>
            </w:tcBorders>
            <w:noWrap w:val="0"/>
            <w:vAlign w:val="center"/>
          </w:tcPr>
          <w:p w14:paraId="38EF20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双门刀具消毒柜</w:t>
            </w:r>
          </w:p>
          <w:p w14:paraId="3FBE97A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说明：采用优质发纹贴塑不锈钢板制作，台面δ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mm，工具消毒柜采用双开门推车设计。</w:t>
            </w:r>
          </w:p>
          <w:p w14:paraId="2683A3C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烘干方式：风轮</w:t>
            </w:r>
          </w:p>
          <w:p w14:paraId="41CF896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消毒刀数量：10把</w:t>
            </w:r>
          </w:p>
          <w:p w14:paraId="4BF56A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消毒砧板数量：10块</w:t>
            </w:r>
          </w:p>
          <w:p w14:paraId="2FF41AB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规格：1200×700×1200</w:t>
            </w:r>
          </w:p>
        </w:tc>
        <w:tc>
          <w:tcPr>
            <w:tcW w:w="1031" w:type="dxa"/>
            <w:tcBorders>
              <w:left w:val="single" w:color="auto" w:sz="4" w:space="0"/>
              <w:right w:val="single" w:color="auto" w:sz="4" w:space="0"/>
            </w:tcBorders>
            <w:noWrap w:val="0"/>
            <w:vAlign w:val="center"/>
          </w:tcPr>
          <w:p w14:paraId="6ED0050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743E2A0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D3B050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626B60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drawing>
                <wp:inline distT="0" distB="0" distL="114300" distR="114300">
                  <wp:extent cx="737870" cy="737870"/>
                  <wp:effectExtent l="0" t="0" r="5080" b="5080"/>
                  <wp:docPr id="15" name="图片 15" descr="168844882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8448821819"/>
                          <pic:cNvPicPr>
                            <a:picLocks noChangeAspect="1"/>
                          </pic:cNvPicPr>
                        </pic:nvPicPr>
                        <pic:blipFill>
                          <a:blip r:embed="rId18"/>
                          <a:stretch>
                            <a:fillRect/>
                          </a:stretch>
                        </pic:blipFill>
                        <pic:spPr>
                          <a:xfrm>
                            <a:off x="0" y="0"/>
                            <a:ext cx="737870" cy="737870"/>
                          </a:xfrm>
                          <a:prstGeom prst="rect">
                            <a:avLst/>
                          </a:prstGeom>
                        </pic:spPr>
                      </pic:pic>
                    </a:graphicData>
                  </a:graphic>
                </wp:inline>
              </w:drawing>
            </w:r>
          </w:p>
        </w:tc>
      </w:tr>
      <w:tr w14:paraId="4F0F5DA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0A58C1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6EF2271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全不锈钢绞切肉机</w:t>
            </w:r>
          </w:p>
          <w:p w14:paraId="027FD8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用电量：220V/2.2KW。</w:t>
            </w:r>
          </w:p>
          <w:p w14:paraId="73BC2F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切片产量：</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450kg/h</w:t>
            </w:r>
          </w:p>
          <w:p w14:paraId="6F4A4A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绞肉产量：</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180kg/h</w:t>
            </w:r>
          </w:p>
          <w:p w14:paraId="346ECB7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切丝产量：</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225kg/h</w:t>
            </w:r>
          </w:p>
          <w:p w14:paraId="339CB78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重量：</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89kg</w:t>
            </w:r>
          </w:p>
          <w:p w14:paraId="5AA8917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规格：560×680×890</w:t>
            </w:r>
            <w:r>
              <w:rPr>
                <w:rFonts w:hint="eastAsia" w:ascii="Arial" w:hAnsi="Arial" w:eastAsia="宋体" w:cs="Arial"/>
                <w:color w:val="000000"/>
                <w:kern w:val="2"/>
                <w:sz w:val="20"/>
                <w:szCs w:val="24"/>
                <w:highlight w:val="none"/>
                <w:lang w:val="en-US" w:eastAsia="zh-CN" w:bidi="ar"/>
              </w:rPr>
              <w:t>(±5%)</w:t>
            </w:r>
          </w:p>
        </w:tc>
        <w:tc>
          <w:tcPr>
            <w:tcW w:w="1031" w:type="dxa"/>
            <w:tcBorders>
              <w:left w:val="single" w:color="auto" w:sz="4" w:space="0"/>
              <w:right w:val="single" w:color="auto" w:sz="4" w:space="0"/>
            </w:tcBorders>
            <w:noWrap w:val="0"/>
            <w:vAlign w:val="center"/>
          </w:tcPr>
          <w:p w14:paraId="3DDCC53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2664A74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954472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C5963C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drawing>
                <wp:inline distT="0" distB="0" distL="114300" distR="114300">
                  <wp:extent cx="366395" cy="479425"/>
                  <wp:effectExtent l="0" t="0" r="14605" b="15875"/>
                  <wp:docPr id="38" name="图片 38" descr="e71dab5d8e4ac0e213b695f9354d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71dab5d8e4ac0e213b695f9354db92"/>
                          <pic:cNvPicPr>
                            <a:picLocks noChangeAspect="1"/>
                          </pic:cNvPicPr>
                        </pic:nvPicPr>
                        <pic:blipFill>
                          <a:blip r:embed="rId19"/>
                          <a:stretch>
                            <a:fillRect/>
                          </a:stretch>
                        </pic:blipFill>
                        <pic:spPr>
                          <a:xfrm>
                            <a:off x="0" y="0"/>
                            <a:ext cx="366395" cy="479425"/>
                          </a:xfrm>
                          <a:prstGeom prst="rect">
                            <a:avLst/>
                          </a:prstGeom>
                        </pic:spPr>
                      </pic:pic>
                    </a:graphicData>
                  </a:graphic>
                </wp:inline>
              </w:drawing>
            </w:r>
          </w:p>
        </w:tc>
      </w:tr>
      <w:tr w14:paraId="46087AA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227C4FE">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118DFA82">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FF0000"/>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双星连盆台 </w:t>
            </w:r>
          </w:p>
          <w:p w14:paraId="1F6E36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说明：采用SUS304-2B优质发纹贴塑不锈钢板制作，台面</w:t>
            </w:r>
            <w:r>
              <w:rPr>
                <w:rFonts w:hint="eastAsia" w:ascii="宋体" w:hAnsi="宋体" w:cs="宋体"/>
                <w:color w:val="auto"/>
                <w:kern w:val="2"/>
                <w:sz w:val="21"/>
                <w:szCs w:val="21"/>
                <w:highlight w:val="none"/>
                <w:lang w:val="en-US" w:eastAsia="zh-CN" w:bidi="ar"/>
              </w:rPr>
              <w:t>δ≥1.1mm</w:t>
            </w:r>
            <w:r>
              <w:rPr>
                <w:rFonts w:hint="eastAsia" w:ascii="宋体" w:hAnsi="宋体" w:eastAsia="宋体" w:cs="宋体"/>
                <w:color w:val="auto"/>
                <w:kern w:val="2"/>
                <w:sz w:val="21"/>
                <w:szCs w:val="21"/>
                <w:highlight w:val="none"/>
                <w:lang w:val="en-US" w:eastAsia="zh-CN" w:bidi="ar"/>
              </w:rPr>
              <w:t>，星盆斗</w:t>
            </w:r>
            <w:r>
              <w:rPr>
                <w:rFonts w:hint="eastAsia" w:ascii="宋体" w:hAnsi="宋体" w:cs="宋体"/>
                <w:color w:val="auto"/>
                <w:kern w:val="2"/>
                <w:sz w:val="21"/>
                <w:szCs w:val="21"/>
                <w:highlight w:val="none"/>
                <w:lang w:val="en-US" w:eastAsia="zh-CN" w:bidi="ar"/>
              </w:rPr>
              <w:t>δ≥1.1mm</w:t>
            </w:r>
            <w:r>
              <w:rPr>
                <w:rFonts w:hint="eastAsia" w:ascii="宋体" w:hAnsi="宋体" w:eastAsia="宋体" w:cs="宋体"/>
                <w:color w:val="auto"/>
                <w:kern w:val="2"/>
                <w:sz w:val="21"/>
                <w:szCs w:val="21"/>
                <w:highlight w:val="none"/>
                <w:lang w:val="en-US" w:eastAsia="zh-CN" w:bidi="ar"/>
              </w:rPr>
              <w:t>，配置Φ38mm不锈钢可调节重力子弹脚，配优质不锈钢落水器、拦渣斗。</w:t>
            </w:r>
          </w:p>
          <w:p w14:paraId="5AED6F2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规格：1500×700×（800+150</w:t>
            </w:r>
            <w:r>
              <w:rPr>
                <w:rFonts w:hint="eastAsia" w:ascii="宋体" w:hAnsi="宋体" w:cs="宋体"/>
                <w:color w:val="auto"/>
                <w:kern w:val="2"/>
                <w:sz w:val="21"/>
                <w:szCs w:val="21"/>
                <w:highlight w:val="none"/>
                <w:lang w:val="en-US" w:eastAsia="zh-CN" w:bidi="ar"/>
              </w:rPr>
              <w:t>）</w:t>
            </w:r>
          </w:p>
        </w:tc>
        <w:tc>
          <w:tcPr>
            <w:tcW w:w="1031" w:type="dxa"/>
            <w:tcBorders>
              <w:left w:val="single" w:color="auto" w:sz="4" w:space="0"/>
              <w:right w:val="single" w:color="auto" w:sz="4" w:space="0"/>
            </w:tcBorders>
            <w:noWrap w:val="0"/>
            <w:vAlign w:val="center"/>
          </w:tcPr>
          <w:p w14:paraId="5A3BE9A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5B34D24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760144D">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auto"/>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1E4A351">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anchor distT="0" distB="0" distL="114300" distR="114300" simplePos="0" relativeHeight="251661312" behindDoc="0" locked="0" layoutInCell="1" allowOverlap="1">
                  <wp:simplePos x="0" y="0"/>
                  <wp:positionH relativeFrom="column">
                    <wp:posOffset>-31115</wp:posOffset>
                  </wp:positionH>
                  <wp:positionV relativeFrom="paragraph">
                    <wp:posOffset>268605</wp:posOffset>
                  </wp:positionV>
                  <wp:extent cx="692150" cy="510540"/>
                  <wp:effectExtent l="0" t="0" r="12700" b="3810"/>
                  <wp:wrapNone/>
                  <wp:docPr id="65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7"/>
                          <pic:cNvPicPr>
                            <a:picLocks noChangeAspect="1"/>
                          </pic:cNvPicPr>
                        </pic:nvPicPr>
                        <pic:blipFill>
                          <a:blip r:embed="rId20"/>
                          <a:stretch>
                            <a:fillRect/>
                          </a:stretch>
                        </pic:blipFill>
                        <pic:spPr>
                          <a:xfrm>
                            <a:off x="0" y="0"/>
                            <a:ext cx="692150" cy="510540"/>
                          </a:xfrm>
                          <a:prstGeom prst="rect">
                            <a:avLst/>
                          </a:prstGeom>
                          <a:noFill/>
                          <a:ln>
                            <a:noFill/>
                          </a:ln>
                        </pic:spPr>
                      </pic:pic>
                    </a:graphicData>
                  </a:graphic>
                </wp:anchor>
              </w:drawing>
            </w:r>
            <w:r>
              <w:rPr>
                <w:rFonts w:hint="eastAsia" w:ascii="宋体" w:hAnsi="宋体" w:eastAsia="宋体" w:cs="宋体"/>
                <w:color w:val="auto"/>
                <w:sz w:val="21"/>
                <w:szCs w:val="21"/>
                <w:highlight w:val="none"/>
                <w:lang w:val="en-US" w:eastAsia="zh-CN"/>
              </w:rPr>
              <w:t xml:space="preserve">  </w:t>
            </w:r>
          </w:p>
        </w:tc>
      </w:tr>
      <w:tr w14:paraId="071299E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25" w:hRule="atLeast"/>
          <w:jc w:val="center"/>
        </w:trPr>
        <w:tc>
          <w:tcPr>
            <w:tcW w:w="649" w:type="dxa"/>
            <w:tcBorders>
              <w:left w:val="single" w:color="auto" w:sz="4" w:space="0"/>
              <w:right w:val="single" w:color="auto" w:sz="4" w:space="0"/>
            </w:tcBorders>
            <w:noWrap w:val="0"/>
            <w:vAlign w:val="center"/>
          </w:tcPr>
          <w:p w14:paraId="2DEDE80D">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8F4353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残菜通车</w:t>
            </w:r>
          </w:p>
          <w:p w14:paraId="2AF5CD6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，加强筋采用</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430不锈钢板,脚φ41×1.0mm配有可调子弹脚，（车、桶、台配套）。</w:t>
            </w:r>
          </w:p>
          <w:p w14:paraId="669D657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规格：600×700×(800+150) </w:t>
            </w:r>
          </w:p>
        </w:tc>
        <w:tc>
          <w:tcPr>
            <w:tcW w:w="1031" w:type="dxa"/>
            <w:tcBorders>
              <w:left w:val="single" w:color="auto" w:sz="4" w:space="0"/>
              <w:right w:val="single" w:color="auto" w:sz="4" w:space="0"/>
            </w:tcBorders>
            <w:noWrap w:val="0"/>
            <w:vAlign w:val="center"/>
          </w:tcPr>
          <w:p w14:paraId="71E4B7D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19CBC1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AA7CB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75C5E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黑体" w:hAnsi="黑体" w:eastAsia="黑体" w:cs="黑体"/>
                <w:color w:val="auto"/>
                <w:sz w:val="21"/>
                <w:szCs w:val="21"/>
                <w:highlight w:val="none"/>
              </w:rPr>
              <w:drawing>
                <wp:inline distT="0" distB="0" distL="114300" distR="114300">
                  <wp:extent cx="457835" cy="437515"/>
                  <wp:effectExtent l="0" t="0" r="18415" b="635"/>
                  <wp:docPr id="46" name="图片 1"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泔水台车 副本"/>
                          <pic:cNvPicPr>
                            <a:picLocks noChangeAspect="1"/>
                          </pic:cNvPicPr>
                        </pic:nvPicPr>
                        <pic:blipFill>
                          <a:blip r:embed="rId21"/>
                          <a:stretch>
                            <a:fillRect/>
                          </a:stretch>
                        </pic:blipFill>
                        <pic:spPr>
                          <a:xfrm>
                            <a:off x="0" y="0"/>
                            <a:ext cx="457835" cy="437515"/>
                          </a:xfrm>
                          <a:prstGeom prst="rect">
                            <a:avLst/>
                          </a:prstGeom>
                          <a:noFill/>
                          <a:ln>
                            <a:noFill/>
                          </a:ln>
                        </pic:spPr>
                      </pic:pic>
                    </a:graphicData>
                  </a:graphic>
                </wp:inline>
              </w:drawing>
            </w:r>
            <w:r>
              <w:rPr>
                <w:rFonts w:hint="eastAsia" w:ascii="宋体" w:hAnsi="宋体" w:eastAsia="宋体" w:cs="宋体"/>
                <w:color w:val="auto"/>
                <w:sz w:val="21"/>
                <w:szCs w:val="21"/>
                <w:highlight w:val="none"/>
                <w:lang w:val="en-US" w:eastAsia="zh-CN"/>
              </w:rPr>
              <w:t xml:space="preserve">       </w:t>
            </w:r>
          </w:p>
        </w:tc>
      </w:tr>
      <w:tr w14:paraId="222791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719A9F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40716A6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右单星剖鱼盆台</w:t>
            </w:r>
          </w:p>
          <w:p w14:paraId="0012468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mm；配置Φ38mm不锈钢可调节重力子弹脚，配优质不锈钢落水器、拦渣斗。</w:t>
            </w:r>
          </w:p>
          <w:p w14:paraId="2E8EFB0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规格：1500×700×(800+150)          </w:t>
            </w:r>
          </w:p>
        </w:tc>
        <w:tc>
          <w:tcPr>
            <w:tcW w:w="1031" w:type="dxa"/>
            <w:tcBorders>
              <w:left w:val="single" w:color="auto" w:sz="4" w:space="0"/>
              <w:right w:val="single" w:color="auto" w:sz="4" w:space="0"/>
            </w:tcBorders>
            <w:noWrap w:val="0"/>
            <w:vAlign w:val="center"/>
          </w:tcPr>
          <w:p w14:paraId="7654787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3114406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DC6C6E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B48ED2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50875" cy="625475"/>
                  <wp:effectExtent l="0" t="0" r="15875" b="3175"/>
                  <wp:docPr id="66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8"/>
                          <pic:cNvPicPr>
                            <a:picLocks noChangeAspect="1"/>
                          </pic:cNvPicPr>
                        </pic:nvPicPr>
                        <pic:blipFill>
                          <a:blip r:embed="rId22"/>
                          <a:stretch>
                            <a:fillRect/>
                          </a:stretch>
                        </pic:blipFill>
                        <pic:spPr>
                          <a:xfrm>
                            <a:off x="0" y="0"/>
                            <a:ext cx="650875" cy="625475"/>
                          </a:xfrm>
                          <a:prstGeom prst="rect">
                            <a:avLst/>
                          </a:prstGeom>
                          <a:noFill/>
                          <a:ln>
                            <a:noFill/>
                          </a:ln>
                        </pic:spPr>
                      </pic:pic>
                    </a:graphicData>
                  </a:graphic>
                </wp:inline>
              </w:drawing>
            </w:r>
          </w:p>
        </w:tc>
      </w:tr>
      <w:tr w14:paraId="204CB2B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60BD23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39EA66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左单星剖鱼盆台</w:t>
            </w:r>
          </w:p>
          <w:p w14:paraId="4664A6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mm；配置Φ38mm不锈钢可调节重力子弹脚，配优质不锈钢落水器、拦渣斗。</w:t>
            </w:r>
          </w:p>
          <w:p w14:paraId="5D781D7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规格：1500×700×(800+150)          </w:t>
            </w:r>
          </w:p>
        </w:tc>
        <w:tc>
          <w:tcPr>
            <w:tcW w:w="1031" w:type="dxa"/>
            <w:tcBorders>
              <w:left w:val="single" w:color="auto" w:sz="4" w:space="0"/>
              <w:right w:val="single" w:color="auto" w:sz="4" w:space="0"/>
            </w:tcBorders>
            <w:noWrap w:val="0"/>
            <w:vAlign w:val="center"/>
          </w:tcPr>
          <w:p w14:paraId="2E317D0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35DA07C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71428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A1BCA3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50875" cy="625475"/>
                  <wp:effectExtent l="0" t="0" r="15875" b="317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2"/>
                          <a:stretch>
                            <a:fillRect/>
                          </a:stretch>
                        </pic:blipFill>
                        <pic:spPr>
                          <a:xfrm>
                            <a:off x="0" y="0"/>
                            <a:ext cx="650875" cy="625475"/>
                          </a:xfrm>
                          <a:prstGeom prst="rect">
                            <a:avLst/>
                          </a:prstGeom>
                          <a:noFill/>
                          <a:ln>
                            <a:noFill/>
                          </a:ln>
                        </pic:spPr>
                      </pic:pic>
                    </a:graphicData>
                  </a:graphic>
                </wp:inline>
              </w:drawing>
            </w:r>
          </w:p>
        </w:tc>
      </w:tr>
      <w:tr w14:paraId="4853F1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E89DDA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0D2E44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全自动电开水器（商用）</w:t>
            </w:r>
          </w:p>
          <w:p w14:paraId="66BCDD1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说明：整机用不锈钢制造，沸腾式结构，一次煮沸，绝无生水混合，水不开出不来，全自动控制，有断电保护装置。</w:t>
            </w:r>
          </w:p>
          <w:p w14:paraId="4FCB904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容量：</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80L</w:t>
            </w:r>
          </w:p>
          <w:p w14:paraId="5F90D45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供水量：</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120L/h</w:t>
            </w:r>
          </w:p>
          <w:p w14:paraId="4E5850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功率：12kw</w:t>
            </w:r>
          </w:p>
          <w:p w14:paraId="11F0AC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电压：380V</w:t>
            </w:r>
          </w:p>
          <w:p w14:paraId="3995C1E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开水器规格：590×450×980mm</w:t>
            </w:r>
            <w:r>
              <w:rPr>
                <w:rFonts w:hint="eastAsia" w:ascii="Arial" w:hAnsi="Arial" w:eastAsia="宋体" w:cs="Arial"/>
                <w:color w:val="000000"/>
                <w:kern w:val="2"/>
                <w:sz w:val="20"/>
                <w:szCs w:val="24"/>
                <w:lang w:val="en-US" w:eastAsia="zh-CN" w:bidi="ar"/>
              </w:rPr>
              <w:t>(±5%)</w:t>
            </w:r>
          </w:p>
        </w:tc>
        <w:tc>
          <w:tcPr>
            <w:tcW w:w="1031" w:type="dxa"/>
            <w:tcBorders>
              <w:left w:val="single" w:color="auto" w:sz="4" w:space="0"/>
              <w:right w:val="single" w:color="auto" w:sz="4" w:space="0"/>
            </w:tcBorders>
            <w:noWrap w:val="0"/>
            <w:vAlign w:val="center"/>
          </w:tcPr>
          <w:p w14:paraId="0166ECE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08FF644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B8853E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1569B2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324485" cy="412750"/>
                  <wp:effectExtent l="0" t="0" r="18415" b="6350"/>
                  <wp:docPr id="676" name="图片 51"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51" descr="开水器连座架"/>
                          <pic:cNvPicPr>
                            <a:picLocks noChangeAspect="1"/>
                          </pic:cNvPicPr>
                        </pic:nvPicPr>
                        <pic:blipFill>
                          <a:blip r:embed="rId23"/>
                          <a:stretch>
                            <a:fillRect/>
                          </a:stretch>
                        </pic:blipFill>
                        <pic:spPr>
                          <a:xfrm>
                            <a:off x="0" y="0"/>
                            <a:ext cx="324485" cy="412750"/>
                          </a:xfrm>
                          <a:prstGeom prst="rect">
                            <a:avLst/>
                          </a:prstGeom>
                          <a:noFill/>
                          <a:ln w="9525">
                            <a:noFill/>
                          </a:ln>
                        </pic:spPr>
                      </pic:pic>
                    </a:graphicData>
                  </a:graphic>
                </wp:inline>
              </w:drawing>
            </w:r>
          </w:p>
        </w:tc>
      </w:tr>
      <w:tr w14:paraId="64E23C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5DE5FDD">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1C4DF51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烹饪间</w:t>
            </w:r>
          </w:p>
        </w:tc>
        <w:tc>
          <w:tcPr>
            <w:tcW w:w="1031" w:type="dxa"/>
            <w:tcBorders>
              <w:left w:val="single" w:color="auto" w:sz="4" w:space="0"/>
              <w:right w:val="single" w:color="auto" w:sz="4" w:space="0"/>
            </w:tcBorders>
            <w:noWrap w:val="0"/>
            <w:vAlign w:val="center"/>
          </w:tcPr>
          <w:p w14:paraId="6132E2E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3909037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02F905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6EFC8F3">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p>
        </w:tc>
      </w:tr>
      <w:tr w14:paraId="27ADEC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6BADD5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09622B7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四层格栅围网单通层架</w:t>
            </w:r>
          </w:p>
          <w:p w14:paraId="5892BF9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说明：选用SUS304-2B优质不锈钢板制作，骨架δ≥1.10mm，￠38圆管，栅板δ≥0.9mm复边成条状，脚φ38×1.0mm（配有可调子弹脚）。</w:t>
            </w:r>
          </w:p>
          <w:p w14:paraId="552E6D8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规格：1500×800×1550</w:t>
            </w:r>
          </w:p>
        </w:tc>
        <w:tc>
          <w:tcPr>
            <w:tcW w:w="1031" w:type="dxa"/>
            <w:tcBorders>
              <w:left w:val="single" w:color="auto" w:sz="4" w:space="0"/>
              <w:right w:val="single" w:color="auto" w:sz="4" w:space="0"/>
            </w:tcBorders>
            <w:noWrap w:val="0"/>
            <w:vAlign w:val="center"/>
          </w:tcPr>
          <w:p w14:paraId="18D2FA1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7064E72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70555A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4DDD758">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4" w:righ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51510" cy="579120"/>
                  <wp:effectExtent l="0" t="0" r="15240" b="1143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651510" cy="579120"/>
                          </a:xfrm>
                          <a:prstGeom prst="rect">
                            <a:avLst/>
                          </a:prstGeom>
                          <a:noFill/>
                          <a:ln>
                            <a:noFill/>
                          </a:ln>
                        </pic:spPr>
                      </pic:pic>
                    </a:graphicData>
                  </a:graphic>
                </wp:inline>
              </w:drawing>
            </w:r>
          </w:p>
        </w:tc>
      </w:tr>
      <w:tr w14:paraId="623AE4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4F6D395">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E84C5A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双通工作台</w:t>
            </w:r>
          </w:p>
          <w:p w14:paraId="615406D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（下衬12mm防潮板减噪）。其他采用δ≥0.9mm不锈钢板，加强筋采用δ=1.0mm不锈钢板,单侧单移门，内分两层，重力脚φ50×150×1.2mm。</w:t>
            </w:r>
          </w:p>
          <w:p w14:paraId="6412839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规格：1500×800×800</w:t>
            </w:r>
          </w:p>
        </w:tc>
        <w:tc>
          <w:tcPr>
            <w:tcW w:w="1031" w:type="dxa"/>
            <w:tcBorders>
              <w:left w:val="single" w:color="auto" w:sz="4" w:space="0"/>
              <w:right w:val="single" w:color="auto" w:sz="4" w:space="0"/>
            </w:tcBorders>
            <w:noWrap w:val="0"/>
            <w:vAlign w:val="center"/>
          </w:tcPr>
          <w:p w14:paraId="2073C1C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47B15EA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900D64B">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D2576C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69925" cy="419735"/>
                  <wp:effectExtent l="0" t="0" r="15875" b="18415"/>
                  <wp:docPr id="709" name="图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pic:cNvPicPr>
                            <a:picLocks noChangeAspect="1"/>
                          </pic:cNvPicPr>
                        </pic:nvPicPr>
                        <pic:blipFill>
                          <a:blip r:embed="rId24"/>
                          <a:stretch>
                            <a:fillRect/>
                          </a:stretch>
                        </pic:blipFill>
                        <pic:spPr>
                          <a:xfrm>
                            <a:off x="0" y="0"/>
                            <a:ext cx="669925" cy="419735"/>
                          </a:xfrm>
                          <a:prstGeom prst="rect">
                            <a:avLst/>
                          </a:prstGeom>
                          <a:noFill/>
                          <a:ln w="9525">
                            <a:noFill/>
                          </a:ln>
                        </pic:spPr>
                      </pic:pic>
                    </a:graphicData>
                  </a:graphic>
                </wp:inline>
              </w:drawing>
            </w:r>
          </w:p>
        </w:tc>
      </w:tr>
      <w:tr w14:paraId="27FE652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4F6A3E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0354310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单星盆台</w:t>
            </w:r>
          </w:p>
          <w:p w14:paraId="2F26662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mm；配置Φ38mm不锈钢可调节重力子弹脚，配优质不锈钢落水器、拦渣斗。</w:t>
            </w:r>
          </w:p>
          <w:p w14:paraId="622EBC8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规格：800×800×800</w:t>
            </w:r>
          </w:p>
        </w:tc>
        <w:tc>
          <w:tcPr>
            <w:tcW w:w="1031" w:type="dxa"/>
            <w:tcBorders>
              <w:left w:val="single" w:color="auto" w:sz="4" w:space="0"/>
              <w:right w:val="single" w:color="auto" w:sz="4" w:space="0"/>
            </w:tcBorders>
            <w:noWrap w:val="0"/>
            <w:vAlign w:val="center"/>
          </w:tcPr>
          <w:p w14:paraId="179B36E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0ED4758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0668A5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9F551E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drawing>
                <wp:inline distT="0" distB="0" distL="114300" distR="114300">
                  <wp:extent cx="632460" cy="578485"/>
                  <wp:effectExtent l="0" t="0" r="15240" b="12065"/>
                  <wp:docPr id="79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图片 28"/>
                          <pic:cNvPicPr>
                            <a:picLocks noChangeAspect="1"/>
                          </pic:cNvPicPr>
                        </pic:nvPicPr>
                        <pic:blipFill>
                          <a:blip r:embed="rId13"/>
                          <a:stretch>
                            <a:fillRect/>
                          </a:stretch>
                        </pic:blipFill>
                        <pic:spPr>
                          <a:xfrm>
                            <a:off x="0" y="0"/>
                            <a:ext cx="632460" cy="578485"/>
                          </a:xfrm>
                          <a:prstGeom prst="rect">
                            <a:avLst/>
                          </a:prstGeom>
                          <a:noFill/>
                          <a:ln>
                            <a:noFill/>
                          </a:ln>
                        </pic:spPr>
                      </pic:pic>
                    </a:graphicData>
                  </a:graphic>
                </wp:inline>
              </w:drawing>
            </w:r>
          </w:p>
        </w:tc>
      </w:tr>
      <w:tr w14:paraId="087D94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C5023A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54EAC67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电磁800双头大锅灶</w:t>
            </w:r>
          </w:p>
          <w:p w14:paraId="22C7050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w:t>
            </w:r>
          </w:p>
          <w:p w14:paraId="5019490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1.加热面积大、加热均匀。</w:t>
            </w:r>
          </w:p>
          <w:p w14:paraId="4E6A773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2.大功率加热，火力强劲，满足大份量爆炒、焖煮的烹饪需求，显著提升出品效率。</w:t>
            </w:r>
          </w:p>
          <w:p w14:paraId="3F21655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3.材质：全 SUS304 不锈钢框架式结构机身，耐腐蚀，经久耐用。面板采用一体成型优质304#不锈钢板，实厚≥1.35mm，侧板厚≥1.0mm</w:t>
            </w:r>
          </w:p>
          <w:p w14:paraId="48E495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4.水龙头：配备 SUS304 不锈钢摇摆水龙头，可以180度旋转，安全防漏。</w:t>
            </w:r>
          </w:p>
          <w:p w14:paraId="0D1DED2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5.把手：9 档火力调节（注：600大锅为5档），人机工效学设计 (Ergonomics)，合金材质火力调节把手搭配硅胶防滑垫，档位清晰控感好，适应厨师使用习惯，可直接用膝盖控制。</w:t>
            </w:r>
          </w:p>
          <w:p w14:paraId="025886C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6.显示屏：LED 彩色数码显示屏，能实时显示功率和当前火力档位，火力调控更加直观。</w:t>
            </w:r>
          </w:p>
          <w:p w14:paraId="19595E2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7.防水：IPX4 标准防水设计，清洁时可直接冲洗，台面无死角，不会藏污纳垢。</w:t>
            </w:r>
          </w:p>
          <w:p w14:paraId="52164CF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8.立体三防结构设计，防水、防油烟、防虫。</w:t>
            </w:r>
          </w:p>
          <w:p w14:paraId="1290AC3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9.ADD（自适应数字判断）磁电引擎，数字驱动、多级防护，机芯稳定性高，适用各种厨房环境，确保设备安全可靠。</w:t>
            </w:r>
          </w:p>
          <w:p w14:paraId="0B7141A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w:t>
            </w:r>
            <w:r>
              <w:rPr>
                <w:rFonts w:hint="eastAsia" w:ascii="宋体" w:hAnsi="宋体" w:cs="宋体"/>
                <w:color w:val="000000"/>
                <w:kern w:val="2"/>
                <w:sz w:val="21"/>
                <w:szCs w:val="21"/>
                <w:highlight w:val="none"/>
                <w:lang w:val="en-US" w:eastAsia="zh-CN" w:bidi="ar"/>
              </w:rPr>
              <w:t>0</w:t>
            </w:r>
            <w:r>
              <w:rPr>
                <w:rFonts w:hint="eastAsia" w:ascii="宋体" w:hAnsi="宋体" w:eastAsia="宋体" w:cs="宋体"/>
                <w:color w:val="000000"/>
                <w:kern w:val="2"/>
                <w:sz w:val="21"/>
                <w:szCs w:val="21"/>
                <w:highlight w:val="none"/>
                <w:lang w:val="en-US" w:eastAsia="zh-CN" w:bidi="ar"/>
              </w:rPr>
              <w:t>.高效后吸式散热，大风量，散热速度快，减少散热风机故障。</w:t>
            </w:r>
          </w:p>
          <w:p w14:paraId="5B4ECA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11.耐高温“齿”形线盘组件，搭配高效聚能稀土磁条，创新导风散热结构，磁场分布均匀，发热低、损耗小、不偏火、不烧线盘。提供商用电磁大锅灶线圈盘根据GB/T2423.22-2012标准中（快速温度变化）检测项目的报告（须带有 CMA或CNAS 标志），不满足或不提供视为负偏离。</w:t>
            </w:r>
          </w:p>
          <w:p w14:paraId="349E6B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★12.商用电磁灶电路板根据GB/T 4207-2022标准，对电磁灶耐电痕化指数测定，要求5个测试点均通过450V,电磁灶电路板未出现击穿和燃烧现象的，指数为PTI450。提供满足上述要求的检测报告（须带有 CMA或CNAS 标志），不满足或不提供视为负偏离。</w:t>
            </w:r>
          </w:p>
          <w:p w14:paraId="44F9BA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电量：20kw+20kw/380v</w:t>
            </w:r>
          </w:p>
          <w:p w14:paraId="1D44A1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规格：2200×1100×（810+440）</w:t>
            </w:r>
          </w:p>
        </w:tc>
        <w:tc>
          <w:tcPr>
            <w:tcW w:w="1031" w:type="dxa"/>
            <w:tcBorders>
              <w:left w:val="single" w:color="auto" w:sz="4" w:space="0"/>
              <w:right w:val="single" w:color="auto" w:sz="4" w:space="0"/>
            </w:tcBorders>
            <w:noWrap w:val="0"/>
            <w:vAlign w:val="center"/>
          </w:tcPr>
          <w:p w14:paraId="06C4EE7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78BF300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EA450A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2A87C91">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48945" cy="495935"/>
                  <wp:effectExtent l="0" t="0" r="8255" b="18415"/>
                  <wp:docPr id="16537" name="图片 18" descr="双800大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 name="图片 18" descr="双800大炒"/>
                          <pic:cNvPicPr>
                            <a:picLocks noChangeAspect="1"/>
                          </pic:cNvPicPr>
                        </pic:nvPicPr>
                        <pic:blipFill>
                          <a:blip r:embed="rId25"/>
                          <a:stretch>
                            <a:fillRect/>
                          </a:stretch>
                        </pic:blipFill>
                        <pic:spPr>
                          <a:xfrm>
                            <a:off x="0" y="0"/>
                            <a:ext cx="448945" cy="495935"/>
                          </a:xfrm>
                          <a:prstGeom prst="rect">
                            <a:avLst/>
                          </a:prstGeom>
                          <a:noFill/>
                          <a:ln w="9525">
                            <a:noFill/>
                          </a:ln>
                        </pic:spPr>
                      </pic:pic>
                    </a:graphicData>
                  </a:graphic>
                </wp:inline>
              </w:drawing>
            </w:r>
          </w:p>
        </w:tc>
      </w:tr>
      <w:tr w14:paraId="0B654E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6A09B35">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71911CAD">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电磁单头单尾小炒灶</w:t>
            </w:r>
          </w:p>
          <w:p w14:paraId="187DA06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1.明火仿真技术，能根据锅具材质、移动速度、温度、位置进行实时追踪加热，达到最佳火力。</w:t>
            </w:r>
          </w:p>
          <w:p w14:paraId="1DCD7A4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2.突破电磁灶无法抛锅的应用瓶颈，实现抛锅爆炒不断火。</w:t>
            </w:r>
          </w:p>
          <w:p w14:paraId="237A3ED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3.超大加热面积，火力更均匀，加热不偏火。</w:t>
            </w:r>
          </w:p>
          <w:p w14:paraId="68F6AFB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4.材质：全 SUS304 不锈钢框架式结构机身，耐腐蚀，经久耐用。面板采用一体成型优质304#不锈钢板，实厚≥1.35mm，侧板厚≥1.0mm</w:t>
            </w:r>
          </w:p>
          <w:p w14:paraId="51814F2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5.水龙头：配备 SUS304 不锈钢摇摆水龙头，可以180度旋转，安全防漏。</w:t>
            </w:r>
          </w:p>
          <w:p w14:paraId="77A604E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6.面板：耐撞击高密度弧形微晶面板，坚固耐用。</w:t>
            </w:r>
          </w:p>
          <w:p w14:paraId="5BFB5CF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7.把手：5 档火力调节，人机工效学设计 (Ergonomics)，合金材质火力调节把手搭配硅胶防滑垫，档位清晰控感好，适应厨师使用习惯，可直接用膝盖控制。</w:t>
            </w:r>
          </w:p>
          <w:p w14:paraId="1F7835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8.防水：IPX4 标准防水设计，清洁时可直接冲洗，台面无死角，不会藏污纳垢。</w:t>
            </w:r>
          </w:p>
          <w:p w14:paraId="67BD752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9.立体三防结构设计，防水、防油烟、防虫。</w:t>
            </w:r>
          </w:p>
          <w:p w14:paraId="0C589B4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10.耐高温“齿”形线盘组件，搭配高效聚能稀土磁条，创新导风散热结构，磁场分布均匀，发热低、损耗小、不偏火、不烧线盘。</w:t>
            </w:r>
          </w:p>
          <w:p w14:paraId="151B338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11.搭载运维云控系统，可通过手机端实时查看设备当前工作状态、温度、月累计用电量、故障报警等信息。</w:t>
            </w:r>
          </w:p>
          <w:p w14:paraId="508120C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★12.显示屏：LED 彩色数码显示屏，能实时显示功率和当前火力档位，火力调控更加直观。商用电磁灶显示屏依据GB/T2423.4-2008标准，通过交变湿热试验的技术要求完成循环试验。提供满足上述要求的检测报告（须带有 CMA或CNAS 标志），不满足或不提供视为负偏离。</w:t>
            </w:r>
          </w:p>
          <w:p w14:paraId="6467670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★13.高效后吸式散热，大风量，散热速度快，减少散热风机故障。电磁炉采用的散热防尘防水风机根据GB /T 4208-2017外壳防护等级（IP代码）进行测试达到IP68的防护等级。提供满足上述要求的检测报告（须带有 CMA或CNAS 标志），不满足或不提供视为负偏离。</w:t>
            </w:r>
          </w:p>
          <w:p w14:paraId="46FB676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★14.商用电磁小炒灶依据QB/T1236-2008标准，通过“小炒灶功率范围调节”项目检测，技术上达到最小持续输入功率低于最大输入功率15000W限制的6%，即最小输入功率≤900W。提供满足上述要求的检测报告（须带有 CMA或CNAS 标志），不满足或不提供视为负偏离。</w:t>
            </w:r>
          </w:p>
          <w:p w14:paraId="18D0D6B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电量：15kw/380v</w:t>
            </w:r>
          </w:p>
          <w:p w14:paraId="5FD572B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规格：1100×1100×</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810+440）</w:t>
            </w:r>
          </w:p>
        </w:tc>
        <w:tc>
          <w:tcPr>
            <w:tcW w:w="1031" w:type="dxa"/>
            <w:tcBorders>
              <w:left w:val="single" w:color="auto" w:sz="4" w:space="0"/>
              <w:right w:val="single" w:color="auto" w:sz="4" w:space="0"/>
            </w:tcBorders>
            <w:noWrap w:val="0"/>
            <w:vAlign w:val="center"/>
          </w:tcPr>
          <w:p w14:paraId="72C6FD2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65F249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9B56EB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D1C992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drawing>
                <wp:inline distT="0" distB="0" distL="114300" distR="114300">
                  <wp:extent cx="673735" cy="638810"/>
                  <wp:effectExtent l="0" t="0" r="12065" b="8890"/>
                  <wp:docPr id="7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3"/>
                          <pic:cNvPicPr>
                            <a:picLocks noChangeAspect="1"/>
                          </pic:cNvPicPr>
                        </pic:nvPicPr>
                        <pic:blipFill>
                          <a:blip r:embed="rId26"/>
                          <a:stretch>
                            <a:fillRect/>
                          </a:stretch>
                        </pic:blipFill>
                        <pic:spPr>
                          <a:xfrm>
                            <a:off x="0" y="0"/>
                            <a:ext cx="673735" cy="638810"/>
                          </a:xfrm>
                          <a:prstGeom prst="rect">
                            <a:avLst/>
                          </a:prstGeom>
                          <a:noFill/>
                          <a:ln>
                            <a:noFill/>
                          </a:ln>
                        </pic:spPr>
                      </pic:pic>
                    </a:graphicData>
                  </a:graphic>
                </wp:inline>
              </w:drawing>
            </w:r>
          </w:p>
        </w:tc>
      </w:tr>
      <w:tr w14:paraId="57CA237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CC753F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533CB664">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电磁单头大锅灶</w:t>
            </w:r>
          </w:p>
          <w:p w14:paraId="561FBEE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1.加热面积大、加热均匀。</w:t>
            </w:r>
          </w:p>
          <w:p w14:paraId="3883B5C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2.大功率加热，火力强劲，满足大份量爆炒、焖煮的烹饪需求，显著提升出品效率。</w:t>
            </w:r>
          </w:p>
          <w:p w14:paraId="187B64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3.材质：全 SUS304 不锈钢框架式结构机身，耐腐蚀，经久耐用。面板采用一体成型优质304#不锈钢板，实厚≥1.35mm，侧板厚≥1.0mm</w:t>
            </w:r>
          </w:p>
          <w:p w14:paraId="36E0C37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4.水龙头：配备 SUS304 不锈钢摇摆水龙头，可以180度旋转，安全防漏。</w:t>
            </w:r>
          </w:p>
          <w:p w14:paraId="521CC37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5.把手：9 档火力调节（注：600大锅为5档），人机工效学设计 (Ergonomics)，合金材质火力调节把手搭配硅胶防滑垫，档位清晰控感好，适应厨师使用习惯，可直接用膝盖控制。</w:t>
            </w:r>
          </w:p>
          <w:p w14:paraId="0422C1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6.显示屏：LED 彩色数码显示屏，能实时显示功率和当前火力档位，火力调控更加直观。</w:t>
            </w:r>
          </w:p>
          <w:p w14:paraId="30683D2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7.防水：IPX4 标准防水设计，清洁时可直接冲洗，台面无死角，不会藏污纳垢。</w:t>
            </w:r>
          </w:p>
          <w:p w14:paraId="64E96F0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8.立体三防结构设计，防水、防油烟、防虫。</w:t>
            </w:r>
          </w:p>
          <w:p w14:paraId="1761410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9.ADD（自适应数字判断）磁电引擎，数字驱动、多级防护，机芯稳定性高，适用各种厨房环境，确保设备安全可靠。</w:t>
            </w:r>
          </w:p>
          <w:p w14:paraId="0316CCB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w:t>
            </w:r>
            <w:r>
              <w:rPr>
                <w:rFonts w:hint="eastAsia" w:ascii="宋体" w:hAnsi="宋体" w:cs="宋体"/>
                <w:color w:val="000000"/>
                <w:kern w:val="2"/>
                <w:sz w:val="21"/>
                <w:szCs w:val="21"/>
                <w:highlight w:val="none"/>
                <w:lang w:val="en-US" w:eastAsia="zh-CN" w:bidi="ar"/>
              </w:rPr>
              <w:t>0</w:t>
            </w:r>
            <w:r>
              <w:rPr>
                <w:rFonts w:hint="eastAsia" w:ascii="宋体" w:hAnsi="宋体" w:eastAsia="宋体" w:cs="宋体"/>
                <w:color w:val="000000"/>
                <w:kern w:val="2"/>
                <w:sz w:val="21"/>
                <w:szCs w:val="21"/>
                <w:highlight w:val="none"/>
                <w:lang w:val="en-US" w:eastAsia="zh-CN" w:bidi="ar"/>
              </w:rPr>
              <w:t>.高效后吸式散热，大风量，散热速度快，减少散热风机故障。</w:t>
            </w:r>
          </w:p>
          <w:p w14:paraId="05BCE7D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规格：1100×1100×</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810+440）</w:t>
            </w:r>
          </w:p>
        </w:tc>
        <w:tc>
          <w:tcPr>
            <w:tcW w:w="1031" w:type="dxa"/>
            <w:tcBorders>
              <w:left w:val="single" w:color="auto" w:sz="4" w:space="0"/>
              <w:right w:val="single" w:color="auto" w:sz="4" w:space="0"/>
            </w:tcBorders>
            <w:noWrap w:val="0"/>
            <w:vAlign w:val="center"/>
          </w:tcPr>
          <w:p w14:paraId="6C22E611">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6F06CD4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46A3A9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114F41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21030" cy="829310"/>
                  <wp:effectExtent l="0" t="0" r="7620" b="8890"/>
                  <wp:docPr id="18" name="图片 23" descr="单头大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单头大炒.png"/>
                          <pic:cNvPicPr>
                            <a:picLocks noChangeAspect="1"/>
                          </pic:cNvPicPr>
                        </pic:nvPicPr>
                        <pic:blipFill>
                          <a:blip r:embed="rId27"/>
                          <a:stretch>
                            <a:fillRect/>
                          </a:stretch>
                        </pic:blipFill>
                        <pic:spPr>
                          <a:xfrm>
                            <a:off x="0" y="0"/>
                            <a:ext cx="621030" cy="829310"/>
                          </a:xfrm>
                          <a:prstGeom prst="rect">
                            <a:avLst/>
                          </a:prstGeom>
                          <a:noFill/>
                          <a:ln w="9525">
                            <a:noFill/>
                          </a:ln>
                        </pic:spPr>
                      </pic:pic>
                    </a:graphicData>
                  </a:graphic>
                </wp:inline>
              </w:drawing>
            </w:r>
          </w:p>
        </w:tc>
      </w:tr>
      <w:tr w14:paraId="210EB30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695697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5B6363E9">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调料平台</w:t>
            </w:r>
          </w:p>
          <w:p w14:paraId="0264847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材质：选用SUS304-2B优质不锈钢板制作，台面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，下横通采用φ25圆管，圆通脚采用φ38不锈钢加厚圆管制作，δ=1.0，配不锈钢加强筋，重力不锈钢可调节子弹脚。</w:t>
            </w:r>
          </w:p>
          <w:p w14:paraId="66E2B0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规格：500×1100×(810+440)</w:t>
            </w:r>
          </w:p>
        </w:tc>
        <w:tc>
          <w:tcPr>
            <w:tcW w:w="1031" w:type="dxa"/>
            <w:tcBorders>
              <w:left w:val="single" w:color="auto" w:sz="4" w:space="0"/>
              <w:right w:val="single" w:color="auto" w:sz="4" w:space="0"/>
            </w:tcBorders>
            <w:noWrap w:val="0"/>
            <w:vAlign w:val="center"/>
          </w:tcPr>
          <w:p w14:paraId="4BE2DCB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67350AB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044DCE3">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E2113F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rPr>
              <w:drawing>
                <wp:inline distT="0" distB="0" distL="114300" distR="114300">
                  <wp:extent cx="706755" cy="739775"/>
                  <wp:effectExtent l="0" t="0" r="17145" b="3175"/>
                  <wp:docPr id="713" name="图片 26"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26" descr="调料台01"/>
                          <pic:cNvPicPr>
                            <a:picLocks noChangeAspect="1"/>
                          </pic:cNvPicPr>
                        </pic:nvPicPr>
                        <pic:blipFill>
                          <a:blip r:embed="rId28"/>
                          <a:stretch>
                            <a:fillRect/>
                          </a:stretch>
                        </pic:blipFill>
                        <pic:spPr>
                          <a:xfrm>
                            <a:off x="0" y="0"/>
                            <a:ext cx="706755" cy="739775"/>
                          </a:xfrm>
                          <a:prstGeom prst="rect">
                            <a:avLst/>
                          </a:prstGeom>
                          <a:noFill/>
                          <a:ln>
                            <a:noFill/>
                          </a:ln>
                        </pic:spPr>
                      </pic:pic>
                    </a:graphicData>
                  </a:graphic>
                </wp:inline>
              </w:drawing>
            </w:r>
          </w:p>
        </w:tc>
      </w:tr>
      <w:tr w14:paraId="67A273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3FB45C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7581FD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定制份数盘车（27盘蒸饭盘）</w:t>
            </w:r>
          </w:p>
          <w:p w14:paraId="09D1C2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说明：选用SUS304-2B优质不锈钢板制作，</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 xml:space="preserve"> ，30×30方管；其余δ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mm；可存放27盆。配承重静音脚轮，其中两只带刹车掣。</w:t>
            </w:r>
          </w:p>
        </w:tc>
        <w:tc>
          <w:tcPr>
            <w:tcW w:w="1031" w:type="dxa"/>
            <w:tcBorders>
              <w:left w:val="single" w:color="auto" w:sz="4" w:space="0"/>
              <w:right w:val="single" w:color="auto" w:sz="4" w:space="0"/>
            </w:tcBorders>
            <w:noWrap w:val="0"/>
            <w:vAlign w:val="center"/>
          </w:tcPr>
          <w:p w14:paraId="25C0FA1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0090D71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E48C2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68FF62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40690" cy="729615"/>
                  <wp:effectExtent l="0" t="0" r="16510" b="13335"/>
                  <wp:docPr id="37" name="图片 2"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烘盘架车"/>
                          <pic:cNvPicPr>
                            <a:picLocks noChangeAspect="1"/>
                          </pic:cNvPicPr>
                        </pic:nvPicPr>
                        <pic:blipFill>
                          <a:blip r:embed="rId29"/>
                          <a:stretch>
                            <a:fillRect/>
                          </a:stretch>
                        </pic:blipFill>
                        <pic:spPr>
                          <a:xfrm>
                            <a:off x="0" y="0"/>
                            <a:ext cx="440690" cy="729615"/>
                          </a:xfrm>
                          <a:prstGeom prst="rect">
                            <a:avLst/>
                          </a:prstGeom>
                          <a:noFill/>
                          <a:ln>
                            <a:noFill/>
                          </a:ln>
                        </pic:spPr>
                      </pic:pic>
                    </a:graphicData>
                  </a:graphic>
                </wp:inline>
              </w:drawing>
            </w:r>
          </w:p>
        </w:tc>
      </w:tr>
      <w:tr w14:paraId="12BEC22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11816D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shd w:val="clear" w:color="auto" w:fill="auto"/>
            <w:noWrap w:val="0"/>
            <w:vAlign w:val="center"/>
          </w:tcPr>
          <w:p w14:paraId="1338679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油烟净化一体机(单位：ｍ)</w:t>
            </w:r>
          </w:p>
          <w:p w14:paraId="5689A53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1、油烟净化一体设备外壳板材为1.0，电场采用全201不锈钢，耐用和耐腐蚀；油烟净化烟罩一体设备采用独立净化抽风装置，整体美观且节能；</w:t>
            </w:r>
          </w:p>
          <w:p w14:paraId="66A3021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2、设备内置轻质隔水板和预过滤均风网，高效拦截大部分大颗粒油脂；</w:t>
            </w:r>
          </w:p>
          <w:p w14:paraId="440A3E1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3、设备选用防油污耐高温LED照明，铝合金灯体+钢化玻璃灯罩，照明效果优良；</w:t>
            </w:r>
          </w:p>
          <w:p w14:paraId="6DF43DE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4、设备采用数字显示且可挥手智控和一键启动控制；具有清洗提示功能；具有故障显示功能，故障代码通过屏幕进行显示；</w:t>
            </w:r>
          </w:p>
          <w:p w14:paraId="05A6A0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5、设备电源为智能数字高频高压电源，有多项保护功能，包括软启动、电场短路保护，放电跳停保护、电源过载保护和变压器过温保护等多重保护功能，确保设备安全；</w:t>
            </w:r>
          </w:p>
          <w:p w14:paraId="4F16D24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6、设备使用环氧高频高压变压器,功率强劲,稳定可靠,长期稳定达标排放</w:t>
            </w:r>
          </w:p>
          <w:p w14:paraId="6FDC0A7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7、内置低噪音离心风机，电机性能稳定，寿命长，独立包装，可在安装现场选择前/后/上3个方向出风口，便于客户进行风管连接及降低风管的占用空间；</w:t>
            </w:r>
          </w:p>
          <w:p w14:paraId="4E6AFF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★8、所投油烟净化设备依据GB/T 2423.1-2008标准，将温度以1℃/min的速率降至﹣25℃, 保持﹣25℃ 存储24H，测试完成后，将温度升至25℃并保持2小时，样品外观、功能正常。提供满足上述要求的检测报告复印件（带CNAS或CMA），不满足或不提供视为负偏离。</w:t>
            </w:r>
          </w:p>
          <w:p w14:paraId="133D811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★9、所投油烟净化设备依据 GB/T 3482-2008标准， 电子设备雷击试验方法第 5 条款进行测试（严酷等级 4），试验中和试验后对设备进行电气、机械性能、功能检测，设备应无电气危险产生，应无机械破坏现象，应功能正常，检测结果合格。提供满足上述要求的检测报告复印件（带CNAS或CMA），不满足或不提供视为负偏离。</w:t>
            </w:r>
          </w:p>
          <w:p w14:paraId="02C86C3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b/>
                <w:bCs/>
                <w:color w:val="000000"/>
                <w:kern w:val="2"/>
                <w:sz w:val="21"/>
                <w:szCs w:val="21"/>
                <w:highlight w:val="none"/>
                <w:lang w:val="en-US" w:eastAsia="zh-CN" w:bidi="ar"/>
              </w:rPr>
              <w:t>★10、所投油烟净化设备核心部件（电源控制电路板）依据GB/T 5169.11-2017标准，在试验温度850℃，灼热丝接触材料的时间30S，试样未起燃、规定的铺底层未起燃，结果合格。提供满足上述要求的检测报告复印件（带CNAS或CMA），不满足或不提供视为负偏离。</w:t>
            </w:r>
          </w:p>
        </w:tc>
        <w:tc>
          <w:tcPr>
            <w:tcW w:w="1031" w:type="dxa"/>
            <w:tcBorders>
              <w:left w:val="single" w:color="auto" w:sz="4" w:space="0"/>
              <w:right w:val="single" w:color="auto" w:sz="4" w:space="0"/>
            </w:tcBorders>
            <w:noWrap w:val="0"/>
            <w:vAlign w:val="center"/>
          </w:tcPr>
          <w:p w14:paraId="302A2D0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7M</w:t>
            </w:r>
          </w:p>
        </w:tc>
        <w:tc>
          <w:tcPr>
            <w:tcW w:w="911" w:type="dxa"/>
            <w:tcBorders>
              <w:left w:val="single" w:color="auto" w:sz="4" w:space="0"/>
              <w:right w:val="single" w:color="auto" w:sz="4" w:space="0"/>
            </w:tcBorders>
            <w:noWrap w:val="0"/>
            <w:vAlign w:val="center"/>
          </w:tcPr>
          <w:p w14:paraId="2812189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19D134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724FE08">
            <w:pPr>
              <w:keepNext w:val="0"/>
              <w:keepLines w:val="0"/>
              <w:pageBreakBefore w:val="0"/>
              <w:tabs>
                <w:tab w:val="left" w:pos="851"/>
                <w:tab w:val="center" w:pos="5812"/>
                <w:tab w:val="decimal" w:pos="7229"/>
                <w:tab w:val="decimal" w:pos="8789"/>
              </w:tabs>
              <w:kinsoku/>
              <w:wordWrap/>
              <w:overflowPunct/>
              <w:topLinePunct w:val="0"/>
              <w:autoSpaceDE/>
              <w:autoSpaceDN/>
              <w:bidi w:val="0"/>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drawing>
                <wp:inline distT="0" distB="0" distL="114300" distR="114300">
                  <wp:extent cx="414020" cy="309245"/>
                  <wp:effectExtent l="0" t="0" r="5080" b="14605"/>
                  <wp:docPr id="10" name="图片 10"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11"/>
                          <pic:cNvPicPr>
                            <a:picLocks noChangeAspect="1"/>
                          </pic:cNvPicPr>
                        </pic:nvPicPr>
                        <pic:blipFill>
                          <a:blip r:embed="rId30"/>
                          <a:stretch>
                            <a:fillRect/>
                          </a:stretch>
                        </pic:blipFill>
                        <pic:spPr>
                          <a:xfrm>
                            <a:off x="0" y="0"/>
                            <a:ext cx="414020" cy="309245"/>
                          </a:xfrm>
                          <a:prstGeom prst="rect">
                            <a:avLst/>
                          </a:prstGeom>
                        </pic:spPr>
                      </pic:pic>
                    </a:graphicData>
                  </a:graphic>
                </wp:inline>
              </w:drawing>
            </w:r>
          </w:p>
        </w:tc>
      </w:tr>
      <w:tr w14:paraId="1CBCA0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1DD383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3A3FA06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烟罩下封板</w:t>
            </w:r>
          </w:p>
          <w:p w14:paraId="5752150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说明：采用SUS304-2B优质发纹贴塑不锈钢板制作，δ≥</w:t>
            </w:r>
            <w:r>
              <w:rPr>
                <w:rFonts w:hint="eastAsia" w:ascii="宋体" w:hAnsi="宋体" w:cs="宋体"/>
                <w:color w:val="000000"/>
                <w:kern w:val="2"/>
                <w:sz w:val="21"/>
                <w:szCs w:val="21"/>
                <w:highlight w:val="none"/>
                <w:lang w:val="en-US" w:eastAsia="zh-CN" w:bidi="ar"/>
              </w:rPr>
              <w:t>1.1</w:t>
            </w:r>
            <w:r>
              <w:rPr>
                <w:rFonts w:hint="eastAsia" w:ascii="宋体" w:hAnsi="宋体" w:eastAsia="宋体" w:cs="宋体"/>
                <w:color w:val="000000"/>
                <w:kern w:val="2"/>
                <w:sz w:val="21"/>
                <w:szCs w:val="21"/>
                <w:highlight w:val="none"/>
                <w:lang w:val="en-US" w:eastAsia="zh-CN" w:bidi="ar"/>
              </w:rPr>
              <w:t>mm。</w:t>
            </w:r>
          </w:p>
          <w:p w14:paraId="3A4C7D0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规格：7000×1800</w:t>
            </w:r>
          </w:p>
        </w:tc>
        <w:tc>
          <w:tcPr>
            <w:tcW w:w="1031" w:type="dxa"/>
            <w:tcBorders>
              <w:left w:val="single" w:color="auto" w:sz="4" w:space="0"/>
              <w:right w:val="single" w:color="auto" w:sz="4" w:space="0"/>
            </w:tcBorders>
            <w:noWrap w:val="0"/>
            <w:vAlign w:val="center"/>
          </w:tcPr>
          <w:p w14:paraId="78158BF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12.6m²</w:t>
            </w:r>
          </w:p>
        </w:tc>
        <w:tc>
          <w:tcPr>
            <w:tcW w:w="911" w:type="dxa"/>
            <w:tcBorders>
              <w:left w:val="single" w:color="auto" w:sz="4" w:space="0"/>
              <w:right w:val="single" w:color="auto" w:sz="4" w:space="0"/>
            </w:tcBorders>
            <w:noWrap w:val="0"/>
            <w:vAlign w:val="center"/>
          </w:tcPr>
          <w:p w14:paraId="579CB51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277031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E8F5D5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i w:val="0"/>
                <w:color w:val="000000"/>
                <w:kern w:val="0"/>
                <w:sz w:val="21"/>
                <w:szCs w:val="21"/>
                <w:highlight w:val="none"/>
                <w:u w:val="none"/>
                <w:lang w:val="en-US" w:eastAsia="zh-CN" w:bidi="ar"/>
              </w:rPr>
              <w:drawing>
                <wp:inline distT="0" distB="0" distL="114300" distR="114300">
                  <wp:extent cx="396240" cy="296545"/>
                  <wp:effectExtent l="0" t="0" r="3810" b="8255"/>
                  <wp:docPr id="75" name="图片 3"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 descr="1552310796(1)"/>
                          <pic:cNvPicPr>
                            <a:picLocks noChangeAspect="1"/>
                          </pic:cNvPicPr>
                        </pic:nvPicPr>
                        <pic:blipFill>
                          <a:blip r:embed="rId31"/>
                          <a:stretch>
                            <a:fillRect/>
                          </a:stretch>
                        </pic:blipFill>
                        <pic:spPr>
                          <a:xfrm>
                            <a:off x="0" y="0"/>
                            <a:ext cx="396240" cy="296545"/>
                          </a:xfrm>
                          <a:prstGeom prst="rect">
                            <a:avLst/>
                          </a:prstGeom>
                          <a:noFill/>
                          <a:ln>
                            <a:noFill/>
                          </a:ln>
                        </pic:spPr>
                      </pic:pic>
                    </a:graphicData>
                  </a:graphic>
                </wp:inline>
              </w:drawing>
            </w:r>
          </w:p>
        </w:tc>
      </w:tr>
      <w:tr w14:paraId="6E4B44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4E665E8">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23240F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高压洗地龙头</w:t>
            </w:r>
          </w:p>
          <w:p w14:paraId="76C9081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说明：1. 碳钢墨绿色环氧树脂喷涂，固定支架钢板厚5mm(±5%），可左右70度角度摆动，胶管拉伸有止回定位功能。                                                 </w:t>
            </w:r>
          </w:p>
          <w:p w14:paraId="3CE33C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 10.7(±5%）米黑色重工无痕三层液压钢丝管，耐温85度(±5%）极限耐压18mpa，0.1mpa测试水枪每分钟4.9L水流量，射程3-4米。</w:t>
            </w:r>
          </w:p>
          <w:p w14:paraId="301DFC4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3. 铸造枪式喷头、前置扳机、配有橡胶防热保护套，按压扳机出水状为渐变式，配置有挂钩水枪可挂置墙体。                                                                           </w:t>
            </w:r>
          </w:p>
          <w:p w14:paraId="107FED0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11， 进水接口正对产品左边，304材料的G1/2外螺纹。</w:t>
            </w:r>
          </w:p>
        </w:tc>
        <w:tc>
          <w:tcPr>
            <w:tcW w:w="1031" w:type="dxa"/>
            <w:tcBorders>
              <w:left w:val="single" w:color="auto" w:sz="4" w:space="0"/>
              <w:right w:val="single" w:color="auto" w:sz="4" w:space="0"/>
            </w:tcBorders>
            <w:noWrap w:val="0"/>
            <w:vAlign w:val="center"/>
          </w:tcPr>
          <w:p w14:paraId="773CF09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47159AD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B2D13B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D7CB92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Cs/>
                <w:color w:val="auto"/>
                <w:sz w:val="21"/>
                <w:szCs w:val="21"/>
                <w:highlight w:val="none"/>
              </w:rPr>
              <w:drawing>
                <wp:inline distT="0" distB="0" distL="114300" distR="114300">
                  <wp:extent cx="410210" cy="408305"/>
                  <wp:effectExtent l="0" t="0" r="8890" b="10795"/>
                  <wp:docPr id="9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4"/>
                          <pic:cNvPicPr>
                            <a:picLocks noChangeAspect="1"/>
                          </pic:cNvPicPr>
                        </pic:nvPicPr>
                        <pic:blipFill>
                          <a:blip r:embed="rId32" cstate="print"/>
                          <a:stretch>
                            <a:fillRect/>
                          </a:stretch>
                        </pic:blipFill>
                        <pic:spPr>
                          <a:xfrm>
                            <a:off x="0" y="0"/>
                            <a:ext cx="410210" cy="408305"/>
                          </a:xfrm>
                          <a:prstGeom prst="rect">
                            <a:avLst/>
                          </a:prstGeom>
                          <a:noFill/>
                          <a:ln w="9525">
                            <a:noFill/>
                          </a:ln>
                        </pic:spPr>
                      </pic:pic>
                    </a:graphicData>
                  </a:graphic>
                </wp:inline>
              </w:drawing>
            </w:r>
          </w:p>
        </w:tc>
      </w:tr>
      <w:tr w14:paraId="24A33A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500933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492063C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灭火系统</w:t>
            </w:r>
          </w:p>
          <w:p w14:paraId="016EAF2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w:t>
            </w:r>
          </w:p>
          <w:p w14:paraId="6295510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1、箱体全身采用优质不锈钢材质，自带18个高压细水雾喷嘴，保护灶台长度10米，箱体尺寸：宽640*高610*厚225mm</w:t>
            </w:r>
          </w:p>
          <w:p w14:paraId="193DB1F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2、产品为绿色环保型灭火药剂，无色、无味、无毒、无腐蚀、灭火效率快且不复燃等特点，灭火时间：≤1.8s；重：29kg。</w:t>
            </w:r>
          </w:p>
          <w:p w14:paraId="70FCAD8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3、灭火装置具备自动探测，自动实施灭火功能；也可手动紧急启动功能。                                                    </w:t>
            </w:r>
          </w:p>
          <w:p w14:paraId="4BFC39C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4、本装置灭火剂喷射时间不得小于 26s，同时具备较好的抗飞溅性能，在灭火剂喷射过程中无油点飞溅出来</w:t>
            </w:r>
          </w:p>
          <w:p w14:paraId="7415657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5、喷射灭火剂后，自动切换喷射冷却水。                                                                                                                          </w:t>
            </w:r>
          </w:p>
          <w:p w14:paraId="4C4B7E2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6、采用机械传动，全天候 24 小时监控，可连接消防报警系统，火情发生后，灭火装置自动启动扑灭火焰，在灭火时声光报警、打开水流阀同时进行设有机械应急启动装置，当手动、自动启动不成功时使用                     </w:t>
            </w:r>
          </w:p>
          <w:p w14:paraId="55059A9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规格：双瓶，配套烟罩</w:t>
            </w:r>
          </w:p>
        </w:tc>
        <w:tc>
          <w:tcPr>
            <w:tcW w:w="1031" w:type="dxa"/>
            <w:tcBorders>
              <w:left w:val="single" w:color="auto" w:sz="4" w:space="0"/>
              <w:right w:val="single" w:color="auto" w:sz="4" w:space="0"/>
            </w:tcBorders>
            <w:noWrap w:val="0"/>
            <w:vAlign w:val="center"/>
          </w:tcPr>
          <w:p w14:paraId="083F92A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1组</w:t>
            </w:r>
          </w:p>
        </w:tc>
        <w:tc>
          <w:tcPr>
            <w:tcW w:w="911" w:type="dxa"/>
            <w:tcBorders>
              <w:left w:val="single" w:color="auto" w:sz="4" w:space="0"/>
              <w:right w:val="single" w:color="auto" w:sz="4" w:space="0"/>
            </w:tcBorders>
            <w:noWrap w:val="0"/>
            <w:vAlign w:val="center"/>
          </w:tcPr>
          <w:p w14:paraId="2F7B885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9F49C5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FEBE35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drawing>
                <wp:inline distT="0" distB="0" distL="114300" distR="114300">
                  <wp:extent cx="454660" cy="274320"/>
                  <wp:effectExtent l="0" t="0" r="2540" b="11430"/>
                  <wp:docPr id="39" name="图片 4"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314"/>
                          <pic:cNvPicPr>
                            <a:picLocks noChangeAspect="1"/>
                          </pic:cNvPicPr>
                        </pic:nvPicPr>
                        <pic:blipFill>
                          <a:blip r:embed="rId33"/>
                          <a:stretch>
                            <a:fillRect/>
                          </a:stretch>
                        </pic:blipFill>
                        <pic:spPr>
                          <a:xfrm>
                            <a:off x="0" y="0"/>
                            <a:ext cx="454660" cy="274320"/>
                          </a:xfrm>
                          <a:prstGeom prst="rect">
                            <a:avLst/>
                          </a:prstGeom>
                          <a:noFill/>
                          <a:ln w="9525">
                            <a:noFill/>
                          </a:ln>
                        </pic:spPr>
                      </pic:pic>
                    </a:graphicData>
                  </a:graphic>
                </wp:inline>
              </w:drawing>
            </w:r>
          </w:p>
        </w:tc>
      </w:tr>
      <w:tr w14:paraId="5D0A15E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B71349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43C9FF5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挂墙消毒柜</w:t>
            </w:r>
          </w:p>
          <w:p w14:paraId="0696D08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说明：采用SUS304-2B优质不锈钢板制作，玻璃可视门，顶板、侧板、后板、低板δ≥1.1mm，大容量存储，热风循环，杀毒效果彻底、无死角，采用大视野可视窗。</w:t>
            </w:r>
          </w:p>
          <w:p w14:paraId="50955D11">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规格：1500*1500*300</w:t>
            </w:r>
          </w:p>
        </w:tc>
        <w:tc>
          <w:tcPr>
            <w:tcW w:w="1031" w:type="dxa"/>
            <w:tcBorders>
              <w:left w:val="single" w:color="auto" w:sz="4" w:space="0"/>
              <w:right w:val="single" w:color="auto" w:sz="4" w:space="0"/>
            </w:tcBorders>
            <w:noWrap w:val="0"/>
            <w:vAlign w:val="center"/>
          </w:tcPr>
          <w:p w14:paraId="6FF50ED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3CD50B1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8345C5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A871CF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黑体" w:hAnsi="黑体" w:eastAsia="黑体" w:cs="黑体"/>
                <w:color w:val="auto"/>
                <w:kern w:val="2"/>
                <w:sz w:val="21"/>
                <w:szCs w:val="21"/>
                <w:highlight w:val="none"/>
                <w:lang w:val="en-US" w:eastAsia="zh-CN" w:bidi="ar-SA"/>
              </w:rPr>
            </w:pPr>
            <w:r>
              <w:rPr>
                <w:color w:val="000000"/>
                <w:kern w:val="0"/>
                <w:sz w:val="22"/>
                <w:szCs w:val="22"/>
              </w:rPr>
              <w:drawing>
                <wp:inline distT="0" distB="0" distL="114300" distR="114300">
                  <wp:extent cx="508000" cy="327660"/>
                  <wp:effectExtent l="0" t="0" r="6350" b="15240"/>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34"/>
                          <a:stretch>
                            <a:fillRect/>
                          </a:stretch>
                        </pic:blipFill>
                        <pic:spPr>
                          <a:xfrm>
                            <a:off x="0" y="0"/>
                            <a:ext cx="508000" cy="327660"/>
                          </a:xfrm>
                          <a:prstGeom prst="rect">
                            <a:avLst/>
                          </a:prstGeom>
                          <a:noFill/>
                          <a:ln>
                            <a:noFill/>
                          </a:ln>
                        </pic:spPr>
                      </pic:pic>
                    </a:graphicData>
                  </a:graphic>
                </wp:inline>
              </w:drawing>
            </w:r>
          </w:p>
        </w:tc>
      </w:tr>
      <w:tr w14:paraId="77DF96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F3523EC">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C4400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蒸煮间</w:t>
            </w:r>
          </w:p>
        </w:tc>
        <w:tc>
          <w:tcPr>
            <w:tcW w:w="1031" w:type="dxa"/>
            <w:tcBorders>
              <w:left w:val="single" w:color="auto" w:sz="4" w:space="0"/>
              <w:right w:val="single" w:color="auto" w:sz="4" w:space="0"/>
            </w:tcBorders>
            <w:noWrap w:val="0"/>
            <w:vAlign w:val="center"/>
          </w:tcPr>
          <w:p w14:paraId="7BEF5E4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002EB0A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CE950B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D78EDE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Cs/>
                <w:color w:val="auto"/>
                <w:sz w:val="21"/>
                <w:szCs w:val="21"/>
                <w:highlight w:val="none"/>
              </w:rPr>
            </w:pPr>
          </w:p>
        </w:tc>
      </w:tr>
      <w:tr w14:paraId="662C30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1A877A5">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4D76B57E">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双门电热蒸饭柜</w:t>
            </w:r>
          </w:p>
          <w:p w14:paraId="1D36E14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加厚不锈钢板材，不锈钢把手，整体高密度发泡，加厚保温层，保温效果好，发泡设备及环保发泡剂，内胆一次拉伸成型，易于清洗，箱体内部加装加厚钢条，防止变形，自动进水装置，蒸车装有温控和时控装置自带保温功能，电源开关控制，配成型拉伸磁盘，可电和蒸汽两用，自动进水装置，缺水断电保护，防止干烧电热管，门体佩带嵌入式温度表，可探测箱体内实际温度，箱体内自带溢水阀，防止烫伤，不锈钢电热管。</w:t>
            </w:r>
          </w:p>
          <w:p w14:paraId="64A2E9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电量：12KW×2/380V；</w:t>
            </w:r>
          </w:p>
          <w:p w14:paraId="6FD4A54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规格：1430×710×1680</w:t>
            </w:r>
          </w:p>
        </w:tc>
        <w:tc>
          <w:tcPr>
            <w:tcW w:w="1031" w:type="dxa"/>
            <w:tcBorders>
              <w:left w:val="single" w:color="auto" w:sz="4" w:space="0"/>
              <w:right w:val="single" w:color="auto" w:sz="4" w:space="0"/>
            </w:tcBorders>
            <w:noWrap w:val="0"/>
            <w:vAlign w:val="center"/>
          </w:tcPr>
          <w:p w14:paraId="23E4D9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7432A0A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64FF97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98316B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560705" cy="737235"/>
                  <wp:effectExtent l="0" t="0" r="10795" b="5715"/>
                  <wp:docPr id="7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10"/>
                          <pic:cNvPicPr>
                            <a:picLocks noChangeAspect="1"/>
                          </pic:cNvPicPr>
                        </pic:nvPicPr>
                        <pic:blipFill>
                          <a:blip r:embed="rId35"/>
                          <a:stretch>
                            <a:fillRect/>
                          </a:stretch>
                        </pic:blipFill>
                        <pic:spPr>
                          <a:xfrm>
                            <a:off x="0" y="0"/>
                            <a:ext cx="560705" cy="737235"/>
                          </a:xfrm>
                          <a:prstGeom prst="rect">
                            <a:avLst/>
                          </a:prstGeom>
                          <a:noFill/>
                          <a:ln>
                            <a:noFill/>
                          </a:ln>
                        </pic:spPr>
                      </pic:pic>
                    </a:graphicData>
                  </a:graphic>
                </wp:inline>
              </w:drawing>
            </w:r>
          </w:p>
        </w:tc>
      </w:tr>
      <w:tr w14:paraId="71E5D86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45F6D6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922C661">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单门电热蒸饭柜</w:t>
            </w:r>
          </w:p>
          <w:p w14:paraId="2F0DCCF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加厚不锈钢板材，不锈钢把手，整体高密度发泡，加厚保温层，保温效果好，发泡设备及环保发泡剂，内胆一次拉伸成型，易于清洗，箱体内部加装加厚钢条，防止变形，自动进水装置，蒸车装有温控和时控装置自带保温功能，电源开关控制，配成型拉伸磁盘，可电和蒸汽两用，自动进水装置，缺水断电保护，防止干烧电热管，门体佩带嵌入式温度表，可探测箱体内实际温度，箱体内自带溢水阀，防止烫伤，不锈钢电热管。</w:t>
            </w:r>
          </w:p>
          <w:p w14:paraId="4F75275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电量：12KW/380V；</w:t>
            </w:r>
          </w:p>
          <w:p w14:paraId="6CB1CDA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规格：720×710×1685</w:t>
            </w:r>
          </w:p>
        </w:tc>
        <w:tc>
          <w:tcPr>
            <w:tcW w:w="1031" w:type="dxa"/>
            <w:tcBorders>
              <w:left w:val="single" w:color="auto" w:sz="4" w:space="0"/>
              <w:right w:val="single" w:color="auto" w:sz="4" w:space="0"/>
            </w:tcBorders>
            <w:noWrap w:val="0"/>
            <w:vAlign w:val="center"/>
          </w:tcPr>
          <w:p w14:paraId="78D63CB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68A3040A">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31A53F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855091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76555" cy="751205"/>
                  <wp:effectExtent l="0" t="0" r="4445" b="10795"/>
                  <wp:docPr id="740" name="图片 9" descr="1557887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9" descr="1557887623(1)"/>
                          <pic:cNvPicPr>
                            <a:picLocks noChangeAspect="1"/>
                          </pic:cNvPicPr>
                        </pic:nvPicPr>
                        <pic:blipFill>
                          <a:blip r:embed="rId36"/>
                          <a:stretch>
                            <a:fillRect/>
                          </a:stretch>
                        </pic:blipFill>
                        <pic:spPr>
                          <a:xfrm>
                            <a:off x="0" y="0"/>
                            <a:ext cx="376555" cy="751205"/>
                          </a:xfrm>
                          <a:prstGeom prst="rect">
                            <a:avLst/>
                          </a:prstGeom>
                          <a:noFill/>
                          <a:ln>
                            <a:noFill/>
                          </a:ln>
                        </pic:spPr>
                      </pic:pic>
                    </a:graphicData>
                  </a:graphic>
                </wp:inline>
              </w:drawing>
            </w:r>
          </w:p>
        </w:tc>
      </w:tr>
      <w:tr w14:paraId="56892D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E108F4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A95473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定制蒸饭盘车（</w:t>
            </w:r>
            <w:r>
              <w:rPr>
                <w:rFonts w:hint="eastAsia" w:ascii="宋体" w:hAnsi="宋体" w:cs="宋体"/>
                <w:color w:val="000000"/>
                <w:kern w:val="2"/>
                <w:sz w:val="21"/>
                <w:szCs w:val="21"/>
                <w:highlight w:val="none"/>
                <w:lang w:val="en-US" w:eastAsia="zh-CN" w:bidi="ar"/>
              </w:rPr>
              <w:t>30</w:t>
            </w:r>
            <w:r>
              <w:rPr>
                <w:rFonts w:hint="eastAsia" w:ascii="宋体" w:hAnsi="宋体" w:eastAsia="宋体" w:cs="宋体"/>
                <w:color w:val="000000"/>
                <w:kern w:val="2"/>
                <w:sz w:val="21"/>
                <w:szCs w:val="21"/>
                <w:highlight w:val="none"/>
                <w:lang w:val="en-US" w:eastAsia="zh-CN" w:bidi="ar"/>
              </w:rPr>
              <w:t>盘蒸饭盘）</w:t>
            </w:r>
          </w:p>
          <w:p w14:paraId="5BD84CB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说明：选用SUS304-2B优质不锈钢板制作，</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 xml:space="preserve"> ，30×30方管；其余δ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mm；可存放42盆。配承重静音脚轮，其中两只带刹车掣。</w:t>
            </w:r>
          </w:p>
        </w:tc>
        <w:tc>
          <w:tcPr>
            <w:tcW w:w="1031" w:type="dxa"/>
            <w:tcBorders>
              <w:left w:val="single" w:color="auto" w:sz="4" w:space="0"/>
              <w:right w:val="single" w:color="auto" w:sz="4" w:space="0"/>
            </w:tcBorders>
            <w:noWrap w:val="0"/>
            <w:vAlign w:val="center"/>
          </w:tcPr>
          <w:p w14:paraId="5F9F977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7250940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6238C5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38B3C6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40690" cy="729615"/>
                  <wp:effectExtent l="0" t="0" r="16510" b="13335"/>
                  <wp:docPr id="26" name="图片 2" descr="烘盘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烘盘架车"/>
                          <pic:cNvPicPr>
                            <a:picLocks noChangeAspect="1"/>
                          </pic:cNvPicPr>
                        </pic:nvPicPr>
                        <pic:blipFill>
                          <a:blip r:embed="rId29"/>
                          <a:stretch>
                            <a:fillRect/>
                          </a:stretch>
                        </pic:blipFill>
                        <pic:spPr>
                          <a:xfrm>
                            <a:off x="0" y="0"/>
                            <a:ext cx="440690" cy="729615"/>
                          </a:xfrm>
                          <a:prstGeom prst="rect">
                            <a:avLst/>
                          </a:prstGeom>
                          <a:noFill/>
                          <a:ln>
                            <a:noFill/>
                          </a:ln>
                        </pic:spPr>
                      </pic:pic>
                    </a:graphicData>
                  </a:graphic>
                </wp:inline>
              </w:drawing>
            </w:r>
          </w:p>
        </w:tc>
      </w:tr>
      <w:tr w14:paraId="08DCC1A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89AC33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shd w:val="clear" w:color="auto" w:fill="auto"/>
            <w:noWrap w:val="0"/>
            <w:vAlign w:val="center"/>
          </w:tcPr>
          <w:p w14:paraId="20704309">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电磁自动摇摆汤炉</w:t>
            </w:r>
            <w:r>
              <w:rPr>
                <w:rFonts w:hint="eastAsia" w:ascii="宋体" w:hAnsi="宋体" w:cs="宋体"/>
                <w:color w:val="000000"/>
                <w:kern w:val="2"/>
                <w:sz w:val="21"/>
                <w:szCs w:val="21"/>
                <w:highlight w:val="none"/>
                <w:lang w:val="en-US" w:eastAsia="zh-CN" w:bidi="ar"/>
              </w:rPr>
              <w:t>（提供样品）</w:t>
            </w:r>
          </w:p>
          <w:p w14:paraId="5BA075B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说明：—采用通过食品接触产品安全及产品卫生认证304#复合底加厚锅，卤肉，炖汤，煲稀饭不变味不变色不糊底。</w:t>
            </w:r>
          </w:p>
          <w:p w14:paraId="6C2B75B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—采用双色亮灯倾斜复位开关，汤桶在40秒内一键倾斜到90°及180°复位。</w:t>
            </w:r>
          </w:p>
          <w:p w14:paraId="3076D1C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—采用锌合金八档开关及一键防勿动开关，紧急情况能准确无误停止设备运行。</w:t>
            </w:r>
          </w:p>
          <w:p w14:paraId="0DB3A0E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—采用双层汤桶盖，智能辨别锅盖位置，锅盖在闭合状态下汤桶无法实现动态位移工作。</w:t>
            </w:r>
          </w:p>
          <w:p w14:paraId="375524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—机芯核心部件采用不同导热特殊材料灌封，散热的同时又能达到防水，防潮效果。</w:t>
            </w:r>
          </w:p>
          <w:p w14:paraId="26FFA9B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—采用识字量运算控制，智能调节算法真正实现对功率、频率、温度、电源、电压、电流、相位、频率等参数的数字化控制。</w:t>
            </w:r>
          </w:p>
          <w:p w14:paraId="4502641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—采用变频送风技术，同步感应追踪多路工作点温度，大大增加散热系统使用寿命，有效防止散热系统堵塞。</w:t>
            </w:r>
          </w:p>
          <w:p w14:paraId="4A06A38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—线盘采用耐高温高频线制作锅底发热均匀无盲区同时提高有效热能降低用电成本。</w:t>
            </w:r>
          </w:p>
          <w:p w14:paraId="028EDB2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—显示器体现公司名称、400电话、累计用电量、当前档位及当前功率、动态加热火苗、中文故障显示，便捷操作及售后管理。</w:t>
            </w:r>
          </w:p>
          <w:p w14:paraId="52FE142D">
            <w:pPr>
              <w:keepNext w:val="0"/>
              <w:keepLines w:val="0"/>
              <w:pageBreakBefore w:val="0"/>
              <w:kinsoku/>
              <w:wordWrap/>
              <w:overflowPunct/>
              <w:topLinePunct w:val="0"/>
              <w:autoSpaceDE/>
              <w:autoSpaceDN/>
              <w:bidi w:val="0"/>
              <w:spacing w:line="240" w:lineRule="auto"/>
              <w:jc w:val="both"/>
              <w:rPr>
                <w:rFonts w:hint="eastAsia" w:ascii="Arial" w:hAnsi="Arial" w:eastAsia="宋体" w:cs="Arial"/>
                <w:b/>
                <w:bCs/>
                <w:color w:val="000000"/>
                <w:kern w:val="2"/>
                <w:sz w:val="20"/>
                <w:szCs w:val="24"/>
                <w:highlight w:val="none"/>
                <w:lang w:val="en-US" w:eastAsia="zh-CN" w:bidi="ar"/>
              </w:rPr>
            </w:pPr>
            <w:r>
              <w:rPr>
                <w:rFonts w:hint="eastAsia" w:ascii="Arial" w:hAnsi="Arial" w:eastAsia="宋体" w:cs="Arial"/>
                <w:b/>
                <w:bCs/>
                <w:color w:val="000000"/>
                <w:kern w:val="2"/>
                <w:sz w:val="20"/>
                <w:szCs w:val="24"/>
                <w:highlight w:val="none"/>
                <w:lang w:val="en-US" w:eastAsia="zh-CN" w:bidi="ar"/>
              </w:rPr>
              <w:t>★所投电磁自动摇摆汤炉产品依据GB/T 208-2017标准，对以下项目进行检测并达到合格：①灰尘无法进入产品内部，直径1mm的金属试验线无法进入壳内合格；②水深：2米、时间：30分钟状态下水无法进入产品内部合格。提供检测报告复印件（带CNAS或CMA标识）和产品防护等级≥IP67的证书复印件。不提供或不满足视为负偏离。</w:t>
            </w:r>
          </w:p>
          <w:p w14:paraId="5D2B599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电量：20kw/380V</w:t>
            </w:r>
          </w:p>
          <w:p w14:paraId="2A19152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规格：1450×1000×1000</w:t>
            </w:r>
          </w:p>
        </w:tc>
        <w:tc>
          <w:tcPr>
            <w:tcW w:w="1031" w:type="dxa"/>
            <w:tcBorders>
              <w:left w:val="single" w:color="auto" w:sz="4" w:space="0"/>
              <w:right w:val="single" w:color="auto" w:sz="4" w:space="0"/>
            </w:tcBorders>
            <w:noWrap w:val="0"/>
            <w:vAlign w:val="center"/>
          </w:tcPr>
          <w:p w14:paraId="0FB07B1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009EB70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FE0AB2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4EDA6EB">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30555" cy="781050"/>
                  <wp:effectExtent l="0" t="0" r="17145" b="0"/>
                  <wp:docPr id="189" name="图片 31" descr="自动摇摆汤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31" descr="自动摇摆汤炉2"/>
                          <pic:cNvPicPr>
                            <a:picLocks noChangeAspect="1"/>
                          </pic:cNvPicPr>
                        </pic:nvPicPr>
                        <pic:blipFill>
                          <a:blip r:embed="rId37"/>
                          <a:stretch>
                            <a:fillRect/>
                          </a:stretch>
                        </pic:blipFill>
                        <pic:spPr>
                          <a:xfrm>
                            <a:off x="0" y="0"/>
                            <a:ext cx="630555" cy="781050"/>
                          </a:xfrm>
                          <a:prstGeom prst="rect">
                            <a:avLst/>
                          </a:prstGeom>
                          <a:noFill/>
                          <a:ln w="9525">
                            <a:noFill/>
                          </a:ln>
                        </pic:spPr>
                      </pic:pic>
                    </a:graphicData>
                  </a:graphic>
                </wp:inline>
              </w:drawing>
            </w:r>
          </w:p>
        </w:tc>
      </w:tr>
      <w:tr w14:paraId="0FC9A4B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4DB43C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F5B901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豪华方形不锈钢脱排油烟罩</w:t>
            </w:r>
          </w:p>
          <w:p w14:paraId="0B48148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，双层隔油排。(风机、风柜及风管另计)。</w:t>
            </w:r>
          </w:p>
          <w:p w14:paraId="5AC60E8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规格：7000×1300×500</w:t>
            </w:r>
          </w:p>
        </w:tc>
        <w:tc>
          <w:tcPr>
            <w:tcW w:w="1031" w:type="dxa"/>
            <w:tcBorders>
              <w:left w:val="single" w:color="auto" w:sz="4" w:space="0"/>
              <w:right w:val="single" w:color="auto" w:sz="4" w:space="0"/>
            </w:tcBorders>
            <w:noWrap w:val="0"/>
            <w:vAlign w:val="center"/>
          </w:tcPr>
          <w:p w14:paraId="4E705A2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9.1㎡</w:t>
            </w:r>
          </w:p>
        </w:tc>
        <w:tc>
          <w:tcPr>
            <w:tcW w:w="911" w:type="dxa"/>
            <w:tcBorders>
              <w:left w:val="single" w:color="auto" w:sz="4" w:space="0"/>
              <w:right w:val="single" w:color="auto" w:sz="4" w:space="0"/>
            </w:tcBorders>
            <w:noWrap w:val="0"/>
            <w:vAlign w:val="center"/>
          </w:tcPr>
          <w:p w14:paraId="6F5FD9F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8C9966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63146E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sz w:val="21"/>
                <w:szCs w:val="21"/>
                <w:highlight w:val="none"/>
              </w:rPr>
              <w:drawing>
                <wp:inline distT="0" distB="0" distL="114300" distR="114300">
                  <wp:extent cx="615950" cy="567055"/>
                  <wp:effectExtent l="0" t="0" r="12700" b="4445"/>
                  <wp:docPr id="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pic:cNvPicPr>
                            <a:picLocks noChangeAspect="1"/>
                          </pic:cNvPicPr>
                        </pic:nvPicPr>
                        <pic:blipFill>
                          <a:blip r:embed="rId38"/>
                          <a:stretch>
                            <a:fillRect/>
                          </a:stretch>
                        </pic:blipFill>
                        <pic:spPr>
                          <a:xfrm flipH="1">
                            <a:off x="0" y="0"/>
                            <a:ext cx="615950" cy="567055"/>
                          </a:xfrm>
                          <a:prstGeom prst="rect">
                            <a:avLst/>
                          </a:prstGeom>
                          <a:noFill/>
                          <a:ln>
                            <a:noFill/>
                          </a:ln>
                        </pic:spPr>
                      </pic:pic>
                    </a:graphicData>
                  </a:graphic>
                </wp:inline>
              </w:drawing>
            </w:r>
          </w:p>
        </w:tc>
      </w:tr>
      <w:tr w14:paraId="299863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73683E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E7CBAF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烟罩上封板</w:t>
            </w:r>
          </w:p>
          <w:p w14:paraId="296B4E7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说明：采用SUS304-2B优质发纹贴塑不锈钢板制作，δ≥</w:t>
            </w:r>
            <w:r>
              <w:rPr>
                <w:rFonts w:hint="eastAsia" w:ascii="宋体" w:hAnsi="宋体" w:cs="宋体"/>
                <w:color w:val="000000"/>
                <w:kern w:val="2"/>
                <w:sz w:val="21"/>
                <w:szCs w:val="21"/>
                <w:highlight w:val="none"/>
                <w:lang w:val="en-US" w:eastAsia="zh-CN" w:bidi="ar"/>
              </w:rPr>
              <w:t>1.1mm</w:t>
            </w:r>
            <w:r>
              <w:rPr>
                <w:rFonts w:hint="eastAsia" w:ascii="宋体" w:hAnsi="宋体" w:eastAsia="宋体" w:cs="宋体"/>
                <w:color w:val="000000"/>
                <w:kern w:val="2"/>
                <w:sz w:val="21"/>
                <w:szCs w:val="21"/>
                <w:highlight w:val="none"/>
                <w:lang w:val="en-US" w:eastAsia="zh-CN" w:bidi="ar"/>
              </w:rPr>
              <w:t>。</w:t>
            </w:r>
          </w:p>
          <w:p w14:paraId="084AA64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规格：7000×</w:t>
            </w:r>
            <w:r>
              <w:rPr>
                <w:rFonts w:hint="eastAsia" w:ascii="宋体" w:hAnsi="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lang w:val="en-US" w:eastAsia="zh-CN" w:bidi="ar"/>
              </w:rPr>
              <w:t>00</w:t>
            </w:r>
          </w:p>
        </w:tc>
        <w:tc>
          <w:tcPr>
            <w:tcW w:w="1031" w:type="dxa"/>
            <w:tcBorders>
              <w:left w:val="single" w:color="auto" w:sz="4" w:space="0"/>
              <w:right w:val="single" w:color="auto" w:sz="4" w:space="0"/>
            </w:tcBorders>
            <w:noWrap w:val="0"/>
            <w:vAlign w:val="center"/>
          </w:tcPr>
          <w:p w14:paraId="720467A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5.6</w:t>
            </w:r>
            <w:r>
              <w:rPr>
                <w:rFonts w:hint="eastAsia" w:ascii="宋体" w:hAnsi="宋体" w:eastAsia="宋体" w:cs="宋体"/>
                <w:color w:val="000000"/>
                <w:kern w:val="2"/>
                <w:sz w:val="21"/>
                <w:szCs w:val="21"/>
                <w:highlight w:val="none"/>
                <w:lang w:val="en-US" w:eastAsia="zh-CN" w:bidi="ar"/>
              </w:rPr>
              <w:t>m²</w:t>
            </w:r>
          </w:p>
        </w:tc>
        <w:tc>
          <w:tcPr>
            <w:tcW w:w="911" w:type="dxa"/>
            <w:tcBorders>
              <w:left w:val="single" w:color="auto" w:sz="4" w:space="0"/>
              <w:right w:val="single" w:color="auto" w:sz="4" w:space="0"/>
            </w:tcBorders>
            <w:noWrap w:val="0"/>
            <w:vAlign w:val="center"/>
          </w:tcPr>
          <w:p w14:paraId="670577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EBD59C1">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19AA57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i w:val="0"/>
                <w:color w:val="000000"/>
                <w:kern w:val="0"/>
                <w:sz w:val="21"/>
                <w:szCs w:val="21"/>
                <w:highlight w:val="none"/>
                <w:u w:val="none"/>
                <w:lang w:val="en-US" w:eastAsia="zh-CN" w:bidi="ar"/>
              </w:rPr>
              <w:drawing>
                <wp:inline distT="0" distB="0" distL="114300" distR="114300">
                  <wp:extent cx="396240" cy="296545"/>
                  <wp:effectExtent l="0" t="0" r="3810" b="8255"/>
                  <wp:docPr id="72" name="图片 3"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 descr="1552310796(1)"/>
                          <pic:cNvPicPr>
                            <a:picLocks noChangeAspect="1"/>
                          </pic:cNvPicPr>
                        </pic:nvPicPr>
                        <pic:blipFill>
                          <a:blip r:embed="rId31"/>
                          <a:stretch>
                            <a:fillRect/>
                          </a:stretch>
                        </pic:blipFill>
                        <pic:spPr>
                          <a:xfrm>
                            <a:off x="0" y="0"/>
                            <a:ext cx="396240" cy="296545"/>
                          </a:xfrm>
                          <a:prstGeom prst="rect">
                            <a:avLst/>
                          </a:prstGeom>
                          <a:noFill/>
                          <a:ln>
                            <a:noFill/>
                          </a:ln>
                        </pic:spPr>
                      </pic:pic>
                    </a:graphicData>
                  </a:graphic>
                </wp:inline>
              </w:drawing>
            </w:r>
          </w:p>
        </w:tc>
      </w:tr>
      <w:tr w14:paraId="198646E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30D556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21D116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烟罩下封板</w:t>
            </w:r>
          </w:p>
          <w:p w14:paraId="60E2AD9F">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说明：采用SUS304-2B优质发纹贴塑不锈钢板制作，δ≥</w:t>
            </w:r>
            <w:r>
              <w:rPr>
                <w:rFonts w:hint="eastAsia" w:ascii="宋体" w:hAnsi="宋体" w:cs="宋体"/>
                <w:color w:val="000000"/>
                <w:kern w:val="2"/>
                <w:sz w:val="21"/>
                <w:szCs w:val="21"/>
                <w:highlight w:val="none"/>
                <w:lang w:val="en-US" w:eastAsia="zh-CN" w:bidi="ar"/>
              </w:rPr>
              <w:t>1.1mm</w:t>
            </w:r>
          </w:p>
          <w:p w14:paraId="16C1AAA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规格：7000×1800</w:t>
            </w:r>
          </w:p>
        </w:tc>
        <w:tc>
          <w:tcPr>
            <w:tcW w:w="1031" w:type="dxa"/>
            <w:tcBorders>
              <w:left w:val="single" w:color="auto" w:sz="4" w:space="0"/>
              <w:right w:val="single" w:color="auto" w:sz="4" w:space="0"/>
            </w:tcBorders>
            <w:noWrap w:val="0"/>
            <w:vAlign w:val="center"/>
          </w:tcPr>
          <w:p w14:paraId="067C8C7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12.6m²</w:t>
            </w:r>
          </w:p>
        </w:tc>
        <w:tc>
          <w:tcPr>
            <w:tcW w:w="911" w:type="dxa"/>
            <w:tcBorders>
              <w:left w:val="single" w:color="auto" w:sz="4" w:space="0"/>
              <w:right w:val="single" w:color="auto" w:sz="4" w:space="0"/>
            </w:tcBorders>
            <w:noWrap w:val="0"/>
            <w:vAlign w:val="center"/>
          </w:tcPr>
          <w:p w14:paraId="5E51A5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75CB80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A015E7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i w:val="0"/>
                <w:color w:val="000000"/>
                <w:kern w:val="0"/>
                <w:sz w:val="21"/>
                <w:szCs w:val="21"/>
                <w:highlight w:val="none"/>
                <w:u w:val="none"/>
                <w:lang w:val="en-US" w:eastAsia="zh-CN" w:bidi="ar"/>
              </w:rPr>
              <w:drawing>
                <wp:inline distT="0" distB="0" distL="114300" distR="114300">
                  <wp:extent cx="396240" cy="296545"/>
                  <wp:effectExtent l="0" t="0" r="3810" b="8255"/>
                  <wp:docPr id="74" name="图片 3"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 descr="1552310796(1)"/>
                          <pic:cNvPicPr>
                            <a:picLocks noChangeAspect="1"/>
                          </pic:cNvPicPr>
                        </pic:nvPicPr>
                        <pic:blipFill>
                          <a:blip r:embed="rId31"/>
                          <a:stretch>
                            <a:fillRect/>
                          </a:stretch>
                        </pic:blipFill>
                        <pic:spPr>
                          <a:xfrm>
                            <a:off x="0" y="0"/>
                            <a:ext cx="396240" cy="296545"/>
                          </a:xfrm>
                          <a:prstGeom prst="rect">
                            <a:avLst/>
                          </a:prstGeom>
                          <a:noFill/>
                          <a:ln>
                            <a:noFill/>
                          </a:ln>
                        </pic:spPr>
                      </pic:pic>
                    </a:graphicData>
                  </a:graphic>
                </wp:inline>
              </w:drawing>
            </w:r>
          </w:p>
        </w:tc>
      </w:tr>
      <w:tr w14:paraId="1CE29C0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6518F2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6D4ACC2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大单星盆台</w:t>
            </w:r>
          </w:p>
          <w:p w14:paraId="4AEB1E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1.0mm；配置Φ38mm不锈钢可调节重力子弹脚，配优质不锈钢落水器、拦渣斗。</w:t>
            </w:r>
          </w:p>
          <w:p w14:paraId="6B89FE3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规格：1500×800×(800+150)</w:t>
            </w:r>
          </w:p>
        </w:tc>
        <w:tc>
          <w:tcPr>
            <w:tcW w:w="1031" w:type="dxa"/>
            <w:tcBorders>
              <w:left w:val="single" w:color="auto" w:sz="4" w:space="0"/>
              <w:right w:val="single" w:color="auto" w:sz="4" w:space="0"/>
            </w:tcBorders>
            <w:noWrap w:val="0"/>
            <w:vAlign w:val="center"/>
          </w:tcPr>
          <w:p w14:paraId="2AC0838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B98F25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B96682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620242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15240" b="12065"/>
                  <wp:docPr id="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pic:cNvPicPr>
                            <a:picLocks noChangeAspect="1"/>
                          </pic:cNvPicPr>
                        </pic:nvPicPr>
                        <pic:blipFill>
                          <a:blip r:embed="rId13"/>
                          <a:stretch>
                            <a:fillRect/>
                          </a:stretch>
                        </pic:blipFill>
                        <pic:spPr>
                          <a:xfrm>
                            <a:off x="0" y="0"/>
                            <a:ext cx="632460" cy="578485"/>
                          </a:xfrm>
                          <a:prstGeom prst="rect">
                            <a:avLst/>
                          </a:prstGeom>
                          <a:noFill/>
                          <a:ln>
                            <a:noFill/>
                          </a:ln>
                        </pic:spPr>
                      </pic:pic>
                    </a:graphicData>
                  </a:graphic>
                </wp:inline>
              </w:drawing>
            </w:r>
          </w:p>
        </w:tc>
      </w:tr>
      <w:tr w14:paraId="0BC046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F08CCFB">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05F1A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二次更衣</w:t>
            </w:r>
          </w:p>
        </w:tc>
        <w:tc>
          <w:tcPr>
            <w:tcW w:w="1031" w:type="dxa"/>
            <w:tcBorders>
              <w:left w:val="single" w:color="auto" w:sz="4" w:space="0"/>
              <w:right w:val="single" w:color="auto" w:sz="4" w:space="0"/>
            </w:tcBorders>
            <w:noWrap w:val="0"/>
            <w:vAlign w:val="center"/>
          </w:tcPr>
          <w:p w14:paraId="301A81F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2156198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18EDC1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4CC17A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p>
        </w:tc>
      </w:tr>
      <w:tr w14:paraId="2562C9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56AF01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174412B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挂式洗手星盆</w:t>
            </w:r>
          </w:p>
          <w:p w14:paraId="38B9E36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，配优质不锈钢落水器、拦渣斗。</w:t>
            </w:r>
          </w:p>
          <w:p w14:paraId="0F0B2FE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规格：400×450×（200+150）</w:t>
            </w:r>
          </w:p>
        </w:tc>
        <w:tc>
          <w:tcPr>
            <w:tcW w:w="1031" w:type="dxa"/>
            <w:tcBorders>
              <w:left w:val="single" w:color="auto" w:sz="4" w:space="0"/>
              <w:right w:val="single" w:color="auto" w:sz="4" w:space="0"/>
            </w:tcBorders>
            <w:noWrap w:val="0"/>
            <w:vAlign w:val="center"/>
          </w:tcPr>
          <w:p w14:paraId="5C9C19A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4F98872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76611F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A48F0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rPr>
              <w:drawing>
                <wp:inline distT="0" distB="0" distL="114300" distR="114300">
                  <wp:extent cx="685800" cy="408940"/>
                  <wp:effectExtent l="0" t="0" r="0" b="1016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6"/>
                          <a:stretch>
                            <a:fillRect/>
                          </a:stretch>
                        </pic:blipFill>
                        <pic:spPr>
                          <a:xfrm>
                            <a:off x="0" y="0"/>
                            <a:ext cx="685800" cy="408940"/>
                          </a:xfrm>
                          <a:prstGeom prst="rect">
                            <a:avLst/>
                          </a:prstGeom>
                          <a:noFill/>
                          <a:ln w="9525">
                            <a:noFill/>
                          </a:ln>
                        </pic:spPr>
                      </pic:pic>
                    </a:graphicData>
                  </a:graphic>
                </wp:inline>
              </w:drawing>
            </w:r>
          </w:p>
        </w:tc>
      </w:tr>
      <w:tr w14:paraId="275FBA1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2362E0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DCF5E7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感应水龙头</w:t>
            </w:r>
          </w:p>
          <w:p w14:paraId="46185B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说明：单孔装台面龙头，配G1/1′进水接头，出水管中心距60mm，4′对中镀铬镍黄铜本体。</w:t>
            </w:r>
          </w:p>
        </w:tc>
        <w:tc>
          <w:tcPr>
            <w:tcW w:w="1031" w:type="dxa"/>
            <w:tcBorders>
              <w:left w:val="single" w:color="auto" w:sz="4" w:space="0"/>
              <w:right w:val="single" w:color="auto" w:sz="4" w:space="0"/>
            </w:tcBorders>
            <w:noWrap w:val="0"/>
            <w:vAlign w:val="center"/>
          </w:tcPr>
          <w:p w14:paraId="1A8BFA3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1个</w:t>
            </w:r>
          </w:p>
        </w:tc>
        <w:tc>
          <w:tcPr>
            <w:tcW w:w="911" w:type="dxa"/>
            <w:tcBorders>
              <w:left w:val="single" w:color="auto" w:sz="4" w:space="0"/>
              <w:right w:val="single" w:color="auto" w:sz="4" w:space="0"/>
            </w:tcBorders>
            <w:noWrap w:val="0"/>
            <w:vAlign w:val="center"/>
          </w:tcPr>
          <w:p w14:paraId="3EA982D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E9DAAD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B7FA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10210" cy="310515"/>
                  <wp:effectExtent l="0" t="0" r="8890" b="1333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7"/>
                          <a:stretch>
                            <a:fillRect/>
                          </a:stretch>
                        </pic:blipFill>
                        <pic:spPr>
                          <a:xfrm>
                            <a:off x="0" y="0"/>
                            <a:ext cx="410210" cy="310515"/>
                          </a:xfrm>
                          <a:prstGeom prst="rect">
                            <a:avLst/>
                          </a:prstGeom>
                          <a:noFill/>
                          <a:ln>
                            <a:noFill/>
                          </a:ln>
                        </pic:spPr>
                      </pic:pic>
                    </a:graphicData>
                  </a:graphic>
                </wp:inline>
              </w:drawing>
            </w:r>
          </w:p>
        </w:tc>
      </w:tr>
      <w:tr w14:paraId="12D5DA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F6A2B4A">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181A538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干手器</w:t>
            </w:r>
          </w:p>
          <w:p w14:paraId="3F3D9CA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说明：智能全自动感应，涡轮增压风箱，强劲风力，安全保护，为洁净双手保驾护航。</w:t>
            </w:r>
          </w:p>
          <w:p w14:paraId="629C905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功率：2000W/220V</w:t>
            </w:r>
          </w:p>
        </w:tc>
        <w:tc>
          <w:tcPr>
            <w:tcW w:w="1031" w:type="dxa"/>
            <w:tcBorders>
              <w:left w:val="single" w:color="auto" w:sz="4" w:space="0"/>
              <w:right w:val="single" w:color="auto" w:sz="4" w:space="0"/>
            </w:tcBorders>
            <w:noWrap w:val="0"/>
            <w:vAlign w:val="center"/>
          </w:tcPr>
          <w:p w14:paraId="12820A6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79F536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862EEE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3AA477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drawing>
                <wp:anchor distT="0" distB="0" distL="114300" distR="114300" simplePos="0" relativeHeight="251662336" behindDoc="0" locked="0" layoutInCell="1" allowOverlap="1">
                  <wp:simplePos x="0" y="0"/>
                  <wp:positionH relativeFrom="column">
                    <wp:posOffset>-1270</wp:posOffset>
                  </wp:positionH>
                  <wp:positionV relativeFrom="paragraph">
                    <wp:posOffset>43180</wp:posOffset>
                  </wp:positionV>
                  <wp:extent cx="636905" cy="501015"/>
                  <wp:effectExtent l="0" t="0" r="10795" b="13335"/>
                  <wp:wrapSquare wrapText="bothSides"/>
                  <wp:docPr id="17" name="图片 17"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img (1)"/>
                          <pic:cNvPicPr>
                            <a:picLocks noChangeAspect="1"/>
                          </pic:cNvPicPr>
                        </pic:nvPicPr>
                        <pic:blipFill>
                          <a:blip r:embed="rId8"/>
                          <a:stretch>
                            <a:fillRect/>
                          </a:stretch>
                        </pic:blipFill>
                        <pic:spPr>
                          <a:xfrm>
                            <a:off x="0" y="0"/>
                            <a:ext cx="636905" cy="501015"/>
                          </a:xfrm>
                          <a:prstGeom prst="rect">
                            <a:avLst/>
                          </a:prstGeom>
                        </pic:spPr>
                      </pic:pic>
                    </a:graphicData>
                  </a:graphic>
                </wp:anchor>
              </w:drawing>
            </w:r>
          </w:p>
        </w:tc>
      </w:tr>
      <w:tr w14:paraId="011EF7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75205BE">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028582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热菜保温间</w:t>
            </w:r>
          </w:p>
        </w:tc>
        <w:tc>
          <w:tcPr>
            <w:tcW w:w="1031" w:type="dxa"/>
            <w:tcBorders>
              <w:left w:val="single" w:color="auto" w:sz="4" w:space="0"/>
              <w:right w:val="single" w:color="auto" w:sz="4" w:space="0"/>
            </w:tcBorders>
            <w:noWrap w:val="0"/>
            <w:vAlign w:val="center"/>
          </w:tcPr>
          <w:p w14:paraId="323F966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5469ECA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D9E705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FE0061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lang w:eastAsia="zh-CN"/>
              </w:rPr>
            </w:pPr>
          </w:p>
        </w:tc>
      </w:tr>
      <w:tr w14:paraId="5B3FFA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50D49B8">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jc w:val="center"/>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E61FCE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双门保温柜</w:t>
            </w:r>
          </w:p>
          <w:p w14:paraId="1B46D48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说明：选用 SUS304-2B 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，横通 25×38×1.2mm；脚φ38×1.2mm（配有可调子弹脚）；可容纳快餐盘200套，配温控器。</w:t>
            </w:r>
          </w:p>
        </w:tc>
        <w:tc>
          <w:tcPr>
            <w:tcW w:w="1031" w:type="dxa"/>
            <w:tcBorders>
              <w:left w:val="single" w:color="auto" w:sz="4" w:space="0"/>
              <w:right w:val="single" w:color="auto" w:sz="4" w:space="0"/>
            </w:tcBorders>
            <w:noWrap w:val="0"/>
            <w:vAlign w:val="center"/>
          </w:tcPr>
          <w:p w14:paraId="763E8D2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3E35025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B54FEF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05007C4">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40055" cy="461010"/>
                  <wp:effectExtent l="0" t="0" r="17145" b="15240"/>
                  <wp:docPr id="7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4"/>
                          <pic:cNvPicPr>
                            <a:picLocks noChangeAspect="1"/>
                          </pic:cNvPicPr>
                        </pic:nvPicPr>
                        <pic:blipFill>
                          <a:blip r:embed="rId39"/>
                          <a:stretch>
                            <a:fillRect/>
                          </a:stretch>
                        </pic:blipFill>
                        <pic:spPr>
                          <a:xfrm>
                            <a:off x="0" y="0"/>
                            <a:ext cx="440055" cy="461010"/>
                          </a:xfrm>
                          <a:prstGeom prst="rect">
                            <a:avLst/>
                          </a:prstGeom>
                          <a:noFill/>
                          <a:ln>
                            <a:noFill/>
                          </a:ln>
                        </pic:spPr>
                      </pic:pic>
                    </a:graphicData>
                  </a:graphic>
                </wp:inline>
              </w:drawing>
            </w:r>
          </w:p>
        </w:tc>
      </w:tr>
      <w:tr w14:paraId="01181DE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C7D7752">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FF"/>
                <w:sz w:val="21"/>
                <w:szCs w:val="21"/>
                <w:highlight w:val="none"/>
              </w:rPr>
            </w:pPr>
          </w:p>
        </w:tc>
        <w:tc>
          <w:tcPr>
            <w:tcW w:w="4209" w:type="dxa"/>
            <w:tcBorders>
              <w:left w:val="single" w:color="auto" w:sz="4" w:space="0"/>
              <w:right w:val="single" w:color="auto" w:sz="4" w:space="0"/>
            </w:tcBorders>
            <w:noWrap w:val="0"/>
            <w:vAlign w:val="center"/>
          </w:tcPr>
          <w:p w14:paraId="003FCCA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FF"/>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洗消间</w:t>
            </w:r>
          </w:p>
        </w:tc>
        <w:tc>
          <w:tcPr>
            <w:tcW w:w="1031" w:type="dxa"/>
            <w:tcBorders>
              <w:left w:val="single" w:color="auto" w:sz="4" w:space="0"/>
              <w:right w:val="single" w:color="auto" w:sz="4" w:space="0"/>
            </w:tcBorders>
            <w:noWrap w:val="0"/>
            <w:vAlign w:val="center"/>
          </w:tcPr>
          <w:p w14:paraId="517B80D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4EB6095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2447AD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5181D5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p>
        </w:tc>
      </w:tr>
      <w:tr w14:paraId="64D877B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D8DB49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206711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双孔泔水台车</w:t>
            </w:r>
          </w:p>
          <w:p w14:paraId="57E1D8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，侧门、后板、低板</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，配置不锈钢Φ38×38×1.0mm方管及可调重力子弹脚，（车、桶、台配套）。</w:t>
            </w:r>
          </w:p>
          <w:p w14:paraId="0E624D9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规格：1500×700×800   </w:t>
            </w:r>
          </w:p>
        </w:tc>
        <w:tc>
          <w:tcPr>
            <w:tcW w:w="1031" w:type="dxa"/>
            <w:tcBorders>
              <w:left w:val="single" w:color="auto" w:sz="4" w:space="0"/>
              <w:right w:val="single" w:color="auto" w:sz="4" w:space="0"/>
            </w:tcBorders>
            <w:noWrap w:val="0"/>
            <w:vAlign w:val="center"/>
          </w:tcPr>
          <w:p w14:paraId="58B19A1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1CD505F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1610A2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930B6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0" distR="0">
                  <wp:extent cx="685165" cy="494030"/>
                  <wp:effectExtent l="0" t="0" r="635" b="1270"/>
                  <wp:docPr id="68"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9.jpeg"/>
                          <pic:cNvPicPr>
                            <a:picLocks noChangeAspect="1"/>
                          </pic:cNvPicPr>
                        </pic:nvPicPr>
                        <pic:blipFill>
                          <a:blip r:embed="rId40" cstate="print"/>
                          <a:stretch>
                            <a:fillRect/>
                          </a:stretch>
                        </pic:blipFill>
                        <pic:spPr>
                          <a:xfrm>
                            <a:off x="0" y="0"/>
                            <a:ext cx="685341" cy="494061"/>
                          </a:xfrm>
                          <a:prstGeom prst="rect">
                            <a:avLst/>
                          </a:prstGeom>
                        </pic:spPr>
                      </pic:pic>
                    </a:graphicData>
                  </a:graphic>
                </wp:inline>
              </w:drawing>
            </w:r>
          </w:p>
        </w:tc>
      </w:tr>
      <w:tr w14:paraId="3EB7144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02FADFE">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47D2D0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全自动长龙洗碗机带烘干</w:t>
            </w:r>
          </w:p>
          <w:p w14:paraId="21DA6B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说明：1.洗碗机由鼓泡水池、主洗区、双漂洗区、烘干区、出端区等模块组成。</w:t>
            </w:r>
          </w:p>
          <w:p w14:paraId="7067A94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2.鼓泡水池尺寸3500mm, 主洗区尺寸800mm，双漂洗区尺寸600mm,烘干区尺寸1000mm,出口端尺寸600mm；采用机械控制，操作界面直观，清楚快捷。</w:t>
            </w:r>
          </w:p>
          <w:p w14:paraId="478B396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3.采用工业化自动连续清洗，适用多品种餐具集中洗涤、容量大、效率高、操作简单方便易懂。</w:t>
            </w:r>
          </w:p>
          <w:p w14:paraId="27262D0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4.超低的耗水量,大大的节省电力.催干剂.洗涤剂。</w:t>
            </w:r>
          </w:p>
          <w:p w14:paraId="45FC7E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5.前门双层结构，隔热.隔音.节约能源且操作舒适。</w:t>
            </w:r>
          </w:p>
          <w:p w14:paraId="09D6CC2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6.独特的双喷淋系统，高温消毒。</w:t>
            </w:r>
          </w:p>
          <w:p w14:paraId="593E4A6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7.自清洗功能，最大程度的保证卫生与清洁。</w:t>
            </w:r>
          </w:p>
          <w:p w14:paraId="018E706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8.洗涤量大,适用于各种餐具,浸泡池中带鼓泡风机可将碗碟上的垃圾吹松.吹掉。</w:t>
            </w:r>
          </w:p>
          <w:p w14:paraId="1D0CD27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9.进端浸泡池有鼓泡清洗功能，可将碟盘上的残渣除掉，浸泡池配置提拉式接渣过滤装置，并且抽屉滤网在机器运行过程中也能够及时取出进行清洁。</w:t>
            </w:r>
          </w:p>
          <w:p w14:paraId="5D3478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10.网带式输送结构，采用斜插式传送带，由不锈钢和食品级网爪组合式网带，操作安放简便，适用范围广。</w:t>
            </w:r>
          </w:p>
          <w:p w14:paraId="74C5073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11.烘干系统由强力离心风机和干烧电热管组成。漂洗后的餐具经过风口由强力吹掉大水珠，然后在经过高温烘干加热对餐具进行消毒杀菌烘干等处理，风机采用大功率2.2KW,烘干率达到90%以上。</w:t>
            </w:r>
          </w:p>
          <w:p w14:paraId="64DA3D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12.传送机构采用施耐德变频器控制速度，实现无极变速。</w:t>
            </w:r>
          </w:p>
          <w:p w14:paraId="5F863C9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14.出口端餐具自动滑出，简便实用。</w:t>
            </w:r>
          </w:p>
          <w:p w14:paraId="528DECC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15.机器入口宽度       ：750 mm</w:t>
            </w:r>
          </w:p>
          <w:p w14:paraId="15039E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16.最大洗涤高度       ：420 mm          </w:t>
            </w:r>
          </w:p>
          <w:p w14:paraId="3BBBB70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17.最大洗涤量         ：4500-6000碟/小时  </w:t>
            </w:r>
          </w:p>
          <w:p w14:paraId="779A825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18.耗水量             ：400-500L             </w:t>
            </w:r>
          </w:p>
          <w:p w14:paraId="1A83C61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19.洗涤温度           ：55-60℃</w:t>
            </w:r>
          </w:p>
          <w:p w14:paraId="0FCD31A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20.漂洗温度           ：82℃</w:t>
            </w:r>
          </w:p>
          <w:p w14:paraId="7F63D8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21.进水压力           ：0.15-0.4Mpa        </w:t>
            </w:r>
          </w:p>
          <w:p w14:paraId="0A0E213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22.电源要求           ：380V/50Hz/3N           </w:t>
            </w:r>
          </w:p>
          <w:p w14:paraId="11E2B23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23.加热方式           ：电加热型</w:t>
            </w:r>
          </w:p>
          <w:p w14:paraId="55A79B8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24.电加热型功率       ：80.5kW</w:t>
            </w:r>
          </w:p>
          <w:p w14:paraId="483259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规格：6500×1000×2040mm(±5%)</w:t>
            </w:r>
          </w:p>
        </w:tc>
        <w:tc>
          <w:tcPr>
            <w:tcW w:w="1031" w:type="dxa"/>
            <w:tcBorders>
              <w:left w:val="single" w:color="auto" w:sz="4" w:space="0"/>
              <w:right w:val="single" w:color="auto" w:sz="4" w:space="0"/>
            </w:tcBorders>
            <w:noWrap w:val="0"/>
            <w:vAlign w:val="center"/>
          </w:tcPr>
          <w:p w14:paraId="38134FD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552479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C2236F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87789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i w:val="0"/>
                <w:iCs w:val="0"/>
                <w:color w:val="auto"/>
                <w:kern w:val="0"/>
                <w:sz w:val="22"/>
                <w:szCs w:val="22"/>
                <w:highlight w:val="none"/>
                <w:u w:val="none"/>
                <w:lang w:val="en-US" w:eastAsia="zh-CN" w:bidi="ar"/>
              </w:rPr>
            </w:pPr>
            <w:r>
              <w:rPr>
                <w:highlight w:val="none"/>
              </w:rPr>
              <w:drawing>
                <wp:inline distT="0" distB="0" distL="114300" distR="114300">
                  <wp:extent cx="418465" cy="718185"/>
                  <wp:effectExtent l="0" t="0" r="635" b="571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41"/>
                          <a:stretch>
                            <a:fillRect/>
                          </a:stretch>
                        </pic:blipFill>
                        <pic:spPr>
                          <a:xfrm>
                            <a:off x="0" y="0"/>
                            <a:ext cx="418465" cy="718185"/>
                          </a:xfrm>
                          <a:prstGeom prst="rect">
                            <a:avLst/>
                          </a:prstGeom>
                          <a:noFill/>
                          <a:ln w="9525">
                            <a:noFill/>
                          </a:ln>
                        </pic:spPr>
                      </pic:pic>
                    </a:graphicData>
                  </a:graphic>
                </wp:inline>
              </w:drawing>
            </w:r>
          </w:p>
        </w:tc>
      </w:tr>
      <w:tr w14:paraId="17AA6E6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F02AD8D">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00A24A8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小件投掷柜</w:t>
            </w:r>
          </w:p>
          <w:p w14:paraId="66237CC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说明：整体选用SUS304-2B不锈钢板制作，防腐蚀，强度高，韧性好；确保食品卫生。面板δ</w:t>
            </w:r>
            <w:r>
              <w:rPr>
                <w:rFonts w:hint="eastAsia" w:ascii="宋体" w:hAnsi="宋体" w:cs="宋体"/>
                <w:color w:val="000000"/>
                <w:kern w:val="2"/>
                <w:sz w:val="21"/>
                <w:szCs w:val="21"/>
                <w:highlight w:val="none"/>
                <w:lang w:val="en-US" w:eastAsia="zh-CN" w:bidi="ar"/>
              </w:rPr>
              <w:t>≥1.1</w:t>
            </w:r>
            <w:r>
              <w:rPr>
                <w:rFonts w:hint="eastAsia" w:ascii="宋体" w:hAnsi="宋体" w:eastAsia="宋体" w:cs="宋体"/>
                <w:color w:val="000000"/>
                <w:kern w:val="2"/>
                <w:sz w:val="21"/>
                <w:szCs w:val="21"/>
                <w:highlight w:val="none"/>
                <w:lang w:val="en-US" w:eastAsia="zh-CN" w:bidi="ar"/>
              </w:rPr>
              <w:t xml:space="preserve">mm，防腐蚀，强度高，韧性好；确保食品卫生,脚φ41×1.0mm配有可调子弹脚。                                                                         </w:t>
            </w:r>
          </w:p>
          <w:p w14:paraId="426D06B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注：内置垃圾桶需用户自理。</w:t>
            </w:r>
          </w:p>
          <w:p w14:paraId="20F4DFB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规格：1000×350×850/750</w:t>
            </w:r>
          </w:p>
        </w:tc>
        <w:tc>
          <w:tcPr>
            <w:tcW w:w="1031" w:type="dxa"/>
            <w:tcBorders>
              <w:left w:val="single" w:color="auto" w:sz="4" w:space="0"/>
              <w:right w:val="single" w:color="auto" w:sz="4" w:space="0"/>
            </w:tcBorders>
            <w:noWrap w:val="0"/>
            <w:vAlign w:val="center"/>
          </w:tcPr>
          <w:p w14:paraId="35D86E0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4.8米</w:t>
            </w:r>
          </w:p>
        </w:tc>
        <w:tc>
          <w:tcPr>
            <w:tcW w:w="911" w:type="dxa"/>
            <w:tcBorders>
              <w:left w:val="single" w:color="auto" w:sz="4" w:space="0"/>
              <w:right w:val="single" w:color="auto" w:sz="4" w:space="0"/>
            </w:tcBorders>
            <w:noWrap w:val="0"/>
            <w:vAlign w:val="center"/>
          </w:tcPr>
          <w:p w14:paraId="28B0704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094985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7A9502A">
            <w:pPr>
              <w:keepNext w:val="0"/>
              <w:keepLines w:val="0"/>
              <w:pageBreakBefore w:val="0"/>
              <w:numPr>
                <w:ilvl w:val="0"/>
                <w:numId w:val="0"/>
              </w:numPr>
              <w:tabs>
                <w:tab w:val="center" w:pos="5812"/>
                <w:tab w:val="decimal" w:pos="8789"/>
              </w:tabs>
              <w:kinsoku/>
              <w:wordWrap/>
              <w:overflowPunct/>
              <w:topLinePunct w:val="0"/>
              <w:autoSpaceDE/>
              <w:autoSpaceDN/>
              <w:bidi w:val="0"/>
              <w:adjustRightInd/>
              <w:snapToGrid/>
              <w:spacing w:line="240" w:lineRule="auto"/>
              <w:ind w:left="0" w:leftChars="0" w:right="-4" w:rightChars="0" w:firstLine="309"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0" distR="0">
                  <wp:extent cx="539750" cy="377190"/>
                  <wp:effectExtent l="0" t="0" r="1270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40000" cy="377226"/>
                          </a:xfrm>
                          <a:prstGeom prst="rect">
                            <a:avLst/>
                          </a:prstGeom>
                          <a:noFill/>
                        </pic:spPr>
                      </pic:pic>
                    </a:graphicData>
                  </a:graphic>
                </wp:inline>
              </w:drawing>
            </w:r>
          </w:p>
        </w:tc>
      </w:tr>
      <w:tr w14:paraId="61D799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CB635B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68C5B82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链板式输送带</w:t>
            </w:r>
          </w:p>
          <w:p w14:paraId="6B6BDEE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说明：适合各种类型餐具使用，操作方便。</w:t>
            </w:r>
          </w:p>
          <w:p w14:paraId="6AC4ED3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采用优质不锈钢材质、耐腐蚀、强度高、韧性好。</w:t>
            </w:r>
          </w:p>
          <w:p w14:paraId="357C9C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采食品级POM链片，确保食品卫生。</w:t>
            </w:r>
          </w:p>
          <w:p w14:paraId="31E1FA9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配置柔性启动和停止设计，采用变频调速。</w:t>
            </w:r>
          </w:p>
          <w:p w14:paraId="37260FD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主动轴和被动轴为不锈钢材质，方便拆卸。</w:t>
            </w:r>
          </w:p>
          <w:p w14:paraId="5FB2452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配置链板自动清洗功能，在传送中可保持链板卫生。</w:t>
            </w:r>
          </w:p>
          <w:p w14:paraId="3E74532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内置抽屉，易于清洗。</w:t>
            </w:r>
          </w:p>
          <w:p w14:paraId="0A1B6C1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可根据客户要求定做长度、高度。</w:t>
            </w:r>
          </w:p>
          <w:p w14:paraId="120602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可选配勺筷回收柜、隔音罩、预洗水槽等满足不同用户需求。</w:t>
            </w:r>
          </w:p>
          <w:p w14:paraId="55D6D14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运行速度：~20m/min</w:t>
            </w:r>
          </w:p>
          <w:p w14:paraId="58D283D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规格：1000×520×850/950</w:t>
            </w:r>
          </w:p>
        </w:tc>
        <w:tc>
          <w:tcPr>
            <w:tcW w:w="1031" w:type="dxa"/>
            <w:tcBorders>
              <w:left w:val="single" w:color="auto" w:sz="4" w:space="0"/>
              <w:right w:val="single" w:color="auto" w:sz="4" w:space="0"/>
            </w:tcBorders>
            <w:noWrap w:val="0"/>
            <w:vAlign w:val="center"/>
          </w:tcPr>
          <w:p w14:paraId="07F56CE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7.6米</w:t>
            </w:r>
          </w:p>
        </w:tc>
        <w:tc>
          <w:tcPr>
            <w:tcW w:w="911" w:type="dxa"/>
            <w:tcBorders>
              <w:left w:val="single" w:color="auto" w:sz="4" w:space="0"/>
              <w:right w:val="single" w:color="auto" w:sz="4" w:space="0"/>
            </w:tcBorders>
            <w:noWrap w:val="0"/>
            <w:vAlign w:val="center"/>
          </w:tcPr>
          <w:p w14:paraId="59E326E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0D3523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C004F32">
            <w:pPr>
              <w:keepNext w:val="0"/>
              <w:keepLines w:val="0"/>
              <w:pageBreakBefore w:val="0"/>
              <w:numPr>
                <w:ilvl w:val="0"/>
                <w:numId w:val="0"/>
              </w:numPr>
              <w:tabs>
                <w:tab w:val="center" w:pos="5812"/>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vertAlign w:val="baseline"/>
                <w:lang w:val="en-US" w:eastAsia="zh-CN" w:bidi="ar-SA"/>
              </w:rPr>
              <w:drawing>
                <wp:inline distT="0" distB="0" distL="114300" distR="114300">
                  <wp:extent cx="417195" cy="694055"/>
                  <wp:effectExtent l="0" t="0" r="1905" b="10795"/>
                  <wp:docPr id="42" name="图片 42" descr="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链片"/>
                          <pic:cNvPicPr>
                            <a:picLocks noChangeAspect="1"/>
                          </pic:cNvPicPr>
                        </pic:nvPicPr>
                        <pic:blipFill>
                          <a:blip r:embed="rId43"/>
                          <a:stretch>
                            <a:fillRect/>
                          </a:stretch>
                        </pic:blipFill>
                        <pic:spPr>
                          <a:xfrm>
                            <a:off x="0" y="0"/>
                            <a:ext cx="417195" cy="694055"/>
                          </a:xfrm>
                          <a:prstGeom prst="rect">
                            <a:avLst/>
                          </a:prstGeom>
                        </pic:spPr>
                      </pic:pic>
                    </a:graphicData>
                  </a:graphic>
                </wp:inline>
              </w:drawing>
            </w:r>
          </w:p>
        </w:tc>
      </w:tr>
      <w:tr w14:paraId="2CABA01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66BFD7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23A85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超声波浸泡池</w:t>
            </w:r>
          </w:p>
          <w:p w14:paraId="6FA0572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超声波主控制器、超声波主控制器具有频率纠正追踪系统，时刻保持最佳清洗效果，并能显示技术参数，超声波清洗通过水来传导声波，清洗时水必须浸没工件，当工件传送进入超声波过程中经过超声波爆破、破坏油脂表层来达到去油效果。</w:t>
            </w:r>
          </w:p>
          <w:p w14:paraId="23C2F50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洗涤温度：55-60℃</w:t>
            </w:r>
          </w:p>
          <w:p w14:paraId="149972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漂洗温度：82℃超声波</w:t>
            </w:r>
          </w:p>
          <w:p w14:paraId="2B508F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电加热功率：6.8KW/380V</w:t>
            </w:r>
          </w:p>
          <w:p w14:paraId="07E8EF9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规格：1500×800×800</w:t>
            </w:r>
          </w:p>
        </w:tc>
        <w:tc>
          <w:tcPr>
            <w:tcW w:w="1031" w:type="dxa"/>
            <w:tcBorders>
              <w:left w:val="single" w:color="auto" w:sz="4" w:space="0"/>
              <w:right w:val="single" w:color="auto" w:sz="4" w:space="0"/>
            </w:tcBorders>
            <w:noWrap w:val="0"/>
            <w:vAlign w:val="center"/>
          </w:tcPr>
          <w:p w14:paraId="2EE5CC8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71D4197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FA13D7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1560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drawing>
                <wp:inline distT="0" distB="0" distL="114300" distR="114300">
                  <wp:extent cx="507365" cy="341630"/>
                  <wp:effectExtent l="0" t="0" r="6985" b="1270"/>
                  <wp:docPr id="43" name="图片 43" descr="92dccc778ddda0142e669c4cf3e5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2dccc778ddda0142e669c4cf3e57f1"/>
                          <pic:cNvPicPr>
                            <a:picLocks noChangeAspect="1"/>
                          </pic:cNvPicPr>
                        </pic:nvPicPr>
                        <pic:blipFill>
                          <a:blip r:embed="rId44"/>
                          <a:stretch>
                            <a:fillRect/>
                          </a:stretch>
                        </pic:blipFill>
                        <pic:spPr>
                          <a:xfrm>
                            <a:off x="0" y="0"/>
                            <a:ext cx="507365" cy="341630"/>
                          </a:xfrm>
                          <a:prstGeom prst="rect">
                            <a:avLst/>
                          </a:prstGeom>
                        </pic:spPr>
                      </pic:pic>
                    </a:graphicData>
                  </a:graphic>
                </wp:inline>
              </w:drawing>
            </w:r>
          </w:p>
        </w:tc>
      </w:tr>
      <w:tr w14:paraId="15354E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75" w:hRule="atLeast"/>
          <w:jc w:val="center"/>
        </w:trPr>
        <w:tc>
          <w:tcPr>
            <w:tcW w:w="649" w:type="dxa"/>
            <w:tcBorders>
              <w:left w:val="single" w:color="auto" w:sz="4" w:space="0"/>
              <w:right w:val="single" w:color="auto" w:sz="4" w:space="0"/>
            </w:tcBorders>
            <w:noWrap w:val="0"/>
            <w:vAlign w:val="center"/>
          </w:tcPr>
          <w:p w14:paraId="689ABE7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6B621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豪华方形不锈钢脱排油烟罩</w:t>
            </w:r>
          </w:p>
          <w:p w14:paraId="0C67FE5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，双层隔油排。(风机、风柜及风管另计)。</w:t>
            </w:r>
          </w:p>
          <w:p w14:paraId="23B23C2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规格：1100×1100×500</w:t>
            </w:r>
          </w:p>
        </w:tc>
        <w:tc>
          <w:tcPr>
            <w:tcW w:w="1031" w:type="dxa"/>
            <w:tcBorders>
              <w:left w:val="single" w:color="auto" w:sz="4" w:space="0"/>
              <w:right w:val="single" w:color="auto" w:sz="4" w:space="0"/>
            </w:tcBorders>
            <w:noWrap w:val="0"/>
            <w:vAlign w:val="center"/>
          </w:tcPr>
          <w:p w14:paraId="3D2F09C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2组</w:t>
            </w:r>
          </w:p>
        </w:tc>
        <w:tc>
          <w:tcPr>
            <w:tcW w:w="911" w:type="dxa"/>
            <w:tcBorders>
              <w:left w:val="single" w:color="auto" w:sz="4" w:space="0"/>
              <w:right w:val="single" w:color="auto" w:sz="4" w:space="0"/>
            </w:tcBorders>
            <w:noWrap w:val="0"/>
            <w:vAlign w:val="center"/>
          </w:tcPr>
          <w:p w14:paraId="79C90EC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E80628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D376EE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color w:val="auto"/>
                <w:kern w:val="2"/>
                <w:sz w:val="21"/>
                <w:szCs w:val="21"/>
                <w:highlight w:val="none"/>
                <w:lang w:val="en-US" w:eastAsia="zh-CN" w:bidi="ar"/>
              </w:rPr>
            </w:pPr>
            <w:r>
              <w:rPr>
                <w:rFonts w:hint="eastAsia" w:ascii="宋体" w:hAnsi="宋体" w:eastAsia="宋体" w:cs="宋体"/>
                <w:sz w:val="21"/>
                <w:szCs w:val="21"/>
                <w:highlight w:val="none"/>
              </w:rPr>
              <w:drawing>
                <wp:inline distT="0" distB="0" distL="114300" distR="114300">
                  <wp:extent cx="615950" cy="567055"/>
                  <wp:effectExtent l="0" t="0" r="12700" b="4445"/>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
                          <pic:cNvPicPr>
                            <a:picLocks noChangeAspect="1"/>
                          </pic:cNvPicPr>
                        </pic:nvPicPr>
                        <pic:blipFill>
                          <a:blip r:embed="rId38"/>
                          <a:stretch>
                            <a:fillRect/>
                          </a:stretch>
                        </pic:blipFill>
                        <pic:spPr>
                          <a:xfrm flipH="1">
                            <a:off x="0" y="0"/>
                            <a:ext cx="615950" cy="567055"/>
                          </a:xfrm>
                          <a:prstGeom prst="rect">
                            <a:avLst/>
                          </a:prstGeom>
                          <a:noFill/>
                          <a:ln>
                            <a:noFill/>
                          </a:ln>
                        </pic:spPr>
                      </pic:pic>
                    </a:graphicData>
                  </a:graphic>
                </wp:inline>
              </w:drawing>
            </w:r>
          </w:p>
        </w:tc>
      </w:tr>
      <w:tr w14:paraId="6DFA1F5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45" w:hRule="atLeast"/>
          <w:jc w:val="center"/>
        </w:trPr>
        <w:tc>
          <w:tcPr>
            <w:tcW w:w="649" w:type="dxa"/>
            <w:tcBorders>
              <w:left w:val="single" w:color="auto" w:sz="4" w:space="0"/>
              <w:right w:val="single" w:color="auto" w:sz="4" w:space="0"/>
            </w:tcBorders>
            <w:noWrap w:val="0"/>
            <w:vAlign w:val="center"/>
          </w:tcPr>
          <w:p w14:paraId="6C32046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A8E33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烟罩上封板</w:t>
            </w:r>
          </w:p>
          <w:p w14:paraId="174D3B9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说明：采用SUS304-2B优质发纹贴塑不锈钢板制作，δ</w:t>
            </w:r>
            <w:r>
              <w:rPr>
                <w:rFonts w:hint="eastAsia" w:ascii="宋体" w:hAnsi="宋体" w:cs="宋体"/>
                <w:color w:val="000000"/>
                <w:kern w:val="2"/>
                <w:sz w:val="21"/>
                <w:szCs w:val="21"/>
                <w:highlight w:val="none"/>
                <w:lang w:val="en-US" w:eastAsia="zh-CN" w:bidi="ar"/>
              </w:rPr>
              <w:t>≥1.1mm</w:t>
            </w:r>
            <w:r>
              <w:rPr>
                <w:rFonts w:hint="eastAsia" w:ascii="宋体" w:hAnsi="宋体" w:eastAsia="宋体" w:cs="宋体"/>
                <w:color w:val="000000"/>
                <w:kern w:val="2"/>
                <w:sz w:val="21"/>
                <w:szCs w:val="21"/>
                <w:highlight w:val="none"/>
                <w:lang w:val="en-US" w:eastAsia="zh-CN" w:bidi="ar"/>
              </w:rPr>
              <w:t>。</w:t>
            </w:r>
          </w:p>
          <w:p w14:paraId="635AF97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规格：8000×</w:t>
            </w:r>
            <w:r>
              <w:rPr>
                <w:rFonts w:hint="eastAsia" w:ascii="宋体" w:hAnsi="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lang w:val="en-US" w:eastAsia="zh-CN" w:bidi="ar"/>
              </w:rPr>
              <w:t>00</w:t>
            </w:r>
          </w:p>
        </w:tc>
        <w:tc>
          <w:tcPr>
            <w:tcW w:w="1031" w:type="dxa"/>
            <w:tcBorders>
              <w:left w:val="single" w:color="auto" w:sz="4" w:space="0"/>
              <w:right w:val="single" w:color="auto" w:sz="4" w:space="0"/>
            </w:tcBorders>
            <w:noWrap w:val="0"/>
            <w:vAlign w:val="center"/>
          </w:tcPr>
          <w:p w14:paraId="19046D1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6.4</w:t>
            </w:r>
            <w:r>
              <w:rPr>
                <w:rFonts w:hint="eastAsia" w:ascii="宋体" w:hAnsi="宋体" w:eastAsia="宋体" w:cs="宋体"/>
                <w:color w:val="000000"/>
                <w:kern w:val="2"/>
                <w:sz w:val="21"/>
                <w:szCs w:val="21"/>
                <w:highlight w:val="none"/>
                <w:lang w:val="en-US" w:eastAsia="zh-CN" w:bidi="ar"/>
              </w:rPr>
              <w:t>m²</w:t>
            </w:r>
          </w:p>
        </w:tc>
        <w:tc>
          <w:tcPr>
            <w:tcW w:w="911" w:type="dxa"/>
            <w:tcBorders>
              <w:left w:val="single" w:color="auto" w:sz="4" w:space="0"/>
              <w:right w:val="single" w:color="auto" w:sz="4" w:space="0"/>
            </w:tcBorders>
            <w:noWrap w:val="0"/>
            <w:vAlign w:val="center"/>
          </w:tcPr>
          <w:p w14:paraId="0626FDC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FBBBA91">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02784FA">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i w:val="0"/>
                <w:color w:val="000000"/>
                <w:kern w:val="0"/>
                <w:sz w:val="21"/>
                <w:szCs w:val="21"/>
                <w:highlight w:val="none"/>
                <w:u w:val="none"/>
                <w:lang w:val="en-US" w:eastAsia="zh-CN" w:bidi="ar"/>
              </w:rPr>
              <w:drawing>
                <wp:inline distT="0" distB="0" distL="114300" distR="114300">
                  <wp:extent cx="396240" cy="296545"/>
                  <wp:effectExtent l="0" t="0" r="3810" b="8255"/>
                  <wp:docPr id="45" name="图片 3" descr="1552310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descr="1552310796(1)"/>
                          <pic:cNvPicPr>
                            <a:picLocks noChangeAspect="1"/>
                          </pic:cNvPicPr>
                        </pic:nvPicPr>
                        <pic:blipFill>
                          <a:blip r:embed="rId31"/>
                          <a:stretch>
                            <a:fillRect/>
                          </a:stretch>
                        </pic:blipFill>
                        <pic:spPr>
                          <a:xfrm>
                            <a:off x="0" y="0"/>
                            <a:ext cx="396240" cy="296545"/>
                          </a:xfrm>
                          <a:prstGeom prst="rect">
                            <a:avLst/>
                          </a:prstGeom>
                          <a:noFill/>
                          <a:ln>
                            <a:noFill/>
                          </a:ln>
                        </pic:spPr>
                      </pic:pic>
                    </a:graphicData>
                  </a:graphic>
                </wp:inline>
              </w:drawing>
            </w:r>
          </w:p>
        </w:tc>
      </w:tr>
      <w:tr w14:paraId="66C4EB5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5C63E93">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386D8A1">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双门热风循环消毒柜</w:t>
            </w:r>
          </w:p>
          <w:p w14:paraId="67862A3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说明：采用优质不锈钢制，玻璃纤维隔热材料，双温度控制器，定时开关、继电器；采用热风循环消毒。内分四层，共配八个消毒筐。</w:t>
            </w:r>
          </w:p>
          <w:p w14:paraId="48C1FC4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电量：4.4KW/220V；</w:t>
            </w:r>
          </w:p>
          <w:p w14:paraId="1B391E2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规格：1310×670×1980</w:t>
            </w:r>
          </w:p>
        </w:tc>
        <w:tc>
          <w:tcPr>
            <w:tcW w:w="1031" w:type="dxa"/>
            <w:tcBorders>
              <w:left w:val="single" w:color="auto" w:sz="4" w:space="0"/>
              <w:right w:val="single" w:color="auto" w:sz="4" w:space="0"/>
            </w:tcBorders>
            <w:noWrap w:val="0"/>
            <w:vAlign w:val="center"/>
          </w:tcPr>
          <w:p w14:paraId="46D7E66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台</w:t>
            </w:r>
          </w:p>
        </w:tc>
        <w:tc>
          <w:tcPr>
            <w:tcW w:w="911" w:type="dxa"/>
            <w:tcBorders>
              <w:left w:val="single" w:color="auto" w:sz="4" w:space="0"/>
              <w:right w:val="single" w:color="auto" w:sz="4" w:space="0"/>
            </w:tcBorders>
            <w:noWrap w:val="0"/>
            <w:vAlign w:val="center"/>
          </w:tcPr>
          <w:p w14:paraId="1DCDFEC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79B90A6">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173020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highlight w:val="none"/>
              </w:rPr>
              <w:drawing>
                <wp:inline distT="0" distB="0" distL="114300" distR="114300">
                  <wp:extent cx="641350" cy="641350"/>
                  <wp:effectExtent l="0" t="0" r="6350" b="6350"/>
                  <wp:docPr id="66" name="图片 10" descr="u=1031363538,138555830&amp;fm=27&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 descr="u=1031363538,138555830&amp;fm=27&amp;gp=0"/>
                          <pic:cNvPicPr>
                            <a:picLocks noChangeAspect="1"/>
                          </pic:cNvPicPr>
                        </pic:nvPicPr>
                        <pic:blipFill>
                          <a:blip r:embed="rId45" cstate="print"/>
                          <a:stretch>
                            <a:fillRect/>
                          </a:stretch>
                        </pic:blipFill>
                        <pic:spPr>
                          <a:xfrm>
                            <a:off x="0" y="0"/>
                            <a:ext cx="641350" cy="641350"/>
                          </a:xfrm>
                          <a:prstGeom prst="rect">
                            <a:avLst/>
                          </a:prstGeom>
                          <a:noFill/>
                          <a:ln w="9525">
                            <a:noFill/>
                          </a:ln>
                        </pic:spPr>
                      </pic:pic>
                    </a:graphicData>
                  </a:graphic>
                </wp:inline>
              </w:drawing>
            </w:r>
          </w:p>
        </w:tc>
      </w:tr>
      <w:tr w14:paraId="58EED6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510D3BE">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2E6DEF1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大单星盆台</w:t>
            </w:r>
          </w:p>
          <w:p w14:paraId="4A6E543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，星盆斗</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1.0mm；配置Φ38mm不锈钢可调节重力子弹脚，配优质不锈钢落水器、拦渣斗。</w:t>
            </w:r>
          </w:p>
          <w:p w14:paraId="70FB4FC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规格：1000×700×(800+150)</w:t>
            </w:r>
          </w:p>
        </w:tc>
        <w:tc>
          <w:tcPr>
            <w:tcW w:w="1031" w:type="dxa"/>
            <w:tcBorders>
              <w:left w:val="single" w:color="auto" w:sz="4" w:space="0"/>
              <w:right w:val="single" w:color="auto" w:sz="4" w:space="0"/>
            </w:tcBorders>
            <w:noWrap w:val="0"/>
            <w:vAlign w:val="center"/>
          </w:tcPr>
          <w:p w14:paraId="2F455AB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3台</w:t>
            </w:r>
          </w:p>
        </w:tc>
        <w:tc>
          <w:tcPr>
            <w:tcW w:w="911" w:type="dxa"/>
            <w:tcBorders>
              <w:left w:val="single" w:color="auto" w:sz="4" w:space="0"/>
              <w:right w:val="single" w:color="auto" w:sz="4" w:space="0"/>
            </w:tcBorders>
            <w:noWrap w:val="0"/>
            <w:vAlign w:val="center"/>
          </w:tcPr>
          <w:p w14:paraId="754A6EF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5FBA43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9010DD0">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632460" cy="578485"/>
                  <wp:effectExtent l="0" t="0" r="15240" b="12065"/>
                  <wp:docPr id="6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0"/>
                          <pic:cNvPicPr>
                            <a:picLocks noChangeAspect="1"/>
                          </pic:cNvPicPr>
                        </pic:nvPicPr>
                        <pic:blipFill>
                          <a:blip r:embed="rId13"/>
                          <a:stretch>
                            <a:fillRect/>
                          </a:stretch>
                        </pic:blipFill>
                        <pic:spPr>
                          <a:xfrm>
                            <a:off x="0" y="0"/>
                            <a:ext cx="632460" cy="578485"/>
                          </a:xfrm>
                          <a:prstGeom prst="rect">
                            <a:avLst/>
                          </a:prstGeom>
                          <a:noFill/>
                          <a:ln>
                            <a:noFill/>
                          </a:ln>
                        </pic:spPr>
                      </pic:pic>
                    </a:graphicData>
                  </a:graphic>
                </wp:inline>
              </w:drawing>
            </w:r>
          </w:p>
        </w:tc>
      </w:tr>
      <w:tr w14:paraId="1D9D765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D2B2306">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637FF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配餐间</w:t>
            </w:r>
          </w:p>
        </w:tc>
        <w:tc>
          <w:tcPr>
            <w:tcW w:w="1031" w:type="dxa"/>
            <w:tcBorders>
              <w:left w:val="single" w:color="auto" w:sz="4" w:space="0"/>
              <w:right w:val="single" w:color="auto" w:sz="4" w:space="0"/>
            </w:tcBorders>
            <w:noWrap w:val="0"/>
            <w:vAlign w:val="center"/>
          </w:tcPr>
          <w:p w14:paraId="0A79129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54E664B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CF87BD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1831B29">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p>
        </w:tc>
      </w:tr>
      <w:tr w14:paraId="3928A2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520A708">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73E28F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六格售菜台</w:t>
            </w:r>
          </w:p>
          <w:p w14:paraId="733CEE9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mm，横通25×38×1.0mm；脚φ38×1.0mm（配有可调子弹脚）。</w:t>
            </w:r>
          </w:p>
          <w:p w14:paraId="226470C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规格：2200×1300×800</w:t>
            </w:r>
          </w:p>
        </w:tc>
        <w:tc>
          <w:tcPr>
            <w:tcW w:w="1031" w:type="dxa"/>
            <w:tcBorders>
              <w:left w:val="single" w:color="auto" w:sz="4" w:space="0"/>
              <w:right w:val="single" w:color="auto" w:sz="4" w:space="0"/>
            </w:tcBorders>
            <w:noWrap w:val="0"/>
            <w:vAlign w:val="center"/>
          </w:tcPr>
          <w:p w14:paraId="41598A6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9台</w:t>
            </w:r>
          </w:p>
        </w:tc>
        <w:tc>
          <w:tcPr>
            <w:tcW w:w="911" w:type="dxa"/>
            <w:tcBorders>
              <w:left w:val="single" w:color="auto" w:sz="4" w:space="0"/>
              <w:right w:val="single" w:color="auto" w:sz="4" w:space="0"/>
            </w:tcBorders>
            <w:noWrap w:val="0"/>
            <w:vAlign w:val="center"/>
          </w:tcPr>
          <w:p w14:paraId="2991072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8D2293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6EF47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749935" cy="495935"/>
                  <wp:effectExtent l="0" t="0" r="12065" b="18415"/>
                  <wp:docPr id="792"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图片 64"/>
                          <pic:cNvPicPr>
                            <a:picLocks noChangeAspect="1"/>
                          </pic:cNvPicPr>
                        </pic:nvPicPr>
                        <pic:blipFill>
                          <a:blip r:embed="rId46"/>
                          <a:stretch>
                            <a:fillRect/>
                          </a:stretch>
                        </pic:blipFill>
                        <pic:spPr>
                          <a:xfrm>
                            <a:off x="0" y="0"/>
                            <a:ext cx="749935" cy="495935"/>
                          </a:xfrm>
                          <a:prstGeom prst="rect">
                            <a:avLst/>
                          </a:prstGeom>
                          <a:noFill/>
                          <a:ln w="9525">
                            <a:noFill/>
                          </a:ln>
                        </pic:spPr>
                      </pic:pic>
                    </a:graphicData>
                  </a:graphic>
                </wp:inline>
              </w:drawing>
            </w:r>
          </w:p>
        </w:tc>
      </w:tr>
      <w:tr w14:paraId="79D235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727D14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AE0B68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双孔泔水台车</w:t>
            </w:r>
          </w:p>
          <w:p w14:paraId="60A0E5C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，侧门、后板、低板</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，配置不锈钢Φ38×38×1.0mm方管及可调重力子弹脚，（车、桶、台配套）。</w:t>
            </w:r>
          </w:p>
          <w:p w14:paraId="5D9FE87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规格：1500×700×800   </w:t>
            </w:r>
          </w:p>
        </w:tc>
        <w:tc>
          <w:tcPr>
            <w:tcW w:w="1031" w:type="dxa"/>
            <w:tcBorders>
              <w:left w:val="single" w:color="auto" w:sz="4" w:space="0"/>
              <w:right w:val="single" w:color="auto" w:sz="4" w:space="0"/>
            </w:tcBorders>
            <w:noWrap w:val="0"/>
            <w:vAlign w:val="center"/>
          </w:tcPr>
          <w:p w14:paraId="6CF4A7E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7E3401F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4A9383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034D1F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0" distR="0">
                  <wp:extent cx="535940" cy="386715"/>
                  <wp:effectExtent l="0" t="0" r="16510" b="13335"/>
                  <wp:docPr id="4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9.jpeg"/>
                          <pic:cNvPicPr>
                            <a:picLocks noChangeAspect="1"/>
                          </pic:cNvPicPr>
                        </pic:nvPicPr>
                        <pic:blipFill>
                          <a:blip r:embed="rId40" cstate="print"/>
                          <a:stretch>
                            <a:fillRect/>
                          </a:stretch>
                        </pic:blipFill>
                        <pic:spPr>
                          <a:xfrm>
                            <a:off x="0" y="0"/>
                            <a:ext cx="535940" cy="386715"/>
                          </a:xfrm>
                          <a:prstGeom prst="rect">
                            <a:avLst/>
                          </a:prstGeom>
                        </pic:spPr>
                      </pic:pic>
                    </a:graphicData>
                  </a:graphic>
                </wp:inline>
              </w:drawing>
            </w:r>
          </w:p>
        </w:tc>
      </w:tr>
      <w:tr w14:paraId="536E909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A857CDB">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F6CB03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二楼餐厅</w:t>
            </w:r>
          </w:p>
        </w:tc>
        <w:tc>
          <w:tcPr>
            <w:tcW w:w="1031" w:type="dxa"/>
            <w:tcBorders>
              <w:left w:val="single" w:color="auto" w:sz="4" w:space="0"/>
              <w:right w:val="single" w:color="auto" w:sz="4" w:space="0"/>
            </w:tcBorders>
            <w:noWrap w:val="0"/>
            <w:vAlign w:val="center"/>
          </w:tcPr>
          <w:p w14:paraId="0B6093D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5EEF351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AA111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A8840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p>
        </w:tc>
      </w:tr>
      <w:tr w14:paraId="11D11B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820B92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E736A6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单门热风循环消毒柜</w:t>
            </w:r>
          </w:p>
          <w:p w14:paraId="53A1330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说明：采用优质不锈钢制，玻璃纤维隔热材料，双温度控制器，定时开关、继电器；采用热风循环消毒。内分四层，共配四个消毒筐。</w:t>
            </w:r>
          </w:p>
          <w:p w14:paraId="59F2A45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电量：2.2KW/220V；</w:t>
            </w:r>
          </w:p>
          <w:p w14:paraId="3DA7860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规格：650×670×1980</w:t>
            </w:r>
          </w:p>
        </w:tc>
        <w:tc>
          <w:tcPr>
            <w:tcW w:w="1031" w:type="dxa"/>
            <w:tcBorders>
              <w:left w:val="single" w:color="auto" w:sz="4" w:space="0"/>
              <w:right w:val="single" w:color="auto" w:sz="4" w:space="0"/>
            </w:tcBorders>
            <w:noWrap w:val="0"/>
            <w:vAlign w:val="center"/>
          </w:tcPr>
          <w:p w14:paraId="6135623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15CA969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CD6DB7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1F05E9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drawing>
                <wp:inline distT="0" distB="0" distL="114300" distR="114300">
                  <wp:extent cx="479425" cy="898525"/>
                  <wp:effectExtent l="0" t="0" r="15875" b="1587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47"/>
                          <a:stretch>
                            <a:fillRect/>
                          </a:stretch>
                        </pic:blipFill>
                        <pic:spPr>
                          <a:xfrm>
                            <a:off x="0" y="0"/>
                            <a:ext cx="479425" cy="898525"/>
                          </a:xfrm>
                          <a:prstGeom prst="rect">
                            <a:avLst/>
                          </a:prstGeom>
                          <a:noFill/>
                          <a:ln>
                            <a:noFill/>
                          </a:ln>
                        </pic:spPr>
                      </pic:pic>
                    </a:graphicData>
                  </a:graphic>
                </wp:inline>
              </w:drawing>
            </w:r>
          </w:p>
        </w:tc>
      </w:tr>
      <w:tr w14:paraId="6A34A2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A3A1687">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D217D1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煮面档</w:t>
            </w:r>
          </w:p>
        </w:tc>
        <w:tc>
          <w:tcPr>
            <w:tcW w:w="1031" w:type="dxa"/>
            <w:tcBorders>
              <w:left w:val="single" w:color="auto" w:sz="4" w:space="0"/>
              <w:right w:val="single" w:color="auto" w:sz="4" w:space="0"/>
            </w:tcBorders>
            <w:noWrap w:val="0"/>
            <w:vAlign w:val="center"/>
          </w:tcPr>
          <w:p w14:paraId="0A66797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6BE6A24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66F13D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189A297">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lang w:eastAsia="zh-CN"/>
              </w:rPr>
            </w:pPr>
          </w:p>
        </w:tc>
      </w:tr>
      <w:tr w14:paraId="74104DA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34BF53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552B0CB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电磁9孔煮面炉</w:t>
            </w:r>
          </w:p>
          <w:p w14:paraId="6A5E7C6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bCs/>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说明：—材质：面板采用一体折弯成型优质不锈钢板面板 厚1.2，侧板厚0.9。</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—面板采用一体冲压成型挡水边，方便清洁无积水及两侧溢水。</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—水箱采用304#不锈钢食品接触金属材料标准制作，配万向304#不锈钢水龙头。</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—采用锌合金双八档旋转开关及一键启停电源开关，方便离岗关机并准确无误停止加热。</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—机芯核心部件采用不同导热特殊材料灌封，散热的同时又能达到防水，防潮效果。</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—采用识字量运算控制，智能调节算法真正实现对功率、频率、温度、电源、电压、电流、相位、频率等参数的数字化控制。</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—采用变频送风技术，同步感应追踪多路工作点温度，大大增加散热系统使用寿命，有效防止散热系统堵塞。</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—线盘采用耐高温高频线制作锅底发热均匀无盲区同时提高有效热能降低用电成本。</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—显示器体现公司名称、400电话、累计用电量、当前档位及当前功率、动态加热火苗、中文故障显示，便捷操作及售后管理。</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b/>
                <w:bCs/>
                <w:color w:val="000000"/>
                <w:kern w:val="2"/>
                <w:sz w:val="21"/>
                <w:szCs w:val="21"/>
                <w:highlight w:val="none"/>
                <w:lang w:val="en-US" w:eastAsia="zh-CN" w:bidi="ar"/>
              </w:rPr>
              <w:t>★所投电磁9孔煮面炉产品依据GB/T 208-2017标准，对以下项目进行检测并达到合格：①灰尘无法进入产品内部，直径1mm的金属试验线无法进入壳内合格；②水深：2米、时间：30分钟状态下水无法进入产品内部合格。提供检测报告复印件（带CNAS或CMA标识）和产品防护等级≥IP67的证书复印件。不提供或不满足视为负偏离。</w:t>
            </w:r>
          </w:p>
          <w:p w14:paraId="48EAC97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电量：15KW/380V</w:t>
            </w:r>
          </w:p>
          <w:p w14:paraId="0C92F29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规格：800×800×(800+30)                                </w:t>
            </w:r>
          </w:p>
        </w:tc>
        <w:tc>
          <w:tcPr>
            <w:tcW w:w="1031" w:type="dxa"/>
            <w:tcBorders>
              <w:left w:val="single" w:color="auto" w:sz="4" w:space="0"/>
              <w:right w:val="single" w:color="auto" w:sz="4" w:space="0"/>
            </w:tcBorders>
            <w:noWrap w:val="0"/>
            <w:vAlign w:val="center"/>
          </w:tcPr>
          <w:p w14:paraId="630B2EB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70E1F4C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49B7A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E5F087A">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66750" cy="857250"/>
                  <wp:effectExtent l="0" t="0" r="0" b="0"/>
                  <wp:docPr id="33" name="图片 24" descr="煮机炉-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煮机炉-11.jpg"/>
                          <pic:cNvPicPr>
                            <a:picLocks noChangeAspect="1"/>
                          </pic:cNvPicPr>
                        </pic:nvPicPr>
                        <pic:blipFill>
                          <a:blip r:embed="rId48"/>
                          <a:stretch>
                            <a:fillRect/>
                          </a:stretch>
                        </pic:blipFill>
                        <pic:spPr>
                          <a:xfrm>
                            <a:off x="0" y="0"/>
                            <a:ext cx="666750" cy="857250"/>
                          </a:xfrm>
                          <a:prstGeom prst="rect">
                            <a:avLst/>
                          </a:prstGeom>
                          <a:noFill/>
                          <a:ln w="9525">
                            <a:noFill/>
                          </a:ln>
                        </pic:spPr>
                      </pic:pic>
                    </a:graphicData>
                  </a:graphic>
                </wp:inline>
              </w:drawing>
            </w:r>
          </w:p>
        </w:tc>
      </w:tr>
      <w:tr w14:paraId="2FB9E0D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BBEECE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69884D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电磁面汤炉</w:t>
            </w:r>
          </w:p>
          <w:p w14:paraId="12F0BD9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说明：—材质：面板采用一体折弯成型优质不锈钢板面板 厚1.2，侧板厚0.9。</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—面板采用一体冲压成型挡水炮台凸出炉面高55mm，炮台直径550mm。</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—采用活动锅桶方便清洁，汤桶直径560mm，深度320mm。配万向304#不锈钢水龙头。</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—采用锌合金双八档旋转开关及一键启停电源开关，方便离岗关机并准确无误停止加热。</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—机芯核心部件采用不同导热特殊材料灌封，散热的同时又能达到防水，防潮效果。</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—采用识字量运算控制，智能调节算法真正实现对功率、频率、温度、电源、电压、电流、相位、频率等参数的数字化控制。</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—采用变频送风技术，同步感应追踪多路工作点温度，大大增加散热系统使用寿命，有效防止散热系统堵塞。</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—线盘采用耐高温高频线制作锅底发热均匀无盲区同时提高有效热能降低用电成本。</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—显示器体现公司名称、400电话、累计用电量、当前档位及当前功率、动态加热火苗、中文故障显示，便捷操作及售后管理。</w:t>
            </w:r>
          </w:p>
          <w:p w14:paraId="188F8D6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电量：12kw/380v</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 xml:space="preserve">规格:800×800×(800+30)  </w:t>
            </w:r>
          </w:p>
        </w:tc>
        <w:tc>
          <w:tcPr>
            <w:tcW w:w="1031" w:type="dxa"/>
            <w:tcBorders>
              <w:left w:val="single" w:color="auto" w:sz="4" w:space="0"/>
              <w:right w:val="single" w:color="auto" w:sz="4" w:space="0"/>
            </w:tcBorders>
            <w:noWrap w:val="0"/>
            <w:vAlign w:val="center"/>
          </w:tcPr>
          <w:p w14:paraId="11BC6C6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789C33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988C1D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1008F0C">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433070" cy="476885"/>
                  <wp:effectExtent l="0" t="0" r="5080" b="18415"/>
                  <wp:docPr id="25" name="图片 27" descr="DSC_0010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descr="DSC_0010 (2).png"/>
                          <pic:cNvPicPr>
                            <a:picLocks noChangeAspect="1"/>
                          </pic:cNvPicPr>
                        </pic:nvPicPr>
                        <pic:blipFill>
                          <a:blip r:embed="rId49"/>
                          <a:stretch>
                            <a:fillRect/>
                          </a:stretch>
                        </pic:blipFill>
                        <pic:spPr>
                          <a:xfrm>
                            <a:off x="0" y="0"/>
                            <a:ext cx="433070" cy="476885"/>
                          </a:xfrm>
                          <a:prstGeom prst="rect">
                            <a:avLst/>
                          </a:prstGeom>
                          <a:noFill/>
                          <a:ln w="9525">
                            <a:noFill/>
                          </a:ln>
                        </pic:spPr>
                      </pic:pic>
                    </a:graphicData>
                  </a:graphic>
                </wp:inline>
              </w:drawing>
            </w:r>
          </w:p>
        </w:tc>
      </w:tr>
      <w:tr w14:paraId="37C380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106727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3D916B6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 xml:space="preserve">电磁扒炉连柜 </w:t>
            </w:r>
          </w:p>
          <w:p w14:paraId="5D93380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说明：—材质：面板采用一体折弯成型优质不锈钢板面板 厚1.2，侧板厚0.9。</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—面板采用一体冲压成型流油槽，方便清洁无积油及两侧溢油。</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—采用20mm厚镀铬合金钢扒板，高温度烹饪不粘扒板不发黑让扒板保持镜面状态。</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—采用±1℃知名温控器配备直线或曲线等多种加热功能。</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—采用锌合金双八档旋转开关方便离岗关机并准确无误停止加热。</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—机芯核心部件采用不同导热特殊材料灌封，散热的同时又能达到防水，防潮效果。</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—采用识字量运算控制，智能调节算法真正实现对功率、频率、温度、电源、电压、电流、相位、频率等参数的数字化控制。</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—采用变频送风技术，同步感应追踪多路工作点温度，大大增加散热系统使用寿命，有效防止散热系统堵塞。</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—线盘采用耐高温高频线制作锅底发热均匀无盲区同时提高有效热能降低用电成本。</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—显示器体现公司名称、400电话、累计用电量、当前档位及当前功率、动态加热火苗、中文故障显示，便捷操作及售后管理。</w:t>
            </w:r>
            <w:r>
              <w:rPr>
                <w:rFonts w:hint="eastAsia" w:ascii="宋体" w:hAnsi="宋体" w:eastAsia="宋体" w:cs="宋体"/>
                <w:color w:val="F79646" w:themeColor="accent6"/>
                <w:kern w:val="2"/>
                <w:sz w:val="21"/>
                <w:szCs w:val="21"/>
                <w:highlight w:val="none"/>
                <w:lang w:val="en-US" w:eastAsia="zh-CN" w:bidi="ar"/>
                <w14:textFill>
                  <w14:solidFill>
                    <w14:schemeClr w14:val="accent6"/>
                  </w14:solidFill>
                </w14:textFill>
              </w:rPr>
              <w:br w:type="textWrapping"/>
            </w:r>
            <w:r>
              <w:rPr>
                <w:rFonts w:hint="eastAsia" w:ascii="宋体" w:hAnsi="宋体" w:eastAsia="宋体" w:cs="宋体"/>
                <w:b/>
                <w:bCs/>
                <w:color w:val="auto"/>
                <w:kern w:val="2"/>
                <w:sz w:val="21"/>
                <w:szCs w:val="21"/>
                <w:highlight w:val="none"/>
                <w:lang w:val="en-US" w:eastAsia="zh-CN" w:bidi="ar"/>
              </w:rPr>
              <w:t xml:space="preserve">★所投电磁扒炉整机提供带CNAS或CMA标识的检测报告，产品满足GB/T 4208-2017标准检测，①灰尘无法进入产品内部，直径1mm的金属试验线无法进入壳内合格；②水深：2米、时间：30分钟状态下水无法进入产品内部合格；提供防护等级≥IP67检测报告扫描件，不提供或不满足视为负偏离。     </w:t>
            </w:r>
            <w:r>
              <w:rPr>
                <w:rFonts w:hint="eastAsia" w:ascii="宋体" w:hAnsi="宋体" w:eastAsia="宋体" w:cs="宋体"/>
                <w:color w:val="000000"/>
                <w:kern w:val="2"/>
                <w:sz w:val="21"/>
                <w:szCs w:val="21"/>
                <w:highlight w:val="none"/>
                <w:lang w:val="en-US" w:eastAsia="zh-CN" w:bidi="ar"/>
              </w:rPr>
              <w:t xml:space="preserve"> </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 xml:space="preserve">电量：8kw/380v                             </w:t>
            </w:r>
            <w:r>
              <w:rPr>
                <w:rFonts w:hint="eastAsia" w:ascii="宋体" w:hAnsi="宋体" w:eastAsia="宋体" w:cs="宋体"/>
                <w:color w:val="000000"/>
                <w:kern w:val="2"/>
                <w:sz w:val="21"/>
                <w:szCs w:val="21"/>
                <w:highlight w:val="none"/>
                <w:lang w:val="en-US" w:eastAsia="zh-CN" w:bidi="ar"/>
              </w:rPr>
              <w:br w:type="textWrapping"/>
            </w:r>
            <w:r>
              <w:rPr>
                <w:rFonts w:hint="eastAsia" w:ascii="宋体" w:hAnsi="宋体" w:eastAsia="宋体" w:cs="宋体"/>
                <w:color w:val="000000"/>
                <w:kern w:val="2"/>
                <w:sz w:val="21"/>
                <w:szCs w:val="21"/>
                <w:highlight w:val="none"/>
                <w:lang w:val="en-US" w:eastAsia="zh-CN" w:bidi="ar"/>
              </w:rPr>
              <w:t xml:space="preserve">规格：800×750×(800+30)               </w:t>
            </w:r>
          </w:p>
        </w:tc>
        <w:tc>
          <w:tcPr>
            <w:tcW w:w="1031" w:type="dxa"/>
            <w:tcBorders>
              <w:left w:val="single" w:color="auto" w:sz="4" w:space="0"/>
              <w:right w:val="single" w:color="auto" w:sz="4" w:space="0"/>
            </w:tcBorders>
            <w:noWrap w:val="0"/>
            <w:vAlign w:val="center"/>
          </w:tcPr>
          <w:p w14:paraId="5D00148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17D97BE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9A8CD1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8975C5A">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drawing>
                <wp:inline distT="0" distB="0" distL="114300" distR="114300">
                  <wp:extent cx="669290" cy="695325"/>
                  <wp:effectExtent l="0" t="0" r="16510" b="9525"/>
                  <wp:docPr id="41292" name="图片 4" descr="扒炉装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2" name="图片 4" descr="扒炉装配"/>
                          <pic:cNvPicPr>
                            <a:picLocks noChangeAspect="1"/>
                          </pic:cNvPicPr>
                        </pic:nvPicPr>
                        <pic:blipFill>
                          <a:blip r:embed="rId50"/>
                          <a:stretch>
                            <a:fillRect/>
                          </a:stretch>
                        </pic:blipFill>
                        <pic:spPr>
                          <a:xfrm>
                            <a:off x="0" y="0"/>
                            <a:ext cx="669290" cy="695325"/>
                          </a:xfrm>
                          <a:prstGeom prst="rect">
                            <a:avLst/>
                          </a:prstGeom>
                          <a:noFill/>
                          <a:ln w="9525">
                            <a:noFill/>
                          </a:ln>
                        </pic:spPr>
                      </pic:pic>
                    </a:graphicData>
                  </a:graphic>
                </wp:inline>
              </w:drawing>
            </w:r>
          </w:p>
        </w:tc>
      </w:tr>
      <w:tr w14:paraId="0E876A9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21BAD7D">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1926A2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工作台面连下储物柜</w:t>
            </w:r>
          </w:p>
          <w:p w14:paraId="20DDFF8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说明：面板整体拉伸，SUS304 2B优质发纹贴塑不锈钢板制作</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侧板底板</w:t>
            </w:r>
            <w:r>
              <w:rPr>
                <w:rFonts w:hint="eastAsia" w:ascii="宋体" w:hAnsi="宋体" w:cs="宋体"/>
                <w:color w:val="000000"/>
                <w:kern w:val="2"/>
                <w:sz w:val="21"/>
                <w:szCs w:val="21"/>
                <w:highlight w:val="none"/>
                <w:lang w:val="en-US" w:eastAsia="zh-CN" w:bidi="ar"/>
              </w:rPr>
              <w:t>δ≥0.9mm</w:t>
            </w:r>
          </w:p>
          <w:p w14:paraId="3637FE0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w:t>
            </w:r>
            <w:r>
              <w:rPr>
                <w:rFonts w:hint="eastAsia" w:ascii="宋体" w:hAnsi="宋体" w:cs="宋体"/>
                <w:color w:val="000000"/>
                <w:kern w:val="2"/>
                <w:sz w:val="21"/>
                <w:szCs w:val="21"/>
                <w:highlight w:val="none"/>
                <w:lang w:val="en-US" w:eastAsia="zh-CN" w:bidi="ar"/>
              </w:rPr>
              <w:t>585</w:t>
            </w:r>
            <w:r>
              <w:rPr>
                <w:rFonts w:hint="eastAsia" w:ascii="宋体" w:hAnsi="宋体" w:eastAsia="宋体" w:cs="宋体"/>
                <w:color w:val="000000"/>
                <w:kern w:val="2"/>
                <w:sz w:val="21"/>
                <w:szCs w:val="21"/>
                <w:highlight w:val="none"/>
                <w:lang w:val="en-US" w:eastAsia="zh-CN" w:bidi="ar"/>
              </w:rPr>
              <w:t xml:space="preserve">×750×(800+30)                                                                            </w:t>
            </w:r>
          </w:p>
        </w:tc>
        <w:tc>
          <w:tcPr>
            <w:tcW w:w="1031" w:type="dxa"/>
            <w:tcBorders>
              <w:left w:val="single" w:color="auto" w:sz="4" w:space="0"/>
              <w:right w:val="single" w:color="auto" w:sz="4" w:space="0"/>
            </w:tcBorders>
            <w:noWrap w:val="0"/>
            <w:vAlign w:val="center"/>
          </w:tcPr>
          <w:p w14:paraId="0623081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27FAC4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E26435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1501A19">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609600" cy="628015"/>
                  <wp:effectExtent l="0" t="0" r="0" b="635"/>
                  <wp:docPr id="34" name="Picture 20" descr="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0" descr="D (42)"/>
                          <pic:cNvPicPr>
                            <a:picLocks noChangeAspect="1"/>
                          </pic:cNvPicPr>
                        </pic:nvPicPr>
                        <pic:blipFill>
                          <a:blip r:embed="rId51"/>
                          <a:srcRect l="10100" r="12192" b="5530"/>
                          <a:stretch>
                            <a:fillRect/>
                          </a:stretch>
                        </pic:blipFill>
                        <pic:spPr>
                          <a:xfrm>
                            <a:off x="0" y="0"/>
                            <a:ext cx="609600" cy="628015"/>
                          </a:xfrm>
                          <a:prstGeom prst="rect">
                            <a:avLst/>
                          </a:prstGeom>
                          <a:noFill/>
                          <a:ln w="9525">
                            <a:noFill/>
                          </a:ln>
                        </pic:spPr>
                      </pic:pic>
                    </a:graphicData>
                  </a:graphic>
                </wp:inline>
              </w:drawing>
            </w:r>
          </w:p>
        </w:tc>
      </w:tr>
      <w:tr w14:paraId="77D8FF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63A318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58B8C030">
            <w:pPr>
              <w:keepNext w:val="0"/>
              <w:keepLines w:val="0"/>
              <w:pageBreakBefore w:val="0"/>
              <w:kinsoku/>
              <w:wordWrap/>
              <w:overflowPunct/>
              <w:topLinePunct w:val="0"/>
              <w:autoSpaceDE/>
              <w:autoSpaceDN/>
              <w:bidi w:val="0"/>
              <w:spacing w:line="240" w:lineRule="auto"/>
              <w:jc w:val="both"/>
              <w:rPr>
                <w:rFonts w:hint="default" w:ascii="宋体" w:hAnsi="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两格售菜台</w:t>
            </w:r>
          </w:p>
          <w:p w14:paraId="74C81C3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。加强筋δ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mm，横通25×38×1.0mm；脚φ38×1.0mm（配有可调子弹脚）。</w:t>
            </w:r>
          </w:p>
          <w:p w14:paraId="2AAFA8CC">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w:t>
            </w:r>
            <w:r>
              <w:rPr>
                <w:rFonts w:hint="eastAsia" w:ascii="宋体" w:hAnsi="宋体" w:cs="宋体"/>
                <w:color w:val="000000"/>
                <w:kern w:val="2"/>
                <w:sz w:val="21"/>
                <w:szCs w:val="21"/>
                <w:highlight w:val="none"/>
                <w:lang w:val="en-US" w:eastAsia="zh-CN" w:bidi="ar"/>
              </w:rPr>
              <w:t>800</w:t>
            </w:r>
            <w:r>
              <w:rPr>
                <w:rFonts w:hint="eastAsia" w:ascii="宋体" w:hAnsi="宋体" w:eastAsia="宋体" w:cs="宋体"/>
                <w:color w:val="000000"/>
                <w:kern w:val="2"/>
                <w:sz w:val="21"/>
                <w:szCs w:val="21"/>
                <w:highlight w:val="none"/>
                <w:lang w:val="en-US" w:eastAsia="zh-CN" w:bidi="ar"/>
              </w:rPr>
              <w:t>×</w:t>
            </w:r>
            <w:r>
              <w:rPr>
                <w:rFonts w:hint="eastAsia" w:ascii="宋体" w:hAnsi="宋体" w:cs="宋体"/>
                <w:color w:val="000000"/>
                <w:kern w:val="2"/>
                <w:sz w:val="21"/>
                <w:szCs w:val="21"/>
                <w:highlight w:val="none"/>
                <w:lang w:val="en-US" w:eastAsia="zh-CN" w:bidi="ar"/>
              </w:rPr>
              <w:t>750</w:t>
            </w:r>
            <w:r>
              <w:rPr>
                <w:rFonts w:hint="eastAsia" w:ascii="宋体" w:hAnsi="宋体" w:eastAsia="宋体" w:cs="宋体"/>
                <w:color w:val="000000"/>
                <w:kern w:val="2"/>
                <w:sz w:val="21"/>
                <w:szCs w:val="21"/>
                <w:highlight w:val="none"/>
                <w:lang w:val="en-US" w:eastAsia="zh-CN" w:bidi="ar"/>
              </w:rPr>
              <w:t>×</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800</w:t>
            </w:r>
            <w:r>
              <w:rPr>
                <w:rFonts w:hint="eastAsia" w:ascii="宋体" w:hAnsi="宋体" w:cs="宋体"/>
                <w:color w:val="000000"/>
                <w:kern w:val="2"/>
                <w:sz w:val="21"/>
                <w:szCs w:val="21"/>
                <w:highlight w:val="none"/>
                <w:lang w:val="en-US" w:eastAsia="zh-CN" w:bidi="ar"/>
              </w:rPr>
              <w:t>+300）</w:t>
            </w:r>
          </w:p>
        </w:tc>
        <w:tc>
          <w:tcPr>
            <w:tcW w:w="1031" w:type="dxa"/>
            <w:tcBorders>
              <w:left w:val="single" w:color="auto" w:sz="4" w:space="0"/>
              <w:right w:val="single" w:color="auto" w:sz="4" w:space="0"/>
            </w:tcBorders>
            <w:noWrap w:val="0"/>
            <w:vAlign w:val="center"/>
          </w:tcPr>
          <w:p w14:paraId="0CC16136">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1C552173">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3C15416">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6A36FAD">
            <w:pPr>
              <w:keepNext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drawing>
                <wp:inline distT="0" distB="0" distL="114300" distR="114300">
                  <wp:extent cx="288290" cy="495935"/>
                  <wp:effectExtent l="0" t="0" r="16510" b="18415"/>
                  <wp:docPr id="79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图片 64"/>
                          <pic:cNvPicPr>
                            <a:picLocks noChangeAspect="1"/>
                          </pic:cNvPicPr>
                        </pic:nvPicPr>
                        <pic:blipFill>
                          <a:blip r:embed="rId46"/>
                          <a:stretch>
                            <a:fillRect/>
                          </a:stretch>
                        </pic:blipFill>
                        <pic:spPr>
                          <a:xfrm>
                            <a:off x="0" y="0"/>
                            <a:ext cx="288290" cy="495935"/>
                          </a:xfrm>
                          <a:prstGeom prst="rect">
                            <a:avLst/>
                          </a:prstGeom>
                          <a:noFill/>
                          <a:ln w="9525">
                            <a:noFill/>
                          </a:ln>
                        </pic:spPr>
                      </pic:pic>
                    </a:graphicData>
                  </a:graphic>
                </wp:inline>
              </w:drawing>
            </w:r>
          </w:p>
        </w:tc>
      </w:tr>
      <w:tr w14:paraId="285726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1584C8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7E09489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卧式双门冰箱</w:t>
            </w:r>
          </w:p>
          <w:p w14:paraId="0133CA4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冷藏温度：+4～-5℃</w:t>
            </w:r>
          </w:p>
          <w:p w14:paraId="680F137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冷冻温度：-3～-18℃</w:t>
            </w:r>
          </w:p>
          <w:p w14:paraId="0C37A42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压缩机、电子温控器，全铜管制造，优质不锈钢加厚板材，经久耐锈，自动回归门，高密度发泡层，加厚保温层，箱体强度高，提高承重能力，底板、门衬板为一次性拉伸成型，内箱底板拐角处圆弧过渡，无卫生死角便于清洁。</w:t>
            </w:r>
          </w:p>
          <w:p w14:paraId="008F1CF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规格：1500×750×800</w:t>
            </w:r>
          </w:p>
        </w:tc>
        <w:tc>
          <w:tcPr>
            <w:tcW w:w="1031" w:type="dxa"/>
            <w:tcBorders>
              <w:left w:val="single" w:color="auto" w:sz="4" w:space="0"/>
              <w:right w:val="single" w:color="auto" w:sz="4" w:space="0"/>
            </w:tcBorders>
            <w:noWrap w:val="0"/>
            <w:vAlign w:val="center"/>
          </w:tcPr>
          <w:p w14:paraId="4A2256F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6893968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CA699E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D2326E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drawing>
                <wp:inline distT="0" distB="0" distL="114300" distR="114300">
                  <wp:extent cx="634365" cy="410210"/>
                  <wp:effectExtent l="0" t="0" r="13335" b="8890"/>
                  <wp:docPr id="64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图片 11"/>
                          <pic:cNvPicPr>
                            <a:picLocks noChangeAspect="1"/>
                          </pic:cNvPicPr>
                        </pic:nvPicPr>
                        <pic:blipFill>
                          <a:blip r:embed="rId52"/>
                          <a:stretch>
                            <a:fillRect/>
                          </a:stretch>
                        </pic:blipFill>
                        <pic:spPr>
                          <a:xfrm>
                            <a:off x="0" y="0"/>
                            <a:ext cx="634365" cy="410210"/>
                          </a:xfrm>
                          <a:prstGeom prst="rect">
                            <a:avLst/>
                          </a:prstGeom>
                          <a:noFill/>
                          <a:ln>
                            <a:noFill/>
                          </a:ln>
                        </pic:spPr>
                      </pic:pic>
                    </a:graphicData>
                  </a:graphic>
                </wp:inline>
              </w:drawing>
            </w:r>
          </w:p>
        </w:tc>
      </w:tr>
      <w:tr w14:paraId="20BF5A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3" w:hRule="atLeast"/>
          <w:jc w:val="center"/>
        </w:trPr>
        <w:tc>
          <w:tcPr>
            <w:tcW w:w="649" w:type="dxa"/>
            <w:tcBorders>
              <w:left w:val="single" w:color="auto" w:sz="4" w:space="0"/>
              <w:right w:val="single" w:color="auto" w:sz="4" w:space="0"/>
            </w:tcBorders>
            <w:noWrap w:val="0"/>
            <w:vAlign w:val="center"/>
          </w:tcPr>
          <w:p w14:paraId="0662142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21BDB4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豪华方形玻璃罩</w:t>
            </w:r>
          </w:p>
          <w:p w14:paraId="0AA245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说明：采用SUS304-2B砂光不锈钢板，台面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 xml:space="preserve">双层隔油排、积油杯、防爆灯。(风机、风柜及风管另计) </w:t>
            </w:r>
          </w:p>
          <w:p w14:paraId="4D048F5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w:t>
            </w:r>
            <w:r>
              <w:rPr>
                <w:rFonts w:hint="eastAsia" w:ascii="宋体" w:hAnsi="宋体" w:cs="宋体"/>
                <w:color w:val="000000"/>
                <w:kern w:val="2"/>
                <w:sz w:val="21"/>
                <w:szCs w:val="21"/>
                <w:highlight w:val="none"/>
                <w:lang w:val="en-US" w:eastAsia="zh-CN" w:bidi="ar"/>
              </w:rPr>
              <w:t>28</w:t>
            </w:r>
            <w:r>
              <w:rPr>
                <w:rFonts w:hint="eastAsia" w:ascii="宋体" w:hAnsi="宋体" w:eastAsia="宋体" w:cs="宋体"/>
                <w:color w:val="000000"/>
                <w:kern w:val="2"/>
                <w:sz w:val="21"/>
                <w:szCs w:val="21"/>
                <w:highlight w:val="none"/>
                <w:lang w:val="en-US" w:eastAsia="zh-CN" w:bidi="ar"/>
              </w:rPr>
              <w:t>00×1200×500</w:t>
            </w:r>
          </w:p>
        </w:tc>
        <w:tc>
          <w:tcPr>
            <w:tcW w:w="1031" w:type="dxa"/>
            <w:tcBorders>
              <w:left w:val="single" w:color="auto" w:sz="4" w:space="0"/>
              <w:right w:val="single" w:color="auto" w:sz="4" w:space="0"/>
            </w:tcBorders>
            <w:noWrap w:val="0"/>
            <w:vAlign w:val="center"/>
          </w:tcPr>
          <w:p w14:paraId="4A25D7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w:t>
            </w:r>
            <w:r>
              <w:rPr>
                <w:rFonts w:hint="eastAsia" w:ascii="宋体" w:hAnsi="宋体" w:cs="宋体"/>
                <w:color w:val="000000"/>
                <w:kern w:val="2"/>
                <w:sz w:val="21"/>
                <w:szCs w:val="21"/>
                <w:highlight w:val="none"/>
                <w:lang w:val="en-US" w:eastAsia="zh-CN" w:bidi="ar"/>
              </w:rPr>
              <w:t>36</w:t>
            </w:r>
            <w:r>
              <w:rPr>
                <w:rFonts w:hint="eastAsia" w:ascii="宋体" w:hAnsi="宋体" w:eastAsia="宋体" w:cs="宋体"/>
                <w:color w:val="000000"/>
                <w:kern w:val="2"/>
                <w:sz w:val="21"/>
                <w:szCs w:val="21"/>
                <w:highlight w:val="none"/>
                <w:lang w:val="en-US" w:eastAsia="zh-CN" w:bidi="ar"/>
              </w:rPr>
              <w:t>㎡</w:t>
            </w:r>
          </w:p>
        </w:tc>
        <w:tc>
          <w:tcPr>
            <w:tcW w:w="911" w:type="dxa"/>
            <w:tcBorders>
              <w:left w:val="single" w:color="auto" w:sz="4" w:space="0"/>
              <w:right w:val="single" w:color="auto" w:sz="4" w:space="0"/>
            </w:tcBorders>
            <w:noWrap w:val="0"/>
            <w:vAlign w:val="center"/>
          </w:tcPr>
          <w:p w14:paraId="2324929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6D15F6A">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F6CEEED">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i w:val="0"/>
                <w:color w:val="auto"/>
                <w:kern w:val="0"/>
                <w:sz w:val="21"/>
                <w:szCs w:val="21"/>
                <w:highlight w:val="none"/>
                <w:u w:val="none"/>
                <w:bdr w:val="single" w:color="000000" w:sz="4" w:space="0"/>
                <w:shd w:val="clear" w:fill="FFFFFF"/>
                <w:lang w:val="en-US" w:eastAsia="zh-CN" w:bidi="ar"/>
              </w:rPr>
            </w:pPr>
            <w:r>
              <w:rPr>
                <w:rFonts w:hint="eastAsia" w:ascii="宋体" w:hAnsi="宋体" w:eastAsia="宋体" w:cs="宋体"/>
                <w:color w:val="auto"/>
                <w:sz w:val="21"/>
                <w:szCs w:val="21"/>
                <w:highlight w:val="none"/>
              </w:rPr>
              <w:drawing>
                <wp:inline distT="0" distB="0" distL="114300" distR="114300">
                  <wp:extent cx="668655" cy="351155"/>
                  <wp:effectExtent l="0" t="0" r="17145" b="10795"/>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53"/>
                          <a:stretch>
                            <a:fillRect/>
                          </a:stretch>
                        </pic:blipFill>
                        <pic:spPr>
                          <a:xfrm>
                            <a:off x="0" y="0"/>
                            <a:ext cx="668655" cy="351155"/>
                          </a:xfrm>
                          <a:prstGeom prst="rect">
                            <a:avLst/>
                          </a:prstGeom>
                          <a:noFill/>
                          <a:ln>
                            <a:noFill/>
                          </a:ln>
                        </pic:spPr>
                      </pic:pic>
                    </a:graphicData>
                  </a:graphic>
                </wp:inline>
              </w:drawing>
            </w:r>
          </w:p>
        </w:tc>
      </w:tr>
      <w:tr w14:paraId="753A5AD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7" w:hRule="atLeast"/>
          <w:jc w:val="center"/>
        </w:trPr>
        <w:tc>
          <w:tcPr>
            <w:tcW w:w="649" w:type="dxa"/>
            <w:tcBorders>
              <w:left w:val="single" w:color="auto" w:sz="4" w:space="0"/>
              <w:right w:val="single" w:color="auto" w:sz="4" w:space="0"/>
            </w:tcBorders>
            <w:noWrap w:val="0"/>
            <w:vAlign w:val="center"/>
          </w:tcPr>
          <w:p w14:paraId="21E22D5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p>
        </w:tc>
        <w:tc>
          <w:tcPr>
            <w:tcW w:w="4209" w:type="dxa"/>
            <w:tcBorders>
              <w:left w:val="single" w:color="auto" w:sz="4" w:space="0"/>
              <w:right w:val="single" w:color="auto" w:sz="4" w:space="0"/>
            </w:tcBorders>
            <w:noWrap w:val="0"/>
            <w:vAlign w:val="center"/>
          </w:tcPr>
          <w:p w14:paraId="1B2E606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回收区</w:t>
            </w:r>
          </w:p>
        </w:tc>
        <w:tc>
          <w:tcPr>
            <w:tcW w:w="1031" w:type="dxa"/>
            <w:tcBorders>
              <w:left w:val="single" w:color="auto" w:sz="4" w:space="0"/>
              <w:right w:val="single" w:color="auto" w:sz="4" w:space="0"/>
            </w:tcBorders>
            <w:noWrap w:val="0"/>
            <w:vAlign w:val="center"/>
          </w:tcPr>
          <w:p w14:paraId="2456A17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2A70802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8A0EF1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FD783EB">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kern w:val="2"/>
                <w:sz w:val="21"/>
                <w:szCs w:val="21"/>
                <w:highlight w:val="none"/>
                <w:lang w:val="en-US" w:eastAsia="zh-CN" w:bidi="ar-SA"/>
              </w:rPr>
            </w:pPr>
          </w:p>
        </w:tc>
      </w:tr>
      <w:tr w14:paraId="40D4175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A2E7DAA">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22F2B38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双孔泔水台车</w:t>
            </w:r>
          </w:p>
          <w:p w14:paraId="52C37FD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说明：采用SUS304-2B优质不锈钢板制作，台面</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，侧门、后板、低板</w:t>
            </w:r>
            <w:r>
              <w:rPr>
                <w:rFonts w:hint="eastAsia" w:ascii="宋体" w:hAnsi="宋体" w:cs="宋体"/>
                <w:color w:val="000000"/>
                <w:kern w:val="2"/>
                <w:sz w:val="21"/>
                <w:szCs w:val="21"/>
                <w:highlight w:val="none"/>
                <w:lang w:val="en-US" w:eastAsia="zh-CN" w:bidi="ar"/>
              </w:rPr>
              <w:t>δ≥1.1mm</w:t>
            </w:r>
            <w:r>
              <w:rPr>
                <w:rFonts w:hint="eastAsia" w:ascii="宋体" w:hAnsi="宋体" w:eastAsia="宋体" w:cs="宋体"/>
                <w:color w:val="000000"/>
                <w:kern w:val="2"/>
                <w:sz w:val="21"/>
                <w:szCs w:val="21"/>
                <w:highlight w:val="none"/>
                <w:lang w:val="en-US" w:eastAsia="zh-CN" w:bidi="ar"/>
              </w:rPr>
              <w:t>，配置不锈钢Φ38×38×1.0mm方管及可调重力子弹脚，（车、桶、台配套）。</w:t>
            </w:r>
          </w:p>
          <w:p w14:paraId="65FA44F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规格：1500×700×</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800</w:t>
            </w:r>
            <w:r>
              <w:rPr>
                <w:rFonts w:hint="eastAsia" w:ascii="宋体" w:hAnsi="宋体" w:cs="宋体"/>
                <w:color w:val="000000"/>
                <w:kern w:val="2"/>
                <w:sz w:val="21"/>
                <w:szCs w:val="21"/>
                <w:highlight w:val="none"/>
                <w:lang w:val="en-US" w:eastAsia="zh-CN" w:bidi="ar"/>
              </w:rPr>
              <w:t>+150）</w:t>
            </w:r>
            <w:r>
              <w:rPr>
                <w:rFonts w:hint="eastAsia" w:ascii="宋体" w:hAnsi="宋体" w:eastAsia="宋体" w:cs="宋体"/>
                <w:color w:val="000000"/>
                <w:kern w:val="2"/>
                <w:sz w:val="21"/>
                <w:szCs w:val="21"/>
                <w:highlight w:val="none"/>
                <w:lang w:val="en-US" w:eastAsia="zh-CN" w:bidi="ar"/>
              </w:rPr>
              <w:t xml:space="preserve">   </w:t>
            </w:r>
          </w:p>
        </w:tc>
        <w:tc>
          <w:tcPr>
            <w:tcW w:w="1031" w:type="dxa"/>
            <w:tcBorders>
              <w:left w:val="single" w:color="auto" w:sz="4" w:space="0"/>
              <w:right w:val="single" w:color="auto" w:sz="4" w:space="0"/>
            </w:tcBorders>
            <w:noWrap w:val="0"/>
            <w:vAlign w:val="center"/>
          </w:tcPr>
          <w:p w14:paraId="0B5EF6F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7AC6C5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FE6250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FFEEF3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drawing>
                <wp:inline distT="0" distB="0" distL="0" distR="0">
                  <wp:extent cx="685165" cy="494030"/>
                  <wp:effectExtent l="0" t="0" r="635" b="1270"/>
                  <wp:docPr id="4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9.jpeg"/>
                          <pic:cNvPicPr>
                            <a:picLocks noChangeAspect="1"/>
                          </pic:cNvPicPr>
                        </pic:nvPicPr>
                        <pic:blipFill>
                          <a:blip r:embed="rId40" cstate="print"/>
                          <a:stretch>
                            <a:fillRect/>
                          </a:stretch>
                        </pic:blipFill>
                        <pic:spPr>
                          <a:xfrm>
                            <a:off x="0" y="0"/>
                            <a:ext cx="685341" cy="494061"/>
                          </a:xfrm>
                          <a:prstGeom prst="rect">
                            <a:avLst/>
                          </a:prstGeom>
                        </pic:spPr>
                      </pic:pic>
                    </a:graphicData>
                  </a:graphic>
                </wp:inline>
              </w:drawing>
            </w:r>
          </w:p>
        </w:tc>
      </w:tr>
      <w:tr w14:paraId="640F090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1C5766D">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rPr>
            </w:pPr>
          </w:p>
        </w:tc>
        <w:tc>
          <w:tcPr>
            <w:tcW w:w="4209" w:type="dxa"/>
            <w:tcBorders>
              <w:left w:val="single" w:color="auto" w:sz="4" w:space="0"/>
              <w:right w:val="single" w:color="auto" w:sz="4" w:space="0"/>
            </w:tcBorders>
            <w:noWrap w:val="0"/>
            <w:vAlign w:val="center"/>
          </w:tcPr>
          <w:p w14:paraId="5FD8E36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小件设备</w:t>
            </w:r>
          </w:p>
        </w:tc>
        <w:tc>
          <w:tcPr>
            <w:tcW w:w="1031" w:type="dxa"/>
            <w:tcBorders>
              <w:left w:val="single" w:color="auto" w:sz="4" w:space="0"/>
              <w:right w:val="single" w:color="auto" w:sz="4" w:space="0"/>
            </w:tcBorders>
            <w:noWrap w:val="0"/>
            <w:vAlign w:val="center"/>
          </w:tcPr>
          <w:p w14:paraId="3C943E8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6A87F03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3B9E20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0C26D105">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sz w:val="21"/>
                <w:szCs w:val="21"/>
                <w:highlight w:val="none"/>
              </w:rPr>
            </w:pPr>
          </w:p>
        </w:tc>
      </w:tr>
      <w:tr w14:paraId="415244F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CB3CC0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0CC3C5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风幕机</w:t>
            </w:r>
          </w:p>
          <w:p w14:paraId="5E5022C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194E522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zh-CN" w:eastAsia="zh-CN" w:bidi="ar"/>
              </w:rPr>
              <w:t>规格：L=1</w:t>
            </w:r>
            <w:r>
              <w:rPr>
                <w:rFonts w:hint="eastAsia" w:ascii="宋体" w:hAnsi="宋体" w:eastAsia="宋体" w:cs="宋体"/>
                <w:color w:val="000000"/>
                <w:kern w:val="2"/>
                <w:sz w:val="21"/>
                <w:szCs w:val="21"/>
                <w:highlight w:val="none"/>
                <w:lang w:val="en-US" w:eastAsia="zh-CN" w:bidi="ar"/>
              </w:rPr>
              <w:t>8</w:t>
            </w:r>
            <w:r>
              <w:rPr>
                <w:rFonts w:hint="eastAsia" w:ascii="宋体" w:hAnsi="宋体" w:eastAsia="宋体" w:cs="宋体"/>
                <w:color w:val="000000"/>
                <w:kern w:val="2"/>
                <w:sz w:val="21"/>
                <w:szCs w:val="21"/>
                <w:highlight w:val="none"/>
                <w:lang w:val="zh-CN" w:eastAsia="zh-CN" w:bidi="ar"/>
              </w:rPr>
              <w:t>00(mm)</w:t>
            </w:r>
          </w:p>
        </w:tc>
        <w:tc>
          <w:tcPr>
            <w:tcW w:w="1031" w:type="dxa"/>
            <w:tcBorders>
              <w:left w:val="single" w:color="auto" w:sz="4" w:space="0"/>
              <w:right w:val="single" w:color="auto" w:sz="4" w:space="0"/>
            </w:tcBorders>
            <w:noWrap w:val="0"/>
            <w:vAlign w:val="center"/>
          </w:tcPr>
          <w:p w14:paraId="652DDED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67ACCC6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30A0DB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13721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eastAsia="zh-CN"/>
              </w:rPr>
              <w:drawing>
                <wp:inline distT="0" distB="0" distL="114935" distR="114935">
                  <wp:extent cx="558800" cy="285750"/>
                  <wp:effectExtent l="0" t="0" r="12700" b="0"/>
                  <wp:docPr id="609" name="图片 609" descr="timg (6)"/>
                  <wp:cNvGraphicFramePr/>
                  <a:graphic xmlns:a="http://schemas.openxmlformats.org/drawingml/2006/main">
                    <a:graphicData uri="http://schemas.openxmlformats.org/drawingml/2006/picture">
                      <pic:pic xmlns:pic="http://schemas.openxmlformats.org/drawingml/2006/picture">
                        <pic:nvPicPr>
                          <pic:cNvPr id="609" name="图片 609" descr="timg (6)"/>
                          <pic:cNvPicPr/>
                        </pic:nvPicPr>
                        <pic:blipFill>
                          <a:blip r:embed="rId54"/>
                          <a:stretch>
                            <a:fillRect/>
                          </a:stretch>
                        </pic:blipFill>
                        <pic:spPr>
                          <a:xfrm>
                            <a:off x="0" y="0"/>
                            <a:ext cx="558800" cy="285750"/>
                          </a:xfrm>
                          <a:prstGeom prst="rect">
                            <a:avLst/>
                          </a:prstGeom>
                        </pic:spPr>
                      </pic:pic>
                    </a:graphicData>
                  </a:graphic>
                </wp:inline>
              </w:drawing>
            </w:r>
          </w:p>
        </w:tc>
      </w:tr>
      <w:tr w14:paraId="0B2C45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648F21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A56348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风幕机</w:t>
            </w:r>
          </w:p>
          <w:p w14:paraId="58AD6E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说明：离心式风幕机产生高速的气流，将室内外分成两个独立的温度区域，坚持室内空调及净化空气的效果，节省电能的同时并令空气循环，有效隔离灰尘、烟气、臭气、和昆虫等微生物。</w:t>
            </w:r>
          </w:p>
          <w:p w14:paraId="53765039">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zh-CN" w:eastAsia="zh-CN" w:bidi="ar"/>
              </w:rPr>
              <w:t>规格：L=1</w:t>
            </w:r>
            <w:r>
              <w:rPr>
                <w:rFonts w:hint="eastAsia" w:ascii="宋体" w:hAnsi="宋体" w:eastAsia="宋体" w:cs="宋体"/>
                <w:color w:val="000000"/>
                <w:kern w:val="2"/>
                <w:sz w:val="21"/>
                <w:szCs w:val="21"/>
                <w:highlight w:val="none"/>
                <w:lang w:val="en-US" w:eastAsia="zh-CN" w:bidi="ar"/>
              </w:rPr>
              <w:t>5</w:t>
            </w:r>
            <w:r>
              <w:rPr>
                <w:rFonts w:hint="eastAsia" w:ascii="宋体" w:hAnsi="宋体" w:eastAsia="宋体" w:cs="宋体"/>
                <w:color w:val="000000"/>
                <w:kern w:val="2"/>
                <w:sz w:val="21"/>
                <w:szCs w:val="21"/>
                <w:highlight w:val="none"/>
                <w:lang w:val="zh-CN" w:eastAsia="zh-CN" w:bidi="ar"/>
              </w:rPr>
              <w:t>00(mm)</w:t>
            </w:r>
          </w:p>
        </w:tc>
        <w:tc>
          <w:tcPr>
            <w:tcW w:w="1031" w:type="dxa"/>
            <w:tcBorders>
              <w:left w:val="single" w:color="auto" w:sz="4" w:space="0"/>
              <w:right w:val="single" w:color="auto" w:sz="4" w:space="0"/>
            </w:tcBorders>
            <w:noWrap w:val="0"/>
            <w:vAlign w:val="center"/>
          </w:tcPr>
          <w:p w14:paraId="6B4EEFE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AFC7BD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7C58A5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E80BC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i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eastAsia="zh-CN"/>
              </w:rPr>
              <w:drawing>
                <wp:inline distT="0" distB="0" distL="114935" distR="114935">
                  <wp:extent cx="558800" cy="285750"/>
                  <wp:effectExtent l="0" t="0" r="12700" b="0"/>
                  <wp:docPr id="608" name="图片 608" descr="timg (6)"/>
                  <wp:cNvGraphicFramePr/>
                  <a:graphic xmlns:a="http://schemas.openxmlformats.org/drawingml/2006/main">
                    <a:graphicData uri="http://schemas.openxmlformats.org/drawingml/2006/picture">
                      <pic:pic xmlns:pic="http://schemas.openxmlformats.org/drawingml/2006/picture">
                        <pic:nvPicPr>
                          <pic:cNvPr id="608" name="图片 608" descr="timg (6)"/>
                          <pic:cNvPicPr/>
                        </pic:nvPicPr>
                        <pic:blipFill>
                          <a:blip r:embed="rId54"/>
                          <a:stretch>
                            <a:fillRect/>
                          </a:stretch>
                        </pic:blipFill>
                        <pic:spPr>
                          <a:xfrm>
                            <a:off x="0" y="0"/>
                            <a:ext cx="558800" cy="285750"/>
                          </a:xfrm>
                          <a:prstGeom prst="rect">
                            <a:avLst/>
                          </a:prstGeom>
                        </pic:spPr>
                      </pic:pic>
                    </a:graphicData>
                  </a:graphic>
                </wp:inline>
              </w:drawing>
            </w:r>
          </w:p>
        </w:tc>
      </w:tr>
      <w:tr w14:paraId="47CBA49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BC25E1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9C2FE9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双柄双温龙头</w:t>
            </w:r>
          </w:p>
          <w:p w14:paraId="66665E7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说明：双孔双把装台面鹅颈龙头，配G1/2′进水接头，出水管中心距145mm，4′对中镀铬镍黄铜本体。</w:t>
            </w:r>
          </w:p>
        </w:tc>
        <w:tc>
          <w:tcPr>
            <w:tcW w:w="1031" w:type="dxa"/>
            <w:tcBorders>
              <w:left w:val="single" w:color="auto" w:sz="4" w:space="0"/>
              <w:right w:val="single" w:color="auto" w:sz="4" w:space="0"/>
            </w:tcBorders>
            <w:noWrap w:val="0"/>
            <w:vAlign w:val="center"/>
          </w:tcPr>
          <w:p w14:paraId="22E7D76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19</w:t>
            </w:r>
            <w:r>
              <w:rPr>
                <w:rFonts w:hint="eastAsia" w:ascii="宋体" w:hAnsi="宋体" w:eastAsia="宋体" w:cs="宋体"/>
                <w:color w:val="000000"/>
                <w:kern w:val="2"/>
                <w:sz w:val="21"/>
                <w:szCs w:val="21"/>
                <w:highlight w:val="none"/>
                <w:lang w:val="en-US" w:eastAsia="zh-CN" w:bidi="ar"/>
              </w:rPr>
              <w:t>个</w:t>
            </w:r>
          </w:p>
        </w:tc>
        <w:tc>
          <w:tcPr>
            <w:tcW w:w="911" w:type="dxa"/>
            <w:tcBorders>
              <w:left w:val="single" w:color="auto" w:sz="4" w:space="0"/>
              <w:right w:val="single" w:color="auto" w:sz="4" w:space="0"/>
            </w:tcBorders>
            <w:noWrap w:val="0"/>
            <w:vAlign w:val="center"/>
          </w:tcPr>
          <w:p w14:paraId="5A281F3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D3D68CF">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75552FF">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34035" cy="572135"/>
                  <wp:effectExtent l="0" t="0" r="18415" b="184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55"/>
                          <a:stretch>
                            <a:fillRect/>
                          </a:stretch>
                        </pic:blipFill>
                        <pic:spPr>
                          <a:xfrm>
                            <a:off x="0" y="0"/>
                            <a:ext cx="534035" cy="572135"/>
                          </a:xfrm>
                          <a:prstGeom prst="rect">
                            <a:avLst/>
                          </a:prstGeom>
                          <a:noFill/>
                          <a:ln w="9525">
                            <a:noFill/>
                          </a:ln>
                        </pic:spPr>
                      </pic:pic>
                    </a:graphicData>
                  </a:graphic>
                </wp:inline>
              </w:drawing>
            </w:r>
          </w:p>
        </w:tc>
      </w:tr>
      <w:tr w14:paraId="79CD6D2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A42B8D0">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3AE1924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三角阀</w:t>
            </w:r>
          </w:p>
          <w:p w14:paraId="7C2D33D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说明：小于90℃的冷热水表面处理：表面抛光镀镍、铬阀芯材质：低档慢开多用铜或不锈钢；高档快开为陶瓷片连接型式：G1/2螺纹连接。</w:t>
            </w:r>
          </w:p>
        </w:tc>
        <w:tc>
          <w:tcPr>
            <w:tcW w:w="1031" w:type="dxa"/>
            <w:tcBorders>
              <w:left w:val="single" w:color="auto" w:sz="4" w:space="0"/>
              <w:right w:val="single" w:color="auto" w:sz="4" w:space="0"/>
            </w:tcBorders>
            <w:noWrap w:val="0"/>
            <w:vAlign w:val="center"/>
          </w:tcPr>
          <w:p w14:paraId="646E2E1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73只</w:t>
            </w:r>
          </w:p>
        </w:tc>
        <w:tc>
          <w:tcPr>
            <w:tcW w:w="911" w:type="dxa"/>
            <w:tcBorders>
              <w:left w:val="single" w:color="auto" w:sz="4" w:space="0"/>
              <w:right w:val="single" w:color="auto" w:sz="4" w:space="0"/>
            </w:tcBorders>
            <w:noWrap w:val="0"/>
            <w:vAlign w:val="center"/>
          </w:tcPr>
          <w:p w14:paraId="32D742A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0C854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610E8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335280" cy="455295"/>
                  <wp:effectExtent l="0" t="0" r="7620" b="1905"/>
                  <wp:docPr id="6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图片 2"/>
                          <pic:cNvPicPr>
                            <a:picLocks noChangeAspect="1"/>
                          </pic:cNvPicPr>
                        </pic:nvPicPr>
                        <pic:blipFill>
                          <a:blip r:embed="rId56"/>
                          <a:stretch>
                            <a:fillRect/>
                          </a:stretch>
                        </pic:blipFill>
                        <pic:spPr>
                          <a:xfrm>
                            <a:off x="0" y="0"/>
                            <a:ext cx="335280" cy="455295"/>
                          </a:xfrm>
                          <a:prstGeom prst="rect">
                            <a:avLst/>
                          </a:prstGeom>
                          <a:noFill/>
                          <a:ln>
                            <a:noFill/>
                          </a:ln>
                        </pic:spPr>
                      </pic:pic>
                    </a:graphicData>
                  </a:graphic>
                </wp:inline>
              </w:drawing>
            </w:r>
          </w:p>
        </w:tc>
      </w:tr>
      <w:tr w14:paraId="01D9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49" w:type="dxa"/>
            <w:noWrap w:val="0"/>
            <w:vAlign w:val="center"/>
          </w:tcPr>
          <w:p w14:paraId="555FE6C3">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noWrap w:val="0"/>
            <w:vAlign w:val="center"/>
          </w:tcPr>
          <w:p w14:paraId="72C2E6A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编织金属进水管</w:t>
            </w:r>
          </w:p>
          <w:p w14:paraId="7774BC9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说明：采用优质不锈钢混合编织管，加厚、防爆、防锈、耐高温，经久耐用。</w:t>
            </w:r>
          </w:p>
        </w:tc>
        <w:tc>
          <w:tcPr>
            <w:tcW w:w="1031" w:type="dxa"/>
            <w:noWrap w:val="0"/>
            <w:vAlign w:val="center"/>
          </w:tcPr>
          <w:p w14:paraId="64F0E9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73根</w:t>
            </w:r>
          </w:p>
        </w:tc>
        <w:tc>
          <w:tcPr>
            <w:tcW w:w="911" w:type="dxa"/>
            <w:noWrap w:val="0"/>
            <w:vAlign w:val="center"/>
          </w:tcPr>
          <w:p w14:paraId="65F167A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noWrap w:val="0"/>
            <w:vAlign w:val="center"/>
          </w:tcPr>
          <w:p w14:paraId="678C364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noWrap w:val="0"/>
            <w:vAlign w:val="center"/>
          </w:tcPr>
          <w:p w14:paraId="5D35E2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drawing>
                <wp:inline distT="0" distB="0" distL="114300" distR="114300">
                  <wp:extent cx="485775" cy="323850"/>
                  <wp:effectExtent l="0" t="0" r="9525" b="0"/>
                  <wp:docPr id="6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图片 3"/>
                          <pic:cNvPicPr>
                            <a:picLocks noChangeAspect="1"/>
                          </pic:cNvPicPr>
                        </pic:nvPicPr>
                        <pic:blipFill>
                          <a:blip r:embed="rId57"/>
                          <a:stretch>
                            <a:fillRect/>
                          </a:stretch>
                        </pic:blipFill>
                        <pic:spPr>
                          <a:xfrm>
                            <a:off x="0" y="0"/>
                            <a:ext cx="485775" cy="323850"/>
                          </a:xfrm>
                          <a:prstGeom prst="rect">
                            <a:avLst/>
                          </a:prstGeom>
                          <a:noFill/>
                          <a:ln>
                            <a:noFill/>
                          </a:ln>
                        </pic:spPr>
                      </pic:pic>
                    </a:graphicData>
                  </a:graphic>
                </wp:inline>
              </w:drawing>
            </w:r>
          </w:p>
        </w:tc>
      </w:tr>
      <w:tr w14:paraId="08A182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DA07BF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b w:val="0"/>
                <w:bCs w:val="0"/>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EE2D6C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份数盘</w:t>
            </w:r>
          </w:p>
          <w:p w14:paraId="77534CA7">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说明：采用SUS304-2B优质发纹贴塑不锈钢板制作，δ</w:t>
            </w:r>
            <w:r>
              <w:rPr>
                <w:rFonts w:hint="eastAsia" w:ascii="宋体" w:hAnsi="宋体" w:cs="宋体"/>
                <w:color w:val="000000"/>
                <w:kern w:val="2"/>
                <w:sz w:val="21"/>
                <w:szCs w:val="21"/>
                <w:highlight w:val="none"/>
                <w:lang w:val="en-US" w:eastAsia="zh-CN" w:bidi="ar"/>
              </w:rPr>
              <w:t>≥</w:t>
            </w:r>
            <w:r>
              <w:rPr>
                <w:rFonts w:hint="eastAsia" w:ascii="宋体" w:hAnsi="宋体" w:eastAsia="宋体" w:cs="宋体"/>
                <w:color w:val="000000"/>
                <w:kern w:val="2"/>
                <w:sz w:val="21"/>
                <w:szCs w:val="21"/>
                <w:highlight w:val="none"/>
                <w:lang w:val="en-US" w:eastAsia="zh-CN" w:bidi="ar"/>
              </w:rPr>
              <w:t>0.9mm。</w:t>
            </w:r>
          </w:p>
          <w:p w14:paraId="79B542C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规格：1/1×10</w:t>
            </w:r>
          </w:p>
        </w:tc>
        <w:tc>
          <w:tcPr>
            <w:tcW w:w="1031" w:type="dxa"/>
            <w:tcBorders>
              <w:left w:val="single" w:color="auto" w:sz="4" w:space="0"/>
              <w:right w:val="single" w:color="auto" w:sz="4" w:space="0"/>
            </w:tcBorders>
            <w:noWrap w:val="0"/>
            <w:vAlign w:val="center"/>
          </w:tcPr>
          <w:p w14:paraId="7F8D049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54个</w:t>
            </w:r>
          </w:p>
        </w:tc>
        <w:tc>
          <w:tcPr>
            <w:tcW w:w="911" w:type="dxa"/>
            <w:tcBorders>
              <w:left w:val="single" w:color="auto" w:sz="4" w:space="0"/>
              <w:right w:val="single" w:color="auto" w:sz="4" w:space="0"/>
            </w:tcBorders>
            <w:noWrap w:val="0"/>
            <w:vAlign w:val="center"/>
          </w:tcPr>
          <w:p w14:paraId="418E1E8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AC3B02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E41A1EC">
            <w:pPr>
              <w:keepNext w:val="0"/>
              <w:keepLines w:val="0"/>
              <w:pageBreakBefore w:val="0"/>
              <w:numPr>
                <w:ilvl w:val="0"/>
                <w:numId w:val="0"/>
              </w:numPr>
              <w:tabs>
                <w:tab w:val="left" w:pos="851"/>
                <w:tab w:val="center" w:pos="5812"/>
                <w:tab w:val="decimal" w:pos="7229"/>
                <w:tab w:val="decimal" w:pos="8789"/>
              </w:tabs>
              <w:kinsoku/>
              <w:wordWrap/>
              <w:overflowPunct/>
              <w:topLinePunct w:val="0"/>
              <w:autoSpaceDE/>
              <w:autoSpaceDN/>
              <w:bidi w:val="0"/>
              <w:adjustRightInd/>
              <w:snapToGrid/>
              <w:spacing w:line="240" w:lineRule="auto"/>
              <w:ind w:left="0" w:leftChars="0" w:right="-6" w:rightChars="0" w:firstLine="0" w:firstLineChars="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sz w:val="21"/>
                <w:szCs w:val="21"/>
                <w:highlight w:val="none"/>
              </w:rPr>
              <w:drawing>
                <wp:inline distT="0" distB="0" distL="114300" distR="114300">
                  <wp:extent cx="429895" cy="373380"/>
                  <wp:effectExtent l="0" t="0" r="8255" b="7620"/>
                  <wp:docPr id="255" name="图片 255" descr="1645515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1645515122(1)"/>
                          <pic:cNvPicPr>
                            <a:picLocks noChangeAspect="1"/>
                          </pic:cNvPicPr>
                        </pic:nvPicPr>
                        <pic:blipFill>
                          <a:blip r:embed="rId58"/>
                          <a:stretch>
                            <a:fillRect/>
                          </a:stretch>
                        </pic:blipFill>
                        <pic:spPr>
                          <a:xfrm>
                            <a:off x="0" y="0"/>
                            <a:ext cx="429895" cy="373380"/>
                          </a:xfrm>
                          <a:prstGeom prst="rect">
                            <a:avLst/>
                          </a:prstGeom>
                        </pic:spPr>
                      </pic:pic>
                    </a:graphicData>
                  </a:graphic>
                </wp:inline>
              </w:drawing>
            </w:r>
          </w:p>
        </w:tc>
      </w:tr>
      <w:tr w14:paraId="30988FB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6ABD0F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FC6AA3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四人实木餐桌</w:t>
            </w:r>
          </w:p>
          <w:p w14:paraId="4B793C3C">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说明：桌面采用优质实木，桌架采用圆形实木桶制作，表面采用优质油漆，经五底三面工艺。</w:t>
            </w:r>
            <w:r>
              <w:rPr>
                <w:rFonts w:hint="eastAsia" w:ascii="宋体" w:hAnsi="宋体" w:cs="宋体"/>
                <w:color w:val="auto"/>
                <w:kern w:val="2"/>
                <w:sz w:val="21"/>
                <w:szCs w:val="21"/>
                <w:highlight w:val="none"/>
                <w:lang w:val="en-US" w:eastAsia="zh-CN" w:bidi="ar"/>
              </w:rPr>
              <w:t>配椅子4张。</w:t>
            </w:r>
          </w:p>
          <w:p w14:paraId="0D86E7C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规格：1400×800×760</w:t>
            </w:r>
          </w:p>
        </w:tc>
        <w:tc>
          <w:tcPr>
            <w:tcW w:w="1031" w:type="dxa"/>
            <w:tcBorders>
              <w:left w:val="single" w:color="auto" w:sz="4" w:space="0"/>
              <w:right w:val="single" w:color="auto" w:sz="4" w:space="0"/>
            </w:tcBorders>
            <w:noWrap w:val="0"/>
            <w:vAlign w:val="center"/>
          </w:tcPr>
          <w:p w14:paraId="1FD1935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en-US" w:eastAsia="zh-CN" w:bidi="ar"/>
              </w:rPr>
              <w:t>套</w:t>
            </w:r>
          </w:p>
        </w:tc>
        <w:tc>
          <w:tcPr>
            <w:tcW w:w="911" w:type="dxa"/>
            <w:tcBorders>
              <w:left w:val="single" w:color="auto" w:sz="4" w:space="0"/>
              <w:right w:val="single" w:color="auto" w:sz="4" w:space="0"/>
            </w:tcBorders>
            <w:noWrap w:val="0"/>
            <w:vAlign w:val="center"/>
          </w:tcPr>
          <w:p w14:paraId="15568C8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0D3B04A">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bCs/>
                <w:color w:val="auto"/>
                <w:kern w:val="2"/>
                <w:sz w:val="21"/>
                <w:szCs w:val="21"/>
                <w:highlight w:val="none"/>
                <w:lang w:val="en-US" w:eastAsia="zh-CN" w:bidi="ar-SA"/>
              </w:rPr>
            </w:pPr>
          </w:p>
        </w:tc>
        <w:tc>
          <w:tcPr>
            <w:tcW w:w="1217" w:type="dxa"/>
            <w:tcBorders>
              <w:left w:val="single" w:color="auto" w:sz="4" w:space="0"/>
              <w:right w:val="single" w:color="auto" w:sz="4" w:space="0"/>
            </w:tcBorders>
            <w:noWrap w:val="0"/>
            <w:vAlign w:val="center"/>
          </w:tcPr>
          <w:p w14:paraId="718F1718">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p>
        </w:tc>
      </w:tr>
      <w:tr w14:paraId="48C6EBC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59207A1">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4E88739">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电动</w:t>
            </w:r>
            <w:r>
              <w:rPr>
                <w:rFonts w:hint="eastAsia" w:ascii="宋体" w:hAnsi="宋体" w:eastAsia="宋体" w:cs="宋体"/>
                <w:color w:val="000000"/>
                <w:kern w:val="2"/>
                <w:sz w:val="21"/>
                <w:szCs w:val="21"/>
                <w:highlight w:val="none"/>
                <w:lang w:val="en-US" w:eastAsia="zh-CN" w:bidi="ar"/>
              </w:rPr>
              <w:t>圆桌</w:t>
            </w:r>
          </w:p>
          <w:p w14:paraId="3966835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说明：1、采用高硬度、耐腐蚀天然岩板制作。</w:t>
            </w:r>
          </w:p>
          <w:p w14:paraId="1692D2FF">
            <w:pPr>
              <w:keepNext w:val="0"/>
              <w:keepLines w:val="0"/>
              <w:pageBreakBefore w:val="0"/>
              <w:numPr>
                <w:ilvl w:val="0"/>
                <w:numId w:val="7"/>
              </w:numPr>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底座采用碳素钢制作。</w:t>
            </w:r>
          </w:p>
          <w:p w14:paraId="32310AB6">
            <w:pPr>
              <w:keepNext w:val="0"/>
              <w:keepLines w:val="0"/>
              <w:pageBreakBefore w:val="0"/>
              <w:numPr>
                <w:ilvl w:val="0"/>
                <w:numId w:val="7"/>
              </w:numPr>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配椅子12张</w:t>
            </w:r>
          </w:p>
          <w:p w14:paraId="55D62A9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规格：φ1.8m</w:t>
            </w:r>
          </w:p>
        </w:tc>
        <w:tc>
          <w:tcPr>
            <w:tcW w:w="1031" w:type="dxa"/>
            <w:tcBorders>
              <w:left w:val="single" w:color="auto" w:sz="4" w:space="0"/>
              <w:right w:val="single" w:color="auto" w:sz="4" w:space="0"/>
            </w:tcBorders>
            <w:noWrap w:val="0"/>
            <w:vAlign w:val="center"/>
          </w:tcPr>
          <w:p w14:paraId="70A7187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套</w:t>
            </w:r>
          </w:p>
        </w:tc>
        <w:tc>
          <w:tcPr>
            <w:tcW w:w="911" w:type="dxa"/>
            <w:tcBorders>
              <w:left w:val="single" w:color="auto" w:sz="4" w:space="0"/>
              <w:right w:val="single" w:color="auto" w:sz="4" w:space="0"/>
            </w:tcBorders>
            <w:noWrap w:val="0"/>
            <w:vAlign w:val="center"/>
          </w:tcPr>
          <w:p w14:paraId="084EF04B">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D3B252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217" w:type="dxa"/>
            <w:tcBorders>
              <w:left w:val="single" w:color="auto" w:sz="4" w:space="0"/>
              <w:right w:val="single" w:color="auto" w:sz="4" w:space="0"/>
            </w:tcBorders>
            <w:noWrap w:val="0"/>
            <w:vAlign w:val="center"/>
          </w:tcPr>
          <w:p w14:paraId="6743407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p>
        </w:tc>
      </w:tr>
      <w:tr w14:paraId="3472A8C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7F67B54F">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9341DB7">
            <w:pPr>
              <w:keepNext w:val="0"/>
              <w:keepLines w:val="0"/>
              <w:pageBreakBefore w:val="0"/>
              <w:kinsoku/>
              <w:wordWrap/>
              <w:overflowPunct/>
              <w:topLinePunct w:val="0"/>
              <w:autoSpaceDE/>
              <w:autoSpaceDN/>
              <w:bidi w:val="0"/>
              <w:spacing w:line="240" w:lineRule="auto"/>
              <w:jc w:val="both"/>
              <w:rPr>
                <w:rFonts w:hint="default"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电动</w:t>
            </w:r>
            <w:r>
              <w:rPr>
                <w:rFonts w:hint="eastAsia" w:ascii="宋体" w:hAnsi="宋体" w:eastAsia="宋体" w:cs="宋体"/>
                <w:color w:val="000000"/>
                <w:kern w:val="2"/>
                <w:sz w:val="21"/>
                <w:szCs w:val="21"/>
                <w:highlight w:val="none"/>
                <w:lang w:val="en-US" w:eastAsia="zh-CN" w:bidi="ar"/>
              </w:rPr>
              <w:t>圆桌</w:t>
            </w:r>
          </w:p>
          <w:p w14:paraId="4EA2BE5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说明：1、采用高硬度、耐腐蚀天然岩板制作。</w:t>
            </w:r>
          </w:p>
          <w:p w14:paraId="54F8CE1D">
            <w:pPr>
              <w:keepNext w:val="0"/>
              <w:keepLines w:val="0"/>
              <w:pageBreakBefore w:val="0"/>
              <w:numPr>
                <w:ilvl w:val="0"/>
                <w:numId w:val="8"/>
              </w:numPr>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底座采用碳素钢制作。</w:t>
            </w:r>
          </w:p>
          <w:p w14:paraId="36C91738">
            <w:pPr>
              <w:keepNext w:val="0"/>
              <w:keepLines w:val="0"/>
              <w:pageBreakBefore w:val="0"/>
              <w:numPr>
                <w:ilvl w:val="0"/>
                <w:numId w:val="8"/>
              </w:numPr>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配椅子15张</w:t>
            </w:r>
          </w:p>
          <w:p w14:paraId="0EBBA1E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规格：φ</w:t>
            </w:r>
            <w:r>
              <w:rPr>
                <w:rFonts w:hint="eastAsia" w:ascii="宋体" w:hAnsi="宋体" w:cs="宋体"/>
                <w:color w:val="000000"/>
                <w:kern w:val="2"/>
                <w:sz w:val="21"/>
                <w:szCs w:val="21"/>
                <w:highlight w:val="none"/>
                <w:lang w:val="en-US" w:eastAsia="zh-CN" w:bidi="ar"/>
              </w:rPr>
              <w:t>2</w:t>
            </w:r>
            <w:r>
              <w:rPr>
                <w:rFonts w:hint="eastAsia" w:ascii="宋体" w:hAnsi="宋体" w:eastAsia="宋体" w:cs="宋体"/>
                <w:color w:val="000000"/>
                <w:kern w:val="2"/>
                <w:sz w:val="21"/>
                <w:szCs w:val="21"/>
                <w:highlight w:val="none"/>
                <w:lang w:val="en-US" w:eastAsia="zh-CN" w:bidi="ar"/>
              </w:rPr>
              <w:t>m</w:t>
            </w:r>
          </w:p>
        </w:tc>
        <w:tc>
          <w:tcPr>
            <w:tcW w:w="1031" w:type="dxa"/>
            <w:tcBorders>
              <w:left w:val="single" w:color="auto" w:sz="4" w:space="0"/>
              <w:right w:val="single" w:color="auto" w:sz="4" w:space="0"/>
            </w:tcBorders>
            <w:noWrap w:val="0"/>
            <w:vAlign w:val="center"/>
          </w:tcPr>
          <w:p w14:paraId="2C91D16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cs="宋体"/>
                <w:color w:val="000000"/>
                <w:kern w:val="2"/>
                <w:sz w:val="21"/>
                <w:szCs w:val="21"/>
                <w:highlight w:val="none"/>
                <w:lang w:val="en-US" w:eastAsia="zh-CN" w:bidi="ar"/>
              </w:rPr>
              <w:t>1</w:t>
            </w:r>
            <w:r>
              <w:rPr>
                <w:rFonts w:hint="eastAsia" w:ascii="宋体" w:hAnsi="宋体" w:eastAsia="宋体" w:cs="宋体"/>
                <w:color w:val="000000"/>
                <w:kern w:val="2"/>
                <w:sz w:val="21"/>
                <w:szCs w:val="21"/>
                <w:highlight w:val="none"/>
                <w:lang w:val="en-US" w:eastAsia="zh-CN" w:bidi="ar"/>
              </w:rPr>
              <w:t>套</w:t>
            </w:r>
          </w:p>
        </w:tc>
        <w:tc>
          <w:tcPr>
            <w:tcW w:w="911" w:type="dxa"/>
            <w:tcBorders>
              <w:left w:val="single" w:color="auto" w:sz="4" w:space="0"/>
              <w:right w:val="single" w:color="auto" w:sz="4" w:space="0"/>
            </w:tcBorders>
            <w:noWrap w:val="0"/>
            <w:vAlign w:val="center"/>
          </w:tcPr>
          <w:p w14:paraId="3261DF61">
            <w:pPr>
              <w:keepNext w:val="0"/>
              <w:keepLines w:val="0"/>
              <w:pageBreakBefore w:val="0"/>
              <w:kinsoku/>
              <w:wordWrap/>
              <w:overflowPunct/>
              <w:topLinePunct w:val="0"/>
              <w:autoSpaceDE/>
              <w:autoSpaceDN/>
              <w:bidi w:val="0"/>
              <w:spacing w:line="240" w:lineRule="auto"/>
              <w:jc w:val="center"/>
              <w:rPr>
                <w:rFonts w:hint="default"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29F7825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Cs/>
                <w:color w:val="auto"/>
                <w:kern w:val="2"/>
                <w:sz w:val="21"/>
                <w:szCs w:val="21"/>
                <w:highlight w:val="none"/>
                <w:lang w:val="en-US" w:eastAsia="zh-CN" w:bidi="ar-SA"/>
              </w:rPr>
            </w:pPr>
          </w:p>
        </w:tc>
        <w:tc>
          <w:tcPr>
            <w:tcW w:w="1217" w:type="dxa"/>
            <w:tcBorders>
              <w:left w:val="single" w:color="auto" w:sz="4" w:space="0"/>
              <w:right w:val="single" w:color="auto" w:sz="4" w:space="0"/>
            </w:tcBorders>
            <w:noWrap w:val="0"/>
            <w:vAlign w:val="center"/>
          </w:tcPr>
          <w:p w14:paraId="3F213CB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color w:val="auto"/>
                <w:kern w:val="2"/>
                <w:sz w:val="21"/>
                <w:szCs w:val="21"/>
                <w:highlight w:val="none"/>
                <w:lang w:val="en-US" w:eastAsia="zh-CN" w:bidi="ar-SA"/>
              </w:rPr>
            </w:pPr>
          </w:p>
        </w:tc>
      </w:tr>
      <w:tr w14:paraId="2DDC89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656C1BB">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b w:val="0"/>
                <w:bCs w:val="0"/>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1538F29">
            <w:pPr>
              <w:pStyle w:val="606"/>
              <w:keepNext w:val="0"/>
              <w:keepLines w:val="0"/>
              <w:pageBreakBefore w:val="0"/>
              <w:widowControl/>
              <w:tabs>
                <w:tab w:val="left" w:pos="630"/>
                <w:tab w:val="left" w:pos="5674"/>
                <w:tab w:val="left" w:pos="8100"/>
                <w:tab w:val="clear" w:pos="1212"/>
                <w:tab w:val="clear" w:pos="3888"/>
              </w:tabs>
              <w:kinsoku/>
              <w:wordWrap/>
              <w:overflowPunct/>
              <w:topLinePunct w:val="0"/>
              <w:autoSpaceDE/>
              <w:autoSpaceDN/>
              <w:bidi w:val="0"/>
              <w:spacing w:line="240" w:lineRule="auto"/>
              <w:jc w:val="left"/>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排烟系统</w:t>
            </w:r>
          </w:p>
        </w:tc>
        <w:tc>
          <w:tcPr>
            <w:tcW w:w="1031" w:type="dxa"/>
            <w:tcBorders>
              <w:left w:val="single" w:color="auto" w:sz="4" w:space="0"/>
              <w:right w:val="single" w:color="auto" w:sz="4" w:space="0"/>
            </w:tcBorders>
            <w:noWrap w:val="0"/>
            <w:vAlign w:val="center"/>
          </w:tcPr>
          <w:p w14:paraId="6A8B59F4">
            <w:pPr>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7678CC3F">
            <w:pPr>
              <w:widowControl/>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405D9F8">
            <w:pPr>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B674C38">
            <w:pPr>
              <w:jc w:val="center"/>
              <w:rPr>
                <w:rFonts w:hint="eastAsia" w:ascii="宋体" w:hAnsi="宋体" w:eastAsia="宋体" w:cs="宋体"/>
                <w:color w:val="auto"/>
                <w:sz w:val="21"/>
                <w:szCs w:val="21"/>
                <w:highlight w:val="none"/>
              </w:rPr>
            </w:pPr>
          </w:p>
        </w:tc>
      </w:tr>
      <w:tr w14:paraId="2E2E8B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5669D6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30243B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不锈钢排烟管(单位：㎡)</w:t>
            </w:r>
          </w:p>
          <w:p w14:paraId="286A2BA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mm，配A3钢法兰，变径、大小口按展开面积1：2计算。(按实际面积计算)。</w:t>
            </w:r>
          </w:p>
        </w:tc>
        <w:tc>
          <w:tcPr>
            <w:tcW w:w="1031" w:type="dxa"/>
            <w:tcBorders>
              <w:left w:val="single" w:color="auto" w:sz="4" w:space="0"/>
              <w:right w:val="single" w:color="auto" w:sz="4" w:space="0"/>
            </w:tcBorders>
            <w:noWrap w:val="0"/>
            <w:vAlign w:val="center"/>
          </w:tcPr>
          <w:p w14:paraId="5DCE01B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197㎡</w:t>
            </w:r>
          </w:p>
        </w:tc>
        <w:tc>
          <w:tcPr>
            <w:tcW w:w="911" w:type="dxa"/>
            <w:tcBorders>
              <w:left w:val="single" w:color="auto" w:sz="4" w:space="0"/>
              <w:right w:val="single" w:color="auto" w:sz="4" w:space="0"/>
            </w:tcBorders>
            <w:noWrap w:val="0"/>
            <w:vAlign w:val="center"/>
          </w:tcPr>
          <w:p w14:paraId="0077DD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5A183E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58D5862">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561340" cy="492125"/>
                  <wp:effectExtent l="0" t="0" r="10160" b="3175"/>
                  <wp:docPr id="883" name="图片 883"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 name="图片 883" descr="风管"/>
                          <pic:cNvPicPr>
                            <a:picLocks noChangeAspect="1"/>
                          </pic:cNvPicPr>
                        </pic:nvPicPr>
                        <pic:blipFill>
                          <a:blip r:embed="rId59"/>
                          <a:stretch>
                            <a:fillRect/>
                          </a:stretch>
                        </pic:blipFill>
                        <pic:spPr>
                          <a:xfrm>
                            <a:off x="0" y="0"/>
                            <a:ext cx="561340" cy="492125"/>
                          </a:xfrm>
                          <a:prstGeom prst="rect">
                            <a:avLst/>
                          </a:prstGeom>
                          <a:noFill/>
                          <a:ln w="9525">
                            <a:noFill/>
                          </a:ln>
                        </pic:spPr>
                      </pic:pic>
                    </a:graphicData>
                  </a:graphic>
                </wp:inline>
              </w:drawing>
            </w:r>
          </w:p>
        </w:tc>
      </w:tr>
      <w:tr w14:paraId="0C56543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427D5E1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3955B5DE">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离心式通风机</w:t>
            </w:r>
          </w:p>
          <w:p w14:paraId="41E1FE8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说明：采用优质镀锌板烤漆折边成型为可拆装结构。</w:t>
            </w:r>
          </w:p>
          <w:p w14:paraId="581156C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风量：25000-32000m³/h</w:t>
            </w:r>
          </w:p>
          <w:p w14:paraId="396D9DD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功率：18.5KW/380V</w:t>
            </w:r>
          </w:p>
        </w:tc>
        <w:tc>
          <w:tcPr>
            <w:tcW w:w="1031" w:type="dxa"/>
            <w:tcBorders>
              <w:left w:val="single" w:color="auto" w:sz="4" w:space="0"/>
              <w:right w:val="single" w:color="auto" w:sz="4" w:space="0"/>
            </w:tcBorders>
            <w:noWrap w:val="0"/>
            <w:vAlign w:val="center"/>
          </w:tcPr>
          <w:p w14:paraId="73653DE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008FA7F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8F0E36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F042446">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drawing>
                <wp:inline distT="0" distB="0" distL="114300" distR="114300">
                  <wp:extent cx="358140" cy="367030"/>
                  <wp:effectExtent l="0" t="0" r="3810" b="13970"/>
                  <wp:docPr id="52" name="图片 4"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descr="风柜"/>
                          <pic:cNvPicPr>
                            <a:picLocks noChangeAspect="1"/>
                          </pic:cNvPicPr>
                        </pic:nvPicPr>
                        <pic:blipFill>
                          <a:blip r:embed="rId60"/>
                          <a:stretch>
                            <a:fillRect/>
                          </a:stretch>
                        </pic:blipFill>
                        <pic:spPr>
                          <a:xfrm>
                            <a:off x="0" y="0"/>
                            <a:ext cx="358140" cy="367030"/>
                          </a:xfrm>
                          <a:prstGeom prst="rect">
                            <a:avLst/>
                          </a:prstGeom>
                          <a:noFill/>
                          <a:ln w="9525">
                            <a:noFill/>
                          </a:ln>
                        </pic:spPr>
                      </pic:pic>
                    </a:graphicData>
                  </a:graphic>
                </wp:inline>
              </w:drawing>
            </w:r>
          </w:p>
        </w:tc>
      </w:tr>
      <w:tr w14:paraId="6130399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CF1104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0F6395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离心式通风机（洗碗间）</w:t>
            </w:r>
          </w:p>
          <w:p w14:paraId="2388585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说明：采用优质镀锌板烤漆折边成型为可拆装结构。</w:t>
            </w:r>
          </w:p>
          <w:p w14:paraId="2B192C96">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风量：6000-11000m³/h</w:t>
            </w:r>
          </w:p>
          <w:p w14:paraId="553087D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功率：3KW/380V</w:t>
            </w:r>
          </w:p>
        </w:tc>
        <w:tc>
          <w:tcPr>
            <w:tcW w:w="1031" w:type="dxa"/>
            <w:tcBorders>
              <w:left w:val="single" w:color="auto" w:sz="4" w:space="0"/>
              <w:right w:val="single" w:color="auto" w:sz="4" w:space="0"/>
            </w:tcBorders>
            <w:noWrap w:val="0"/>
            <w:vAlign w:val="center"/>
          </w:tcPr>
          <w:p w14:paraId="2B4CE74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7F38CF3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D1C7E7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06CFD0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drawing>
                <wp:inline distT="0" distB="0" distL="114300" distR="114300">
                  <wp:extent cx="358140" cy="367030"/>
                  <wp:effectExtent l="0" t="0" r="3810" b="13970"/>
                  <wp:docPr id="4" name="图片 4"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风柜"/>
                          <pic:cNvPicPr>
                            <a:picLocks noChangeAspect="1"/>
                          </pic:cNvPicPr>
                        </pic:nvPicPr>
                        <pic:blipFill>
                          <a:blip r:embed="rId60"/>
                          <a:stretch>
                            <a:fillRect/>
                          </a:stretch>
                        </pic:blipFill>
                        <pic:spPr>
                          <a:xfrm>
                            <a:off x="0" y="0"/>
                            <a:ext cx="358140" cy="367030"/>
                          </a:xfrm>
                          <a:prstGeom prst="rect">
                            <a:avLst/>
                          </a:prstGeom>
                          <a:noFill/>
                          <a:ln w="9525">
                            <a:noFill/>
                          </a:ln>
                        </pic:spPr>
                      </pic:pic>
                    </a:graphicData>
                  </a:graphic>
                </wp:inline>
              </w:drawing>
            </w:r>
          </w:p>
        </w:tc>
      </w:tr>
      <w:tr w14:paraId="005C5DE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59621F6">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4E5B29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离心式通风机（煮面档）</w:t>
            </w:r>
          </w:p>
          <w:p w14:paraId="3369823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说明：采用优质镀锌板烤漆折边成型为可拆装结构。功率：3KW/380V</w:t>
            </w:r>
          </w:p>
          <w:p w14:paraId="4053971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风量：6000-11000m³/h</w:t>
            </w:r>
          </w:p>
        </w:tc>
        <w:tc>
          <w:tcPr>
            <w:tcW w:w="1031" w:type="dxa"/>
            <w:tcBorders>
              <w:left w:val="single" w:color="auto" w:sz="4" w:space="0"/>
              <w:right w:val="single" w:color="auto" w:sz="4" w:space="0"/>
            </w:tcBorders>
            <w:noWrap w:val="0"/>
            <w:vAlign w:val="center"/>
          </w:tcPr>
          <w:p w14:paraId="7A94751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6BD235F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58A406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B2D64A1">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drawing>
                <wp:inline distT="0" distB="0" distL="114300" distR="114300">
                  <wp:extent cx="358140" cy="367030"/>
                  <wp:effectExtent l="0" t="0" r="3810" b="13970"/>
                  <wp:docPr id="19" name="图片 4"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风柜"/>
                          <pic:cNvPicPr>
                            <a:picLocks noChangeAspect="1"/>
                          </pic:cNvPicPr>
                        </pic:nvPicPr>
                        <pic:blipFill>
                          <a:blip r:embed="rId60"/>
                          <a:stretch>
                            <a:fillRect/>
                          </a:stretch>
                        </pic:blipFill>
                        <pic:spPr>
                          <a:xfrm>
                            <a:off x="0" y="0"/>
                            <a:ext cx="358140" cy="367030"/>
                          </a:xfrm>
                          <a:prstGeom prst="rect">
                            <a:avLst/>
                          </a:prstGeom>
                          <a:noFill/>
                          <a:ln w="9525">
                            <a:noFill/>
                          </a:ln>
                        </pic:spPr>
                      </pic:pic>
                    </a:graphicData>
                  </a:graphic>
                </wp:inline>
              </w:drawing>
            </w:r>
          </w:p>
        </w:tc>
      </w:tr>
      <w:tr w14:paraId="0DEFC00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E1E33E3">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80949F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不锈钢消音器</w:t>
            </w:r>
          </w:p>
          <w:p w14:paraId="27604174">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说明：采用SUS304-2B优质304不锈钢制作，δ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mm，主要部件：不锈钢、防火岩棉、过滤网、冲孔板，第二层为玻璃棉，第三层为过滤网，主要隔离玻璃棉、岩棉，第四层冲孔网，在薄板上用孔径小于mm的钻头钻孔，穿孔率为1%-3%的穿孔率和板厚不同的腔深。</w:t>
            </w:r>
          </w:p>
        </w:tc>
        <w:tc>
          <w:tcPr>
            <w:tcW w:w="1031" w:type="dxa"/>
            <w:tcBorders>
              <w:left w:val="single" w:color="auto" w:sz="4" w:space="0"/>
              <w:right w:val="single" w:color="auto" w:sz="4" w:space="0"/>
            </w:tcBorders>
            <w:noWrap w:val="0"/>
            <w:vAlign w:val="center"/>
          </w:tcPr>
          <w:p w14:paraId="078E3B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31062B0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6F154F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C38AA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drawing>
                <wp:inline distT="0" distB="0" distL="114300" distR="114300">
                  <wp:extent cx="619125" cy="638175"/>
                  <wp:effectExtent l="0" t="0" r="9525" b="9525"/>
                  <wp:docPr id="57" name="图片 14"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 descr="IMG_297"/>
                          <pic:cNvPicPr>
                            <a:picLocks noChangeAspect="1"/>
                          </pic:cNvPicPr>
                        </pic:nvPicPr>
                        <pic:blipFill>
                          <a:blip r:embed="rId61"/>
                          <a:stretch>
                            <a:fillRect/>
                          </a:stretch>
                        </pic:blipFill>
                        <pic:spPr>
                          <a:xfrm>
                            <a:off x="0" y="0"/>
                            <a:ext cx="619125" cy="638175"/>
                          </a:xfrm>
                          <a:prstGeom prst="rect">
                            <a:avLst/>
                          </a:prstGeom>
                          <a:noFill/>
                          <a:ln>
                            <a:noFill/>
                          </a:ln>
                        </pic:spPr>
                      </pic:pic>
                    </a:graphicData>
                  </a:graphic>
                </wp:inline>
              </w:drawing>
            </w:r>
          </w:p>
        </w:tc>
      </w:tr>
      <w:tr w14:paraId="3499C8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4224BFA">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26CA39E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防火阀</w:t>
            </w:r>
          </w:p>
          <w:p w14:paraId="5C7AD82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说明：熔断器动作温度150℃；</w:t>
            </w:r>
          </w:p>
          <w:p w14:paraId="4802E3F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采用一体成型工艺，法兰边无需焊接更耐用，密封弹片，采用密封片处理，漏风量低，气密性好。</w:t>
            </w:r>
          </w:p>
        </w:tc>
        <w:tc>
          <w:tcPr>
            <w:tcW w:w="1031" w:type="dxa"/>
            <w:tcBorders>
              <w:left w:val="single" w:color="auto" w:sz="4" w:space="0"/>
              <w:right w:val="single" w:color="auto" w:sz="4" w:space="0"/>
            </w:tcBorders>
            <w:noWrap w:val="0"/>
            <w:vAlign w:val="center"/>
          </w:tcPr>
          <w:p w14:paraId="38ACD50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4030582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A92741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BE473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rPr>
              <w:drawing>
                <wp:inline distT="0" distB="0" distL="114300" distR="114300">
                  <wp:extent cx="623570" cy="622300"/>
                  <wp:effectExtent l="0" t="0" r="5080" b="6350"/>
                  <wp:docPr id="58" name="图片 7"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7" descr="防火阀"/>
                          <pic:cNvPicPr>
                            <a:picLocks noChangeAspect="1"/>
                          </pic:cNvPicPr>
                        </pic:nvPicPr>
                        <pic:blipFill>
                          <a:blip r:embed="rId62"/>
                          <a:stretch>
                            <a:fillRect/>
                          </a:stretch>
                        </pic:blipFill>
                        <pic:spPr>
                          <a:xfrm>
                            <a:off x="0" y="0"/>
                            <a:ext cx="623570" cy="622300"/>
                          </a:xfrm>
                          <a:prstGeom prst="rect">
                            <a:avLst/>
                          </a:prstGeom>
                          <a:noFill/>
                          <a:ln w="9525">
                            <a:noFill/>
                          </a:ln>
                        </pic:spPr>
                      </pic:pic>
                    </a:graphicData>
                  </a:graphic>
                </wp:inline>
              </w:drawing>
            </w:r>
          </w:p>
        </w:tc>
      </w:tr>
      <w:tr w14:paraId="19E6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0"/>
            <w:vAlign w:val="center"/>
          </w:tcPr>
          <w:p w14:paraId="76D61B15">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rPr>
            </w:pPr>
          </w:p>
        </w:tc>
        <w:tc>
          <w:tcPr>
            <w:tcW w:w="4209" w:type="dxa"/>
            <w:noWrap w:val="0"/>
            <w:vAlign w:val="center"/>
          </w:tcPr>
          <w:p w14:paraId="3EE723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风柜支架</w:t>
            </w:r>
          </w:p>
          <w:p w14:paraId="1E5EF8B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说明：采用优质镀锌型钢焊接成型，防锈处理8#槽钢</w:t>
            </w:r>
          </w:p>
        </w:tc>
        <w:tc>
          <w:tcPr>
            <w:tcW w:w="1031" w:type="dxa"/>
            <w:noWrap w:val="0"/>
            <w:vAlign w:val="center"/>
          </w:tcPr>
          <w:p w14:paraId="7AA4A47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noWrap w:val="0"/>
            <w:vAlign w:val="center"/>
          </w:tcPr>
          <w:p w14:paraId="346EA7A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noWrap w:val="0"/>
            <w:vAlign w:val="center"/>
          </w:tcPr>
          <w:p w14:paraId="4DB0F1F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noWrap w:val="0"/>
            <w:vAlign w:val="center"/>
          </w:tcPr>
          <w:p w14:paraId="63FDE7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rPr>
              <w:drawing>
                <wp:inline distT="0" distB="0" distL="114300" distR="114300">
                  <wp:extent cx="476250" cy="367665"/>
                  <wp:effectExtent l="0" t="0" r="0" b="13335"/>
                  <wp:docPr id="5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4"/>
                          <pic:cNvPicPr>
                            <a:picLocks noChangeAspect="1"/>
                          </pic:cNvPicPr>
                        </pic:nvPicPr>
                        <pic:blipFill>
                          <a:blip r:embed="rId63"/>
                          <a:stretch>
                            <a:fillRect/>
                          </a:stretch>
                        </pic:blipFill>
                        <pic:spPr>
                          <a:xfrm>
                            <a:off x="0" y="0"/>
                            <a:ext cx="476250" cy="367665"/>
                          </a:xfrm>
                          <a:prstGeom prst="rect">
                            <a:avLst/>
                          </a:prstGeom>
                          <a:noFill/>
                          <a:ln>
                            <a:noFill/>
                          </a:ln>
                        </pic:spPr>
                      </pic:pic>
                    </a:graphicData>
                  </a:graphic>
                </wp:inline>
              </w:drawing>
            </w:r>
          </w:p>
        </w:tc>
      </w:tr>
      <w:tr w14:paraId="04C44FE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A16769C">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2986E0D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软接</w:t>
            </w:r>
          </w:p>
          <w:p w14:paraId="7E7E1E1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材质：帆布、阻燃布</w:t>
            </w:r>
          </w:p>
        </w:tc>
        <w:tc>
          <w:tcPr>
            <w:tcW w:w="1031" w:type="dxa"/>
            <w:tcBorders>
              <w:left w:val="single" w:color="auto" w:sz="4" w:space="0"/>
              <w:right w:val="single" w:color="auto" w:sz="4" w:space="0"/>
            </w:tcBorders>
            <w:noWrap w:val="0"/>
            <w:vAlign w:val="center"/>
          </w:tcPr>
          <w:p w14:paraId="0232DA1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6套</w:t>
            </w:r>
          </w:p>
        </w:tc>
        <w:tc>
          <w:tcPr>
            <w:tcW w:w="911" w:type="dxa"/>
            <w:tcBorders>
              <w:left w:val="single" w:color="auto" w:sz="4" w:space="0"/>
              <w:right w:val="single" w:color="auto" w:sz="4" w:space="0"/>
            </w:tcBorders>
            <w:noWrap w:val="0"/>
            <w:vAlign w:val="center"/>
          </w:tcPr>
          <w:p w14:paraId="5E434EA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4FECB6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7028D5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rPr>
              <w:drawing>
                <wp:inline distT="0" distB="0" distL="114300" distR="114300">
                  <wp:extent cx="285750" cy="342900"/>
                  <wp:effectExtent l="0" t="0" r="0" b="0"/>
                  <wp:docPr id="6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
                          <pic:cNvPicPr>
                            <a:picLocks noChangeAspect="1"/>
                          </pic:cNvPicPr>
                        </pic:nvPicPr>
                        <pic:blipFill>
                          <a:blip r:embed="rId64"/>
                          <a:stretch>
                            <a:fillRect/>
                          </a:stretch>
                        </pic:blipFill>
                        <pic:spPr>
                          <a:xfrm>
                            <a:off x="0" y="0"/>
                            <a:ext cx="285750" cy="342900"/>
                          </a:xfrm>
                          <a:prstGeom prst="rect">
                            <a:avLst/>
                          </a:prstGeom>
                          <a:noFill/>
                          <a:ln w="9525">
                            <a:noFill/>
                          </a:ln>
                        </pic:spPr>
                      </pic:pic>
                    </a:graphicData>
                  </a:graphic>
                </wp:inline>
              </w:drawing>
            </w:r>
          </w:p>
        </w:tc>
      </w:tr>
      <w:tr w14:paraId="09A6660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2FB1BEB">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51B7E3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en-US" w:bidi="ar"/>
              </w:rPr>
            </w:pPr>
            <w:r>
              <w:rPr>
                <w:rFonts w:hint="eastAsia" w:ascii="宋体" w:hAnsi="宋体" w:eastAsia="宋体" w:cs="宋体"/>
                <w:color w:val="000000"/>
                <w:kern w:val="2"/>
                <w:sz w:val="21"/>
                <w:szCs w:val="21"/>
                <w:highlight w:val="none"/>
                <w:lang w:val="en-US" w:eastAsia="en-US" w:bidi="ar"/>
              </w:rPr>
              <w:t>变频控制柜</w:t>
            </w:r>
          </w:p>
          <w:p w14:paraId="2D9580C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en-US" w:bidi="ar"/>
              </w:rPr>
            </w:pPr>
            <w:r>
              <w:rPr>
                <w:rFonts w:hint="eastAsia" w:ascii="宋体" w:hAnsi="宋体" w:eastAsia="宋体" w:cs="宋体"/>
                <w:color w:val="000000"/>
                <w:kern w:val="2"/>
                <w:sz w:val="21"/>
                <w:szCs w:val="21"/>
                <w:highlight w:val="none"/>
                <w:lang w:val="en-US" w:eastAsia="zh-CN" w:bidi="ar"/>
              </w:rPr>
              <w:t>说明：</w:t>
            </w:r>
            <w:r>
              <w:rPr>
                <w:rFonts w:hint="eastAsia" w:ascii="宋体" w:hAnsi="宋体" w:eastAsia="宋体" w:cs="宋体"/>
                <w:color w:val="000000"/>
                <w:kern w:val="2"/>
                <w:sz w:val="21"/>
                <w:szCs w:val="21"/>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251F6FF1">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en-US" w:bidi="ar"/>
              </w:rPr>
              <w:t>电量：</w:t>
            </w:r>
            <w:r>
              <w:rPr>
                <w:rFonts w:hint="eastAsia" w:ascii="宋体" w:hAnsi="宋体" w:eastAsia="宋体" w:cs="宋体"/>
                <w:color w:val="000000"/>
                <w:kern w:val="2"/>
                <w:sz w:val="21"/>
                <w:szCs w:val="21"/>
                <w:highlight w:val="none"/>
                <w:lang w:val="en-US" w:eastAsia="zh-CN" w:bidi="ar"/>
              </w:rPr>
              <w:t>18.5</w:t>
            </w:r>
            <w:r>
              <w:rPr>
                <w:rFonts w:hint="eastAsia" w:ascii="宋体" w:hAnsi="宋体" w:eastAsia="宋体" w:cs="宋体"/>
                <w:color w:val="000000"/>
                <w:kern w:val="2"/>
                <w:sz w:val="21"/>
                <w:szCs w:val="21"/>
                <w:highlight w:val="none"/>
                <w:lang w:val="en-US" w:eastAsia="en-US" w:bidi="ar"/>
              </w:rPr>
              <w:t>KW/380V；</w:t>
            </w:r>
          </w:p>
        </w:tc>
        <w:tc>
          <w:tcPr>
            <w:tcW w:w="1031" w:type="dxa"/>
            <w:tcBorders>
              <w:left w:val="single" w:color="auto" w:sz="4" w:space="0"/>
              <w:right w:val="single" w:color="auto" w:sz="4" w:space="0"/>
            </w:tcBorders>
            <w:noWrap w:val="0"/>
            <w:vAlign w:val="center"/>
          </w:tcPr>
          <w:p w14:paraId="70955D1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1台</w:t>
            </w:r>
          </w:p>
        </w:tc>
        <w:tc>
          <w:tcPr>
            <w:tcW w:w="911" w:type="dxa"/>
            <w:tcBorders>
              <w:left w:val="single" w:color="auto" w:sz="4" w:space="0"/>
              <w:right w:val="single" w:color="auto" w:sz="4" w:space="0"/>
            </w:tcBorders>
            <w:noWrap w:val="0"/>
            <w:vAlign w:val="center"/>
          </w:tcPr>
          <w:p w14:paraId="5FACF90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668A595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7696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en-US"/>
              </w:rPr>
              <w:drawing>
                <wp:inline distT="0" distB="0" distL="114300" distR="114300">
                  <wp:extent cx="346075" cy="489585"/>
                  <wp:effectExtent l="0" t="0" r="15875" b="5715"/>
                  <wp:docPr id="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
                          <pic:cNvPicPr>
                            <a:picLocks noChangeAspect="1"/>
                          </pic:cNvPicPr>
                        </pic:nvPicPr>
                        <pic:blipFill>
                          <a:blip r:embed="rId65"/>
                          <a:stretch>
                            <a:fillRect/>
                          </a:stretch>
                        </pic:blipFill>
                        <pic:spPr>
                          <a:xfrm>
                            <a:off x="0" y="0"/>
                            <a:ext cx="346075" cy="489585"/>
                          </a:xfrm>
                          <a:prstGeom prst="rect">
                            <a:avLst/>
                          </a:prstGeom>
                          <a:noFill/>
                          <a:ln>
                            <a:noFill/>
                          </a:ln>
                        </pic:spPr>
                      </pic:pic>
                    </a:graphicData>
                  </a:graphic>
                </wp:inline>
              </w:drawing>
            </w:r>
          </w:p>
        </w:tc>
      </w:tr>
      <w:tr w14:paraId="4F2DCD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16A2A23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F27C28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en-US" w:bidi="ar"/>
              </w:rPr>
            </w:pPr>
            <w:r>
              <w:rPr>
                <w:rFonts w:hint="eastAsia" w:ascii="宋体" w:hAnsi="宋体" w:eastAsia="宋体" w:cs="宋体"/>
                <w:color w:val="000000"/>
                <w:kern w:val="2"/>
                <w:sz w:val="21"/>
                <w:szCs w:val="21"/>
                <w:highlight w:val="none"/>
                <w:lang w:val="en-US" w:eastAsia="en-US" w:bidi="ar"/>
              </w:rPr>
              <w:t>变频控制柜</w:t>
            </w:r>
          </w:p>
          <w:p w14:paraId="1A99273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en-US" w:bidi="ar"/>
              </w:rPr>
            </w:pPr>
            <w:r>
              <w:rPr>
                <w:rFonts w:hint="eastAsia" w:ascii="宋体" w:hAnsi="宋体" w:eastAsia="宋体" w:cs="宋体"/>
                <w:color w:val="000000"/>
                <w:kern w:val="2"/>
                <w:sz w:val="21"/>
                <w:szCs w:val="21"/>
                <w:highlight w:val="none"/>
                <w:lang w:val="en-US" w:eastAsia="zh-CN" w:bidi="ar"/>
              </w:rPr>
              <w:t>说明：</w:t>
            </w:r>
            <w:r>
              <w:rPr>
                <w:rFonts w:hint="eastAsia" w:ascii="宋体" w:hAnsi="宋体" w:eastAsia="宋体" w:cs="宋体"/>
                <w:color w:val="000000"/>
                <w:kern w:val="2"/>
                <w:sz w:val="21"/>
                <w:szCs w:val="21"/>
                <w:highlight w:val="none"/>
                <w:lang w:val="en-US" w:eastAsia="en-US" w:bidi="ar"/>
              </w:rPr>
              <w:t>主要由整流（交流变直流）、滤波、逆变（直流变交流）、制动单元、驱动单元、检测单元微处理单元等组成。变频器靠内部IGBT的开断来调整输出电源的电压和频率，根据电机的实际需要来提供其所需要的电源电压，进而达到节能、调速的目的，具有过流、过压、过载保护等功能。</w:t>
            </w:r>
          </w:p>
          <w:p w14:paraId="0298C24A">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en-US" w:bidi="ar"/>
              </w:rPr>
              <w:t>电量：</w:t>
            </w:r>
            <w:r>
              <w:rPr>
                <w:rFonts w:hint="eastAsia" w:ascii="宋体" w:hAnsi="宋体" w:eastAsia="宋体" w:cs="宋体"/>
                <w:color w:val="000000"/>
                <w:kern w:val="2"/>
                <w:sz w:val="21"/>
                <w:szCs w:val="21"/>
                <w:highlight w:val="none"/>
                <w:lang w:val="en-US" w:eastAsia="zh-CN" w:bidi="ar"/>
              </w:rPr>
              <w:t>3</w:t>
            </w:r>
            <w:r>
              <w:rPr>
                <w:rFonts w:hint="eastAsia" w:ascii="宋体" w:hAnsi="宋体" w:eastAsia="宋体" w:cs="宋体"/>
                <w:color w:val="000000"/>
                <w:kern w:val="2"/>
                <w:sz w:val="21"/>
                <w:szCs w:val="21"/>
                <w:highlight w:val="none"/>
                <w:lang w:val="en-US" w:eastAsia="en-US" w:bidi="ar"/>
              </w:rPr>
              <w:t>KW/380V；</w:t>
            </w:r>
          </w:p>
        </w:tc>
        <w:tc>
          <w:tcPr>
            <w:tcW w:w="1031" w:type="dxa"/>
            <w:tcBorders>
              <w:left w:val="single" w:color="auto" w:sz="4" w:space="0"/>
              <w:right w:val="single" w:color="auto" w:sz="4" w:space="0"/>
            </w:tcBorders>
            <w:noWrap w:val="0"/>
            <w:vAlign w:val="center"/>
          </w:tcPr>
          <w:p w14:paraId="7279931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2台</w:t>
            </w:r>
          </w:p>
        </w:tc>
        <w:tc>
          <w:tcPr>
            <w:tcW w:w="911" w:type="dxa"/>
            <w:tcBorders>
              <w:left w:val="single" w:color="auto" w:sz="4" w:space="0"/>
              <w:right w:val="single" w:color="auto" w:sz="4" w:space="0"/>
            </w:tcBorders>
            <w:noWrap w:val="0"/>
            <w:vAlign w:val="center"/>
          </w:tcPr>
          <w:p w14:paraId="56383C3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A4B185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1B9607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en-US"/>
              </w:rPr>
              <w:drawing>
                <wp:inline distT="0" distB="0" distL="114300" distR="114300">
                  <wp:extent cx="346075" cy="489585"/>
                  <wp:effectExtent l="0" t="0" r="15875" b="5715"/>
                  <wp:docPr id="6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
                          <pic:cNvPicPr>
                            <a:picLocks noChangeAspect="1"/>
                          </pic:cNvPicPr>
                        </pic:nvPicPr>
                        <pic:blipFill>
                          <a:blip r:embed="rId65"/>
                          <a:stretch>
                            <a:fillRect/>
                          </a:stretch>
                        </pic:blipFill>
                        <pic:spPr>
                          <a:xfrm>
                            <a:off x="0" y="0"/>
                            <a:ext cx="346075" cy="489585"/>
                          </a:xfrm>
                          <a:prstGeom prst="rect">
                            <a:avLst/>
                          </a:prstGeom>
                          <a:noFill/>
                          <a:ln>
                            <a:noFill/>
                          </a:ln>
                        </pic:spPr>
                      </pic:pic>
                    </a:graphicData>
                  </a:graphic>
                </wp:inline>
              </w:drawing>
            </w:r>
          </w:p>
        </w:tc>
      </w:tr>
      <w:tr w14:paraId="5FD326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2F59E5B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01DD58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风柜减震垫</w:t>
            </w:r>
          </w:p>
          <w:p w14:paraId="3BD3171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说明：根据对应机型配置，核载80-300KG不等，铸铁外壳、喷塑处理，壳体光滑、耐腐蚀，底部优质橡胶垫、增大摩擦力防滑稳重。</w:t>
            </w:r>
          </w:p>
        </w:tc>
        <w:tc>
          <w:tcPr>
            <w:tcW w:w="1031" w:type="dxa"/>
            <w:tcBorders>
              <w:left w:val="single" w:color="auto" w:sz="4" w:space="0"/>
              <w:right w:val="single" w:color="auto" w:sz="4" w:space="0"/>
            </w:tcBorders>
            <w:noWrap w:val="0"/>
            <w:vAlign w:val="center"/>
          </w:tcPr>
          <w:p w14:paraId="4FFAD2C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12个</w:t>
            </w:r>
          </w:p>
        </w:tc>
        <w:tc>
          <w:tcPr>
            <w:tcW w:w="911" w:type="dxa"/>
            <w:tcBorders>
              <w:left w:val="single" w:color="auto" w:sz="4" w:space="0"/>
              <w:right w:val="single" w:color="auto" w:sz="4" w:space="0"/>
            </w:tcBorders>
            <w:noWrap w:val="0"/>
            <w:vAlign w:val="center"/>
          </w:tcPr>
          <w:p w14:paraId="4966F1B1">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7290ECF">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69EED8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drawing>
                <wp:inline distT="0" distB="0" distL="114300" distR="114300">
                  <wp:extent cx="361950" cy="355600"/>
                  <wp:effectExtent l="0" t="0" r="0" b="6350"/>
                  <wp:docPr id="63" name="图片 1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5" descr="IMG_300"/>
                          <pic:cNvPicPr>
                            <a:picLocks noChangeAspect="1"/>
                          </pic:cNvPicPr>
                        </pic:nvPicPr>
                        <pic:blipFill>
                          <a:blip r:embed="rId66"/>
                          <a:stretch>
                            <a:fillRect/>
                          </a:stretch>
                        </pic:blipFill>
                        <pic:spPr>
                          <a:xfrm>
                            <a:off x="0" y="0"/>
                            <a:ext cx="361950" cy="355600"/>
                          </a:xfrm>
                          <a:prstGeom prst="rect">
                            <a:avLst/>
                          </a:prstGeom>
                          <a:noFill/>
                          <a:ln>
                            <a:noFill/>
                          </a:ln>
                        </pic:spPr>
                      </pic:pic>
                    </a:graphicData>
                  </a:graphic>
                </wp:inline>
              </w:drawing>
            </w:r>
          </w:p>
        </w:tc>
      </w:tr>
      <w:tr w14:paraId="430D11B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6EB868A">
            <w:pPr>
              <w:keepNext w:val="0"/>
              <w:keepLines w:val="0"/>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1201A853">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FF"/>
                <w:kern w:val="2"/>
                <w:sz w:val="21"/>
                <w:szCs w:val="21"/>
                <w:highlight w:val="none"/>
                <w:lang w:val="en-US" w:eastAsia="zh-CN" w:bidi="ar"/>
              </w:rPr>
              <w:t>水冷新风</w:t>
            </w:r>
          </w:p>
        </w:tc>
        <w:tc>
          <w:tcPr>
            <w:tcW w:w="1031" w:type="dxa"/>
            <w:tcBorders>
              <w:left w:val="single" w:color="auto" w:sz="4" w:space="0"/>
              <w:right w:val="single" w:color="auto" w:sz="4" w:space="0"/>
            </w:tcBorders>
            <w:noWrap w:val="0"/>
            <w:vAlign w:val="center"/>
          </w:tcPr>
          <w:p w14:paraId="03AF038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911" w:type="dxa"/>
            <w:tcBorders>
              <w:left w:val="single" w:color="auto" w:sz="4" w:space="0"/>
              <w:right w:val="single" w:color="auto" w:sz="4" w:space="0"/>
            </w:tcBorders>
            <w:noWrap w:val="0"/>
            <w:vAlign w:val="center"/>
          </w:tcPr>
          <w:p w14:paraId="151C31A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4EE6FBB">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36587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r>
      <w:tr w14:paraId="3589E0F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8090E79">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502A20D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不锈钢排烟管(单位：㎡)</w:t>
            </w:r>
          </w:p>
          <w:p w14:paraId="269F46D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说明：采用SUS304-2B优质不锈钢板制作，δ</w:t>
            </w:r>
            <w:r>
              <w:rPr>
                <w:rFonts w:hint="eastAsia" w:ascii="宋体" w:hAnsi="宋体" w:cs="宋体"/>
                <w:color w:val="000000"/>
                <w:kern w:val="2"/>
                <w:sz w:val="21"/>
                <w:szCs w:val="21"/>
                <w:highlight w:val="none"/>
                <w:lang w:val="en-US" w:eastAsia="zh-CN" w:bidi="ar"/>
              </w:rPr>
              <w:t>≥0.9</w:t>
            </w:r>
            <w:r>
              <w:rPr>
                <w:rFonts w:hint="eastAsia" w:ascii="宋体" w:hAnsi="宋体" w:eastAsia="宋体" w:cs="宋体"/>
                <w:color w:val="000000"/>
                <w:kern w:val="2"/>
                <w:sz w:val="21"/>
                <w:szCs w:val="21"/>
                <w:highlight w:val="none"/>
                <w:lang w:val="en-US" w:eastAsia="zh-CN" w:bidi="ar"/>
              </w:rPr>
              <w:t>mm，配A3钢法兰，变径、大小口按展开面积1：2计算。(按实际面积计算)。</w:t>
            </w:r>
          </w:p>
        </w:tc>
        <w:tc>
          <w:tcPr>
            <w:tcW w:w="1031" w:type="dxa"/>
            <w:tcBorders>
              <w:left w:val="single" w:color="auto" w:sz="4" w:space="0"/>
              <w:right w:val="single" w:color="auto" w:sz="4" w:space="0"/>
            </w:tcBorders>
            <w:noWrap w:val="0"/>
            <w:vAlign w:val="center"/>
          </w:tcPr>
          <w:p w14:paraId="31234A4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216㎡</w:t>
            </w:r>
          </w:p>
        </w:tc>
        <w:tc>
          <w:tcPr>
            <w:tcW w:w="911" w:type="dxa"/>
            <w:tcBorders>
              <w:left w:val="single" w:color="auto" w:sz="4" w:space="0"/>
              <w:right w:val="single" w:color="auto" w:sz="4" w:space="0"/>
            </w:tcBorders>
            <w:noWrap w:val="0"/>
            <w:vAlign w:val="center"/>
          </w:tcPr>
          <w:p w14:paraId="11108CEE">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38C15DE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0E20C31">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color w:val="000000" w:themeColor="text1"/>
                <w:sz w:val="21"/>
                <w:szCs w:val="21"/>
                <w:highlight w:val="none"/>
                <w14:textFill>
                  <w14:solidFill>
                    <w14:schemeClr w14:val="tx1"/>
                  </w14:solidFill>
                </w14:textFill>
              </w:rPr>
              <w:drawing>
                <wp:inline distT="0" distB="0" distL="114300" distR="114300">
                  <wp:extent cx="394970" cy="346075"/>
                  <wp:effectExtent l="0" t="0" r="5080" b="15875"/>
                  <wp:docPr id="84" name="图片 84"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风管"/>
                          <pic:cNvPicPr>
                            <a:picLocks noChangeAspect="1"/>
                          </pic:cNvPicPr>
                        </pic:nvPicPr>
                        <pic:blipFill>
                          <a:blip r:embed="rId59"/>
                          <a:stretch>
                            <a:fillRect/>
                          </a:stretch>
                        </pic:blipFill>
                        <pic:spPr>
                          <a:xfrm>
                            <a:off x="0" y="0"/>
                            <a:ext cx="394970" cy="346075"/>
                          </a:xfrm>
                          <a:prstGeom prst="rect">
                            <a:avLst/>
                          </a:prstGeom>
                          <a:noFill/>
                          <a:ln w="9525">
                            <a:noFill/>
                          </a:ln>
                        </pic:spPr>
                      </pic:pic>
                    </a:graphicData>
                  </a:graphic>
                </wp:inline>
              </w:drawing>
            </w:r>
          </w:p>
        </w:tc>
      </w:tr>
      <w:tr w14:paraId="2717CC4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621FDC74">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4E5AD66B">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水冷新风机</w:t>
            </w:r>
          </w:p>
          <w:p w14:paraId="6D0E454F">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风压（Pa）：295</w:t>
            </w:r>
          </w:p>
          <w:p w14:paraId="54A8F7B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功率（kw）：380V外转子（亿利达）单速2.5</w:t>
            </w:r>
          </w:p>
          <w:p w14:paraId="3ECDB81C">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风量：离心机13000</w:t>
            </w:r>
          </w:p>
        </w:tc>
        <w:tc>
          <w:tcPr>
            <w:tcW w:w="1031" w:type="dxa"/>
            <w:tcBorders>
              <w:left w:val="single" w:color="auto" w:sz="4" w:space="0"/>
              <w:right w:val="single" w:color="auto" w:sz="4" w:space="0"/>
            </w:tcBorders>
            <w:noWrap w:val="0"/>
            <w:vAlign w:val="center"/>
          </w:tcPr>
          <w:p w14:paraId="157A52E9">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4台</w:t>
            </w:r>
          </w:p>
        </w:tc>
        <w:tc>
          <w:tcPr>
            <w:tcW w:w="911" w:type="dxa"/>
            <w:tcBorders>
              <w:left w:val="single" w:color="auto" w:sz="4" w:space="0"/>
              <w:right w:val="single" w:color="auto" w:sz="4" w:space="0"/>
            </w:tcBorders>
            <w:noWrap w:val="0"/>
            <w:vAlign w:val="center"/>
          </w:tcPr>
          <w:p w14:paraId="7D26A408">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0E59E5B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238C7FEC">
            <w:pPr>
              <w:keepNext w:val="0"/>
              <w:keepLines w:val="0"/>
              <w:pageBreakBefore w:val="0"/>
              <w:tabs>
                <w:tab w:val="left" w:pos="851"/>
                <w:tab w:val="center" w:pos="5812"/>
                <w:tab w:val="decimal" w:pos="7229"/>
                <w:tab w:val="decimal" w:pos="8789"/>
              </w:tabs>
              <w:kinsoku/>
              <w:wordWrap/>
              <w:overflowPunct/>
              <w:topLinePunct w:val="0"/>
              <w:autoSpaceDE/>
              <w:autoSpaceDN/>
              <w:bidi w:val="0"/>
              <w:adjustRightInd/>
              <w:snapToGrid/>
              <w:spacing w:line="240" w:lineRule="auto"/>
              <w:ind w:right="-4" w:rightChars="0"/>
              <w:jc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FF0000"/>
                <w:sz w:val="21"/>
                <w:szCs w:val="21"/>
                <w:highlight w:val="none"/>
              </w:rPr>
              <w:drawing>
                <wp:inline distT="0" distB="0" distL="114300" distR="114300">
                  <wp:extent cx="455295" cy="359410"/>
                  <wp:effectExtent l="0" t="0" r="1905" b="254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pic:cNvPicPr>
                        </pic:nvPicPr>
                        <pic:blipFill>
                          <a:blip r:embed="rId67"/>
                          <a:stretch>
                            <a:fillRect/>
                          </a:stretch>
                        </pic:blipFill>
                        <pic:spPr>
                          <a:xfrm>
                            <a:off x="0" y="0"/>
                            <a:ext cx="455295" cy="359410"/>
                          </a:xfrm>
                          <a:prstGeom prst="rect">
                            <a:avLst/>
                          </a:prstGeom>
                          <a:noFill/>
                          <a:ln>
                            <a:noFill/>
                          </a:ln>
                        </pic:spPr>
                      </pic:pic>
                    </a:graphicData>
                  </a:graphic>
                </wp:inline>
              </w:drawing>
            </w:r>
          </w:p>
        </w:tc>
      </w:tr>
      <w:tr w14:paraId="66177FE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087B5C85">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5276725">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风柜支架</w:t>
            </w:r>
          </w:p>
          <w:p w14:paraId="3A9A007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说明：采用优质镀锌型钢焊接成型，防锈处理8#槽钢</w:t>
            </w:r>
          </w:p>
        </w:tc>
        <w:tc>
          <w:tcPr>
            <w:tcW w:w="1031" w:type="dxa"/>
            <w:tcBorders>
              <w:left w:val="single" w:color="auto" w:sz="4" w:space="0"/>
              <w:right w:val="single" w:color="auto" w:sz="4" w:space="0"/>
            </w:tcBorders>
            <w:noWrap w:val="0"/>
            <w:vAlign w:val="center"/>
          </w:tcPr>
          <w:p w14:paraId="76FF47A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4台</w:t>
            </w:r>
          </w:p>
        </w:tc>
        <w:tc>
          <w:tcPr>
            <w:tcW w:w="911" w:type="dxa"/>
            <w:tcBorders>
              <w:left w:val="single" w:color="auto" w:sz="4" w:space="0"/>
              <w:right w:val="single" w:color="auto" w:sz="4" w:space="0"/>
            </w:tcBorders>
            <w:noWrap w:val="0"/>
            <w:vAlign w:val="center"/>
          </w:tcPr>
          <w:p w14:paraId="413153EA">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7BF3326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8A03D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drawing>
                <wp:inline distT="0" distB="0" distL="114300" distR="114300">
                  <wp:extent cx="405130" cy="312420"/>
                  <wp:effectExtent l="0" t="0" r="13970" b="11430"/>
                  <wp:docPr id="8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44"/>
                          <pic:cNvPicPr>
                            <a:picLocks noChangeAspect="1"/>
                          </pic:cNvPicPr>
                        </pic:nvPicPr>
                        <pic:blipFill>
                          <a:blip r:embed="rId63"/>
                          <a:stretch>
                            <a:fillRect/>
                          </a:stretch>
                        </pic:blipFill>
                        <pic:spPr>
                          <a:xfrm>
                            <a:off x="0" y="0"/>
                            <a:ext cx="405130" cy="312420"/>
                          </a:xfrm>
                          <a:prstGeom prst="rect">
                            <a:avLst/>
                          </a:prstGeom>
                          <a:noFill/>
                          <a:ln>
                            <a:noFill/>
                          </a:ln>
                        </pic:spPr>
                      </pic:pic>
                    </a:graphicData>
                  </a:graphic>
                </wp:inline>
              </w:drawing>
            </w:r>
          </w:p>
        </w:tc>
      </w:tr>
      <w:tr w14:paraId="39D8B84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3BF151B7">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0A01DCA0">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软接</w:t>
            </w:r>
            <w:r>
              <w:rPr>
                <w:rFonts w:hint="eastAsia" w:ascii="宋体" w:hAnsi="宋体" w:eastAsia="宋体" w:cs="宋体"/>
                <w:color w:val="000000"/>
                <w:kern w:val="2"/>
                <w:sz w:val="21"/>
                <w:szCs w:val="21"/>
                <w:highlight w:val="none"/>
                <w:lang w:val="en-US" w:eastAsia="zh-CN" w:bidi="ar"/>
              </w:rPr>
              <w:tab/>
            </w:r>
          </w:p>
          <w:p w14:paraId="72977A12">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说明：帆布、阻燃布</w:t>
            </w:r>
          </w:p>
        </w:tc>
        <w:tc>
          <w:tcPr>
            <w:tcW w:w="1031" w:type="dxa"/>
            <w:tcBorders>
              <w:left w:val="single" w:color="auto" w:sz="4" w:space="0"/>
              <w:right w:val="single" w:color="auto" w:sz="4" w:space="0"/>
            </w:tcBorders>
            <w:noWrap w:val="0"/>
            <w:vAlign w:val="center"/>
          </w:tcPr>
          <w:p w14:paraId="725405B5">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8套</w:t>
            </w:r>
          </w:p>
        </w:tc>
        <w:tc>
          <w:tcPr>
            <w:tcW w:w="911" w:type="dxa"/>
            <w:tcBorders>
              <w:left w:val="single" w:color="auto" w:sz="4" w:space="0"/>
              <w:right w:val="single" w:color="auto" w:sz="4" w:space="0"/>
            </w:tcBorders>
            <w:noWrap w:val="0"/>
            <w:vAlign w:val="center"/>
          </w:tcPr>
          <w:p w14:paraId="3F184607">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1423F506">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54CAA5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color w:val="000000" w:themeColor="text1"/>
                <w:kern w:val="2"/>
                <w:sz w:val="21"/>
                <w:szCs w:val="21"/>
                <w:highlight w:val="none"/>
                <w14:textFill>
                  <w14:solidFill>
                    <w14:schemeClr w14:val="tx1"/>
                  </w14:solidFill>
                </w14:textFill>
              </w:rPr>
              <w:drawing>
                <wp:inline distT="0" distB="0" distL="114300" distR="114300">
                  <wp:extent cx="285750" cy="342900"/>
                  <wp:effectExtent l="0" t="0" r="0" b="0"/>
                  <wp:docPr id="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
                          <pic:cNvPicPr>
                            <a:picLocks noChangeAspect="1"/>
                          </pic:cNvPicPr>
                        </pic:nvPicPr>
                        <pic:blipFill>
                          <a:blip r:embed="rId64"/>
                          <a:stretch>
                            <a:fillRect/>
                          </a:stretch>
                        </pic:blipFill>
                        <pic:spPr>
                          <a:xfrm>
                            <a:off x="0" y="0"/>
                            <a:ext cx="285750" cy="342900"/>
                          </a:xfrm>
                          <a:prstGeom prst="rect">
                            <a:avLst/>
                          </a:prstGeom>
                          <a:noFill/>
                          <a:ln w="9525">
                            <a:noFill/>
                          </a:ln>
                        </pic:spPr>
                      </pic:pic>
                    </a:graphicData>
                  </a:graphic>
                </wp:inline>
              </w:drawing>
            </w:r>
          </w:p>
        </w:tc>
      </w:tr>
      <w:tr w14:paraId="6A7612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649" w:type="dxa"/>
            <w:tcBorders>
              <w:left w:val="single" w:color="auto" w:sz="4" w:space="0"/>
              <w:right w:val="single" w:color="auto" w:sz="4" w:space="0"/>
            </w:tcBorders>
            <w:noWrap w:val="0"/>
            <w:vAlign w:val="center"/>
          </w:tcPr>
          <w:p w14:paraId="5048BE22">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rPr>
                <w:rFonts w:hint="eastAsia" w:ascii="宋体" w:hAnsi="宋体" w:eastAsia="宋体" w:cs="宋体"/>
                <w:color w:val="auto"/>
                <w:sz w:val="21"/>
                <w:szCs w:val="21"/>
                <w:highlight w:val="none"/>
                <w:lang w:val="en-US" w:eastAsia="zh-CN"/>
              </w:rPr>
            </w:pPr>
          </w:p>
        </w:tc>
        <w:tc>
          <w:tcPr>
            <w:tcW w:w="4209" w:type="dxa"/>
            <w:tcBorders>
              <w:left w:val="single" w:color="auto" w:sz="4" w:space="0"/>
              <w:right w:val="single" w:color="auto" w:sz="4" w:space="0"/>
            </w:tcBorders>
            <w:noWrap w:val="0"/>
            <w:vAlign w:val="center"/>
          </w:tcPr>
          <w:p w14:paraId="74B4EFAD">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可调节百叶风口</w:t>
            </w:r>
          </w:p>
          <w:p w14:paraId="2D3FB358">
            <w:pPr>
              <w:keepNext w:val="0"/>
              <w:keepLines w:val="0"/>
              <w:pageBreakBefore w:val="0"/>
              <w:kinsoku/>
              <w:wordWrap/>
              <w:overflowPunct/>
              <w:topLinePunct w:val="0"/>
              <w:autoSpaceDE/>
              <w:autoSpaceDN/>
              <w:bidi w:val="0"/>
              <w:spacing w:line="240" w:lineRule="auto"/>
              <w:jc w:val="both"/>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采用优质树脂制作，可调节新风出风口的风向。</w:t>
            </w:r>
          </w:p>
        </w:tc>
        <w:tc>
          <w:tcPr>
            <w:tcW w:w="1031" w:type="dxa"/>
            <w:tcBorders>
              <w:left w:val="single" w:color="auto" w:sz="4" w:space="0"/>
              <w:right w:val="single" w:color="auto" w:sz="4" w:space="0"/>
            </w:tcBorders>
            <w:noWrap w:val="0"/>
            <w:vAlign w:val="center"/>
          </w:tcPr>
          <w:p w14:paraId="7BE82C4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r>
              <w:rPr>
                <w:rFonts w:hint="eastAsia" w:ascii="宋体" w:hAnsi="宋体" w:eastAsia="宋体" w:cs="宋体"/>
                <w:color w:val="000000"/>
                <w:kern w:val="2"/>
                <w:sz w:val="21"/>
                <w:szCs w:val="21"/>
                <w:highlight w:val="none"/>
                <w:lang w:val="en-US" w:eastAsia="zh-CN" w:bidi="ar"/>
              </w:rPr>
              <w:t>32个</w:t>
            </w:r>
          </w:p>
        </w:tc>
        <w:tc>
          <w:tcPr>
            <w:tcW w:w="911" w:type="dxa"/>
            <w:tcBorders>
              <w:left w:val="single" w:color="auto" w:sz="4" w:space="0"/>
              <w:right w:val="single" w:color="auto" w:sz="4" w:space="0"/>
            </w:tcBorders>
            <w:noWrap w:val="0"/>
            <w:vAlign w:val="center"/>
          </w:tcPr>
          <w:p w14:paraId="11CF5140">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191" w:type="dxa"/>
            <w:tcBorders>
              <w:left w:val="single" w:color="auto" w:sz="4" w:space="0"/>
              <w:right w:val="single" w:color="auto" w:sz="4" w:space="0"/>
            </w:tcBorders>
            <w:noWrap w:val="0"/>
            <w:vAlign w:val="center"/>
          </w:tcPr>
          <w:p w14:paraId="5E78BBE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000000"/>
                <w:kern w:val="2"/>
                <w:sz w:val="21"/>
                <w:szCs w:val="21"/>
                <w:highlight w:val="none"/>
                <w:lang w:val="en-US" w:eastAsia="zh-CN" w:bidi="ar"/>
              </w:rPr>
            </w:pPr>
          </w:p>
        </w:tc>
        <w:tc>
          <w:tcPr>
            <w:tcW w:w="1217" w:type="dxa"/>
            <w:tcBorders>
              <w:left w:val="single" w:color="auto" w:sz="4" w:space="0"/>
              <w:right w:val="single" w:color="auto" w:sz="4" w:space="0"/>
            </w:tcBorders>
            <w:noWrap w:val="0"/>
            <w:vAlign w:val="center"/>
          </w:tcPr>
          <w:p w14:paraId="4DA7D3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sz w:val="21"/>
                <w:szCs w:val="21"/>
                <w:highlight w:val="none"/>
              </w:rPr>
              <w:drawing>
                <wp:inline distT="0" distB="0" distL="114300" distR="114300">
                  <wp:extent cx="342265" cy="305435"/>
                  <wp:effectExtent l="0" t="0" r="635" b="184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68"/>
                          <a:stretch>
                            <a:fillRect/>
                          </a:stretch>
                        </pic:blipFill>
                        <pic:spPr>
                          <a:xfrm>
                            <a:off x="0" y="0"/>
                            <a:ext cx="342265" cy="305435"/>
                          </a:xfrm>
                          <a:prstGeom prst="rect">
                            <a:avLst/>
                          </a:prstGeom>
                          <a:noFill/>
                          <a:ln>
                            <a:noFill/>
                          </a:ln>
                        </pic:spPr>
                      </pic:pic>
                    </a:graphicData>
                  </a:graphic>
                </wp:inline>
              </w:drawing>
            </w:r>
          </w:p>
        </w:tc>
      </w:tr>
    </w:tbl>
    <w:p w14:paraId="48A3878A">
      <w:pPr>
        <w:adjustRightInd/>
        <w:spacing w:line="460" w:lineRule="exact"/>
        <w:ind w:firstLine="442" w:firstLineChars="200"/>
        <w:rPr>
          <w:rFonts w:ascii="仿宋" w:hAnsi="仿宋" w:eastAsia="仿宋" w:cs="仿宋"/>
          <w:b/>
          <w:bCs/>
          <w:kern w:val="0"/>
          <w:sz w:val="22"/>
          <w:szCs w:val="22"/>
          <w:lang w:val="zh-CN"/>
        </w:rPr>
      </w:pPr>
      <w:r>
        <w:rPr>
          <w:rFonts w:hint="eastAsia" w:ascii="仿宋" w:hAnsi="仿宋" w:eastAsia="仿宋" w:cs="仿宋"/>
          <w:b/>
          <w:bCs/>
          <w:sz w:val="22"/>
          <w:szCs w:val="22"/>
          <w:shd w:val="clear" w:color="auto" w:fill="FFFFFF"/>
        </w:rPr>
        <w:t>注：</w:t>
      </w:r>
      <w:r>
        <w:rPr>
          <w:rFonts w:hint="eastAsia" w:ascii="仿宋" w:hAnsi="仿宋" w:eastAsia="仿宋" w:cs="仿宋"/>
          <w:b/>
          <w:bCs/>
          <w:kern w:val="0"/>
          <w:sz w:val="22"/>
          <w:szCs w:val="22"/>
        </w:rPr>
        <w:t>以上设备如无特别注明的均为制造厂出厂的标准配置。</w:t>
      </w:r>
      <w:r>
        <w:rPr>
          <w:rFonts w:hint="eastAsia" w:ascii="仿宋" w:hAnsi="仿宋" w:eastAsia="仿宋" w:cs="仿宋"/>
          <w:b/>
          <w:bCs/>
          <w:kern w:val="0"/>
          <w:sz w:val="22"/>
          <w:szCs w:val="22"/>
          <w:lang w:val="zh-CN"/>
        </w:rPr>
        <w:t>投标人可根据以上所列设备的技术配置及技术性能要求</w:t>
      </w:r>
      <w:r>
        <w:rPr>
          <w:rFonts w:hint="eastAsia" w:ascii="仿宋" w:hAnsi="仿宋" w:eastAsia="仿宋" w:cs="仿宋"/>
          <w:b/>
          <w:bCs/>
          <w:kern w:val="0"/>
          <w:sz w:val="22"/>
          <w:szCs w:val="22"/>
        </w:rPr>
        <w:t>作为</w:t>
      </w:r>
      <w:r>
        <w:rPr>
          <w:rFonts w:hint="eastAsia" w:ascii="仿宋" w:hAnsi="仿宋" w:eastAsia="仿宋" w:cs="仿宋"/>
          <w:b/>
          <w:bCs/>
          <w:kern w:val="0"/>
          <w:sz w:val="22"/>
          <w:szCs w:val="22"/>
          <w:lang w:val="zh-CN"/>
        </w:rPr>
        <w:t>参考选用投标产品，但所选投标产品的技术配置及技术性能应相当于或高于招标文件要求，并满足采购需求，否则将可能作出对投标人不利的评定。</w:t>
      </w:r>
    </w:p>
    <w:p w14:paraId="4F046FEA">
      <w:pPr>
        <w:spacing w:line="460" w:lineRule="exact"/>
        <w:ind w:firstLine="541" w:firstLineChars="245"/>
        <w:outlineLvl w:val="1"/>
        <w:rPr>
          <w:rFonts w:ascii="仿宋" w:hAnsi="仿宋" w:eastAsia="仿宋" w:cs="仿宋"/>
          <w:b/>
          <w:bCs/>
          <w:sz w:val="22"/>
          <w:szCs w:val="22"/>
        </w:rPr>
      </w:pPr>
      <w:r>
        <w:rPr>
          <w:rFonts w:hint="eastAsia" w:ascii="仿宋" w:hAnsi="仿宋" w:eastAsia="仿宋" w:cs="仿宋"/>
          <w:b/>
          <w:bCs/>
          <w:sz w:val="22"/>
          <w:szCs w:val="22"/>
        </w:rPr>
        <w:t>三、服务与培训要求</w:t>
      </w:r>
    </w:p>
    <w:p w14:paraId="487349FB">
      <w:pPr>
        <w:tabs>
          <w:tab w:val="left" w:pos="360"/>
        </w:tabs>
        <w:spacing w:line="460" w:lineRule="exact"/>
        <w:ind w:firstLine="552" w:firstLineChars="250"/>
        <w:rPr>
          <w:rFonts w:ascii="仿宋" w:hAnsi="仿宋" w:eastAsia="仿宋" w:cs="仿宋"/>
          <w:b/>
          <w:bCs/>
          <w:sz w:val="22"/>
          <w:szCs w:val="22"/>
        </w:rPr>
      </w:pPr>
      <w:r>
        <w:rPr>
          <w:rFonts w:hint="eastAsia" w:ascii="仿宋" w:hAnsi="仿宋" w:eastAsia="仿宋" w:cs="仿宋"/>
          <w:b/>
          <w:bCs/>
          <w:sz w:val="22"/>
          <w:szCs w:val="22"/>
        </w:rPr>
        <w:t>1、质量保证</w:t>
      </w:r>
    </w:p>
    <w:p w14:paraId="4D1816BC">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（1）所报货物必须是符合国家技术规范和质量标准的合格产品，满足采购人的使用需求，并具有可靠的售后服务体系，质量可靠、使用安全。</w:t>
      </w:r>
    </w:p>
    <w:p w14:paraId="6D0106EA">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（2）投标供应商保证其提供的货物中所有预装和为本项目安装的软件均为具有合法版权或使用权的正版软件且无质量瑕疵；在质保期内，如遇软件产品升级、改版，应免费提供更新、升级服务。</w:t>
      </w:r>
    </w:p>
    <w:p w14:paraId="4D7F869F">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w:t>
      </w:r>
      <w:r>
        <w:rPr>
          <w:rFonts w:hint="eastAsia" w:ascii="仿宋" w:hAnsi="仿宋" w:eastAsia="仿宋" w:cs="仿宋"/>
          <w:sz w:val="22"/>
          <w:szCs w:val="22"/>
        </w:rPr>
        <w:t>质量保证期为自货物通过最终验收，向采购人移交之日起</w:t>
      </w:r>
      <w:r>
        <w:rPr>
          <w:rFonts w:hint="eastAsia" w:ascii="仿宋" w:hAnsi="仿宋" w:eastAsia="仿宋" w:cs="仿宋"/>
          <w:sz w:val="22"/>
          <w:szCs w:val="22"/>
          <w:u w:val="single"/>
        </w:rPr>
        <w:t xml:space="preserve"> 3 </w:t>
      </w:r>
      <w:r>
        <w:rPr>
          <w:rFonts w:hint="eastAsia" w:ascii="仿宋" w:hAnsi="仿宋" w:eastAsia="仿宋" w:cs="仿宋"/>
          <w:sz w:val="22"/>
          <w:szCs w:val="22"/>
        </w:rPr>
        <w:t>年（设备另有超过质保期规定或采购文件另有规定的按就高原则执行），在保修期内所产生的相关费用由中标供应商承担，合同内的所有产品要求中标供应商提供上门服务。</w:t>
      </w:r>
      <w:r>
        <w:rPr>
          <w:rFonts w:hint="eastAsia" w:ascii="仿宋" w:hAnsi="仿宋" w:eastAsia="仿宋" w:cs="仿宋"/>
          <w:bCs/>
          <w:sz w:val="22"/>
          <w:szCs w:val="22"/>
        </w:rPr>
        <w:t>在所报货物的质保期内，中标供应商应提供不低于7*24小时的技术支持服务，负责解答用户在设备使用中遇到的问题；提供免费上门服务，针对用户的现场质保或故障请求，中标供应商必须在规定的时间内响应，并按照用户要求的时间内到达现场处理，如果故障不能当场修复的，必须采取提供备品、备件或备机等措施，以保证采购人的正常使用，并负责免费维修或更换存在故障的设备或零部件，如果中标供应商逾期未作出响应，中标供应商应承担因故障所造成的全部损失。质保期满后，中标供应商提供免费上门服务的承诺及备品、备件支持。</w:t>
      </w:r>
    </w:p>
    <w:p w14:paraId="61DD9682">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3、要求投标供应商提供的服务不得低于标准服务，即与所报产品制造厂商通过网站等对外公布的有效服务标准相一致。在标准服务基础上，投标供应商还应达到以下标准：</w:t>
      </w:r>
    </w:p>
    <w:p w14:paraId="0BF65CDE">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所报产品制造厂商应具有完善的服务保障体系（在最终供货地有直接设立或授权的售后服务机构，配备有足够的、有相应资质的专业技术人员）；供应商也应就所报货物的品质和服务对采购机构和采购人负责。</w:t>
      </w:r>
    </w:p>
    <w:p w14:paraId="79EB0A4C">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（2）投标供应商应明确说明此次投标的服务策略，提供此次所报货物的服务计划（售后服务内容、等级、相关服务指标、售后服务组织机构及人员安排情况及其联络信息）。</w:t>
      </w:r>
    </w:p>
    <w:p w14:paraId="63F63E16">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（3）当所报货物发生非人为因素严重故障时，供应商应当免费在七日内将补充或者更换的货物运抵发生故障的货物所在地，由此产生的一切相关费用由供应商负担。</w:t>
      </w:r>
    </w:p>
    <w:p w14:paraId="6572FED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（4）质保期内所有因更换或修理设备或部件而导致设备停止运行的时间应从其质保期内扣除。</w:t>
      </w:r>
    </w:p>
    <w:p w14:paraId="0EB38105">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（5）投标供应商在质保期内安装的任何产品，必须是其所报产品制造厂商原产的或是经其认可的。</w:t>
      </w:r>
    </w:p>
    <w:p w14:paraId="59FC4EA1">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（6）所有的替代零配件必须是新的未使用和未经修复的，除非最终用户提供书面许可，否则不可使用此范围外的其他（非新的）配件。</w:t>
      </w:r>
    </w:p>
    <w:p w14:paraId="58133FC8">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（7）投标供应商必须为维修和技术支持所未能解决的问题和故障提供正式的升级方案。</w:t>
      </w:r>
    </w:p>
    <w:p w14:paraId="513892E4">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（8）在质保期内，投标供应商有责任解决所提供的所报设备和软件系统的任何问题，在质保期满后，当需要时，供应商仍须对因所报设备本身的固有缺陷和瑕疵承担相应责任。</w:t>
      </w:r>
    </w:p>
    <w:p w14:paraId="2AED8726">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4、对产品服务要求的有效响应将被视为投标供应商对其所报产品的服务承诺，如果中标，须将服务承诺列入合同的产品服务条款。</w:t>
      </w:r>
    </w:p>
    <w:p w14:paraId="1318A1A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5、投标供应商须保证所提供硬件产品包括相关附件为相应硬件厂家原装正品，软件产品为相关厂家正版软件，符合国家有关规定。投标供应商须保证所提供产品具有合法的版权或使用权，本项目采购的产品，如在本项目范围内使用过程中出现版权或使用权纠纷，应由中标供应商负责，采购人不承担责任。</w:t>
      </w:r>
    </w:p>
    <w:p w14:paraId="504C582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6、中标人项目所涉及的设备及软件到货时，须提供原厂商的供货证明。</w:t>
      </w:r>
    </w:p>
    <w:p w14:paraId="42B8BBFB">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7、培训要求</w:t>
      </w:r>
    </w:p>
    <w:p w14:paraId="37D35701">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投标供应商须提出详细的针对本次采购的培训计划，具体如下：</w:t>
      </w:r>
    </w:p>
    <w:p w14:paraId="474151B9">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（1）投标供应商应提供相应的培训计划，并详细说明培训方式、课程安排、地点、人数、时间等实质性内容，并承诺安排资深专家或原厂高级别工程师负责具体课程及相关操作培训。</w:t>
      </w:r>
    </w:p>
    <w:p w14:paraId="4BB6156A">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（2）提供全面、完整、详细的技术手册、操作手册和产品说明书，包括详细的电路线路图，系统拓扑图、系统分析调试细则、软件安装盘等。</w:t>
      </w:r>
    </w:p>
    <w:p w14:paraId="4C1E3412">
      <w:pPr>
        <w:widowControl/>
        <w:snapToGrid w:val="0"/>
        <w:spacing w:line="440" w:lineRule="exact"/>
        <w:ind w:firstLine="567"/>
        <w:rPr>
          <w:rFonts w:ascii="仿宋" w:hAnsi="仿宋" w:eastAsia="仿宋" w:cs="仿宋"/>
          <w:bCs/>
          <w:sz w:val="22"/>
          <w:szCs w:val="22"/>
        </w:rPr>
      </w:pPr>
      <w:r>
        <w:rPr>
          <w:rFonts w:hint="eastAsia" w:ascii="仿宋" w:hAnsi="仿宋" w:eastAsia="仿宋" w:cs="仿宋"/>
          <w:bCs/>
          <w:sz w:val="22"/>
          <w:szCs w:val="22"/>
        </w:rPr>
        <w:t>8、要求以上货物在合同签订后</w:t>
      </w:r>
      <w:r>
        <w:rPr>
          <w:rFonts w:hint="eastAsia" w:ascii="仿宋" w:hAnsi="仿宋" w:eastAsia="仿宋" w:cs="仿宋"/>
          <w:bCs/>
          <w:sz w:val="22"/>
          <w:szCs w:val="22"/>
          <w:u w:val="single"/>
        </w:rPr>
        <w:t xml:space="preserve"> </w:t>
      </w:r>
      <w:r>
        <w:rPr>
          <w:rFonts w:hint="eastAsia" w:ascii="仿宋" w:hAnsi="仿宋" w:eastAsia="仿宋" w:cs="仿宋"/>
          <w:bCs/>
          <w:sz w:val="22"/>
          <w:szCs w:val="22"/>
          <w:u w:val="single"/>
          <w:lang w:val="en-US" w:eastAsia="zh-CN"/>
        </w:rPr>
        <w:t>3</w:t>
      </w:r>
      <w:r>
        <w:rPr>
          <w:rFonts w:hint="eastAsia" w:ascii="仿宋" w:hAnsi="仿宋" w:eastAsia="仿宋" w:cs="仿宋"/>
          <w:bCs/>
          <w:sz w:val="22"/>
          <w:szCs w:val="22"/>
          <w:u w:val="single"/>
        </w:rPr>
        <w:t>0天</w:t>
      </w:r>
      <w:r>
        <w:rPr>
          <w:rFonts w:hint="eastAsia" w:ascii="仿宋" w:hAnsi="仿宋" w:eastAsia="仿宋" w:cs="仿宋"/>
          <w:bCs/>
          <w:sz w:val="22"/>
          <w:szCs w:val="22"/>
        </w:rPr>
        <w:t>内完成供货并安装及调试。</w:t>
      </w:r>
    </w:p>
    <w:p w14:paraId="1515AE39">
      <w:pPr>
        <w:spacing w:line="460" w:lineRule="exact"/>
        <w:ind w:firstLine="541" w:firstLineChars="245"/>
        <w:outlineLvl w:val="1"/>
        <w:rPr>
          <w:rFonts w:ascii="仿宋" w:hAnsi="仿宋" w:eastAsia="仿宋" w:cs="仿宋"/>
          <w:b/>
          <w:bCs/>
          <w:sz w:val="22"/>
          <w:szCs w:val="22"/>
        </w:rPr>
      </w:pPr>
      <w:r>
        <w:rPr>
          <w:rFonts w:hint="eastAsia" w:ascii="仿宋" w:hAnsi="仿宋" w:eastAsia="仿宋" w:cs="仿宋"/>
          <w:b/>
          <w:bCs/>
          <w:sz w:val="22"/>
          <w:szCs w:val="22"/>
        </w:rPr>
        <w:t>四、技术服务要求</w:t>
      </w:r>
    </w:p>
    <w:p w14:paraId="22FA63EF">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1、投标供应商应确保其技术建议以及所提供的设备的完整性、实用性，保证全部系统及时投入正常运行。否则若出现因投标供应商提供的设备不满足要求、不合理，或者其所提供的技术支持和服务不全面，而导致系统无法实现或不能完全实现的状况，投标供应商负全部责任。</w:t>
      </w:r>
    </w:p>
    <w:p w14:paraId="574E9008">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2、投标供应商必须保证解决本次采购所涉及的技术问题，如因技术原因无法满足采购人需求，由此产生的风险由投标供应商承担。</w:t>
      </w:r>
    </w:p>
    <w:p w14:paraId="48AFC3B6">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3、如果设备在质保期内发生设备故障，投标供应商应及时予以响应（免费上门服务），否则采购人将自行采取必要的措施，由此产生风险和费用由投标供应商承担。质保期从采购人对产品验收合格之日起开始计算。</w:t>
      </w:r>
    </w:p>
    <w:p w14:paraId="27176E51">
      <w:pPr>
        <w:autoSpaceDN w:val="0"/>
        <w:spacing w:line="460" w:lineRule="exact"/>
        <w:ind w:firstLine="660" w:firstLineChars="300"/>
        <w:rPr>
          <w:rFonts w:ascii="仿宋" w:hAnsi="仿宋" w:eastAsia="仿宋" w:cs="仿宋"/>
          <w:bCs/>
          <w:sz w:val="22"/>
          <w:szCs w:val="22"/>
        </w:rPr>
      </w:pPr>
      <w:r>
        <w:rPr>
          <w:rFonts w:hint="eastAsia" w:ascii="仿宋" w:hAnsi="仿宋" w:eastAsia="仿宋" w:cs="仿宋"/>
          <w:bCs/>
          <w:sz w:val="22"/>
          <w:szCs w:val="22"/>
        </w:rPr>
        <w:t>4、特别提示：如采购文件中遗漏了必须具备的设备、配件或服务，请投标供应商在投标文件中指出，并提出解决方案供采购人、采购机构参考；中标供应商有义务保证采购人系统的完整性，如项目实施过程中因缺少设备、配件或服务导致采购人系统无法正常运行，中标供应商须承诺免费提供。</w:t>
      </w:r>
    </w:p>
    <w:p w14:paraId="3A4074BD">
      <w:pPr>
        <w:spacing w:line="460" w:lineRule="exact"/>
        <w:ind w:firstLine="442" w:firstLineChars="200"/>
        <w:rPr>
          <w:rFonts w:ascii="仿宋" w:hAnsi="仿宋" w:eastAsia="仿宋" w:cs="仿宋"/>
          <w:b/>
          <w:bCs/>
          <w:sz w:val="22"/>
          <w:szCs w:val="22"/>
        </w:rPr>
      </w:pPr>
      <w:r>
        <w:rPr>
          <w:rFonts w:hint="eastAsia" w:ascii="仿宋" w:hAnsi="仿宋" w:eastAsia="仿宋" w:cs="仿宋"/>
          <w:b/>
          <w:sz w:val="22"/>
        </w:rPr>
        <w:t>六</w:t>
      </w:r>
      <w:r>
        <w:rPr>
          <w:rFonts w:hint="eastAsia" w:ascii="仿宋" w:hAnsi="仿宋" w:eastAsia="仿宋" w:cs="仿宋"/>
          <w:b/>
          <w:bCs/>
          <w:sz w:val="22"/>
          <w:szCs w:val="22"/>
        </w:rPr>
        <w:t>、验收方式</w:t>
      </w:r>
    </w:p>
    <w:p w14:paraId="52F7CFB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中标供应商应在项目设备安装调试后上线前，进行完整系统测试后，向用户提供详细的上线方案，由用户确认。在用户确认无误后，中标供应商应负责按上线方案进行安装调试工作。在安装、调试过程中，中标供应商应对用户技术人员所提供的问题给予满意的答复，提供安装调试过程中的各种文档资料，以便于用户能掌握操作方法和维修方法。项目上线后，中标供应商应向用户提供安装、调试报告，报告中应包括安装调试结果和安装调试过程中出现的问题及解决办法等内容。</w:t>
      </w:r>
    </w:p>
    <w:p w14:paraId="1059DE4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2、项目上线、设备的安装调试工作完成后，设备应进行试运行，中标供应商应派遣技术人员在现场进行技术服务，负责试运行阶段的服务工作。</w:t>
      </w:r>
    </w:p>
    <w:p w14:paraId="6EC6F37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在试运行期间，由于各种原因造成某些技术指标达不到要求，中标供应商应负责解决，如属于设备质量问题，达不到合同技术指标的，中标供应商应包换、包退，调换、退货发生的费用和采购人的直接经济损失由中标供应商承担，但试运行期相应顺延。</w:t>
      </w:r>
    </w:p>
    <w:p w14:paraId="723984DA">
      <w:pPr>
        <w:spacing w:line="460" w:lineRule="exact"/>
        <w:ind w:firstLine="539" w:firstLineChars="245"/>
        <w:rPr>
          <w:rFonts w:ascii="仿宋" w:hAnsi="仿宋" w:eastAsia="仿宋" w:cs="仿宋"/>
        </w:rPr>
      </w:pPr>
      <w:r>
        <w:rPr>
          <w:rFonts w:hint="eastAsia" w:ascii="仿宋" w:hAnsi="仿宋" w:eastAsia="仿宋" w:cs="仿宋"/>
          <w:sz w:val="22"/>
          <w:szCs w:val="22"/>
        </w:rPr>
        <w:t>4、试运行结束后，按照有关规定进行验收。</w:t>
      </w:r>
    </w:p>
    <w:p w14:paraId="78557B5D">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ascii="仿宋" w:hAnsi="仿宋" w:eastAsia="仿宋" w:cs="仿宋"/>
          <w:b/>
          <w:bCs/>
          <w:sz w:val="22"/>
          <w:szCs w:val="22"/>
        </w:rPr>
      </w:pPr>
      <w:r>
        <w:rPr>
          <w:rFonts w:hint="eastAsia" w:ascii="仿宋" w:hAnsi="仿宋" w:eastAsia="仿宋" w:cs="仿宋"/>
          <w:b/>
          <w:bCs/>
          <w:sz w:val="22"/>
          <w:szCs w:val="22"/>
        </w:rPr>
        <w:t>七、商务条款</w:t>
      </w:r>
    </w:p>
    <w:p w14:paraId="5DAE1761">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（1）合同生效以及具备实施条件后7个工作日内买方支付合同总额30%的预付款；</w:t>
      </w:r>
    </w:p>
    <w:p w14:paraId="3D239F06">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（2）所有产品供应齐全且完成安装、调试后，付至合同总价款的60%。</w:t>
      </w:r>
    </w:p>
    <w:p w14:paraId="2C8F912E">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（3）所有产品验收合格后，付至合同总价款的100%。</w:t>
      </w:r>
    </w:p>
    <w:p w14:paraId="69BC03E3">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ascii="仿宋" w:hAnsi="仿宋" w:eastAsia="仿宋" w:cs="仿宋"/>
          <w:b/>
          <w:sz w:val="36"/>
          <w:szCs w:val="36"/>
        </w:rPr>
      </w:pPr>
      <w:r>
        <w:rPr>
          <w:rFonts w:hint="eastAsia" w:ascii="仿宋" w:hAnsi="仿宋" w:eastAsia="仿宋" w:cs="仿宋"/>
          <w:sz w:val="22"/>
          <w:szCs w:val="22"/>
          <w:lang w:val="zh-CN"/>
        </w:rPr>
        <w:t>备注：1、签订合同时，中标人明确表示无需预付款或者主动要求降低预付款比例的，合同中可另行约定。2、买方对于满足合同约定支付条件的，自收到发票后7个工作日内将资金支付到合同约定的卖方账户。</w:t>
      </w:r>
      <w:r>
        <w:rPr>
          <w:rFonts w:hint="eastAsia" w:ascii="仿宋" w:hAnsi="仿宋" w:eastAsia="仿宋" w:cs="仿宋"/>
          <w:b/>
          <w:sz w:val="36"/>
          <w:szCs w:val="36"/>
        </w:rPr>
        <w:br w:type="page"/>
      </w:r>
    </w:p>
    <w:p w14:paraId="154C2B43">
      <w:pPr>
        <w:snapToGrid w:val="0"/>
        <w:spacing w:before="360" w:beforeLines="150" w:after="120" w:afterLines="50"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拟签订的合同文本</w:t>
      </w:r>
    </w:p>
    <w:p w14:paraId="6DBE1A6B">
      <w:pPr>
        <w:spacing w:line="400" w:lineRule="exact"/>
        <w:ind w:left="437" w:leftChars="208" w:right="-21" w:rightChars="-10" w:firstLine="211" w:firstLineChars="100"/>
        <w:rPr>
          <w:rFonts w:ascii="仿宋" w:hAnsi="仿宋" w:eastAsia="仿宋" w:cs="仿宋"/>
          <w:b/>
          <w:bCs/>
        </w:rPr>
      </w:pPr>
      <w:r>
        <w:rPr>
          <w:rFonts w:hint="eastAsia" w:ascii="仿宋" w:hAnsi="仿宋" w:eastAsia="仿宋" w:cs="仿宋"/>
          <w:b/>
          <w:bCs/>
        </w:rPr>
        <w:t>本合同为参考格式，各供应商根据不同内容可以进行修改调整，也可以采用其他合同格式版本，但主要条款应和本合同保持一致。</w:t>
      </w:r>
    </w:p>
    <w:p w14:paraId="2DE41B94">
      <w:pPr>
        <w:pStyle w:val="22"/>
        <w:ind w:firstLine="210"/>
        <w:rPr>
          <w:rFonts w:ascii="仿宋" w:hAnsi="仿宋" w:eastAsia="仿宋"/>
        </w:rPr>
      </w:pPr>
    </w:p>
    <w:p w14:paraId="58860A13">
      <w:pPr>
        <w:spacing w:line="460" w:lineRule="exact"/>
        <w:rPr>
          <w:rFonts w:ascii="仿宋" w:hAnsi="仿宋" w:eastAsia="仿宋" w:cs="仿宋"/>
          <w:sz w:val="22"/>
          <w:szCs w:val="22"/>
        </w:rPr>
      </w:pPr>
      <w:bookmarkStart w:id="57" w:name="_Toc221356961"/>
      <w:bookmarkStart w:id="58" w:name="_Toc221356898"/>
      <w:r>
        <w:rPr>
          <w:rFonts w:hint="eastAsia" w:ascii="仿宋" w:hAnsi="仿宋" w:eastAsia="仿宋" w:cs="仿宋"/>
          <w:sz w:val="22"/>
          <w:szCs w:val="22"/>
        </w:rPr>
        <w:t>甲方：</w:t>
      </w:r>
      <w:r>
        <w:rPr>
          <w:rFonts w:hint="eastAsia" w:ascii="仿宋" w:hAnsi="仿宋" w:eastAsia="仿宋" w:cs="仿宋"/>
          <w:sz w:val="22"/>
          <w:szCs w:val="22"/>
          <w:u w:val="single"/>
        </w:rPr>
        <w:t xml:space="preserve">                  </w:t>
      </w:r>
      <w:r>
        <w:rPr>
          <w:rFonts w:hint="eastAsia" w:ascii="仿宋" w:hAnsi="仿宋" w:eastAsia="仿宋" w:cs="仿宋"/>
          <w:sz w:val="22"/>
          <w:szCs w:val="22"/>
        </w:rPr>
        <w:t>（采购人）</w:t>
      </w:r>
    </w:p>
    <w:p w14:paraId="2FC7C81F">
      <w:pPr>
        <w:spacing w:line="460" w:lineRule="exact"/>
        <w:rPr>
          <w:rFonts w:ascii="仿宋" w:hAnsi="仿宋" w:eastAsia="仿宋" w:cs="仿宋"/>
          <w:bCs/>
          <w:sz w:val="22"/>
          <w:szCs w:val="22"/>
        </w:rPr>
      </w:pPr>
      <w:r>
        <w:rPr>
          <w:rFonts w:hint="eastAsia" w:ascii="仿宋" w:hAnsi="仿宋" w:eastAsia="仿宋" w:cs="仿宋"/>
          <w:sz w:val="22"/>
          <w:szCs w:val="22"/>
        </w:rPr>
        <w:t xml:space="preserve">乙方: </w:t>
      </w:r>
      <w:r>
        <w:rPr>
          <w:rFonts w:hint="eastAsia" w:ascii="仿宋" w:hAnsi="仿宋" w:eastAsia="仿宋" w:cs="仿宋"/>
          <w:sz w:val="22"/>
          <w:szCs w:val="22"/>
          <w:u w:val="single"/>
        </w:rPr>
        <w:t xml:space="preserve">                  </w:t>
      </w:r>
      <w:r>
        <w:rPr>
          <w:rFonts w:hint="eastAsia" w:ascii="仿宋" w:hAnsi="仿宋" w:eastAsia="仿宋" w:cs="仿宋"/>
          <w:sz w:val="22"/>
          <w:szCs w:val="22"/>
        </w:rPr>
        <w:t>（中标人）</w:t>
      </w:r>
    </w:p>
    <w:p w14:paraId="57D8F9AC">
      <w:pPr>
        <w:spacing w:line="460" w:lineRule="exact"/>
        <w:ind w:firstLine="539" w:firstLineChars="245"/>
        <w:rPr>
          <w:rFonts w:ascii="仿宋" w:hAnsi="仿宋" w:eastAsia="仿宋" w:cs="仿宋"/>
          <w:sz w:val="22"/>
          <w:szCs w:val="22"/>
        </w:rPr>
      </w:pPr>
      <w:r>
        <w:rPr>
          <w:rFonts w:hint="eastAsia" w:ascii="仿宋" w:hAnsi="仿宋" w:eastAsia="仿宋" w:cs="仿宋"/>
          <w:bCs/>
          <w:sz w:val="22"/>
          <w:szCs w:val="22"/>
          <w:lang w:eastAsia="zh-CN"/>
        </w:rPr>
        <w:t>温州市瓯海区瞿溪华侨中学</w:t>
      </w:r>
      <w:r>
        <w:rPr>
          <w:rFonts w:hint="eastAsia" w:ascii="仿宋" w:hAnsi="仿宋" w:eastAsia="仿宋" w:cs="仿宋"/>
          <w:bCs/>
          <w:sz w:val="22"/>
          <w:szCs w:val="22"/>
        </w:rPr>
        <w:t>的</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（项目名称、编号）在国内以公开招标方式进行采购，经评标委员会评定</w:t>
      </w:r>
      <w:r>
        <w:rPr>
          <w:rFonts w:hint="eastAsia" w:ascii="仿宋" w:hAnsi="仿宋" w:eastAsia="仿宋" w:cs="仿宋"/>
          <w:bCs/>
          <w:sz w:val="22"/>
          <w:szCs w:val="22"/>
          <w:u w:val="single"/>
        </w:rPr>
        <w:t xml:space="preserve">                    </w:t>
      </w:r>
      <w:r>
        <w:rPr>
          <w:rFonts w:hint="eastAsia" w:ascii="仿宋" w:hAnsi="仿宋" w:eastAsia="仿宋" w:cs="仿宋"/>
          <w:bCs/>
          <w:sz w:val="22"/>
          <w:szCs w:val="22"/>
        </w:rPr>
        <w:t>（中标人名称）为中标人。双方本着诚信及互利互惠的原则，同意按照下面条款和条件，签署本合同。</w:t>
      </w:r>
    </w:p>
    <w:p w14:paraId="3A1EDBAB">
      <w:pPr>
        <w:spacing w:line="460" w:lineRule="exact"/>
        <w:ind w:firstLine="541" w:firstLineChars="245"/>
        <w:outlineLvl w:val="2"/>
        <w:rPr>
          <w:rFonts w:ascii="仿宋" w:hAnsi="仿宋" w:eastAsia="仿宋" w:cs="仿宋"/>
          <w:b/>
          <w:sz w:val="22"/>
          <w:szCs w:val="22"/>
        </w:rPr>
      </w:pPr>
      <w:bookmarkStart w:id="59" w:name="_Toc30227"/>
      <w:bookmarkStart w:id="60" w:name="_Toc580"/>
      <w:r>
        <w:rPr>
          <w:rFonts w:hint="eastAsia" w:ascii="仿宋" w:hAnsi="仿宋" w:eastAsia="仿宋" w:cs="仿宋"/>
          <w:b/>
          <w:sz w:val="22"/>
          <w:szCs w:val="22"/>
        </w:rPr>
        <w:t>一、本合同签订依据</w:t>
      </w:r>
      <w:bookmarkEnd w:id="59"/>
      <w:bookmarkEnd w:id="60"/>
    </w:p>
    <w:p w14:paraId="5CFF903E">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《中华人民共和国民法典》</w:t>
      </w:r>
    </w:p>
    <w:p w14:paraId="1DFBE988">
      <w:pPr>
        <w:spacing w:line="460" w:lineRule="exact"/>
        <w:ind w:firstLine="541" w:firstLineChars="245"/>
        <w:outlineLvl w:val="2"/>
        <w:rPr>
          <w:rFonts w:ascii="仿宋" w:hAnsi="仿宋" w:eastAsia="仿宋" w:cs="仿宋"/>
          <w:b/>
          <w:sz w:val="22"/>
          <w:szCs w:val="22"/>
        </w:rPr>
      </w:pPr>
      <w:bookmarkStart w:id="61" w:name="_Toc3428"/>
      <w:bookmarkStart w:id="62" w:name="_Toc18864"/>
      <w:r>
        <w:rPr>
          <w:rFonts w:hint="eastAsia" w:ascii="仿宋" w:hAnsi="仿宋" w:eastAsia="仿宋" w:cs="仿宋"/>
          <w:b/>
          <w:sz w:val="22"/>
          <w:szCs w:val="22"/>
        </w:rPr>
        <w:t>二、合同文件的优先次序</w:t>
      </w:r>
      <w:bookmarkEnd w:id="61"/>
      <w:bookmarkEnd w:id="62"/>
    </w:p>
    <w:p w14:paraId="17A2E2DF">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合同文件如存在歧义或不一致则根据以下优先次序来判断：</w:t>
      </w:r>
    </w:p>
    <w:p w14:paraId="3A9B60E5">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 xml:space="preserve">1.合同书及合同补充条款或说明 </w:t>
      </w:r>
    </w:p>
    <w:p w14:paraId="1EB7AAA8">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2.中标通知书</w:t>
      </w:r>
    </w:p>
    <w:p w14:paraId="57E76F0F">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3.承诺书（含询标记录和优惠条款）</w:t>
      </w:r>
    </w:p>
    <w:p w14:paraId="2DA36037">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4.投标文件</w:t>
      </w:r>
    </w:p>
    <w:p w14:paraId="09992D47">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5.采购文件</w:t>
      </w:r>
    </w:p>
    <w:p w14:paraId="57F7DF1E">
      <w:pPr>
        <w:spacing w:line="460" w:lineRule="exact"/>
        <w:ind w:firstLine="541" w:firstLineChars="245"/>
        <w:outlineLvl w:val="2"/>
        <w:rPr>
          <w:rFonts w:ascii="仿宋" w:hAnsi="仿宋" w:eastAsia="仿宋" w:cs="仿宋"/>
          <w:b/>
          <w:sz w:val="22"/>
          <w:szCs w:val="22"/>
        </w:rPr>
      </w:pPr>
      <w:bookmarkStart w:id="63" w:name="_Toc24030"/>
      <w:bookmarkStart w:id="64" w:name="_Toc30526"/>
      <w:r>
        <w:rPr>
          <w:rFonts w:hint="eastAsia" w:ascii="仿宋" w:hAnsi="仿宋" w:eastAsia="仿宋" w:cs="仿宋"/>
          <w:b/>
          <w:sz w:val="22"/>
          <w:szCs w:val="22"/>
        </w:rPr>
        <w:t>三、采购内容</w:t>
      </w:r>
      <w:bookmarkEnd w:id="63"/>
      <w:bookmarkEnd w:id="64"/>
    </w:p>
    <w:p w14:paraId="07627D81">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1.规格及数量</w:t>
      </w:r>
    </w:p>
    <w:tbl>
      <w:tblPr>
        <w:tblStyle w:val="5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60"/>
        <w:gridCol w:w="1048"/>
        <w:gridCol w:w="1048"/>
        <w:gridCol w:w="1005"/>
        <w:gridCol w:w="1620"/>
        <w:gridCol w:w="1669"/>
      </w:tblGrid>
      <w:tr w14:paraId="3249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2D5D0842">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序号</w:t>
            </w:r>
          </w:p>
        </w:tc>
        <w:tc>
          <w:tcPr>
            <w:tcW w:w="2760" w:type="dxa"/>
          </w:tcPr>
          <w:p w14:paraId="789BE83B">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设备名称</w:t>
            </w:r>
          </w:p>
        </w:tc>
        <w:tc>
          <w:tcPr>
            <w:tcW w:w="1048" w:type="dxa"/>
          </w:tcPr>
          <w:p w14:paraId="646B54C8">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型号</w:t>
            </w:r>
          </w:p>
        </w:tc>
        <w:tc>
          <w:tcPr>
            <w:tcW w:w="1048" w:type="dxa"/>
          </w:tcPr>
          <w:p w14:paraId="7792BD1E">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单价</w:t>
            </w:r>
          </w:p>
        </w:tc>
        <w:tc>
          <w:tcPr>
            <w:tcW w:w="1005" w:type="dxa"/>
          </w:tcPr>
          <w:p w14:paraId="61BE1F8E">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数量</w:t>
            </w:r>
          </w:p>
        </w:tc>
        <w:tc>
          <w:tcPr>
            <w:tcW w:w="1620" w:type="dxa"/>
          </w:tcPr>
          <w:p w14:paraId="4E5300D0">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合价</w:t>
            </w:r>
          </w:p>
        </w:tc>
        <w:tc>
          <w:tcPr>
            <w:tcW w:w="1669" w:type="dxa"/>
          </w:tcPr>
          <w:p w14:paraId="60F4CA01">
            <w:pPr>
              <w:adjustRightInd/>
              <w:spacing w:line="460" w:lineRule="exact"/>
              <w:jc w:val="center"/>
              <w:rPr>
                <w:rFonts w:ascii="仿宋" w:hAnsi="仿宋" w:eastAsia="仿宋" w:cs="仿宋"/>
                <w:b/>
                <w:sz w:val="22"/>
                <w:szCs w:val="22"/>
              </w:rPr>
            </w:pPr>
            <w:r>
              <w:rPr>
                <w:rFonts w:hint="eastAsia" w:ascii="仿宋" w:hAnsi="仿宋" w:eastAsia="仿宋" w:cs="仿宋"/>
                <w:b/>
                <w:sz w:val="22"/>
                <w:szCs w:val="22"/>
              </w:rPr>
              <w:t>备注</w:t>
            </w:r>
          </w:p>
        </w:tc>
      </w:tr>
      <w:tr w14:paraId="5609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023994D9">
            <w:pPr>
              <w:adjustRightInd/>
              <w:spacing w:line="460" w:lineRule="exact"/>
              <w:rPr>
                <w:rFonts w:ascii="仿宋" w:hAnsi="仿宋" w:eastAsia="仿宋" w:cs="仿宋"/>
                <w:sz w:val="22"/>
                <w:szCs w:val="22"/>
              </w:rPr>
            </w:pPr>
          </w:p>
        </w:tc>
        <w:tc>
          <w:tcPr>
            <w:tcW w:w="2760" w:type="dxa"/>
          </w:tcPr>
          <w:p w14:paraId="51C9F1D5">
            <w:pPr>
              <w:adjustRightInd/>
              <w:spacing w:line="460" w:lineRule="exact"/>
              <w:rPr>
                <w:rFonts w:ascii="仿宋" w:hAnsi="仿宋" w:eastAsia="仿宋" w:cs="仿宋"/>
                <w:sz w:val="22"/>
                <w:szCs w:val="22"/>
              </w:rPr>
            </w:pPr>
          </w:p>
        </w:tc>
        <w:tc>
          <w:tcPr>
            <w:tcW w:w="1048" w:type="dxa"/>
          </w:tcPr>
          <w:p w14:paraId="213E0CDA">
            <w:pPr>
              <w:adjustRightInd/>
              <w:spacing w:line="460" w:lineRule="exact"/>
              <w:rPr>
                <w:rFonts w:ascii="仿宋" w:hAnsi="仿宋" w:eastAsia="仿宋" w:cs="仿宋"/>
                <w:sz w:val="22"/>
                <w:szCs w:val="22"/>
              </w:rPr>
            </w:pPr>
          </w:p>
        </w:tc>
        <w:tc>
          <w:tcPr>
            <w:tcW w:w="1048" w:type="dxa"/>
          </w:tcPr>
          <w:p w14:paraId="02703303">
            <w:pPr>
              <w:adjustRightInd/>
              <w:spacing w:line="460" w:lineRule="exact"/>
              <w:rPr>
                <w:rFonts w:ascii="仿宋" w:hAnsi="仿宋" w:eastAsia="仿宋" w:cs="仿宋"/>
                <w:sz w:val="22"/>
                <w:szCs w:val="22"/>
              </w:rPr>
            </w:pPr>
          </w:p>
        </w:tc>
        <w:tc>
          <w:tcPr>
            <w:tcW w:w="1005" w:type="dxa"/>
          </w:tcPr>
          <w:p w14:paraId="02EA7FBC">
            <w:pPr>
              <w:adjustRightInd/>
              <w:spacing w:line="460" w:lineRule="exact"/>
              <w:rPr>
                <w:rFonts w:ascii="仿宋" w:hAnsi="仿宋" w:eastAsia="仿宋" w:cs="仿宋"/>
                <w:sz w:val="22"/>
                <w:szCs w:val="22"/>
              </w:rPr>
            </w:pPr>
          </w:p>
        </w:tc>
        <w:tc>
          <w:tcPr>
            <w:tcW w:w="1620" w:type="dxa"/>
          </w:tcPr>
          <w:p w14:paraId="54E4351F">
            <w:pPr>
              <w:adjustRightInd/>
              <w:spacing w:line="460" w:lineRule="exact"/>
              <w:rPr>
                <w:rFonts w:ascii="仿宋" w:hAnsi="仿宋" w:eastAsia="仿宋" w:cs="仿宋"/>
                <w:sz w:val="22"/>
                <w:szCs w:val="22"/>
              </w:rPr>
            </w:pPr>
          </w:p>
        </w:tc>
        <w:tc>
          <w:tcPr>
            <w:tcW w:w="1669" w:type="dxa"/>
          </w:tcPr>
          <w:p w14:paraId="7090A241">
            <w:pPr>
              <w:adjustRightInd/>
              <w:spacing w:line="460" w:lineRule="exact"/>
              <w:rPr>
                <w:rFonts w:ascii="仿宋" w:hAnsi="仿宋" w:eastAsia="仿宋" w:cs="仿宋"/>
                <w:sz w:val="22"/>
                <w:szCs w:val="22"/>
              </w:rPr>
            </w:pPr>
          </w:p>
        </w:tc>
      </w:tr>
      <w:tr w14:paraId="21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7DAEC69D">
            <w:pPr>
              <w:adjustRightInd/>
              <w:spacing w:line="460" w:lineRule="exact"/>
              <w:rPr>
                <w:rFonts w:ascii="仿宋" w:hAnsi="仿宋" w:eastAsia="仿宋" w:cs="仿宋"/>
                <w:sz w:val="22"/>
                <w:szCs w:val="22"/>
              </w:rPr>
            </w:pPr>
          </w:p>
        </w:tc>
        <w:tc>
          <w:tcPr>
            <w:tcW w:w="2760" w:type="dxa"/>
          </w:tcPr>
          <w:p w14:paraId="0850190F">
            <w:pPr>
              <w:adjustRightInd/>
              <w:spacing w:line="460" w:lineRule="exact"/>
              <w:rPr>
                <w:rFonts w:ascii="仿宋" w:hAnsi="仿宋" w:eastAsia="仿宋" w:cs="仿宋"/>
                <w:sz w:val="22"/>
                <w:szCs w:val="22"/>
              </w:rPr>
            </w:pPr>
          </w:p>
        </w:tc>
        <w:tc>
          <w:tcPr>
            <w:tcW w:w="1048" w:type="dxa"/>
          </w:tcPr>
          <w:p w14:paraId="43C4C66D">
            <w:pPr>
              <w:adjustRightInd/>
              <w:spacing w:line="460" w:lineRule="exact"/>
              <w:rPr>
                <w:rFonts w:ascii="仿宋" w:hAnsi="仿宋" w:eastAsia="仿宋" w:cs="仿宋"/>
                <w:sz w:val="22"/>
                <w:szCs w:val="22"/>
              </w:rPr>
            </w:pPr>
          </w:p>
        </w:tc>
        <w:tc>
          <w:tcPr>
            <w:tcW w:w="1048" w:type="dxa"/>
          </w:tcPr>
          <w:p w14:paraId="52B947B8">
            <w:pPr>
              <w:adjustRightInd/>
              <w:spacing w:line="460" w:lineRule="exact"/>
              <w:rPr>
                <w:rFonts w:ascii="仿宋" w:hAnsi="仿宋" w:eastAsia="仿宋" w:cs="仿宋"/>
                <w:sz w:val="22"/>
                <w:szCs w:val="22"/>
              </w:rPr>
            </w:pPr>
          </w:p>
        </w:tc>
        <w:tc>
          <w:tcPr>
            <w:tcW w:w="1005" w:type="dxa"/>
          </w:tcPr>
          <w:p w14:paraId="444536D5">
            <w:pPr>
              <w:adjustRightInd/>
              <w:spacing w:line="460" w:lineRule="exact"/>
              <w:rPr>
                <w:rFonts w:ascii="仿宋" w:hAnsi="仿宋" w:eastAsia="仿宋" w:cs="仿宋"/>
                <w:sz w:val="22"/>
                <w:szCs w:val="22"/>
              </w:rPr>
            </w:pPr>
          </w:p>
        </w:tc>
        <w:tc>
          <w:tcPr>
            <w:tcW w:w="1620" w:type="dxa"/>
          </w:tcPr>
          <w:p w14:paraId="7493E3DD">
            <w:pPr>
              <w:adjustRightInd/>
              <w:spacing w:line="460" w:lineRule="exact"/>
              <w:rPr>
                <w:rFonts w:ascii="仿宋" w:hAnsi="仿宋" w:eastAsia="仿宋" w:cs="仿宋"/>
                <w:sz w:val="22"/>
                <w:szCs w:val="22"/>
              </w:rPr>
            </w:pPr>
          </w:p>
        </w:tc>
        <w:tc>
          <w:tcPr>
            <w:tcW w:w="1669" w:type="dxa"/>
          </w:tcPr>
          <w:p w14:paraId="6BDEA0AE">
            <w:pPr>
              <w:adjustRightInd/>
              <w:spacing w:line="460" w:lineRule="exact"/>
              <w:rPr>
                <w:rFonts w:ascii="仿宋" w:hAnsi="仿宋" w:eastAsia="仿宋" w:cs="仿宋"/>
                <w:sz w:val="22"/>
                <w:szCs w:val="22"/>
              </w:rPr>
            </w:pPr>
          </w:p>
        </w:tc>
      </w:tr>
      <w:tr w14:paraId="12A4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5" w:type="dxa"/>
            <w:gridSpan w:val="7"/>
          </w:tcPr>
          <w:p w14:paraId="53C0AE00">
            <w:pPr>
              <w:adjustRightInd/>
              <w:spacing w:line="460" w:lineRule="exact"/>
              <w:rPr>
                <w:rFonts w:ascii="仿宋" w:hAnsi="仿宋" w:eastAsia="仿宋" w:cs="仿宋"/>
                <w:sz w:val="22"/>
                <w:szCs w:val="22"/>
              </w:rPr>
            </w:pPr>
            <w:r>
              <w:rPr>
                <w:rFonts w:hint="eastAsia" w:ascii="仿宋" w:hAnsi="仿宋" w:eastAsia="仿宋" w:cs="仿宋"/>
                <w:sz w:val="22"/>
                <w:szCs w:val="22"/>
              </w:rPr>
              <w:t>合同额：大写：                              小写：</w:t>
            </w:r>
          </w:p>
        </w:tc>
      </w:tr>
      <w:tr w14:paraId="090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95" w:type="dxa"/>
            <w:gridSpan w:val="7"/>
          </w:tcPr>
          <w:p w14:paraId="00C40421">
            <w:pPr>
              <w:adjustRightInd/>
              <w:spacing w:line="460" w:lineRule="exact"/>
              <w:rPr>
                <w:rFonts w:ascii="仿宋" w:hAnsi="仿宋" w:eastAsia="仿宋" w:cs="仿宋"/>
                <w:sz w:val="22"/>
                <w:szCs w:val="22"/>
              </w:rPr>
            </w:pPr>
            <w:r>
              <w:rPr>
                <w:rFonts w:hint="eastAsia" w:ascii="仿宋" w:hAnsi="仿宋" w:eastAsia="仿宋" w:cs="仿宋"/>
                <w:sz w:val="22"/>
                <w:szCs w:val="22"/>
              </w:rPr>
              <w:t>说明：</w:t>
            </w:r>
          </w:p>
          <w:p w14:paraId="06EDDF09">
            <w:pPr>
              <w:adjustRightInd/>
              <w:rPr>
                <w:rFonts w:ascii="仿宋" w:hAnsi="仿宋" w:eastAsia="仿宋" w:cs="仿宋"/>
                <w:sz w:val="22"/>
                <w:szCs w:val="22"/>
              </w:rPr>
            </w:pPr>
            <w:r>
              <w:rPr>
                <w:rFonts w:hint="eastAsia" w:ascii="仿宋" w:hAnsi="仿宋" w:eastAsia="仿宋" w:cs="仿宋"/>
                <w:sz w:val="22"/>
                <w:szCs w:val="22"/>
              </w:rPr>
              <w:t>1、如果中标产品停产或更新后，中标供应商须提供不低于中标配置参数的产品。</w:t>
            </w:r>
          </w:p>
          <w:p w14:paraId="5CE5096C">
            <w:pPr>
              <w:pStyle w:val="3"/>
              <w:keepLines w:val="0"/>
              <w:adjustRightInd/>
              <w:spacing w:line="240" w:lineRule="auto"/>
              <w:rPr>
                <w:rFonts w:ascii="仿宋" w:hAnsi="仿宋" w:eastAsia="仿宋" w:cs="仿宋"/>
                <w:sz w:val="22"/>
                <w:szCs w:val="22"/>
              </w:rPr>
            </w:pPr>
            <w:bookmarkStart w:id="65" w:name="_Toc20081"/>
            <w:bookmarkStart w:id="66" w:name="_Toc24560"/>
            <w:r>
              <w:rPr>
                <w:rFonts w:hint="eastAsia" w:ascii="仿宋" w:hAnsi="仿宋" w:eastAsia="仿宋" w:cs="仿宋"/>
                <w:b w:val="0"/>
                <w:sz w:val="22"/>
                <w:szCs w:val="22"/>
              </w:rPr>
              <w:t>2、详细配置附后。</w:t>
            </w:r>
            <w:bookmarkEnd w:id="65"/>
            <w:bookmarkEnd w:id="66"/>
          </w:p>
        </w:tc>
      </w:tr>
    </w:tbl>
    <w:p w14:paraId="0CB8297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注：以上合同总价包括货物的采购供货、税金、包装、运输、保险、装卸、安装、调试、第三方验收、技术服务、售后服务、质保期保障等完成项目要求的全部费用。</w:t>
      </w:r>
    </w:p>
    <w:p w14:paraId="5E0FDA68">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乙方认为完成本采购文件规定的承包内容所需发生的直接成本、间接成本、利润、税金、政策性文件规定的费用及合同包含的所有风险、责任等一切费用均应计入投标总报价中；凡未列入的，将被认为均已包含在总报价中，今后不得以任何理由追加或调整。</w:t>
      </w:r>
    </w:p>
    <w:p w14:paraId="477D49B8">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2.标准和计量单位</w:t>
      </w:r>
    </w:p>
    <w:p w14:paraId="443F5E9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（1）本合同项下交付的货物应符合技术规格所述的标准。如在采购文件中无相应说明，则以国家颁布的最新版本标准或行业（部）标准或相应的国际标准执行，没有国家或行业（部）标准的则按企业标准执行。</w:t>
      </w:r>
    </w:p>
    <w:p w14:paraId="7B5396D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 除非技术规格中另有规定，计量单位均采用中华人民共和国法定计量单位。</w:t>
      </w:r>
    </w:p>
    <w:p w14:paraId="56B2FA9A">
      <w:pPr>
        <w:spacing w:line="460" w:lineRule="exact"/>
        <w:ind w:firstLine="539" w:firstLineChars="245"/>
        <w:rPr>
          <w:rFonts w:ascii="仿宋" w:hAnsi="仿宋" w:eastAsia="仿宋" w:cs="仿宋"/>
          <w:bCs/>
          <w:sz w:val="22"/>
          <w:szCs w:val="22"/>
        </w:rPr>
      </w:pPr>
      <w:r>
        <w:rPr>
          <w:rFonts w:hint="eastAsia" w:ascii="仿宋" w:hAnsi="仿宋" w:eastAsia="仿宋" w:cs="仿宋"/>
          <w:bCs/>
          <w:sz w:val="22"/>
          <w:szCs w:val="22"/>
        </w:rPr>
        <w:t>3.专利权</w:t>
      </w:r>
    </w:p>
    <w:p w14:paraId="4517E73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乙方应保证，甲方在使用该货物或货物的任何一部分时，免受第三方提出的侵犯其专利权、商标权、著作权或其它知识产权的起诉。乙方应承担由此可能产生的一切法律责任和费用。</w:t>
      </w:r>
    </w:p>
    <w:p w14:paraId="4766A421">
      <w:pPr>
        <w:spacing w:line="460" w:lineRule="exact"/>
        <w:ind w:firstLine="541" w:firstLineChars="245"/>
        <w:outlineLvl w:val="2"/>
        <w:rPr>
          <w:rFonts w:ascii="仿宋" w:hAnsi="仿宋" w:eastAsia="仿宋" w:cs="仿宋"/>
          <w:b/>
          <w:sz w:val="22"/>
          <w:szCs w:val="22"/>
        </w:rPr>
      </w:pPr>
      <w:bookmarkStart w:id="67" w:name="_Toc6875"/>
      <w:bookmarkStart w:id="68" w:name="_Toc10057"/>
      <w:r>
        <w:rPr>
          <w:rFonts w:hint="eastAsia" w:ascii="仿宋" w:hAnsi="仿宋" w:eastAsia="仿宋" w:cs="仿宋"/>
          <w:b/>
          <w:sz w:val="22"/>
          <w:szCs w:val="22"/>
        </w:rPr>
        <w:t>四、交货</w:t>
      </w:r>
      <w:bookmarkEnd w:id="67"/>
      <w:bookmarkEnd w:id="68"/>
    </w:p>
    <w:p w14:paraId="0353B66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1.包装要求</w:t>
      </w:r>
    </w:p>
    <w:p w14:paraId="7226BB5E">
      <w:pPr>
        <w:spacing w:line="460" w:lineRule="exact"/>
        <w:ind w:firstLine="539" w:firstLineChars="245"/>
        <w:rPr>
          <w:rFonts w:ascii="仿宋" w:hAnsi="仿宋" w:eastAsia="仿宋" w:cs="仿宋"/>
          <w:sz w:val="22"/>
          <w:szCs w:val="22"/>
        </w:rPr>
      </w:pPr>
      <w:bookmarkStart w:id="69" w:name="OLE_LINK4"/>
      <w:r>
        <w:rPr>
          <w:rFonts w:hint="eastAsia" w:ascii="仿宋" w:hAnsi="仿宋" w:eastAsia="仿宋" w:cs="仿宋"/>
          <w:sz w:val="22"/>
          <w:szCs w:val="22"/>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19AC65F">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（2）每一包装箱内必须附有装箱清单、合格证和齐全的技术资料等。</w:t>
      </w:r>
      <w:bookmarkEnd w:id="69"/>
    </w:p>
    <w:p w14:paraId="79F53F1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（3）乙方应在每一包装箱的四侧用不褪色的油漆以醒目的中文字样标注“收货人”“货物名称”“小心轻放”、“防潮”、“此端朝上，请勿倒置”等字样和其他国际贸易中使用的适当标志。</w:t>
      </w:r>
    </w:p>
    <w:p w14:paraId="3DE56B5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2.交货方式</w:t>
      </w:r>
    </w:p>
    <w:p w14:paraId="0A7EF0C5">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（1）现场交货：乙方负责办理运输和保险，将货物运抵甲方指定的现场并落地就位。有关运输和保险的一切费用由乙方承担。所有货物运抵现场的日期为交货日期。</w:t>
      </w:r>
    </w:p>
    <w:p w14:paraId="3405488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（2）在现场交货条件下，乙方在货物发运前</w:t>
      </w:r>
      <w:r>
        <w:rPr>
          <w:rFonts w:hint="eastAsia" w:ascii="仿宋" w:hAnsi="仿宋" w:eastAsia="仿宋" w:cs="仿宋"/>
          <w:sz w:val="22"/>
          <w:szCs w:val="22"/>
          <w:u w:val="single"/>
        </w:rPr>
        <w:t xml:space="preserve">    </w:t>
      </w:r>
      <w:r>
        <w:rPr>
          <w:rFonts w:hint="eastAsia" w:ascii="仿宋" w:hAnsi="仿宋" w:eastAsia="仿宋" w:cs="仿宋"/>
          <w:sz w:val="22"/>
          <w:szCs w:val="22"/>
        </w:rPr>
        <w:t>天，将要发运货物的合同号、货物名称、规格、数量、包装箱件数、重量、包装箱尺寸（长×宽×高）和货物的卸车，贮存的特殊要求以及运输工具名称以及启运日期，以传真形式通知甲方。</w:t>
      </w:r>
    </w:p>
    <w:p w14:paraId="6805F0D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（3）如因乙方延误将上述内容用传真形式通知甲方，由此引起的一切损失应由乙方承担。</w:t>
      </w:r>
    </w:p>
    <w:p w14:paraId="3F0AF9EC">
      <w:pPr>
        <w:adjustRightInd/>
        <w:spacing w:line="440" w:lineRule="exact"/>
        <w:ind w:firstLine="541" w:firstLineChars="245"/>
        <w:rPr>
          <w:rFonts w:ascii="仿宋" w:hAnsi="仿宋" w:eastAsia="仿宋" w:cs="仿宋"/>
          <w:b/>
          <w:bCs/>
          <w:sz w:val="22"/>
          <w:szCs w:val="22"/>
        </w:rPr>
      </w:pPr>
      <w:r>
        <w:rPr>
          <w:rFonts w:hint="eastAsia" w:ascii="仿宋" w:hAnsi="仿宋" w:eastAsia="仿宋" w:cs="仿宋"/>
          <w:b/>
          <w:sz w:val="22"/>
        </w:rPr>
        <w:t>3、供货期限：合同签订后</w:t>
      </w:r>
      <w:r>
        <w:rPr>
          <w:rFonts w:hint="eastAsia" w:ascii="仿宋" w:hAnsi="仿宋" w:eastAsia="仿宋" w:cs="仿宋"/>
          <w:b/>
          <w:sz w:val="22"/>
          <w:u w:val="single"/>
        </w:rPr>
        <w:t xml:space="preserve">    </w:t>
      </w:r>
      <w:r>
        <w:rPr>
          <w:rFonts w:hint="eastAsia" w:ascii="仿宋" w:hAnsi="仿宋" w:eastAsia="仿宋" w:cs="仿宋"/>
          <w:b/>
          <w:sz w:val="22"/>
        </w:rPr>
        <w:t>日内完成供货并安装及调试。</w:t>
      </w:r>
    </w:p>
    <w:p w14:paraId="68530019">
      <w:pPr>
        <w:spacing w:line="460" w:lineRule="exact"/>
        <w:ind w:firstLine="541" w:firstLineChars="245"/>
        <w:rPr>
          <w:rFonts w:ascii="仿宋" w:hAnsi="仿宋" w:eastAsia="仿宋" w:cs="仿宋"/>
          <w:b/>
          <w:bCs/>
          <w:sz w:val="22"/>
          <w:szCs w:val="22"/>
        </w:rPr>
      </w:pPr>
      <w:r>
        <w:rPr>
          <w:rFonts w:hint="eastAsia" w:ascii="仿宋" w:hAnsi="仿宋" w:eastAsia="仿宋" w:cs="仿宋"/>
          <w:b/>
          <w:bCs/>
          <w:sz w:val="22"/>
          <w:szCs w:val="22"/>
        </w:rPr>
        <w:t>4、供货地点：甲方指定地点。</w:t>
      </w:r>
    </w:p>
    <w:p w14:paraId="54F34A65">
      <w:pPr>
        <w:spacing w:line="460" w:lineRule="exact"/>
        <w:ind w:firstLine="541" w:firstLineChars="245"/>
        <w:rPr>
          <w:rFonts w:ascii="仿宋" w:hAnsi="仿宋" w:eastAsia="仿宋" w:cs="仿宋"/>
          <w:b/>
          <w:sz w:val="22"/>
          <w:szCs w:val="22"/>
        </w:rPr>
      </w:pPr>
      <w:r>
        <w:rPr>
          <w:rFonts w:hint="eastAsia" w:ascii="仿宋" w:hAnsi="仿宋" w:eastAsia="仿宋" w:cs="仿宋"/>
          <w:b/>
          <w:sz w:val="22"/>
          <w:szCs w:val="22"/>
        </w:rPr>
        <w:t>5、技术文件和资料</w:t>
      </w:r>
    </w:p>
    <w:p w14:paraId="229B84F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（1）提供技术文件和资料的种类和数量在本采购文件《项目技术规范和服务要求》中规定，甲乙双方可根据采购要求和需要订立具体的技术文件和资料交付时间和数量。</w:t>
      </w:r>
    </w:p>
    <w:p w14:paraId="3AFDF5ED">
      <w:pPr>
        <w:spacing w:line="460" w:lineRule="exact"/>
        <w:ind w:firstLine="539" w:firstLineChars="245"/>
        <w:rPr>
          <w:rFonts w:ascii="仿宋" w:hAnsi="仿宋" w:eastAsia="仿宋" w:cs="仿宋"/>
          <w:b/>
          <w:bCs/>
          <w:sz w:val="22"/>
          <w:szCs w:val="22"/>
        </w:rPr>
      </w:pPr>
      <w:r>
        <w:rPr>
          <w:rFonts w:hint="eastAsia" w:ascii="仿宋" w:hAnsi="仿宋" w:eastAsia="仿宋" w:cs="仿宋"/>
          <w:sz w:val="22"/>
          <w:szCs w:val="22"/>
        </w:rPr>
        <w:t>（2）如果甲方确认乙方提供的技术文件和资料不完整，或在运输途中丢失，乙方应在收到甲方通知后3天内将这些文件、资料补齐。</w:t>
      </w:r>
    </w:p>
    <w:p w14:paraId="43216CB2">
      <w:pPr>
        <w:spacing w:line="460" w:lineRule="exact"/>
        <w:ind w:firstLine="541" w:firstLineChars="245"/>
        <w:outlineLvl w:val="2"/>
        <w:rPr>
          <w:rFonts w:ascii="仿宋" w:hAnsi="仿宋" w:eastAsia="仿宋" w:cs="仿宋"/>
          <w:b/>
          <w:sz w:val="22"/>
          <w:szCs w:val="22"/>
        </w:rPr>
      </w:pPr>
      <w:bookmarkStart w:id="70" w:name="_Toc28648"/>
      <w:bookmarkStart w:id="71" w:name="_Toc27483"/>
      <w:r>
        <w:rPr>
          <w:rFonts w:hint="eastAsia" w:ascii="仿宋" w:hAnsi="仿宋" w:eastAsia="仿宋" w:cs="仿宋"/>
          <w:b/>
          <w:sz w:val="22"/>
          <w:szCs w:val="22"/>
        </w:rPr>
        <w:t>五、质量要求</w:t>
      </w:r>
      <w:bookmarkEnd w:id="70"/>
      <w:bookmarkEnd w:id="71"/>
    </w:p>
    <w:p w14:paraId="1B35CEA7">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6E59BE5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2CA8419C">
      <w:pPr>
        <w:spacing w:line="460" w:lineRule="exact"/>
        <w:ind w:firstLine="541" w:firstLineChars="245"/>
        <w:outlineLvl w:val="2"/>
        <w:rPr>
          <w:rFonts w:ascii="仿宋" w:hAnsi="仿宋" w:eastAsia="仿宋" w:cs="仿宋"/>
          <w:b/>
          <w:sz w:val="22"/>
          <w:szCs w:val="22"/>
        </w:rPr>
      </w:pPr>
      <w:bookmarkStart w:id="72" w:name="_Toc17349"/>
      <w:bookmarkStart w:id="73" w:name="_Toc13702"/>
      <w:r>
        <w:rPr>
          <w:rFonts w:hint="eastAsia" w:ascii="仿宋" w:hAnsi="仿宋" w:eastAsia="仿宋" w:cs="仿宋"/>
          <w:b/>
          <w:sz w:val="22"/>
          <w:szCs w:val="22"/>
        </w:rPr>
        <w:t>六、调试和验收</w:t>
      </w:r>
      <w:bookmarkEnd w:id="72"/>
      <w:bookmarkEnd w:id="73"/>
    </w:p>
    <w:p w14:paraId="36EC6835">
      <w:pPr>
        <w:spacing w:line="460" w:lineRule="exact"/>
        <w:ind w:firstLine="480"/>
        <w:rPr>
          <w:rFonts w:ascii="仿宋" w:hAnsi="仿宋" w:eastAsia="仿宋" w:cs="仿宋"/>
          <w:sz w:val="22"/>
          <w:szCs w:val="22"/>
        </w:rPr>
      </w:pPr>
      <w:r>
        <w:rPr>
          <w:rFonts w:hint="eastAsia" w:ascii="仿宋" w:hAnsi="仿宋" w:eastAsia="仿宋" w:cs="仿宋"/>
          <w:sz w:val="22"/>
          <w:szCs w:val="22"/>
          <w:lang w:bidi="ar"/>
        </w:rPr>
        <w:t>1.甲方对乙方提交的货物依据采购文件上的技术规格要求和国家有关质量标准（如有样品，以投标时封存的样品为基础）进行现场初步验收，外观、说明书符合采购文件技术要求的，给予签收，初步验收不合格的不予签收。待所有货物交货、安装调试完毕，乙方向甲方提交交付函和验收申请3个月内甲方根据中华人民共和国现行技术标准，按采购文件、投标文件以及合同规定的验收评定标准等规范组织验收（如有第三方验收，费用由乙方承担），乙方配合完成。</w:t>
      </w:r>
    </w:p>
    <w:p w14:paraId="34538580">
      <w:pPr>
        <w:spacing w:line="460" w:lineRule="exact"/>
        <w:ind w:firstLine="480"/>
        <w:rPr>
          <w:rFonts w:ascii="仿宋" w:hAnsi="仿宋" w:eastAsia="仿宋" w:cs="仿宋"/>
          <w:sz w:val="22"/>
          <w:szCs w:val="22"/>
          <w:lang w:bidi="ar"/>
        </w:rPr>
      </w:pPr>
      <w:r>
        <w:rPr>
          <w:rFonts w:hint="eastAsia" w:ascii="仿宋" w:hAnsi="仿宋" w:eastAsia="仿宋" w:cs="仿宋"/>
          <w:sz w:val="22"/>
          <w:szCs w:val="22"/>
          <w:lang w:bidi="ar"/>
        </w:rPr>
        <w:t>2.乙方交货前应对产品作出全面检查和对验收文件进行整理，并列出清单，作为甲方收货验收和使用的技术条件依据，检验的结果应随货物交甲方。</w:t>
      </w:r>
    </w:p>
    <w:p w14:paraId="1D73E1D4">
      <w:pPr>
        <w:spacing w:line="460" w:lineRule="exact"/>
        <w:ind w:firstLine="480"/>
        <w:rPr>
          <w:rFonts w:ascii="仿宋" w:hAnsi="仿宋" w:eastAsia="仿宋" w:cs="仿宋"/>
          <w:sz w:val="22"/>
          <w:szCs w:val="22"/>
          <w:lang w:bidi="ar"/>
        </w:rPr>
      </w:pPr>
      <w:r>
        <w:rPr>
          <w:rFonts w:hint="eastAsia" w:ascii="仿宋" w:hAnsi="仿宋" w:eastAsia="仿宋" w:cs="仿宋"/>
          <w:sz w:val="22"/>
          <w:szCs w:val="22"/>
          <w:lang w:bidi="ar"/>
        </w:rPr>
        <w:t>3. 乙方交货前应根据甲方要求安装所需的软件。</w:t>
      </w:r>
    </w:p>
    <w:p w14:paraId="3F236C8C">
      <w:pPr>
        <w:spacing w:line="460" w:lineRule="exact"/>
        <w:ind w:firstLine="480"/>
        <w:rPr>
          <w:rFonts w:ascii="仿宋" w:hAnsi="仿宋" w:eastAsia="仿宋" w:cs="仿宋"/>
          <w:sz w:val="22"/>
          <w:szCs w:val="22"/>
        </w:rPr>
      </w:pPr>
      <w:r>
        <w:rPr>
          <w:rFonts w:hint="eastAsia" w:ascii="仿宋" w:hAnsi="仿宋" w:eastAsia="仿宋" w:cs="仿宋"/>
          <w:sz w:val="22"/>
          <w:szCs w:val="22"/>
          <w:lang w:bidi="ar"/>
        </w:rPr>
        <w:t>４. 验收时乙方必须在现场，验收完毕后作出验收结果报告。</w:t>
      </w:r>
    </w:p>
    <w:p w14:paraId="1B8ED615">
      <w:pPr>
        <w:spacing w:line="460" w:lineRule="exact"/>
        <w:ind w:firstLine="541" w:firstLineChars="245"/>
        <w:outlineLvl w:val="2"/>
        <w:rPr>
          <w:rFonts w:ascii="仿宋" w:hAnsi="仿宋" w:eastAsia="仿宋" w:cs="仿宋"/>
          <w:b/>
          <w:sz w:val="22"/>
          <w:szCs w:val="22"/>
        </w:rPr>
      </w:pPr>
      <w:bookmarkStart w:id="74" w:name="_Toc19797"/>
      <w:bookmarkStart w:id="75" w:name="_Toc25039"/>
      <w:r>
        <w:rPr>
          <w:rFonts w:hint="eastAsia" w:ascii="仿宋" w:hAnsi="仿宋" w:eastAsia="仿宋" w:cs="仿宋"/>
          <w:b/>
          <w:sz w:val="22"/>
          <w:szCs w:val="22"/>
        </w:rPr>
        <w:t>七、售后服务</w:t>
      </w:r>
      <w:bookmarkEnd w:id="74"/>
      <w:bookmarkEnd w:id="75"/>
    </w:p>
    <w:p w14:paraId="6C18FF9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项目验收合格之日起，乙方提供的货物质保期至少___个月，如乙方承诺的产品质保期高于采购文件规定则按照乙方承诺执行（设备部件原厂商若比上述的质保期更长则以原厂商提供为准），从货物验收合格之日起算，除人为原因造成的故障外，保修保换；质保期满后，乙方负责提供配件和维修服务，酌收成本费用，易损件长期提供。</w:t>
      </w:r>
    </w:p>
    <w:p w14:paraId="33030DB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2.乙方保证所供货物发生故障时，在接到故障后4小时，最迟在24小时内修复，并采取提供临时替用品等措施，以保证甲方的正常工作。</w:t>
      </w:r>
    </w:p>
    <w:p w14:paraId="274F06CF">
      <w:pPr>
        <w:spacing w:line="460" w:lineRule="exact"/>
        <w:ind w:firstLine="541" w:firstLineChars="245"/>
        <w:outlineLvl w:val="2"/>
        <w:rPr>
          <w:rFonts w:ascii="仿宋" w:hAnsi="仿宋" w:eastAsia="仿宋" w:cs="仿宋"/>
          <w:b/>
          <w:sz w:val="22"/>
          <w:szCs w:val="22"/>
        </w:rPr>
      </w:pPr>
      <w:bookmarkStart w:id="76" w:name="_Toc17086"/>
      <w:bookmarkStart w:id="77" w:name="_Toc13987"/>
      <w:r>
        <w:rPr>
          <w:rFonts w:hint="eastAsia" w:ascii="仿宋" w:hAnsi="仿宋" w:eastAsia="仿宋" w:cs="仿宋"/>
          <w:b/>
          <w:sz w:val="22"/>
          <w:szCs w:val="22"/>
        </w:rPr>
        <w:t>八、付款方式与结算</w:t>
      </w:r>
      <w:bookmarkEnd w:id="76"/>
      <w:bookmarkEnd w:id="77"/>
    </w:p>
    <w:p w14:paraId="2C023DBA">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bookmarkStart w:id="78" w:name="_Toc5885"/>
      <w:bookmarkStart w:id="79" w:name="_Toc28021"/>
    </w:p>
    <w:p w14:paraId="77FEC0BB">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（1）合同生效以及具备实施条件后7个工作日内买方支付合同总额30%的预付款；</w:t>
      </w:r>
    </w:p>
    <w:p w14:paraId="7D9D7C81">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（2）所有产品供应齐全且完成安装、调试后，付至合同总价款的60%。</w:t>
      </w:r>
    </w:p>
    <w:p w14:paraId="68B0F857">
      <w:pPr>
        <w:keepNext w:val="0"/>
        <w:keepLines w:val="0"/>
        <w:pageBreakBefore w:val="0"/>
        <w:widowControl w:val="0"/>
        <w:kinsoku/>
        <w:wordWrap/>
        <w:overflowPunct/>
        <w:topLinePunct w:val="0"/>
        <w:autoSpaceDE/>
        <w:autoSpaceDN/>
        <w:bidi w:val="0"/>
        <w:adjustRightInd w:val="0"/>
        <w:snapToGrid/>
        <w:spacing w:line="360" w:lineRule="auto"/>
        <w:ind w:firstLine="220" w:firstLineChars="100"/>
        <w:textAlignment w:val="auto"/>
        <w:rPr>
          <w:rFonts w:hint="eastAsia" w:ascii="仿宋" w:hAnsi="仿宋" w:eastAsia="仿宋" w:cs="仿宋"/>
          <w:sz w:val="22"/>
          <w:szCs w:val="22"/>
          <w:lang w:val="zh-CN"/>
        </w:rPr>
      </w:pPr>
      <w:r>
        <w:rPr>
          <w:rFonts w:hint="eastAsia" w:ascii="仿宋" w:hAnsi="仿宋" w:eastAsia="仿宋" w:cs="仿宋"/>
          <w:sz w:val="22"/>
          <w:szCs w:val="22"/>
          <w:lang w:val="zh-CN"/>
        </w:rPr>
        <w:t>（3）所有产品验收合格后，付至合同总价款的100%。</w:t>
      </w:r>
    </w:p>
    <w:p w14:paraId="337F0084">
      <w:pPr>
        <w:spacing w:line="460" w:lineRule="exact"/>
        <w:ind w:firstLine="539" w:firstLineChars="245"/>
        <w:outlineLvl w:val="2"/>
        <w:rPr>
          <w:rFonts w:hint="eastAsia" w:ascii="仿宋" w:hAnsi="仿宋" w:eastAsia="仿宋" w:cs="仿宋"/>
          <w:sz w:val="22"/>
          <w:szCs w:val="22"/>
          <w:lang w:val="zh-CN"/>
        </w:rPr>
      </w:pPr>
      <w:r>
        <w:rPr>
          <w:rFonts w:hint="eastAsia" w:ascii="仿宋" w:hAnsi="仿宋" w:eastAsia="仿宋" w:cs="仿宋"/>
          <w:sz w:val="22"/>
          <w:szCs w:val="22"/>
          <w:lang w:val="zh-CN"/>
        </w:rPr>
        <w:t>备注：1、签订合同时，中标人明确表示无需预付款或者主动要求降低预付款比例的，合同中可另行约定。2、买方对于满足合同约定支付条件的，自收到发票后7个工作日内将资金支付到合同约定的卖方账户。</w:t>
      </w:r>
    </w:p>
    <w:p w14:paraId="506EBA19">
      <w:pPr>
        <w:spacing w:line="460" w:lineRule="exact"/>
        <w:ind w:firstLine="541" w:firstLineChars="245"/>
        <w:outlineLvl w:val="2"/>
        <w:rPr>
          <w:rFonts w:ascii="仿宋" w:hAnsi="仿宋" w:eastAsia="仿宋" w:cs="仿宋"/>
          <w:b/>
          <w:sz w:val="22"/>
          <w:szCs w:val="22"/>
        </w:rPr>
      </w:pPr>
      <w:r>
        <w:rPr>
          <w:rFonts w:hint="eastAsia" w:ascii="仿宋" w:hAnsi="仿宋" w:eastAsia="仿宋" w:cs="仿宋"/>
          <w:b/>
          <w:sz w:val="22"/>
          <w:szCs w:val="22"/>
        </w:rPr>
        <w:t>九、双方责任</w:t>
      </w:r>
      <w:bookmarkEnd w:id="78"/>
      <w:bookmarkEnd w:id="79"/>
    </w:p>
    <w:p w14:paraId="1F0972B8">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1.甲方</w:t>
      </w:r>
    </w:p>
    <w:p w14:paraId="2167BCD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（1）按合同规定向乙方支付货款。</w:t>
      </w:r>
    </w:p>
    <w:p w14:paraId="26FFE0A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（2）组织对货物的验收。</w:t>
      </w:r>
    </w:p>
    <w:p w14:paraId="19581B6A">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w:t>
      </w:r>
    </w:p>
    <w:p w14:paraId="5EF55335">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（1）按合同要求提供货物和服务。</w:t>
      </w:r>
    </w:p>
    <w:p w14:paraId="6C13CD38">
      <w:pPr>
        <w:spacing w:line="460" w:lineRule="exact"/>
        <w:ind w:firstLine="539" w:firstLineChars="245"/>
        <w:rPr>
          <w:rFonts w:ascii="仿宋" w:hAnsi="仿宋" w:eastAsia="仿宋" w:cs="仿宋"/>
          <w:b/>
          <w:sz w:val="22"/>
          <w:szCs w:val="22"/>
        </w:rPr>
      </w:pPr>
      <w:r>
        <w:rPr>
          <w:rFonts w:hint="eastAsia" w:ascii="仿宋" w:hAnsi="仿宋" w:eastAsia="仿宋" w:cs="仿宋"/>
          <w:sz w:val="22"/>
          <w:szCs w:val="22"/>
        </w:rPr>
        <w:t>（2）对所提供的货物和服务质量问题无条件负责处理。</w:t>
      </w:r>
    </w:p>
    <w:p w14:paraId="2750B2A0">
      <w:pPr>
        <w:spacing w:line="460" w:lineRule="exact"/>
        <w:ind w:firstLine="541" w:firstLineChars="245"/>
        <w:outlineLvl w:val="2"/>
        <w:rPr>
          <w:rFonts w:ascii="仿宋" w:hAnsi="仿宋" w:eastAsia="仿宋" w:cs="仿宋"/>
          <w:b/>
          <w:sz w:val="22"/>
          <w:szCs w:val="22"/>
        </w:rPr>
      </w:pPr>
      <w:bookmarkStart w:id="80" w:name="_Toc8703"/>
      <w:bookmarkStart w:id="81" w:name="_Toc31886"/>
      <w:r>
        <w:rPr>
          <w:rFonts w:hint="eastAsia" w:ascii="仿宋" w:hAnsi="仿宋" w:eastAsia="仿宋" w:cs="仿宋"/>
          <w:b/>
          <w:sz w:val="22"/>
          <w:szCs w:val="22"/>
        </w:rPr>
        <w:t>十、乙方履约延误</w:t>
      </w:r>
      <w:bookmarkEnd w:id="80"/>
      <w:bookmarkEnd w:id="81"/>
    </w:p>
    <w:p w14:paraId="526F221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1.乙方应按照合同规定的时间交货和提供服务。</w:t>
      </w:r>
    </w:p>
    <w:p w14:paraId="6178953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67BEB29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3.除了合同条款中不可抗力的情况外，除非延误是取得同意而不收取赔偿费，乙方延误交货或延误提供服务将按合同条款第十一条规定被收取误期赔偿费。</w:t>
      </w:r>
    </w:p>
    <w:p w14:paraId="6D90723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4.所有提供的货物及验收都应服从甲方的统一安排。</w:t>
      </w:r>
    </w:p>
    <w:p w14:paraId="6F503715">
      <w:pPr>
        <w:spacing w:line="460" w:lineRule="exact"/>
        <w:ind w:firstLine="541" w:firstLineChars="245"/>
        <w:outlineLvl w:val="2"/>
        <w:rPr>
          <w:rFonts w:ascii="仿宋" w:hAnsi="仿宋" w:eastAsia="仿宋" w:cs="仿宋"/>
          <w:b/>
          <w:sz w:val="22"/>
          <w:szCs w:val="22"/>
        </w:rPr>
      </w:pPr>
      <w:bookmarkStart w:id="82" w:name="_Toc3742"/>
      <w:bookmarkStart w:id="83" w:name="_Toc9680"/>
      <w:r>
        <w:rPr>
          <w:rFonts w:hint="eastAsia" w:ascii="仿宋" w:hAnsi="仿宋" w:eastAsia="仿宋" w:cs="仿宋"/>
          <w:b/>
          <w:sz w:val="22"/>
          <w:szCs w:val="22"/>
        </w:rPr>
        <w:t>十一、误期赔偿费</w:t>
      </w:r>
      <w:bookmarkEnd w:id="82"/>
      <w:bookmarkEnd w:id="83"/>
    </w:p>
    <w:p w14:paraId="2E2099B0">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4AE2AB91">
      <w:pPr>
        <w:spacing w:line="460" w:lineRule="exact"/>
        <w:ind w:firstLine="541" w:firstLineChars="245"/>
        <w:outlineLvl w:val="2"/>
        <w:rPr>
          <w:rFonts w:ascii="仿宋" w:hAnsi="仿宋" w:eastAsia="仿宋" w:cs="仿宋"/>
          <w:b/>
          <w:sz w:val="22"/>
          <w:szCs w:val="22"/>
        </w:rPr>
      </w:pPr>
      <w:bookmarkStart w:id="84" w:name="_Toc4884"/>
      <w:bookmarkStart w:id="85" w:name="_Toc28863"/>
      <w:r>
        <w:rPr>
          <w:rFonts w:hint="eastAsia" w:ascii="仿宋" w:hAnsi="仿宋" w:eastAsia="仿宋" w:cs="仿宋"/>
          <w:b/>
          <w:sz w:val="22"/>
          <w:szCs w:val="22"/>
        </w:rPr>
        <w:t>十二、不可抗力</w:t>
      </w:r>
      <w:bookmarkEnd w:id="84"/>
      <w:bookmarkEnd w:id="85"/>
    </w:p>
    <w:p w14:paraId="64AAF5B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AC4A8F9">
      <w:pPr>
        <w:spacing w:line="460" w:lineRule="exact"/>
        <w:ind w:firstLine="541" w:firstLineChars="245"/>
        <w:outlineLvl w:val="2"/>
        <w:rPr>
          <w:rFonts w:ascii="仿宋" w:hAnsi="仿宋" w:eastAsia="仿宋" w:cs="仿宋"/>
          <w:b/>
          <w:sz w:val="22"/>
          <w:szCs w:val="22"/>
        </w:rPr>
      </w:pPr>
      <w:bookmarkStart w:id="86" w:name="_Toc7353"/>
      <w:bookmarkStart w:id="87" w:name="_Toc3318"/>
      <w:r>
        <w:rPr>
          <w:rFonts w:hint="eastAsia" w:ascii="仿宋" w:hAnsi="仿宋" w:eastAsia="仿宋" w:cs="仿宋"/>
          <w:b/>
          <w:sz w:val="22"/>
          <w:szCs w:val="22"/>
        </w:rPr>
        <w:t>十三、违约终止合同</w:t>
      </w:r>
      <w:bookmarkEnd w:id="86"/>
      <w:bookmarkEnd w:id="87"/>
    </w:p>
    <w:p w14:paraId="5A391BD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1.甲方在乙方违约的情况下，如果发生下列情况之一，可考虑终止部分或全部合同：</w:t>
      </w:r>
    </w:p>
    <w:p w14:paraId="4CA59AC0">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（1）乙方未能在合同规定的期限内或甲方同意延长的期限内提供全部或部分货物；</w:t>
      </w:r>
    </w:p>
    <w:p w14:paraId="13E89162">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160BCFF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5B61C675">
      <w:pPr>
        <w:spacing w:line="460" w:lineRule="exact"/>
        <w:ind w:firstLine="541" w:firstLineChars="245"/>
        <w:outlineLvl w:val="2"/>
        <w:rPr>
          <w:rFonts w:ascii="仿宋" w:hAnsi="仿宋" w:eastAsia="仿宋" w:cs="仿宋"/>
          <w:b/>
          <w:sz w:val="22"/>
          <w:szCs w:val="22"/>
        </w:rPr>
      </w:pPr>
      <w:bookmarkStart w:id="88" w:name="_Toc9204"/>
      <w:bookmarkStart w:id="89" w:name="_Toc682"/>
      <w:r>
        <w:rPr>
          <w:rFonts w:hint="eastAsia" w:ascii="仿宋" w:hAnsi="仿宋" w:eastAsia="仿宋" w:cs="仿宋"/>
          <w:b/>
          <w:sz w:val="22"/>
          <w:szCs w:val="22"/>
        </w:rPr>
        <w:t>十四、</w:t>
      </w:r>
      <w:r>
        <w:rPr>
          <w:rFonts w:hint="eastAsia" w:ascii="仿宋" w:hAnsi="仿宋" w:eastAsia="仿宋" w:cs="仿宋"/>
          <w:b/>
          <w:sz w:val="22"/>
          <w:szCs w:val="22"/>
          <w:lang w:val="en-US" w:eastAsia="zh-CN"/>
        </w:rPr>
        <w:t>违约</w:t>
      </w:r>
      <w:r>
        <w:rPr>
          <w:rFonts w:hint="eastAsia" w:ascii="仿宋" w:hAnsi="仿宋" w:eastAsia="仿宋" w:cs="仿宋"/>
          <w:b/>
          <w:sz w:val="22"/>
          <w:szCs w:val="22"/>
        </w:rPr>
        <w:t>的罚没</w:t>
      </w:r>
      <w:bookmarkEnd w:id="88"/>
      <w:bookmarkEnd w:id="89"/>
    </w:p>
    <w:p w14:paraId="6A7108B1">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1.如乙方未能履行合同规定的任何义务，甲方有权</w:t>
      </w:r>
      <w:r>
        <w:rPr>
          <w:rFonts w:hint="eastAsia" w:ascii="仿宋" w:hAnsi="仿宋" w:eastAsia="仿宋" w:cs="仿宋"/>
          <w:sz w:val="22"/>
          <w:szCs w:val="22"/>
          <w:lang w:val="en-US" w:eastAsia="zh-CN"/>
        </w:rPr>
        <w:t>在合同支付时直接扣除</w:t>
      </w:r>
      <w:r>
        <w:rPr>
          <w:rFonts w:hint="eastAsia" w:ascii="仿宋" w:hAnsi="仿宋" w:eastAsia="仿宋" w:cs="仿宋"/>
          <w:sz w:val="22"/>
          <w:szCs w:val="22"/>
        </w:rPr>
        <w:t>。</w:t>
      </w:r>
    </w:p>
    <w:p w14:paraId="61419A13">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2.如果乙方毫无理由地拖延交货或拒绝履行合同规定的任何义务，</w:t>
      </w:r>
      <w:r>
        <w:rPr>
          <w:rFonts w:hint="eastAsia" w:ascii="仿宋" w:hAnsi="仿宋" w:eastAsia="仿宋" w:cs="仿宋"/>
          <w:sz w:val="22"/>
          <w:szCs w:val="22"/>
          <w:lang w:val="en-US" w:eastAsia="zh-CN"/>
        </w:rPr>
        <w:t>乙方向甲方支付合同价款2%作为</w:t>
      </w:r>
      <w:r>
        <w:rPr>
          <w:rFonts w:hint="eastAsia" w:ascii="仿宋" w:hAnsi="仿宋" w:eastAsia="仿宋" w:cs="仿宋"/>
          <w:sz w:val="22"/>
          <w:szCs w:val="22"/>
        </w:rPr>
        <w:t>违约赔偿金。</w:t>
      </w:r>
    </w:p>
    <w:p w14:paraId="5495DA39">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3.乙方提供的货物须和报价文件中所承诺的货物规格、数量、型号等相符（合同中另有规定除外）。如不符，除追究乙方责任外，</w:t>
      </w:r>
      <w:r>
        <w:rPr>
          <w:rFonts w:hint="eastAsia" w:ascii="仿宋" w:hAnsi="仿宋" w:eastAsia="仿宋" w:cs="仿宋"/>
          <w:sz w:val="22"/>
          <w:szCs w:val="22"/>
          <w:lang w:val="en-US" w:eastAsia="zh-CN"/>
        </w:rPr>
        <w:t>乙方向甲方支付合同价款2%作为</w:t>
      </w:r>
      <w:r>
        <w:rPr>
          <w:rFonts w:hint="eastAsia" w:ascii="仿宋" w:hAnsi="仿宋" w:eastAsia="仿宋" w:cs="仿宋"/>
          <w:sz w:val="22"/>
          <w:szCs w:val="22"/>
        </w:rPr>
        <w:t>违约赔偿金。</w:t>
      </w:r>
    </w:p>
    <w:p w14:paraId="1370B0C2">
      <w:pPr>
        <w:spacing w:line="460" w:lineRule="exact"/>
        <w:ind w:firstLine="541" w:firstLineChars="245"/>
        <w:outlineLvl w:val="2"/>
        <w:rPr>
          <w:rFonts w:ascii="仿宋" w:hAnsi="仿宋" w:eastAsia="仿宋" w:cs="仿宋"/>
          <w:b/>
          <w:sz w:val="22"/>
          <w:szCs w:val="22"/>
        </w:rPr>
      </w:pPr>
      <w:bookmarkStart w:id="90" w:name="_Toc16829"/>
      <w:bookmarkStart w:id="91" w:name="_Toc8878"/>
      <w:r>
        <w:rPr>
          <w:rFonts w:hint="eastAsia" w:ascii="仿宋" w:hAnsi="仿宋" w:eastAsia="仿宋" w:cs="仿宋"/>
          <w:b/>
          <w:sz w:val="22"/>
          <w:szCs w:val="22"/>
        </w:rPr>
        <w:t>十五、争端的解决</w:t>
      </w:r>
      <w:bookmarkEnd w:id="90"/>
      <w:bookmarkEnd w:id="91"/>
    </w:p>
    <w:p w14:paraId="7EE0B25F">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 xml:space="preserve">1.有关本合同和签署本合同的争议应通过友好协商解决。如果协商不成，该争议应按照以下第 </w:t>
      </w:r>
      <w:r>
        <w:rPr>
          <w:rFonts w:hint="eastAsia" w:ascii="仿宋" w:hAnsi="仿宋" w:eastAsia="仿宋" w:cs="仿宋"/>
          <w:sz w:val="22"/>
          <w:szCs w:val="22"/>
          <w:u w:val="single"/>
        </w:rPr>
        <w:t>（二）</w:t>
      </w:r>
      <w:r>
        <w:rPr>
          <w:rFonts w:hint="eastAsia" w:ascii="仿宋" w:hAnsi="仿宋" w:eastAsia="仿宋" w:cs="仿宋"/>
          <w:sz w:val="22"/>
          <w:szCs w:val="22"/>
        </w:rPr>
        <w:t xml:space="preserve"> 方式解决：</w:t>
      </w:r>
    </w:p>
    <w:p w14:paraId="6EFE249E">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（一）提交温州仲裁委员会仲裁，仲裁结果具有终结效力，双方应严格遵守；</w:t>
      </w:r>
    </w:p>
    <w:p w14:paraId="4CCBCD5B">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（二）提交甲方注册地人民法院通过诉讼解决。</w:t>
      </w:r>
    </w:p>
    <w:p w14:paraId="6BAABA4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2.本协议未尽事宜或与国家有关法律、法规相悖的，均按国家有关法律、规定执行。</w:t>
      </w:r>
    </w:p>
    <w:p w14:paraId="7AE12EF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3.任何一方就对方针对本合同项下任何条款的违约行为的自动弃权或重复性弃权不应被视为是对下一次针对同一条款的违约行为、或针对其他条款的违约行为的弃权。</w:t>
      </w:r>
    </w:p>
    <w:p w14:paraId="4745C087">
      <w:pPr>
        <w:spacing w:line="460" w:lineRule="exact"/>
        <w:ind w:firstLine="541" w:firstLineChars="245"/>
        <w:outlineLvl w:val="2"/>
        <w:rPr>
          <w:rFonts w:ascii="仿宋" w:hAnsi="仿宋" w:eastAsia="仿宋" w:cs="仿宋"/>
          <w:b/>
          <w:sz w:val="22"/>
          <w:szCs w:val="22"/>
        </w:rPr>
      </w:pPr>
      <w:bookmarkStart w:id="92" w:name="_Toc11786"/>
      <w:bookmarkStart w:id="93" w:name="_Toc24263"/>
      <w:r>
        <w:rPr>
          <w:rFonts w:hint="eastAsia" w:ascii="仿宋" w:hAnsi="仿宋" w:eastAsia="仿宋" w:cs="仿宋"/>
          <w:b/>
          <w:sz w:val="22"/>
          <w:szCs w:val="22"/>
        </w:rPr>
        <w:t>十六、转让和分包及货物不可替代</w:t>
      </w:r>
      <w:bookmarkEnd w:id="92"/>
      <w:bookmarkEnd w:id="93"/>
    </w:p>
    <w:p w14:paraId="014DE4AC">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1.未经甲方事先书面同意，乙方不得部分转让或全部转让和分包其履行合同的义务。</w:t>
      </w:r>
    </w:p>
    <w:p w14:paraId="642FEA4D">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2.货物不可替代，乙方在没有取得甲方的书面授权的情况下，不得将合同货物的生产制造转交其他生产厂商或以其他厂商的货物替代。</w:t>
      </w:r>
    </w:p>
    <w:p w14:paraId="791840CC">
      <w:pPr>
        <w:spacing w:line="460" w:lineRule="exact"/>
        <w:ind w:firstLine="541" w:firstLineChars="245"/>
        <w:outlineLvl w:val="2"/>
        <w:rPr>
          <w:rFonts w:ascii="仿宋" w:hAnsi="仿宋" w:eastAsia="仿宋" w:cs="仿宋"/>
          <w:b/>
          <w:sz w:val="22"/>
          <w:szCs w:val="22"/>
        </w:rPr>
      </w:pPr>
      <w:bookmarkStart w:id="94" w:name="_Toc3674"/>
      <w:bookmarkStart w:id="95" w:name="_Toc24827"/>
      <w:r>
        <w:rPr>
          <w:rFonts w:hint="eastAsia" w:ascii="仿宋" w:hAnsi="仿宋" w:eastAsia="仿宋" w:cs="仿宋"/>
          <w:b/>
          <w:sz w:val="22"/>
          <w:szCs w:val="22"/>
        </w:rPr>
        <w:t>十七、适用法律</w:t>
      </w:r>
      <w:bookmarkEnd w:id="94"/>
      <w:bookmarkEnd w:id="95"/>
    </w:p>
    <w:p w14:paraId="11B5029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本合同按照中华人民共和国的法律进行解释。</w:t>
      </w:r>
    </w:p>
    <w:p w14:paraId="416E8E15">
      <w:pPr>
        <w:spacing w:line="460" w:lineRule="exact"/>
        <w:ind w:firstLine="541" w:firstLineChars="245"/>
        <w:outlineLvl w:val="2"/>
        <w:rPr>
          <w:rFonts w:ascii="仿宋" w:hAnsi="仿宋" w:eastAsia="仿宋" w:cs="仿宋"/>
          <w:b/>
          <w:sz w:val="22"/>
          <w:szCs w:val="22"/>
        </w:rPr>
      </w:pPr>
      <w:bookmarkStart w:id="96" w:name="_Toc22036"/>
      <w:bookmarkStart w:id="97" w:name="_Toc23343"/>
      <w:r>
        <w:rPr>
          <w:rFonts w:hint="eastAsia" w:ascii="仿宋" w:hAnsi="仿宋" w:eastAsia="仿宋" w:cs="仿宋"/>
          <w:b/>
          <w:sz w:val="22"/>
          <w:szCs w:val="22"/>
        </w:rPr>
        <w:t>十八、合同生效及其他</w:t>
      </w:r>
      <w:bookmarkEnd w:id="96"/>
      <w:bookmarkEnd w:id="97"/>
    </w:p>
    <w:p w14:paraId="40F9F9A6">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1.合同在双方签字盖章开始生效。</w:t>
      </w:r>
    </w:p>
    <w:p w14:paraId="44CC9A64">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2.如需修改或补充合同内容，经协商，双方应签署书面修改或补充协议，该协议将作为本合同的一个组成部分。</w:t>
      </w:r>
    </w:p>
    <w:p w14:paraId="1D78E751">
      <w:pPr>
        <w:spacing w:line="460" w:lineRule="exact"/>
        <w:ind w:firstLine="539" w:firstLineChars="245"/>
        <w:rPr>
          <w:rFonts w:ascii="仿宋" w:hAnsi="仿宋" w:eastAsia="仿宋" w:cs="仿宋"/>
          <w:sz w:val="22"/>
          <w:szCs w:val="22"/>
        </w:rPr>
      </w:pPr>
      <w:r>
        <w:rPr>
          <w:rFonts w:hint="eastAsia" w:ascii="仿宋" w:hAnsi="仿宋" w:eastAsia="仿宋" w:cs="仿宋"/>
          <w:sz w:val="22"/>
          <w:szCs w:val="22"/>
        </w:rPr>
        <w:t>3.</w:t>
      </w:r>
      <w:r>
        <w:rPr>
          <w:rFonts w:hint="eastAsia" w:ascii="仿宋" w:hAnsi="仿宋" w:eastAsia="仿宋" w:cs="仿宋"/>
          <w:b/>
          <w:bCs/>
          <w:sz w:val="22"/>
          <w:szCs w:val="22"/>
        </w:rPr>
        <w:t>合同壹式伍份，双方各贰份，壹份送采购代理机构备案</w:t>
      </w:r>
    </w:p>
    <w:p w14:paraId="1336FD42">
      <w:pPr>
        <w:tabs>
          <w:tab w:val="left" w:pos="360"/>
        </w:tabs>
        <w:spacing w:line="460" w:lineRule="exact"/>
        <w:ind w:firstLine="550" w:firstLineChars="250"/>
        <w:rPr>
          <w:rFonts w:ascii="仿宋" w:hAnsi="仿宋" w:eastAsia="仿宋" w:cs="仿宋"/>
          <w:sz w:val="22"/>
          <w:szCs w:val="22"/>
        </w:rPr>
      </w:pPr>
    </w:p>
    <w:p w14:paraId="1253B87D">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甲方：（印章）                        乙方：（印章）</w:t>
      </w:r>
    </w:p>
    <w:p w14:paraId="04182662">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全权代表:（签字）                    全权代表:（签字）</w:t>
      </w:r>
    </w:p>
    <w:p w14:paraId="6F8BA24F">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地址：                               地址：</w:t>
      </w:r>
    </w:p>
    <w:p w14:paraId="02CDD9E5">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邮政编码：                           邮政编码：</w:t>
      </w:r>
    </w:p>
    <w:p w14:paraId="3994E521">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电话：                               电话：</w:t>
      </w:r>
    </w:p>
    <w:p w14:paraId="137CF37F">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传真：                               传真：</w:t>
      </w:r>
    </w:p>
    <w:p w14:paraId="2A2DF708">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开户银行：                           开户银行：</w:t>
      </w:r>
    </w:p>
    <w:p w14:paraId="5E76506B">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帐号：                               帐号：</w:t>
      </w:r>
    </w:p>
    <w:p w14:paraId="14706702">
      <w:pPr>
        <w:tabs>
          <w:tab w:val="left" w:pos="360"/>
        </w:tabs>
        <w:spacing w:line="460" w:lineRule="exact"/>
        <w:ind w:firstLine="550" w:firstLineChars="250"/>
        <w:rPr>
          <w:rFonts w:ascii="仿宋" w:hAnsi="仿宋" w:eastAsia="仿宋" w:cs="仿宋"/>
          <w:sz w:val="22"/>
          <w:szCs w:val="22"/>
        </w:rPr>
      </w:pPr>
      <w:r>
        <w:rPr>
          <w:rFonts w:hint="eastAsia" w:ascii="仿宋" w:hAnsi="仿宋" w:eastAsia="仿宋" w:cs="仿宋"/>
          <w:sz w:val="22"/>
          <w:szCs w:val="22"/>
        </w:rPr>
        <w:t>时间:                                时间：</w:t>
      </w:r>
    </w:p>
    <w:p w14:paraId="5D072495">
      <w:pPr>
        <w:spacing w:line="460" w:lineRule="exact"/>
        <w:ind w:firstLine="541" w:firstLineChars="245"/>
        <w:rPr>
          <w:rFonts w:ascii="仿宋" w:hAnsi="仿宋" w:eastAsia="仿宋" w:cs="仿宋"/>
          <w:sz w:val="22"/>
          <w:szCs w:val="22"/>
        </w:rPr>
      </w:pPr>
      <w:r>
        <w:rPr>
          <w:rFonts w:hint="eastAsia" w:ascii="仿宋" w:hAnsi="仿宋" w:eastAsia="仿宋" w:cs="仿宋"/>
          <w:b/>
          <w:bCs/>
          <w:sz w:val="22"/>
        </w:rPr>
        <w:t>注：本合同作为示范文本，具体以中标供应商与采购人所签定正式合同为准。</w:t>
      </w:r>
    </w:p>
    <w:p w14:paraId="65E638D4">
      <w:pPr>
        <w:rPr>
          <w:rFonts w:ascii="仿宋" w:hAnsi="仿宋" w:eastAsia="仿宋" w:cs="仿宋"/>
          <w:b/>
          <w:sz w:val="36"/>
          <w:szCs w:val="20"/>
        </w:rPr>
        <w:sectPr>
          <w:footerReference r:id="rId4" w:type="first"/>
          <w:headerReference r:id="rId3" w:type="default"/>
          <w:pgSz w:w="11907" w:h="16840"/>
          <w:pgMar w:top="1474" w:right="1814" w:bottom="1474" w:left="1814" w:header="851" w:footer="851" w:gutter="0"/>
          <w:cols w:space="720" w:num="1"/>
        </w:sectPr>
      </w:pPr>
    </w:p>
    <w:p w14:paraId="4B8F1E53">
      <w:pPr>
        <w:jc w:val="center"/>
        <w:rPr>
          <w:rFonts w:ascii="仿宋" w:hAnsi="仿宋" w:eastAsia="仿宋" w:cs="仿宋"/>
          <w:b/>
          <w:sz w:val="36"/>
          <w:szCs w:val="20"/>
        </w:rPr>
      </w:pPr>
      <w:r>
        <w:rPr>
          <w:rFonts w:hint="eastAsia" w:ascii="仿宋" w:hAnsi="仿宋" w:eastAsia="仿宋" w:cs="仿宋"/>
          <w:b/>
          <w:sz w:val="36"/>
          <w:szCs w:val="20"/>
        </w:rPr>
        <w:t>第五部分  应提交的有关格式范例</w:t>
      </w:r>
    </w:p>
    <w:p w14:paraId="33380BCE">
      <w:pPr>
        <w:rPr>
          <w:rFonts w:ascii="仿宋" w:hAnsi="仿宋" w:eastAsia="仿宋" w:cs="仿宋"/>
          <w:b/>
          <w:kern w:val="0"/>
          <w:sz w:val="36"/>
          <w:szCs w:val="36"/>
        </w:rPr>
      </w:pPr>
    </w:p>
    <w:p w14:paraId="7E0C8E29">
      <w:pPr>
        <w:jc w:val="center"/>
        <w:outlineLvl w:val="1"/>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6BC0BAB6">
      <w:pPr>
        <w:jc w:val="center"/>
        <w:rPr>
          <w:rFonts w:ascii="仿宋" w:hAnsi="仿宋" w:eastAsia="仿宋" w:cs="仿宋"/>
          <w:b/>
          <w:kern w:val="0"/>
          <w:sz w:val="36"/>
          <w:szCs w:val="36"/>
        </w:rPr>
      </w:pPr>
    </w:p>
    <w:p w14:paraId="28E366D1">
      <w:pPr>
        <w:jc w:val="center"/>
        <w:rPr>
          <w:rFonts w:ascii="仿宋" w:hAnsi="仿宋" w:eastAsia="仿宋" w:cs="仿宋"/>
          <w:b/>
          <w:kern w:val="0"/>
          <w:sz w:val="36"/>
          <w:szCs w:val="36"/>
        </w:rPr>
      </w:pPr>
    </w:p>
    <w:p w14:paraId="47D51D43">
      <w:pPr>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56B44171">
      <w:pPr>
        <w:rPr>
          <w:rFonts w:ascii="仿宋" w:hAnsi="仿宋" w:eastAsia="仿宋" w:cs="仿宋"/>
          <w:b/>
          <w:kern w:val="0"/>
          <w:sz w:val="36"/>
          <w:szCs w:val="36"/>
        </w:rPr>
      </w:pPr>
    </w:p>
    <w:p w14:paraId="586F03DF">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14:paraId="4FDB6CC1">
      <w:pPr>
        <w:snapToGrid w:val="0"/>
        <w:spacing w:line="360" w:lineRule="auto"/>
        <w:rPr>
          <w:rFonts w:ascii="仿宋" w:hAnsi="仿宋" w:eastAsia="仿宋" w:cs="仿宋"/>
          <w:sz w:val="24"/>
        </w:rPr>
      </w:pPr>
      <w:r>
        <w:rPr>
          <w:rFonts w:hint="eastAsia" w:ascii="仿宋" w:hAnsi="仿宋" w:eastAsia="仿宋" w:cs="仿宋"/>
          <w:sz w:val="24"/>
        </w:rPr>
        <w:t>（2）落实政府采购政策需满足的资格要求………………………………（页码）</w:t>
      </w:r>
    </w:p>
    <w:p w14:paraId="611B6A32">
      <w:pPr>
        <w:snapToGrid w:val="0"/>
        <w:spacing w:line="360" w:lineRule="auto"/>
        <w:ind w:firstLine="480" w:firstLineChars="200"/>
        <w:rPr>
          <w:rFonts w:ascii="仿宋" w:hAnsi="仿宋" w:eastAsia="仿宋" w:cs="仿宋"/>
          <w:sz w:val="24"/>
        </w:rPr>
      </w:pPr>
    </w:p>
    <w:p w14:paraId="1FE27FBF">
      <w:pPr>
        <w:spacing w:line="360" w:lineRule="auto"/>
        <w:ind w:firstLine="480" w:firstLineChars="200"/>
        <w:rPr>
          <w:rFonts w:ascii="仿宋" w:hAnsi="仿宋" w:eastAsia="仿宋" w:cs="仿宋"/>
          <w:sz w:val="24"/>
        </w:rPr>
      </w:pPr>
    </w:p>
    <w:p w14:paraId="28E0F6B0">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14:paraId="0B05C1A6">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14:paraId="17034A1C">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14:paraId="1154AA02">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E254AA6">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14:paraId="392B3701">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61FDE97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14:paraId="1F8E21C0">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14:paraId="17295E9B">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14:paraId="3536243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14:paraId="459CE7E8">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61B22DB4">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14:paraId="2A7783F2">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D04D314">
      <w:pPr>
        <w:snapToGrid w:val="0"/>
        <w:spacing w:line="360" w:lineRule="auto"/>
        <w:ind w:firstLine="4819" w:firstLineChars="2008"/>
        <w:rPr>
          <w:rFonts w:ascii="仿宋" w:hAnsi="仿宋" w:eastAsia="仿宋" w:cs="仿宋"/>
          <w:kern w:val="0"/>
          <w:sz w:val="24"/>
          <w:lang w:val="zh-CN"/>
        </w:rPr>
      </w:pPr>
    </w:p>
    <w:p w14:paraId="20636260">
      <w:pPr>
        <w:snapToGrid w:val="0"/>
        <w:spacing w:line="360" w:lineRule="auto"/>
        <w:ind w:firstLine="4819" w:firstLineChars="2008"/>
        <w:rPr>
          <w:rFonts w:ascii="仿宋" w:hAnsi="仿宋" w:eastAsia="仿宋" w:cs="仿宋"/>
          <w:kern w:val="0"/>
          <w:sz w:val="24"/>
        </w:rPr>
      </w:pPr>
      <w:r>
        <w:rPr>
          <w:rFonts w:hint="eastAsia" w:ascii="仿宋" w:hAnsi="仿宋" w:eastAsia="仿宋" w:cs="仿宋"/>
          <w:kern w:val="0"/>
          <w:sz w:val="24"/>
          <w:lang w:val="zh-CN"/>
        </w:rPr>
        <w:t>投标人名称(电子签名)：</w:t>
      </w:r>
    </w:p>
    <w:p w14:paraId="4F6F02D8">
      <w:pPr>
        <w:snapToGrid w:val="0"/>
        <w:spacing w:line="360" w:lineRule="auto"/>
        <w:ind w:firstLine="4819" w:firstLineChars="2008"/>
        <w:jc w:val="lef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5041A94C">
      <w:pPr>
        <w:snapToGrid w:val="0"/>
        <w:spacing w:line="360" w:lineRule="auto"/>
        <w:ind w:right="480"/>
        <w:jc w:val="center"/>
        <w:rPr>
          <w:rFonts w:ascii="仿宋" w:hAnsi="仿宋" w:eastAsia="仿宋" w:cs="仿宋"/>
          <w:b/>
          <w:kern w:val="0"/>
          <w:sz w:val="32"/>
          <w:szCs w:val="32"/>
        </w:rPr>
      </w:pPr>
    </w:p>
    <w:p w14:paraId="664CED4A">
      <w:pPr>
        <w:widowControl/>
        <w:adjustRightInd/>
        <w:jc w:val="left"/>
        <w:rPr>
          <w:rFonts w:ascii="仿宋" w:hAnsi="仿宋" w:eastAsia="仿宋" w:cs="仿宋"/>
          <w:b/>
          <w:bCs/>
          <w:szCs w:val="21"/>
        </w:rPr>
      </w:pPr>
      <w:r>
        <w:rPr>
          <w:rFonts w:hint="eastAsia" w:ascii="仿宋" w:hAnsi="仿宋" w:eastAsia="仿宋" w:cs="仿宋"/>
          <w:b/>
          <w:bCs/>
          <w:szCs w:val="21"/>
        </w:rPr>
        <w:br w:type="page"/>
      </w:r>
    </w:p>
    <w:p w14:paraId="7B1038A5">
      <w:pPr>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附：</w:t>
      </w:r>
    </w:p>
    <w:p w14:paraId="6C995AFA">
      <w:pPr>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企业营业执照（或事业法人登记证书或其它工商等登记证明材料，自然人提供身份证)复制件（如为联合体，则联合体各方均应提供）；</w:t>
      </w:r>
    </w:p>
    <w:p w14:paraId="7B685AEE">
      <w:pPr>
        <w:snapToGrid w:val="0"/>
        <w:spacing w:line="360" w:lineRule="auto"/>
        <w:jc w:val="left"/>
        <w:rPr>
          <w:rFonts w:ascii="仿宋" w:hAnsi="仿宋" w:eastAsia="仿宋" w:cs="仿宋"/>
          <w:szCs w:val="21"/>
        </w:rPr>
      </w:pPr>
    </w:p>
    <w:p w14:paraId="2A39CA4C">
      <w:pPr>
        <w:snapToGrid w:val="0"/>
        <w:spacing w:line="360" w:lineRule="auto"/>
        <w:jc w:val="left"/>
        <w:rPr>
          <w:rFonts w:ascii="仿宋" w:hAnsi="仿宋" w:eastAsia="仿宋" w:cs="仿宋"/>
          <w:szCs w:val="21"/>
        </w:rPr>
      </w:pPr>
      <w:r>
        <w:rPr>
          <w:rFonts w:hint="eastAsia" w:ascii="仿宋" w:hAnsi="仿宋" w:eastAsia="仿宋" w:cs="仿宋"/>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238B4F4">
      <w:pPr>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br w:type="page"/>
      </w:r>
    </w:p>
    <w:p w14:paraId="47B1A440">
      <w:pPr>
        <w:widowControl/>
        <w:adjustRightInd/>
        <w:jc w:val="left"/>
        <w:rPr>
          <w:rFonts w:ascii="仿宋" w:hAnsi="仿宋" w:eastAsia="仿宋" w:cs="仿宋"/>
          <w:b/>
          <w:kern w:val="0"/>
          <w:sz w:val="32"/>
          <w:szCs w:val="32"/>
        </w:rPr>
      </w:pPr>
    </w:p>
    <w:p w14:paraId="4E262DEA">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14:paraId="293CFEBE">
      <w:pPr>
        <w:rPr>
          <w:rFonts w:ascii="仿宋" w:hAnsi="仿宋" w:eastAsia="仿宋" w:cs="仿宋"/>
          <w:bCs/>
          <w:kern w:val="0"/>
          <w:sz w:val="24"/>
        </w:rPr>
      </w:pPr>
      <w:bookmarkStart w:id="98" w:name="_Hlk93169794"/>
      <w:r>
        <w:rPr>
          <w:rFonts w:hint="eastAsia" w:ascii="仿宋" w:hAnsi="仿宋" w:eastAsia="仿宋" w:cs="仿宋"/>
          <w:bCs/>
          <w:kern w:val="0"/>
          <w:sz w:val="24"/>
        </w:rPr>
        <w:t>（根据招标公告落实政府采购政策需满足的资格要求选择提供相应的材料；未要求的，无需提供）</w:t>
      </w:r>
    </w:p>
    <w:p w14:paraId="45A0DEA9">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专门面向中小企业，货物全部由符合政策要求的中小企业（或小微企业）制造或者服务全部由符合政策要求的中小企业（或小微企业）承接的，提供相应的中小企业声明函（附件1）。</w:t>
      </w:r>
    </w:p>
    <w:p w14:paraId="3F639300">
      <w:pPr>
        <w:rPr>
          <w:rFonts w:ascii="仿宋" w:hAnsi="仿宋" w:eastAsia="仿宋" w:cs="仿宋"/>
          <w:b/>
          <w:kern w:val="0"/>
          <w:sz w:val="36"/>
          <w:szCs w:val="36"/>
        </w:rPr>
      </w:pPr>
    </w:p>
    <w:p w14:paraId="5B8625AE">
      <w:pPr>
        <w:rPr>
          <w:rFonts w:ascii="仿宋" w:hAnsi="仿宋" w:eastAsia="仿宋" w:cs="仿宋"/>
          <w:b/>
          <w:sz w:val="28"/>
          <w:szCs w:val="36"/>
        </w:rPr>
      </w:pPr>
      <w:r>
        <w:rPr>
          <w:rFonts w:hint="eastAsia" w:ascii="仿宋" w:hAnsi="仿宋" w:eastAsia="仿宋" w:cs="仿宋"/>
          <w:b/>
          <w:kern w:val="0"/>
          <w:sz w:val="36"/>
          <w:szCs w:val="36"/>
        </w:rPr>
        <w:br w:type="page"/>
      </w:r>
    </w:p>
    <w:p w14:paraId="2DD7A341">
      <w:pPr>
        <w:rPr>
          <w:rFonts w:ascii="仿宋" w:hAnsi="仿宋" w:eastAsia="仿宋" w:cs="仿宋_GB2312"/>
          <w:b/>
          <w:kern w:val="0"/>
          <w:sz w:val="28"/>
          <w:szCs w:val="28"/>
        </w:rPr>
      </w:pPr>
      <w:r>
        <w:rPr>
          <w:rFonts w:hint="eastAsia" w:ascii="仿宋" w:hAnsi="仿宋" w:eastAsia="仿宋" w:cs="仿宋_GB2312"/>
          <w:b/>
          <w:kern w:val="0"/>
          <w:sz w:val="28"/>
          <w:szCs w:val="28"/>
        </w:rPr>
        <w:t>附件1</w:t>
      </w:r>
    </w:p>
    <w:p w14:paraId="6600B324">
      <w:pPr>
        <w:spacing w:line="360" w:lineRule="auto"/>
        <w:jc w:val="center"/>
        <w:rPr>
          <w:rFonts w:ascii="仿宋" w:hAnsi="仿宋" w:eastAsia="仿宋" w:cs="仿宋"/>
          <w:b/>
          <w:sz w:val="32"/>
          <w:szCs w:val="32"/>
        </w:rPr>
      </w:pPr>
      <w:r>
        <w:rPr>
          <w:rFonts w:hint="eastAsia" w:ascii="仿宋" w:hAnsi="仿宋" w:eastAsia="仿宋" w:cs="仿宋_GB2312"/>
          <w:b/>
          <w:sz w:val="32"/>
          <w:szCs w:val="32"/>
        </w:rPr>
        <w:t>（1）</w:t>
      </w:r>
      <w:r>
        <w:rPr>
          <w:rFonts w:hint="eastAsia" w:ascii="仿宋" w:hAnsi="仿宋" w:eastAsia="仿宋" w:cs="仿宋"/>
          <w:b/>
          <w:sz w:val="32"/>
          <w:szCs w:val="32"/>
        </w:rPr>
        <w:t>中小企业声明函（货物）</w:t>
      </w:r>
    </w:p>
    <w:p w14:paraId="33D32FAC">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号）的规定，本公司（联合体）参加（单位名称）的</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（项目名称）</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50CFCF59">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354E83B2">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2B2CE345">
      <w:pPr>
        <w:spacing w:line="360" w:lineRule="auto"/>
        <w:ind w:firstLine="480" w:firstLineChars="200"/>
        <w:rPr>
          <w:rFonts w:ascii="仿宋" w:hAnsi="仿宋" w:eastAsia="仿宋" w:cs="仿宋"/>
          <w:sz w:val="24"/>
        </w:rPr>
      </w:pPr>
      <w:r>
        <w:rPr>
          <w:rFonts w:hint="eastAsia" w:ascii="仿宋" w:hAnsi="仿宋" w:eastAsia="仿宋" w:cs="仿宋"/>
          <w:sz w:val="24"/>
        </w:rPr>
        <w:t>……</w:t>
      </w:r>
    </w:p>
    <w:p w14:paraId="7EF080A1">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0F48C92">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3BEF2C9D">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w:t>
      </w:r>
      <w:r>
        <w:rPr>
          <w:rFonts w:hint="eastAsia" w:ascii="仿宋" w:hAnsi="仿宋" w:eastAsia="仿宋" w:cs="仿宋_GB2312"/>
          <w:sz w:val="24"/>
        </w:rPr>
        <w:t>公章</w:t>
      </w:r>
      <w:r>
        <w:rPr>
          <w:rFonts w:hint="eastAsia" w:ascii="仿宋" w:hAnsi="仿宋" w:eastAsia="仿宋" w:cs="仿宋"/>
          <w:kern w:val="0"/>
          <w:sz w:val="24"/>
          <w:lang w:val="zh-CN"/>
        </w:rPr>
        <w:t>)：</w:t>
      </w:r>
    </w:p>
    <w:p w14:paraId="70D59B2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20EFB36">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D3F6D5C">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E6D843">
      <w:pPr>
        <w:widowControl/>
        <w:shd w:val="clear" w:color="auto" w:fill="FFFFFF" w:themeFill="background1"/>
        <w:spacing w:line="360" w:lineRule="auto"/>
        <w:ind w:firstLine="480" w:firstLineChars="200"/>
        <w:jc w:val="left"/>
        <w:rPr>
          <w:rFonts w:ascii="仿宋" w:hAnsi="仿宋" w:eastAsia="仿宋" w:cs="仿宋"/>
          <w:sz w:val="24"/>
        </w:rPr>
      </w:pPr>
      <w:r>
        <w:rPr>
          <w:rFonts w:hint="eastAsia" w:ascii="仿宋" w:hAnsi="仿宋" w:eastAsia="仿宋" w:cs="仿宋"/>
          <w:sz w:val="24"/>
        </w:rPr>
        <w:t>本次采购所有标项均为专门面向中小企业的采购项目。投标文件中须提供投标人出具的《政府采购促进中小企业发展管理办法》【财库</w:t>
      </w:r>
      <w:r>
        <w:rPr>
          <w:rFonts w:ascii="仿宋" w:hAnsi="仿宋" w:eastAsia="仿宋" w:cs="仿宋"/>
          <w:sz w:val="24"/>
        </w:rPr>
        <w:t>2022年19号文件】规定的《中小企业声明函》，</w:t>
      </w:r>
      <w:r>
        <w:rPr>
          <w:rFonts w:hint="eastAsia" w:ascii="仿宋" w:hAnsi="仿宋" w:eastAsia="仿宋" w:cs="仿宋"/>
          <w:b/>
          <w:sz w:val="24"/>
        </w:rPr>
        <w:t>所投标项涉及多种标的物的，货物制造商的相关信息应全部列入《中小企业声明函》</w:t>
      </w:r>
      <w:r>
        <w:rPr>
          <w:rFonts w:hint="eastAsia" w:ascii="仿宋" w:hAnsi="仿宋" w:eastAsia="仿宋" w:cs="仿宋"/>
          <w:sz w:val="24"/>
        </w:rPr>
        <w:t>。未按要求提供的将视为无效投标。</w:t>
      </w:r>
    </w:p>
    <w:p w14:paraId="7BB46439">
      <w:pPr>
        <w:rPr>
          <w:rFonts w:ascii="Arial" w:hAnsi="Arial" w:eastAsia="黑体"/>
          <w:b/>
          <w:bCs/>
          <w:sz w:val="28"/>
          <w:szCs w:val="28"/>
          <w:lang w:val="zh-CN"/>
        </w:rPr>
        <w:sectPr>
          <w:pgSz w:w="11907" w:h="16840"/>
          <w:pgMar w:top="1474" w:right="1814" w:bottom="1474" w:left="1814" w:header="851" w:footer="851" w:gutter="0"/>
          <w:cols w:space="720" w:num="1"/>
        </w:sectPr>
      </w:pPr>
    </w:p>
    <w:p w14:paraId="59C90A70">
      <w:pPr>
        <w:spacing w:line="360" w:lineRule="auto"/>
        <w:jc w:val="center"/>
        <w:rPr>
          <w:rFonts w:ascii="仿宋" w:hAnsi="仿宋" w:eastAsia="仿宋" w:cs="Arial"/>
          <w:b/>
          <w:bCs/>
          <w:sz w:val="28"/>
          <w:szCs w:val="28"/>
        </w:rPr>
      </w:pPr>
      <w:r>
        <w:rPr>
          <w:rFonts w:hint="eastAsia" w:ascii="仿宋" w:hAnsi="仿宋" w:eastAsia="仿宋" w:cs="Arial"/>
          <w:b/>
          <w:bCs/>
          <w:sz w:val="28"/>
          <w:szCs w:val="28"/>
        </w:rPr>
        <w:t>（2）残疾人福利性单位声明函</w:t>
      </w:r>
    </w:p>
    <w:p w14:paraId="2E60E5F4">
      <w:pPr>
        <w:spacing w:line="360" w:lineRule="auto"/>
        <w:jc w:val="center"/>
        <w:rPr>
          <w:rFonts w:ascii="仿宋" w:hAnsi="仿宋" w:eastAsia="仿宋" w:cs="Arial"/>
          <w:bCs/>
          <w:sz w:val="28"/>
          <w:szCs w:val="28"/>
        </w:rPr>
      </w:pPr>
      <w:r>
        <w:rPr>
          <w:rFonts w:hint="eastAsia" w:ascii="仿宋" w:hAnsi="仿宋" w:eastAsia="仿宋" w:cs="Arial"/>
          <w:bCs/>
          <w:sz w:val="28"/>
          <w:szCs w:val="28"/>
        </w:rPr>
        <w:t>（如有）</w:t>
      </w:r>
    </w:p>
    <w:p w14:paraId="14148F35">
      <w:pPr>
        <w:spacing w:line="588" w:lineRule="exact"/>
        <w:jc w:val="left"/>
        <w:rPr>
          <w:rFonts w:ascii="仿宋" w:hAnsi="仿宋" w:eastAsia="仿宋" w:cs="宋体"/>
          <w:b/>
          <w:spacing w:val="6"/>
          <w:sz w:val="30"/>
          <w:szCs w:val="30"/>
        </w:rPr>
      </w:pPr>
    </w:p>
    <w:p w14:paraId="7A3EA43C">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本单位郑重声明，根据《财政部 民政部 中国残疾人联合会关于促进残疾人就业政府采购政策的通知》（财库</w:t>
      </w:r>
      <w:r>
        <w:rPr>
          <w:rFonts w:hint="eastAsia" w:ascii="仿宋" w:hAnsi="仿宋" w:eastAsia="仿宋" w:cs="宋体"/>
          <w:sz w:val="24"/>
        </w:rPr>
        <w:t>〔2017〕 141</w:t>
      </w:r>
      <w:r>
        <w:rPr>
          <w:rFonts w:hint="eastAsia" w:ascii="仿宋" w:hAnsi="仿宋" w:eastAsia="仿宋"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77F7F9">
      <w:pPr>
        <w:spacing w:line="480" w:lineRule="auto"/>
        <w:ind w:firstLine="504" w:firstLineChars="200"/>
        <w:jc w:val="left"/>
        <w:rPr>
          <w:rFonts w:ascii="仿宋" w:hAnsi="仿宋" w:eastAsia="仿宋" w:cs="宋体"/>
          <w:spacing w:val="6"/>
          <w:sz w:val="24"/>
        </w:rPr>
      </w:pPr>
      <w:r>
        <w:rPr>
          <w:rFonts w:hint="eastAsia" w:ascii="仿宋" w:hAnsi="仿宋" w:eastAsia="仿宋" w:cs="宋体"/>
          <w:spacing w:val="6"/>
          <w:sz w:val="24"/>
        </w:rPr>
        <w:t>本单位对上述声明的真实性负责。如有虚假，将依法承担相应责任。</w:t>
      </w:r>
    </w:p>
    <w:p w14:paraId="2BADE713">
      <w:pPr>
        <w:spacing w:line="480" w:lineRule="auto"/>
        <w:ind w:firstLine="504" w:firstLineChars="200"/>
        <w:jc w:val="left"/>
        <w:rPr>
          <w:rFonts w:ascii="仿宋" w:hAnsi="仿宋" w:eastAsia="仿宋" w:cs="宋体"/>
          <w:spacing w:val="6"/>
          <w:sz w:val="24"/>
        </w:rPr>
      </w:pPr>
    </w:p>
    <w:p w14:paraId="485CA350">
      <w:pPr>
        <w:tabs>
          <w:tab w:val="left" w:pos="4860"/>
        </w:tabs>
        <w:spacing w:line="480" w:lineRule="auto"/>
        <w:ind w:right="1191" w:firstLine="3828" w:firstLineChars="1595"/>
        <w:jc w:val="left"/>
        <w:rPr>
          <w:rFonts w:ascii="仿宋" w:hAnsi="仿宋" w:eastAsia="仿宋" w:cs="宋体"/>
          <w:spacing w:val="6"/>
          <w:sz w:val="24"/>
        </w:rPr>
      </w:pPr>
      <w:r>
        <w:rPr>
          <w:rFonts w:hint="eastAsia" w:ascii="仿宋" w:hAnsi="仿宋" w:eastAsia="仿宋" w:cs="仿宋_GB2312"/>
          <w:sz w:val="24"/>
        </w:rPr>
        <w:t>投标人</w:t>
      </w:r>
      <w:r>
        <w:rPr>
          <w:rFonts w:hint="eastAsia" w:ascii="仿宋" w:hAnsi="仿宋" w:eastAsia="仿宋"/>
          <w:sz w:val="24"/>
        </w:rPr>
        <w:t>名称（</w:t>
      </w:r>
      <w:r>
        <w:rPr>
          <w:rFonts w:hint="eastAsia" w:ascii="仿宋" w:hAnsi="仿宋" w:eastAsia="仿宋" w:cs="仿宋_GB2312"/>
          <w:sz w:val="24"/>
        </w:rPr>
        <w:t>公章</w:t>
      </w:r>
      <w:r>
        <w:rPr>
          <w:rFonts w:hint="eastAsia" w:ascii="仿宋" w:hAnsi="仿宋" w:eastAsia="仿宋"/>
          <w:sz w:val="24"/>
        </w:rPr>
        <w:t>）：</w:t>
      </w:r>
    </w:p>
    <w:p w14:paraId="6C13493F">
      <w:pPr>
        <w:tabs>
          <w:tab w:val="left" w:pos="4860"/>
        </w:tabs>
        <w:spacing w:line="480" w:lineRule="auto"/>
        <w:ind w:right="1560" w:firstLine="4019" w:firstLineChars="1595"/>
        <w:jc w:val="left"/>
        <w:rPr>
          <w:rFonts w:ascii="仿宋" w:hAnsi="仿宋" w:eastAsia="仿宋" w:cs="宋体"/>
          <w:sz w:val="24"/>
        </w:rPr>
      </w:pPr>
      <w:r>
        <w:rPr>
          <w:rFonts w:hint="eastAsia" w:ascii="仿宋" w:hAnsi="仿宋" w:eastAsia="仿宋" w:cs="宋体"/>
          <w:spacing w:val="6"/>
          <w:sz w:val="24"/>
        </w:rPr>
        <w:t>日     期：</w:t>
      </w:r>
    </w:p>
    <w:p w14:paraId="263BBBFA">
      <w:pPr>
        <w:spacing w:line="360" w:lineRule="auto"/>
        <w:jc w:val="left"/>
        <w:rPr>
          <w:rFonts w:ascii="仿宋" w:hAnsi="仿宋" w:eastAsia="仿宋" w:cs="宋体"/>
          <w:b/>
          <w:sz w:val="24"/>
        </w:rPr>
      </w:pPr>
    </w:p>
    <w:p w14:paraId="14DB6C45">
      <w:pPr>
        <w:tabs>
          <w:tab w:val="left" w:pos="312"/>
        </w:tabs>
        <w:spacing w:line="400" w:lineRule="exact"/>
        <w:jc w:val="left"/>
        <w:rPr>
          <w:rFonts w:ascii="仿宋" w:hAnsi="仿宋" w:eastAsia="仿宋"/>
          <w:sz w:val="18"/>
          <w:szCs w:val="18"/>
        </w:rPr>
      </w:pPr>
      <w:r>
        <w:rPr>
          <w:rFonts w:hint="eastAsia" w:ascii="仿宋" w:hAnsi="仿宋" w:eastAsia="仿宋"/>
          <w:sz w:val="18"/>
          <w:szCs w:val="18"/>
        </w:rPr>
        <w:t>注：1、供应商如为符合条件的残疾人福利性单位，且响应产品为本企业的，投标文件中须出具《残疾人福利性单位声明函》。</w:t>
      </w:r>
    </w:p>
    <w:p w14:paraId="3A3CB097">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2、供应商如为残疾人福利性单位且响应产品为其他残疾人福利性单位制造的，所代理品牌制造商的《残疾人福利性单位声明函》也需提供。</w:t>
      </w:r>
    </w:p>
    <w:p w14:paraId="229A78DB">
      <w:pPr>
        <w:tabs>
          <w:tab w:val="left" w:pos="312"/>
        </w:tabs>
        <w:spacing w:line="400" w:lineRule="exact"/>
        <w:ind w:firstLine="360" w:firstLineChars="200"/>
        <w:jc w:val="left"/>
        <w:rPr>
          <w:rFonts w:ascii="仿宋" w:hAnsi="仿宋" w:eastAsia="仿宋"/>
          <w:sz w:val="18"/>
          <w:szCs w:val="18"/>
        </w:rPr>
      </w:pPr>
      <w:r>
        <w:rPr>
          <w:rFonts w:hint="eastAsia" w:ascii="仿宋" w:hAnsi="仿宋" w:eastAsia="仿宋"/>
          <w:sz w:val="18"/>
          <w:szCs w:val="18"/>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B413C5D">
      <w:pPr>
        <w:ind w:firstLine="360" w:firstLineChars="200"/>
      </w:pPr>
      <w:r>
        <w:rPr>
          <w:rFonts w:hint="eastAsia" w:ascii="仿宋" w:hAnsi="仿宋" w:eastAsia="仿宋"/>
          <w:sz w:val="18"/>
          <w:szCs w:val="18"/>
        </w:rPr>
        <w:t>4、供应商不属于残疾人福利性单位的，无需提供此声明函，如提供所引起的后果由供应商承担。</w:t>
      </w:r>
    </w:p>
    <w:p w14:paraId="5C6B92E7">
      <w:pPr>
        <w:rPr>
          <w:rFonts w:ascii="仿宋" w:hAnsi="仿宋" w:eastAsia="仿宋" w:cs="仿宋"/>
          <w:b/>
          <w:kern w:val="0"/>
          <w:sz w:val="36"/>
          <w:szCs w:val="36"/>
        </w:rPr>
      </w:pPr>
    </w:p>
    <w:p w14:paraId="363E2DBE">
      <w:pPr>
        <w:pStyle w:val="3"/>
        <w:rPr>
          <w:rFonts w:ascii="仿宋" w:hAnsi="仿宋" w:eastAsia="仿宋" w:cs="仿宋"/>
          <w:kern w:val="0"/>
          <w:sz w:val="36"/>
          <w:szCs w:val="36"/>
        </w:rPr>
      </w:pPr>
    </w:p>
    <w:p w14:paraId="0107E93A"/>
    <w:p w14:paraId="2A449971">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bookmarkEnd w:id="98"/>
    </w:p>
    <w:p w14:paraId="17E6F8C1">
      <w:pPr>
        <w:spacing w:line="360" w:lineRule="auto"/>
        <w:jc w:val="center"/>
        <w:outlineLvl w:val="0"/>
        <w:rPr>
          <w:rFonts w:ascii="仿宋" w:hAnsi="仿宋" w:eastAsia="仿宋" w:cs="仿宋"/>
          <w:b/>
          <w:kern w:val="0"/>
          <w:sz w:val="24"/>
        </w:rPr>
      </w:pPr>
    </w:p>
    <w:p w14:paraId="4C9F541B">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2809B2F5">
      <w:pPr>
        <w:snapToGrid w:val="0"/>
        <w:spacing w:line="360" w:lineRule="auto"/>
        <w:jc w:val="distribute"/>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096911D5">
      <w:pPr>
        <w:snapToGrid w:val="0"/>
        <w:spacing w:line="360" w:lineRule="auto"/>
        <w:jc w:val="distribute"/>
        <w:rPr>
          <w:rFonts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D483708">
      <w:pPr>
        <w:snapToGrid w:val="0"/>
        <w:spacing w:line="360" w:lineRule="auto"/>
        <w:jc w:val="distribute"/>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21866B1">
      <w:pPr>
        <w:snapToGrid w:val="0"/>
        <w:spacing w:line="360" w:lineRule="auto"/>
        <w:jc w:val="distribute"/>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…………………………………………………（页码）</w:t>
      </w:r>
    </w:p>
    <w:p w14:paraId="743353CF">
      <w:pPr>
        <w:snapToGrid w:val="0"/>
        <w:spacing w:line="360" w:lineRule="auto"/>
        <w:jc w:val="distribute"/>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45836741">
      <w:pPr>
        <w:snapToGrid w:val="0"/>
        <w:spacing w:line="360" w:lineRule="auto"/>
        <w:jc w:val="center"/>
        <w:outlineLvl w:val="0"/>
        <w:rPr>
          <w:rFonts w:ascii="仿宋" w:hAnsi="仿宋" w:eastAsia="仿宋" w:cs="仿宋"/>
          <w:b/>
          <w:kern w:val="0"/>
          <w:sz w:val="32"/>
          <w:szCs w:val="32"/>
        </w:rPr>
      </w:pPr>
    </w:p>
    <w:p w14:paraId="1E506047">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5CC951F5">
      <w:pPr>
        <w:snapToGrid w:val="0"/>
        <w:spacing w:line="360" w:lineRule="auto"/>
        <w:jc w:val="left"/>
        <w:outlineLvl w:val="0"/>
        <w:rPr>
          <w:rFonts w:ascii="仿宋" w:hAnsi="仿宋" w:eastAsia="仿宋" w:cs="仿宋"/>
          <w:b/>
          <w:kern w:val="0"/>
          <w:sz w:val="28"/>
          <w:szCs w:val="28"/>
        </w:rPr>
      </w:pPr>
      <w:r>
        <w:rPr>
          <w:rFonts w:hint="eastAsia" w:ascii="仿宋" w:hAnsi="仿宋" w:eastAsia="仿宋" w:cs="仿宋"/>
          <w:b/>
          <w:kern w:val="0"/>
          <w:sz w:val="28"/>
          <w:szCs w:val="28"/>
        </w:rPr>
        <w:t>附件2</w:t>
      </w:r>
    </w:p>
    <w:p w14:paraId="7A1D3C12">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0703F30">
      <w:pPr>
        <w:snapToGrid w:val="0"/>
        <w:spacing w:line="360" w:lineRule="auto"/>
        <w:rPr>
          <w:rFonts w:ascii="仿宋" w:hAnsi="仿宋" w:eastAsia="仿宋" w:cs="仿宋"/>
          <w:szCs w:val="21"/>
          <w:u w:val="single"/>
        </w:rPr>
      </w:pPr>
      <w:r>
        <w:rPr>
          <w:rFonts w:hint="eastAsia" w:ascii="仿宋" w:hAnsi="仿宋" w:eastAsia="仿宋" w:cs="仿宋"/>
          <w:szCs w:val="21"/>
          <w:u w:val="single"/>
        </w:rPr>
        <w:t>（采购人）、（采购代理机构）：</w:t>
      </w:r>
    </w:p>
    <w:p w14:paraId="7D3EA293">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我方参加你方组织的</w:t>
      </w:r>
      <w:r>
        <w:rPr>
          <w:rFonts w:hint="eastAsia" w:ascii="仿宋" w:hAnsi="仿宋" w:eastAsia="仿宋" w:cs="仿宋"/>
          <w:szCs w:val="21"/>
          <w:u w:val="single"/>
        </w:rPr>
        <w:t>（项目名称）</w:t>
      </w:r>
      <w:r>
        <w:rPr>
          <w:rFonts w:hint="eastAsia" w:ascii="仿宋" w:hAnsi="仿宋" w:eastAsia="仿宋" w:cs="仿宋"/>
          <w:szCs w:val="21"/>
        </w:rPr>
        <w:t>项目【</w:t>
      </w:r>
      <w:r>
        <w:rPr>
          <w:rFonts w:hint="eastAsia" w:ascii="仿宋" w:hAnsi="仿宋" w:eastAsia="仿宋" w:cs="仿宋"/>
          <w:szCs w:val="21"/>
          <w:u w:val="single"/>
        </w:rPr>
        <w:t>采购编号</w:t>
      </w:r>
      <w:r>
        <w:rPr>
          <w:rFonts w:hint="eastAsia" w:ascii="仿宋" w:hAnsi="仿宋" w:eastAsia="仿宋" w:cs="仿宋"/>
          <w:szCs w:val="21"/>
        </w:rPr>
        <w:t>】采购的有关活动，并对此项目进行投标。为此：</w:t>
      </w:r>
    </w:p>
    <w:p w14:paraId="7801243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1、我方承诺投标有效期从提交投标文件的截止之日起天（不少于</w:t>
      </w:r>
      <w:r>
        <w:rPr>
          <w:rFonts w:hint="eastAsia" w:ascii="仿宋" w:hAnsi="仿宋" w:eastAsia="仿宋" w:cs="仿宋"/>
          <w:szCs w:val="21"/>
          <w:u w:val="single"/>
        </w:rPr>
        <w:t>90</w:t>
      </w:r>
      <w:r>
        <w:rPr>
          <w:rFonts w:hint="eastAsia" w:ascii="仿宋" w:hAnsi="仿宋" w:eastAsia="仿宋" w:cs="仿宋"/>
          <w:szCs w:val="21"/>
        </w:rPr>
        <w:t>天），本投标文件在投标有效期满之前均具有约束力。</w:t>
      </w:r>
    </w:p>
    <w:p w14:paraId="1EE0A79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2、我方的投标文件包括以下内容：</w:t>
      </w:r>
    </w:p>
    <w:p w14:paraId="69EF402D">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2.1资格文件：</w:t>
      </w:r>
    </w:p>
    <w:p w14:paraId="389B075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2.1.1承诺函；</w:t>
      </w:r>
    </w:p>
    <w:p w14:paraId="2BA4DA33">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2.1.2落实政府采购政策需满足的资格要求。</w:t>
      </w:r>
    </w:p>
    <w:p w14:paraId="5476A82F">
      <w:pPr>
        <w:snapToGrid w:val="0"/>
        <w:spacing w:line="360" w:lineRule="auto"/>
        <w:ind w:left="210" w:leftChars="100"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2商务技术</w:t>
      </w:r>
      <w:r>
        <w:rPr>
          <w:rFonts w:hint="eastAsia" w:ascii="仿宋" w:hAnsi="仿宋" w:eastAsia="仿宋" w:cs="仿宋"/>
          <w:szCs w:val="21"/>
          <w:lang w:val="zh-CN"/>
        </w:rPr>
        <w:t>文件：</w:t>
      </w:r>
    </w:p>
    <w:p w14:paraId="5D2584F0">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2.2.1投标函；</w:t>
      </w:r>
    </w:p>
    <w:p w14:paraId="2001117E">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2.2.2授权委托书或法定代表人（单位负责人）身份证明；</w:t>
      </w:r>
    </w:p>
    <w:p w14:paraId="43E8AFC2">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2.2.3符合性审查资料；</w:t>
      </w:r>
    </w:p>
    <w:p w14:paraId="28E95232">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2.2.4评标标准相应的商务技术资料；</w:t>
      </w:r>
    </w:p>
    <w:p w14:paraId="6B86EB9C">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2.2.5商务技术偏离表；</w:t>
      </w:r>
    </w:p>
    <w:p w14:paraId="0D0E60CC">
      <w:pPr>
        <w:snapToGrid w:val="0"/>
        <w:spacing w:line="360" w:lineRule="auto"/>
        <w:ind w:left="210" w:leftChars="100"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3报价文件</w:t>
      </w:r>
    </w:p>
    <w:p w14:paraId="4D6356BC">
      <w:pPr>
        <w:snapToGrid w:val="0"/>
        <w:spacing w:line="360" w:lineRule="auto"/>
        <w:ind w:left="420" w:leftChars="200" w:firstLine="420" w:firstLineChars="200"/>
        <w:rPr>
          <w:rFonts w:ascii="仿宋" w:hAnsi="仿宋" w:eastAsia="仿宋" w:cs="仿宋"/>
          <w:szCs w:val="21"/>
        </w:rPr>
      </w:pPr>
      <w:bookmarkStart w:id="99" w:name="_Hlk93170136"/>
      <w:r>
        <w:rPr>
          <w:rFonts w:hint="eastAsia" w:ascii="仿宋" w:hAnsi="仿宋" w:eastAsia="仿宋" w:cs="仿宋"/>
          <w:szCs w:val="21"/>
        </w:rPr>
        <w:t>2.3.1开标一览表（报价表）；</w:t>
      </w:r>
    </w:p>
    <w:p w14:paraId="25BA2426">
      <w:pPr>
        <w:snapToGrid w:val="0"/>
        <w:spacing w:line="360" w:lineRule="auto"/>
        <w:ind w:left="420" w:leftChars="200" w:firstLine="420" w:firstLineChars="200"/>
        <w:rPr>
          <w:rFonts w:ascii="仿宋" w:hAnsi="仿宋" w:eastAsia="仿宋" w:cs="仿宋"/>
          <w:szCs w:val="21"/>
        </w:rPr>
      </w:pPr>
      <w:r>
        <w:rPr>
          <w:rFonts w:hint="eastAsia" w:ascii="仿宋" w:hAnsi="仿宋" w:eastAsia="仿宋" w:cs="仿宋"/>
          <w:szCs w:val="21"/>
        </w:rPr>
        <w:t>2.3.2价格组成表。</w:t>
      </w:r>
    </w:p>
    <w:bookmarkEnd w:id="99"/>
    <w:p w14:paraId="52BE9D9B">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3、我方承诺除商务技术偏离表列出的偏离外，我方响应招标文件的全部要求。</w:t>
      </w:r>
    </w:p>
    <w:p w14:paraId="6A20929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4、如我方中标，我方承诺：</w:t>
      </w:r>
    </w:p>
    <w:p w14:paraId="624972A3">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 xml:space="preserve">4.1在收到中标通知书后，在中标通知书规定的期限内与你方签订合同； </w:t>
      </w:r>
    </w:p>
    <w:p w14:paraId="724325A6">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 xml:space="preserve">4.2在签订合同时不向你方提出附加条件； </w:t>
      </w:r>
    </w:p>
    <w:p w14:paraId="5D1594A0">
      <w:pPr>
        <w:snapToGrid w:val="0"/>
        <w:spacing w:line="360" w:lineRule="auto"/>
        <w:ind w:firstLine="630" w:firstLineChars="3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val="en-US" w:eastAsia="zh-CN"/>
        </w:rPr>
        <w:t>3</w:t>
      </w:r>
      <w:r>
        <w:rPr>
          <w:rFonts w:hint="eastAsia" w:ascii="仿宋" w:hAnsi="仿宋" w:eastAsia="仿宋" w:cs="仿宋"/>
          <w:szCs w:val="21"/>
        </w:rPr>
        <w:t xml:space="preserve">在合同约定的期限内完成合同规定的全部义务。 </w:t>
      </w:r>
    </w:p>
    <w:p w14:paraId="691FD792">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5、其他补充说明:</w:t>
      </w:r>
      <w:r>
        <w:rPr>
          <w:rFonts w:hint="eastAsia" w:ascii="仿宋" w:hAnsi="仿宋" w:eastAsia="仿宋" w:cs="仿宋"/>
          <w:szCs w:val="21"/>
          <w:u w:val="single"/>
        </w:rPr>
        <w:t xml:space="preserve">        </w:t>
      </w:r>
      <w:r>
        <w:rPr>
          <w:rFonts w:hint="eastAsia" w:ascii="仿宋" w:hAnsi="仿宋" w:eastAsia="仿宋" w:cs="仿宋"/>
          <w:szCs w:val="21"/>
        </w:rPr>
        <w:t>。</w:t>
      </w:r>
    </w:p>
    <w:p w14:paraId="166A246B">
      <w:pPr>
        <w:spacing w:line="360" w:lineRule="auto"/>
        <w:ind w:firstLine="3150" w:firstLineChars="1500"/>
        <w:rPr>
          <w:rFonts w:ascii="仿宋" w:hAnsi="仿宋" w:eastAsia="仿宋" w:cs="仿宋"/>
          <w:szCs w:val="21"/>
        </w:rPr>
      </w:pPr>
      <w:r>
        <w:rPr>
          <w:rFonts w:hint="eastAsia" w:ascii="仿宋" w:hAnsi="仿宋" w:eastAsia="仿宋" w:cs="仿宋"/>
          <w:szCs w:val="21"/>
        </w:rPr>
        <w:t>投标人名称（电子签名）：</w:t>
      </w:r>
    </w:p>
    <w:p w14:paraId="36644505">
      <w:pPr>
        <w:spacing w:line="360" w:lineRule="auto"/>
        <w:jc w:val="center"/>
        <w:rPr>
          <w:rFonts w:ascii="仿宋" w:hAnsi="仿宋" w:eastAsia="仿宋" w:cs="仿宋"/>
          <w:szCs w:val="21"/>
        </w:rPr>
      </w:pPr>
      <w:r>
        <w:rPr>
          <w:rFonts w:hint="eastAsia" w:ascii="仿宋" w:hAnsi="仿宋" w:eastAsia="仿宋" w:cs="仿宋"/>
          <w:szCs w:val="21"/>
        </w:rPr>
        <w:t xml:space="preserve">     日期：  年   月   日</w:t>
      </w:r>
    </w:p>
    <w:p w14:paraId="562ABE2D">
      <w:pPr>
        <w:widowControl/>
        <w:adjustRightInd/>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192E86B1">
      <w:pPr>
        <w:jc w:val="left"/>
        <w:rPr>
          <w:rFonts w:ascii="仿宋" w:hAnsi="仿宋" w:eastAsia="仿宋" w:cs="仿宋"/>
          <w:b/>
          <w:kern w:val="0"/>
          <w:sz w:val="28"/>
          <w:szCs w:val="28"/>
          <w:lang w:val="zh-CN"/>
        </w:rPr>
      </w:pPr>
      <w:r>
        <w:rPr>
          <w:rFonts w:hint="eastAsia" w:ascii="仿宋" w:hAnsi="仿宋" w:eastAsia="仿宋" w:cs="仿宋"/>
          <w:b/>
          <w:kern w:val="0"/>
          <w:sz w:val="28"/>
          <w:szCs w:val="28"/>
          <w:lang w:val="zh-CN"/>
        </w:rPr>
        <w:t>附件</w:t>
      </w:r>
      <w:r>
        <w:rPr>
          <w:rFonts w:hint="eastAsia" w:ascii="仿宋" w:hAnsi="仿宋" w:eastAsia="仿宋" w:cs="仿宋"/>
          <w:b/>
          <w:kern w:val="0"/>
          <w:sz w:val="28"/>
          <w:szCs w:val="28"/>
        </w:rPr>
        <w:t>3</w:t>
      </w:r>
    </w:p>
    <w:p w14:paraId="634E2E5B">
      <w:pPr>
        <w:jc w:val="center"/>
        <w:rPr>
          <w:rFonts w:ascii="仿宋" w:hAnsi="仿宋" w:eastAsia="仿宋" w:cs="仿宋"/>
          <w:b/>
          <w:kern w:val="0"/>
          <w:sz w:val="32"/>
          <w:szCs w:val="32"/>
          <w:lang w:val="zh-CN"/>
        </w:rPr>
      </w:pPr>
    </w:p>
    <w:p w14:paraId="05C73AA6">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1BD0EC7">
      <w:pPr>
        <w:snapToGrid w:val="0"/>
        <w:spacing w:line="360" w:lineRule="auto"/>
        <w:rPr>
          <w:rFonts w:ascii="仿宋" w:hAnsi="仿宋" w:eastAsia="仿宋" w:cs="仿宋"/>
          <w:sz w:val="24"/>
        </w:rPr>
      </w:pPr>
    </w:p>
    <w:p w14:paraId="534012C6">
      <w:pPr>
        <w:snapToGrid w:val="0"/>
        <w:spacing w:line="360" w:lineRule="auto"/>
        <w:jc w:val="center"/>
        <w:rPr>
          <w:rFonts w:ascii="仿宋" w:hAnsi="仿宋" w:eastAsia="仿宋" w:cs="仿宋"/>
        </w:rPr>
      </w:pPr>
      <w:r>
        <w:rPr>
          <w:rFonts w:hint="eastAsia" w:ascii="仿宋" w:hAnsi="仿宋" w:eastAsia="仿宋" w:cs="仿宋"/>
          <w:b/>
          <w:kern w:val="0"/>
          <w:sz w:val="32"/>
          <w:szCs w:val="32"/>
          <w:lang w:val="zh-CN"/>
        </w:rPr>
        <w:t>授权委托书（适用于非联合体投标）</w:t>
      </w:r>
    </w:p>
    <w:p w14:paraId="787AA52D">
      <w:pPr>
        <w:snapToGrid w:val="0"/>
        <w:spacing w:line="360" w:lineRule="auto"/>
        <w:rPr>
          <w:rFonts w:ascii="仿宋" w:hAnsi="仿宋" w:eastAsia="仿宋" w:cs="仿宋"/>
          <w:kern w:val="0"/>
          <w:sz w:val="24"/>
          <w:u w:val="single"/>
        </w:rPr>
      </w:pPr>
      <w:r>
        <w:rPr>
          <w:rFonts w:hint="eastAsia" w:ascii="仿宋" w:hAnsi="仿宋" w:eastAsia="仿宋" w:cs="仿宋"/>
          <w:sz w:val="24"/>
          <w:u w:val="single"/>
        </w:rPr>
        <w:t>（采购人）、（采购代理机构）</w:t>
      </w:r>
      <w:r>
        <w:rPr>
          <w:rFonts w:hint="eastAsia" w:ascii="仿宋" w:hAnsi="仿宋" w:eastAsia="仿宋" w:cs="仿宋"/>
          <w:kern w:val="0"/>
          <w:sz w:val="24"/>
          <w:u w:val="single"/>
          <w:lang w:val="zh-CN"/>
        </w:rPr>
        <w:t>：</w:t>
      </w:r>
    </w:p>
    <w:p w14:paraId="4008CF8A">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（项目名称）【招标编号：（采购编号）】</w:t>
      </w:r>
      <w:r>
        <w:rPr>
          <w:rFonts w:hint="eastAsia" w:ascii="仿宋" w:hAnsi="仿宋" w:eastAsia="仿宋" w:cs="仿宋"/>
          <w:kern w:val="0"/>
          <w:sz w:val="24"/>
          <w:lang w:val="zh-CN"/>
        </w:rPr>
        <w:t>政府采购投标的一切事项，其法律后果由我方承担。</w:t>
      </w:r>
    </w:p>
    <w:p w14:paraId="24F315B8">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F3DABD9">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58E35A6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14:paraId="5BFFE4C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00C77AA">
      <w:pPr>
        <w:snapToGrid w:val="0"/>
        <w:spacing w:line="360" w:lineRule="auto"/>
        <w:rPr>
          <w:rFonts w:ascii="仿宋" w:hAnsi="仿宋" w:eastAsia="仿宋" w:cs="仿宋"/>
          <w:sz w:val="24"/>
        </w:rPr>
      </w:pPr>
    </w:p>
    <w:p w14:paraId="612ECC19">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5F6D2CB6">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314484F">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u w:val="single"/>
        </w:rPr>
        <w:t>（项目名称）【招标编号：（采购编号）】</w:t>
      </w:r>
      <w:r>
        <w:rPr>
          <w:rFonts w:hint="eastAsia" w:ascii="仿宋" w:hAnsi="仿宋" w:eastAsia="仿宋" w:cs="仿宋"/>
          <w:kern w:val="0"/>
          <w:sz w:val="24"/>
          <w:lang w:val="zh-CN"/>
        </w:rPr>
        <w:t>政府采购投标的一切事项，其法律后果由我方承担。</w:t>
      </w:r>
    </w:p>
    <w:p w14:paraId="04AB2F32">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D2992FD">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14:paraId="14A96AFD">
      <w:pPr>
        <w:rPr>
          <w:rFonts w:ascii="仿宋" w:hAnsi="仿宋" w:eastAsia="仿宋" w:cs="仿宋"/>
        </w:rPr>
      </w:pPr>
    </w:p>
    <w:p w14:paraId="4EA71A37">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0BCFB88">
      <w:pPr>
        <w:snapToGrid w:val="0"/>
        <w:spacing w:line="360" w:lineRule="auto"/>
        <w:ind w:firstLine="4394" w:firstLineChars="1831"/>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30D7F54">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14:paraId="6E9D73F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173B9C1">
      <w:pPr>
        <w:autoSpaceDE w:val="0"/>
        <w:autoSpaceDN w:val="0"/>
        <w:spacing w:line="360" w:lineRule="auto"/>
        <w:jc w:val="center"/>
        <w:rPr>
          <w:rFonts w:ascii="仿宋" w:hAnsi="仿宋" w:eastAsia="仿宋" w:cs="仿宋"/>
          <w:b/>
          <w:kern w:val="0"/>
          <w:sz w:val="32"/>
          <w:szCs w:val="32"/>
          <w:lang w:val="zh-CN"/>
        </w:rPr>
      </w:pPr>
    </w:p>
    <w:p w14:paraId="1EEB254B">
      <w:pPr>
        <w:autoSpaceDE w:val="0"/>
        <w:autoSpaceDN w:val="0"/>
        <w:spacing w:line="360" w:lineRule="auto"/>
        <w:jc w:val="center"/>
        <w:rPr>
          <w:rFonts w:ascii="仿宋" w:hAnsi="仿宋" w:eastAsia="仿宋" w:cs="仿宋"/>
          <w:b/>
          <w:kern w:val="0"/>
          <w:sz w:val="32"/>
          <w:szCs w:val="32"/>
          <w:lang w:val="zh-CN"/>
        </w:rPr>
      </w:pPr>
    </w:p>
    <w:p w14:paraId="510EAC3C">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407E17C9">
      <w:pPr>
        <w:pStyle w:val="26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A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9FB2EE">
            <w:pPr>
              <w:pStyle w:val="264"/>
              <w:adjustRightInd w:val="0"/>
              <w:spacing w:line="360" w:lineRule="auto"/>
              <w:rPr>
                <w:rFonts w:ascii="仿宋" w:hAnsi="仿宋" w:eastAsia="仿宋" w:cs="仿宋"/>
                <w:bCs/>
                <w:sz w:val="24"/>
              </w:rPr>
            </w:pPr>
            <w:r>
              <w:rPr>
                <w:rFonts w:hint="eastAsia" w:ascii="仿宋" w:hAnsi="仿宋" w:eastAsia="仿宋" w:cs="仿宋"/>
                <w:bCs/>
                <w:sz w:val="24"/>
              </w:rPr>
              <w:t>正面：反面：</w:t>
            </w:r>
          </w:p>
          <w:p w14:paraId="50E62D50">
            <w:pPr>
              <w:pStyle w:val="264"/>
              <w:adjustRightInd w:val="0"/>
              <w:spacing w:line="360" w:lineRule="auto"/>
              <w:rPr>
                <w:rFonts w:ascii="仿宋" w:hAnsi="仿宋" w:eastAsia="仿宋" w:cs="仿宋"/>
                <w:bCs/>
                <w:sz w:val="24"/>
              </w:rPr>
            </w:pPr>
          </w:p>
        </w:tc>
      </w:tr>
    </w:tbl>
    <w:p w14:paraId="29F6D01F">
      <w:pPr>
        <w:snapToGrid w:val="0"/>
        <w:spacing w:line="360" w:lineRule="auto"/>
        <w:ind w:firstLine="576"/>
        <w:jc w:val="center"/>
        <w:rPr>
          <w:rFonts w:ascii="仿宋" w:hAnsi="仿宋" w:eastAsia="仿宋" w:cs="仿宋"/>
          <w:kern w:val="0"/>
          <w:sz w:val="24"/>
          <w:lang w:val="zh-CN"/>
        </w:rPr>
      </w:pPr>
    </w:p>
    <w:p w14:paraId="45CE2593">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0FEC8E9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ACB110B">
      <w:pPr>
        <w:jc w:val="center"/>
        <w:rPr>
          <w:rFonts w:ascii="仿宋" w:hAnsi="仿宋" w:eastAsia="仿宋" w:cs="仿宋"/>
          <w:b/>
          <w:kern w:val="0"/>
          <w:sz w:val="32"/>
          <w:szCs w:val="32"/>
        </w:rPr>
      </w:pPr>
    </w:p>
    <w:p w14:paraId="7BC7AFE8">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8ACACBF">
      <w:pPr>
        <w:jc w:val="left"/>
        <w:rPr>
          <w:rFonts w:ascii="仿宋" w:hAnsi="仿宋" w:eastAsia="仿宋" w:cs="仿宋"/>
          <w:b/>
          <w:kern w:val="0"/>
          <w:sz w:val="28"/>
          <w:szCs w:val="28"/>
        </w:rPr>
      </w:pPr>
      <w:r>
        <w:rPr>
          <w:rFonts w:hint="eastAsia" w:ascii="仿宋" w:hAnsi="仿宋" w:eastAsia="仿宋" w:cs="仿宋"/>
          <w:b/>
          <w:kern w:val="0"/>
          <w:sz w:val="28"/>
          <w:szCs w:val="28"/>
        </w:rPr>
        <w:t>附件4</w:t>
      </w:r>
    </w:p>
    <w:p w14:paraId="7075DA5F">
      <w:pPr>
        <w:jc w:val="center"/>
        <w:rPr>
          <w:rFonts w:ascii="仿宋" w:hAnsi="仿宋" w:eastAsia="仿宋" w:cs="仿宋"/>
          <w:b/>
          <w:kern w:val="0"/>
          <w:sz w:val="32"/>
          <w:szCs w:val="32"/>
        </w:rPr>
      </w:pPr>
      <w:r>
        <w:rPr>
          <w:rFonts w:hint="eastAsia" w:ascii="仿宋" w:hAnsi="仿宋" w:eastAsia="仿宋" w:cs="仿宋"/>
          <w:b/>
          <w:kern w:val="0"/>
          <w:sz w:val="32"/>
          <w:szCs w:val="32"/>
        </w:rPr>
        <w:t>三、符合性审查资料</w:t>
      </w:r>
    </w:p>
    <w:p w14:paraId="4A6A9D39">
      <w:pPr>
        <w:jc w:val="center"/>
        <w:rPr>
          <w:rFonts w:ascii="仿宋" w:hAnsi="仿宋" w:eastAsia="仿宋" w:cs="仿宋"/>
          <w:b/>
          <w:kern w:val="0"/>
          <w:sz w:val="32"/>
          <w:szCs w:val="32"/>
        </w:rPr>
      </w:pPr>
    </w:p>
    <w:tbl>
      <w:tblPr>
        <w:tblStyle w:val="5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1C46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483AC9F">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3987" w:type="dxa"/>
            <w:vAlign w:val="center"/>
          </w:tcPr>
          <w:p w14:paraId="013F6B46">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14:paraId="0BB79110">
            <w:pPr>
              <w:snapToGrid w:val="0"/>
              <w:spacing w:line="240" w:lineRule="atLeast"/>
              <w:jc w:val="center"/>
              <w:rPr>
                <w:rFonts w:ascii="仿宋" w:hAnsi="仿宋" w:eastAsia="仿宋" w:cs="仿宋"/>
                <w:b/>
                <w:sz w:val="24"/>
              </w:rPr>
            </w:pPr>
            <w:r>
              <w:rPr>
                <w:rFonts w:hint="eastAsia" w:ascii="仿宋" w:hAnsi="仿宋" w:eastAsia="仿宋" w:cs="仿宋"/>
                <w:b/>
                <w:sz w:val="24"/>
              </w:rPr>
              <w:t>响应情况</w:t>
            </w:r>
          </w:p>
        </w:tc>
        <w:tc>
          <w:tcPr>
            <w:tcW w:w="1418" w:type="dxa"/>
            <w:vAlign w:val="center"/>
          </w:tcPr>
          <w:p w14:paraId="4138800D">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14:paraId="362E91A6">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14:paraId="3A93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48083AE4">
            <w:pPr>
              <w:jc w:val="center"/>
              <w:rPr>
                <w:rFonts w:ascii="仿宋" w:hAnsi="仿宋" w:eastAsia="仿宋" w:cs="仿宋"/>
                <w:sz w:val="24"/>
              </w:rPr>
            </w:pPr>
            <w:r>
              <w:rPr>
                <w:rFonts w:hint="eastAsia" w:ascii="仿宋" w:hAnsi="仿宋" w:eastAsia="仿宋" w:cs="仿宋"/>
                <w:sz w:val="24"/>
              </w:rPr>
              <w:t>1</w:t>
            </w:r>
          </w:p>
        </w:tc>
        <w:tc>
          <w:tcPr>
            <w:tcW w:w="3987" w:type="dxa"/>
            <w:vAlign w:val="center"/>
          </w:tcPr>
          <w:p w14:paraId="00047877">
            <w:pPr>
              <w:spacing w:line="360" w:lineRule="auto"/>
              <w:jc w:val="center"/>
              <w:rPr>
                <w:rFonts w:ascii="仿宋" w:hAnsi="仿宋" w:eastAsia="仿宋" w:cs="仿宋"/>
                <w:sz w:val="24"/>
              </w:rPr>
            </w:pPr>
          </w:p>
        </w:tc>
        <w:tc>
          <w:tcPr>
            <w:tcW w:w="2551" w:type="dxa"/>
            <w:vAlign w:val="center"/>
          </w:tcPr>
          <w:p w14:paraId="44BEC788">
            <w:pPr>
              <w:jc w:val="center"/>
              <w:rPr>
                <w:rFonts w:ascii="仿宋" w:hAnsi="仿宋" w:eastAsia="仿宋" w:cs="仿宋"/>
                <w:sz w:val="24"/>
              </w:rPr>
            </w:pPr>
          </w:p>
        </w:tc>
        <w:tc>
          <w:tcPr>
            <w:tcW w:w="1418" w:type="dxa"/>
            <w:vAlign w:val="center"/>
          </w:tcPr>
          <w:p w14:paraId="0A178708">
            <w:pPr>
              <w:jc w:val="center"/>
              <w:rPr>
                <w:rFonts w:ascii="仿宋" w:hAnsi="仿宋" w:eastAsia="仿宋" w:cs="仿宋"/>
                <w:sz w:val="24"/>
              </w:rPr>
            </w:pPr>
          </w:p>
        </w:tc>
      </w:tr>
      <w:tr w14:paraId="4E69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01709E4">
            <w:pPr>
              <w:spacing w:line="360" w:lineRule="auto"/>
              <w:jc w:val="center"/>
              <w:rPr>
                <w:rFonts w:ascii="仿宋" w:hAnsi="仿宋" w:eastAsia="仿宋" w:cs="仿宋"/>
                <w:sz w:val="24"/>
              </w:rPr>
            </w:pPr>
            <w:r>
              <w:rPr>
                <w:rFonts w:hint="eastAsia" w:ascii="仿宋" w:hAnsi="仿宋" w:eastAsia="仿宋" w:cs="仿宋"/>
                <w:sz w:val="24"/>
              </w:rPr>
              <w:t>2</w:t>
            </w:r>
          </w:p>
        </w:tc>
        <w:tc>
          <w:tcPr>
            <w:tcW w:w="3987" w:type="dxa"/>
            <w:vAlign w:val="center"/>
          </w:tcPr>
          <w:p w14:paraId="7C1015CE">
            <w:pPr>
              <w:spacing w:line="360" w:lineRule="auto"/>
              <w:jc w:val="center"/>
              <w:rPr>
                <w:rFonts w:ascii="仿宋" w:hAnsi="仿宋" w:eastAsia="仿宋" w:cs="仿宋"/>
                <w:sz w:val="24"/>
              </w:rPr>
            </w:pPr>
          </w:p>
        </w:tc>
        <w:tc>
          <w:tcPr>
            <w:tcW w:w="2551" w:type="dxa"/>
            <w:vAlign w:val="center"/>
          </w:tcPr>
          <w:p w14:paraId="5561C39E">
            <w:pPr>
              <w:jc w:val="center"/>
              <w:rPr>
                <w:rFonts w:ascii="仿宋" w:hAnsi="仿宋" w:eastAsia="仿宋" w:cs="仿宋"/>
                <w:sz w:val="24"/>
              </w:rPr>
            </w:pPr>
          </w:p>
        </w:tc>
        <w:tc>
          <w:tcPr>
            <w:tcW w:w="1418" w:type="dxa"/>
            <w:vAlign w:val="center"/>
          </w:tcPr>
          <w:p w14:paraId="5ED24775">
            <w:pPr>
              <w:pStyle w:val="3"/>
              <w:jc w:val="center"/>
              <w:rPr>
                <w:rFonts w:ascii="仿宋" w:hAnsi="仿宋" w:eastAsia="仿宋" w:cs="仿宋"/>
                <w:sz w:val="24"/>
                <w:szCs w:val="24"/>
              </w:rPr>
            </w:pPr>
          </w:p>
        </w:tc>
      </w:tr>
      <w:tr w14:paraId="4272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11605CD">
            <w:pPr>
              <w:jc w:val="center"/>
              <w:rPr>
                <w:rFonts w:ascii="仿宋" w:hAnsi="仿宋" w:eastAsia="仿宋" w:cs="仿宋"/>
                <w:sz w:val="24"/>
              </w:rPr>
            </w:pPr>
            <w:r>
              <w:rPr>
                <w:rFonts w:hint="eastAsia" w:ascii="仿宋" w:hAnsi="仿宋" w:eastAsia="仿宋" w:cs="仿宋"/>
                <w:sz w:val="24"/>
              </w:rPr>
              <w:t>3</w:t>
            </w:r>
          </w:p>
        </w:tc>
        <w:tc>
          <w:tcPr>
            <w:tcW w:w="3987" w:type="dxa"/>
            <w:vAlign w:val="center"/>
          </w:tcPr>
          <w:p w14:paraId="2D8CFD65">
            <w:pPr>
              <w:spacing w:line="360" w:lineRule="auto"/>
              <w:jc w:val="center"/>
              <w:rPr>
                <w:rFonts w:ascii="仿宋" w:hAnsi="仿宋" w:eastAsia="仿宋" w:cs="仿宋"/>
                <w:sz w:val="24"/>
              </w:rPr>
            </w:pPr>
          </w:p>
        </w:tc>
        <w:tc>
          <w:tcPr>
            <w:tcW w:w="2551" w:type="dxa"/>
            <w:vAlign w:val="center"/>
          </w:tcPr>
          <w:p w14:paraId="26B29E70">
            <w:pPr>
              <w:jc w:val="center"/>
              <w:rPr>
                <w:rFonts w:ascii="仿宋" w:hAnsi="仿宋" w:eastAsia="仿宋" w:cs="仿宋"/>
                <w:sz w:val="24"/>
              </w:rPr>
            </w:pPr>
          </w:p>
        </w:tc>
        <w:tc>
          <w:tcPr>
            <w:tcW w:w="1418" w:type="dxa"/>
            <w:vAlign w:val="center"/>
          </w:tcPr>
          <w:p w14:paraId="12A140DB">
            <w:pPr>
              <w:jc w:val="center"/>
              <w:rPr>
                <w:rFonts w:ascii="仿宋" w:hAnsi="仿宋" w:eastAsia="仿宋" w:cs="仿宋"/>
                <w:sz w:val="24"/>
              </w:rPr>
            </w:pPr>
          </w:p>
        </w:tc>
      </w:tr>
      <w:tr w14:paraId="2AB7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767554B4">
            <w:pPr>
              <w:jc w:val="center"/>
              <w:rPr>
                <w:rFonts w:ascii="仿宋" w:hAnsi="仿宋" w:eastAsia="仿宋" w:cs="仿宋"/>
                <w:sz w:val="24"/>
              </w:rPr>
            </w:pPr>
            <w:r>
              <w:rPr>
                <w:rFonts w:hint="eastAsia" w:ascii="仿宋" w:hAnsi="仿宋" w:eastAsia="仿宋" w:cs="仿宋"/>
                <w:sz w:val="24"/>
              </w:rPr>
              <w:t>4</w:t>
            </w:r>
          </w:p>
        </w:tc>
        <w:tc>
          <w:tcPr>
            <w:tcW w:w="3987" w:type="dxa"/>
          </w:tcPr>
          <w:p w14:paraId="36DF0E9C">
            <w:pPr>
              <w:spacing w:line="360" w:lineRule="auto"/>
              <w:jc w:val="center"/>
              <w:rPr>
                <w:rFonts w:ascii="仿宋" w:hAnsi="仿宋" w:eastAsia="仿宋" w:cs="仿宋"/>
                <w:sz w:val="24"/>
              </w:rPr>
            </w:pPr>
          </w:p>
        </w:tc>
        <w:tc>
          <w:tcPr>
            <w:tcW w:w="2551" w:type="dxa"/>
            <w:vAlign w:val="center"/>
          </w:tcPr>
          <w:p w14:paraId="413F8025">
            <w:pPr>
              <w:jc w:val="center"/>
              <w:rPr>
                <w:rFonts w:ascii="仿宋" w:hAnsi="仿宋" w:eastAsia="仿宋" w:cs="仿宋"/>
                <w:sz w:val="24"/>
              </w:rPr>
            </w:pPr>
          </w:p>
        </w:tc>
        <w:tc>
          <w:tcPr>
            <w:tcW w:w="1418" w:type="dxa"/>
          </w:tcPr>
          <w:p w14:paraId="0DCA0531">
            <w:pPr>
              <w:jc w:val="center"/>
              <w:rPr>
                <w:rFonts w:ascii="仿宋" w:hAnsi="仿宋" w:eastAsia="仿宋" w:cs="仿宋"/>
                <w:sz w:val="24"/>
              </w:rPr>
            </w:pPr>
          </w:p>
        </w:tc>
      </w:tr>
    </w:tbl>
    <w:p w14:paraId="22374016">
      <w:pPr>
        <w:rPr>
          <w:rFonts w:ascii="仿宋" w:hAnsi="仿宋" w:eastAsia="仿宋" w:cs="仿宋"/>
          <w:kern w:val="0"/>
          <w:szCs w:val="21"/>
        </w:rPr>
      </w:pPr>
    </w:p>
    <w:p w14:paraId="592E222A">
      <w:pPr>
        <w:rPr>
          <w:rFonts w:ascii="仿宋" w:hAnsi="仿宋" w:eastAsia="仿宋" w:cs="仿宋"/>
          <w:kern w:val="0"/>
          <w:szCs w:val="21"/>
        </w:rPr>
      </w:pPr>
      <w:r>
        <w:rPr>
          <w:rFonts w:hint="eastAsia" w:ascii="仿宋" w:hAnsi="仿宋" w:eastAsia="仿宋" w:cs="仿宋"/>
          <w:kern w:val="0"/>
          <w:szCs w:val="21"/>
        </w:rPr>
        <w:t>注：根据招标文件第六部分“评标办法”第2.2款“符合性审查”的要求，逐条作出实质性响应。</w:t>
      </w:r>
    </w:p>
    <w:p w14:paraId="4F355898">
      <w:pPr>
        <w:jc w:val="center"/>
        <w:rPr>
          <w:rFonts w:ascii="仿宋" w:hAnsi="仿宋" w:eastAsia="仿宋" w:cs="仿宋"/>
          <w:b/>
          <w:kern w:val="0"/>
          <w:sz w:val="32"/>
          <w:szCs w:val="32"/>
        </w:rPr>
      </w:pPr>
    </w:p>
    <w:p w14:paraId="61203BEF">
      <w:pPr>
        <w:jc w:val="center"/>
        <w:rPr>
          <w:rFonts w:ascii="仿宋" w:hAnsi="仿宋" w:eastAsia="仿宋" w:cs="仿宋"/>
          <w:b/>
          <w:kern w:val="0"/>
          <w:sz w:val="32"/>
          <w:szCs w:val="32"/>
        </w:rPr>
      </w:pPr>
    </w:p>
    <w:p w14:paraId="04E6D7C9">
      <w:pPr>
        <w:jc w:val="center"/>
        <w:rPr>
          <w:rFonts w:ascii="仿宋" w:hAnsi="仿宋" w:eastAsia="仿宋" w:cs="仿宋"/>
          <w:b/>
          <w:kern w:val="0"/>
          <w:sz w:val="32"/>
          <w:szCs w:val="32"/>
        </w:rPr>
      </w:pPr>
    </w:p>
    <w:p w14:paraId="291706A7">
      <w:pPr>
        <w:jc w:val="center"/>
        <w:rPr>
          <w:rFonts w:ascii="仿宋" w:hAnsi="仿宋" w:eastAsia="仿宋" w:cs="仿宋"/>
          <w:b/>
          <w:kern w:val="0"/>
          <w:sz w:val="32"/>
          <w:szCs w:val="32"/>
        </w:rPr>
      </w:pPr>
    </w:p>
    <w:p w14:paraId="0484EE23">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4669198">
      <w:pPr>
        <w:jc w:val="left"/>
        <w:rPr>
          <w:rFonts w:ascii="仿宋" w:hAnsi="仿宋" w:eastAsia="仿宋" w:cs="仿宋"/>
          <w:b/>
          <w:kern w:val="0"/>
          <w:sz w:val="28"/>
          <w:szCs w:val="28"/>
        </w:rPr>
      </w:pPr>
      <w:r>
        <w:rPr>
          <w:rFonts w:hint="eastAsia" w:ascii="仿宋" w:hAnsi="仿宋" w:eastAsia="仿宋" w:cs="仿宋"/>
          <w:b/>
          <w:kern w:val="0"/>
          <w:sz w:val="28"/>
          <w:szCs w:val="28"/>
        </w:rPr>
        <w:t>附件5</w:t>
      </w:r>
    </w:p>
    <w:p w14:paraId="43FFB270">
      <w:pPr>
        <w:jc w:val="center"/>
        <w:rPr>
          <w:rFonts w:ascii="仿宋" w:hAnsi="仿宋" w:eastAsia="仿宋" w:cs="仿宋"/>
        </w:rPr>
      </w:pPr>
      <w:r>
        <w:rPr>
          <w:rFonts w:hint="eastAsia" w:ascii="仿宋" w:hAnsi="仿宋" w:eastAsia="仿宋" w:cs="仿宋"/>
          <w:b/>
          <w:kern w:val="0"/>
          <w:sz w:val="32"/>
          <w:szCs w:val="32"/>
        </w:rPr>
        <w:t>四、评标标准相应的商务技术资料</w:t>
      </w:r>
    </w:p>
    <w:p w14:paraId="7706437F">
      <w:pPr>
        <w:snapToGrid w:val="0"/>
        <w:spacing w:line="360" w:lineRule="auto"/>
        <w:jc w:val="left"/>
        <w:rPr>
          <w:rFonts w:ascii="仿宋" w:hAnsi="仿宋" w:eastAsia="仿宋" w:cs="仿宋"/>
          <w:b/>
          <w:sz w:val="24"/>
        </w:rPr>
      </w:pPr>
    </w:p>
    <w:p w14:paraId="5990B5F1">
      <w:pPr>
        <w:snapToGrid w:val="0"/>
        <w:spacing w:line="360" w:lineRule="auto"/>
        <w:jc w:val="center"/>
        <w:rPr>
          <w:rFonts w:ascii="仿宋" w:hAnsi="仿宋" w:eastAsia="仿宋" w:cs="仿宋"/>
          <w:sz w:val="24"/>
        </w:rPr>
      </w:pPr>
      <w:r>
        <w:rPr>
          <w:rFonts w:hint="eastAsia" w:ascii="仿宋" w:hAnsi="仿宋" w:eastAsia="仿宋" w:cs="仿宋"/>
          <w:sz w:val="24"/>
        </w:rPr>
        <w:t>（按招标文件第六部分评标办法前附表中相应的商务技术评审因素提供资料）</w:t>
      </w:r>
    </w:p>
    <w:p w14:paraId="05844F17">
      <w:pPr>
        <w:jc w:val="center"/>
        <w:rPr>
          <w:rFonts w:ascii="仿宋" w:hAnsi="仿宋" w:eastAsia="仿宋" w:cs="仿宋"/>
          <w:b/>
          <w:kern w:val="0"/>
          <w:sz w:val="32"/>
          <w:szCs w:val="32"/>
        </w:rPr>
      </w:pPr>
    </w:p>
    <w:p w14:paraId="7016CA17">
      <w:pPr>
        <w:jc w:val="center"/>
        <w:rPr>
          <w:rFonts w:ascii="仿宋" w:hAnsi="仿宋" w:eastAsia="仿宋" w:cs="仿宋"/>
          <w:b/>
          <w:kern w:val="0"/>
          <w:sz w:val="32"/>
          <w:szCs w:val="32"/>
        </w:rPr>
      </w:pPr>
    </w:p>
    <w:p w14:paraId="696C24A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40B4554">
      <w:pPr>
        <w:jc w:val="left"/>
        <w:rPr>
          <w:rFonts w:ascii="仿宋" w:hAnsi="仿宋" w:eastAsia="仿宋" w:cs="仿宋"/>
          <w:b/>
          <w:kern w:val="0"/>
          <w:sz w:val="28"/>
          <w:szCs w:val="28"/>
        </w:rPr>
      </w:pPr>
      <w:r>
        <w:rPr>
          <w:rFonts w:hint="eastAsia" w:ascii="仿宋" w:hAnsi="仿宋" w:eastAsia="仿宋" w:cs="仿宋"/>
          <w:b/>
          <w:kern w:val="0"/>
          <w:sz w:val="28"/>
          <w:szCs w:val="28"/>
        </w:rPr>
        <w:t>附件6</w:t>
      </w:r>
    </w:p>
    <w:p w14:paraId="2780112A">
      <w:pPr>
        <w:jc w:val="center"/>
        <w:rPr>
          <w:rFonts w:ascii="仿宋" w:hAnsi="仿宋" w:eastAsia="仿宋" w:cs="仿宋"/>
          <w:b/>
          <w:kern w:val="0"/>
          <w:sz w:val="32"/>
          <w:szCs w:val="32"/>
        </w:rPr>
      </w:pPr>
      <w:r>
        <w:rPr>
          <w:rFonts w:hint="eastAsia" w:ascii="仿宋" w:hAnsi="仿宋" w:eastAsia="仿宋" w:cs="仿宋"/>
          <w:b/>
          <w:kern w:val="0"/>
          <w:sz w:val="32"/>
          <w:szCs w:val="32"/>
        </w:rPr>
        <w:t>五、商务技术偏离表</w:t>
      </w: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03A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8CEB04E">
            <w:pPr>
              <w:jc w:val="center"/>
              <w:rPr>
                <w:rFonts w:ascii="仿宋" w:hAnsi="仿宋" w:eastAsia="仿宋" w:cs="仿宋"/>
                <w:b/>
                <w:bCs/>
                <w:sz w:val="24"/>
              </w:rPr>
            </w:pPr>
            <w:r>
              <w:rPr>
                <w:rFonts w:hint="eastAsia" w:ascii="仿宋" w:hAnsi="仿宋" w:eastAsia="仿宋" w:cs="仿宋"/>
                <w:b/>
                <w:bCs/>
                <w:sz w:val="24"/>
              </w:rPr>
              <w:t>序号</w:t>
            </w:r>
          </w:p>
        </w:tc>
        <w:tc>
          <w:tcPr>
            <w:tcW w:w="3402" w:type="dxa"/>
            <w:shd w:val="clear" w:color="auto" w:fill="auto"/>
          </w:tcPr>
          <w:p w14:paraId="5C22371C">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60" w:type="dxa"/>
            <w:shd w:val="clear" w:color="auto" w:fill="auto"/>
          </w:tcPr>
          <w:p w14:paraId="1DE4DBCB">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shd w:val="clear" w:color="auto" w:fill="auto"/>
          </w:tcPr>
          <w:p w14:paraId="200039F3">
            <w:pPr>
              <w:jc w:val="center"/>
              <w:rPr>
                <w:rFonts w:ascii="仿宋" w:hAnsi="仿宋" w:eastAsia="仿宋" w:cs="仿宋"/>
                <w:b/>
                <w:bCs/>
                <w:sz w:val="24"/>
              </w:rPr>
            </w:pPr>
            <w:r>
              <w:rPr>
                <w:rFonts w:hint="eastAsia" w:ascii="仿宋" w:hAnsi="仿宋" w:eastAsia="仿宋" w:cs="仿宋"/>
                <w:b/>
                <w:bCs/>
                <w:sz w:val="24"/>
              </w:rPr>
              <w:t>偏离说明</w:t>
            </w:r>
          </w:p>
        </w:tc>
      </w:tr>
      <w:tr w14:paraId="16CC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FD52854">
            <w:pPr>
              <w:jc w:val="center"/>
              <w:rPr>
                <w:rFonts w:ascii="仿宋" w:hAnsi="仿宋" w:eastAsia="仿宋" w:cs="仿宋"/>
                <w:kern w:val="0"/>
                <w:sz w:val="24"/>
              </w:rPr>
            </w:pPr>
            <w:r>
              <w:rPr>
                <w:rFonts w:hint="eastAsia" w:ascii="仿宋" w:hAnsi="仿宋" w:eastAsia="仿宋" w:cs="仿宋"/>
                <w:kern w:val="0"/>
                <w:sz w:val="24"/>
              </w:rPr>
              <w:t>1</w:t>
            </w:r>
          </w:p>
        </w:tc>
        <w:tc>
          <w:tcPr>
            <w:tcW w:w="3402" w:type="dxa"/>
            <w:shd w:val="clear" w:color="auto" w:fill="auto"/>
          </w:tcPr>
          <w:p w14:paraId="62F52BCD">
            <w:pPr>
              <w:jc w:val="center"/>
              <w:rPr>
                <w:rFonts w:ascii="仿宋" w:hAnsi="仿宋" w:eastAsia="仿宋" w:cs="仿宋"/>
                <w:b/>
                <w:kern w:val="0"/>
                <w:sz w:val="32"/>
                <w:szCs w:val="32"/>
              </w:rPr>
            </w:pPr>
          </w:p>
        </w:tc>
        <w:tc>
          <w:tcPr>
            <w:tcW w:w="3260" w:type="dxa"/>
            <w:shd w:val="clear" w:color="auto" w:fill="auto"/>
          </w:tcPr>
          <w:p w14:paraId="02071AFB">
            <w:pPr>
              <w:jc w:val="center"/>
              <w:rPr>
                <w:rFonts w:ascii="仿宋" w:hAnsi="仿宋" w:eastAsia="仿宋" w:cs="仿宋"/>
                <w:b/>
                <w:kern w:val="0"/>
                <w:sz w:val="32"/>
                <w:szCs w:val="32"/>
              </w:rPr>
            </w:pPr>
          </w:p>
        </w:tc>
        <w:tc>
          <w:tcPr>
            <w:tcW w:w="1276" w:type="dxa"/>
            <w:shd w:val="clear" w:color="auto" w:fill="auto"/>
          </w:tcPr>
          <w:p w14:paraId="73533B10">
            <w:pPr>
              <w:jc w:val="center"/>
              <w:rPr>
                <w:rFonts w:ascii="仿宋" w:hAnsi="仿宋" w:eastAsia="仿宋" w:cs="仿宋"/>
                <w:b/>
                <w:kern w:val="0"/>
                <w:sz w:val="32"/>
                <w:szCs w:val="32"/>
              </w:rPr>
            </w:pPr>
          </w:p>
        </w:tc>
      </w:tr>
      <w:tr w14:paraId="30AA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2BE278D">
            <w:pPr>
              <w:jc w:val="center"/>
              <w:rPr>
                <w:rFonts w:ascii="仿宋" w:hAnsi="仿宋" w:eastAsia="仿宋" w:cs="仿宋"/>
                <w:kern w:val="0"/>
                <w:sz w:val="24"/>
              </w:rPr>
            </w:pPr>
            <w:r>
              <w:rPr>
                <w:rFonts w:hint="eastAsia" w:ascii="仿宋" w:hAnsi="仿宋" w:eastAsia="仿宋" w:cs="仿宋"/>
                <w:kern w:val="0"/>
                <w:sz w:val="24"/>
              </w:rPr>
              <w:t>2</w:t>
            </w:r>
          </w:p>
        </w:tc>
        <w:tc>
          <w:tcPr>
            <w:tcW w:w="3402" w:type="dxa"/>
            <w:shd w:val="clear" w:color="auto" w:fill="auto"/>
          </w:tcPr>
          <w:p w14:paraId="2CAD3BE6">
            <w:pPr>
              <w:jc w:val="center"/>
              <w:rPr>
                <w:rFonts w:ascii="仿宋" w:hAnsi="仿宋" w:eastAsia="仿宋" w:cs="仿宋"/>
                <w:b/>
                <w:kern w:val="0"/>
                <w:sz w:val="32"/>
                <w:szCs w:val="32"/>
              </w:rPr>
            </w:pPr>
          </w:p>
        </w:tc>
        <w:tc>
          <w:tcPr>
            <w:tcW w:w="3260" w:type="dxa"/>
            <w:shd w:val="clear" w:color="auto" w:fill="auto"/>
          </w:tcPr>
          <w:p w14:paraId="3EFF44EA">
            <w:pPr>
              <w:jc w:val="center"/>
              <w:rPr>
                <w:rFonts w:ascii="仿宋" w:hAnsi="仿宋" w:eastAsia="仿宋" w:cs="仿宋"/>
                <w:b/>
                <w:kern w:val="0"/>
                <w:sz w:val="32"/>
                <w:szCs w:val="32"/>
              </w:rPr>
            </w:pPr>
          </w:p>
        </w:tc>
        <w:tc>
          <w:tcPr>
            <w:tcW w:w="1276" w:type="dxa"/>
            <w:shd w:val="clear" w:color="auto" w:fill="auto"/>
          </w:tcPr>
          <w:p w14:paraId="2D413F14">
            <w:pPr>
              <w:jc w:val="center"/>
              <w:rPr>
                <w:rFonts w:ascii="仿宋" w:hAnsi="仿宋" w:eastAsia="仿宋" w:cs="仿宋"/>
                <w:b/>
                <w:kern w:val="0"/>
                <w:sz w:val="32"/>
                <w:szCs w:val="32"/>
              </w:rPr>
            </w:pPr>
          </w:p>
        </w:tc>
      </w:tr>
      <w:tr w14:paraId="0F5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D7E5950">
            <w:pPr>
              <w:jc w:val="center"/>
              <w:rPr>
                <w:rFonts w:ascii="仿宋" w:hAnsi="仿宋" w:eastAsia="仿宋" w:cs="仿宋"/>
                <w:kern w:val="0"/>
                <w:sz w:val="24"/>
              </w:rPr>
            </w:pPr>
            <w:r>
              <w:rPr>
                <w:rFonts w:hint="eastAsia" w:ascii="仿宋" w:hAnsi="仿宋" w:eastAsia="仿宋" w:cs="仿宋"/>
                <w:kern w:val="0"/>
                <w:sz w:val="24"/>
              </w:rPr>
              <w:t>……</w:t>
            </w:r>
          </w:p>
        </w:tc>
        <w:tc>
          <w:tcPr>
            <w:tcW w:w="3402" w:type="dxa"/>
            <w:shd w:val="clear" w:color="auto" w:fill="auto"/>
          </w:tcPr>
          <w:p w14:paraId="7D1C71F4">
            <w:pPr>
              <w:jc w:val="center"/>
              <w:rPr>
                <w:rFonts w:ascii="仿宋" w:hAnsi="仿宋" w:eastAsia="仿宋" w:cs="仿宋"/>
                <w:b/>
                <w:kern w:val="0"/>
                <w:sz w:val="32"/>
                <w:szCs w:val="32"/>
              </w:rPr>
            </w:pPr>
          </w:p>
        </w:tc>
        <w:tc>
          <w:tcPr>
            <w:tcW w:w="3260" w:type="dxa"/>
            <w:shd w:val="clear" w:color="auto" w:fill="auto"/>
          </w:tcPr>
          <w:p w14:paraId="7C38F241">
            <w:pPr>
              <w:jc w:val="center"/>
              <w:rPr>
                <w:rFonts w:ascii="仿宋" w:hAnsi="仿宋" w:eastAsia="仿宋" w:cs="仿宋"/>
                <w:b/>
                <w:kern w:val="0"/>
                <w:sz w:val="32"/>
                <w:szCs w:val="32"/>
              </w:rPr>
            </w:pPr>
          </w:p>
        </w:tc>
        <w:tc>
          <w:tcPr>
            <w:tcW w:w="1276" w:type="dxa"/>
            <w:shd w:val="clear" w:color="auto" w:fill="auto"/>
          </w:tcPr>
          <w:p w14:paraId="23F5DAF7">
            <w:pPr>
              <w:jc w:val="center"/>
              <w:rPr>
                <w:rFonts w:ascii="仿宋" w:hAnsi="仿宋" w:eastAsia="仿宋" w:cs="仿宋"/>
                <w:b/>
                <w:kern w:val="0"/>
                <w:sz w:val="32"/>
                <w:szCs w:val="32"/>
              </w:rPr>
            </w:pPr>
          </w:p>
        </w:tc>
      </w:tr>
    </w:tbl>
    <w:p w14:paraId="2B1100F8">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投标人保证：除商务技术偏离表列出的偏离外，投标人响应招标响应文件的全部要求</w:t>
      </w:r>
    </w:p>
    <w:p w14:paraId="7793E7A2">
      <w:pPr>
        <w:widowControl/>
        <w:adjustRightInd/>
        <w:jc w:val="left"/>
        <w:rPr>
          <w:rFonts w:ascii="仿宋" w:hAnsi="仿宋" w:eastAsia="仿宋" w:cs="仿宋"/>
          <w:b/>
          <w:kern w:val="0"/>
          <w:sz w:val="36"/>
          <w:szCs w:val="36"/>
        </w:rPr>
      </w:pPr>
      <w:r>
        <w:rPr>
          <w:rFonts w:hint="eastAsia" w:ascii="仿宋" w:hAnsi="仿宋" w:eastAsia="仿宋" w:cs="仿宋"/>
          <w:b/>
          <w:kern w:val="0"/>
          <w:sz w:val="36"/>
          <w:szCs w:val="36"/>
        </w:rPr>
        <w:br w:type="page"/>
      </w:r>
    </w:p>
    <w:p w14:paraId="39501EC2">
      <w:pPr>
        <w:spacing w:line="360" w:lineRule="auto"/>
        <w:jc w:val="center"/>
        <w:outlineLvl w:val="0"/>
        <w:rPr>
          <w:rFonts w:ascii="仿宋" w:hAnsi="仿宋" w:eastAsia="仿宋" w:cs="仿宋"/>
          <w:b/>
          <w:kern w:val="0"/>
          <w:sz w:val="36"/>
          <w:szCs w:val="36"/>
        </w:rPr>
      </w:pPr>
    </w:p>
    <w:p w14:paraId="2B1F67DC">
      <w:pPr>
        <w:spacing w:line="360" w:lineRule="auto"/>
        <w:jc w:val="center"/>
        <w:outlineLvl w:val="0"/>
        <w:rPr>
          <w:rFonts w:ascii="仿宋" w:hAnsi="仿宋" w:eastAsia="仿宋" w:cs="仿宋"/>
          <w:b/>
          <w:kern w:val="0"/>
          <w:sz w:val="36"/>
          <w:szCs w:val="36"/>
        </w:rPr>
      </w:pPr>
    </w:p>
    <w:p w14:paraId="55C80138">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7ED6BC32">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EBE276C">
      <w:pPr>
        <w:spacing w:line="360" w:lineRule="auto"/>
        <w:jc w:val="center"/>
        <w:outlineLvl w:val="0"/>
        <w:rPr>
          <w:rFonts w:ascii="仿宋" w:hAnsi="仿宋" w:eastAsia="仿宋" w:cs="仿宋"/>
          <w:b/>
          <w:kern w:val="0"/>
          <w:sz w:val="36"/>
          <w:szCs w:val="36"/>
        </w:rPr>
      </w:pPr>
    </w:p>
    <w:p w14:paraId="6FA537D5">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14:paraId="7143B167">
      <w:pPr>
        <w:snapToGrid w:val="0"/>
        <w:spacing w:line="360" w:lineRule="auto"/>
        <w:rPr>
          <w:rFonts w:ascii="仿宋" w:hAnsi="仿宋" w:eastAsia="仿宋" w:cs="仿宋"/>
          <w:sz w:val="24"/>
        </w:rPr>
      </w:pPr>
      <w:r>
        <w:rPr>
          <w:rFonts w:hint="eastAsia" w:ascii="仿宋" w:hAnsi="仿宋" w:eastAsia="仿宋" w:cs="仿宋"/>
          <w:sz w:val="24"/>
        </w:rPr>
        <w:t>（2）价格组成表……………………………………………………………（页码）</w:t>
      </w:r>
    </w:p>
    <w:p w14:paraId="3DDB9F16">
      <w:pPr>
        <w:snapToGrid w:val="0"/>
        <w:spacing w:line="360" w:lineRule="auto"/>
        <w:ind w:right="480"/>
        <w:jc w:val="center"/>
        <w:rPr>
          <w:rFonts w:ascii="仿宋" w:hAnsi="仿宋" w:eastAsia="仿宋" w:cs="仿宋"/>
          <w:b/>
          <w:kern w:val="0"/>
          <w:sz w:val="32"/>
          <w:szCs w:val="32"/>
        </w:rPr>
      </w:pPr>
    </w:p>
    <w:p w14:paraId="4ED3A473">
      <w:pPr>
        <w:snapToGrid w:val="0"/>
        <w:spacing w:line="360" w:lineRule="auto"/>
        <w:ind w:right="480"/>
        <w:jc w:val="center"/>
        <w:rPr>
          <w:rFonts w:ascii="仿宋" w:hAnsi="仿宋" w:eastAsia="仿宋" w:cs="仿宋"/>
          <w:b/>
          <w:kern w:val="0"/>
          <w:sz w:val="32"/>
          <w:szCs w:val="32"/>
        </w:rPr>
      </w:pPr>
    </w:p>
    <w:p w14:paraId="02334064">
      <w:pPr>
        <w:snapToGrid w:val="0"/>
        <w:spacing w:line="360" w:lineRule="auto"/>
        <w:ind w:right="480"/>
        <w:jc w:val="center"/>
        <w:rPr>
          <w:rFonts w:ascii="仿宋" w:hAnsi="仿宋" w:eastAsia="仿宋" w:cs="仿宋"/>
          <w:b/>
          <w:kern w:val="0"/>
          <w:sz w:val="32"/>
          <w:szCs w:val="32"/>
        </w:rPr>
      </w:pPr>
    </w:p>
    <w:p w14:paraId="663404A4">
      <w:pPr>
        <w:snapToGrid w:val="0"/>
        <w:spacing w:line="360" w:lineRule="auto"/>
        <w:ind w:right="480"/>
        <w:jc w:val="center"/>
        <w:rPr>
          <w:rFonts w:ascii="仿宋" w:hAnsi="仿宋" w:eastAsia="仿宋" w:cs="仿宋"/>
          <w:b/>
          <w:kern w:val="0"/>
          <w:sz w:val="32"/>
          <w:szCs w:val="32"/>
        </w:rPr>
      </w:pPr>
    </w:p>
    <w:p w14:paraId="4207E481">
      <w:pPr>
        <w:snapToGrid w:val="0"/>
        <w:spacing w:line="360" w:lineRule="auto"/>
        <w:ind w:right="480"/>
        <w:jc w:val="center"/>
        <w:rPr>
          <w:rFonts w:ascii="仿宋" w:hAnsi="仿宋" w:eastAsia="仿宋" w:cs="仿宋"/>
          <w:b/>
          <w:kern w:val="0"/>
          <w:sz w:val="32"/>
          <w:szCs w:val="32"/>
        </w:rPr>
      </w:pPr>
    </w:p>
    <w:p w14:paraId="72831CED">
      <w:pPr>
        <w:snapToGrid w:val="0"/>
        <w:spacing w:line="360" w:lineRule="auto"/>
        <w:ind w:right="480"/>
        <w:jc w:val="center"/>
        <w:rPr>
          <w:rFonts w:ascii="仿宋" w:hAnsi="仿宋" w:eastAsia="仿宋" w:cs="仿宋"/>
          <w:b/>
          <w:kern w:val="0"/>
          <w:sz w:val="32"/>
          <w:szCs w:val="32"/>
        </w:rPr>
      </w:pPr>
    </w:p>
    <w:p w14:paraId="457398C6">
      <w:pPr>
        <w:snapToGrid w:val="0"/>
        <w:spacing w:line="360" w:lineRule="auto"/>
        <w:ind w:right="480"/>
        <w:jc w:val="center"/>
        <w:rPr>
          <w:rFonts w:ascii="仿宋" w:hAnsi="仿宋" w:eastAsia="仿宋" w:cs="仿宋"/>
          <w:b/>
          <w:kern w:val="0"/>
          <w:sz w:val="32"/>
          <w:szCs w:val="32"/>
        </w:rPr>
      </w:pPr>
    </w:p>
    <w:p w14:paraId="0153B809">
      <w:pPr>
        <w:snapToGrid w:val="0"/>
        <w:spacing w:line="360" w:lineRule="auto"/>
        <w:ind w:right="480"/>
        <w:jc w:val="center"/>
        <w:rPr>
          <w:rFonts w:ascii="仿宋" w:hAnsi="仿宋" w:eastAsia="仿宋" w:cs="仿宋"/>
          <w:b/>
          <w:kern w:val="0"/>
          <w:sz w:val="32"/>
          <w:szCs w:val="32"/>
        </w:rPr>
      </w:pPr>
    </w:p>
    <w:p w14:paraId="2EF0632E">
      <w:pPr>
        <w:widowControl/>
        <w:adjustRightInd/>
        <w:jc w:val="left"/>
        <w:rPr>
          <w:rFonts w:ascii="仿宋" w:hAnsi="仿宋" w:eastAsia="仿宋" w:cs="仿宋"/>
          <w:b/>
          <w:bCs/>
          <w:kern w:val="0"/>
          <w:sz w:val="22"/>
          <w:szCs w:val="22"/>
          <w:lang w:val="zh-CN"/>
        </w:rPr>
      </w:pPr>
      <w:bookmarkStart w:id="100" w:name="_Toc14812100"/>
      <w:bookmarkStart w:id="101" w:name="_Toc25942242"/>
      <w:r>
        <w:rPr>
          <w:rFonts w:hint="eastAsia" w:ascii="仿宋" w:hAnsi="仿宋" w:eastAsia="仿宋" w:cs="仿宋"/>
          <w:b/>
          <w:bCs/>
          <w:kern w:val="0"/>
          <w:sz w:val="22"/>
          <w:szCs w:val="22"/>
          <w:lang w:val="zh-CN"/>
        </w:rPr>
        <w:br w:type="page"/>
      </w:r>
    </w:p>
    <w:p w14:paraId="63125C4E">
      <w:pPr>
        <w:autoSpaceDE w:val="0"/>
        <w:autoSpaceDN w:val="0"/>
        <w:spacing w:line="460" w:lineRule="atLeast"/>
        <w:jc w:val="left"/>
        <w:rPr>
          <w:rFonts w:ascii="仿宋" w:hAnsi="仿宋" w:eastAsia="仿宋" w:cs="仿宋"/>
          <w:b/>
          <w:kern w:val="0"/>
          <w:sz w:val="28"/>
          <w:szCs w:val="28"/>
        </w:rPr>
      </w:pPr>
      <w:bookmarkStart w:id="102" w:name="_Hlk93170250"/>
      <w:r>
        <w:rPr>
          <w:rFonts w:hint="eastAsia" w:ascii="仿宋" w:hAnsi="仿宋" w:eastAsia="仿宋" w:cs="仿宋"/>
          <w:b/>
          <w:kern w:val="0"/>
          <w:sz w:val="28"/>
          <w:szCs w:val="28"/>
        </w:rPr>
        <w:t>附件7</w:t>
      </w:r>
    </w:p>
    <w:p w14:paraId="2F3B842C">
      <w:pPr>
        <w:autoSpaceDE w:val="0"/>
        <w:autoSpaceDN w:val="0"/>
        <w:spacing w:line="460" w:lineRule="atLeast"/>
        <w:jc w:val="center"/>
        <w:rPr>
          <w:rFonts w:ascii="仿宋" w:hAnsi="仿宋" w:eastAsia="仿宋" w:cs="仿宋"/>
          <w:b/>
          <w:kern w:val="0"/>
          <w:sz w:val="32"/>
          <w:szCs w:val="32"/>
        </w:rPr>
      </w:pPr>
      <w:r>
        <w:rPr>
          <w:rFonts w:hint="eastAsia" w:ascii="仿宋" w:hAnsi="仿宋" w:eastAsia="仿宋" w:cs="仿宋"/>
          <w:b/>
          <w:kern w:val="0"/>
          <w:sz w:val="32"/>
          <w:szCs w:val="32"/>
        </w:rPr>
        <w:t>一、开标一览表</w:t>
      </w:r>
    </w:p>
    <w:p w14:paraId="704021D4">
      <w:pPr>
        <w:pStyle w:val="23"/>
        <w:ind w:left="-420" w:leftChars="-200" w:firstLine="0" w:firstLineChars="0"/>
        <w:rPr>
          <w:rFonts w:ascii="仿宋" w:hAnsi="仿宋" w:eastAsia="仿宋" w:cs="仿宋"/>
          <w:lang w:val="zh-CN"/>
        </w:rPr>
      </w:pPr>
    </w:p>
    <w:p w14:paraId="356993E8">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14:paraId="1D231C79">
      <w:pPr>
        <w:spacing w:line="380" w:lineRule="exact"/>
        <w:rPr>
          <w:rFonts w:ascii="仿宋" w:hAnsi="仿宋" w:eastAsia="仿宋" w:cs="新宋体"/>
          <w:bCs/>
          <w:sz w:val="22"/>
          <w:szCs w:val="22"/>
        </w:rPr>
      </w:pPr>
      <w:r>
        <w:rPr>
          <w:rFonts w:hint="eastAsia" w:ascii="仿宋" w:hAnsi="仿宋" w:eastAsia="仿宋" w:cs="新宋体"/>
          <w:bCs/>
          <w:sz w:val="22"/>
          <w:szCs w:val="22"/>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471"/>
        <w:gridCol w:w="3682"/>
      </w:tblGrid>
      <w:tr w14:paraId="7BA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F124730">
            <w:pPr>
              <w:pStyle w:val="30"/>
              <w:jc w:val="center"/>
              <w:rPr>
                <w:rFonts w:ascii="仿宋" w:hAnsi="仿宋" w:eastAsia="仿宋" w:cs="新宋体"/>
                <w:sz w:val="22"/>
                <w:szCs w:val="22"/>
              </w:rPr>
            </w:pPr>
            <w:r>
              <w:rPr>
                <w:rFonts w:hint="eastAsia" w:ascii="仿宋" w:hAnsi="仿宋" w:eastAsia="仿宋" w:cs="新宋体"/>
                <w:sz w:val="22"/>
                <w:szCs w:val="22"/>
              </w:rPr>
              <w:t>名称</w:t>
            </w:r>
          </w:p>
        </w:tc>
        <w:tc>
          <w:tcPr>
            <w:tcW w:w="2471" w:type="dxa"/>
            <w:vAlign w:val="center"/>
          </w:tcPr>
          <w:p w14:paraId="165B281F">
            <w:pPr>
              <w:pStyle w:val="30"/>
              <w:jc w:val="center"/>
              <w:rPr>
                <w:rFonts w:ascii="仿宋" w:hAnsi="仿宋" w:eastAsia="仿宋" w:cs="新宋体"/>
                <w:sz w:val="22"/>
                <w:szCs w:val="22"/>
              </w:rPr>
            </w:pPr>
            <w:r>
              <w:rPr>
                <w:rFonts w:hint="eastAsia" w:ascii="仿宋" w:hAnsi="仿宋" w:eastAsia="仿宋" w:cs="新宋体"/>
                <w:sz w:val="22"/>
                <w:szCs w:val="22"/>
              </w:rPr>
              <w:t>数量</w:t>
            </w:r>
          </w:p>
        </w:tc>
        <w:tc>
          <w:tcPr>
            <w:tcW w:w="3682" w:type="dxa"/>
            <w:vAlign w:val="center"/>
          </w:tcPr>
          <w:p w14:paraId="3C44B9EC">
            <w:pPr>
              <w:pStyle w:val="30"/>
              <w:jc w:val="center"/>
              <w:rPr>
                <w:rFonts w:ascii="仿宋" w:hAnsi="仿宋" w:eastAsia="仿宋" w:cs="新宋体"/>
                <w:sz w:val="22"/>
                <w:szCs w:val="22"/>
              </w:rPr>
            </w:pPr>
            <w:r>
              <w:rPr>
                <w:rFonts w:hint="eastAsia" w:ascii="仿宋" w:hAnsi="仿宋" w:eastAsia="仿宋" w:cs="新宋体"/>
                <w:sz w:val="22"/>
                <w:szCs w:val="22"/>
              </w:rPr>
              <w:t>供货期限</w:t>
            </w:r>
          </w:p>
        </w:tc>
      </w:tr>
      <w:tr w14:paraId="1785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3ED30BBE">
            <w:pPr>
              <w:pStyle w:val="30"/>
              <w:jc w:val="center"/>
              <w:rPr>
                <w:rFonts w:hint="eastAsia" w:ascii="仿宋" w:hAnsi="仿宋" w:eastAsia="仿宋" w:cs="新宋体"/>
                <w:sz w:val="22"/>
                <w:szCs w:val="22"/>
                <w:lang w:eastAsia="zh-CN"/>
              </w:rPr>
            </w:pPr>
            <w:r>
              <w:rPr>
                <w:rFonts w:hint="eastAsia" w:ascii="仿宋" w:hAnsi="仿宋" w:eastAsia="仿宋" w:cs="新宋体"/>
                <w:sz w:val="22"/>
                <w:szCs w:val="22"/>
                <w:lang w:eastAsia="zh-CN"/>
              </w:rPr>
              <w:t>瞿溪华侨中学厨房设备采购</w:t>
            </w:r>
          </w:p>
        </w:tc>
        <w:tc>
          <w:tcPr>
            <w:tcW w:w="2471" w:type="dxa"/>
            <w:vAlign w:val="center"/>
          </w:tcPr>
          <w:p w14:paraId="1FD3CAE9">
            <w:pPr>
              <w:pStyle w:val="30"/>
              <w:jc w:val="center"/>
              <w:rPr>
                <w:rFonts w:ascii="仿宋" w:hAnsi="仿宋" w:eastAsia="仿宋" w:cs="新宋体"/>
                <w:sz w:val="22"/>
                <w:szCs w:val="22"/>
              </w:rPr>
            </w:pPr>
            <w:r>
              <w:rPr>
                <w:rFonts w:hint="eastAsia" w:ascii="仿宋" w:hAnsi="仿宋" w:eastAsia="仿宋" w:cs="新宋体"/>
                <w:sz w:val="22"/>
                <w:szCs w:val="22"/>
              </w:rPr>
              <w:t>1</w:t>
            </w:r>
          </w:p>
        </w:tc>
        <w:tc>
          <w:tcPr>
            <w:tcW w:w="3682" w:type="dxa"/>
            <w:vAlign w:val="center"/>
          </w:tcPr>
          <w:p w14:paraId="72DFDECB">
            <w:pPr>
              <w:pStyle w:val="30"/>
              <w:jc w:val="center"/>
              <w:rPr>
                <w:rFonts w:ascii="仿宋" w:hAnsi="仿宋" w:eastAsia="仿宋" w:cs="新宋体"/>
                <w:sz w:val="22"/>
                <w:szCs w:val="22"/>
              </w:rPr>
            </w:pPr>
            <w:r>
              <w:rPr>
                <w:rFonts w:hint="eastAsia" w:ascii="仿宋" w:hAnsi="仿宋" w:eastAsia="仿宋" w:cs="仿宋"/>
                <w:bCs/>
                <w:sz w:val="22"/>
                <w:szCs w:val="22"/>
              </w:rPr>
              <w:t>合同签订后，</w:t>
            </w:r>
            <w:r>
              <w:rPr>
                <w:rFonts w:hint="eastAsia" w:ascii="仿宋" w:hAnsi="仿宋" w:eastAsia="仿宋" w:cs="仿宋"/>
                <w:bCs/>
                <w:sz w:val="22"/>
                <w:szCs w:val="22"/>
                <w:lang w:val="en-US" w:eastAsia="zh-CN"/>
              </w:rPr>
              <w:t>3</w:t>
            </w:r>
            <w:r>
              <w:rPr>
                <w:rFonts w:hint="eastAsia" w:ascii="仿宋" w:hAnsi="仿宋" w:eastAsia="仿宋" w:cs="仿宋"/>
                <w:bCs/>
                <w:sz w:val="22"/>
                <w:szCs w:val="22"/>
              </w:rPr>
              <w:t>0天内完成供货并安装及调试</w:t>
            </w:r>
          </w:p>
        </w:tc>
      </w:tr>
      <w:tr w14:paraId="4EA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3679" w:type="dxa"/>
            <w:vAlign w:val="center"/>
          </w:tcPr>
          <w:p w14:paraId="409590D4">
            <w:pPr>
              <w:pStyle w:val="30"/>
              <w:jc w:val="center"/>
              <w:rPr>
                <w:rFonts w:ascii="仿宋" w:hAnsi="仿宋" w:eastAsia="仿宋" w:cs="新宋体"/>
                <w:sz w:val="22"/>
                <w:szCs w:val="22"/>
              </w:rPr>
            </w:pPr>
            <w:r>
              <w:rPr>
                <w:rFonts w:hint="eastAsia" w:ascii="仿宋" w:hAnsi="仿宋" w:eastAsia="仿宋" w:cs="新宋体"/>
                <w:sz w:val="22"/>
                <w:szCs w:val="22"/>
              </w:rPr>
              <w:t>投标报价（人民币元）</w:t>
            </w:r>
          </w:p>
        </w:tc>
        <w:tc>
          <w:tcPr>
            <w:tcW w:w="6153" w:type="dxa"/>
            <w:gridSpan w:val="2"/>
            <w:vAlign w:val="center"/>
          </w:tcPr>
          <w:p w14:paraId="1D225F59">
            <w:pPr>
              <w:pStyle w:val="30"/>
              <w:rPr>
                <w:rFonts w:ascii="仿宋" w:hAnsi="仿宋" w:eastAsia="仿宋" w:cs="新宋体"/>
                <w:sz w:val="22"/>
                <w:szCs w:val="22"/>
              </w:rPr>
            </w:pPr>
            <w:r>
              <w:rPr>
                <w:rFonts w:hint="eastAsia" w:ascii="仿宋" w:hAnsi="仿宋" w:eastAsia="仿宋" w:cs="新宋体"/>
                <w:sz w:val="22"/>
                <w:szCs w:val="22"/>
              </w:rPr>
              <w:t>（大写）</w:t>
            </w:r>
          </w:p>
          <w:p w14:paraId="5C8327F0">
            <w:pPr>
              <w:pStyle w:val="30"/>
              <w:rPr>
                <w:rFonts w:ascii="仿宋" w:hAnsi="仿宋" w:eastAsia="仿宋" w:cs="新宋体"/>
                <w:sz w:val="22"/>
                <w:szCs w:val="22"/>
              </w:rPr>
            </w:pPr>
            <w:r>
              <w:rPr>
                <w:rFonts w:hint="eastAsia" w:ascii="仿宋" w:hAnsi="仿宋" w:eastAsia="仿宋" w:cs="新宋体"/>
                <w:sz w:val="22"/>
                <w:szCs w:val="22"/>
              </w:rPr>
              <w:t>（小写）</w:t>
            </w:r>
          </w:p>
        </w:tc>
      </w:tr>
    </w:tbl>
    <w:p w14:paraId="7201EB4D">
      <w:pPr>
        <w:spacing w:line="380" w:lineRule="exact"/>
        <w:ind w:left="529" w:leftChars="-66" w:hanging="668" w:hangingChars="304"/>
        <w:rPr>
          <w:rFonts w:ascii="仿宋" w:hAnsi="仿宋" w:eastAsia="仿宋" w:cs="新宋体"/>
          <w:sz w:val="22"/>
          <w:szCs w:val="22"/>
        </w:rPr>
      </w:pPr>
      <w:r>
        <w:rPr>
          <w:rFonts w:hint="eastAsia" w:ascii="仿宋" w:hAnsi="仿宋" w:eastAsia="仿宋" w:cs="新宋体"/>
          <w:sz w:val="22"/>
          <w:szCs w:val="22"/>
        </w:rPr>
        <w:t>说明：</w:t>
      </w:r>
    </w:p>
    <w:p w14:paraId="7301B6A7">
      <w:pPr>
        <w:spacing w:line="380" w:lineRule="exact"/>
        <w:rPr>
          <w:rFonts w:ascii="仿宋" w:hAnsi="仿宋" w:eastAsia="仿宋" w:cs="新宋体"/>
          <w:bCs/>
          <w:sz w:val="22"/>
          <w:szCs w:val="22"/>
        </w:rPr>
      </w:pPr>
      <w:r>
        <w:rPr>
          <w:rFonts w:hint="eastAsia" w:ascii="仿宋" w:hAnsi="仿宋" w:eastAsia="仿宋" w:cs="新宋体"/>
          <w:bCs/>
          <w:sz w:val="22"/>
          <w:szCs w:val="22"/>
        </w:rPr>
        <w:t>1.</w:t>
      </w:r>
      <w:r>
        <w:rPr>
          <w:rFonts w:hint="eastAsia" w:ascii="仿宋" w:hAnsi="仿宋" w:eastAsia="仿宋" w:cs="新宋体"/>
          <w:sz w:val="22"/>
          <w:szCs w:val="22"/>
          <w:u w:val="single"/>
        </w:rPr>
        <w:t>▲本表中的投标报价须与附件8《价格组成表》中总价一致。</w:t>
      </w:r>
    </w:p>
    <w:p w14:paraId="6510CE1F">
      <w:pPr>
        <w:spacing w:line="380" w:lineRule="exact"/>
        <w:rPr>
          <w:rFonts w:ascii="仿宋" w:hAnsi="仿宋" w:eastAsia="仿宋" w:cs="新宋体"/>
          <w:sz w:val="22"/>
          <w:szCs w:val="22"/>
        </w:rPr>
      </w:pPr>
      <w:r>
        <w:rPr>
          <w:rFonts w:hint="eastAsia" w:ascii="仿宋" w:hAnsi="仿宋" w:eastAsia="仿宋" w:cs="新宋体"/>
          <w:bCs/>
          <w:sz w:val="22"/>
          <w:szCs w:val="22"/>
        </w:rPr>
        <w:t>2.</w:t>
      </w:r>
      <w:r>
        <w:rPr>
          <w:rFonts w:hint="eastAsia" w:ascii="仿宋" w:hAnsi="仿宋" w:eastAsia="仿宋" w:cs="新宋体"/>
          <w:sz w:val="22"/>
          <w:szCs w:val="22"/>
          <w:u w:val="single"/>
        </w:rPr>
        <w:t>▲未提供开标一览表的投标文件将被视为未实质性响应招标文件要求，投标无效。</w:t>
      </w:r>
    </w:p>
    <w:p w14:paraId="2B387605">
      <w:pPr>
        <w:autoSpaceDE w:val="0"/>
        <w:autoSpaceDN w:val="0"/>
        <w:spacing w:line="380" w:lineRule="atLeast"/>
        <w:ind w:left="36"/>
        <w:rPr>
          <w:rFonts w:ascii="仿宋" w:hAnsi="仿宋" w:eastAsia="仿宋" w:cs="新宋体"/>
          <w:kern w:val="0"/>
          <w:sz w:val="22"/>
          <w:szCs w:val="22"/>
          <w:lang w:val="zh-CN"/>
        </w:rPr>
      </w:pPr>
    </w:p>
    <w:p w14:paraId="5912682F">
      <w:pPr>
        <w:autoSpaceDE w:val="0"/>
        <w:autoSpaceDN w:val="0"/>
        <w:spacing w:line="380" w:lineRule="atLeast"/>
        <w:ind w:left="36"/>
        <w:rPr>
          <w:rFonts w:ascii="仿宋" w:hAnsi="仿宋" w:eastAsia="仿宋" w:cs="仿宋"/>
          <w:kern w:val="0"/>
          <w:sz w:val="22"/>
          <w:szCs w:val="22"/>
          <w:lang w:val="zh-CN"/>
        </w:rPr>
      </w:pPr>
    </w:p>
    <w:p w14:paraId="1FDA2F00">
      <w:pPr>
        <w:autoSpaceDE w:val="0"/>
        <w:autoSpaceDN w:val="0"/>
        <w:spacing w:line="380" w:lineRule="atLeast"/>
        <w:ind w:firstLine="660"/>
        <w:rPr>
          <w:rFonts w:ascii="仿宋" w:hAnsi="仿宋" w:eastAsia="仿宋" w:cs="仿宋"/>
          <w:kern w:val="0"/>
          <w:sz w:val="22"/>
          <w:szCs w:val="22"/>
          <w:lang w:val="zh-CN"/>
        </w:rPr>
      </w:pPr>
    </w:p>
    <w:p w14:paraId="20961419">
      <w:pPr>
        <w:autoSpaceDE w:val="0"/>
        <w:autoSpaceDN w:val="0"/>
        <w:spacing w:line="380" w:lineRule="atLeast"/>
        <w:ind w:firstLine="660"/>
        <w:rPr>
          <w:rFonts w:ascii="仿宋" w:hAnsi="仿宋" w:eastAsia="仿宋" w:cs="仿宋"/>
          <w:kern w:val="0"/>
          <w:sz w:val="22"/>
          <w:szCs w:val="22"/>
          <w:lang w:val="zh-CN"/>
        </w:rPr>
      </w:pPr>
    </w:p>
    <w:p w14:paraId="2DA8E6BA">
      <w:pPr>
        <w:autoSpaceDE w:val="0"/>
        <w:autoSpaceDN w:val="0"/>
        <w:spacing w:line="380" w:lineRule="atLeast"/>
        <w:ind w:firstLine="660"/>
        <w:rPr>
          <w:rFonts w:ascii="仿宋" w:hAnsi="仿宋" w:eastAsia="仿宋" w:cs="仿宋"/>
          <w:kern w:val="0"/>
          <w:sz w:val="22"/>
          <w:szCs w:val="22"/>
          <w:lang w:val="zh-CN"/>
        </w:rPr>
      </w:pPr>
    </w:p>
    <w:p w14:paraId="0E33C2D9">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14:paraId="0F73F07C">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bookmarkEnd w:id="102"/>
    </w:p>
    <w:p w14:paraId="2318B85C">
      <w:pPr>
        <w:rPr>
          <w:rFonts w:ascii="仿宋" w:hAnsi="仿宋" w:eastAsia="仿宋" w:cs="仿宋"/>
          <w:kern w:val="0"/>
          <w:sz w:val="24"/>
          <w:lang w:val="zh-CN"/>
        </w:rPr>
        <w:sectPr>
          <w:pgSz w:w="11907" w:h="16840"/>
          <w:pgMar w:top="1474" w:right="1814" w:bottom="1474" w:left="1814" w:header="851" w:footer="851" w:gutter="0"/>
          <w:cols w:space="720" w:num="1"/>
        </w:sectPr>
      </w:pPr>
      <w:r>
        <w:rPr>
          <w:rFonts w:hint="eastAsia" w:ascii="仿宋" w:hAnsi="仿宋" w:eastAsia="仿宋" w:cs="仿宋"/>
          <w:kern w:val="0"/>
          <w:sz w:val="24"/>
          <w:lang w:val="zh-CN"/>
        </w:rPr>
        <w:br w:type="page"/>
      </w:r>
    </w:p>
    <w:p w14:paraId="5F431EAD">
      <w:pPr>
        <w:widowControl/>
        <w:adjustRightInd/>
        <w:jc w:val="left"/>
        <w:rPr>
          <w:rFonts w:ascii="仿宋" w:hAnsi="仿宋" w:eastAsia="仿宋" w:cs="仿宋_GB2312"/>
          <w:b/>
          <w:bCs/>
          <w:sz w:val="28"/>
          <w:szCs w:val="28"/>
        </w:rPr>
      </w:pPr>
      <w:r>
        <w:rPr>
          <w:rFonts w:hint="eastAsia" w:ascii="仿宋" w:hAnsi="仿宋" w:eastAsia="仿宋" w:cs="仿宋_GB2312"/>
          <w:b/>
          <w:bCs/>
          <w:sz w:val="28"/>
          <w:szCs w:val="28"/>
        </w:rPr>
        <w:t>附件8</w:t>
      </w:r>
    </w:p>
    <w:p w14:paraId="42662934">
      <w:pPr>
        <w:pStyle w:val="1005"/>
        <w:rPr>
          <w:rFonts w:ascii="仿宋" w:hAnsi="仿宋" w:eastAsia="仿宋" w:cs="宋体"/>
          <w:b/>
          <w:bCs/>
          <w:kern w:val="36"/>
          <w:sz w:val="28"/>
          <w:szCs w:val="36"/>
        </w:rPr>
      </w:pPr>
    </w:p>
    <w:p w14:paraId="66E85620">
      <w:pPr>
        <w:widowControl/>
        <w:numPr>
          <w:ilvl w:val="0"/>
          <w:numId w:val="9"/>
        </w:numPr>
        <w:adjustRightInd/>
        <w:jc w:val="center"/>
        <w:rPr>
          <w:rFonts w:ascii="仿宋" w:hAnsi="仿宋" w:eastAsia="仿宋" w:cs="宋体"/>
          <w:b/>
          <w:bCs/>
          <w:kern w:val="36"/>
          <w:sz w:val="28"/>
          <w:szCs w:val="36"/>
        </w:rPr>
      </w:pPr>
      <w:r>
        <w:rPr>
          <w:rFonts w:hint="eastAsia" w:ascii="仿宋" w:hAnsi="仿宋" w:eastAsia="仿宋" w:cs="宋体"/>
          <w:b/>
          <w:bCs/>
          <w:kern w:val="36"/>
          <w:sz w:val="28"/>
          <w:szCs w:val="36"/>
        </w:rPr>
        <w:t>价格组成表</w:t>
      </w:r>
    </w:p>
    <w:p w14:paraId="525A53E2">
      <w:pPr>
        <w:spacing w:line="380" w:lineRule="exact"/>
        <w:rPr>
          <w:rFonts w:ascii="仿宋" w:hAnsi="仿宋" w:eastAsia="仿宋" w:cs="新宋体"/>
          <w:bCs/>
          <w:sz w:val="22"/>
          <w:szCs w:val="22"/>
        </w:rPr>
      </w:pPr>
      <w:r>
        <w:rPr>
          <w:rFonts w:hint="eastAsia" w:ascii="仿宋" w:hAnsi="仿宋" w:eastAsia="仿宋" w:cs="新宋体"/>
          <w:bCs/>
          <w:sz w:val="22"/>
          <w:szCs w:val="22"/>
        </w:rPr>
        <w:t>项目名称：                                       项目编号：</w:t>
      </w:r>
    </w:p>
    <w:p w14:paraId="24FB0A7D">
      <w:pPr>
        <w:pStyle w:val="1005"/>
      </w:pPr>
      <w:r>
        <w:rPr>
          <w:rFonts w:hint="eastAsia" w:ascii="仿宋" w:hAnsi="仿宋" w:eastAsia="仿宋" w:cs="新宋体"/>
          <w:bCs/>
          <w:sz w:val="22"/>
          <w:szCs w:val="22"/>
        </w:rPr>
        <w:t>价格单位：人民币（元）</w:t>
      </w:r>
    </w:p>
    <w:tbl>
      <w:tblPr>
        <w:tblStyle w:val="5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49"/>
        <w:gridCol w:w="1903"/>
        <w:gridCol w:w="1031"/>
        <w:gridCol w:w="1312"/>
        <w:gridCol w:w="1560"/>
      </w:tblGrid>
      <w:tr w14:paraId="3A7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71AA4CE">
            <w:pPr>
              <w:jc w:val="center"/>
              <w:rPr>
                <w:rFonts w:ascii="仿宋" w:hAnsi="仿宋" w:eastAsia="仿宋" w:cs="仿宋"/>
                <w:sz w:val="22"/>
                <w:szCs w:val="22"/>
              </w:rPr>
            </w:pPr>
            <w:r>
              <w:rPr>
                <w:rFonts w:hint="eastAsia" w:ascii="仿宋" w:hAnsi="仿宋" w:eastAsia="仿宋" w:cs="仿宋"/>
                <w:sz w:val="22"/>
                <w:szCs w:val="22"/>
              </w:rPr>
              <w:t>序号</w:t>
            </w:r>
          </w:p>
        </w:tc>
        <w:tc>
          <w:tcPr>
            <w:tcW w:w="2149" w:type="dxa"/>
            <w:vAlign w:val="center"/>
          </w:tcPr>
          <w:p w14:paraId="695DB735">
            <w:pPr>
              <w:jc w:val="center"/>
              <w:rPr>
                <w:rFonts w:ascii="仿宋" w:hAnsi="仿宋" w:eastAsia="仿宋" w:cs="仿宋"/>
                <w:sz w:val="22"/>
                <w:szCs w:val="22"/>
              </w:rPr>
            </w:pPr>
            <w:r>
              <w:rPr>
                <w:rFonts w:hint="eastAsia" w:ascii="仿宋" w:hAnsi="仿宋" w:eastAsia="仿宋" w:cs="仿宋"/>
                <w:sz w:val="22"/>
                <w:szCs w:val="22"/>
              </w:rPr>
              <w:t>产品名称</w:t>
            </w:r>
          </w:p>
        </w:tc>
        <w:tc>
          <w:tcPr>
            <w:tcW w:w="1903" w:type="dxa"/>
            <w:vAlign w:val="center"/>
          </w:tcPr>
          <w:p w14:paraId="1E7AC400">
            <w:pPr>
              <w:jc w:val="center"/>
              <w:rPr>
                <w:rFonts w:ascii="仿宋" w:hAnsi="仿宋" w:eastAsia="仿宋" w:cs="仿宋"/>
                <w:sz w:val="22"/>
                <w:szCs w:val="22"/>
              </w:rPr>
            </w:pPr>
            <w:r>
              <w:rPr>
                <w:rFonts w:hint="eastAsia" w:ascii="仿宋" w:hAnsi="仿宋" w:eastAsia="仿宋" w:cs="仿宋"/>
                <w:sz w:val="22"/>
                <w:szCs w:val="22"/>
              </w:rPr>
              <w:t>规格/型号</w:t>
            </w:r>
          </w:p>
        </w:tc>
        <w:tc>
          <w:tcPr>
            <w:tcW w:w="1031" w:type="dxa"/>
            <w:vAlign w:val="center"/>
          </w:tcPr>
          <w:p w14:paraId="150D4650">
            <w:pPr>
              <w:jc w:val="center"/>
              <w:rPr>
                <w:rFonts w:ascii="仿宋" w:hAnsi="仿宋" w:eastAsia="仿宋" w:cs="仿宋"/>
                <w:sz w:val="22"/>
                <w:szCs w:val="22"/>
              </w:rPr>
            </w:pPr>
            <w:r>
              <w:rPr>
                <w:rFonts w:hint="eastAsia" w:ascii="仿宋" w:hAnsi="仿宋" w:eastAsia="仿宋" w:cs="仿宋"/>
                <w:sz w:val="22"/>
                <w:szCs w:val="22"/>
              </w:rPr>
              <w:t>数量</w:t>
            </w:r>
          </w:p>
        </w:tc>
        <w:tc>
          <w:tcPr>
            <w:tcW w:w="1312" w:type="dxa"/>
            <w:vAlign w:val="center"/>
          </w:tcPr>
          <w:p w14:paraId="5D396BCD">
            <w:pPr>
              <w:jc w:val="center"/>
              <w:rPr>
                <w:rFonts w:ascii="仿宋" w:hAnsi="仿宋" w:eastAsia="仿宋" w:cs="仿宋"/>
                <w:sz w:val="22"/>
                <w:szCs w:val="22"/>
              </w:rPr>
            </w:pPr>
            <w:r>
              <w:rPr>
                <w:rFonts w:hint="eastAsia" w:ascii="仿宋" w:hAnsi="仿宋" w:eastAsia="仿宋" w:cs="仿宋"/>
                <w:sz w:val="22"/>
                <w:szCs w:val="22"/>
              </w:rPr>
              <w:t>单价</w:t>
            </w:r>
          </w:p>
          <w:p w14:paraId="4FA5555E">
            <w:pPr>
              <w:jc w:val="center"/>
              <w:rPr>
                <w:rFonts w:ascii="仿宋" w:hAnsi="仿宋" w:eastAsia="仿宋" w:cs="仿宋"/>
                <w:sz w:val="22"/>
                <w:szCs w:val="22"/>
              </w:rPr>
            </w:pPr>
            <w:r>
              <w:rPr>
                <w:rFonts w:hint="eastAsia" w:ascii="仿宋" w:hAnsi="仿宋" w:eastAsia="仿宋" w:cs="仿宋"/>
                <w:sz w:val="22"/>
                <w:szCs w:val="22"/>
              </w:rPr>
              <w:t>（元）</w:t>
            </w:r>
          </w:p>
        </w:tc>
        <w:tc>
          <w:tcPr>
            <w:tcW w:w="1560" w:type="dxa"/>
            <w:vAlign w:val="center"/>
          </w:tcPr>
          <w:p w14:paraId="0150F51E">
            <w:pPr>
              <w:jc w:val="center"/>
              <w:rPr>
                <w:rFonts w:ascii="仿宋" w:hAnsi="仿宋" w:eastAsia="仿宋" w:cs="仿宋"/>
                <w:sz w:val="22"/>
                <w:szCs w:val="22"/>
              </w:rPr>
            </w:pPr>
            <w:r>
              <w:rPr>
                <w:rFonts w:hint="eastAsia" w:ascii="仿宋" w:hAnsi="仿宋" w:eastAsia="仿宋" w:cs="仿宋"/>
                <w:sz w:val="22"/>
                <w:szCs w:val="22"/>
              </w:rPr>
              <w:t>总价</w:t>
            </w:r>
          </w:p>
          <w:p w14:paraId="6E9A7C6F">
            <w:pPr>
              <w:jc w:val="center"/>
              <w:rPr>
                <w:rFonts w:ascii="仿宋" w:hAnsi="仿宋" w:eastAsia="仿宋" w:cs="仿宋"/>
                <w:sz w:val="22"/>
                <w:szCs w:val="22"/>
              </w:rPr>
            </w:pPr>
            <w:r>
              <w:rPr>
                <w:rFonts w:hint="eastAsia" w:ascii="仿宋" w:hAnsi="仿宋" w:eastAsia="仿宋" w:cs="仿宋"/>
                <w:sz w:val="22"/>
                <w:szCs w:val="22"/>
              </w:rPr>
              <w:t>（元）</w:t>
            </w:r>
          </w:p>
        </w:tc>
      </w:tr>
      <w:tr w14:paraId="7AB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5DA6130">
            <w:pPr>
              <w:jc w:val="center"/>
              <w:rPr>
                <w:rFonts w:ascii="仿宋" w:hAnsi="仿宋" w:eastAsia="仿宋" w:cs="仿宋"/>
                <w:sz w:val="22"/>
                <w:szCs w:val="22"/>
              </w:rPr>
            </w:pPr>
            <w:r>
              <w:rPr>
                <w:rFonts w:hint="eastAsia" w:ascii="仿宋" w:hAnsi="仿宋" w:eastAsia="仿宋" w:cs="仿宋"/>
                <w:sz w:val="22"/>
                <w:szCs w:val="22"/>
              </w:rPr>
              <w:t>1</w:t>
            </w:r>
          </w:p>
        </w:tc>
        <w:tc>
          <w:tcPr>
            <w:tcW w:w="2149" w:type="dxa"/>
            <w:vAlign w:val="center"/>
          </w:tcPr>
          <w:p w14:paraId="5895ABE4">
            <w:pPr>
              <w:jc w:val="center"/>
              <w:rPr>
                <w:rFonts w:ascii="仿宋" w:hAnsi="仿宋" w:eastAsia="仿宋" w:cs="仿宋"/>
                <w:sz w:val="22"/>
                <w:szCs w:val="22"/>
                <w:lang w:val="en-GB"/>
              </w:rPr>
            </w:pPr>
          </w:p>
        </w:tc>
        <w:tc>
          <w:tcPr>
            <w:tcW w:w="1903" w:type="dxa"/>
            <w:vAlign w:val="center"/>
          </w:tcPr>
          <w:p w14:paraId="155021D6">
            <w:pPr>
              <w:jc w:val="center"/>
              <w:rPr>
                <w:rFonts w:ascii="仿宋" w:hAnsi="仿宋" w:eastAsia="仿宋" w:cs="仿宋"/>
                <w:sz w:val="22"/>
                <w:szCs w:val="22"/>
              </w:rPr>
            </w:pPr>
          </w:p>
        </w:tc>
        <w:tc>
          <w:tcPr>
            <w:tcW w:w="1031" w:type="dxa"/>
            <w:vAlign w:val="center"/>
          </w:tcPr>
          <w:p w14:paraId="439B3D17">
            <w:pPr>
              <w:jc w:val="center"/>
              <w:rPr>
                <w:rFonts w:ascii="仿宋" w:hAnsi="仿宋" w:eastAsia="仿宋" w:cs="仿宋"/>
                <w:sz w:val="22"/>
                <w:szCs w:val="22"/>
              </w:rPr>
            </w:pPr>
          </w:p>
        </w:tc>
        <w:tc>
          <w:tcPr>
            <w:tcW w:w="1312" w:type="dxa"/>
            <w:vAlign w:val="center"/>
          </w:tcPr>
          <w:p w14:paraId="5E627C58">
            <w:pPr>
              <w:jc w:val="center"/>
              <w:rPr>
                <w:rFonts w:ascii="仿宋" w:hAnsi="仿宋" w:eastAsia="仿宋" w:cs="仿宋"/>
                <w:sz w:val="22"/>
                <w:szCs w:val="22"/>
              </w:rPr>
            </w:pPr>
          </w:p>
        </w:tc>
        <w:tc>
          <w:tcPr>
            <w:tcW w:w="1560" w:type="dxa"/>
            <w:vAlign w:val="center"/>
          </w:tcPr>
          <w:p w14:paraId="7B970342">
            <w:pPr>
              <w:jc w:val="center"/>
              <w:rPr>
                <w:rFonts w:ascii="仿宋" w:hAnsi="仿宋" w:eastAsia="仿宋" w:cs="仿宋"/>
                <w:sz w:val="22"/>
                <w:szCs w:val="22"/>
              </w:rPr>
            </w:pPr>
          </w:p>
        </w:tc>
      </w:tr>
      <w:tr w14:paraId="32E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340E05EA">
            <w:pPr>
              <w:jc w:val="center"/>
              <w:rPr>
                <w:rFonts w:ascii="仿宋" w:hAnsi="仿宋" w:eastAsia="仿宋" w:cs="仿宋"/>
                <w:sz w:val="22"/>
                <w:szCs w:val="22"/>
              </w:rPr>
            </w:pPr>
            <w:r>
              <w:rPr>
                <w:rFonts w:hint="eastAsia" w:ascii="仿宋" w:hAnsi="仿宋" w:eastAsia="仿宋" w:cs="仿宋"/>
                <w:sz w:val="22"/>
                <w:szCs w:val="22"/>
              </w:rPr>
              <w:t>2</w:t>
            </w:r>
          </w:p>
        </w:tc>
        <w:tc>
          <w:tcPr>
            <w:tcW w:w="2149" w:type="dxa"/>
            <w:vAlign w:val="center"/>
          </w:tcPr>
          <w:p w14:paraId="186D4CD0">
            <w:pPr>
              <w:jc w:val="center"/>
              <w:rPr>
                <w:rFonts w:ascii="仿宋" w:hAnsi="仿宋" w:eastAsia="仿宋" w:cs="仿宋"/>
                <w:sz w:val="22"/>
                <w:szCs w:val="22"/>
                <w:lang w:val="en-GB"/>
              </w:rPr>
            </w:pPr>
          </w:p>
        </w:tc>
        <w:tc>
          <w:tcPr>
            <w:tcW w:w="1903" w:type="dxa"/>
            <w:vAlign w:val="center"/>
          </w:tcPr>
          <w:p w14:paraId="3C99A1A1">
            <w:pPr>
              <w:jc w:val="center"/>
              <w:rPr>
                <w:rFonts w:ascii="仿宋" w:hAnsi="仿宋" w:eastAsia="仿宋" w:cs="仿宋"/>
                <w:sz w:val="22"/>
                <w:szCs w:val="22"/>
              </w:rPr>
            </w:pPr>
          </w:p>
        </w:tc>
        <w:tc>
          <w:tcPr>
            <w:tcW w:w="1031" w:type="dxa"/>
            <w:vAlign w:val="center"/>
          </w:tcPr>
          <w:p w14:paraId="4FFCA9A7">
            <w:pPr>
              <w:jc w:val="center"/>
              <w:rPr>
                <w:rFonts w:ascii="仿宋" w:hAnsi="仿宋" w:eastAsia="仿宋" w:cs="仿宋"/>
                <w:sz w:val="22"/>
                <w:szCs w:val="22"/>
              </w:rPr>
            </w:pPr>
          </w:p>
        </w:tc>
        <w:tc>
          <w:tcPr>
            <w:tcW w:w="1312" w:type="dxa"/>
            <w:vAlign w:val="center"/>
          </w:tcPr>
          <w:p w14:paraId="508741F2">
            <w:pPr>
              <w:jc w:val="center"/>
              <w:rPr>
                <w:rFonts w:ascii="仿宋" w:hAnsi="仿宋" w:eastAsia="仿宋" w:cs="仿宋"/>
                <w:sz w:val="22"/>
                <w:szCs w:val="22"/>
              </w:rPr>
            </w:pPr>
          </w:p>
        </w:tc>
        <w:tc>
          <w:tcPr>
            <w:tcW w:w="1560" w:type="dxa"/>
            <w:vAlign w:val="center"/>
          </w:tcPr>
          <w:p w14:paraId="202E5547">
            <w:pPr>
              <w:jc w:val="center"/>
              <w:rPr>
                <w:rFonts w:ascii="仿宋" w:hAnsi="仿宋" w:eastAsia="仿宋" w:cs="仿宋"/>
                <w:sz w:val="22"/>
                <w:szCs w:val="22"/>
              </w:rPr>
            </w:pPr>
          </w:p>
        </w:tc>
      </w:tr>
      <w:tr w14:paraId="69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0C542A73">
            <w:pPr>
              <w:jc w:val="center"/>
              <w:rPr>
                <w:rFonts w:ascii="仿宋" w:hAnsi="仿宋" w:eastAsia="仿宋" w:cs="仿宋"/>
                <w:sz w:val="22"/>
                <w:szCs w:val="22"/>
              </w:rPr>
            </w:pPr>
            <w:r>
              <w:rPr>
                <w:rFonts w:hint="eastAsia" w:ascii="仿宋" w:hAnsi="仿宋" w:eastAsia="仿宋" w:cs="仿宋"/>
                <w:sz w:val="22"/>
                <w:szCs w:val="22"/>
              </w:rPr>
              <w:t>3</w:t>
            </w:r>
          </w:p>
        </w:tc>
        <w:tc>
          <w:tcPr>
            <w:tcW w:w="2149" w:type="dxa"/>
            <w:vAlign w:val="center"/>
          </w:tcPr>
          <w:p w14:paraId="33BE31F8">
            <w:pPr>
              <w:jc w:val="center"/>
              <w:rPr>
                <w:rFonts w:ascii="仿宋" w:hAnsi="仿宋" w:eastAsia="仿宋" w:cs="仿宋"/>
                <w:sz w:val="22"/>
                <w:szCs w:val="22"/>
                <w:lang w:val="en-GB"/>
              </w:rPr>
            </w:pPr>
          </w:p>
        </w:tc>
        <w:tc>
          <w:tcPr>
            <w:tcW w:w="1903" w:type="dxa"/>
            <w:vAlign w:val="center"/>
          </w:tcPr>
          <w:p w14:paraId="03630564">
            <w:pPr>
              <w:jc w:val="center"/>
              <w:rPr>
                <w:rFonts w:ascii="仿宋" w:hAnsi="仿宋" w:eastAsia="仿宋" w:cs="仿宋"/>
                <w:sz w:val="22"/>
                <w:szCs w:val="22"/>
              </w:rPr>
            </w:pPr>
          </w:p>
        </w:tc>
        <w:tc>
          <w:tcPr>
            <w:tcW w:w="1031" w:type="dxa"/>
            <w:vAlign w:val="center"/>
          </w:tcPr>
          <w:p w14:paraId="350BAD24">
            <w:pPr>
              <w:jc w:val="center"/>
              <w:rPr>
                <w:rFonts w:ascii="仿宋" w:hAnsi="仿宋" w:eastAsia="仿宋" w:cs="仿宋"/>
                <w:sz w:val="22"/>
                <w:szCs w:val="22"/>
              </w:rPr>
            </w:pPr>
          </w:p>
        </w:tc>
        <w:tc>
          <w:tcPr>
            <w:tcW w:w="1312" w:type="dxa"/>
            <w:vAlign w:val="center"/>
          </w:tcPr>
          <w:p w14:paraId="245F6C62">
            <w:pPr>
              <w:jc w:val="center"/>
              <w:rPr>
                <w:rFonts w:ascii="仿宋" w:hAnsi="仿宋" w:eastAsia="仿宋" w:cs="仿宋"/>
                <w:sz w:val="22"/>
                <w:szCs w:val="22"/>
              </w:rPr>
            </w:pPr>
          </w:p>
        </w:tc>
        <w:tc>
          <w:tcPr>
            <w:tcW w:w="1560" w:type="dxa"/>
            <w:vAlign w:val="center"/>
          </w:tcPr>
          <w:p w14:paraId="6292A405">
            <w:pPr>
              <w:jc w:val="center"/>
              <w:rPr>
                <w:rFonts w:ascii="仿宋" w:hAnsi="仿宋" w:eastAsia="仿宋" w:cs="仿宋"/>
                <w:sz w:val="22"/>
                <w:szCs w:val="22"/>
              </w:rPr>
            </w:pPr>
          </w:p>
        </w:tc>
      </w:tr>
      <w:tr w14:paraId="6840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EC80B9">
            <w:pPr>
              <w:jc w:val="center"/>
              <w:rPr>
                <w:rFonts w:ascii="仿宋" w:hAnsi="仿宋" w:eastAsia="仿宋" w:cs="仿宋"/>
                <w:sz w:val="22"/>
                <w:szCs w:val="22"/>
              </w:rPr>
            </w:pPr>
            <w:r>
              <w:rPr>
                <w:rFonts w:hint="eastAsia" w:ascii="仿宋" w:hAnsi="仿宋" w:eastAsia="仿宋" w:cs="仿宋"/>
                <w:sz w:val="22"/>
                <w:szCs w:val="22"/>
              </w:rPr>
              <w:t>4</w:t>
            </w:r>
          </w:p>
        </w:tc>
        <w:tc>
          <w:tcPr>
            <w:tcW w:w="2149" w:type="dxa"/>
            <w:vAlign w:val="center"/>
          </w:tcPr>
          <w:p w14:paraId="4224E332">
            <w:pPr>
              <w:jc w:val="center"/>
              <w:rPr>
                <w:rFonts w:ascii="仿宋" w:hAnsi="仿宋" w:eastAsia="仿宋" w:cs="仿宋"/>
                <w:sz w:val="22"/>
                <w:szCs w:val="22"/>
                <w:lang w:val="en-GB"/>
              </w:rPr>
            </w:pPr>
          </w:p>
        </w:tc>
        <w:tc>
          <w:tcPr>
            <w:tcW w:w="1903" w:type="dxa"/>
            <w:vAlign w:val="center"/>
          </w:tcPr>
          <w:p w14:paraId="57A2266E">
            <w:pPr>
              <w:jc w:val="center"/>
              <w:rPr>
                <w:rFonts w:ascii="仿宋" w:hAnsi="仿宋" w:eastAsia="仿宋" w:cs="仿宋"/>
                <w:sz w:val="22"/>
                <w:szCs w:val="22"/>
              </w:rPr>
            </w:pPr>
          </w:p>
        </w:tc>
        <w:tc>
          <w:tcPr>
            <w:tcW w:w="1031" w:type="dxa"/>
            <w:vAlign w:val="center"/>
          </w:tcPr>
          <w:p w14:paraId="2627048B">
            <w:pPr>
              <w:jc w:val="center"/>
              <w:rPr>
                <w:rFonts w:ascii="仿宋" w:hAnsi="仿宋" w:eastAsia="仿宋" w:cs="仿宋"/>
                <w:sz w:val="22"/>
                <w:szCs w:val="22"/>
              </w:rPr>
            </w:pPr>
          </w:p>
        </w:tc>
        <w:tc>
          <w:tcPr>
            <w:tcW w:w="1312" w:type="dxa"/>
            <w:vAlign w:val="center"/>
          </w:tcPr>
          <w:p w14:paraId="48300B5B">
            <w:pPr>
              <w:jc w:val="center"/>
              <w:rPr>
                <w:rFonts w:ascii="仿宋" w:hAnsi="仿宋" w:eastAsia="仿宋" w:cs="仿宋"/>
                <w:sz w:val="22"/>
                <w:szCs w:val="22"/>
              </w:rPr>
            </w:pPr>
          </w:p>
        </w:tc>
        <w:tc>
          <w:tcPr>
            <w:tcW w:w="1560" w:type="dxa"/>
            <w:vAlign w:val="center"/>
          </w:tcPr>
          <w:p w14:paraId="298EB975">
            <w:pPr>
              <w:jc w:val="center"/>
              <w:rPr>
                <w:rFonts w:ascii="仿宋" w:hAnsi="仿宋" w:eastAsia="仿宋" w:cs="仿宋"/>
                <w:sz w:val="22"/>
                <w:szCs w:val="22"/>
              </w:rPr>
            </w:pPr>
          </w:p>
        </w:tc>
      </w:tr>
      <w:tr w14:paraId="08D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C46066">
            <w:pPr>
              <w:jc w:val="center"/>
              <w:rPr>
                <w:rFonts w:ascii="仿宋" w:hAnsi="仿宋" w:eastAsia="仿宋" w:cs="仿宋"/>
                <w:sz w:val="22"/>
                <w:szCs w:val="22"/>
              </w:rPr>
            </w:pPr>
            <w:r>
              <w:rPr>
                <w:rFonts w:hint="eastAsia" w:ascii="仿宋" w:hAnsi="仿宋" w:eastAsia="仿宋" w:cs="仿宋"/>
                <w:sz w:val="22"/>
                <w:szCs w:val="22"/>
              </w:rPr>
              <w:t>5</w:t>
            </w:r>
          </w:p>
        </w:tc>
        <w:tc>
          <w:tcPr>
            <w:tcW w:w="2149" w:type="dxa"/>
            <w:vAlign w:val="center"/>
          </w:tcPr>
          <w:p w14:paraId="0E3F105E">
            <w:pPr>
              <w:jc w:val="center"/>
              <w:rPr>
                <w:rFonts w:ascii="仿宋" w:hAnsi="仿宋" w:eastAsia="仿宋" w:cs="仿宋"/>
                <w:sz w:val="22"/>
                <w:szCs w:val="22"/>
                <w:lang w:val="en-GB"/>
              </w:rPr>
            </w:pPr>
          </w:p>
        </w:tc>
        <w:tc>
          <w:tcPr>
            <w:tcW w:w="1903" w:type="dxa"/>
            <w:vAlign w:val="center"/>
          </w:tcPr>
          <w:p w14:paraId="012618FC">
            <w:pPr>
              <w:jc w:val="center"/>
              <w:rPr>
                <w:rFonts w:ascii="仿宋" w:hAnsi="仿宋" w:eastAsia="仿宋" w:cs="仿宋"/>
                <w:sz w:val="22"/>
                <w:szCs w:val="22"/>
              </w:rPr>
            </w:pPr>
          </w:p>
        </w:tc>
        <w:tc>
          <w:tcPr>
            <w:tcW w:w="1031" w:type="dxa"/>
            <w:vAlign w:val="center"/>
          </w:tcPr>
          <w:p w14:paraId="5C39B96D">
            <w:pPr>
              <w:jc w:val="center"/>
              <w:rPr>
                <w:rFonts w:ascii="仿宋" w:hAnsi="仿宋" w:eastAsia="仿宋" w:cs="仿宋"/>
                <w:sz w:val="22"/>
                <w:szCs w:val="22"/>
              </w:rPr>
            </w:pPr>
          </w:p>
        </w:tc>
        <w:tc>
          <w:tcPr>
            <w:tcW w:w="1312" w:type="dxa"/>
            <w:vAlign w:val="center"/>
          </w:tcPr>
          <w:p w14:paraId="358A1F12">
            <w:pPr>
              <w:jc w:val="center"/>
              <w:rPr>
                <w:rFonts w:ascii="仿宋" w:hAnsi="仿宋" w:eastAsia="仿宋" w:cs="仿宋"/>
                <w:sz w:val="22"/>
                <w:szCs w:val="22"/>
              </w:rPr>
            </w:pPr>
          </w:p>
        </w:tc>
        <w:tc>
          <w:tcPr>
            <w:tcW w:w="1560" w:type="dxa"/>
            <w:vAlign w:val="center"/>
          </w:tcPr>
          <w:p w14:paraId="4587EE0D">
            <w:pPr>
              <w:jc w:val="center"/>
              <w:rPr>
                <w:rFonts w:ascii="仿宋" w:hAnsi="仿宋" w:eastAsia="仿宋" w:cs="仿宋"/>
                <w:sz w:val="22"/>
                <w:szCs w:val="22"/>
              </w:rPr>
            </w:pPr>
          </w:p>
        </w:tc>
      </w:tr>
      <w:tr w14:paraId="685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2A4ACA13">
            <w:pPr>
              <w:jc w:val="center"/>
              <w:rPr>
                <w:rFonts w:ascii="仿宋" w:hAnsi="仿宋" w:eastAsia="仿宋" w:cs="仿宋"/>
                <w:sz w:val="22"/>
                <w:szCs w:val="22"/>
              </w:rPr>
            </w:pPr>
            <w:r>
              <w:rPr>
                <w:rFonts w:hint="eastAsia" w:ascii="仿宋" w:hAnsi="仿宋" w:eastAsia="仿宋" w:cs="仿宋"/>
                <w:sz w:val="22"/>
                <w:szCs w:val="22"/>
              </w:rPr>
              <w:t>6</w:t>
            </w:r>
          </w:p>
        </w:tc>
        <w:tc>
          <w:tcPr>
            <w:tcW w:w="2149" w:type="dxa"/>
            <w:vAlign w:val="center"/>
          </w:tcPr>
          <w:p w14:paraId="04899278">
            <w:pPr>
              <w:jc w:val="center"/>
              <w:rPr>
                <w:rFonts w:ascii="仿宋" w:hAnsi="仿宋" w:eastAsia="仿宋" w:cs="仿宋"/>
                <w:sz w:val="22"/>
                <w:szCs w:val="22"/>
                <w:lang w:val="en-GB"/>
              </w:rPr>
            </w:pPr>
          </w:p>
        </w:tc>
        <w:tc>
          <w:tcPr>
            <w:tcW w:w="1903" w:type="dxa"/>
            <w:vAlign w:val="center"/>
          </w:tcPr>
          <w:p w14:paraId="765FD506">
            <w:pPr>
              <w:jc w:val="center"/>
              <w:rPr>
                <w:rFonts w:ascii="仿宋" w:hAnsi="仿宋" w:eastAsia="仿宋" w:cs="仿宋"/>
                <w:sz w:val="22"/>
                <w:szCs w:val="22"/>
              </w:rPr>
            </w:pPr>
          </w:p>
        </w:tc>
        <w:tc>
          <w:tcPr>
            <w:tcW w:w="1031" w:type="dxa"/>
            <w:vAlign w:val="center"/>
          </w:tcPr>
          <w:p w14:paraId="2E95236A">
            <w:pPr>
              <w:jc w:val="center"/>
              <w:rPr>
                <w:rFonts w:ascii="仿宋" w:hAnsi="仿宋" w:eastAsia="仿宋" w:cs="仿宋"/>
                <w:sz w:val="22"/>
                <w:szCs w:val="22"/>
              </w:rPr>
            </w:pPr>
          </w:p>
        </w:tc>
        <w:tc>
          <w:tcPr>
            <w:tcW w:w="1312" w:type="dxa"/>
            <w:vAlign w:val="center"/>
          </w:tcPr>
          <w:p w14:paraId="1D9E083C">
            <w:pPr>
              <w:jc w:val="center"/>
              <w:rPr>
                <w:rFonts w:ascii="仿宋" w:hAnsi="仿宋" w:eastAsia="仿宋" w:cs="仿宋"/>
                <w:sz w:val="22"/>
                <w:szCs w:val="22"/>
              </w:rPr>
            </w:pPr>
          </w:p>
        </w:tc>
        <w:tc>
          <w:tcPr>
            <w:tcW w:w="1560" w:type="dxa"/>
            <w:vAlign w:val="center"/>
          </w:tcPr>
          <w:p w14:paraId="4314C32F">
            <w:pPr>
              <w:jc w:val="center"/>
              <w:rPr>
                <w:rFonts w:ascii="仿宋" w:hAnsi="仿宋" w:eastAsia="仿宋" w:cs="仿宋"/>
                <w:sz w:val="22"/>
                <w:szCs w:val="22"/>
              </w:rPr>
            </w:pPr>
          </w:p>
        </w:tc>
      </w:tr>
      <w:tr w14:paraId="76A4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7AC38312">
            <w:pPr>
              <w:jc w:val="center"/>
              <w:rPr>
                <w:rFonts w:ascii="仿宋" w:hAnsi="仿宋" w:eastAsia="仿宋" w:cs="仿宋"/>
                <w:sz w:val="22"/>
                <w:szCs w:val="22"/>
              </w:rPr>
            </w:pPr>
            <w:r>
              <w:rPr>
                <w:rFonts w:hint="eastAsia" w:ascii="仿宋" w:hAnsi="仿宋" w:eastAsia="仿宋" w:cs="仿宋"/>
                <w:sz w:val="22"/>
                <w:szCs w:val="22"/>
              </w:rPr>
              <w:t>7</w:t>
            </w:r>
          </w:p>
        </w:tc>
        <w:tc>
          <w:tcPr>
            <w:tcW w:w="2149" w:type="dxa"/>
            <w:vAlign w:val="center"/>
          </w:tcPr>
          <w:p w14:paraId="23CE9837">
            <w:pPr>
              <w:jc w:val="center"/>
              <w:rPr>
                <w:rFonts w:ascii="仿宋" w:hAnsi="仿宋" w:eastAsia="仿宋" w:cs="仿宋"/>
                <w:sz w:val="22"/>
                <w:szCs w:val="22"/>
                <w:lang w:val="en-GB"/>
              </w:rPr>
            </w:pPr>
          </w:p>
        </w:tc>
        <w:tc>
          <w:tcPr>
            <w:tcW w:w="1903" w:type="dxa"/>
            <w:vAlign w:val="center"/>
          </w:tcPr>
          <w:p w14:paraId="469BEC72">
            <w:pPr>
              <w:jc w:val="center"/>
              <w:rPr>
                <w:rFonts w:ascii="仿宋" w:hAnsi="仿宋" w:eastAsia="仿宋" w:cs="仿宋"/>
                <w:sz w:val="22"/>
                <w:szCs w:val="22"/>
              </w:rPr>
            </w:pPr>
          </w:p>
        </w:tc>
        <w:tc>
          <w:tcPr>
            <w:tcW w:w="1031" w:type="dxa"/>
            <w:vAlign w:val="center"/>
          </w:tcPr>
          <w:p w14:paraId="1437BC58">
            <w:pPr>
              <w:jc w:val="center"/>
              <w:rPr>
                <w:rFonts w:ascii="仿宋" w:hAnsi="仿宋" w:eastAsia="仿宋" w:cs="仿宋"/>
                <w:sz w:val="22"/>
                <w:szCs w:val="22"/>
              </w:rPr>
            </w:pPr>
          </w:p>
        </w:tc>
        <w:tc>
          <w:tcPr>
            <w:tcW w:w="1312" w:type="dxa"/>
            <w:vAlign w:val="center"/>
          </w:tcPr>
          <w:p w14:paraId="1BE506B8">
            <w:pPr>
              <w:jc w:val="center"/>
              <w:rPr>
                <w:rFonts w:ascii="仿宋" w:hAnsi="仿宋" w:eastAsia="仿宋" w:cs="仿宋"/>
                <w:sz w:val="22"/>
                <w:szCs w:val="22"/>
              </w:rPr>
            </w:pPr>
          </w:p>
        </w:tc>
        <w:tc>
          <w:tcPr>
            <w:tcW w:w="1560" w:type="dxa"/>
            <w:vAlign w:val="center"/>
          </w:tcPr>
          <w:p w14:paraId="1CB3378C">
            <w:pPr>
              <w:jc w:val="center"/>
              <w:rPr>
                <w:rFonts w:ascii="仿宋" w:hAnsi="仿宋" w:eastAsia="仿宋" w:cs="仿宋"/>
                <w:sz w:val="22"/>
                <w:szCs w:val="22"/>
              </w:rPr>
            </w:pPr>
          </w:p>
        </w:tc>
      </w:tr>
      <w:tr w14:paraId="0A2D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2949EFA4">
            <w:pPr>
              <w:jc w:val="center"/>
              <w:rPr>
                <w:rFonts w:ascii="仿宋" w:hAnsi="仿宋" w:eastAsia="仿宋" w:cs="仿宋"/>
                <w:sz w:val="22"/>
                <w:szCs w:val="22"/>
              </w:rPr>
            </w:pPr>
            <w:r>
              <w:rPr>
                <w:rFonts w:hint="eastAsia" w:ascii="仿宋" w:hAnsi="仿宋" w:eastAsia="仿宋" w:cs="仿宋"/>
                <w:sz w:val="22"/>
                <w:szCs w:val="22"/>
              </w:rPr>
              <w:t>8</w:t>
            </w:r>
          </w:p>
        </w:tc>
        <w:tc>
          <w:tcPr>
            <w:tcW w:w="2149" w:type="dxa"/>
            <w:vAlign w:val="center"/>
          </w:tcPr>
          <w:p w14:paraId="0DAD3DDA">
            <w:pPr>
              <w:spacing w:line="360" w:lineRule="auto"/>
              <w:jc w:val="center"/>
              <w:rPr>
                <w:rFonts w:ascii="仿宋" w:hAnsi="仿宋" w:eastAsia="仿宋" w:cs="仿宋"/>
                <w:b/>
                <w:sz w:val="22"/>
                <w:szCs w:val="22"/>
              </w:rPr>
            </w:pPr>
          </w:p>
        </w:tc>
        <w:tc>
          <w:tcPr>
            <w:tcW w:w="1903" w:type="dxa"/>
            <w:vAlign w:val="center"/>
          </w:tcPr>
          <w:p w14:paraId="221E95A1">
            <w:pPr>
              <w:jc w:val="center"/>
              <w:rPr>
                <w:rFonts w:ascii="仿宋" w:hAnsi="仿宋" w:eastAsia="仿宋" w:cs="仿宋"/>
                <w:b/>
                <w:sz w:val="22"/>
                <w:szCs w:val="22"/>
              </w:rPr>
            </w:pPr>
          </w:p>
        </w:tc>
        <w:tc>
          <w:tcPr>
            <w:tcW w:w="1031" w:type="dxa"/>
            <w:vAlign w:val="center"/>
          </w:tcPr>
          <w:p w14:paraId="3ED4F161">
            <w:pPr>
              <w:jc w:val="center"/>
              <w:rPr>
                <w:rFonts w:ascii="仿宋" w:hAnsi="仿宋" w:eastAsia="仿宋" w:cs="仿宋"/>
                <w:b/>
                <w:sz w:val="22"/>
                <w:szCs w:val="22"/>
              </w:rPr>
            </w:pPr>
          </w:p>
        </w:tc>
        <w:tc>
          <w:tcPr>
            <w:tcW w:w="1312" w:type="dxa"/>
            <w:vAlign w:val="center"/>
          </w:tcPr>
          <w:p w14:paraId="1EA1864E">
            <w:pPr>
              <w:jc w:val="center"/>
              <w:rPr>
                <w:rFonts w:ascii="仿宋" w:hAnsi="仿宋" w:eastAsia="仿宋" w:cs="仿宋"/>
                <w:b/>
                <w:sz w:val="22"/>
                <w:szCs w:val="22"/>
              </w:rPr>
            </w:pPr>
          </w:p>
        </w:tc>
        <w:tc>
          <w:tcPr>
            <w:tcW w:w="1560" w:type="dxa"/>
            <w:vAlign w:val="center"/>
          </w:tcPr>
          <w:p w14:paraId="0B973F0A">
            <w:pPr>
              <w:jc w:val="center"/>
              <w:rPr>
                <w:rFonts w:ascii="仿宋" w:hAnsi="仿宋" w:eastAsia="仿宋" w:cs="仿宋"/>
                <w:b/>
                <w:sz w:val="22"/>
                <w:szCs w:val="22"/>
              </w:rPr>
            </w:pPr>
          </w:p>
        </w:tc>
      </w:tr>
      <w:tr w14:paraId="4154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756E9934">
            <w:pPr>
              <w:jc w:val="center"/>
              <w:rPr>
                <w:rFonts w:ascii="仿宋" w:hAnsi="仿宋" w:eastAsia="仿宋" w:cs="仿宋"/>
                <w:sz w:val="22"/>
                <w:szCs w:val="22"/>
              </w:rPr>
            </w:pPr>
            <w:r>
              <w:rPr>
                <w:rFonts w:hint="eastAsia" w:ascii="仿宋" w:hAnsi="仿宋" w:eastAsia="仿宋" w:cs="仿宋"/>
                <w:sz w:val="22"/>
                <w:szCs w:val="22"/>
              </w:rPr>
              <w:t>9</w:t>
            </w:r>
          </w:p>
        </w:tc>
        <w:tc>
          <w:tcPr>
            <w:tcW w:w="2149" w:type="dxa"/>
            <w:vAlign w:val="center"/>
          </w:tcPr>
          <w:p w14:paraId="30DEE804">
            <w:pPr>
              <w:jc w:val="center"/>
              <w:rPr>
                <w:rFonts w:ascii="仿宋" w:hAnsi="仿宋" w:eastAsia="仿宋" w:cs="仿宋"/>
                <w:sz w:val="22"/>
                <w:szCs w:val="22"/>
              </w:rPr>
            </w:pPr>
          </w:p>
        </w:tc>
        <w:tc>
          <w:tcPr>
            <w:tcW w:w="1903" w:type="dxa"/>
            <w:vAlign w:val="center"/>
          </w:tcPr>
          <w:p w14:paraId="1DD8A40D">
            <w:pPr>
              <w:jc w:val="center"/>
              <w:rPr>
                <w:rFonts w:ascii="仿宋" w:hAnsi="仿宋" w:eastAsia="仿宋" w:cs="仿宋"/>
                <w:sz w:val="22"/>
                <w:szCs w:val="22"/>
              </w:rPr>
            </w:pPr>
          </w:p>
        </w:tc>
        <w:tc>
          <w:tcPr>
            <w:tcW w:w="1031" w:type="dxa"/>
            <w:vAlign w:val="center"/>
          </w:tcPr>
          <w:p w14:paraId="28FE18E9">
            <w:pPr>
              <w:jc w:val="center"/>
              <w:rPr>
                <w:rFonts w:ascii="仿宋" w:hAnsi="仿宋" w:eastAsia="仿宋" w:cs="仿宋"/>
                <w:sz w:val="22"/>
                <w:szCs w:val="22"/>
              </w:rPr>
            </w:pPr>
          </w:p>
        </w:tc>
        <w:tc>
          <w:tcPr>
            <w:tcW w:w="1312" w:type="dxa"/>
            <w:vAlign w:val="center"/>
          </w:tcPr>
          <w:p w14:paraId="19956091">
            <w:pPr>
              <w:jc w:val="center"/>
              <w:rPr>
                <w:rFonts w:ascii="仿宋" w:hAnsi="仿宋" w:eastAsia="仿宋" w:cs="仿宋"/>
                <w:sz w:val="22"/>
                <w:szCs w:val="22"/>
              </w:rPr>
            </w:pPr>
          </w:p>
        </w:tc>
        <w:tc>
          <w:tcPr>
            <w:tcW w:w="1560" w:type="dxa"/>
            <w:vAlign w:val="center"/>
          </w:tcPr>
          <w:p w14:paraId="01344713">
            <w:pPr>
              <w:jc w:val="center"/>
              <w:rPr>
                <w:rFonts w:ascii="仿宋" w:hAnsi="仿宋" w:eastAsia="仿宋" w:cs="仿宋"/>
                <w:sz w:val="22"/>
                <w:szCs w:val="22"/>
              </w:rPr>
            </w:pPr>
          </w:p>
        </w:tc>
      </w:tr>
      <w:tr w14:paraId="6927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0CAED18">
            <w:pPr>
              <w:jc w:val="center"/>
              <w:rPr>
                <w:rFonts w:ascii="仿宋" w:hAnsi="仿宋" w:eastAsia="仿宋" w:cs="仿宋"/>
                <w:sz w:val="22"/>
                <w:szCs w:val="22"/>
              </w:rPr>
            </w:pPr>
            <w:r>
              <w:rPr>
                <w:rFonts w:hint="eastAsia" w:ascii="仿宋" w:hAnsi="仿宋" w:eastAsia="仿宋" w:cs="仿宋"/>
                <w:sz w:val="22"/>
                <w:szCs w:val="22"/>
              </w:rPr>
              <w:t>10</w:t>
            </w:r>
          </w:p>
        </w:tc>
        <w:tc>
          <w:tcPr>
            <w:tcW w:w="2149" w:type="dxa"/>
            <w:vAlign w:val="center"/>
          </w:tcPr>
          <w:p w14:paraId="35C9C12B">
            <w:pPr>
              <w:jc w:val="center"/>
              <w:rPr>
                <w:rFonts w:ascii="仿宋" w:hAnsi="仿宋" w:eastAsia="仿宋" w:cs="仿宋"/>
                <w:sz w:val="22"/>
                <w:szCs w:val="22"/>
              </w:rPr>
            </w:pPr>
            <w:r>
              <w:rPr>
                <w:rFonts w:hint="eastAsia" w:ascii="仿宋" w:hAnsi="仿宋" w:eastAsia="仿宋" w:cs="仿宋"/>
                <w:sz w:val="22"/>
                <w:szCs w:val="22"/>
              </w:rPr>
              <w:t>……</w:t>
            </w:r>
          </w:p>
        </w:tc>
        <w:tc>
          <w:tcPr>
            <w:tcW w:w="1903" w:type="dxa"/>
            <w:vAlign w:val="center"/>
          </w:tcPr>
          <w:p w14:paraId="5A57CF2B">
            <w:pPr>
              <w:jc w:val="center"/>
              <w:rPr>
                <w:rFonts w:ascii="仿宋" w:hAnsi="仿宋" w:eastAsia="仿宋" w:cs="仿宋"/>
                <w:sz w:val="22"/>
                <w:szCs w:val="22"/>
              </w:rPr>
            </w:pPr>
          </w:p>
        </w:tc>
        <w:tc>
          <w:tcPr>
            <w:tcW w:w="1031" w:type="dxa"/>
            <w:vAlign w:val="center"/>
          </w:tcPr>
          <w:p w14:paraId="4C70C2F3">
            <w:pPr>
              <w:jc w:val="center"/>
              <w:rPr>
                <w:rFonts w:ascii="仿宋" w:hAnsi="仿宋" w:eastAsia="仿宋" w:cs="仿宋"/>
                <w:sz w:val="22"/>
                <w:szCs w:val="22"/>
              </w:rPr>
            </w:pPr>
          </w:p>
        </w:tc>
        <w:tc>
          <w:tcPr>
            <w:tcW w:w="1312" w:type="dxa"/>
            <w:vAlign w:val="center"/>
          </w:tcPr>
          <w:p w14:paraId="2476423F">
            <w:pPr>
              <w:jc w:val="center"/>
              <w:rPr>
                <w:rFonts w:ascii="仿宋" w:hAnsi="仿宋" w:eastAsia="仿宋" w:cs="仿宋"/>
                <w:sz w:val="22"/>
                <w:szCs w:val="22"/>
              </w:rPr>
            </w:pPr>
          </w:p>
        </w:tc>
        <w:tc>
          <w:tcPr>
            <w:tcW w:w="1560" w:type="dxa"/>
            <w:vAlign w:val="center"/>
          </w:tcPr>
          <w:p w14:paraId="4E278B74">
            <w:pPr>
              <w:jc w:val="center"/>
              <w:rPr>
                <w:rFonts w:ascii="仿宋" w:hAnsi="仿宋" w:eastAsia="仿宋" w:cs="仿宋"/>
                <w:sz w:val="22"/>
                <w:szCs w:val="22"/>
              </w:rPr>
            </w:pPr>
          </w:p>
        </w:tc>
      </w:tr>
      <w:tr w14:paraId="2D5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35" w:type="dxa"/>
            <w:gridSpan w:val="5"/>
            <w:vAlign w:val="center"/>
          </w:tcPr>
          <w:p w14:paraId="59045AC9">
            <w:pPr>
              <w:spacing w:line="360" w:lineRule="auto"/>
              <w:jc w:val="center"/>
              <w:rPr>
                <w:rFonts w:ascii="仿宋" w:hAnsi="仿宋" w:eastAsia="仿宋" w:cs="仿宋"/>
                <w:sz w:val="22"/>
                <w:szCs w:val="22"/>
              </w:rPr>
            </w:pPr>
            <w:r>
              <w:rPr>
                <w:rFonts w:hint="eastAsia" w:ascii="仿宋" w:hAnsi="仿宋" w:eastAsia="仿宋" w:cs="仿宋"/>
                <w:sz w:val="22"/>
                <w:szCs w:val="22"/>
              </w:rPr>
              <w:t>投标总价（元）</w:t>
            </w:r>
          </w:p>
        </w:tc>
        <w:tc>
          <w:tcPr>
            <w:tcW w:w="1560" w:type="dxa"/>
            <w:vAlign w:val="center"/>
          </w:tcPr>
          <w:p w14:paraId="5727CD87">
            <w:pPr>
              <w:spacing w:line="360" w:lineRule="auto"/>
              <w:jc w:val="center"/>
              <w:rPr>
                <w:rFonts w:ascii="仿宋" w:hAnsi="仿宋" w:eastAsia="仿宋" w:cs="仿宋"/>
                <w:sz w:val="22"/>
                <w:szCs w:val="22"/>
              </w:rPr>
            </w:pPr>
          </w:p>
        </w:tc>
      </w:tr>
    </w:tbl>
    <w:p w14:paraId="3BF8A046">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说明：</w:t>
      </w:r>
    </w:p>
    <w:p w14:paraId="4F176269">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1. 总计价应与附件7《开标一览表》中的投标总价相一致。</w:t>
      </w:r>
    </w:p>
    <w:p w14:paraId="74127EF7">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2. 不提供此表将视为没有实质性响应招标文件。</w:t>
      </w:r>
    </w:p>
    <w:p w14:paraId="60F3A64E">
      <w:pPr>
        <w:spacing w:line="380" w:lineRule="exact"/>
        <w:ind w:firstLine="440" w:firstLineChars="200"/>
        <w:rPr>
          <w:rFonts w:ascii="仿宋" w:hAnsi="仿宋" w:eastAsia="仿宋" w:cs="新宋体"/>
          <w:sz w:val="22"/>
          <w:szCs w:val="22"/>
        </w:rPr>
      </w:pPr>
      <w:r>
        <w:rPr>
          <w:rFonts w:hint="eastAsia" w:ascii="仿宋" w:hAnsi="仿宋" w:eastAsia="仿宋" w:cs="新宋体"/>
          <w:sz w:val="22"/>
          <w:szCs w:val="22"/>
        </w:rPr>
        <w:t>3．本表可在不改变格式的情况下根据具体需要自行增减。</w:t>
      </w:r>
    </w:p>
    <w:p w14:paraId="3555CF65">
      <w:pPr>
        <w:snapToGrid w:val="0"/>
        <w:spacing w:line="360" w:lineRule="auto"/>
        <w:ind w:firstLine="576"/>
        <w:jc w:val="center"/>
        <w:rPr>
          <w:rFonts w:ascii="仿宋" w:hAnsi="仿宋" w:eastAsia="仿宋" w:cs="仿宋_GB2312"/>
          <w:kern w:val="0"/>
          <w:sz w:val="24"/>
          <w:lang w:val="zh-CN"/>
        </w:rPr>
      </w:pPr>
    </w:p>
    <w:p w14:paraId="42FB19BF">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_GB2312"/>
          <w:kern w:val="0"/>
          <w:sz w:val="24"/>
        </w:rPr>
        <w:t xml:space="preserve">                                            </w:t>
      </w:r>
      <w:r>
        <w:rPr>
          <w:rFonts w:hint="eastAsia" w:ascii="仿宋" w:hAnsi="仿宋" w:eastAsia="仿宋" w:cs="仿宋"/>
          <w:kern w:val="0"/>
          <w:sz w:val="24"/>
          <w:lang w:val="zh-CN"/>
        </w:rPr>
        <w:t xml:space="preserve">投标人名称(电子签名)：                              </w:t>
      </w:r>
    </w:p>
    <w:p w14:paraId="3E291360">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日期：  年  月  日</w:t>
      </w:r>
    </w:p>
    <w:p w14:paraId="419D55A7">
      <w:pPr>
        <w:pStyle w:val="3"/>
        <w:jc w:val="right"/>
        <w:rPr>
          <w:b w:val="0"/>
          <w:bCs w:val="0"/>
          <w:lang w:val="zh-CN"/>
        </w:rPr>
        <w:sectPr>
          <w:pgSz w:w="11907" w:h="16840"/>
          <w:pgMar w:top="1474" w:right="1814" w:bottom="1474" w:left="1814" w:header="851" w:footer="851" w:gutter="0"/>
          <w:cols w:space="720" w:num="1"/>
        </w:sectPr>
      </w:pPr>
    </w:p>
    <w:bookmarkEnd w:id="100"/>
    <w:bookmarkEnd w:id="101"/>
    <w:p w14:paraId="057E4B50">
      <w:pPr>
        <w:pStyle w:val="21"/>
        <w:overflowPunct w:val="0"/>
        <w:spacing w:after="0" w:line="460" w:lineRule="exact"/>
        <w:jc w:val="center"/>
        <w:rPr>
          <w:rFonts w:ascii="仿宋" w:hAnsi="仿宋" w:eastAsia="仿宋" w:cs="仿宋"/>
          <w:b/>
          <w:sz w:val="36"/>
          <w:szCs w:val="36"/>
        </w:rPr>
      </w:pPr>
      <w:r>
        <w:rPr>
          <w:rStyle w:val="84"/>
          <w:rFonts w:hint="eastAsia" w:ascii="仿宋" w:hAnsi="仿宋" w:eastAsia="仿宋" w:cs="仿宋"/>
          <w:sz w:val="36"/>
          <w:szCs w:val="36"/>
        </w:rPr>
        <w:t>第六部分  评标办法</w:t>
      </w:r>
    </w:p>
    <w:p w14:paraId="1233FDF0">
      <w:pPr>
        <w:snapToGrid w:val="0"/>
        <w:spacing w:line="360" w:lineRule="auto"/>
        <w:jc w:val="center"/>
        <w:rPr>
          <w:rFonts w:ascii="仿宋" w:hAnsi="仿宋" w:eastAsia="仿宋" w:cs="仿宋"/>
          <w:b/>
          <w:sz w:val="28"/>
          <w:szCs w:val="28"/>
        </w:rPr>
      </w:pPr>
      <w:bookmarkStart w:id="103" w:name="_Hlk93170489"/>
      <w:r>
        <w:rPr>
          <w:rFonts w:hint="eastAsia" w:ascii="仿宋" w:hAnsi="仿宋" w:eastAsia="仿宋" w:cs="仿宋"/>
          <w:b/>
          <w:sz w:val="28"/>
          <w:szCs w:val="28"/>
        </w:rPr>
        <w:t>评标办法前附表</w:t>
      </w:r>
    </w:p>
    <w:tbl>
      <w:tblPr>
        <w:tblStyle w:val="57"/>
        <w:tblW w:w="9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7"/>
        <w:gridCol w:w="1097"/>
        <w:gridCol w:w="1780"/>
        <w:gridCol w:w="5126"/>
        <w:gridCol w:w="668"/>
      </w:tblGrid>
      <w:tr w14:paraId="4FAE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004" w:type="dxa"/>
            <w:gridSpan w:val="3"/>
            <w:tcBorders>
              <w:top w:val="single" w:color="auto" w:sz="4" w:space="0"/>
              <w:bottom w:val="single" w:color="auto" w:sz="4" w:space="0"/>
              <w:right w:val="single" w:color="auto" w:sz="4" w:space="0"/>
            </w:tcBorders>
            <w:vAlign w:val="center"/>
          </w:tcPr>
          <w:p w14:paraId="719FF93E">
            <w:pPr>
              <w:jc w:val="center"/>
              <w:rPr>
                <w:rFonts w:ascii="仿宋" w:hAnsi="仿宋" w:eastAsia="仿宋" w:cs="仿宋"/>
                <w:b/>
                <w:bCs/>
                <w:sz w:val="24"/>
              </w:rPr>
            </w:pPr>
            <w:r>
              <w:rPr>
                <w:rFonts w:hint="eastAsia" w:ascii="仿宋" w:hAnsi="仿宋" w:eastAsia="仿宋" w:cs="仿宋"/>
                <w:b/>
                <w:bCs/>
                <w:sz w:val="24"/>
              </w:rPr>
              <w:t>条款号</w:t>
            </w:r>
          </w:p>
        </w:tc>
        <w:tc>
          <w:tcPr>
            <w:tcW w:w="1780" w:type="dxa"/>
            <w:tcBorders>
              <w:top w:val="single" w:color="auto" w:sz="4" w:space="0"/>
              <w:left w:val="single" w:color="auto" w:sz="4" w:space="0"/>
              <w:bottom w:val="single" w:color="auto" w:sz="4" w:space="0"/>
              <w:right w:val="single" w:color="auto" w:sz="4" w:space="0"/>
            </w:tcBorders>
            <w:vAlign w:val="center"/>
          </w:tcPr>
          <w:p w14:paraId="23A69CA5">
            <w:pPr>
              <w:jc w:val="center"/>
              <w:rPr>
                <w:rFonts w:ascii="仿宋" w:hAnsi="仿宋" w:eastAsia="仿宋" w:cs="仿宋"/>
                <w:b/>
                <w:bCs/>
                <w:sz w:val="24"/>
              </w:rPr>
            </w:pPr>
            <w:r>
              <w:rPr>
                <w:rFonts w:hint="eastAsia" w:ascii="仿宋" w:hAnsi="仿宋" w:eastAsia="仿宋" w:cs="仿宋"/>
                <w:b/>
                <w:bCs/>
                <w:sz w:val="24"/>
              </w:rPr>
              <w:t>评审因素</w:t>
            </w:r>
          </w:p>
        </w:tc>
        <w:tc>
          <w:tcPr>
            <w:tcW w:w="5794" w:type="dxa"/>
            <w:gridSpan w:val="2"/>
            <w:tcBorders>
              <w:top w:val="single" w:color="auto" w:sz="4" w:space="0"/>
              <w:left w:val="single" w:color="auto" w:sz="4" w:space="0"/>
              <w:bottom w:val="single" w:color="auto" w:sz="4" w:space="0"/>
            </w:tcBorders>
            <w:vAlign w:val="center"/>
          </w:tcPr>
          <w:p w14:paraId="56325577">
            <w:pPr>
              <w:jc w:val="center"/>
              <w:rPr>
                <w:rFonts w:ascii="仿宋" w:hAnsi="仿宋" w:eastAsia="仿宋" w:cs="仿宋"/>
                <w:b/>
                <w:bCs/>
                <w:sz w:val="24"/>
              </w:rPr>
            </w:pPr>
            <w:r>
              <w:rPr>
                <w:rFonts w:hint="eastAsia" w:ascii="仿宋" w:hAnsi="仿宋" w:eastAsia="仿宋" w:cs="仿宋"/>
                <w:b/>
                <w:bCs/>
                <w:sz w:val="24"/>
              </w:rPr>
              <w:t>评审标准</w:t>
            </w:r>
          </w:p>
        </w:tc>
      </w:tr>
      <w:tr w14:paraId="2BCC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restart"/>
            <w:tcBorders>
              <w:top w:val="single" w:color="auto" w:sz="4" w:space="0"/>
              <w:right w:val="single" w:color="auto" w:sz="4" w:space="0"/>
            </w:tcBorders>
            <w:vAlign w:val="center"/>
          </w:tcPr>
          <w:p w14:paraId="15049F7B">
            <w:pPr>
              <w:jc w:val="center"/>
              <w:rPr>
                <w:rFonts w:ascii="仿宋" w:hAnsi="仿宋" w:eastAsia="仿宋" w:cs="仿宋"/>
                <w:sz w:val="24"/>
              </w:rPr>
            </w:pPr>
            <w:r>
              <w:rPr>
                <w:rFonts w:hint="eastAsia" w:ascii="仿宋" w:hAnsi="仿宋" w:eastAsia="仿宋" w:cs="仿宋"/>
                <w:sz w:val="24"/>
              </w:rPr>
              <w:t>1</w:t>
            </w:r>
          </w:p>
        </w:tc>
        <w:tc>
          <w:tcPr>
            <w:tcW w:w="1114" w:type="dxa"/>
            <w:gridSpan w:val="2"/>
            <w:vMerge w:val="restart"/>
            <w:tcBorders>
              <w:top w:val="single" w:color="auto" w:sz="4" w:space="0"/>
              <w:left w:val="single" w:color="auto" w:sz="4" w:space="0"/>
              <w:right w:val="single" w:color="auto" w:sz="4" w:space="0"/>
            </w:tcBorders>
            <w:vAlign w:val="center"/>
          </w:tcPr>
          <w:p w14:paraId="0FB4E524">
            <w:pPr>
              <w:jc w:val="center"/>
              <w:rPr>
                <w:rFonts w:ascii="仿宋" w:hAnsi="仿宋" w:eastAsia="仿宋" w:cs="仿宋"/>
                <w:sz w:val="24"/>
              </w:rPr>
            </w:pPr>
            <w:r>
              <w:rPr>
                <w:rFonts w:hint="eastAsia" w:ascii="仿宋" w:hAnsi="仿宋" w:eastAsia="仿宋" w:cs="仿宋"/>
                <w:sz w:val="24"/>
              </w:rPr>
              <w:t>评标方法</w:t>
            </w:r>
          </w:p>
        </w:tc>
        <w:tc>
          <w:tcPr>
            <w:tcW w:w="1780" w:type="dxa"/>
            <w:tcBorders>
              <w:top w:val="single" w:color="auto" w:sz="4" w:space="0"/>
              <w:left w:val="single" w:color="auto" w:sz="4" w:space="0"/>
              <w:bottom w:val="single" w:color="auto" w:sz="4" w:space="0"/>
              <w:right w:val="single" w:color="auto" w:sz="4" w:space="0"/>
            </w:tcBorders>
            <w:vAlign w:val="center"/>
          </w:tcPr>
          <w:p w14:paraId="05B75250">
            <w:pPr>
              <w:jc w:val="center"/>
              <w:rPr>
                <w:rFonts w:ascii="仿宋" w:hAnsi="仿宋" w:eastAsia="仿宋" w:cs="仿宋"/>
                <w:sz w:val="24"/>
              </w:rPr>
            </w:pPr>
            <w:r>
              <w:rPr>
                <w:rFonts w:hint="eastAsia" w:ascii="仿宋" w:hAnsi="仿宋" w:eastAsia="仿宋" w:cs="仿宋"/>
                <w:sz w:val="24"/>
              </w:rPr>
              <w:t>评标办法</w:t>
            </w:r>
          </w:p>
        </w:tc>
        <w:tc>
          <w:tcPr>
            <w:tcW w:w="5794" w:type="dxa"/>
            <w:gridSpan w:val="2"/>
            <w:tcBorders>
              <w:top w:val="single" w:color="auto" w:sz="4" w:space="0"/>
              <w:left w:val="single" w:color="auto" w:sz="4" w:space="0"/>
              <w:bottom w:val="single" w:color="auto" w:sz="4" w:space="0"/>
            </w:tcBorders>
            <w:vAlign w:val="center"/>
          </w:tcPr>
          <w:p w14:paraId="106A6B81">
            <w:pPr>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综合评分法</w:t>
            </w:r>
          </w:p>
        </w:tc>
      </w:tr>
      <w:tr w14:paraId="3C34C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03CFAB">
            <w:pPr>
              <w:jc w:val="center"/>
              <w:rPr>
                <w:rFonts w:ascii="仿宋" w:hAnsi="仿宋" w:eastAsia="仿宋" w:cs="仿宋"/>
                <w:sz w:val="24"/>
              </w:rPr>
            </w:pPr>
          </w:p>
        </w:tc>
        <w:tc>
          <w:tcPr>
            <w:tcW w:w="1114" w:type="dxa"/>
            <w:gridSpan w:val="2"/>
            <w:vMerge w:val="continue"/>
            <w:tcBorders>
              <w:top w:val="single" w:color="auto" w:sz="4" w:space="0"/>
              <w:left w:val="single" w:color="auto" w:sz="4" w:space="0"/>
              <w:right w:val="single" w:color="auto" w:sz="4" w:space="0"/>
            </w:tcBorders>
            <w:vAlign w:val="center"/>
          </w:tcPr>
          <w:p w14:paraId="26965A44">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10C96DD9">
            <w:pPr>
              <w:jc w:val="center"/>
              <w:rPr>
                <w:rFonts w:ascii="仿宋" w:hAnsi="仿宋" w:eastAsia="仿宋" w:cs="仿宋"/>
                <w:sz w:val="24"/>
              </w:rPr>
            </w:pPr>
            <w:r>
              <w:rPr>
                <w:rFonts w:hint="eastAsia" w:ascii="仿宋" w:hAnsi="仿宋" w:eastAsia="仿宋" w:cs="仿宋"/>
                <w:sz w:val="24"/>
              </w:rPr>
              <w:t>推荐中标候选人的数量</w:t>
            </w:r>
          </w:p>
        </w:tc>
        <w:tc>
          <w:tcPr>
            <w:tcW w:w="5794" w:type="dxa"/>
            <w:gridSpan w:val="2"/>
            <w:tcBorders>
              <w:top w:val="single" w:color="auto" w:sz="4" w:space="0"/>
              <w:left w:val="single" w:color="auto" w:sz="4" w:space="0"/>
              <w:bottom w:val="single" w:color="auto" w:sz="4" w:space="0"/>
            </w:tcBorders>
            <w:vAlign w:val="center"/>
          </w:tcPr>
          <w:p w14:paraId="51E84D3C">
            <w:pPr>
              <w:rPr>
                <w:rFonts w:ascii="仿宋" w:hAnsi="仿宋" w:eastAsia="仿宋" w:cs="仿宋"/>
                <w:kern w:val="0"/>
                <w:sz w:val="24"/>
              </w:rPr>
            </w:pPr>
            <w:r>
              <w:rPr>
                <w:rFonts w:hint="eastAsia" w:ascii="仿宋" w:hAnsi="仿宋" w:eastAsia="仿宋" w:cs="仿宋"/>
                <w:kern w:val="0"/>
                <w:sz w:val="24"/>
              </w:rPr>
              <w:t>1人</w:t>
            </w:r>
          </w:p>
        </w:tc>
      </w:tr>
      <w:tr w14:paraId="317A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183441">
            <w:pPr>
              <w:jc w:val="center"/>
              <w:rPr>
                <w:rFonts w:ascii="仿宋" w:hAnsi="仿宋" w:eastAsia="仿宋" w:cs="仿宋"/>
                <w:sz w:val="24"/>
              </w:rPr>
            </w:pPr>
          </w:p>
        </w:tc>
        <w:tc>
          <w:tcPr>
            <w:tcW w:w="1114" w:type="dxa"/>
            <w:gridSpan w:val="2"/>
            <w:vMerge w:val="continue"/>
            <w:tcBorders>
              <w:top w:val="single" w:color="auto" w:sz="4" w:space="0"/>
              <w:left w:val="single" w:color="auto" w:sz="4" w:space="0"/>
              <w:right w:val="single" w:color="auto" w:sz="4" w:space="0"/>
            </w:tcBorders>
            <w:vAlign w:val="center"/>
          </w:tcPr>
          <w:p w14:paraId="4FBDF308">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5CB43471">
            <w:pPr>
              <w:jc w:val="center"/>
              <w:rPr>
                <w:rFonts w:ascii="仿宋" w:hAnsi="仿宋" w:eastAsia="仿宋" w:cs="仿宋"/>
                <w:sz w:val="24"/>
              </w:rPr>
            </w:pPr>
            <w:r>
              <w:rPr>
                <w:rFonts w:hint="eastAsia" w:ascii="仿宋" w:hAnsi="仿宋" w:eastAsia="仿宋" w:cs="仿宋"/>
                <w:sz w:val="24"/>
              </w:rPr>
              <w:t>综合评分、投标报价均相等时确定中标候选人排序的方式</w:t>
            </w:r>
          </w:p>
        </w:tc>
        <w:tc>
          <w:tcPr>
            <w:tcW w:w="5794" w:type="dxa"/>
            <w:gridSpan w:val="2"/>
            <w:tcBorders>
              <w:top w:val="single" w:color="auto" w:sz="4" w:space="0"/>
              <w:left w:val="single" w:color="auto" w:sz="4" w:space="0"/>
              <w:bottom w:val="single" w:color="auto" w:sz="4" w:space="0"/>
            </w:tcBorders>
            <w:vAlign w:val="center"/>
          </w:tcPr>
          <w:p w14:paraId="1E9ADF3F">
            <w:pPr>
              <w:rPr>
                <w:rFonts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rPr>
              <w:t>由招标人代表或招标人委派的评委</w:t>
            </w:r>
            <w:r>
              <w:rPr>
                <w:rFonts w:hint="eastAsia" w:ascii="仿宋" w:hAnsi="仿宋" w:eastAsia="仿宋" w:cs="仿宋"/>
                <w:sz w:val="24"/>
              </w:rPr>
              <w:t>抽签确定优先名次</w:t>
            </w:r>
          </w:p>
        </w:tc>
      </w:tr>
      <w:tr w14:paraId="5147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7957D05F">
            <w:pPr>
              <w:jc w:val="center"/>
              <w:rPr>
                <w:rFonts w:ascii="仿宋" w:hAnsi="仿宋" w:eastAsia="仿宋" w:cs="仿宋"/>
                <w:sz w:val="24"/>
              </w:rPr>
            </w:pPr>
            <w:r>
              <w:rPr>
                <w:rFonts w:hint="eastAsia" w:ascii="仿宋" w:hAnsi="仿宋" w:eastAsia="仿宋" w:cs="仿宋"/>
                <w:sz w:val="24"/>
              </w:rPr>
              <w:t>2.1.2</w:t>
            </w:r>
          </w:p>
        </w:tc>
        <w:tc>
          <w:tcPr>
            <w:tcW w:w="1114" w:type="dxa"/>
            <w:gridSpan w:val="2"/>
            <w:vMerge w:val="restart"/>
            <w:tcBorders>
              <w:top w:val="single" w:color="auto" w:sz="4" w:space="0"/>
              <w:left w:val="single" w:color="auto" w:sz="4" w:space="0"/>
              <w:right w:val="single" w:color="auto" w:sz="4" w:space="0"/>
            </w:tcBorders>
            <w:vAlign w:val="center"/>
          </w:tcPr>
          <w:p w14:paraId="51223170">
            <w:pPr>
              <w:jc w:val="center"/>
              <w:rPr>
                <w:rFonts w:ascii="仿宋" w:hAnsi="仿宋" w:eastAsia="仿宋" w:cs="仿宋"/>
                <w:sz w:val="24"/>
              </w:rPr>
            </w:pPr>
            <w:r>
              <w:rPr>
                <w:rFonts w:hint="eastAsia" w:ascii="仿宋" w:hAnsi="仿宋" w:eastAsia="仿宋" w:cs="仿宋"/>
                <w:sz w:val="24"/>
              </w:rPr>
              <w:t>资格审查</w:t>
            </w:r>
          </w:p>
        </w:tc>
        <w:tc>
          <w:tcPr>
            <w:tcW w:w="1780" w:type="dxa"/>
            <w:tcBorders>
              <w:top w:val="single" w:color="auto" w:sz="4" w:space="0"/>
              <w:left w:val="single" w:color="auto" w:sz="4" w:space="0"/>
              <w:bottom w:val="single" w:color="auto" w:sz="4" w:space="0"/>
              <w:right w:val="single" w:color="auto" w:sz="4" w:space="0"/>
            </w:tcBorders>
            <w:vAlign w:val="center"/>
          </w:tcPr>
          <w:p w14:paraId="2B0512AD">
            <w:pPr>
              <w:jc w:val="center"/>
              <w:rPr>
                <w:rFonts w:ascii="仿宋" w:hAnsi="仿宋" w:eastAsia="仿宋" w:cs="仿宋"/>
                <w:sz w:val="24"/>
              </w:rPr>
            </w:pPr>
            <w:r>
              <w:rPr>
                <w:rFonts w:hint="eastAsia" w:ascii="仿宋" w:hAnsi="仿宋" w:eastAsia="仿宋" w:cs="仿宋"/>
                <w:sz w:val="24"/>
              </w:rPr>
              <w:t>落实政府采购政策需满足的资格要求</w:t>
            </w:r>
          </w:p>
        </w:tc>
        <w:tc>
          <w:tcPr>
            <w:tcW w:w="5794" w:type="dxa"/>
            <w:gridSpan w:val="2"/>
            <w:tcBorders>
              <w:top w:val="single" w:color="auto" w:sz="4" w:space="0"/>
              <w:left w:val="single" w:color="auto" w:sz="4" w:space="0"/>
              <w:bottom w:val="single" w:color="auto" w:sz="4" w:space="0"/>
            </w:tcBorders>
            <w:vAlign w:val="center"/>
          </w:tcPr>
          <w:p w14:paraId="5F8B57CC">
            <w:pPr>
              <w:rPr>
                <w:rFonts w:ascii="仿宋" w:hAnsi="仿宋" w:eastAsia="仿宋" w:cs="仿宋"/>
                <w:sz w:val="24"/>
              </w:rPr>
            </w:pPr>
            <w:r>
              <w:rPr>
                <w:rFonts w:hint="eastAsia" w:ascii="仿宋" w:hAnsi="仿宋" w:eastAsia="仿宋" w:cs="仿宋"/>
                <w:sz w:val="24"/>
              </w:rPr>
              <w:t>专门面向中小企业采购，提供中小企业声明函。</w:t>
            </w:r>
          </w:p>
        </w:tc>
      </w:tr>
      <w:tr w14:paraId="110E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002DF9D4">
            <w:pPr>
              <w:jc w:val="center"/>
              <w:rPr>
                <w:rFonts w:ascii="仿宋" w:hAnsi="仿宋" w:eastAsia="仿宋" w:cs="仿宋"/>
                <w:sz w:val="24"/>
              </w:rPr>
            </w:pPr>
            <w:r>
              <w:rPr>
                <w:rFonts w:hint="eastAsia" w:ascii="仿宋" w:hAnsi="仿宋" w:eastAsia="仿宋" w:cs="仿宋"/>
                <w:sz w:val="24"/>
              </w:rPr>
              <w:t>2.1.3</w:t>
            </w:r>
          </w:p>
        </w:tc>
        <w:tc>
          <w:tcPr>
            <w:tcW w:w="1114" w:type="dxa"/>
            <w:gridSpan w:val="2"/>
            <w:vMerge w:val="continue"/>
            <w:tcBorders>
              <w:left w:val="single" w:color="auto" w:sz="4" w:space="0"/>
              <w:bottom w:val="single" w:color="auto" w:sz="4" w:space="0"/>
              <w:right w:val="single" w:color="auto" w:sz="4" w:space="0"/>
            </w:tcBorders>
            <w:vAlign w:val="center"/>
          </w:tcPr>
          <w:p w14:paraId="65EFC142">
            <w:pPr>
              <w:jc w:val="center"/>
              <w:rPr>
                <w:rFonts w:ascii="仿宋" w:hAnsi="仿宋" w:eastAsia="仿宋" w:cs="仿宋"/>
                <w:sz w:val="24"/>
              </w:rPr>
            </w:pPr>
          </w:p>
        </w:tc>
        <w:tc>
          <w:tcPr>
            <w:tcW w:w="1780" w:type="dxa"/>
            <w:tcBorders>
              <w:top w:val="single" w:color="auto" w:sz="4" w:space="0"/>
              <w:left w:val="single" w:color="auto" w:sz="4" w:space="0"/>
              <w:bottom w:val="single" w:color="auto" w:sz="4" w:space="0"/>
              <w:right w:val="single" w:color="auto" w:sz="4" w:space="0"/>
            </w:tcBorders>
            <w:vAlign w:val="center"/>
          </w:tcPr>
          <w:p w14:paraId="28B2A55A">
            <w:pPr>
              <w:jc w:val="center"/>
              <w:rPr>
                <w:rFonts w:ascii="仿宋" w:hAnsi="仿宋" w:eastAsia="仿宋" w:cs="仿宋"/>
                <w:sz w:val="24"/>
              </w:rPr>
            </w:pPr>
            <w:r>
              <w:rPr>
                <w:rFonts w:hint="eastAsia" w:ascii="仿宋" w:hAnsi="仿宋" w:eastAsia="仿宋" w:cs="仿宋"/>
                <w:sz w:val="24"/>
              </w:rPr>
              <w:t>特定资格条件要求</w:t>
            </w:r>
          </w:p>
        </w:tc>
        <w:tc>
          <w:tcPr>
            <w:tcW w:w="5794" w:type="dxa"/>
            <w:gridSpan w:val="2"/>
            <w:tcBorders>
              <w:top w:val="single" w:color="auto" w:sz="4" w:space="0"/>
              <w:left w:val="single" w:color="auto" w:sz="4" w:space="0"/>
              <w:bottom w:val="single" w:color="auto" w:sz="4" w:space="0"/>
            </w:tcBorders>
            <w:vAlign w:val="center"/>
          </w:tcPr>
          <w:p w14:paraId="3FE30F46">
            <w:pPr>
              <w:ind w:firstLine="240" w:firstLineChars="100"/>
              <w:rPr>
                <w:rFonts w:ascii="仿宋" w:hAnsi="仿宋" w:eastAsia="仿宋" w:cs="仿宋"/>
                <w:sz w:val="24"/>
              </w:rPr>
            </w:pPr>
            <w:r>
              <w:rPr>
                <w:rFonts w:hint="eastAsia" w:ascii="仿宋" w:hAnsi="仿宋" w:eastAsia="仿宋" w:cs="仿宋"/>
                <w:sz w:val="24"/>
              </w:rPr>
              <w:t>/</w:t>
            </w:r>
          </w:p>
        </w:tc>
      </w:tr>
      <w:tr w14:paraId="62164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2873CC44">
            <w:pPr>
              <w:jc w:val="center"/>
              <w:rPr>
                <w:rFonts w:ascii="仿宋" w:hAnsi="仿宋" w:eastAsia="仿宋" w:cs="仿宋"/>
                <w:sz w:val="24"/>
              </w:rPr>
            </w:pPr>
            <w:r>
              <w:rPr>
                <w:rFonts w:hint="eastAsia" w:ascii="仿宋" w:hAnsi="仿宋" w:eastAsia="仿宋" w:cs="仿宋"/>
                <w:sz w:val="24"/>
              </w:rPr>
              <w:t>2.2</w:t>
            </w:r>
          </w:p>
        </w:tc>
        <w:tc>
          <w:tcPr>
            <w:tcW w:w="1114" w:type="dxa"/>
            <w:gridSpan w:val="2"/>
            <w:tcBorders>
              <w:top w:val="single" w:color="auto" w:sz="4" w:space="0"/>
              <w:left w:val="single" w:color="auto" w:sz="4" w:space="0"/>
              <w:bottom w:val="single" w:color="auto" w:sz="4" w:space="0"/>
              <w:right w:val="single" w:color="auto" w:sz="4" w:space="0"/>
            </w:tcBorders>
            <w:vAlign w:val="center"/>
          </w:tcPr>
          <w:p w14:paraId="3C1F4B81">
            <w:pPr>
              <w:jc w:val="center"/>
              <w:rPr>
                <w:rFonts w:ascii="仿宋" w:hAnsi="仿宋" w:eastAsia="仿宋" w:cs="仿宋"/>
                <w:sz w:val="24"/>
              </w:rPr>
            </w:pPr>
            <w:r>
              <w:rPr>
                <w:rFonts w:hint="eastAsia" w:ascii="仿宋" w:hAnsi="仿宋" w:eastAsia="仿宋" w:cs="仿宋"/>
                <w:sz w:val="24"/>
              </w:rPr>
              <w:t>符合性审查</w:t>
            </w:r>
          </w:p>
        </w:tc>
        <w:tc>
          <w:tcPr>
            <w:tcW w:w="1780" w:type="dxa"/>
            <w:tcBorders>
              <w:top w:val="single" w:color="auto" w:sz="4" w:space="0"/>
              <w:left w:val="single" w:color="auto" w:sz="4" w:space="0"/>
              <w:bottom w:val="single" w:color="auto" w:sz="4" w:space="0"/>
              <w:right w:val="single" w:color="auto" w:sz="4" w:space="0"/>
            </w:tcBorders>
            <w:vAlign w:val="center"/>
          </w:tcPr>
          <w:p w14:paraId="23FD1312">
            <w:pPr>
              <w:jc w:val="center"/>
              <w:rPr>
                <w:rFonts w:ascii="仿宋" w:hAnsi="仿宋" w:eastAsia="仿宋" w:cs="仿宋"/>
                <w:sz w:val="24"/>
              </w:rPr>
            </w:pPr>
            <w:r>
              <w:rPr>
                <w:rFonts w:hint="eastAsia" w:ascii="仿宋" w:hAnsi="仿宋" w:eastAsia="仿宋" w:cs="仿宋"/>
                <w:sz w:val="24"/>
              </w:rPr>
              <w:t>符合性审查其他要求</w:t>
            </w:r>
          </w:p>
        </w:tc>
        <w:tc>
          <w:tcPr>
            <w:tcW w:w="5794" w:type="dxa"/>
            <w:gridSpan w:val="2"/>
            <w:tcBorders>
              <w:top w:val="single" w:color="auto" w:sz="4" w:space="0"/>
              <w:left w:val="single" w:color="auto" w:sz="4" w:space="0"/>
              <w:bottom w:val="single" w:color="auto" w:sz="4" w:space="0"/>
            </w:tcBorders>
            <w:vAlign w:val="center"/>
          </w:tcPr>
          <w:p w14:paraId="1DDB0818">
            <w:pPr>
              <w:ind w:firstLine="267"/>
              <w:rPr>
                <w:rFonts w:ascii="仿宋" w:hAnsi="仿宋" w:eastAsia="仿宋" w:cs="仿宋"/>
                <w:sz w:val="24"/>
              </w:rPr>
            </w:pPr>
            <w:r>
              <w:rPr>
                <w:rFonts w:hint="eastAsia" w:ascii="仿宋" w:hAnsi="仿宋" w:eastAsia="仿宋" w:cs="仿宋"/>
                <w:sz w:val="24"/>
              </w:rPr>
              <w:t>/</w:t>
            </w:r>
          </w:p>
        </w:tc>
      </w:tr>
      <w:tr w14:paraId="16C6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5C079169">
            <w:pPr>
              <w:jc w:val="center"/>
              <w:rPr>
                <w:rFonts w:ascii="仿宋" w:hAnsi="仿宋" w:eastAsia="仿宋" w:cs="仿宋"/>
                <w:sz w:val="24"/>
              </w:rPr>
            </w:pPr>
            <w:r>
              <w:rPr>
                <w:rFonts w:hint="eastAsia" w:ascii="仿宋" w:hAnsi="仿宋" w:eastAsia="仿宋" w:cs="仿宋"/>
                <w:sz w:val="24"/>
              </w:rPr>
              <w:t>2.3.1</w:t>
            </w:r>
          </w:p>
        </w:tc>
        <w:tc>
          <w:tcPr>
            <w:tcW w:w="1780" w:type="dxa"/>
            <w:tcBorders>
              <w:top w:val="single" w:color="auto" w:sz="4" w:space="0"/>
              <w:left w:val="single" w:color="auto" w:sz="4" w:space="0"/>
              <w:bottom w:val="single" w:color="auto" w:sz="4" w:space="0"/>
              <w:right w:val="single" w:color="auto" w:sz="4" w:space="0"/>
            </w:tcBorders>
            <w:vAlign w:val="center"/>
          </w:tcPr>
          <w:p w14:paraId="4FFF6B42">
            <w:pPr>
              <w:jc w:val="center"/>
              <w:rPr>
                <w:rFonts w:ascii="仿宋" w:hAnsi="仿宋" w:eastAsia="仿宋" w:cs="仿宋"/>
                <w:sz w:val="24"/>
              </w:rPr>
            </w:pPr>
            <w:r>
              <w:rPr>
                <w:rFonts w:hint="eastAsia" w:ascii="仿宋" w:hAnsi="仿宋" w:eastAsia="仿宋" w:cs="仿宋"/>
                <w:sz w:val="24"/>
              </w:rPr>
              <w:t>分值权重构成</w:t>
            </w:r>
          </w:p>
        </w:tc>
        <w:tc>
          <w:tcPr>
            <w:tcW w:w="5794" w:type="dxa"/>
            <w:gridSpan w:val="2"/>
            <w:tcBorders>
              <w:top w:val="single" w:color="auto" w:sz="4" w:space="0"/>
              <w:left w:val="single" w:color="auto" w:sz="4" w:space="0"/>
              <w:bottom w:val="single" w:color="auto" w:sz="4" w:space="0"/>
            </w:tcBorders>
            <w:vAlign w:val="center"/>
          </w:tcPr>
          <w:p w14:paraId="3AFC1F54">
            <w:pPr>
              <w:snapToGrid w:val="0"/>
              <w:rPr>
                <w:rFonts w:ascii="仿宋" w:hAnsi="仿宋" w:eastAsia="仿宋" w:cs="仿宋"/>
                <w:sz w:val="24"/>
              </w:rPr>
            </w:pPr>
            <w:r>
              <w:rPr>
                <w:rFonts w:hint="eastAsia" w:ascii="仿宋" w:hAnsi="仿宋" w:eastAsia="仿宋" w:cs="仿宋"/>
                <w:sz w:val="24"/>
              </w:rPr>
              <w:t>商务技术权重：</w:t>
            </w:r>
            <w:r>
              <w:rPr>
                <w:rFonts w:hint="eastAsia" w:ascii="仿宋" w:hAnsi="仿宋" w:eastAsia="仿宋" w:cs="仿宋"/>
                <w:sz w:val="24"/>
                <w:u w:val="single"/>
              </w:rPr>
              <w:t xml:space="preserve"> 70 </w:t>
            </w:r>
            <w:r>
              <w:rPr>
                <w:rFonts w:hint="eastAsia" w:ascii="仿宋" w:hAnsi="仿宋" w:eastAsia="仿宋" w:cs="仿宋"/>
                <w:sz w:val="24"/>
              </w:rPr>
              <w:t>%</w:t>
            </w:r>
          </w:p>
          <w:p w14:paraId="5A1C5081">
            <w:pPr>
              <w:snapToGrid w:val="0"/>
              <w:rPr>
                <w:rFonts w:ascii="仿宋" w:hAnsi="仿宋" w:eastAsia="仿宋" w:cs="仿宋"/>
                <w:sz w:val="24"/>
              </w:rPr>
            </w:pPr>
            <w:r>
              <w:rPr>
                <w:rFonts w:hint="eastAsia" w:ascii="仿宋" w:hAnsi="仿宋" w:eastAsia="仿宋" w:cs="仿宋"/>
                <w:sz w:val="24"/>
              </w:rPr>
              <w:t>报价权重：</w:t>
            </w:r>
            <w:r>
              <w:rPr>
                <w:rFonts w:hint="eastAsia" w:ascii="仿宋" w:hAnsi="仿宋" w:eastAsia="仿宋" w:cs="仿宋"/>
                <w:sz w:val="24"/>
                <w:u w:val="single"/>
              </w:rPr>
              <w:t xml:space="preserve"> 30 </w:t>
            </w:r>
            <w:r>
              <w:rPr>
                <w:rFonts w:hint="eastAsia" w:ascii="仿宋" w:hAnsi="仿宋" w:eastAsia="仿宋" w:cs="仿宋"/>
                <w:sz w:val="24"/>
              </w:rPr>
              <w:t>%</w:t>
            </w:r>
          </w:p>
        </w:tc>
      </w:tr>
      <w:tr w14:paraId="692B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restart"/>
            <w:tcBorders>
              <w:top w:val="single" w:color="auto" w:sz="4" w:space="0"/>
              <w:right w:val="single" w:color="auto" w:sz="4" w:space="0"/>
            </w:tcBorders>
            <w:vAlign w:val="center"/>
          </w:tcPr>
          <w:p w14:paraId="2757B1C3">
            <w:pPr>
              <w:jc w:val="center"/>
              <w:rPr>
                <w:rFonts w:ascii="仿宋" w:hAnsi="仿宋" w:eastAsia="仿宋" w:cs="仿宋"/>
                <w:sz w:val="24"/>
              </w:rPr>
            </w:pPr>
            <w:r>
              <w:rPr>
                <w:rFonts w:hint="eastAsia" w:ascii="仿宋" w:hAnsi="仿宋" w:eastAsia="仿宋" w:cs="仿宋"/>
                <w:sz w:val="24"/>
              </w:rPr>
              <w:t>2.3.2</w:t>
            </w:r>
          </w:p>
        </w:tc>
        <w:tc>
          <w:tcPr>
            <w:tcW w:w="1097" w:type="dxa"/>
            <w:vMerge w:val="restart"/>
            <w:tcBorders>
              <w:top w:val="single" w:color="auto" w:sz="4" w:space="0"/>
              <w:right w:val="single" w:color="auto" w:sz="4" w:space="0"/>
            </w:tcBorders>
            <w:vAlign w:val="center"/>
          </w:tcPr>
          <w:p w14:paraId="3D679A8E">
            <w:pPr>
              <w:jc w:val="center"/>
              <w:rPr>
                <w:rFonts w:ascii="仿宋" w:hAnsi="仿宋" w:eastAsia="仿宋" w:cs="仿宋"/>
                <w:sz w:val="24"/>
              </w:rPr>
            </w:pPr>
            <w:r>
              <w:rPr>
                <w:rFonts w:hint="eastAsia" w:ascii="仿宋" w:hAnsi="仿宋" w:eastAsia="仿宋" w:cs="仿宋"/>
                <w:sz w:val="24"/>
              </w:rPr>
              <w:t>商务技术评分标准</w:t>
            </w:r>
          </w:p>
        </w:tc>
        <w:tc>
          <w:tcPr>
            <w:tcW w:w="1780" w:type="dxa"/>
            <w:tcBorders>
              <w:top w:val="single" w:color="auto" w:sz="4" w:space="0"/>
              <w:left w:val="single" w:color="auto" w:sz="4" w:space="0"/>
              <w:bottom w:val="single" w:color="auto" w:sz="4" w:space="0"/>
            </w:tcBorders>
            <w:vAlign w:val="center"/>
          </w:tcPr>
          <w:p w14:paraId="5B1673C3">
            <w:pPr>
              <w:tabs>
                <w:tab w:val="left" w:pos="0"/>
              </w:tabs>
              <w:jc w:val="center"/>
              <w:rPr>
                <w:rFonts w:ascii="仿宋" w:hAnsi="仿宋" w:eastAsia="仿宋" w:cs="仿宋"/>
                <w:sz w:val="24"/>
              </w:rPr>
            </w:pPr>
            <w:r>
              <w:rPr>
                <w:rFonts w:hint="eastAsia" w:ascii="仿宋" w:hAnsi="仿宋" w:eastAsia="仿宋" w:cs="仿宋"/>
                <w:sz w:val="24"/>
              </w:rPr>
              <w:t>评审因素</w:t>
            </w:r>
          </w:p>
        </w:tc>
        <w:tc>
          <w:tcPr>
            <w:tcW w:w="5126" w:type="dxa"/>
            <w:tcBorders>
              <w:top w:val="single" w:color="auto" w:sz="4" w:space="0"/>
              <w:left w:val="single" w:color="auto" w:sz="4" w:space="0"/>
              <w:bottom w:val="single" w:color="auto" w:sz="4" w:space="0"/>
              <w:right w:val="single" w:color="auto" w:sz="4" w:space="0"/>
            </w:tcBorders>
            <w:vAlign w:val="center"/>
          </w:tcPr>
          <w:p w14:paraId="53ED18FF">
            <w:pPr>
              <w:autoSpaceDE w:val="0"/>
              <w:autoSpaceDN w:val="0"/>
              <w:jc w:val="center"/>
              <w:rPr>
                <w:rFonts w:ascii="仿宋" w:hAnsi="仿宋" w:eastAsia="仿宋" w:cs="仿宋"/>
                <w:sz w:val="24"/>
              </w:rPr>
            </w:pPr>
            <w:r>
              <w:rPr>
                <w:rFonts w:hint="eastAsia" w:ascii="仿宋" w:hAnsi="仿宋" w:eastAsia="仿宋" w:cs="仿宋"/>
                <w:sz w:val="24"/>
              </w:rPr>
              <w:t>评审标准（分值）</w:t>
            </w:r>
          </w:p>
        </w:tc>
        <w:tc>
          <w:tcPr>
            <w:tcW w:w="668" w:type="dxa"/>
            <w:tcBorders>
              <w:top w:val="single" w:color="auto" w:sz="4" w:space="0"/>
              <w:left w:val="single" w:color="auto" w:sz="4" w:space="0"/>
              <w:bottom w:val="single" w:color="auto" w:sz="4" w:space="0"/>
            </w:tcBorders>
            <w:vAlign w:val="center"/>
          </w:tcPr>
          <w:p w14:paraId="7B7B88FE">
            <w:pPr>
              <w:autoSpaceDE w:val="0"/>
              <w:autoSpaceDN w:val="0"/>
              <w:jc w:val="center"/>
              <w:rPr>
                <w:rFonts w:ascii="仿宋" w:hAnsi="仿宋" w:eastAsia="仿宋" w:cs="仿宋"/>
                <w:sz w:val="24"/>
              </w:rPr>
            </w:pPr>
            <w:r>
              <w:rPr>
                <w:rFonts w:hint="eastAsia" w:ascii="仿宋" w:hAnsi="仿宋" w:eastAsia="仿宋" w:cs="仿宋"/>
                <w:sz w:val="24"/>
              </w:rPr>
              <w:t>分值</w:t>
            </w:r>
          </w:p>
        </w:tc>
      </w:tr>
      <w:tr w14:paraId="08E9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continue"/>
            <w:tcBorders>
              <w:right w:val="single" w:color="auto" w:sz="4" w:space="0"/>
            </w:tcBorders>
            <w:vAlign w:val="center"/>
          </w:tcPr>
          <w:p w14:paraId="360F21EB">
            <w:pPr>
              <w:jc w:val="center"/>
              <w:rPr>
                <w:rFonts w:ascii="仿宋" w:hAnsi="仿宋" w:eastAsia="仿宋" w:cs="仿宋"/>
                <w:sz w:val="24"/>
              </w:rPr>
            </w:pPr>
          </w:p>
        </w:tc>
        <w:tc>
          <w:tcPr>
            <w:tcW w:w="1097" w:type="dxa"/>
            <w:vMerge w:val="continue"/>
            <w:tcBorders>
              <w:right w:val="single" w:color="auto" w:sz="4" w:space="0"/>
            </w:tcBorders>
            <w:vAlign w:val="center"/>
          </w:tcPr>
          <w:p w14:paraId="2537B2D1">
            <w:pPr>
              <w:jc w:val="center"/>
              <w:rPr>
                <w:rFonts w:ascii="仿宋" w:hAnsi="仿宋" w:eastAsia="仿宋" w:cs="仿宋"/>
                <w:sz w:val="24"/>
              </w:rPr>
            </w:pPr>
          </w:p>
        </w:tc>
        <w:tc>
          <w:tcPr>
            <w:tcW w:w="7574" w:type="dxa"/>
            <w:gridSpan w:val="3"/>
            <w:tcBorders>
              <w:top w:val="single" w:color="auto" w:sz="4" w:space="0"/>
              <w:left w:val="single" w:color="auto" w:sz="4" w:space="0"/>
            </w:tcBorders>
          </w:tcPr>
          <w:p w14:paraId="2BE015D7">
            <w:pPr>
              <w:tabs>
                <w:tab w:val="left" w:pos="0"/>
              </w:tabs>
              <w:rPr>
                <w:rFonts w:ascii="仿宋" w:hAnsi="仿宋" w:eastAsia="仿宋" w:cs="仿宋"/>
                <w:bCs/>
                <w:sz w:val="24"/>
              </w:rPr>
            </w:pPr>
            <w:r>
              <w:rPr>
                <w:rFonts w:hint="eastAsia" w:ascii="仿宋" w:hAnsi="仿宋" w:eastAsia="仿宋" w:cs="仿宋"/>
                <w:bCs/>
                <w:sz w:val="24"/>
              </w:rPr>
              <w:t>见附表。</w:t>
            </w:r>
          </w:p>
          <w:p w14:paraId="413206E5">
            <w:pPr>
              <w:tabs>
                <w:tab w:val="left" w:pos="0"/>
              </w:tabs>
              <w:rPr>
                <w:rFonts w:ascii="仿宋" w:hAnsi="仿宋" w:eastAsia="仿宋" w:cs="仿宋"/>
                <w:bCs/>
                <w:sz w:val="24"/>
              </w:rPr>
            </w:pPr>
            <w:r>
              <w:rPr>
                <w:rFonts w:hint="eastAsia" w:ascii="仿宋" w:hAnsi="仿宋" w:eastAsia="仿宋" w:cs="仿宋"/>
                <w:sz w:val="24"/>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w:t>
            </w:r>
            <w:r>
              <w:rPr>
                <w:rFonts w:hint="eastAsia" w:ascii="仿宋" w:hAnsi="仿宋" w:eastAsia="仿宋" w:cs="仿宋"/>
                <w:b/>
                <w:bCs/>
                <w:sz w:val="24"/>
              </w:rPr>
              <w:t>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14:paraId="76C3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F8D7C72">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AD61D4B">
            <w:pPr>
              <w:jc w:val="center"/>
              <w:rPr>
                <w:rFonts w:ascii="仿宋" w:hAnsi="仿宋" w:eastAsia="仿宋" w:cs="仿宋"/>
                <w:sz w:val="24"/>
              </w:rPr>
            </w:pPr>
            <w:r>
              <w:rPr>
                <w:rFonts w:hint="eastAsia" w:ascii="仿宋" w:hAnsi="仿宋" w:eastAsia="仿宋" w:cs="仿宋"/>
                <w:sz w:val="24"/>
              </w:rPr>
              <w:t>报价评分办法</w:t>
            </w:r>
          </w:p>
        </w:tc>
        <w:tc>
          <w:tcPr>
            <w:tcW w:w="5794" w:type="dxa"/>
            <w:gridSpan w:val="2"/>
            <w:tcBorders>
              <w:top w:val="single" w:color="auto" w:sz="4" w:space="0"/>
              <w:left w:val="single" w:color="auto" w:sz="4" w:space="0"/>
              <w:bottom w:val="single" w:color="auto" w:sz="4" w:space="0"/>
            </w:tcBorders>
            <w:vAlign w:val="center"/>
          </w:tcPr>
          <w:p w14:paraId="07033304">
            <w:pPr>
              <w:snapToGrid w:val="0"/>
              <w:rPr>
                <w:rFonts w:ascii="仿宋" w:hAnsi="仿宋" w:eastAsia="仿宋" w:cs="仿宋"/>
                <w:kern w:val="0"/>
                <w:sz w:val="24"/>
              </w:rPr>
            </w:pPr>
            <w:r>
              <w:rPr>
                <w:rFonts w:hint="eastAsia" w:ascii="仿宋" w:hAnsi="仿宋" w:eastAsia="仿宋" w:cs="仿宋"/>
                <w:sz w:val="24"/>
              </w:rPr>
              <w:t>是否采用低价优先法：</w:t>
            </w:r>
          </w:p>
          <w:p w14:paraId="416D4D42">
            <w:pPr>
              <w:snapToGrid w:val="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是</w:t>
            </w:r>
          </w:p>
        </w:tc>
      </w:tr>
      <w:tr w14:paraId="30409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jc w:val="center"/>
        </w:trPr>
        <w:tc>
          <w:tcPr>
            <w:tcW w:w="2004" w:type="dxa"/>
            <w:gridSpan w:val="3"/>
            <w:tcBorders>
              <w:top w:val="single" w:color="auto" w:sz="4" w:space="0"/>
              <w:bottom w:val="single" w:color="auto" w:sz="4" w:space="0"/>
              <w:right w:val="single" w:color="auto" w:sz="4" w:space="0"/>
            </w:tcBorders>
            <w:vAlign w:val="center"/>
          </w:tcPr>
          <w:p w14:paraId="04BB2049">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3EDB731">
            <w:pPr>
              <w:jc w:val="center"/>
              <w:rPr>
                <w:rFonts w:ascii="仿宋" w:hAnsi="仿宋" w:eastAsia="仿宋" w:cs="仿宋"/>
                <w:sz w:val="24"/>
              </w:rPr>
            </w:pPr>
            <w:r>
              <w:rPr>
                <w:rFonts w:hint="eastAsia" w:ascii="仿宋" w:hAnsi="仿宋" w:eastAsia="仿宋" w:cs="仿宋"/>
                <w:sz w:val="24"/>
              </w:rPr>
              <w:t>报价评分标准（低价优先法）</w:t>
            </w:r>
          </w:p>
        </w:tc>
        <w:tc>
          <w:tcPr>
            <w:tcW w:w="5794" w:type="dxa"/>
            <w:gridSpan w:val="2"/>
            <w:tcBorders>
              <w:top w:val="single" w:color="auto" w:sz="4" w:space="0"/>
              <w:left w:val="single" w:color="auto" w:sz="4" w:space="0"/>
              <w:bottom w:val="single" w:color="auto" w:sz="4" w:space="0"/>
            </w:tcBorders>
            <w:vAlign w:val="center"/>
          </w:tcPr>
          <w:p w14:paraId="7BEDB333">
            <w:pPr>
              <w:snapToGrid w:val="0"/>
              <w:rPr>
                <w:rFonts w:ascii="仿宋" w:hAnsi="仿宋" w:eastAsia="仿宋" w:cs="仿宋"/>
                <w:bCs/>
                <w:spacing w:val="6"/>
                <w:sz w:val="24"/>
              </w:rPr>
            </w:pPr>
            <w:r>
              <w:rPr>
                <w:rFonts w:hint="eastAsia" w:ascii="仿宋" w:hAnsi="仿宋" w:eastAsia="仿宋" w:cs="仿宋"/>
                <w:bCs/>
                <w:spacing w:val="6"/>
                <w:sz w:val="24"/>
              </w:rPr>
              <w:t>报价得分=（评标基准价/评标价）×报价权重×100</w:t>
            </w:r>
          </w:p>
          <w:p w14:paraId="4645CE3A">
            <w:pPr>
              <w:rPr>
                <w:rFonts w:ascii="仿宋" w:hAnsi="仿宋" w:eastAsia="仿宋" w:cs="仿宋"/>
                <w:sz w:val="24"/>
              </w:rPr>
            </w:pPr>
            <w:r>
              <w:rPr>
                <w:rFonts w:hint="eastAsia" w:ascii="仿宋" w:hAnsi="仿宋" w:eastAsia="仿宋"/>
                <w:sz w:val="24"/>
              </w:rPr>
              <w:t>满足招标文件要求且最低的评标价为评标基准价。</w:t>
            </w:r>
          </w:p>
        </w:tc>
      </w:tr>
      <w:tr w14:paraId="3621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2D33349">
            <w:pPr>
              <w:jc w:val="center"/>
              <w:rPr>
                <w:rFonts w:ascii="仿宋" w:hAnsi="仿宋" w:eastAsia="仿宋" w:cs="仿宋"/>
                <w:sz w:val="24"/>
              </w:rPr>
            </w:pPr>
            <w:r>
              <w:rPr>
                <w:rFonts w:hint="eastAsia" w:ascii="仿宋" w:hAnsi="仿宋" w:eastAsia="仿宋" w:cs="仿宋"/>
                <w:sz w:val="24"/>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4BFCB83A">
            <w:pPr>
              <w:jc w:val="center"/>
              <w:rPr>
                <w:rFonts w:ascii="仿宋" w:hAnsi="仿宋" w:eastAsia="仿宋" w:cs="仿宋"/>
                <w:sz w:val="24"/>
              </w:rPr>
            </w:pPr>
            <w:r>
              <w:rPr>
                <w:rFonts w:hint="eastAsia" w:ascii="仿宋" w:hAnsi="仿宋" w:eastAsia="仿宋" w:cs="仿宋"/>
                <w:sz w:val="24"/>
              </w:rPr>
              <w:t>落实政府采购政策需进行的价格扣除</w:t>
            </w:r>
          </w:p>
        </w:tc>
        <w:tc>
          <w:tcPr>
            <w:tcW w:w="5794" w:type="dxa"/>
            <w:gridSpan w:val="2"/>
            <w:tcBorders>
              <w:top w:val="single" w:color="auto" w:sz="4" w:space="0"/>
              <w:left w:val="single" w:color="auto" w:sz="4" w:space="0"/>
              <w:bottom w:val="single" w:color="auto" w:sz="4" w:space="0"/>
            </w:tcBorders>
            <w:vAlign w:val="center"/>
          </w:tcPr>
          <w:p w14:paraId="78239FE1">
            <w:pPr>
              <w:jc w:val="left"/>
              <w:rPr>
                <w:rFonts w:ascii="仿宋" w:hAnsi="仿宋" w:eastAsia="仿宋" w:cs="仿宋"/>
                <w:sz w:val="24"/>
              </w:rPr>
            </w:pPr>
            <w:r>
              <w:rPr>
                <w:rFonts w:hint="eastAsia" w:ascii="仿宋" w:hAnsi="仿宋" w:eastAsia="仿宋" w:cs="仿宋"/>
                <w:sz w:val="24"/>
              </w:rPr>
              <w:t>本项目为专门面向中小企业采购的项目或者标项，不再执行价格评审优惠的扶持政策。</w:t>
            </w:r>
          </w:p>
        </w:tc>
      </w:tr>
    </w:tbl>
    <w:p w14:paraId="396CA8D0">
      <w:pPr>
        <w:rPr>
          <w:rFonts w:ascii="仿宋" w:hAnsi="仿宋" w:eastAsia="仿宋" w:cs="仿宋"/>
          <w:b/>
          <w:sz w:val="24"/>
        </w:rPr>
      </w:pPr>
      <w:bookmarkStart w:id="104" w:name="_Toc63189375"/>
      <w:bookmarkStart w:id="105" w:name="_Toc55302373"/>
      <w:r>
        <w:rPr>
          <w:rFonts w:hint="eastAsia" w:ascii="仿宋" w:hAnsi="仿宋" w:eastAsia="仿宋" w:cs="仿宋"/>
          <w:b/>
          <w:sz w:val="24"/>
        </w:rPr>
        <w:br w:type="page"/>
      </w:r>
      <w:r>
        <w:rPr>
          <w:rFonts w:hint="eastAsia" w:ascii="仿宋" w:hAnsi="仿宋" w:eastAsia="仿宋" w:cs="仿宋"/>
          <w:b/>
          <w:sz w:val="24"/>
        </w:rPr>
        <w:t>商务技术标附件</w:t>
      </w:r>
    </w:p>
    <w:tbl>
      <w:tblPr>
        <w:tblStyle w:val="5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6"/>
        <w:gridCol w:w="750"/>
        <w:gridCol w:w="6024"/>
        <w:gridCol w:w="901"/>
      </w:tblGrid>
      <w:tr w14:paraId="27FD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1AEBEC7">
            <w:pPr>
              <w:spacing w:line="360" w:lineRule="exact"/>
              <w:jc w:val="center"/>
              <w:rPr>
                <w:rFonts w:ascii="仿宋" w:hAnsi="仿宋" w:eastAsia="仿宋" w:cs="仿宋"/>
                <w:b/>
                <w:bCs/>
                <w:sz w:val="22"/>
                <w:szCs w:val="22"/>
              </w:rPr>
            </w:pPr>
            <w:r>
              <w:rPr>
                <w:rFonts w:hint="eastAsia" w:ascii="仿宋" w:hAnsi="仿宋" w:eastAsia="仿宋" w:cs="仿宋"/>
                <w:b/>
                <w:bCs/>
                <w:sz w:val="22"/>
                <w:szCs w:val="22"/>
              </w:rPr>
              <w:t>序号</w:t>
            </w:r>
          </w:p>
        </w:tc>
        <w:tc>
          <w:tcPr>
            <w:tcW w:w="1356" w:type="dxa"/>
            <w:vAlign w:val="center"/>
          </w:tcPr>
          <w:p w14:paraId="4D59CFF8">
            <w:pPr>
              <w:spacing w:line="360" w:lineRule="exact"/>
              <w:jc w:val="center"/>
              <w:rPr>
                <w:rFonts w:ascii="仿宋" w:hAnsi="仿宋" w:eastAsia="仿宋" w:cs="仿宋"/>
                <w:b/>
                <w:bCs/>
                <w:sz w:val="22"/>
                <w:szCs w:val="22"/>
              </w:rPr>
            </w:pPr>
            <w:r>
              <w:rPr>
                <w:rFonts w:hint="eastAsia" w:ascii="仿宋" w:hAnsi="仿宋" w:eastAsia="仿宋" w:cs="仿宋"/>
                <w:b/>
                <w:bCs/>
                <w:sz w:val="22"/>
                <w:szCs w:val="22"/>
              </w:rPr>
              <w:t>评分因素</w:t>
            </w:r>
          </w:p>
        </w:tc>
        <w:tc>
          <w:tcPr>
            <w:tcW w:w="750" w:type="dxa"/>
            <w:vAlign w:val="center"/>
          </w:tcPr>
          <w:p w14:paraId="0A0396B4">
            <w:pPr>
              <w:spacing w:line="360" w:lineRule="exact"/>
              <w:jc w:val="center"/>
              <w:rPr>
                <w:rFonts w:ascii="仿宋" w:hAnsi="仿宋" w:eastAsia="仿宋" w:cs="仿宋"/>
                <w:b/>
                <w:bCs/>
                <w:sz w:val="22"/>
                <w:szCs w:val="22"/>
              </w:rPr>
            </w:pPr>
            <w:r>
              <w:rPr>
                <w:rFonts w:hint="eastAsia" w:ascii="仿宋" w:hAnsi="仿宋" w:eastAsia="仿宋" w:cs="仿宋"/>
                <w:b/>
                <w:bCs/>
                <w:sz w:val="22"/>
                <w:szCs w:val="22"/>
              </w:rPr>
              <w:t>分值</w:t>
            </w:r>
          </w:p>
        </w:tc>
        <w:tc>
          <w:tcPr>
            <w:tcW w:w="6024" w:type="dxa"/>
            <w:vAlign w:val="center"/>
          </w:tcPr>
          <w:p w14:paraId="4DDD4363">
            <w:pPr>
              <w:spacing w:line="360" w:lineRule="exact"/>
              <w:jc w:val="center"/>
              <w:rPr>
                <w:rFonts w:ascii="仿宋" w:hAnsi="仿宋" w:eastAsia="仿宋" w:cs="仿宋"/>
                <w:b/>
                <w:bCs/>
                <w:sz w:val="22"/>
                <w:szCs w:val="22"/>
              </w:rPr>
            </w:pPr>
            <w:r>
              <w:rPr>
                <w:rFonts w:hint="eastAsia" w:ascii="仿宋" w:hAnsi="仿宋" w:eastAsia="仿宋" w:cs="仿宋"/>
                <w:b/>
                <w:bCs/>
                <w:sz w:val="22"/>
                <w:szCs w:val="22"/>
              </w:rPr>
              <w:t>评分细则</w:t>
            </w:r>
          </w:p>
        </w:tc>
        <w:tc>
          <w:tcPr>
            <w:tcW w:w="901" w:type="dxa"/>
            <w:vAlign w:val="center"/>
          </w:tcPr>
          <w:p w14:paraId="386FED7F">
            <w:pPr>
              <w:spacing w:line="360" w:lineRule="exact"/>
              <w:jc w:val="center"/>
              <w:rPr>
                <w:rFonts w:ascii="仿宋" w:hAnsi="仿宋" w:eastAsia="仿宋" w:cs="仿宋"/>
                <w:b/>
                <w:bCs/>
                <w:sz w:val="22"/>
                <w:szCs w:val="22"/>
              </w:rPr>
            </w:pPr>
            <w:r>
              <w:rPr>
                <w:rFonts w:hint="eastAsia" w:ascii="仿宋" w:hAnsi="仿宋" w:eastAsia="仿宋" w:cs="仿宋"/>
                <w:b/>
                <w:bCs/>
                <w:sz w:val="22"/>
                <w:szCs w:val="22"/>
              </w:rPr>
              <w:t>备注</w:t>
            </w:r>
          </w:p>
        </w:tc>
      </w:tr>
      <w:tr w14:paraId="705C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372802E4">
            <w:pPr>
              <w:spacing w:line="360" w:lineRule="exact"/>
              <w:jc w:val="center"/>
              <w:rPr>
                <w:rFonts w:hint="eastAsia" w:ascii="仿宋" w:hAnsi="仿宋" w:eastAsia="仿宋" w:cs="仿宋"/>
                <w:b/>
                <w:bCs/>
                <w:sz w:val="22"/>
                <w:szCs w:val="22"/>
                <w:lang w:val="en-US" w:eastAsia="zh-CN"/>
              </w:rPr>
            </w:pPr>
            <w:r>
              <w:rPr>
                <w:rFonts w:hint="eastAsia" w:ascii="仿宋" w:hAnsi="仿宋" w:eastAsia="仿宋" w:cs="仿宋"/>
                <w:b/>
                <w:bCs/>
                <w:sz w:val="22"/>
                <w:szCs w:val="22"/>
                <w:lang w:val="en-US" w:eastAsia="zh-CN"/>
              </w:rPr>
              <w:t>1</w:t>
            </w:r>
          </w:p>
        </w:tc>
        <w:tc>
          <w:tcPr>
            <w:tcW w:w="1356" w:type="dxa"/>
            <w:vAlign w:val="center"/>
          </w:tcPr>
          <w:p w14:paraId="39645A23">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lang w:val="en-US" w:eastAsia="zh-CN"/>
              </w:rPr>
              <w:t>投标人实力</w:t>
            </w:r>
          </w:p>
        </w:tc>
        <w:tc>
          <w:tcPr>
            <w:tcW w:w="750" w:type="dxa"/>
            <w:vAlign w:val="center"/>
          </w:tcPr>
          <w:p w14:paraId="0AE92B55">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lang w:val="en-US" w:eastAsia="zh-CN"/>
              </w:rPr>
              <w:t>0-8</w:t>
            </w:r>
          </w:p>
        </w:tc>
        <w:tc>
          <w:tcPr>
            <w:tcW w:w="6024" w:type="dxa"/>
            <w:vAlign w:val="center"/>
          </w:tcPr>
          <w:p w14:paraId="53900DA9">
            <w:pPr>
              <w:widowControl/>
              <w:spacing w:line="360" w:lineRule="exact"/>
              <w:jc w:val="left"/>
              <w:rPr>
                <w:rFonts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投标人具有有效的管理体系认证证书：</w:t>
            </w:r>
          </w:p>
          <w:p w14:paraId="5CD635A6">
            <w:pPr>
              <w:widowControl/>
              <w:spacing w:line="360" w:lineRule="exact"/>
              <w:jc w:val="left"/>
              <w:rPr>
                <w:rFonts w:ascii="仿宋" w:hAnsi="仿宋" w:eastAsia="仿宋" w:cs="仿宋"/>
                <w:sz w:val="22"/>
                <w:szCs w:val="22"/>
              </w:rPr>
            </w:pPr>
            <w:r>
              <w:rPr>
                <w:rFonts w:hint="eastAsia" w:ascii="仿宋" w:hAnsi="仿宋" w:eastAsia="仿宋" w:cs="仿宋"/>
                <w:sz w:val="22"/>
                <w:szCs w:val="22"/>
              </w:rPr>
              <w:t>①质量管理体系认证证书，得1分；</w:t>
            </w:r>
          </w:p>
          <w:p w14:paraId="0922FF33">
            <w:pPr>
              <w:widowControl/>
              <w:spacing w:line="360" w:lineRule="exact"/>
              <w:jc w:val="left"/>
              <w:rPr>
                <w:rFonts w:ascii="仿宋" w:hAnsi="仿宋" w:eastAsia="仿宋" w:cs="仿宋"/>
                <w:sz w:val="22"/>
                <w:szCs w:val="22"/>
              </w:rPr>
            </w:pPr>
            <w:r>
              <w:rPr>
                <w:rFonts w:hint="eastAsia" w:ascii="仿宋" w:hAnsi="仿宋" w:eastAsia="仿宋" w:cs="仿宋"/>
                <w:sz w:val="22"/>
                <w:szCs w:val="22"/>
              </w:rPr>
              <w:t>②环境管理体系认证证书，得1分；</w:t>
            </w:r>
          </w:p>
          <w:p w14:paraId="330F0605">
            <w:pPr>
              <w:widowControl/>
              <w:spacing w:line="360" w:lineRule="exact"/>
              <w:jc w:val="left"/>
              <w:rPr>
                <w:rFonts w:ascii="仿宋" w:hAnsi="仿宋" w:eastAsia="仿宋" w:cs="仿宋"/>
                <w:sz w:val="22"/>
                <w:szCs w:val="22"/>
              </w:rPr>
            </w:pPr>
            <w:r>
              <w:rPr>
                <w:rFonts w:hint="eastAsia" w:ascii="仿宋" w:hAnsi="仿宋" w:eastAsia="仿宋" w:cs="仿宋"/>
                <w:sz w:val="22"/>
                <w:szCs w:val="22"/>
              </w:rPr>
              <w:t>③职业健康安全管理体系认证证书，得1分。</w:t>
            </w:r>
          </w:p>
          <w:p w14:paraId="5E9284C8">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rPr>
              <w:t>（证明材料：同时提供认证证书、国家认证认可监督管理委员会官方网站有效证书的网页截图，否则不得分）。</w:t>
            </w:r>
          </w:p>
          <w:p w14:paraId="06487C6F">
            <w:pPr>
              <w:widowControl/>
              <w:spacing w:line="360" w:lineRule="exact"/>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2.供应商具备厨房设备相关的发明专利情况，提供相应的证书及网上查询截图，每提供一项得1分，最高得5分。</w:t>
            </w:r>
          </w:p>
        </w:tc>
        <w:tc>
          <w:tcPr>
            <w:tcW w:w="901" w:type="dxa"/>
            <w:vAlign w:val="center"/>
          </w:tcPr>
          <w:p w14:paraId="359B4FBD">
            <w:pPr>
              <w:spacing w:line="360" w:lineRule="exact"/>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客观分</w:t>
            </w:r>
          </w:p>
        </w:tc>
      </w:tr>
      <w:tr w14:paraId="6303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439A7DEC">
            <w:pPr>
              <w:spacing w:line="360" w:lineRule="exact"/>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2</w:t>
            </w:r>
          </w:p>
        </w:tc>
        <w:tc>
          <w:tcPr>
            <w:tcW w:w="1356" w:type="dxa"/>
            <w:vAlign w:val="center"/>
          </w:tcPr>
          <w:p w14:paraId="4ADD57D0">
            <w:pPr>
              <w:spacing w:line="33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rPr>
              <w:t>同类业绩</w:t>
            </w:r>
          </w:p>
        </w:tc>
        <w:tc>
          <w:tcPr>
            <w:tcW w:w="750" w:type="dxa"/>
            <w:vAlign w:val="center"/>
          </w:tcPr>
          <w:p w14:paraId="6907A4F9">
            <w:pPr>
              <w:spacing w:line="36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rPr>
              <w:t>0-3</w:t>
            </w:r>
          </w:p>
        </w:tc>
        <w:tc>
          <w:tcPr>
            <w:tcW w:w="6024" w:type="dxa"/>
            <w:vAlign w:val="center"/>
          </w:tcPr>
          <w:p w14:paraId="0C88BBDA">
            <w:pPr>
              <w:widowControl/>
              <w:spacing w:line="360" w:lineRule="exact"/>
              <w:jc w:val="left"/>
              <w:rPr>
                <w:rFonts w:ascii="仿宋" w:hAnsi="仿宋" w:eastAsia="仿宋" w:cs="仿宋"/>
                <w:sz w:val="22"/>
                <w:szCs w:val="22"/>
              </w:rPr>
            </w:pPr>
            <w:r>
              <w:rPr>
                <w:rFonts w:hint="eastAsia" w:ascii="仿宋" w:hAnsi="仿宋" w:eastAsia="仿宋" w:cs="仿宋"/>
                <w:sz w:val="22"/>
                <w:szCs w:val="22"/>
              </w:rPr>
              <w:t>投标人自2022年1月1日以来（以合同签订时间为准）同类项目业绩。每提供一个得1分，最高得3分。</w:t>
            </w:r>
          </w:p>
          <w:p w14:paraId="697592CB">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rPr>
              <w:t>注：提供完整的合同复印件。如合同中无法体现业绩要求的相关内容，评标委员会有权对业绩不予认可。</w:t>
            </w:r>
          </w:p>
        </w:tc>
        <w:tc>
          <w:tcPr>
            <w:tcW w:w="901" w:type="dxa"/>
            <w:vAlign w:val="center"/>
          </w:tcPr>
          <w:p w14:paraId="19A3818C">
            <w:pPr>
              <w:spacing w:line="360" w:lineRule="exact"/>
              <w:jc w:val="center"/>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客观分</w:t>
            </w:r>
          </w:p>
        </w:tc>
      </w:tr>
      <w:tr w14:paraId="743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750" w:type="dxa"/>
            <w:vMerge w:val="restart"/>
            <w:vAlign w:val="center"/>
          </w:tcPr>
          <w:p w14:paraId="7A466892">
            <w:pPr>
              <w:spacing w:line="36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p>
        </w:tc>
        <w:tc>
          <w:tcPr>
            <w:tcW w:w="1356" w:type="dxa"/>
            <w:vMerge w:val="restart"/>
            <w:shd w:val="clear" w:color="auto" w:fill="auto"/>
            <w:vAlign w:val="center"/>
          </w:tcPr>
          <w:p w14:paraId="58E7B58A">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zh-CN" w:eastAsia="zh-CN"/>
              </w:rPr>
              <w:t>所投产品性能、技术指标</w:t>
            </w:r>
          </w:p>
        </w:tc>
        <w:tc>
          <w:tcPr>
            <w:tcW w:w="750" w:type="dxa"/>
            <w:vMerge w:val="restart"/>
            <w:shd w:val="clear" w:color="auto" w:fill="auto"/>
            <w:vAlign w:val="center"/>
          </w:tcPr>
          <w:p w14:paraId="12D09EC3">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zh-CN" w:eastAsia="zh-CN"/>
              </w:rPr>
              <w:t>0-</w:t>
            </w:r>
            <w:r>
              <w:rPr>
                <w:rFonts w:hint="eastAsia" w:ascii="仿宋" w:hAnsi="仿宋" w:eastAsia="仿宋" w:cs="仿宋"/>
                <w:sz w:val="22"/>
                <w:szCs w:val="22"/>
                <w:lang w:val="en-US" w:eastAsia="zh-CN"/>
              </w:rPr>
              <w:t>28</w:t>
            </w:r>
          </w:p>
        </w:tc>
        <w:tc>
          <w:tcPr>
            <w:tcW w:w="6024" w:type="dxa"/>
            <w:vAlign w:val="center"/>
          </w:tcPr>
          <w:p w14:paraId="7AD8796C">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w:t>
            </w:r>
            <w:r>
              <w:rPr>
                <w:rFonts w:hint="eastAsia" w:ascii="仿宋" w:hAnsi="仿宋" w:eastAsia="仿宋" w:cs="仿宋"/>
                <w:sz w:val="22"/>
                <w:szCs w:val="22"/>
              </w:rPr>
              <w:t>投标产品的基本功能、技术指标与需求的吻合程度和偏差情况（包括所投标产品的详细配置、主要技术参数等），</w:t>
            </w:r>
            <w:r>
              <w:rPr>
                <w:rFonts w:hint="eastAsia" w:ascii="仿宋" w:hAnsi="仿宋" w:eastAsia="仿宋" w:cs="仿宋"/>
                <w:sz w:val="22"/>
                <w:szCs w:val="22"/>
                <w:lang w:val="en-US" w:eastAsia="zh-CN"/>
              </w:rPr>
              <w:t>标注“★”项的</w:t>
            </w:r>
            <w:r>
              <w:rPr>
                <w:rFonts w:hint="eastAsia" w:ascii="仿宋" w:hAnsi="仿宋" w:eastAsia="仿宋" w:cs="仿宋"/>
                <w:sz w:val="22"/>
                <w:szCs w:val="22"/>
              </w:rPr>
              <w:t>技术参数是否能够满足</w:t>
            </w:r>
            <w:r>
              <w:rPr>
                <w:rFonts w:hint="eastAsia" w:ascii="仿宋" w:hAnsi="仿宋" w:eastAsia="仿宋" w:cs="仿宋"/>
                <w:sz w:val="22"/>
                <w:szCs w:val="22"/>
                <w:lang w:val="en-US" w:eastAsia="zh-CN"/>
              </w:rPr>
              <w:t>采购</w:t>
            </w:r>
            <w:r>
              <w:rPr>
                <w:rFonts w:hint="eastAsia" w:ascii="仿宋" w:hAnsi="仿宋" w:eastAsia="仿宋" w:cs="仿宋"/>
                <w:sz w:val="22"/>
                <w:szCs w:val="22"/>
              </w:rPr>
              <w:t>文件要求，全部满足要求的得</w:t>
            </w:r>
            <w:r>
              <w:rPr>
                <w:rFonts w:hint="eastAsia" w:ascii="仿宋" w:hAnsi="仿宋" w:eastAsia="仿宋" w:cs="仿宋"/>
                <w:sz w:val="22"/>
                <w:szCs w:val="22"/>
                <w:lang w:val="en-US" w:eastAsia="zh-CN"/>
              </w:rPr>
              <w:t>24</w:t>
            </w:r>
            <w:r>
              <w:rPr>
                <w:rFonts w:hint="eastAsia" w:ascii="仿宋" w:hAnsi="仿宋" w:eastAsia="仿宋" w:cs="仿宋"/>
                <w:sz w:val="22"/>
                <w:szCs w:val="22"/>
              </w:rPr>
              <w:t>分。</w:t>
            </w:r>
            <w:r>
              <w:rPr>
                <w:rFonts w:hint="eastAsia" w:ascii="仿宋" w:hAnsi="仿宋" w:eastAsia="仿宋" w:cs="仿宋"/>
                <w:sz w:val="22"/>
                <w:szCs w:val="22"/>
                <w:lang w:val="en-US" w:eastAsia="zh-CN"/>
              </w:rPr>
              <w:t>标注“★”项的</w:t>
            </w:r>
            <w:r>
              <w:rPr>
                <w:rFonts w:hint="eastAsia" w:ascii="仿宋" w:hAnsi="仿宋" w:eastAsia="仿宋" w:cs="仿宋"/>
                <w:sz w:val="22"/>
                <w:szCs w:val="22"/>
              </w:rPr>
              <w:t>技术参数负偏离每项扣</w:t>
            </w:r>
            <w:r>
              <w:rPr>
                <w:rFonts w:hint="eastAsia" w:ascii="仿宋" w:hAnsi="仿宋" w:eastAsia="仿宋" w:cs="仿宋"/>
                <w:sz w:val="22"/>
                <w:szCs w:val="22"/>
                <w:lang w:val="en-US" w:eastAsia="zh-CN"/>
              </w:rPr>
              <w:t>2</w:t>
            </w:r>
            <w:r>
              <w:rPr>
                <w:rFonts w:hint="eastAsia" w:ascii="仿宋" w:hAnsi="仿宋" w:eastAsia="仿宋" w:cs="仿宋"/>
                <w:sz w:val="22"/>
                <w:szCs w:val="22"/>
              </w:rPr>
              <w:t>分，扣完为止。</w:t>
            </w:r>
          </w:p>
          <w:p w14:paraId="75107977">
            <w:pPr>
              <w:widowControl/>
              <w:spacing w:line="360" w:lineRule="exact"/>
              <w:jc w:val="left"/>
              <w:rPr>
                <w:rFonts w:hint="default" w:ascii="仿宋" w:hAnsi="仿宋" w:eastAsia="仿宋" w:cs="仿宋"/>
                <w:sz w:val="22"/>
                <w:szCs w:val="22"/>
                <w:lang w:val="en-US" w:eastAsia="zh-CN"/>
              </w:rPr>
            </w:pPr>
            <w:r>
              <w:rPr>
                <w:rFonts w:hint="eastAsia" w:ascii="仿宋" w:hAnsi="仿宋" w:eastAsia="仿宋" w:cs="仿宋"/>
                <w:sz w:val="22"/>
                <w:szCs w:val="22"/>
                <w:lang w:val="zh-CN" w:eastAsia="zh-CN"/>
              </w:rPr>
              <w:t>注：</w:t>
            </w:r>
            <w:r>
              <w:rPr>
                <w:rFonts w:hint="eastAsia" w:ascii="仿宋" w:hAnsi="仿宋" w:eastAsia="仿宋" w:cs="仿宋"/>
                <w:sz w:val="22"/>
                <w:szCs w:val="22"/>
                <w:lang w:val="en-US" w:eastAsia="zh-CN"/>
              </w:rPr>
              <w:t>上述证明材料须提供复制件加盖投标供应商公章，未能提供或提供不全不得分</w:t>
            </w:r>
            <w:r>
              <w:rPr>
                <w:rFonts w:hint="eastAsia" w:ascii="仿宋" w:hAnsi="仿宋" w:eastAsia="仿宋" w:cs="仿宋"/>
                <w:sz w:val="22"/>
                <w:szCs w:val="22"/>
                <w:lang w:val="zh-CN" w:eastAsia="zh-CN"/>
              </w:rPr>
              <w:t>。</w:t>
            </w:r>
          </w:p>
        </w:tc>
        <w:tc>
          <w:tcPr>
            <w:tcW w:w="901" w:type="dxa"/>
            <w:vMerge w:val="restart"/>
            <w:vAlign w:val="center"/>
          </w:tcPr>
          <w:p w14:paraId="179F1B97">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客观分</w:t>
            </w:r>
          </w:p>
        </w:tc>
      </w:tr>
      <w:tr w14:paraId="4A7F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0" w:type="dxa"/>
            <w:vMerge w:val="continue"/>
            <w:vAlign w:val="center"/>
          </w:tcPr>
          <w:p w14:paraId="59DEAEAD">
            <w:pPr>
              <w:spacing w:line="360" w:lineRule="exact"/>
              <w:jc w:val="center"/>
              <w:rPr>
                <w:rFonts w:hint="eastAsia" w:ascii="仿宋" w:hAnsi="仿宋" w:eastAsia="仿宋" w:cs="仿宋"/>
                <w:sz w:val="22"/>
                <w:szCs w:val="22"/>
              </w:rPr>
            </w:pPr>
          </w:p>
        </w:tc>
        <w:tc>
          <w:tcPr>
            <w:tcW w:w="1356" w:type="dxa"/>
            <w:vMerge w:val="continue"/>
            <w:shd w:val="clear" w:color="auto" w:fill="auto"/>
            <w:vAlign w:val="center"/>
          </w:tcPr>
          <w:p w14:paraId="5B9091B2">
            <w:pPr>
              <w:rPr>
                <w:rFonts w:hint="eastAsia" w:ascii="宋体" w:hAnsi="宋体" w:eastAsia="宋体" w:cs="宋体"/>
                <w:b w:val="0"/>
                <w:bCs w:val="0"/>
                <w:color w:val="auto"/>
                <w:sz w:val="22"/>
                <w:szCs w:val="22"/>
                <w:highlight w:val="none"/>
                <w:lang w:val="zh-CN" w:eastAsia="zh-CN"/>
              </w:rPr>
            </w:pPr>
          </w:p>
        </w:tc>
        <w:tc>
          <w:tcPr>
            <w:tcW w:w="750" w:type="dxa"/>
            <w:vMerge w:val="continue"/>
            <w:shd w:val="clear" w:color="auto" w:fill="auto"/>
            <w:vAlign w:val="center"/>
          </w:tcPr>
          <w:p w14:paraId="41BDCED2">
            <w:pPr>
              <w:keepNext w:val="0"/>
              <w:keepLines w:val="0"/>
              <w:pageBreakBefore w:val="0"/>
              <w:widowControl/>
              <w:kinsoku/>
              <w:wordWrap/>
              <w:overflowPunct/>
              <w:topLinePunct w:val="0"/>
              <w:autoSpaceDE/>
              <w:autoSpaceDN/>
              <w:bidi w:val="0"/>
              <w:adjustRightInd/>
              <w:snapToGrid/>
              <w:spacing w:afterLines="0" w:line="360" w:lineRule="exact"/>
              <w:jc w:val="center"/>
              <w:textAlignment w:val="center"/>
              <w:rPr>
                <w:rFonts w:hint="eastAsia" w:ascii="宋体" w:hAnsi="宋体" w:eastAsia="宋体" w:cs="宋体"/>
                <w:b w:val="0"/>
                <w:bCs w:val="0"/>
                <w:color w:val="auto"/>
                <w:sz w:val="22"/>
                <w:szCs w:val="22"/>
                <w:highlight w:val="none"/>
                <w:lang w:val="zh-CN" w:eastAsia="zh-CN"/>
              </w:rPr>
            </w:pPr>
          </w:p>
        </w:tc>
        <w:tc>
          <w:tcPr>
            <w:tcW w:w="6024" w:type="dxa"/>
            <w:vAlign w:val="center"/>
          </w:tcPr>
          <w:p w14:paraId="215E04E5">
            <w:pPr>
              <w:widowControl/>
              <w:spacing w:line="360" w:lineRule="exact"/>
              <w:jc w:val="left"/>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lang w:val="zh-CN" w:eastAsia="zh-CN"/>
              </w:rPr>
              <w:t>提供（</w:t>
            </w:r>
            <w:r>
              <w:rPr>
                <w:rFonts w:hint="eastAsia" w:ascii="仿宋" w:hAnsi="仿宋" w:eastAsia="仿宋" w:cs="仿宋"/>
                <w:sz w:val="22"/>
                <w:szCs w:val="22"/>
                <w:lang w:val="en-US" w:eastAsia="zh-CN"/>
              </w:rPr>
              <w:t>电磁扒炉、电磁自动摇摆汤炉、电磁煮面炉、电磁汤炉</w:t>
            </w:r>
            <w:r>
              <w:rPr>
                <w:rFonts w:hint="eastAsia" w:ascii="仿宋" w:hAnsi="仿宋" w:eastAsia="仿宋" w:cs="仿宋"/>
                <w:sz w:val="22"/>
                <w:szCs w:val="22"/>
                <w:lang w:val="zh-CN" w:eastAsia="zh-CN"/>
              </w:rPr>
              <w:t>）产品防护等级认证证书，产品满足GB/T4208-2017标准，防水等级≥ IP67</w:t>
            </w:r>
            <w:r>
              <w:rPr>
                <w:rFonts w:hint="eastAsia" w:ascii="仿宋" w:hAnsi="仿宋" w:eastAsia="仿宋" w:cs="仿宋"/>
                <w:sz w:val="22"/>
                <w:szCs w:val="22"/>
                <w:lang w:val="en-US" w:eastAsia="zh-CN"/>
              </w:rPr>
              <w:t>，提供1份得1分，最多得4分</w:t>
            </w:r>
            <w:r>
              <w:rPr>
                <w:rFonts w:hint="eastAsia" w:ascii="仿宋" w:hAnsi="仿宋" w:eastAsia="仿宋" w:cs="仿宋"/>
                <w:sz w:val="22"/>
                <w:szCs w:val="22"/>
                <w:lang w:val="zh-CN" w:eastAsia="zh-CN"/>
              </w:rPr>
              <w:t>。</w:t>
            </w:r>
          </w:p>
        </w:tc>
        <w:tc>
          <w:tcPr>
            <w:tcW w:w="901" w:type="dxa"/>
            <w:vMerge w:val="continue"/>
            <w:vAlign w:val="center"/>
          </w:tcPr>
          <w:p w14:paraId="24C82694">
            <w:pPr>
              <w:spacing w:line="360" w:lineRule="exact"/>
              <w:jc w:val="center"/>
              <w:rPr>
                <w:rFonts w:hint="eastAsia" w:ascii="仿宋" w:hAnsi="仿宋" w:eastAsia="仿宋" w:cs="仿宋"/>
                <w:spacing w:val="-6"/>
                <w:sz w:val="22"/>
                <w:szCs w:val="22"/>
              </w:rPr>
            </w:pPr>
          </w:p>
        </w:tc>
      </w:tr>
      <w:tr w14:paraId="6084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0" w:type="dxa"/>
            <w:vAlign w:val="center"/>
          </w:tcPr>
          <w:p w14:paraId="77AA198A">
            <w:pPr>
              <w:spacing w:line="360" w:lineRule="exact"/>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4</w:t>
            </w:r>
          </w:p>
        </w:tc>
        <w:tc>
          <w:tcPr>
            <w:tcW w:w="1356" w:type="dxa"/>
            <w:shd w:val="clear" w:color="auto" w:fill="auto"/>
            <w:vAlign w:val="center"/>
          </w:tcPr>
          <w:p w14:paraId="4C333209">
            <w:pPr>
              <w:widowControl/>
              <w:spacing w:line="360" w:lineRule="exact"/>
              <w:jc w:val="left"/>
              <w:rPr>
                <w:rFonts w:hint="eastAsia" w:ascii="仿宋" w:hAnsi="仿宋" w:eastAsia="仿宋" w:cs="仿宋"/>
                <w:sz w:val="22"/>
                <w:szCs w:val="22"/>
                <w:lang w:val="zh-CN" w:eastAsia="zh-CN"/>
              </w:rPr>
            </w:pPr>
            <w:r>
              <w:rPr>
                <w:rFonts w:hint="eastAsia" w:ascii="仿宋" w:hAnsi="仿宋" w:eastAsia="仿宋" w:cs="仿宋"/>
                <w:sz w:val="22"/>
                <w:szCs w:val="22"/>
                <w:lang w:val="zh-CN" w:eastAsia="zh-CN"/>
              </w:rPr>
              <w:t>投标样品</w:t>
            </w:r>
          </w:p>
        </w:tc>
        <w:tc>
          <w:tcPr>
            <w:tcW w:w="750" w:type="dxa"/>
            <w:shd w:val="clear" w:color="auto" w:fill="auto"/>
            <w:vAlign w:val="center"/>
          </w:tcPr>
          <w:p w14:paraId="3586EFE0">
            <w:pPr>
              <w:widowControl/>
              <w:spacing w:line="360" w:lineRule="exact"/>
              <w:jc w:val="left"/>
              <w:rPr>
                <w:rFonts w:hint="eastAsia" w:ascii="仿宋" w:hAnsi="仿宋" w:eastAsia="仿宋" w:cs="仿宋"/>
                <w:sz w:val="22"/>
                <w:szCs w:val="22"/>
                <w:lang w:val="zh-CN" w:eastAsia="zh-CN"/>
              </w:rPr>
            </w:pPr>
            <w:r>
              <w:rPr>
                <w:rFonts w:hint="eastAsia" w:ascii="仿宋" w:hAnsi="仿宋" w:eastAsia="仿宋" w:cs="仿宋"/>
                <w:sz w:val="22"/>
                <w:szCs w:val="22"/>
                <w:lang w:val="en-US" w:eastAsia="zh-CN"/>
              </w:rPr>
              <w:t>0-7</w:t>
            </w:r>
          </w:p>
        </w:tc>
        <w:tc>
          <w:tcPr>
            <w:tcW w:w="6024" w:type="dxa"/>
            <w:vAlign w:val="center"/>
          </w:tcPr>
          <w:p w14:paraId="5CFB944C">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样品1：</w:t>
            </w:r>
            <w:r>
              <w:rPr>
                <w:rFonts w:hint="eastAsia" w:ascii="仿宋" w:hAnsi="仿宋" w:eastAsia="仿宋" w:cs="仿宋"/>
                <w:sz w:val="22"/>
                <w:szCs w:val="22"/>
                <w:lang w:val="zh-CN" w:eastAsia="zh-CN"/>
              </w:rPr>
              <w:t>根据招标文件要求提供</w:t>
            </w:r>
            <w:r>
              <w:rPr>
                <w:rFonts w:hint="eastAsia" w:ascii="仿宋" w:hAnsi="仿宋" w:eastAsia="仿宋" w:cs="仿宋"/>
                <w:sz w:val="22"/>
                <w:szCs w:val="22"/>
                <w:lang w:val="en-US" w:eastAsia="zh-CN"/>
              </w:rPr>
              <w:t>电磁自动摇摆汤炉</w:t>
            </w:r>
            <w:r>
              <w:rPr>
                <w:rFonts w:hint="eastAsia" w:ascii="仿宋" w:hAnsi="仿宋" w:eastAsia="仿宋" w:cs="仿宋"/>
                <w:sz w:val="22"/>
                <w:szCs w:val="22"/>
                <w:lang w:val="zh-CN" w:eastAsia="zh-CN"/>
              </w:rPr>
              <w:t>样品1台（</w:t>
            </w:r>
            <w:r>
              <w:rPr>
                <w:rFonts w:hint="eastAsia" w:ascii="仿宋" w:hAnsi="仿宋" w:eastAsia="仿宋" w:cs="仿宋"/>
                <w:sz w:val="22"/>
                <w:szCs w:val="22"/>
                <w:lang w:val="en-US" w:eastAsia="zh-CN"/>
              </w:rPr>
              <w:t>同时提供操作手册</w:t>
            </w:r>
            <w:r>
              <w:rPr>
                <w:rFonts w:hint="eastAsia" w:ascii="仿宋" w:hAnsi="仿宋" w:eastAsia="仿宋" w:cs="仿宋"/>
                <w:sz w:val="22"/>
                <w:szCs w:val="22"/>
                <w:lang w:val="zh-CN" w:eastAsia="zh-CN"/>
              </w:rPr>
              <w:t>）并现场通电</w:t>
            </w:r>
            <w:r>
              <w:rPr>
                <w:rFonts w:hint="eastAsia" w:ascii="仿宋" w:hAnsi="仿宋" w:eastAsia="仿宋" w:cs="仿宋"/>
                <w:sz w:val="22"/>
                <w:szCs w:val="22"/>
                <w:lang w:val="en-US" w:eastAsia="zh-CN"/>
              </w:rPr>
              <w:t>操作后进行打分</w:t>
            </w:r>
            <w:r>
              <w:rPr>
                <w:rFonts w:hint="eastAsia" w:ascii="仿宋" w:hAnsi="仿宋" w:eastAsia="仿宋" w:cs="仿宋"/>
                <w:sz w:val="22"/>
                <w:szCs w:val="22"/>
                <w:lang w:val="zh-CN" w:eastAsia="zh-CN"/>
              </w:rPr>
              <w:t>。规格：</w:t>
            </w:r>
            <w:r>
              <w:rPr>
                <w:rFonts w:hint="eastAsia" w:ascii="仿宋" w:hAnsi="仿宋" w:eastAsia="仿宋" w:cs="仿宋"/>
                <w:sz w:val="22"/>
                <w:szCs w:val="22"/>
                <w:lang w:val="en-US" w:eastAsia="zh-CN"/>
              </w:rPr>
              <w:t>1350*900*1000（±5mm）本项最高得7分。</w:t>
            </w:r>
          </w:p>
          <w:p w14:paraId="04537457">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1、现场通电（220V的电源）后倾斜，复位开关亮提示灯，汤桶在40秒内一键倾斜到90°及180°复位；得3分；样品没有达到以上要求不得分。</w:t>
            </w:r>
          </w:p>
          <w:p w14:paraId="50C2D898">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2、采用锌合金八档开关及一键防勿动开关，紧急情况能准确无误停止设备运行；得2分；样品没有达到以上要求不得分。</w:t>
            </w:r>
          </w:p>
          <w:p w14:paraId="054422C3">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3、采用双层汤桶盖，通电后锅盖在闭合状态下汤桶无法实现动态位移工作；得2分；样品没有达到以上要求不得分。</w:t>
            </w:r>
          </w:p>
          <w:p w14:paraId="436DF14D">
            <w:pPr>
              <w:widowControl/>
              <w:spacing w:line="360" w:lineRule="exac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备注：</w:t>
            </w:r>
            <w:r>
              <w:rPr>
                <w:rFonts w:hint="eastAsia" w:ascii="仿宋" w:hAnsi="仿宋" w:eastAsia="仿宋" w:cs="仿宋"/>
                <w:sz w:val="22"/>
                <w:szCs w:val="22"/>
                <w:lang w:val="zh-CN" w:eastAsia="zh-CN"/>
              </w:rPr>
              <w:t>样品不提供的对应</w:t>
            </w:r>
            <w:r>
              <w:rPr>
                <w:rFonts w:hint="eastAsia" w:ascii="仿宋" w:hAnsi="仿宋" w:eastAsia="仿宋" w:cs="仿宋"/>
                <w:sz w:val="22"/>
                <w:szCs w:val="22"/>
                <w:lang w:val="en-US" w:eastAsia="zh-CN"/>
              </w:rPr>
              <w:t>评分</w:t>
            </w:r>
            <w:r>
              <w:rPr>
                <w:rFonts w:hint="eastAsia" w:ascii="仿宋" w:hAnsi="仿宋" w:eastAsia="仿宋" w:cs="仿宋"/>
                <w:sz w:val="22"/>
                <w:szCs w:val="22"/>
                <w:lang w:val="zh-CN" w:eastAsia="zh-CN"/>
              </w:rPr>
              <w:t>项不得分。</w:t>
            </w:r>
          </w:p>
        </w:tc>
        <w:tc>
          <w:tcPr>
            <w:tcW w:w="901" w:type="dxa"/>
            <w:vAlign w:val="center"/>
          </w:tcPr>
          <w:p w14:paraId="054A3915">
            <w:pPr>
              <w:spacing w:line="360" w:lineRule="exact"/>
              <w:jc w:val="center"/>
              <w:rPr>
                <w:rFonts w:hint="eastAsia" w:ascii="仿宋" w:hAnsi="仿宋" w:eastAsia="仿宋" w:cs="仿宋"/>
                <w:spacing w:val="-6"/>
                <w:sz w:val="22"/>
                <w:szCs w:val="22"/>
              </w:rPr>
            </w:pPr>
            <w:r>
              <w:rPr>
                <w:rFonts w:hint="eastAsia" w:ascii="仿宋" w:hAnsi="仿宋" w:eastAsia="仿宋" w:cs="仿宋"/>
                <w:spacing w:val="-6"/>
                <w:sz w:val="22"/>
                <w:szCs w:val="22"/>
              </w:rPr>
              <w:t>客观分</w:t>
            </w:r>
          </w:p>
        </w:tc>
      </w:tr>
      <w:tr w14:paraId="139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750" w:type="dxa"/>
            <w:vAlign w:val="center"/>
          </w:tcPr>
          <w:p w14:paraId="45C258FD">
            <w:pPr>
              <w:spacing w:line="36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5</w:t>
            </w:r>
          </w:p>
        </w:tc>
        <w:tc>
          <w:tcPr>
            <w:tcW w:w="1356" w:type="dxa"/>
            <w:vAlign w:val="center"/>
          </w:tcPr>
          <w:p w14:paraId="3383FD1A">
            <w:pPr>
              <w:spacing w:line="460" w:lineRule="exact"/>
              <w:ind w:left="-50"/>
              <w:jc w:val="center"/>
              <w:rPr>
                <w:rFonts w:ascii="仿宋" w:hAnsi="仿宋" w:eastAsia="仿宋" w:cs="仿宋"/>
                <w:sz w:val="22"/>
                <w:szCs w:val="22"/>
              </w:rPr>
            </w:pPr>
            <w:r>
              <w:rPr>
                <w:rFonts w:hint="eastAsia" w:ascii="仿宋" w:hAnsi="仿宋" w:eastAsia="仿宋" w:cs="仿宋"/>
                <w:sz w:val="22"/>
                <w:szCs w:val="22"/>
              </w:rPr>
              <w:t>针对本项目制定的实施方案</w:t>
            </w:r>
          </w:p>
        </w:tc>
        <w:tc>
          <w:tcPr>
            <w:tcW w:w="750" w:type="dxa"/>
            <w:vAlign w:val="center"/>
          </w:tcPr>
          <w:p w14:paraId="54264C27">
            <w:pPr>
              <w:spacing w:line="320" w:lineRule="exact"/>
              <w:jc w:val="center"/>
              <w:rPr>
                <w:rFonts w:hint="default" w:ascii="仿宋" w:hAnsi="仿宋" w:eastAsia="仿宋" w:cs="仿宋"/>
                <w:sz w:val="22"/>
                <w:szCs w:val="22"/>
                <w:lang w:val="en-US" w:eastAsia="zh-CN"/>
              </w:rPr>
            </w:pPr>
            <w:r>
              <w:rPr>
                <w:rFonts w:hint="eastAsia" w:ascii="仿宋" w:hAnsi="仿宋" w:eastAsia="仿宋" w:cs="仿宋"/>
                <w:sz w:val="22"/>
                <w:szCs w:val="22"/>
              </w:rPr>
              <w:t>0-</w:t>
            </w:r>
            <w:r>
              <w:rPr>
                <w:rFonts w:hint="eastAsia" w:ascii="仿宋" w:hAnsi="仿宋" w:eastAsia="仿宋" w:cs="仿宋"/>
                <w:sz w:val="22"/>
                <w:szCs w:val="22"/>
                <w:lang w:val="en-US" w:eastAsia="zh-CN"/>
              </w:rPr>
              <w:t>12</w:t>
            </w:r>
          </w:p>
        </w:tc>
        <w:tc>
          <w:tcPr>
            <w:tcW w:w="6024" w:type="dxa"/>
            <w:vAlign w:val="center"/>
          </w:tcPr>
          <w:p w14:paraId="558D1E2F">
            <w:pPr>
              <w:spacing w:line="336" w:lineRule="auto"/>
              <w:rPr>
                <w:rFonts w:hint="eastAsia" w:ascii="仿宋" w:hAnsi="仿宋" w:eastAsia="仿宋" w:cs="仿宋"/>
                <w:sz w:val="22"/>
                <w:szCs w:val="22"/>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仿宋" w:hAnsi="仿宋" w:eastAsia="仿宋" w:cs="仿宋"/>
                <w:sz w:val="22"/>
                <w:szCs w:val="22"/>
                <w:lang w:val="en-US" w:eastAsia="zh-CN"/>
              </w:rPr>
              <w:t>投标人根据本项目涉及的内容以及建筑平面图纸，提供详细的厨房设备布局平面图得1分、设备水电得1分、厨房各区间的设计效果图得1分；（评分范围：3,2,1,0）；</w:t>
            </w:r>
          </w:p>
          <w:p w14:paraId="5CAAB2F6">
            <w:pPr>
              <w:spacing w:line="336" w:lineRule="auto"/>
              <w:rPr>
                <w:rFonts w:ascii="仿宋" w:hAnsi="仿宋" w:eastAsia="仿宋" w:cs="仿宋"/>
                <w:sz w:val="22"/>
                <w:szCs w:val="22"/>
              </w:rPr>
            </w:pPr>
            <w:r>
              <w:rPr>
                <w:rFonts w:hint="eastAsia" w:ascii="仿宋" w:hAnsi="仿宋" w:eastAsia="仿宋" w:cs="仿宋"/>
                <w:sz w:val="22"/>
                <w:szCs w:val="22"/>
                <w:lang w:val="en-US" w:eastAsia="zh-CN"/>
              </w:rPr>
              <w:t>2、投标人结合项目实际情况，对上述的图纸设计方案进行视频演示讲解，</w:t>
            </w:r>
            <w:r>
              <w:rPr>
                <w:rFonts w:hint="eastAsia" w:ascii="仿宋" w:hAnsi="仿宋" w:eastAsia="仿宋" w:cs="仿宋"/>
                <w:sz w:val="22"/>
                <w:szCs w:val="22"/>
                <w:lang w:val="zh-CN" w:eastAsia="zh-CN"/>
              </w:rPr>
              <w:t>评委根据方案的完整程度、设计的科学性、合理性</w:t>
            </w:r>
            <w:r>
              <w:rPr>
                <w:rFonts w:hint="eastAsia" w:ascii="仿宋" w:hAnsi="仿宋" w:eastAsia="仿宋" w:cs="仿宋"/>
                <w:sz w:val="22"/>
                <w:szCs w:val="22"/>
                <w:lang w:val="en-US" w:eastAsia="zh-CN"/>
              </w:rPr>
              <w:t>（评分范围：9</w:t>
            </w:r>
            <w:r>
              <w:rPr>
                <w:rFonts w:hint="eastAsia" w:ascii="仿宋" w:hAnsi="仿宋" w:eastAsia="仿宋" w:cs="仿宋"/>
                <w:sz w:val="22"/>
                <w:szCs w:val="22"/>
              </w:rPr>
              <w:t>、</w:t>
            </w:r>
            <w:r>
              <w:rPr>
                <w:rFonts w:hint="eastAsia" w:ascii="仿宋" w:hAnsi="仿宋" w:eastAsia="仿宋" w:cs="仿宋"/>
                <w:sz w:val="22"/>
                <w:szCs w:val="22"/>
                <w:lang w:val="en-US" w:eastAsia="zh-CN"/>
              </w:rPr>
              <w:t>8</w:t>
            </w:r>
            <w:r>
              <w:rPr>
                <w:rFonts w:hint="eastAsia" w:ascii="仿宋" w:hAnsi="仿宋" w:eastAsia="仿宋" w:cs="仿宋"/>
                <w:sz w:val="22"/>
                <w:szCs w:val="22"/>
              </w:rPr>
              <w:t>、</w:t>
            </w:r>
            <w:r>
              <w:rPr>
                <w:rFonts w:hint="eastAsia" w:ascii="仿宋" w:hAnsi="仿宋" w:eastAsia="仿宋" w:cs="仿宋"/>
                <w:sz w:val="22"/>
                <w:szCs w:val="22"/>
                <w:lang w:val="en-US" w:eastAsia="zh-CN"/>
              </w:rPr>
              <w:t>7</w:t>
            </w:r>
            <w:r>
              <w:rPr>
                <w:rFonts w:hint="eastAsia" w:ascii="仿宋" w:hAnsi="仿宋" w:eastAsia="仿宋" w:cs="仿宋"/>
                <w:sz w:val="22"/>
                <w:szCs w:val="22"/>
              </w:rPr>
              <w:t>、</w:t>
            </w:r>
            <w:r>
              <w:rPr>
                <w:rFonts w:hint="eastAsia" w:ascii="仿宋" w:hAnsi="仿宋" w:eastAsia="仿宋" w:cs="仿宋"/>
                <w:sz w:val="22"/>
                <w:szCs w:val="22"/>
                <w:lang w:val="en-US" w:eastAsia="zh-CN"/>
              </w:rPr>
              <w:t>6</w:t>
            </w:r>
            <w:r>
              <w:rPr>
                <w:rFonts w:hint="eastAsia" w:ascii="仿宋" w:hAnsi="仿宋" w:eastAsia="仿宋" w:cs="仿宋"/>
                <w:sz w:val="22"/>
                <w:szCs w:val="22"/>
              </w:rPr>
              <w:t>、5、4、3、2、1、0分</w:t>
            </w:r>
            <w:r>
              <w:rPr>
                <w:rFonts w:hint="eastAsia" w:ascii="仿宋" w:hAnsi="仿宋" w:eastAsia="仿宋" w:cs="仿宋"/>
                <w:sz w:val="22"/>
                <w:szCs w:val="22"/>
                <w:lang w:val="en-US" w:eastAsia="zh-CN"/>
              </w:rPr>
              <w:t>）。</w:t>
            </w:r>
          </w:p>
        </w:tc>
        <w:tc>
          <w:tcPr>
            <w:tcW w:w="901" w:type="dxa"/>
            <w:vAlign w:val="center"/>
          </w:tcPr>
          <w:p w14:paraId="00A42ACE">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主观分</w:t>
            </w:r>
          </w:p>
        </w:tc>
      </w:tr>
      <w:tr w14:paraId="2ABF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50" w:type="dxa"/>
            <w:vAlign w:val="center"/>
          </w:tcPr>
          <w:p w14:paraId="5685164D">
            <w:pPr>
              <w:spacing w:line="36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6</w:t>
            </w:r>
          </w:p>
        </w:tc>
        <w:tc>
          <w:tcPr>
            <w:tcW w:w="1356" w:type="dxa"/>
            <w:vAlign w:val="center"/>
          </w:tcPr>
          <w:p w14:paraId="0B602774">
            <w:pPr>
              <w:spacing w:line="336" w:lineRule="auto"/>
              <w:jc w:val="center"/>
              <w:rPr>
                <w:rFonts w:ascii="仿宋" w:hAnsi="仿宋" w:eastAsia="仿宋" w:cs="仿宋"/>
                <w:sz w:val="22"/>
                <w:szCs w:val="22"/>
              </w:rPr>
            </w:pPr>
            <w:r>
              <w:rPr>
                <w:rFonts w:hint="eastAsia" w:ascii="仿宋" w:hAnsi="仿宋" w:eastAsia="仿宋" w:cs="仿宋"/>
                <w:sz w:val="22"/>
                <w:szCs w:val="22"/>
              </w:rPr>
              <w:t>售后服务方案</w:t>
            </w:r>
          </w:p>
        </w:tc>
        <w:tc>
          <w:tcPr>
            <w:tcW w:w="750" w:type="dxa"/>
            <w:vAlign w:val="center"/>
          </w:tcPr>
          <w:p w14:paraId="773396CA">
            <w:pPr>
              <w:spacing w:line="460" w:lineRule="exact"/>
              <w:jc w:val="center"/>
              <w:rPr>
                <w:rFonts w:hint="eastAsia" w:ascii="仿宋" w:hAnsi="仿宋" w:eastAsia="仿宋" w:cs="仿宋"/>
                <w:sz w:val="22"/>
                <w:szCs w:val="22"/>
                <w:lang w:eastAsia="zh-CN"/>
              </w:rPr>
            </w:pPr>
            <w:r>
              <w:rPr>
                <w:rFonts w:hint="eastAsia" w:ascii="仿宋" w:hAnsi="仿宋" w:eastAsia="仿宋" w:cs="仿宋"/>
                <w:sz w:val="22"/>
                <w:szCs w:val="22"/>
              </w:rPr>
              <w:t>0-</w:t>
            </w:r>
            <w:r>
              <w:rPr>
                <w:rFonts w:hint="eastAsia" w:ascii="仿宋" w:hAnsi="仿宋" w:eastAsia="仿宋" w:cs="仿宋"/>
                <w:sz w:val="22"/>
                <w:szCs w:val="22"/>
                <w:lang w:val="en-US" w:eastAsia="zh-CN"/>
              </w:rPr>
              <w:t>5</w:t>
            </w:r>
          </w:p>
        </w:tc>
        <w:tc>
          <w:tcPr>
            <w:tcW w:w="6024" w:type="dxa"/>
            <w:vAlign w:val="center"/>
          </w:tcPr>
          <w:p w14:paraId="7D3A85CD">
            <w:pPr>
              <w:spacing w:line="336" w:lineRule="auto"/>
              <w:rPr>
                <w:rFonts w:ascii="仿宋" w:hAnsi="仿宋" w:eastAsia="仿宋" w:cs="仿宋"/>
                <w:sz w:val="22"/>
                <w:szCs w:val="22"/>
              </w:rPr>
            </w:pPr>
            <w:r>
              <w:rPr>
                <w:rFonts w:hint="eastAsia" w:ascii="仿宋" w:hAnsi="仿宋" w:eastAsia="仿宋" w:cs="仿宋"/>
                <w:sz w:val="22"/>
                <w:szCs w:val="22"/>
              </w:rPr>
              <w:t>根据投标人</w:t>
            </w:r>
            <w:r>
              <w:rPr>
                <w:rFonts w:ascii="仿宋" w:hAnsi="仿宋" w:eastAsia="仿宋" w:cs="仿宋"/>
                <w:sz w:val="22"/>
                <w:szCs w:val="22"/>
              </w:rPr>
              <w:t>提供完善的维保服务方案：维保方案包括：回访措施、维护措施、耗材及备品备件优惠措施、维保人员配置等方面）和可靠、快速的服务响应体系（接到通知到达现场处理故障时间、一般故障承诺解决时间、故障无法排除时的解决方案等方面）</w:t>
            </w:r>
            <w:r>
              <w:rPr>
                <w:rFonts w:hint="eastAsia" w:ascii="仿宋" w:hAnsi="仿宋" w:eastAsia="仿宋" w:cs="仿宋"/>
                <w:sz w:val="22"/>
                <w:szCs w:val="22"/>
              </w:rPr>
              <w:t>等进行评分。</w:t>
            </w:r>
          </w:p>
          <w:p w14:paraId="32007563">
            <w:pPr>
              <w:spacing w:line="336" w:lineRule="auto"/>
              <w:rPr>
                <w:rFonts w:ascii="仿宋" w:hAnsi="仿宋" w:eastAsia="仿宋" w:cs="仿宋"/>
                <w:sz w:val="22"/>
                <w:szCs w:val="22"/>
              </w:rPr>
            </w:pPr>
            <w:r>
              <w:rPr>
                <w:rFonts w:hint="eastAsia" w:ascii="仿宋" w:hAnsi="仿宋" w:eastAsia="仿宋" w:cs="仿宋"/>
                <w:sz w:val="22"/>
                <w:szCs w:val="22"/>
              </w:rPr>
              <w:t>（评分范围：</w:t>
            </w:r>
            <w:r>
              <w:rPr>
                <w:rFonts w:hint="eastAsia" w:ascii="仿宋" w:hAnsi="仿宋" w:eastAsia="仿宋" w:cs="仿宋"/>
                <w:sz w:val="22"/>
                <w:szCs w:val="22"/>
                <w:lang w:val="en-US" w:eastAsia="zh-CN"/>
              </w:rPr>
              <w:t>5、</w:t>
            </w:r>
            <w:r>
              <w:rPr>
                <w:rFonts w:hint="eastAsia" w:ascii="仿宋" w:hAnsi="仿宋" w:eastAsia="仿宋" w:cs="仿宋"/>
                <w:sz w:val="22"/>
                <w:szCs w:val="22"/>
              </w:rPr>
              <w:t>4、3、2、1、0分）</w:t>
            </w:r>
          </w:p>
        </w:tc>
        <w:tc>
          <w:tcPr>
            <w:tcW w:w="901" w:type="dxa"/>
            <w:vAlign w:val="center"/>
          </w:tcPr>
          <w:p w14:paraId="39781C7E">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主观分</w:t>
            </w:r>
          </w:p>
        </w:tc>
      </w:tr>
      <w:tr w14:paraId="7EFC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50" w:type="dxa"/>
            <w:vAlign w:val="center"/>
          </w:tcPr>
          <w:p w14:paraId="21071CB7">
            <w:pPr>
              <w:spacing w:line="360" w:lineRule="exact"/>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7</w:t>
            </w:r>
          </w:p>
        </w:tc>
        <w:tc>
          <w:tcPr>
            <w:tcW w:w="1356" w:type="dxa"/>
            <w:vAlign w:val="center"/>
          </w:tcPr>
          <w:p w14:paraId="52E198BC">
            <w:pPr>
              <w:spacing w:line="336" w:lineRule="auto"/>
              <w:jc w:val="center"/>
              <w:rPr>
                <w:rFonts w:ascii="仿宋" w:hAnsi="仿宋" w:eastAsia="仿宋" w:cs="仿宋"/>
                <w:sz w:val="22"/>
                <w:szCs w:val="22"/>
              </w:rPr>
            </w:pPr>
            <w:r>
              <w:rPr>
                <w:rFonts w:hint="eastAsia" w:ascii="仿宋" w:hAnsi="仿宋" w:eastAsia="仿宋" w:cs="仿宋"/>
                <w:snapToGrid w:val="0"/>
                <w:sz w:val="22"/>
                <w:szCs w:val="22"/>
              </w:rPr>
              <w:t>技术培训</w:t>
            </w:r>
          </w:p>
        </w:tc>
        <w:tc>
          <w:tcPr>
            <w:tcW w:w="750" w:type="dxa"/>
            <w:vAlign w:val="center"/>
          </w:tcPr>
          <w:p w14:paraId="181E293C">
            <w:pPr>
              <w:spacing w:line="460" w:lineRule="exact"/>
              <w:jc w:val="center"/>
              <w:rPr>
                <w:rFonts w:hint="eastAsia" w:ascii="仿宋" w:hAnsi="仿宋" w:eastAsia="仿宋" w:cs="仿宋"/>
                <w:sz w:val="22"/>
                <w:szCs w:val="22"/>
                <w:lang w:eastAsia="zh-CN"/>
              </w:rPr>
            </w:pPr>
            <w:r>
              <w:rPr>
                <w:rFonts w:hint="eastAsia" w:ascii="仿宋" w:hAnsi="仿宋" w:eastAsia="仿宋" w:cs="仿宋"/>
                <w:sz w:val="22"/>
                <w:szCs w:val="22"/>
              </w:rPr>
              <w:t>0-</w:t>
            </w:r>
            <w:r>
              <w:rPr>
                <w:rFonts w:hint="eastAsia" w:ascii="仿宋" w:hAnsi="仿宋" w:eastAsia="仿宋" w:cs="仿宋"/>
                <w:sz w:val="22"/>
                <w:szCs w:val="22"/>
                <w:lang w:val="en-US" w:eastAsia="zh-CN"/>
              </w:rPr>
              <w:t>3</w:t>
            </w:r>
          </w:p>
        </w:tc>
        <w:tc>
          <w:tcPr>
            <w:tcW w:w="6024" w:type="dxa"/>
            <w:vAlign w:val="center"/>
          </w:tcPr>
          <w:p w14:paraId="094803B2">
            <w:pPr>
              <w:spacing w:line="336" w:lineRule="auto"/>
              <w:rPr>
                <w:rFonts w:ascii="仿宋" w:hAnsi="仿宋" w:eastAsia="仿宋" w:cs="仿宋"/>
                <w:sz w:val="22"/>
                <w:szCs w:val="22"/>
                <w:lang w:val="zh-TW"/>
              </w:rPr>
            </w:pPr>
            <w:r>
              <w:rPr>
                <w:rFonts w:hint="eastAsia" w:ascii="仿宋" w:hAnsi="仿宋" w:eastAsia="仿宋" w:cs="仿宋"/>
                <w:sz w:val="22"/>
                <w:szCs w:val="22"/>
                <w:lang w:val="zh-TW"/>
              </w:rPr>
              <w:t>根据投标人针对项目特点结合采购人需求制定包括但不限于培训内容、培训方式、培训计划、培训对象、培训团队配备等技术培训方案等进行评分。</w:t>
            </w:r>
          </w:p>
          <w:p w14:paraId="18095C0B">
            <w:pPr>
              <w:spacing w:line="336" w:lineRule="auto"/>
              <w:rPr>
                <w:rFonts w:ascii="仿宋" w:hAnsi="仿宋" w:eastAsia="仿宋" w:cs="仿宋"/>
                <w:sz w:val="22"/>
                <w:szCs w:val="22"/>
              </w:rPr>
            </w:pPr>
            <w:r>
              <w:rPr>
                <w:rFonts w:hint="eastAsia" w:ascii="仿宋" w:hAnsi="仿宋" w:eastAsia="仿宋" w:cs="仿宋"/>
                <w:sz w:val="22"/>
                <w:szCs w:val="22"/>
              </w:rPr>
              <w:t>（评分范围：3、2、1、0分）</w:t>
            </w:r>
          </w:p>
        </w:tc>
        <w:tc>
          <w:tcPr>
            <w:tcW w:w="901" w:type="dxa"/>
            <w:vAlign w:val="center"/>
          </w:tcPr>
          <w:p w14:paraId="4A4DE66B">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主观分</w:t>
            </w:r>
          </w:p>
        </w:tc>
      </w:tr>
      <w:tr w14:paraId="6C8B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EE1B42A">
            <w:pPr>
              <w:spacing w:line="460" w:lineRule="exact"/>
              <w:ind w:left="-5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8</w:t>
            </w:r>
          </w:p>
        </w:tc>
        <w:tc>
          <w:tcPr>
            <w:tcW w:w="1356" w:type="dxa"/>
            <w:vAlign w:val="center"/>
          </w:tcPr>
          <w:p w14:paraId="149FD99E">
            <w:pPr>
              <w:spacing w:line="336" w:lineRule="auto"/>
              <w:jc w:val="center"/>
              <w:rPr>
                <w:rFonts w:ascii="仿宋" w:hAnsi="仿宋" w:eastAsia="仿宋" w:cs="仿宋"/>
                <w:sz w:val="22"/>
                <w:szCs w:val="22"/>
              </w:rPr>
            </w:pPr>
            <w:r>
              <w:rPr>
                <w:rFonts w:hint="eastAsia" w:ascii="仿宋" w:hAnsi="仿宋" w:eastAsia="仿宋" w:cs="仿宋"/>
                <w:sz w:val="22"/>
                <w:szCs w:val="22"/>
              </w:rPr>
              <w:t>质保期</w:t>
            </w:r>
          </w:p>
        </w:tc>
        <w:tc>
          <w:tcPr>
            <w:tcW w:w="750" w:type="dxa"/>
            <w:vAlign w:val="center"/>
          </w:tcPr>
          <w:p w14:paraId="12DA0E45">
            <w:pPr>
              <w:spacing w:line="460" w:lineRule="exact"/>
              <w:jc w:val="center"/>
              <w:rPr>
                <w:rFonts w:hint="eastAsia" w:ascii="仿宋" w:hAnsi="仿宋" w:eastAsia="仿宋" w:cs="仿宋"/>
                <w:sz w:val="22"/>
                <w:szCs w:val="22"/>
                <w:lang w:eastAsia="zh-CN"/>
              </w:rPr>
            </w:pPr>
            <w:r>
              <w:rPr>
                <w:rFonts w:hint="eastAsia" w:ascii="仿宋" w:hAnsi="仿宋" w:eastAsia="仿宋" w:cs="仿宋"/>
                <w:sz w:val="22"/>
                <w:szCs w:val="22"/>
              </w:rPr>
              <w:t>0-</w:t>
            </w:r>
            <w:r>
              <w:rPr>
                <w:rFonts w:hint="eastAsia" w:ascii="仿宋" w:hAnsi="仿宋" w:eastAsia="仿宋" w:cs="仿宋"/>
                <w:sz w:val="22"/>
                <w:szCs w:val="22"/>
                <w:lang w:val="en-US" w:eastAsia="zh-CN"/>
              </w:rPr>
              <w:t>2</w:t>
            </w:r>
          </w:p>
        </w:tc>
        <w:tc>
          <w:tcPr>
            <w:tcW w:w="6024" w:type="dxa"/>
            <w:vAlign w:val="center"/>
          </w:tcPr>
          <w:p w14:paraId="3D3938D6">
            <w:pPr>
              <w:spacing w:line="460" w:lineRule="exact"/>
              <w:rPr>
                <w:rFonts w:ascii="仿宋" w:hAnsi="仿宋" w:eastAsia="仿宋" w:cs="仿宋"/>
                <w:sz w:val="22"/>
                <w:szCs w:val="22"/>
                <w:lang w:val="zh-CN"/>
              </w:rPr>
            </w:pPr>
            <w:r>
              <w:rPr>
                <w:rFonts w:hint="eastAsia" w:ascii="仿宋" w:hAnsi="仿宋" w:eastAsia="仿宋" w:cs="仿宋"/>
                <w:spacing w:val="-6"/>
                <w:sz w:val="22"/>
                <w:szCs w:val="22"/>
              </w:rPr>
              <w:t>质保期仅满足采购文件要求的得0分；质保期每延长一年得1分，本项累计最高得</w:t>
            </w:r>
            <w:r>
              <w:rPr>
                <w:rFonts w:hint="eastAsia" w:ascii="仿宋" w:hAnsi="仿宋" w:eastAsia="仿宋" w:cs="仿宋"/>
                <w:spacing w:val="-6"/>
                <w:sz w:val="22"/>
                <w:szCs w:val="22"/>
                <w:lang w:val="en-US" w:eastAsia="zh-CN"/>
              </w:rPr>
              <w:t>2</w:t>
            </w:r>
            <w:r>
              <w:rPr>
                <w:rFonts w:hint="eastAsia" w:ascii="仿宋" w:hAnsi="仿宋" w:eastAsia="仿宋" w:cs="仿宋"/>
                <w:spacing w:val="-6"/>
                <w:sz w:val="22"/>
                <w:szCs w:val="22"/>
              </w:rPr>
              <w:t>分（延长时间不足一年的不计入分值计算）。</w:t>
            </w:r>
          </w:p>
        </w:tc>
        <w:tc>
          <w:tcPr>
            <w:tcW w:w="901" w:type="dxa"/>
            <w:vAlign w:val="center"/>
          </w:tcPr>
          <w:p w14:paraId="199F11FC">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客观分</w:t>
            </w:r>
          </w:p>
        </w:tc>
      </w:tr>
      <w:tr w14:paraId="0FBD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750" w:type="dxa"/>
            <w:vAlign w:val="center"/>
          </w:tcPr>
          <w:p w14:paraId="1F025E98">
            <w:pPr>
              <w:spacing w:line="460" w:lineRule="exact"/>
              <w:ind w:left="-50"/>
              <w:jc w:val="center"/>
              <w:rPr>
                <w:rFonts w:ascii="仿宋" w:hAnsi="仿宋" w:eastAsia="仿宋" w:cs="仿宋"/>
                <w:sz w:val="22"/>
                <w:szCs w:val="22"/>
              </w:rPr>
            </w:pPr>
            <w:r>
              <w:rPr>
                <w:rFonts w:hint="eastAsia" w:ascii="仿宋" w:hAnsi="仿宋" w:eastAsia="仿宋" w:cs="仿宋"/>
                <w:sz w:val="22"/>
                <w:szCs w:val="22"/>
              </w:rPr>
              <w:t>9</w:t>
            </w:r>
          </w:p>
        </w:tc>
        <w:tc>
          <w:tcPr>
            <w:tcW w:w="1356" w:type="dxa"/>
            <w:vAlign w:val="center"/>
          </w:tcPr>
          <w:p w14:paraId="109BE750">
            <w:pPr>
              <w:spacing w:line="336" w:lineRule="auto"/>
              <w:jc w:val="center"/>
              <w:rPr>
                <w:rFonts w:ascii="仿宋" w:hAnsi="仿宋" w:eastAsia="仿宋" w:cs="仿宋"/>
                <w:sz w:val="22"/>
                <w:szCs w:val="22"/>
              </w:rPr>
            </w:pPr>
            <w:r>
              <w:rPr>
                <w:rFonts w:hint="eastAsia" w:ascii="仿宋" w:hAnsi="仿宋" w:eastAsia="仿宋" w:cs="仿宋"/>
                <w:sz w:val="22"/>
                <w:szCs w:val="22"/>
              </w:rPr>
              <w:t>节能、环境标志产品认证</w:t>
            </w:r>
          </w:p>
        </w:tc>
        <w:tc>
          <w:tcPr>
            <w:tcW w:w="750" w:type="dxa"/>
            <w:vAlign w:val="center"/>
          </w:tcPr>
          <w:p w14:paraId="2508C58B">
            <w:pPr>
              <w:spacing w:line="460" w:lineRule="exact"/>
              <w:jc w:val="center"/>
              <w:rPr>
                <w:rFonts w:hint="eastAsia" w:ascii="仿宋" w:hAnsi="仿宋" w:eastAsia="仿宋" w:cs="仿宋"/>
                <w:sz w:val="22"/>
                <w:szCs w:val="22"/>
                <w:lang w:eastAsia="zh-CN"/>
              </w:rPr>
            </w:pPr>
            <w:r>
              <w:rPr>
                <w:rFonts w:hint="eastAsia" w:ascii="仿宋" w:hAnsi="仿宋" w:eastAsia="仿宋" w:cs="仿宋"/>
                <w:sz w:val="22"/>
                <w:szCs w:val="22"/>
              </w:rPr>
              <w:t>0-</w:t>
            </w:r>
            <w:r>
              <w:rPr>
                <w:rFonts w:hint="eastAsia" w:ascii="仿宋" w:hAnsi="仿宋" w:eastAsia="仿宋" w:cs="仿宋"/>
                <w:sz w:val="22"/>
                <w:szCs w:val="22"/>
                <w:lang w:val="en-US" w:eastAsia="zh-CN"/>
              </w:rPr>
              <w:t>2</w:t>
            </w:r>
          </w:p>
        </w:tc>
        <w:tc>
          <w:tcPr>
            <w:tcW w:w="6024" w:type="dxa"/>
            <w:shd w:val="clear" w:color="auto" w:fill="auto"/>
            <w:vAlign w:val="center"/>
          </w:tcPr>
          <w:p w14:paraId="142E9994">
            <w:pPr>
              <w:adjustRightInd/>
              <w:spacing w:line="460" w:lineRule="exact"/>
              <w:rPr>
                <w:rFonts w:ascii="仿宋" w:hAnsi="仿宋" w:eastAsia="仿宋" w:cs="仿宋"/>
                <w:sz w:val="22"/>
                <w:szCs w:val="22"/>
              </w:rPr>
            </w:pPr>
            <w:r>
              <w:rPr>
                <w:rFonts w:hint="eastAsia" w:ascii="仿宋" w:hAnsi="仿宋" w:eastAsia="仿宋" w:cs="仿宋"/>
                <w:sz w:val="22"/>
                <w:szCs w:val="22"/>
              </w:rPr>
              <w:t>1、投标产品中获得指定认证机构出具的环境标志产品认证证书的，每项产品得0.5分，最高得</w:t>
            </w:r>
            <w:r>
              <w:rPr>
                <w:rFonts w:hint="eastAsia" w:ascii="仿宋" w:hAnsi="仿宋" w:eastAsia="仿宋" w:cs="仿宋"/>
                <w:sz w:val="22"/>
                <w:szCs w:val="22"/>
                <w:lang w:val="en-US" w:eastAsia="zh-CN"/>
              </w:rPr>
              <w:t>1</w:t>
            </w:r>
            <w:r>
              <w:rPr>
                <w:rFonts w:hint="eastAsia" w:ascii="仿宋" w:hAnsi="仿宋" w:eastAsia="仿宋" w:cs="仿宋"/>
                <w:sz w:val="22"/>
                <w:szCs w:val="22"/>
              </w:rPr>
              <w:t>分。供应商须提供国家确定的认证机构出具的、处于有效期之内的环境标志产品认证证书，否则不得分。</w:t>
            </w:r>
          </w:p>
          <w:p w14:paraId="3E00CC63">
            <w:pPr>
              <w:adjustRightInd/>
              <w:spacing w:line="460" w:lineRule="exact"/>
              <w:rPr>
                <w:rFonts w:ascii="仿宋" w:hAnsi="仿宋" w:eastAsia="仿宋" w:cs="仿宋"/>
                <w:sz w:val="22"/>
                <w:szCs w:val="22"/>
                <w:lang w:val="zh-CN"/>
              </w:rPr>
            </w:pPr>
            <w:r>
              <w:rPr>
                <w:rFonts w:hint="eastAsia" w:ascii="仿宋" w:hAnsi="仿宋" w:eastAsia="仿宋" w:cs="仿宋"/>
                <w:sz w:val="22"/>
                <w:szCs w:val="22"/>
              </w:rPr>
              <w:t>2、投标产品中获得指定认证机构出具的节能产品认证证书的，每项产品得0.5分，最高得</w:t>
            </w:r>
            <w:r>
              <w:rPr>
                <w:rFonts w:hint="eastAsia" w:ascii="仿宋" w:hAnsi="仿宋" w:eastAsia="仿宋" w:cs="仿宋"/>
                <w:sz w:val="22"/>
                <w:szCs w:val="22"/>
                <w:lang w:val="en-US" w:eastAsia="zh-CN"/>
              </w:rPr>
              <w:t>1</w:t>
            </w:r>
            <w:r>
              <w:rPr>
                <w:rFonts w:hint="eastAsia" w:ascii="仿宋" w:hAnsi="仿宋" w:eastAsia="仿宋" w:cs="仿宋"/>
                <w:sz w:val="22"/>
                <w:szCs w:val="22"/>
              </w:rPr>
              <w:t>分。供应商须提供国家确定的认证机构出具的、处于有效期之内的节能产品认证证书，否则不得分。</w:t>
            </w:r>
          </w:p>
        </w:tc>
        <w:tc>
          <w:tcPr>
            <w:tcW w:w="901" w:type="dxa"/>
            <w:shd w:val="clear" w:color="auto" w:fill="auto"/>
            <w:vAlign w:val="center"/>
          </w:tcPr>
          <w:p w14:paraId="6DAD8D20">
            <w:pPr>
              <w:spacing w:line="360" w:lineRule="exact"/>
              <w:jc w:val="center"/>
              <w:rPr>
                <w:rFonts w:ascii="仿宋" w:hAnsi="仿宋" w:eastAsia="仿宋" w:cs="仿宋"/>
                <w:spacing w:val="-6"/>
                <w:sz w:val="22"/>
                <w:szCs w:val="22"/>
              </w:rPr>
            </w:pPr>
            <w:r>
              <w:rPr>
                <w:rFonts w:hint="eastAsia" w:ascii="仿宋" w:hAnsi="仿宋" w:eastAsia="仿宋" w:cs="仿宋"/>
                <w:spacing w:val="-6"/>
                <w:sz w:val="22"/>
                <w:szCs w:val="22"/>
              </w:rPr>
              <w:t>客观分</w:t>
            </w:r>
          </w:p>
        </w:tc>
      </w:tr>
    </w:tbl>
    <w:p w14:paraId="60DC1EE4">
      <w:pPr>
        <w:rPr>
          <w:rFonts w:ascii="仿宋" w:hAnsi="仿宋" w:eastAsia="仿宋" w:cs="仿宋"/>
          <w:sz w:val="24"/>
        </w:rPr>
      </w:pPr>
      <w:r>
        <w:rPr>
          <w:rFonts w:hint="eastAsia" w:ascii="仿宋" w:hAnsi="仿宋" w:eastAsia="仿宋" w:cs="仿宋"/>
          <w:sz w:val="24"/>
        </w:rPr>
        <w:br w:type="page"/>
      </w:r>
    </w:p>
    <w:p w14:paraId="4635A6C1">
      <w:pPr>
        <w:pStyle w:val="3"/>
        <w:snapToGrid w:val="0"/>
        <w:spacing w:before="0" w:after="0" w:line="360" w:lineRule="auto"/>
        <w:rPr>
          <w:rFonts w:ascii="仿宋" w:hAnsi="仿宋" w:eastAsia="仿宋" w:cs="仿宋"/>
          <w:sz w:val="24"/>
          <w:szCs w:val="24"/>
        </w:rPr>
      </w:pPr>
      <w:r>
        <w:rPr>
          <w:rFonts w:hint="eastAsia" w:ascii="仿宋" w:hAnsi="仿宋" w:eastAsia="仿宋" w:cs="仿宋"/>
          <w:sz w:val="24"/>
          <w:szCs w:val="24"/>
        </w:rPr>
        <w:t>1.评标方法</w:t>
      </w:r>
      <w:bookmarkEnd w:id="104"/>
      <w:bookmarkEnd w:id="105"/>
    </w:p>
    <w:p w14:paraId="65259AEA">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本次采用的评标办法及推荐中标候选人的人数见评标办法前附表。</w:t>
      </w:r>
    </w:p>
    <w:p w14:paraId="578DD61A">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sz w:val="24"/>
        </w:rPr>
        <w:t>评标办法前附表约定的方式</w:t>
      </w:r>
      <w:r>
        <w:rPr>
          <w:rFonts w:hint="eastAsia" w:ascii="仿宋" w:hAnsi="仿宋" w:eastAsia="仿宋" w:cs="仿宋"/>
          <w:kern w:val="0"/>
          <w:sz w:val="24"/>
        </w:rPr>
        <w:t>确定中标候选人的排序。</w:t>
      </w:r>
    </w:p>
    <w:p w14:paraId="301EEDC8">
      <w:pPr>
        <w:pStyle w:val="3"/>
        <w:snapToGrid w:val="0"/>
        <w:spacing w:before="0" w:after="0" w:line="360" w:lineRule="auto"/>
        <w:rPr>
          <w:rFonts w:ascii="仿宋" w:hAnsi="仿宋" w:eastAsia="仿宋" w:cs="仿宋"/>
          <w:sz w:val="24"/>
          <w:szCs w:val="24"/>
        </w:rPr>
      </w:pPr>
      <w:bookmarkStart w:id="106" w:name="_Toc55302374"/>
      <w:bookmarkStart w:id="107" w:name="_Toc63189376"/>
      <w:r>
        <w:rPr>
          <w:rFonts w:hint="eastAsia" w:ascii="仿宋" w:hAnsi="仿宋" w:eastAsia="仿宋" w:cs="仿宋"/>
          <w:sz w:val="24"/>
          <w:szCs w:val="24"/>
        </w:rPr>
        <w:t>2.评标程序</w:t>
      </w:r>
      <w:bookmarkEnd w:id="106"/>
      <w:bookmarkEnd w:id="107"/>
      <w:r>
        <w:rPr>
          <w:rFonts w:hint="eastAsia" w:ascii="仿宋" w:hAnsi="仿宋" w:eastAsia="仿宋" w:cs="仿宋"/>
          <w:sz w:val="24"/>
          <w:szCs w:val="24"/>
        </w:rPr>
        <w:t>及标准</w:t>
      </w:r>
    </w:p>
    <w:p w14:paraId="6A39C54C">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2.1资格审查</w:t>
      </w:r>
    </w:p>
    <w:p w14:paraId="4CC87F28">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开标后，采购人或采购代理机构对各投标人进行资格审查，有一项不符合以下评审标准的，投标无效：</w:t>
      </w:r>
    </w:p>
    <w:p w14:paraId="7A2B5EB5">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2.1.1</w:t>
      </w:r>
      <w:r>
        <w:rPr>
          <w:rFonts w:hint="eastAsia" w:ascii="仿宋" w:hAnsi="仿宋" w:eastAsia="仿宋" w:cs="仿宋"/>
          <w:b/>
          <w:sz w:val="24"/>
          <w:u w:val="single"/>
        </w:rPr>
        <w:t>▲提供符合参加政府采购活动应当具备的一般条件的承诺函</w:t>
      </w:r>
      <w:r>
        <w:rPr>
          <w:rFonts w:hint="eastAsia" w:ascii="仿宋" w:hAnsi="仿宋" w:eastAsia="仿宋" w:cs="仿宋"/>
          <w:sz w:val="24"/>
          <w:u w:val="single"/>
        </w:rPr>
        <w:t>及有效的</w:t>
      </w:r>
      <w:r>
        <w:rPr>
          <w:rFonts w:hint="eastAsia" w:ascii="仿宋" w:hAnsi="仿宋" w:eastAsia="仿宋" w:cs="仿宋"/>
          <w:b/>
          <w:sz w:val="24"/>
          <w:u w:val="single"/>
        </w:rPr>
        <w:t>企业营业执照</w:t>
      </w:r>
      <w:r>
        <w:rPr>
          <w:rFonts w:hint="eastAsia" w:ascii="仿宋" w:hAnsi="仿宋" w:eastAsia="仿宋" w:cs="仿宋"/>
          <w:sz w:val="24"/>
          <w:u w:val="single"/>
        </w:rPr>
        <w:t>（或事业法人登记证书或其它工商等登记证明材料，自然人提供身份证)复制件（如为联合体，则联合体各方均应提供）</w:t>
      </w:r>
      <w:r>
        <w:rPr>
          <w:rFonts w:hint="eastAsia" w:ascii="仿宋" w:hAnsi="仿宋" w:eastAsia="仿宋" w:cs="仿宋"/>
          <w:sz w:val="24"/>
        </w:rPr>
        <w:t>；</w:t>
      </w:r>
    </w:p>
    <w:p w14:paraId="4F61D90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50835E7">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2.1.2落实政府采购政策需满足的资格要求：</w:t>
      </w:r>
      <w:r>
        <w:rPr>
          <w:rFonts w:hint="eastAsia" w:ascii="仿宋" w:hAnsi="仿宋" w:eastAsia="仿宋" w:cs="仿宋"/>
          <w:b/>
          <w:sz w:val="24"/>
        </w:rPr>
        <w:t>见评标办法前附表</w:t>
      </w:r>
      <w:r>
        <w:rPr>
          <w:rFonts w:hint="eastAsia" w:ascii="仿宋" w:hAnsi="仿宋" w:eastAsia="仿宋" w:cs="仿宋"/>
          <w:sz w:val="24"/>
        </w:rPr>
        <w:t>。</w:t>
      </w:r>
    </w:p>
    <w:p w14:paraId="696DF2FA">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2.1.3本项目的特定资格要求：</w:t>
      </w:r>
      <w:r>
        <w:rPr>
          <w:rFonts w:hint="eastAsia" w:ascii="仿宋" w:hAnsi="仿宋" w:eastAsia="仿宋" w:cs="仿宋"/>
          <w:b/>
          <w:sz w:val="24"/>
        </w:rPr>
        <w:t>见评标办法前附表</w:t>
      </w:r>
      <w:r>
        <w:rPr>
          <w:rFonts w:hint="eastAsia" w:ascii="仿宋" w:hAnsi="仿宋" w:eastAsia="仿宋" w:cs="仿宋"/>
          <w:sz w:val="24"/>
        </w:rPr>
        <w:t>。</w:t>
      </w:r>
    </w:p>
    <w:p w14:paraId="4FD950AD">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2.2符合性审查</w:t>
      </w:r>
    </w:p>
    <w:p w14:paraId="0357047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评标委员会对资格审查合格的投标人进行符合性审查：</w:t>
      </w:r>
    </w:p>
    <w:p w14:paraId="5FED1A7E">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2.2.1</w:t>
      </w:r>
      <w:r>
        <w:rPr>
          <w:rFonts w:hint="eastAsia" w:ascii="仿宋" w:hAnsi="仿宋" w:eastAsia="仿宋" w:cs="仿宋"/>
          <w:b/>
          <w:sz w:val="24"/>
          <w:u w:val="single"/>
        </w:rPr>
        <w:t>▲投标人存在下列情况之一的，投标无效</w:t>
      </w:r>
      <w:r>
        <w:rPr>
          <w:rFonts w:hint="eastAsia" w:ascii="仿宋" w:hAnsi="仿宋" w:eastAsia="仿宋" w:cs="仿宋"/>
          <w:b/>
          <w:sz w:val="24"/>
        </w:rPr>
        <w:t>:</w:t>
      </w:r>
    </w:p>
    <w:p w14:paraId="5B7D345D">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（1）仅提交“备份投标文件”的；</w:t>
      </w:r>
    </w:p>
    <w:p w14:paraId="7EB461F0">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（2）不具备招标文件中规定的资格要求的；</w:t>
      </w:r>
    </w:p>
    <w:p w14:paraId="546C0810">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（3）投标文件未按招标文件要求签署、盖章的；</w:t>
      </w:r>
    </w:p>
    <w:p w14:paraId="726612C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（4）明显不符合招标文件中标注“▲”且加下划线的实质性要求和条件（主要技术规格、商务技术标准或服务要求）的；</w:t>
      </w:r>
    </w:p>
    <w:p w14:paraId="0B97C47F">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（5）采购人拟采购的产品属于政府强制采购的节能产品品目清单范围的，投标人未按招标文件要求提供国家确定的认证机构出具的、处于有效期之内的节能产品认证证书的；</w:t>
      </w:r>
    </w:p>
    <w:p w14:paraId="37D9ACF7">
      <w:pPr>
        <w:snapToGrid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rPr>
        <w:t>（6）投标文件中承诺的投标有效期少于招标文件中载明的投标有效期的；</w:t>
      </w:r>
    </w:p>
    <w:p w14:paraId="25964A2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（7）投标文件实质性内容不全或关键字迹模糊无法辨认的；</w:t>
      </w:r>
    </w:p>
    <w:p w14:paraId="191E092D">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sz w:val="24"/>
        </w:rPr>
        <w:t>（8）投标报价超过采购预算或最高限价；</w:t>
      </w:r>
    </w:p>
    <w:p w14:paraId="2ABB38C4">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（9）投标文件出现不是唯一的、有选择性投标报价的；</w:t>
      </w:r>
    </w:p>
    <w:p w14:paraId="23DB95C5">
      <w:pPr>
        <w:snapToGrid w:val="0"/>
        <w:spacing w:line="360" w:lineRule="auto"/>
        <w:ind w:firstLine="482" w:firstLineChars="200"/>
        <w:jc w:val="left"/>
        <w:rPr>
          <w:rFonts w:ascii="仿宋" w:hAnsi="仿宋" w:eastAsia="仿宋" w:cs="仿宋"/>
          <w:b/>
          <w:kern w:val="0"/>
          <w:sz w:val="24"/>
        </w:rPr>
      </w:pPr>
      <w:r>
        <w:rPr>
          <w:rFonts w:hint="eastAsia" w:ascii="仿宋" w:hAnsi="仿宋" w:eastAsia="仿宋" w:cs="仿宋"/>
          <w:b/>
          <w:kern w:val="0"/>
          <w:sz w:val="24"/>
        </w:rPr>
        <w:t>（10）投标人对根据修正原则修正后的报价不确认的；</w:t>
      </w:r>
    </w:p>
    <w:p w14:paraId="27885E6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（11）投标文件有采购人不能接受的附加条件的；</w:t>
      </w:r>
    </w:p>
    <w:p w14:paraId="2013E802">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（12）投标人提供虚假材料投标的；</w:t>
      </w:r>
    </w:p>
    <w:p w14:paraId="6B13F10A">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（13）法律、法规和招标文件规定的其他无效情形。</w:t>
      </w:r>
    </w:p>
    <w:p w14:paraId="543CB6E7">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2.2.2</w:t>
      </w:r>
      <w:r>
        <w:rPr>
          <w:rFonts w:hint="eastAsia" w:ascii="仿宋" w:hAnsi="仿宋" w:eastAsia="仿宋" w:cs="仿宋"/>
          <w:b/>
          <w:sz w:val="24"/>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sz w:val="24"/>
        </w:rPr>
        <w:t>：</w:t>
      </w:r>
    </w:p>
    <w:p w14:paraId="57272DB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（1）投标人直接或者间接从采购人或者采购代理机构处获得其他投标人的相关情况并修改其投标文件的；</w:t>
      </w:r>
    </w:p>
    <w:p w14:paraId="663F4B6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（2）投标人按照采购人或者采购代理机构的授意撤换、修改投标文件的；</w:t>
      </w:r>
    </w:p>
    <w:p w14:paraId="5AC2092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（3）投标人之间协商报价、技术方案等投标文件或者响应文件的实质性内容；</w:t>
      </w:r>
    </w:p>
    <w:p w14:paraId="2C37E6A4">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（4）属于同一集团、协会、商会等组织成员的投标人按照该组织要求协同参加政府采购活动；</w:t>
      </w:r>
    </w:p>
    <w:p w14:paraId="701B3B4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（5）投标人之间事先约定由某一特定投标人中标、成交；</w:t>
      </w:r>
    </w:p>
    <w:p w14:paraId="14857C9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（6）投标人之间商定部分投标人放弃参加政府采购活动或者放弃中标、成交；</w:t>
      </w:r>
    </w:p>
    <w:p w14:paraId="08C2AC26">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（7）投标人与采购人或者采购代理机构之间、投标人相互之间，为谋求特定投标人中标、成交或者排斥其他投标人的其他串通行为。</w:t>
      </w:r>
    </w:p>
    <w:p w14:paraId="4C541371">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2.2.3</w:t>
      </w:r>
      <w:r>
        <w:rPr>
          <w:rFonts w:hint="eastAsia" w:ascii="仿宋" w:hAnsi="仿宋" w:eastAsia="仿宋" w:cs="仿宋"/>
          <w:b/>
          <w:sz w:val="24"/>
          <w:u w:val="single"/>
        </w:rPr>
        <w:t>▲有下列情形之一的，视为投标人串通投标，其投标无效</w:t>
      </w:r>
      <w:r>
        <w:rPr>
          <w:rFonts w:hint="eastAsia" w:ascii="仿宋" w:hAnsi="仿宋" w:eastAsia="仿宋" w:cs="仿宋"/>
          <w:b/>
          <w:sz w:val="24"/>
        </w:rPr>
        <w:t>：</w:t>
      </w:r>
    </w:p>
    <w:p w14:paraId="63860EC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（1）不同投标人的投标文件由同一单位或者个人编制；</w:t>
      </w:r>
    </w:p>
    <w:p w14:paraId="4DAE3A79">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（2）不同投标人委托同一单位或者个人办理投标事宜；</w:t>
      </w:r>
    </w:p>
    <w:p w14:paraId="2C3F4B78">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（3）不同投标人的投标文件载明的项目管理成员或者联系人员为同一人；</w:t>
      </w:r>
    </w:p>
    <w:p w14:paraId="1364281C">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（4）不同投标人的投标文件异常一致或者投标报价呈规律性差异；</w:t>
      </w:r>
    </w:p>
    <w:p w14:paraId="328E080B">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（5）不同投标人的投标文件相互混装；</w:t>
      </w:r>
    </w:p>
    <w:p w14:paraId="590EB0B5">
      <w:pPr>
        <w:snapToGrid w:val="0"/>
        <w:spacing w:line="360" w:lineRule="auto"/>
        <w:ind w:firstLine="482" w:firstLineChars="200"/>
        <w:jc w:val="left"/>
        <w:rPr>
          <w:rFonts w:ascii="仿宋" w:hAnsi="仿宋" w:eastAsia="仿宋" w:cs="仿宋"/>
          <w:b/>
          <w:sz w:val="24"/>
        </w:rPr>
      </w:pPr>
      <w:r>
        <w:rPr>
          <w:rFonts w:hint="eastAsia" w:ascii="仿宋" w:hAnsi="仿宋" w:eastAsia="仿宋" w:cs="仿宋"/>
          <w:b/>
          <w:sz w:val="24"/>
        </w:rPr>
        <w:t>2.2.4符合性审查其他要求见评标办法前附表。</w:t>
      </w:r>
    </w:p>
    <w:p w14:paraId="75A22F49">
      <w:pPr>
        <w:snapToGrid w:val="0"/>
        <w:spacing w:line="360" w:lineRule="auto"/>
        <w:ind w:firstLine="482" w:firstLineChars="200"/>
        <w:jc w:val="left"/>
        <w:rPr>
          <w:rFonts w:ascii="仿宋" w:hAnsi="仿宋" w:eastAsia="仿宋" w:cs="仿宋"/>
          <w:sz w:val="24"/>
        </w:rPr>
      </w:pPr>
      <w:r>
        <w:rPr>
          <w:rFonts w:hint="eastAsia" w:ascii="仿宋" w:hAnsi="仿宋" w:eastAsia="仿宋" w:cs="仿宋"/>
          <w:b/>
          <w:sz w:val="24"/>
        </w:rPr>
        <w:t>2.2.5实质上没有响应招标文件要求的投标将被否决，投标人不得通过修正或撤消不合要求的偏离或保留从而使其投标成为实质上响应的投标。</w:t>
      </w:r>
    </w:p>
    <w:p w14:paraId="32CE78AF">
      <w:pPr>
        <w:pStyle w:val="4"/>
        <w:widowControl/>
        <w:snapToGrid w:val="0"/>
        <w:spacing w:before="0" w:after="0" w:line="360" w:lineRule="auto"/>
        <w:ind w:firstLine="482" w:firstLineChars="200"/>
        <w:jc w:val="left"/>
        <w:rPr>
          <w:rFonts w:ascii="仿宋" w:hAnsi="仿宋" w:eastAsia="仿宋" w:cs="仿宋"/>
          <w:sz w:val="24"/>
          <w:szCs w:val="24"/>
        </w:rPr>
      </w:pPr>
      <w:bookmarkStart w:id="108" w:name="_Toc5724"/>
      <w:bookmarkStart w:id="109" w:name="_Toc55375024"/>
      <w:bookmarkStart w:id="110" w:name="_Toc63189379"/>
      <w:bookmarkStart w:id="111" w:name="_Toc55302377"/>
      <w:r>
        <w:rPr>
          <w:rFonts w:hint="eastAsia" w:ascii="仿宋" w:hAnsi="仿宋" w:eastAsia="仿宋" w:cs="仿宋"/>
          <w:sz w:val="24"/>
          <w:szCs w:val="24"/>
        </w:rPr>
        <w:t>2.3比较与评价（适用于综合评分法）</w:t>
      </w:r>
    </w:p>
    <w:bookmarkEnd w:id="108"/>
    <w:bookmarkEnd w:id="109"/>
    <w:bookmarkEnd w:id="110"/>
    <w:bookmarkEnd w:id="111"/>
    <w:p w14:paraId="59E3B421">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2.3.1分值权重构成，见评标办法前附表。</w:t>
      </w:r>
    </w:p>
    <w:p w14:paraId="0B70DDE3">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2.3.2商务技术评分标准，见评标办法前附表。</w:t>
      </w:r>
    </w:p>
    <w:p w14:paraId="3456CE18">
      <w:pPr>
        <w:pStyle w:val="22"/>
        <w:snapToGrid w:val="0"/>
        <w:spacing w:after="0" w:line="360" w:lineRule="auto"/>
        <w:ind w:firstLine="480" w:firstLineChars="200"/>
        <w:rPr>
          <w:rFonts w:ascii="仿宋" w:hAnsi="仿宋" w:eastAsia="仿宋" w:cs="仿宋"/>
          <w:sz w:val="24"/>
        </w:rPr>
      </w:pPr>
      <w:r>
        <w:rPr>
          <w:rFonts w:hint="eastAsia" w:ascii="仿宋" w:hAnsi="仿宋" w:eastAsia="仿宋" w:cs="仿宋"/>
          <w:sz w:val="24"/>
        </w:rPr>
        <w:t>2.3.3报价评分标准，见评标办法前附表。</w:t>
      </w:r>
    </w:p>
    <w:p w14:paraId="0BD3E30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2.3.4评分分值计算保留小数点后两位，小数点后第三位“四舍五入”。</w:t>
      </w:r>
    </w:p>
    <w:p w14:paraId="45D9CA9E">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2.3.5投标人综合得分=商务技术得分+报价得分。</w:t>
      </w:r>
    </w:p>
    <w:p w14:paraId="074B0E49">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2.3.6</w:t>
      </w:r>
      <w:r>
        <w:rPr>
          <w:rFonts w:hint="eastAsia" w:ascii="仿宋" w:hAnsi="仿宋" w:eastAsia="仿宋" w:cs="仿宋"/>
          <w:b/>
          <w:sz w:val="24"/>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sz w:val="24"/>
        </w:rPr>
        <w:t>。</w:t>
      </w:r>
    </w:p>
    <w:p w14:paraId="5E1C81F8">
      <w:pPr>
        <w:snapToGrid w:val="0"/>
        <w:spacing w:line="360" w:lineRule="auto"/>
        <w:ind w:firstLine="482" w:firstLineChars="200"/>
        <w:jc w:val="left"/>
        <w:rPr>
          <w:rFonts w:ascii="仿宋" w:hAnsi="仿宋" w:eastAsia="仿宋" w:cs="仿宋"/>
          <w:b/>
          <w:sz w:val="24"/>
          <w:u w:val="single"/>
        </w:rPr>
      </w:pPr>
      <w:r>
        <w:rPr>
          <w:rFonts w:hint="eastAsia" w:ascii="仿宋" w:hAnsi="仿宋" w:eastAsia="仿宋" w:cs="仿宋"/>
          <w:b/>
          <w:sz w:val="24"/>
          <w:u w:val="single"/>
        </w:rPr>
        <w:t>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投标人不能合理说明或者不能提供相应证明材料的，评标委员会应当认定该投标人以低于成本报价竞标，并否决其投标。</w:t>
      </w:r>
    </w:p>
    <w:p w14:paraId="4835BC34">
      <w:pPr>
        <w:pStyle w:val="4"/>
        <w:widowControl/>
        <w:snapToGrid w:val="0"/>
        <w:spacing w:before="0" w:after="0" w:line="360" w:lineRule="auto"/>
        <w:ind w:firstLine="480" w:firstLineChars="200"/>
        <w:jc w:val="left"/>
        <w:rPr>
          <w:rFonts w:ascii="仿宋" w:hAnsi="仿宋" w:eastAsia="仿宋" w:cs="仿宋"/>
          <w:b w:val="0"/>
          <w:sz w:val="24"/>
          <w:szCs w:val="24"/>
        </w:rPr>
      </w:pPr>
      <w:bookmarkStart w:id="112" w:name="_Toc63189380"/>
      <w:bookmarkStart w:id="113" w:name="_Toc55375025"/>
      <w:bookmarkStart w:id="114" w:name="_Toc55302378"/>
      <w:bookmarkStart w:id="115" w:name="_Toc11195"/>
      <w:r>
        <w:rPr>
          <w:rFonts w:hint="eastAsia" w:ascii="仿宋" w:hAnsi="仿宋" w:eastAsia="仿宋" w:cs="仿宋"/>
          <w:b w:val="0"/>
          <w:sz w:val="24"/>
          <w:szCs w:val="24"/>
        </w:rPr>
        <w:t>2.4投标文件的澄清</w:t>
      </w:r>
      <w:bookmarkEnd w:id="112"/>
      <w:bookmarkEnd w:id="113"/>
      <w:bookmarkEnd w:id="114"/>
      <w:bookmarkEnd w:id="115"/>
    </w:p>
    <w:p w14:paraId="275EEFE9">
      <w:pPr>
        <w:snapToGrid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5AEE11A">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2.4.2投标文件报价出现前后不一致的，按照下列规定修正：</w:t>
      </w:r>
    </w:p>
    <w:p w14:paraId="5D87347E">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（1）投标文件中开标一览表(报价表)内容与投标文件中相应内容不一致的，以开标一览表(报价表)为准;</w:t>
      </w:r>
    </w:p>
    <w:p w14:paraId="1AF73611">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（2）大写金额和小写金额不一致的，以大写金额为准;</w:t>
      </w:r>
    </w:p>
    <w:p w14:paraId="058365BD">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（3）单价金额小数点或者百分比有明显错位的，以开标一览表的总价为准，并修改单价;</w:t>
      </w:r>
    </w:p>
    <w:p w14:paraId="78C393C4">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（4）总价金额与按单价汇总金额不一致的，以单价金额计算结果为准。</w:t>
      </w:r>
    </w:p>
    <w:p w14:paraId="7FB6D7E7">
      <w:pPr>
        <w:pStyle w:val="97"/>
        <w:snapToGrid w:val="0"/>
        <w:spacing w:before="0"/>
        <w:ind w:firstLine="480"/>
        <w:rPr>
          <w:rFonts w:ascii="仿宋" w:hAnsi="仿宋" w:eastAsia="仿宋" w:cs="仿宋"/>
          <w:kern w:val="0"/>
          <w:szCs w:val="24"/>
        </w:rPr>
      </w:pPr>
      <w:r>
        <w:rPr>
          <w:rFonts w:hint="eastAsia" w:ascii="仿宋" w:hAnsi="仿宋" w:eastAsia="仿宋" w:cs="仿宋"/>
          <w:kern w:val="0"/>
          <w:szCs w:val="24"/>
        </w:rPr>
        <w:t>（5）同时出现两种以上不一致的，按照上述规定的顺序修正。修正后的报价经投标人确认后产生约束力。</w:t>
      </w:r>
    </w:p>
    <w:p w14:paraId="60A84BF4">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2.4.3澄清、说明或补正不得超出投标文件的范围且不得改变投标文件的实质性内容，并构成投标文件的组成部分。</w:t>
      </w:r>
    </w:p>
    <w:p w14:paraId="4E48A9FB">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2.4.4评标委员会对投标人提交的澄清、说明或补正有疑问的，可以要求投标人进一步澄清、说明或补正，直至满足评标委员会的要求。</w:t>
      </w:r>
    </w:p>
    <w:p w14:paraId="705C840D">
      <w:pPr>
        <w:pStyle w:val="3"/>
        <w:snapToGrid w:val="0"/>
        <w:spacing w:before="0" w:after="0" w:line="360" w:lineRule="auto"/>
        <w:rPr>
          <w:rFonts w:ascii="仿宋" w:hAnsi="仿宋" w:eastAsia="仿宋" w:cs="仿宋"/>
          <w:sz w:val="24"/>
          <w:szCs w:val="24"/>
        </w:rPr>
      </w:pPr>
      <w:bookmarkStart w:id="116" w:name="_Toc63189381"/>
      <w:bookmarkStart w:id="117" w:name="_Toc11850"/>
      <w:bookmarkStart w:id="118" w:name="_Toc55302379"/>
      <w:r>
        <w:rPr>
          <w:rFonts w:hint="eastAsia" w:ascii="仿宋" w:hAnsi="仿宋" w:eastAsia="仿宋" w:cs="仿宋"/>
          <w:sz w:val="24"/>
          <w:szCs w:val="24"/>
        </w:rPr>
        <w:t>3.评标结果</w:t>
      </w:r>
      <w:bookmarkEnd w:id="116"/>
      <w:bookmarkEnd w:id="117"/>
      <w:bookmarkEnd w:id="118"/>
    </w:p>
    <w:p w14:paraId="64B38EB0">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3.1采用最低评标价法的，评标委员会按评标价（投标报价）从低到高的排序推荐中标候选人。</w:t>
      </w:r>
    </w:p>
    <w:p w14:paraId="0FE6BF2D">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采用综合评分法的，评标委员会按照投标人综合得分由高到低的顺序推荐中标候选人。</w:t>
      </w:r>
    </w:p>
    <w:p w14:paraId="13A0B6B1">
      <w:pPr>
        <w:snapToGrid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CCD15">
      <w:pPr>
        <w:snapToGrid w:val="0"/>
        <w:spacing w:line="360" w:lineRule="auto"/>
        <w:ind w:firstLine="480" w:firstLineChars="200"/>
        <w:rPr>
          <w:rFonts w:ascii="仿宋" w:hAnsi="仿宋" w:eastAsia="仿宋" w:cs="仿宋"/>
          <w:b/>
          <w:kern w:val="0"/>
          <w:sz w:val="24"/>
        </w:rPr>
      </w:pPr>
      <w:r>
        <w:rPr>
          <w:rFonts w:hint="eastAsia" w:ascii="仿宋" w:hAnsi="仿宋" w:eastAsia="仿宋" w:cs="仿宋"/>
          <w:sz w:val="24"/>
        </w:rPr>
        <w:t>3.2 评标委员会完成评标后，应当向采购人提交书面评标报告和中标候选人名单。</w:t>
      </w:r>
    </w:p>
    <w:p w14:paraId="6E09731F">
      <w:pPr>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D03A4F">
      <w:pPr>
        <w:widowControl/>
        <w:snapToGrid w:val="0"/>
        <w:spacing w:line="360" w:lineRule="auto"/>
        <w:jc w:val="left"/>
        <w:rPr>
          <w:rFonts w:ascii="仿宋" w:hAnsi="仿宋" w:eastAsia="仿宋" w:cs="仿宋"/>
          <w:b/>
          <w:sz w:val="24"/>
        </w:rPr>
      </w:pPr>
      <w:r>
        <w:rPr>
          <w:rFonts w:hint="eastAsia" w:ascii="仿宋" w:hAnsi="仿宋" w:eastAsia="仿宋" w:cs="仿宋"/>
          <w:b/>
          <w:sz w:val="24"/>
        </w:rPr>
        <w:t>4.其他</w:t>
      </w:r>
    </w:p>
    <w:p w14:paraId="40DE1F74">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4.1废标</w:t>
      </w:r>
    </w:p>
    <w:p w14:paraId="1BB1E4B1">
      <w:pPr>
        <w:widowControl/>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根据《中华人民共和国政府采购法》第三十六条之规定，在采购中，出现下列情形之一的，应予废标：</w:t>
      </w:r>
    </w:p>
    <w:p w14:paraId="1BF3577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（1）符合专业条件的投标人或者对招标文件作实质响应的投标人不足3家的；</w:t>
      </w:r>
    </w:p>
    <w:p w14:paraId="5E3C36B0">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（2）出现影响采购公正的违法、违规行为的；</w:t>
      </w:r>
    </w:p>
    <w:p w14:paraId="2AFABE59">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（3）投标人的报价均超过了采购预算，采购人不能支付的；</w:t>
      </w:r>
    </w:p>
    <w:p w14:paraId="72344F75">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（4）因重大变故，采购任务取消的。</w:t>
      </w:r>
    </w:p>
    <w:p w14:paraId="6C4498FB">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废标后，采购机构应当将废标理由通知所有投标人。</w:t>
      </w:r>
    </w:p>
    <w:p w14:paraId="2A7111B6">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4.2修改招标文件，重新组织采购活动。</w:t>
      </w:r>
    </w:p>
    <w:p w14:paraId="63620B3C">
      <w:pPr>
        <w:pStyle w:val="23"/>
        <w:adjustRightInd w:val="0"/>
        <w:snapToGrid w:val="0"/>
        <w:spacing w:line="360" w:lineRule="auto"/>
        <w:ind w:left="0" w:firstLine="480" w:firstLineChars="200"/>
        <w:rPr>
          <w:rFonts w:ascii="仿宋" w:hAnsi="仿宋" w:eastAsia="仿宋" w:cs="仿宋"/>
        </w:rPr>
      </w:pP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3"/>
    </w:p>
    <w:bookmarkEnd w:id="57"/>
    <w:bookmarkEnd w:id="58"/>
    <w:p w14:paraId="7A6B7055">
      <w:pPr>
        <w:widowControl/>
        <w:adjustRightInd/>
        <w:jc w:val="left"/>
        <w:rPr>
          <w:rFonts w:ascii="仿宋" w:hAnsi="仿宋" w:eastAsia="仿宋" w:cs="仿宋"/>
          <w:sz w:val="24"/>
        </w:rPr>
      </w:pPr>
      <w:r>
        <w:rPr>
          <w:rFonts w:ascii="仿宋" w:hAnsi="仿宋" w:eastAsia="仿宋" w:cs="仿宋"/>
          <w:sz w:val="24"/>
        </w:rPr>
        <w:br w:type="page"/>
      </w:r>
    </w:p>
    <w:p w14:paraId="63A652DB">
      <w:pPr>
        <w:pStyle w:val="1006"/>
        <w:widowControl w:val="0"/>
        <w:adjustRightInd w:val="0"/>
        <w:snapToGrid w:val="0"/>
        <w:spacing w:line="360" w:lineRule="auto"/>
        <w:ind w:firstLine="220"/>
        <w:rPr>
          <w:rFonts w:hint="default" w:ascii="仿宋" w:hAnsi="仿宋" w:eastAsia="仿宋" w:cs="仿宋"/>
          <w:b/>
          <w:sz w:val="22"/>
          <w:szCs w:val="22"/>
        </w:rPr>
      </w:pPr>
      <w:r>
        <w:rPr>
          <w:rFonts w:ascii="仿宋" w:hAnsi="仿宋" w:eastAsia="仿宋" w:cs="仿宋"/>
          <w:kern w:val="0"/>
          <w:sz w:val="22"/>
          <w:szCs w:val="22"/>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D5B0FBE">
      <w:pPr>
        <w:pStyle w:val="1006"/>
        <w:widowControl w:val="0"/>
        <w:snapToGrid w:val="0"/>
        <w:spacing w:line="500" w:lineRule="exact"/>
        <w:ind w:firstLine="281"/>
        <w:jc w:val="center"/>
        <w:rPr>
          <w:rFonts w:hint="default" w:ascii="仿宋" w:hAnsi="仿宋" w:eastAsia="仿宋" w:cs="仿宋"/>
          <w:b/>
          <w:sz w:val="22"/>
          <w:szCs w:val="22"/>
        </w:rPr>
      </w:pPr>
      <w:r>
        <w:rPr>
          <w:rFonts w:ascii="仿宋" w:hAnsi="仿宋" w:eastAsia="仿宋" w:cs="仿宋"/>
          <w:b/>
          <w:sz w:val="28"/>
          <w:szCs w:val="28"/>
        </w:rPr>
        <w:t>中小企业划型标准规定</w:t>
      </w:r>
    </w:p>
    <w:p w14:paraId="5E2908C6">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p>
    <w:p w14:paraId="5E809B1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一、根据《中华人民共和国中小企业促进法》和《</w:t>
      </w:r>
      <w:r>
        <w:fldChar w:fldCharType="begin"/>
      </w:r>
      <w:r>
        <w:instrText xml:space="preserve"> HYPERLINK "https://www.shui5.cn/article/47/26142.html" </w:instrText>
      </w:r>
      <w:r>
        <w:fldChar w:fldCharType="separate"/>
      </w:r>
      <w:r>
        <w:rPr>
          <w:rFonts w:ascii="仿宋" w:hAnsi="仿宋" w:eastAsia="仿宋" w:cs="仿宋"/>
          <w:spacing w:val="6"/>
          <w:sz w:val="22"/>
          <w:szCs w:val="22"/>
        </w:rPr>
        <w:t>国务院关于进一步促进中小企业发展的若干意见</w:t>
      </w:r>
      <w:r>
        <w:rPr>
          <w:rFonts w:ascii="仿宋" w:hAnsi="仿宋" w:eastAsia="仿宋" w:cs="仿宋"/>
          <w:spacing w:val="6"/>
          <w:sz w:val="22"/>
          <w:szCs w:val="22"/>
        </w:rPr>
        <w:fldChar w:fldCharType="end"/>
      </w:r>
      <w:r>
        <w:rPr>
          <w:rFonts w:ascii="仿宋" w:hAnsi="仿宋" w:eastAsia="仿宋" w:cs="仿宋"/>
          <w:spacing w:val="6"/>
          <w:sz w:val="22"/>
          <w:szCs w:val="22"/>
        </w:rPr>
        <w:t>》（</w:t>
      </w:r>
      <w:r>
        <w:fldChar w:fldCharType="begin"/>
      </w:r>
      <w:r>
        <w:instrText xml:space="preserve"> HYPERLINK "https://www.shui5.cn/article/47/26142.html" </w:instrText>
      </w:r>
      <w:r>
        <w:fldChar w:fldCharType="separate"/>
      </w:r>
      <w:r>
        <w:rPr>
          <w:rFonts w:ascii="仿宋" w:hAnsi="仿宋" w:eastAsia="仿宋" w:cs="仿宋"/>
          <w:spacing w:val="6"/>
          <w:sz w:val="22"/>
          <w:szCs w:val="22"/>
        </w:rPr>
        <w:t>国发〔2009〕36号</w:t>
      </w:r>
      <w:r>
        <w:rPr>
          <w:rFonts w:ascii="仿宋" w:hAnsi="仿宋" w:eastAsia="仿宋" w:cs="仿宋"/>
          <w:spacing w:val="6"/>
          <w:sz w:val="22"/>
          <w:szCs w:val="22"/>
        </w:rPr>
        <w:fldChar w:fldCharType="end"/>
      </w:r>
      <w:r>
        <w:rPr>
          <w:rFonts w:ascii="仿宋" w:hAnsi="仿宋" w:eastAsia="仿宋" w:cs="仿宋"/>
          <w:spacing w:val="6"/>
          <w:sz w:val="22"/>
          <w:szCs w:val="22"/>
        </w:rPr>
        <w:t>)，制定本规定。</w:t>
      </w:r>
    </w:p>
    <w:p w14:paraId="68BF2B9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二、中小企业划分为中型、小型、微型三种类型，具体标准根据企业从业人员、营业收入、资产总额等指标，结合行业特点制定。</w:t>
      </w:r>
    </w:p>
    <w:p w14:paraId="0E2A4DB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1C97008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四、各行业划型标准为：</w:t>
      </w:r>
    </w:p>
    <w:p w14:paraId="53485CA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（一）农、林、牧、渔业。营业收入20000万元以下的为中小微型企业。其中，营业收入500万元及以上的为中型企业，营业收入50万元及以上的为小型企业，营业收入50万元以下的为微型企业。</w:t>
      </w:r>
    </w:p>
    <w:p w14:paraId="3F00A2F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F90A9D">
      <w:pPr>
        <w:pStyle w:val="1006"/>
        <w:widowControl w:val="0"/>
        <w:adjustRightInd w:val="0"/>
        <w:snapToGrid w:val="0"/>
        <w:spacing w:line="360" w:lineRule="auto"/>
        <w:ind w:firstLine="464" w:firstLineChars="200"/>
        <w:jc w:val="both"/>
        <w:rPr>
          <w:rFonts w:hint="default" w:ascii="仿宋" w:hAnsi="仿宋" w:eastAsia="仿宋" w:cs="仿宋"/>
          <w:b w:val="0"/>
          <w:bCs/>
          <w:spacing w:val="6"/>
          <w:sz w:val="22"/>
          <w:szCs w:val="22"/>
          <w:u w:val="none"/>
        </w:rPr>
      </w:pPr>
      <w:r>
        <w:rPr>
          <w:rFonts w:ascii="仿宋" w:hAnsi="仿宋" w:eastAsia="仿宋" w:cs="仿宋"/>
          <w:b w:val="0"/>
          <w:bCs/>
          <w:spacing w:val="6"/>
          <w:sz w:val="22"/>
          <w:szCs w:val="22"/>
          <w:u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F78A4">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CBC1D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BED64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E4677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012A1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EAB66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23480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AA89D9">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653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64BFAC">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0C820">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5F943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012E9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（十六）其他未列明行业。从业人员300人以下的为中小微型企业。其中，从业人员100人及以上的为中型企业；从业人员10人及以上的为小型企业；从业人员10人以下的为微型企业。</w:t>
      </w:r>
    </w:p>
    <w:p w14:paraId="0ECCF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五、企业类型的划分以统计部门的统计数据为依据。</w:t>
      </w:r>
    </w:p>
    <w:p w14:paraId="6689AF0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六、本规定适用于在中华人民共和国境内依法设立的各类所有制和各种组织形式的企业。个体工商户和本规定以外的行业，参照本规定进行划型。</w:t>
      </w:r>
    </w:p>
    <w:p w14:paraId="2006E7A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七、本规定的中型企业标准上限即为大型企业标准的下限，国家统计部门据此制定大中小微型企业的统计分类。国务院有关部门据此进行相关数据分析，不得制定与本规定不一致的企业划型标准。</w:t>
      </w:r>
    </w:p>
    <w:p w14:paraId="550E233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八、本规定由工业和信息化部、国家统计局会同有关部门根据《国民经济行业分类》修订情况和企业发展变化情况适时修订。</w:t>
      </w:r>
    </w:p>
    <w:p w14:paraId="71C1C22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rPr>
      </w:pPr>
      <w:r>
        <w:rPr>
          <w:rFonts w:ascii="仿宋" w:hAnsi="仿宋" w:eastAsia="仿宋" w:cs="仿宋"/>
          <w:spacing w:val="6"/>
          <w:sz w:val="22"/>
          <w:szCs w:val="22"/>
        </w:rPr>
        <w:t>九、本规定由工业和信息化部、国家统计局会同有关部门负责解释。</w:t>
      </w:r>
    </w:p>
    <w:p w14:paraId="46483933">
      <w:pPr>
        <w:pStyle w:val="1006"/>
        <w:widowControl w:val="0"/>
        <w:adjustRightInd w:val="0"/>
        <w:snapToGrid w:val="0"/>
        <w:spacing w:line="360" w:lineRule="auto"/>
        <w:ind w:firstLine="464" w:firstLineChars="200"/>
        <w:jc w:val="both"/>
        <w:rPr>
          <w:rFonts w:hint="default" w:ascii="仿宋" w:hAnsi="仿宋" w:eastAsia="仿宋" w:cs="仿宋"/>
          <w:bCs/>
          <w:sz w:val="22"/>
          <w:szCs w:val="22"/>
        </w:rPr>
      </w:pPr>
      <w:r>
        <w:rPr>
          <w:rFonts w:ascii="仿宋" w:hAnsi="仿宋" w:eastAsia="仿宋" w:cs="仿宋"/>
          <w:spacing w:val="6"/>
          <w:sz w:val="22"/>
          <w:szCs w:val="22"/>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ascii="仿宋" w:hAnsi="仿宋" w:eastAsia="仿宋" w:cs="仿宋"/>
          <w:spacing w:val="6"/>
          <w:sz w:val="22"/>
          <w:szCs w:val="22"/>
        </w:rPr>
        <w:t>中小企业标准暂行规定</w:t>
      </w:r>
      <w:r>
        <w:rPr>
          <w:rFonts w:ascii="仿宋" w:hAnsi="仿宋" w:eastAsia="仿宋" w:cs="仿宋"/>
          <w:spacing w:val="6"/>
          <w:sz w:val="22"/>
          <w:szCs w:val="22"/>
        </w:rPr>
        <w:fldChar w:fldCharType="end"/>
      </w:r>
      <w:r>
        <w:rPr>
          <w:rFonts w:ascii="仿宋" w:hAnsi="仿宋" w:eastAsia="仿宋" w:cs="仿宋"/>
          <w:spacing w:val="6"/>
          <w:sz w:val="22"/>
          <w:szCs w:val="22"/>
        </w:rPr>
        <w:t>》</w:t>
      </w:r>
      <w:r>
        <w:fldChar w:fldCharType="begin"/>
      </w:r>
      <w:r>
        <w:instrText xml:space="preserve"> HYPERLINK "https://www.shui5.cn/article/df/24263.html" </w:instrText>
      </w:r>
      <w:r>
        <w:fldChar w:fldCharType="separate"/>
      </w:r>
      <w:r>
        <w:rPr>
          <w:rFonts w:ascii="仿宋" w:hAnsi="仿宋" w:eastAsia="仿宋" w:cs="仿宋"/>
          <w:spacing w:val="6"/>
          <w:sz w:val="22"/>
          <w:szCs w:val="22"/>
        </w:rPr>
        <w:t>国经贸中小企[2003]143号</w:t>
      </w:r>
      <w:r>
        <w:rPr>
          <w:rFonts w:ascii="仿宋" w:hAnsi="仿宋" w:eastAsia="仿宋" w:cs="仿宋"/>
          <w:spacing w:val="6"/>
          <w:sz w:val="22"/>
          <w:szCs w:val="22"/>
        </w:rPr>
        <w:fldChar w:fldCharType="end"/>
      </w:r>
      <w:r>
        <w:rPr>
          <w:rFonts w:ascii="仿宋" w:hAnsi="仿宋" w:eastAsia="仿宋" w:cs="仿宋"/>
          <w:spacing w:val="6"/>
          <w:sz w:val="22"/>
          <w:szCs w:val="22"/>
        </w:rPr>
        <w:t>同时废止。</w:t>
      </w:r>
    </w:p>
    <w:p w14:paraId="434CD881">
      <w:pPr>
        <w:snapToGrid w:val="0"/>
        <w:spacing w:line="360" w:lineRule="auto"/>
        <w:jc w:val="left"/>
        <w:rPr>
          <w:rFonts w:ascii="仿宋" w:eastAsia="仿宋" w:cs="仿宋"/>
          <w:sz w:val="24"/>
        </w:rPr>
      </w:pPr>
    </w:p>
    <w:p w14:paraId="07221CD7">
      <w:pPr>
        <w:rPr>
          <w:rFonts w:ascii="仿宋" w:eastAsia="仿宋" w:cs="仿宋"/>
        </w:rPr>
      </w:pPr>
    </w:p>
    <w:p w14:paraId="33E3F93E">
      <w:pPr>
        <w:widowControl/>
        <w:adjustRightInd/>
        <w:jc w:val="left"/>
        <w:rPr>
          <w:rFonts w:ascii="仿宋" w:hAnsi="仿宋" w:eastAsia="仿宋" w:cs="仿宋"/>
          <w:sz w:val="24"/>
        </w:rPr>
      </w:pPr>
    </w:p>
    <w:sectPr>
      <w:pgSz w:w="11907" w:h="16840"/>
      <w:pgMar w:top="1474" w:right="1814" w:bottom="1474" w:left="1814"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宋体"/>
    <w:panose1 w:val="00000000000000000000"/>
    <w:charset w:val="00"/>
    <w:family w:val="swiss"/>
    <w:pitch w:val="default"/>
    <w:sig w:usb0="00000000" w:usb1="00000000" w:usb2="00000000" w:usb3="00000000" w:csb0="00000001" w:csb1="00000000"/>
  </w:font>
  <w:font w:name="ˎ̥">
    <w:altName w:val="兰米大黑"/>
    <w:panose1 w:val="00000000000000000000"/>
    <w:charset w:val="00"/>
    <w:family w:val="roman"/>
    <w:pitch w:val="default"/>
    <w:sig w:usb0="00000000" w:usb1="00000000" w:usb2="00000000" w:usb3="00000000" w:csb0="00040001" w:csb1="00000000"/>
  </w:font>
  <w:font w:name="兰米大黑">
    <w:panose1 w:val="02000503000000000000"/>
    <w:charset w:val="86"/>
    <w:family w:val="auto"/>
    <w:pitch w:val="default"/>
    <w:sig w:usb0="8000002F" w:usb1="084164F8" w:usb2="00000012"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20B0604020202020204"/>
    <w:charset w:val="00"/>
    <w:family w:val="swiss"/>
    <w:pitch w:val="default"/>
    <w:sig w:usb0="00000000" w:usb1="00000000" w:usb2="00000009"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兰米大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B0604020202020204"/>
    <w:charset w:val="00"/>
    <w:family w:val="swiss"/>
    <w:pitch w:val="default"/>
    <w:sig w:usb0="00100003"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080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B8244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1FB2">
    <w:pPr>
      <w:pStyle w:val="39"/>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E47E2"/>
    <w:multiLevelType w:val="singleLevel"/>
    <w:tmpl w:val="E54E47E2"/>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1">
    <w:nsid w:val="F2C32F8B"/>
    <w:multiLevelType w:val="singleLevel"/>
    <w:tmpl w:val="F2C32F8B"/>
    <w:lvl w:ilvl="0" w:tentative="0">
      <w:start w:val="2"/>
      <w:numFmt w:val="chineseCounting"/>
      <w:suff w:val="nothing"/>
      <w:lvlText w:val="%1、"/>
      <w:lvlJc w:val="left"/>
      <w:rPr>
        <w:rFonts w:hint="eastAsia"/>
      </w:rPr>
    </w:lvl>
  </w:abstractNum>
  <w:abstractNum w:abstractNumId="2">
    <w:nsid w:val="F71A3D3A"/>
    <w:multiLevelType w:val="singleLevel"/>
    <w:tmpl w:val="F71A3D3A"/>
    <w:lvl w:ilvl="0" w:tentative="0">
      <w:start w:val="2"/>
      <w:numFmt w:val="decimal"/>
      <w:suff w:val="nothing"/>
      <w:lvlText w:val="%1、"/>
      <w:lvlJc w:val="left"/>
    </w:lvl>
  </w:abstractNum>
  <w:abstractNum w:abstractNumId="3">
    <w:nsid w:val="13247AB6"/>
    <w:multiLevelType w:val="singleLevel"/>
    <w:tmpl w:val="13247AB6"/>
    <w:lvl w:ilvl="0" w:tentative="0">
      <w:start w:val="2"/>
      <w:numFmt w:val="chineseCounting"/>
      <w:suff w:val="nothing"/>
      <w:lvlText w:val="%1、"/>
      <w:lvlJc w:val="left"/>
      <w:rPr>
        <w:rFonts w:hint="eastAsia"/>
      </w:rPr>
    </w:lvl>
  </w:abstractNum>
  <w:abstractNum w:abstractNumId="4">
    <w:nsid w:val="22D6BCA2"/>
    <w:multiLevelType w:val="singleLevel"/>
    <w:tmpl w:val="22D6BCA2"/>
    <w:lvl w:ilvl="0" w:tentative="0">
      <w:start w:val="2"/>
      <w:numFmt w:val="decimal"/>
      <w:suff w:val="nothing"/>
      <w:lvlText w:val="%1、"/>
      <w:lvlJc w:val="left"/>
    </w:lvl>
  </w:abstractNum>
  <w:abstractNum w:abstractNumId="5">
    <w:nsid w:val="4DD8DE50"/>
    <w:multiLevelType w:val="singleLevel"/>
    <w:tmpl w:val="4DD8DE50"/>
    <w:lvl w:ilvl="0" w:tentative="0">
      <w:start w:val="1"/>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pPr>
        <w:ind w:left="0" w:firstLine="0"/>
      </w:pPr>
    </w:lvl>
  </w:abstractNum>
  <w:abstractNum w:abstractNumId="7">
    <w:nsid w:val="557FD3DA"/>
    <w:multiLevelType w:val="singleLevel"/>
    <w:tmpl w:val="557FD3DA"/>
    <w:lvl w:ilvl="0" w:tentative="0">
      <w:start w:val="3"/>
      <w:numFmt w:val="chineseCounting"/>
      <w:suff w:val="nothing"/>
      <w:lvlText w:val="%1、"/>
      <w:lvlJc w:val="left"/>
      <w:pPr>
        <w:ind w:left="0" w:firstLine="0"/>
      </w:pPr>
    </w:lvl>
  </w:abstractNum>
  <w:abstractNum w:abstractNumId="8">
    <w:nsid w:val="6BE358EA"/>
    <w:multiLevelType w:val="singleLevel"/>
    <w:tmpl w:val="6BE358EA"/>
    <w:lvl w:ilvl="0" w:tentative="0">
      <w:start w:val="1"/>
      <w:numFmt w:val="decimal"/>
      <w:suff w:val="nothing"/>
      <w:lvlText w:val="（%1）"/>
      <w:lvlJc w:val="left"/>
    </w:lvl>
  </w:abstractNum>
  <w:num w:numId="1">
    <w:abstractNumId w:val="8"/>
  </w:num>
  <w:num w:numId="2">
    <w:abstractNumId w:val="5"/>
  </w:num>
  <w:num w:numId="3">
    <w:abstractNumId w:val="6"/>
    <w:lvlOverride w:ilvl="0">
      <w:startOverride w:val="1"/>
    </w:lvlOverride>
  </w:num>
  <w:num w:numId="4">
    <w:abstractNumId w:val="7"/>
    <w:lvlOverride w:ilvl="0">
      <w:startOverride w:val="3"/>
    </w:lvlOverride>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1735B"/>
    <w:rsid w:val="000244C4"/>
    <w:rsid w:val="00025D6D"/>
    <w:rsid w:val="00025DA2"/>
    <w:rsid w:val="00032149"/>
    <w:rsid w:val="00033EE1"/>
    <w:rsid w:val="00045AEF"/>
    <w:rsid w:val="00055CC8"/>
    <w:rsid w:val="00067752"/>
    <w:rsid w:val="00071205"/>
    <w:rsid w:val="000818CE"/>
    <w:rsid w:val="000864B4"/>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64990"/>
    <w:rsid w:val="00174731"/>
    <w:rsid w:val="001906B5"/>
    <w:rsid w:val="00195681"/>
    <w:rsid w:val="0019582A"/>
    <w:rsid w:val="001A1625"/>
    <w:rsid w:val="001A298E"/>
    <w:rsid w:val="001A68F3"/>
    <w:rsid w:val="001B10DF"/>
    <w:rsid w:val="001B1C79"/>
    <w:rsid w:val="001C7B93"/>
    <w:rsid w:val="001D4B73"/>
    <w:rsid w:val="001E4B23"/>
    <w:rsid w:val="001E5514"/>
    <w:rsid w:val="001F0AC5"/>
    <w:rsid w:val="001F0E62"/>
    <w:rsid w:val="001F6A59"/>
    <w:rsid w:val="00203E43"/>
    <w:rsid w:val="002044EE"/>
    <w:rsid w:val="00207766"/>
    <w:rsid w:val="002214CE"/>
    <w:rsid w:val="00231569"/>
    <w:rsid w:val="00231E7E"/>
    <w:rsid w:val="00250176"/>
    <w:rsid w:val="0025635A"/>
    <w:rsid w:val="00257DAF"/>
    <w:rsid w:val="00266140"/>
    <w:rsid w:val="00285EC2"/>
    <w:rsid w:val="002866F0"/>
    <w:rsid w:val="00287C80"/>
    <w:rsid w:val="00294207"/>
    <w:rsid w:val="002A153F"/>
    <w:rsid w:val="002A3863"/>
    <w:rsid w:val="002A5208"/>
    <w:rsid w:val="002B18E0"/>
    <w:rsid w:val="002B4D64"/>
    <w:rsid w:val="002B4D77"/>
    <w:rsid w:val="002C2FE6"/>
    <w:rsid w:val="002C3761"/>
    <w:rsid w:val="002D02FC"/>
    <w:rsid w:val="002D4A93"/>
    <w:rsid w:val="002F67B8"/>
    <w:rsid w:val="00311050"/>
    <w:rsid w:val="00313D12"/>
    <w:rsid w:val="00316D20"/>
    <w:rsid w:val="003172A0"/>
    <w:rsid w:val="003339F1"/>
    <w:rsid w:val="003432A4"/>
    <w:rsid w:val="003540EF"/>
    <w:rsid w:val="00355843"/>
    <w:rsid w:val="00371B76"/>
    <w:rsid w:val="00375DF1"/>
    <w:rsid w:val="00376087"/>
    <w:rsid w:val="003776A5"/>
    <w:rsid w:val="003807F4"/>
    <w:rsid w:val="00382163"/>
    <w:rsid w:val="00383012"/>
    <w:rsid w:val="003943B4"/>
    <w:rsid w:val="003A0810"/>
    <w:rsid w:val="003B1FB1"/>
    <w:rsid w:val="003B201F"/>
    <w:rsid w:val="003B461A"/>
    <w:rsid w:val="003C0581"/>
    <w:rsid w:val="003C0FFA"/>
    <w:rsid w:val="003D0828"/>
    <w:rsid w:val="003E0630"/>
    <w:rsid w:val="0041735B"/>
    <w:rsid w:val="004316A4"/>
    <w:rsid w:val="00435005"/>
    <w:rsid w:val="00437A41"/>
    <w:rsid w:val="00446C5C"/>
    <w:rsid w:val="00447FFC"/>
    <w:rsid w:val="00467DFD"/>
    <w:rsid w:val="004716A1"/>
    <w:rsid w:val="0047423B"/>
    <w:rsid w:val="00485D62"/>
    <w:rsid w:val="00491632"/>
    <w:rsid w:val="00494D26"/>
    <w:rsid w:val="00495236"/>
    <w:rsid w:val="00496DA9"/>
    <w:rsid w:val="004A3F2E"/>
    <w:rsid w:val="004A41C9"/>
    <w:rsid w:val="004B3955"/>
    <w:rsid w:val="004C467A"/>
    <w:rsid w:val="004F3EC1"/>
    <w:rsid w:val="004F6B30"/>
    <w:rsid w:val="00500E62"/>
    <w:rsid w:val="00512644"/>
    <w:rsid w:val="00513CAC"/>
    <w:rsid w:val="00513E86"/>
    <w:rsid w:val="00530B18"/>
    <w:rsid w:val="00534CD6"/>
    <w:rsid w:val="0054707F"/>
    <w:rsid w:val="00554397"/>
    <w:rsid w:val="0055629E"/>
    <w:rsid w:val="00560B89"/>
    <w:rsid w:val="005643D0"/>
    <w:rsid w:val="00567B27"/>
    <w:rsid w:val="00575FB9"/>
    <w:rsid w:val="00586122"/>
    <w:rsid w:val="00590386"/>
    <w:rsid w:val="0059704A"/>
    <w:rsid w:val="005A2849"/>
    <w:rsid w:val="005E02DB"/>
    <w:rsid w:val="005F41F6"/>
    <w:rsid w:val="0060157C"/>
    <w:rsid w:val="006058F3"/>
    <w:rsid w:val="0061168B"/>
    <w:rsid w:val="00611A2A"/>
    <w:rsid w:val="006121FD"/>
    <w:rsid w:val="0061313E"/>
    <w:rsid w:val="0062060D"/>
    <w:rsid w:val="006218DB"/>
    <w:rsid w:val="00621B89"/>
    <w:rsid w:val="00622955"/>
    <w:rsid w:val="00634267"/>
    <w:rsid w:val="00634B88"/>
    <w:rsid w:val="00640624"/>
    <w:rsid w:val="00652844"/>
    <w:rsid w:val="0065286B"/>
    <w:rsid w:val="00654B56"/>
    <w:rsid w:val="0066481D"/>
    <w:rsid w:val="00665E99"/>
    <w:rsid w:val="00671722"/>
    <w:rsid w:val="00682B0A"/>
    <w:rsid w:val="006B564C"/>
    <w:rsid w:val="006C2093"/>
    <w:rsid w:val="006D160F"/>
    <w:rsid w:val="006D5744"/>
    <w:rsid w:val="006D6BAC"/>
    <w:rsid w:val="006E3951"/>
    <w:rsid w:val="006F0F34"/>
    <w:rsid w:val="006F3CE9"/>
    <w:rsid w:val="006F5944"/>
    <w:rsid w:val="0070223F"/>
    <w:rsid w:val="00711E1F"/>
    <w:rsid w:val="007127E0"/>
    <w:rsid w:val="00713504"/>
    <w:rsid w:val="00717A00"/>
    <w:rsid w:val="00725CC7"/>
    <w:rsid w:val="00734C75"/>
    <w:rsid w:val="00735F75"/>
    <w:rsid w:val="00744343"/>
    <w:rsid w:val="00753E20"/>
    <w:rsid w:val="007540F0"/>
    <w:rsid w:val="00764D5B"/>
    <w:rsid w:val="00785945"/>
    <w:rsid w:val="00785ECA"/>
    <w:rsid w:val="007939B2"/>
    <w:rsid w:val="007B1ED6"/>
    <w:rsid w:val="007B5199"/>
    <w:rsid w:val="007C4979"/>
    <w:rsid w:val="007D190F"/>
    <w:rsid w:val="007D2D5A"/>
    <w:rsid w:val="007D6A53"/>
    <w:rsid w:val="007E3B2C"/>
    <w:rsid w:val="007F1DB8"/>
    <w:rsid w:val="007F358C"/>
    <w:rsid w:val="00801285"/>
    <w:rsid w:val="0080440F"/>
    <w:rsid w:val="008136E8"/>
    <w:rsid w:val="00824286"/>
    <w:rsid w:val="00824BFB"/>
    <w:rsid w:val="00831536"/>
    <w:rsid w:val="00835085"/>
    <w:rsid w:val="00841A70"/>
    <w:rsid w:val="008502F0"/>
    <w:rsid w:val="00850425"/>
    <w:rsid w:val="008618E5"/>
    <w:rsid w:val="008642F2"/>
    <w:rsid w:val="00864E4E"/>
    <w:rsid w:val="00871C8F"/>
    <w:rsid w:val="00872B9F"/>
    <w:rsid w:val="00873462"/>
    <w:rsid w:val="00881EE7"/>
    <w:rsid w:val="00891E36"/>
    <w:rsid w:val="008A322D"/>
    <w:rsid w:val="008A5457"/>
    <w:rsid w:val="008B21B6"/>
    <w:rsid w:val="008B7012"/>
    <w:rsid w:val="008D0C6E"/>
    <w:rsid w:val="008D1288"/>
    <w:rsid w:val="008D448F"/>
    <w:rsid w:val="008D69DE"/>
    <w:rsid w:val="008F00E4"/>
    <w:rsid w:val="008F08DB"/>
    <w:rsid w:val="008F51F6"/>
    <w:rsid w:val="008F6025"/>
    <w:rsid w:val="008F7E15"/>
    <w:rsid w:val="00905C8A"/>
    <w:rsid w:val="00914DF0"/>
    <w:rsid w:val="0092028A"/>
    <w:rsid w:val="00960A07"/>
    <w:rsid w:val="0097012C"/>
    <w:rsid w:val="00975E8E"/>
    <w:rsid w:val="0097713D"/>
    <w:rsid w:val="00993480"/>
    <w:rsid w:val="00994018"/>
    <w:rsid w:val="009A282C"/>
    <w:rsid w:val="009A4983"/>
    <w:rsid w:val="009A791B"/>
    <w:rsid w:val="009B1EB6"/>
    <w:rsid w:val="009B7CF2"/>
    <w:rsid w:val="009C471F"/>
    <w:rsid w:val="009C75D5"/>
    <w:rsid w:val="009D2C82"/>
    <w:rsid w:val="009D391F"/>
    <w:rsid w:val="009E47B4"/>
    <w:rsid w:val="009E612B"/>
    <w:rsid w:val="009E7EB1"/>
    <w:rsid w:val="00A2264F"/>
    <w:rsid w:val="00A45210"/>
    <w:rsid w:val="00A54FFD"/>
    <w:rsid w:val="00A71382"/>
    <w:rsid w:val="00A77A15"/>
    <w:rsid w:val="00A81A07"/>
    <w:rsid w:val="00A834D3"/>
    <w:rsid w:val="00A9054C"/>
    <w:rsid w:val="00A9254C"/>
    <w:rsid w:val="00AA01F8"/>
    <w:rsid w:val="00AA6140"/>
    <w:rsid w:val="00AB0A7F"/>
    <w:rsid w:val="00AC102E"/>
    <w:rsid w:val="00AC44A0"/>
    <w:rsid w:val="00AC6FF0"/>
    <w:rsid w:val="00AE1239"/>
    <w:rsid w:val="00AF1302"/>
    <w:rsid w:val="00AF4436"/>
    <w:rsid w:val="00AF65E6"/>
    <w:rsid w:val="00B0079A"/>
    <w:rsid w:val="00B018C8"/>
    <w:rsid w:val="00B040D3"/>
    <w:rsid w:val="00B12504"/>
    <w:rsid w:val="00B13870"/>
    <w:rsid w:val="00B138DB"/>
    <w:rsid w:val="00B30312"/>
    <w:rsid w:val="00B306AA"/>
    <w:rsid w:val="00B32C0F"/>
    <w:rsid w:val="00B3311A"/>
    <w:rsid w:val="00B35EAF"/>
    <w:rsid w:val="00B3603C"/>
    <w:rsid w:val="00B41E3C"/>
    <w:rsid w:val="00B43291"/>
    <w:rsid w:val="00B456F8"/>
    <w:rsid w:val="00B52227"/>
    <w:rsid w:val="00B53DE3"/>
    <w:rsid w:val="00B55900"/>
    <w:rsid w:val="00B63BC5"/>
    <w:rsid w:val="00B73F11"/>
    <w:rsid w:val="00B77CE3"/>
    <w:rsid w:val="00B8072E"/>
    <w:rsid w:val="00B855F8"/>
    <w:rsid w:val="00B857C7"/>
    <w:rsid w:val="00BA07FF"/>
    <w:rsid w:val="00BA2808"/>
    <w:rsid w:val="00BA2FEB"/>
    <w:rsid w:val="00BA3803"/>
    <w:rsid w:val="00BA4E07"/>
    <w:rsid w:val="00BB3011"/>
    <w:rsid w:val="00BD1A89"/>
    <w:rsid w:val="00BD57A8"/>
    <w:rsid w:val="00BD6CAD"/>
    <w:rsid w:val="00BE55D5"/>
    <w:rsid w:val="00BF2EC0"/>
    <w:rsid w:val="00C37D71"/>
    <w:rsid w:val="00C421AE"/>
    <w:rsid w:val="00C44BF7"/>
    <w:rsid w:val="00C50B26"/>
    <w:rsid w:val="00C54211"/>
    <w:rsid w:val="00C554C6"/>
    <w:rsid w:val="00C56E32"/>
    <w:rsid w:val="00C64701"/>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0306"/>
    <w:rsid w:val="00D437CD"/>
    <w:rsid w:val="00D43DF0"/>
    <w:rsid w:val="00D46B9B"/>
    <w:rsid w:val="00D55A52"/>
    <w:rsid w:val="00D61BF6"/>
    <w:rsid w:val="00D7141D"/>
    <w:rsid w:val="00D73CEB"/>
    <w:rsid w:val="00D75CE2"/>
    <w:rsid w:val="00D8433A"/>
    <w:rsid w:val="00D9699C"/>
    <w:rsid w:val="00DA1A8C"/>
    <w:rsid w:val="00DB27A6"/>
    <w:rsid w:val="00DC016B"/>
    <w:rsid w:val="00DC2AE0"/>
    <w:rsid w:val="00DD0529"/>
    <w:rsid w:val="00DD6C8A"/>
    <w:rsid w:val="00DE0219"/>
    <w:rsid w:val="00E07025"/>
    <w:rsid w:val="00E13D42"/>
    <w:rsid w:val="00E14E48"/>
    <w:rsid w:val="00E16B1E"/>
    <w:rsid w:val="00E228DE"/>
    <w:rsid w:val="00E25179"/>
    <w:rsid w:val="00E3251F"/>
    <w:rsid w:val="00E32D38"/>
    <w:rsid w:val="00E625D6"/>
    <w:rsid w:val="00E81D07"/>
    <w:rsid w:val="00EA0D73"/>
    <w:rsid w:val="00EA79C2"/>
    <w:rsid w:val="00EA7D2B"/>
    <w:rsid w:val="00ED3CEA"/>
    <w:rsid w:val="00EE23B3"/>
    <w:rsid w:val="00EE601A"/>
    <w:rsid w:val="00EE62FC"/>
    <w:rsid w:val="00EF11D3"/>
    <w:rsid w:val="00EF12A5"/>
    <w:rsid w:val="00EF1DE3"/>
    <w:rsid w:val="00EF6408"/>
    <w:rsid w:val="00EF7632"/>
    <w:rsid w:val="00EF788A"/>
    <w:rsid w:val="00F033F2"/>
    <w:rsid w:val="00F25DD9"/>
    <w:rsid w:val="00F264A2"/>
    <w:rsid w:val="00F46AC9"/>
    <w:rsid w:val="00F65871"/>
    <w:rsid w:val="00F71012"/>
    <w:rsid w:val="00F92376"/>
    <w:rsid w:val="00F9403C"/>
    <w:rsid w:val="00F95C07"/>
    <w:rsid w:val="00FA204C"/>
    <w:rsid w:val="00FB4534"/>
    <w:rsid w:val="00FC3129"/>
    <w:rsid w:val="00FE150A"/>
    <w:rsid w:val="00FF01A3"/>
    <w:rsid w:val="00FF49D3"/>
    <w:rsid w:val="00FF52D0"/>
    <w:rsid w:val="00FF675A"/>
    <w:rsid w:val="010F3654"/>
    <w:rsid w:val="01113D6B"/>
    <w:rsid w:val="014B0DF0"/>
    <w:rsid w:val="01505CD6"/>
    <w:rsid w:val="017C6D0A"/>
    <w:rsid w:val="01892F9A"/>
    <w:rsid w:val="01AC71B7"/>
    <w:rsid w:val="01E44FDB"/>
    <w:rsid w:val="01FC3982"/>
    <w:rsid w:val="022A49B8"/>
    <w:rsid w:val="02663C42"/>
    <w:rsid w:val="02671A0C"/>
    <w:rsid w:val="030408DA"/>
    <w:rsid w:val="03123DCA"/>
    <w:rsid w:val="0332621A"/>
    <w:rsid w:val="0351363E"/>
    <w:rsid w:val="036068E4"/>
    <w:rsid w:val="03630182"/>
    <w:rsid w:val="036D2BAA"/>
    <w:rsid w:val="03E017D2"/>
    <w:rsid w:val="042115F8"/>
    <w:rsid w:val="043F39AC"/>
    <w:rsid w:val="047A1C27"/>
    <w:rsid w:val="04956A61"/>
    <w:rsid w:val="04E62E18"/>
    <w:rsid w:val="05393118"/>
    <w:rsid w:val="05500BDA"/>
    <w:rsid w:val="056C5A14"/>
    <w:rsid w:val="05922FA0"/>
    <w:rsid w:val="0603061C"/>
    <w:rsid w:val="064D3866"/>
    <w:rsid w:val="06592D7C"/>
    <w:rsid w:val="06604E4C"/>
    <w:rsid w:val="067329A0"/>
    <w:rsid w:val="069C406C"/>
    <w:rsid w:val="069E4627"/>
    <w:rsid w:val="06AB256C"/>
    <w:rsid w:val="06ED6AC5"/>
    <w:rsid w:val="07403E0A"/>
    <w:rsid w:val="075E138C"/>
    <w:rsid w:val="076D5A73"/>
    <w:rsid w:val="07E816C8"/>
    <w:rsid w:val="07ED44BE"/>
    <w:rsid w:val="07F364BB"/>
    <w:rsid w:val="0817314E"/>
    <w:rsid w:val="08264320"/>
    <w:rsid w:val="08843074"/>
    <w:rsid w:val="088E7A4F"/>
    <w:rsid w:val="08AF0E7E"/>
    <w:rsid w:val="08DB2B83"/>
    <w:rsid w:val="08F04266"/>
    <w:rsid w:val="090B5543"/>
    <w:rsid w:val="090C38C7"/>
    <w:rsid w:val="09111F54"/>
    <w:rsid w:val="091740D2"/>
    <w:rsid w:val="0926237D"/>
    <w:rsid w:val="092D1E3A"/>
    <w:rsid w:val="09430F30"/>
    <w:rsid w:val="096227F5"/>
    <w:rsid w:val="0973142E"/>
    <w:rsid w:val="0983332C"/>
    <w:rsid w:val="0A854E82"/>
    <w:rsid w:val="0B5D1032"/>
    <w:rsid w:val="0BDB556D"/>
    <w:rsid w:val="0C34090D"/>
    <w:rsid w:val="0C6E1E68"/>
    <w:rsid w:val="0C997996"/>
    <w:rsid w:val="0D0522AA"/>
    <w:rsid w:val="0D154674"/>
    <w:rsid w:val="0D197B03"/>
    <w:rsid w:val="0D530297"/>
    <w:rsid w:val="0D5869CA"/>
    <w:rsid w:val="0DC06C57"/>
    <w:rsid w:val="0DF32DFA"/>
    <w:rsid w:val="0DF45048"/>
    <w:rsid w:val="0DF93BBD"/>
    <w:rsid w:val="0E6C44DB"/>
    <w:rsid w:val="0EEF3211"/>
    <w:rsid w:val="0EF62571"/>
    <w:rsid w:val="0F0942D3"/>
    <w:rsid w:val="0F6A1D2A"/>
    <w:rsid w:val="0F7A2ADB"/>
    <w:rsid w:val="0F84395A"/>
    <w:rsid w:val="0F89137C"/>
    <w:rsid w:val="0F9B19AB"/>
    <w:rsid w:val="0FA50043"/>
    <w:rsid w:val="0FB21E04"/>
    <w:rsid w:val="0FDC0C6B"/>
    <w:rsid w:val="0FF30ADF"/>
    <w:rsid w:val="100D394F"/>
    <w:rsid w:val="10505F32"/>
    <w:rsid w:val="107A496E"/>
    <w:rsid w:val="10EB19FD"/>
    <w:rsid w:val="11147358"/>
    <w:rsid w:val="114809B7"/>
    <w:rsid w:val="11567578"/>
    <w:rsid w:val="11A622AD"/>
    <w:rsid w:val="11C97D4A"/>
    <w:rsid w:val="11CB3AC2"/>
    <w:rsid w:val="11DB77E2"/>
    <w:rsid w:val="1230601B"/>
    <w:rsid w:val="126F6B43"/>
    <w:rsid w:val="12D746E8"/>
    <w:rsid w:val="12F9465F"/>
    <w:rsid w:val="13076D7C"/>
    <w:rsid w:val="13722555"/>
    <w:rsid w:val="1396461B"/>
    <w:rsid w:val="14072DAB"/>
    <w:rsid w:val="140C6797"/>
    <w:rsid w:val="14665D24"/>
    <w:rsid w:val="148B774E"/>
    <w:rsid w:val="14905FBF"/>
    <w:rsid w:val="149503B7"/>
    <w:rsid w:val="15015A4D"/>
    <w:rsid w:val="152534E9"/>
    <w:rsid w:val="152D6842"/>
    <w:rsid w:val="15915022"/>
    <w:rsid w:val="15A10AC3"/>
    <w:rsid w:val="15D5574D"/>
    <w:rsid w:val="15D55FD9"/>
    <w:rsid w:val="15EE7D7F"/>
    <w:rsid w:val="165B4EA8"/>
    <w:rsid w:val="166A2EEE"/>
    <w:rsid w:val="16B54D41"/>
    <w:rsid w:val="16C805D0"/>
    <w:rsid w:val="16FF4A0D"/>
    <w:rsid w:val="172A0249"/>
    <w:rsid w:val="17345C65"/>
    <w:rsid w:val="17377504"/>
    <w:rsid w:val="17A34B99"/>
    <w:rsid w:val="17AE5C19"/>
    <w:rsid w:val="17D411F6"/>
    <w:rsid w:val="18381785"/>
    <w:rsid w:val="1881137E"/>
    <w:rsid w:val="18950B4E"/>
    <w:rsid w:val="18DD40DB"/>
    <w:rsid w:val="1941105C"/>
    <w:rsid w:val="19554843"/>
    <w:rsid w:val="19573E8D"/>
    <w:rsid w:val="199D3F96"/>
    <w:rsid w:val="19C60A70"/>
    <w:rsid w:val="19CD414F"/>
    <w:rsid w:val="1A09162B"/>
    <w:rsid w:val="1A2D2EA7"/>
    <w:rsid w:val="1A3040E6"/>
    <w:rsid w:val="1A3537A8"/>
    <w:rsid w:val="1A4C5342"/>
    <w:rsid w:val="1A587BF3"/>
    <w:rsid w:val="1A7D4D49"/>
    <w:rsid w:val="1A7E5662"/>
    <w:rsid w:val="1ABF336E"/>
    <w:rsid w:val="1AC76DF0"/>
    <w:rsid w:val="1B063DBD"/>
    <w:rsid w:val="1B592A40"/>
    <w:rsid w:val="1B85775F"/>
    <w:rsid w:val="1B8A444B"/>
    <w:rsid w:val="1B9319E5"/>
    <w:rsid w:val="1BA8502E"/>
    <w:rsid w:val="1BB84BD7"/>
    <w:rsid w:val="1BFB0F3C"/>
    <w:rsid w:val="1C284952"/>
    <w:rsid w:val="1CAE0268"/>
    <w:rsid w:val="1CB82E95"/>
    <w:rsid w:val="1CCE10F3"/>
    <w:rsid w:val="1CFF31FC"/>
    <w:rsid w:val="1D33390B"/>
    <w:rsid w:val="1D4118CA"/>
    <w:rsid w:val="1D83660F"/>
    <w:rsid w:val="1DD957B9"/>
    <w:rsid w:val="1E193E07"/>
    <w:rsid w:val="1E1D4074"/>
    <w:rsid w:val="1E3C27B8"/>
    <w:rsid w:val="1E5F5CBE"/>
    <w:rsid w:val="1E6A2FD8"/>
    <w:rsid w:val="1E7E0D4D"/>
    <w:rsid w:val="1E9D0594"/>
    <w:rsid w:val="1EB43DC9"/>
    <w:rsid w:val="1ECC3921"/>
    <w:rsid w:val="1F06523F"/>
    <w:rsid w:val="1F83778A"/>
    <w:rsid w:val="1F9E2816"/>
    <w:rsid w:val="1FA85442"/>
    <w:rsid w:val="1FAD74E5"/>
    <w:rsid w:val="1FC831E8"/>
    <w:rsid w:val="201568C4"/>
    <w:rsid w:val="20360CA0"/>
    <w:rsid w:val="205B0707"/>
    <w:rsid w:val="208C6B12"/>
    <w:rsid w:val="208F27AA"/>
    <w:rsid w:val="2091237A"/>
    <w:rsid w:val="20964AEE"/>
    <w:rsid w:val="20AE2589"/>
    <w:rsid w:val="20B16579"/>
    <w:rsid w:val="20B83463"/>
    <w:rsid w:val="20BA367F"/>
    <w:rsid w:val="210E7F40"/>
    <w:rsid w:val="211508B6"/>
    <w:rsid w:val="211C7E39"/>
    <w:rsid w:val="215E5355"/>
    <w:rsid w:val="217A696B"/>
    <w:rsid w:val="21974C34"/>
    <w:rsid w:val="2197751D"/>
    <w:rsid w:val="21C63ED4"/>
    <w:rsid w:val="230C5CE8"/>
    <w:rsid w:val="2355143D"/>
    <w:rsid w:val="23A979DB"/>
    <w:rsid w:val="24207C9D"/>
    <w:rsid w:val="242D5F16"/>
    <w:rsid w:val="24EF141E"/>
    <w:rsid w:val="24F131B7"/>
    <w:rsid w:val="252821A7"/>
    <w:rsid w:val="252A536F"/>
    <w:rsid w:val="25717525"/>
    <w:rsid w:val="25B15801"/>
    <w:rsid w:val="25BD32CA"/>
    <w:rsid w:val="25CB4DE5"/>
    <w:rsid w:val="25D7082F"/>
    <w:rsid w:val="25E939A8"/>
    <w:rsid w:val="25F10EA3"/>
    <w:rsid w:val="25F72C80"/>
    <w:rsid w:val="262670C1"/>
    <w:rsid w:val="264E7489"/>
    <w:rsid w:val="266611FB"/>
    <w:rsid w:val="267267AA"/>
    <w:rsid w:val="26C03072"/>
    <w:rsid w:val="26D1431F"/>
    <w:rsid w:val="26D22DA5"/>
    <w:rsid w:val="26FD6A6F"/>
    <w:rsid w:val="2714160F"/>
    <w:rsid w:val="275F25E6"/>
    <w:rsid w:val="276567C0"/>
    <w:rsid w:val="27716A62"/>
    <w:rsid w:val="27A6171B"/>
    <w:rsid w:val="27AB1F74"/>
    <w:rsid w:val="27C070A1"/>
    <w:rsid w:val="280D08FF"/>
    <w:rsid w:val="282D0BDB"/>
    <w:rsid w:val="287A1946"/>
    <w:rsid w:val="287C44FF"/>
    <w:rsid w:val="290D1425"/>
    <w:rsid w:val="29167350"/>
    <w:rsid w:val="294F692F"/>
    <w:rsid w:val="296726DF"/>
    <w:rsid w:val="29712D49"/>
    <w:rsid w:val="29BD1AEA"/>
    <w:rsid w:val="29F22DCF"/>
    <w:rsid w:val="29F5733B"/>
    <w:rsid w:val="2A1E0B3C"/>
    <w:rsid w:val="2A8B7E3A"/>
    <w:rsid w:val="2A9071FF"/>
    <w:rsid w:val="2AAF95FB"/>
    <w:rsid w:val="2AC907B7"/>
    <w:rsid w:val="2AD1624A"/>
    <w:rsid w:val="2AD90BA6"/>
    <w:rsid w:val="2AF966A9"/>
    <w:rsid w:val="2AFB3F7D"/>
    <w:rsid w:val="2B22254D"/>
    <w:rsid w:val="2B5F30BE"/>
    <w:rsid w:val="2B635977"/>
    <w:rsid w:val="2B8F423A"/>
    <w:rsid w:val="2B8F74B6"/>
    <w:rsid w:val="2BB466FD"/>
    <w:rsid w:val="2BBE7BD1"/>
    <w:rsid w:val="2BFC3274"/>
    <w:rsid w:val="2BFC6CEE"/>
    <w:rsid w:val="2C2D7E40"/>
    <w:rsid w:val="2C385DA0"/>
    <w:rsid w:val="2C5C383D"/>
    <w:rsid w:val="2C620A7A"/>
    <w:rsid w:val="2C8F06E8"/>
    <w:rsid w:val="2CCB2770"/>
    <w:rsid w:val="2CD070CA"/>
    <w:rsid w:val="2D3A16A4"/>
    <w:rsid w:val="2D5E5392"/>
    <w:rsid w:val="2D6329A9"/>
    <w:rsid w:val="2D661394"/>
    <w:rsid w:val="2DB13D26"/>
    <w:rsid w:val="2DC27168"/>
    <w:rsid w:val="2E1A575D"/>
    <w:rsid w:val="2E81758A"/>
    <w:rsid w:val="2EB00083"/>
    <w:rsid w:val="2ED2428A"/>
    <w:rsid w:val="2EF04710"/>
    <w:rsid w:val="2F015EFB"/>
    <w:rsid w:val="2F077C8B"/>
    <w:rsid w:val="2F1228D8"/>
    <w:rsid w:val="2F14251F"/>
    <w:rsid w:val="2F202BD3"/>
    <w:rsid w:val="2F3003F0"/>
    <w:rsid w:val="2F370591"/>
    <w:rsid w:val="2F3F72F2"/>
    <w:rsid w:val="2F405BC8"/>
    <w:rsid w:val="2F5729E1"/>
    <w:rsid w:val="2F7E7F6E"/>
    <w:rsid w:val="2F917CA1"/>
    <w:rsid w:val="2F963509"/>
    <w:rsid w:val="2FCB7E61"/>
    <w:rsid w:val="3098505F"/>
    <w:rsid w:val="309A0DD7"/>
    <w:rsid w:val="30A003C2"/>
    <w:rsid w:val="30CB71E3"/>
    <w:rsid w:val="30D14AC9"/>
    <w:rsid w:val="30E65CE0"/>
    <w:rsid w:val="30ED67F8"/>
    <w:rsid w:val="30FA3624"/>
    <w:rsid w:val="310D5B25"/>
    <w:rsid w:val="3122042E"/>
    <w:rsid w:val="312B5ED3"/>
    <w:rsid w:val="317945DF"/>
    <w:rsid w:val="31794E91"/>
    <w:rsid w:val="325150BF"/>
    <w:rsid w:val="32B32FBF"/>
    <w:rsid w:val="32BB17EF"/>
    <w:rsid w:val="32BD0DAD"/>
    <w:rsid w:val="32D305D1"/>
    <w:rsid w:val="33193DC3"/>
    <w:rsid w:val="33370B5F"/>
    <w:rsid w:val="335515C9"/>
    <w:rsid w:val="33997124"/>
    <w:rsid w:val="33C321D0"/>
    <w:rsid w:val="33F45E8C"/>
    <w:rsid w:val="347A30EF"/>
    <w:rsid w:val="34A6236C"/>
    <w:rsid w:val="350576FF"/>
    <w:rsid w:val="3521012E"/>
    <w:rsid w:val="357065AB"/>
    <w:rsid w:val="357E6E9D"/>
    <w:rsid w:val="35850318"/>
    <w:rsid w:val="35C67F79"/>
    <w:rsid w:val="3619279E"/>
    <w:rsid w:val="3627310D"/>
    <w:rsid w:val="364C66D0"/>
    <w:rsid w:val="36513CE6"/>
    <w:rsid w:val="366559E4"/>
    <w:rsid w:val="366F0610"/>
    <w:rsid w:val="368A71F8"/>
    <w:rsid w:val="36B129D7"/>
    <w:rsid w:val="37001D6D"/>
    <w:rsid w:val="371371EE"/>
    <w:rsid w:val="37241927"/>
    <w:rsid w:val="3748AF01"/>
    <w:rsid w:val="375E665F"/>
    <w:rsid w:val="377D6D5D"/>
    <w:rsid w:val="379C276D"/>
    <w:rsid w:val="37AC319E"/>
    <w:rsid w:val="37C778E3"/>
    <w:rsid w:val="380C47FF"/>
    <w:rsid w:val="381C086C"/>
    <w:rsid w:val="383A1FD6"/>
    <w:rsid w:val="38455ACD"/>
    <w:rsid w:val="385950D4"/>
    <w:rsid w:val="388C7258"/>
    <w:rsid w:val="389B56ED"/>
    <w:rsid w:val="38B44A00"/>
    <w:rsid w:val="38BA3255"/>
    <w:rsid w:val="38F848ED"/>
    <w:rsid w:val="39111E53"/>
    <w:rsid w:val="393B1CEB"/>
    <w:rsid w:val="393C53BF"/>
    <w:rsid w:val="394A2C6F"/>
    <w:rsid w:val="395714A0"/>
    <w:rsid w:val="397D3044"/>
    <w:rsid w:val="39B32BA7"/>
    <w:rsid w:val="39CB3DB0"/>
    <w:rsid w:val="39FD5F33"/>
    <w:rsid w:val="3A303670"/>
    <w:rsid w:val="3A414072"/>
    <w:rsid w:val="3AB739CD"/>
    <w:rsid w:val="3B255741"/>
    <w:rsid w:val="3B5953EB"/>
    <w:rsid w:val="3B5D7EEF"/>
    <w:rsid w:val="3B697839"/>
    <w:rsid w:val="3BA945C4"/>
    <w:rsid w:val="3BC66F24"/>
    <w:rsid w:val="3BEC3CCF"/>
    <w:rsid w:val="3BFC64A2"/>
    <w:rsid w:val="3C1D7789"/>
    <w:rsid w:val="3C333E8E"/>
    <w:rsid w:val="3C3519B4"/>
    <w:rsid w:val="3C3B15AD"/>
    <w:rsid w:val="3C853F1C"/>
    <w:rsid w:val="3C8666B4"/>
    <w:rsid w:val="3C9913DF"/>
    <w:rsid w:val="3CCB40C7"/>
    <w:rsid w:val="3CF20E39"/>
    <w:rsid w:val="3D0F0457"/>
    <w:rsid w:val="3D670293"/>
    <w:rsid w:val="3DA66FF3"/>
    <w:rsid w:val="3DB63CA8"/>
    <w:rsid w:val="3DBD7EB3"/>
    <w:rsid w:val="3DC66340"/>
    <w:rsid w:val="3E2B2B6E"/>
    <w:rsid w:val="3E4203B8"/>
    <w:rsid w:val="3E42660A"/>
    <w:rsid w:val="3E452E7A"/>
    <w:rsid w:val="3E6447D3"/>
    <w:rsid w:val="3E656FB4"/>
    <w:rsid w:val="3EFEA9DE"/>
    <w:rsid w:val="3F033FEC"/>
    <w:rsid w:val="3F051B12"/>
    <w:rsid w:val="3F217697"/>
    <w:rsid w:val="3F2F3033"/>
    <w:rsid w:val="3F3423F7"/>
    <w:rsid w:val="3F375A43"/>
    <w:rsid w:val="3F4E3AF1"/>
    <w:rsid w:val="3FC941F4"/>
    <w:rsid w:val="3FCD4245"/>
    <w:rsid w:val="3FF31D46"/>
    <w:rsid w:val="3FFECED8"/>
    <w:rsid w:val="401D657C"/>
    <w:rsid w:val="4032245D"/>
    <w:rsid w:val="407451A1"/>
    <w:rsid w:val="40C21BAE"/>
    <w:rsid w:val="40D54E4D"/>
    <w:rsid w:val="40F72F83"/>
    <w:rsid w:val="41132218"/>
    <w:rsid w:val="412F15D5"/>
    <w:rsid w:val="41523008"/>
    <w:rsid w:val="416C40CA"/>
    <w:rsid w:val="41892EE4"/>
    <w:rsid w:val="41EC0D67"/>
    <w:rsid w:val="41FB36A0"/>
    <w:rsid w:val="42997141"/>
    <w:rsid w:val="42B77DB9"/>
    <w:rsid w:val="42D069A7"/>
    <w:rsid w:val="42FE1738"/>
    <w:rsid w:val="432A5FEB"/>
    <w:rsid w:val="43436682"/>
    <w:rsid w:val="43510514"/>
    <w:rsid w:val="4383232B"/>
    <w:rsid w:val="43A9417C"/>
    <w:rsid w:val="43AE09CA"/>
    <w:rsid w:val="43E207E3"/>
    <w:rsid w:val="44437E31"/>
    <w:rsid w:val="448636F5"/>
    <w:rsid w:val="44C45FCB"/>
    <w:rsid w:val="44ED58D2"/>
    <w:rsid w:val="44F600C1"/>
    <w:rsid w:val="45132AAF"/>
    <w:rsid w:val="45482758"/>
    <w:rsid w:val="45552F39"/>
    <w:rsid w:val="45583175"/>
    <w:rsid w:val="455A248C"/>
    <w:rsid w:val="455A5594"/>
    <w:rsid w:val="457A1D60"/>
    <w:rsid w:val="45B743F3"/>
    <w:rsid w:val="460A5C60"/>
    <w:rsid w:val="46184820"/>
    <w:rsid w:val="46290E24"/>
    <w:rsid w:val="463F23B5"/>
    <w:rsid w:val="468D0C65"/>
    <w:rsid w:val="46A9191C"/>
    <w:rsid w:val="46AF437E"/>
    <w:rsid w:val="46F70ECD"/>
    <w:rsid w:val="47013507"/>
    <w:rsid w:val="470376BA"/>
    <w:rsid w:val="47AF2F63"/>
    <w:rsid w:val="47F3D923"/>
    <w:rsid w:val="47FB3A57"/>
    <w:rsid w:val="481F1051"/>
    <w:rsid w:val="48786E75"/>
    <w:rsid w:val="48A56114"/>
    <w:rsid w:val="48DE7AB5"/>
    <w:rsid w:val="4907292A"/>
    <w:rsid w:val="49635DB3"/>
    <w:rsid w:val="4970029D"/>
    <w:rsid w:val="49770A9E"/>
    <w:rsid w:val="49AA1835"/>
    <w:rsid w:val="49B02FC2"/>
    <w:rsid w:val="49CD65E6"/>
    <w:rsid w:val="49DA528B"/>
    <w:rsid w:val="49ED6F18"/>
    <w:rsid w:val="49EE52F5"/>
    <w:rsid w:val="4A001853"/>
    <w:rsid w:val="4A205A52"/>
    <w:rsid w:val="4A630034"/>
    <w:rsid w:val="4ADB406F"/>
    <w:rsid w:val="4AF8249E"/>
    <w:rsid w:val="4B10121A"/>
    <w:rsid w:val="4B202322"/>
    <w:rsid w:val="4B3425E6"/>
    <w:rsid w:val="4B3D6563"/>
    <w:rsid w:val="4B752D50"/>
    <w:rsid w:val="4BA73358"/>
    <w:rsid w:val="4BB24DCF"/>
    <w:rsid w:val="4BBF129A"/>
    <w:rsid w:val="4BEB0728"/>
    <w:rsid w:val="4BFB662F"/>
    <w:rsid w:val="4CBA03DF"/>
    <w:rsid w:val="4CD363DE"/>
    <w:rsid w:val="4CEA0599"/>
    <w:rsid w:val="4CEA2EF3"/>
    <w:rsid w:val="4CF22BB7"/>
    <w:rsid w:val="4D1473C4"/>
    <w:rsid w:val="4D493511"/>
    <w:rsid w:val="4D715F27"/>
    <w:rsid w:val="4D9673E6"/>
    <w:rsid w:val="4D9F49FF"/>
    <w:rsid w:val="4DCD7DB1"/>
    <w:rsid w:val="4E07740D"/>
    <w:rsid w:val="4E4A7541"/>
    <w:rsid w:val="4E742810"/>
    <w:rsid w:val="4E8E2F0D"/>
    <w:rsid w:val="4EAF495A"/>
    <w:rsid w:val="4EB41C4F"/>
    <w:rsid w:val="4EBB3F9B"/>
    <w:rsid w:val="4EEB531F"/>
    <w:rsid w:val="4EFE032C"/>
    <w:rsid w:val="4F1638C7"/>
    <w:rsid w:val="4F343D4D"/>
    <w:rsid w:val="4F894099"/>
    <w:rsid w:val="4F913FA3"/>
    <w:rsid w:val="4FFA0AF3"/>
    <w:rsid w:val="50481AE3"/>
    <w:rsid w:val="508605D9"/>
    <w:rsid w:val="50AA2519"/>
    <w:rsid w:val="50D60FFB"/>
    <w:rsid w:val="5100038B"/>
    <w:rsid w:val="510F21F0"/>
    <w:rsid w:val="51275918"/>
    <w:rsid w:val="51414393"/>
    <w:rsid w:val="514D54D1"/>
    <w:rsid w:val="5150024A"/>
    <w:rsid w:val="51840FBC"/>
    <w:rsid w:val="51C413B8"/>
    <w:rsid w:val="525A7F6F"/>
    <w:rsid w:val="526A6404"/>
    <w:rsid w:val="529B480F"/>
    <w:rsid w:val="529E7E5B"/>
    <w:rsid w:val="529F0DD2"/>
    <w:rsid w:val="53130849"/>
    <w:rsid w:val="53321F17"/>
    <w:rsid w:val="5359087B"/>
    <w:rsid w:val="535B4F37"/>
    <w:rsid w:val="536270DB"/>
    <w:rsid w:val="536B13F7"/>
    <w:rsid w:val="53CC6C4A"/>
    <w:rsid w:val="53E22B81"/>
    <w:rsid w:val="53E928E1"/>
    <w:rsid w:val="53F8656D"/>
    <w:rsid w:val="540A1416"/>
    <w:rsid w:val="542A2F45"/>
    <w:rsid w:val="542E1F2C"/>
    <w:rsid w:val="544E34A4"/>
    <w:rsid w:val="54672D64"/>
    <w:rsid w:val="549A6402"/>
    <w:rsid w:val="549F50BF"/>
    <w:rsid w:val="54A454D1"/>
    <w:rsid w:val="54D44008"/>
    <w:rsid w:val="54E57124"/>
    <w:rsid w:val="553F0451"/>
    <w:rsid w:val="554051FA"/>
    <w:rsid w:val="554A6079"/>
    <w:rsid w:val="5560589C"/>
    <w:rsid w:val="55630945"/>
    <w:rsid w:val="559A1DFE"/>
    <w:rsid w:val="55FD133D"/>
    <w:rsid w:val="56064695"/>
    <w:rsid w:val="560C6C05"/>
    <w:rsid w:val="561F5757"/>
    <w:rsid w:val="56234C7E"/>
    <w:rsid w:val="564B02FA"/>
    <w:rsid w:val="565076BF"/>
    <w:rsid w:val="565B4AB3"/>
    <w:rsid w:val="567333AD"/>
    <w:rsid w:val="56856173"/>
    <w:rsid w:val="568E1B24"/>
    <w:rsid w:val="569577C7"/>
    <w:rsid w:val="56A96DCF"/>
    <w:rsid w:val="56C17C06"/>
    <w:rsid w:val="56F91B04"/>
    <w:rsid w:val="58401593"/>
    <w:rsid w:val="588836A3"/>
    <w:rsid w:val="58A0268A"/>
    <w:rsid w:val="58A3441E"/>
    <w:rsid w:val="58D565A1"/>
    <w:rsid w:val="58F54F62"/>
    <w:rsid w:val="590B56F1"/>
    <w:rsid w:val="595A2602"/>
    <w:rsid w:val="598C4195"/>
    <w:rsid w:val="59A124EC"/>
    <w:rsid w:val="59B14918"/>
    <w:rsid w:val="59C52172"/>
    <w:rsid w:val="59E90E42"/>
    <w:rsid w:val="5A1C3C1C"/>
    <w:rsid w:val="5A31446A"/>
    <w:rsid w:val="5A613C4E"/>
    <w:rsid w:val="5AC10B8B"/>
    <w:rsid w:val="5AD27190"/>
    <w:rsid w:val="5AD3266C"/>
    <w:rsid w:val="5AF341EA"/>
    <w:rsid w:val="5B18378B"/>
    <w:rsid w:val="5B2443CE"/>
    <w:rsid w:val="5B266C40"/>
    <w:rsid w:val="5B4C5761"/>
    <w:rsid w:val="5B5163B3"/>
    <w:rsid w:val="5B983F07"/>
    <w:rsid w:val="5BAB4E87"/>
    <w:rsid w:val="5BB10BFF"/>
    <w:rsid w:val="5BCD355F"/>
    <w:rsid w:val="5C0C047C"/>
    <w:rsid w:val="5C1105E7"/>
    <w:rsid w:val="5C321615"/>
    <w:rsid w:val="5C484B8C"/>
    <w:rsid w:val="5C537F09"/>
    <w:rsid w:val="5CCB4CA9"/>
    <w:rsid w:val="5CFED4E3"/>
    <w:rsid w:val="5D104348"/>
    <w:rsid w:val="5D6B74D4"/>
    <w:rsid w:val="5D7C705D"/>
    <w:rsid w:val="5DA36C6E"/>
    <w:rsid w:val="5DE13BCB"/>
    <w:rsid w:val="5DE74DAC"/>
    <w:rsid w:val="5DEA03F9"/>
    <w:rsid w:val="5E114B41"/>
    <w:rsid w:val="5E331DA0"/>
    <w:rsid w:val="5E4F3E07"/>
    <w:rsid w:val="5E521F28"/>
    <w:rsid w:val="5E7C729F"/>
    <w:rsid w:val="5EA66A16"/>
    <w:rsid w:val="5EBD78BB"/>
    <w:rsid w:val="5EE4753E"/>
    <w:rsid w:val="5EE72B8A"/>
    <w:rsid w:val="5F403024"/>
    <w:rsid w:val="5F6E5059"/>
    <w:rsid w:val="5F8F2DB0"/>
    <w:rsid w:val="5F9D1B1E"/>
    <w:rsid w:val="5FA7270C"/>
    <w:rsid w:val="5FBB0B61"/>
    <w:rsid w:val="5FBC463D"/>
    <w:rsid w:val="5FD4310E"/>
    <w:rsid w:val="5FF78C71"/>
    <w:rsid w:val="600F4147"/>
    <w:rsid w:val="602038C2"/>
    <w:rsid w:val="6071416B"/>
    <w:rsid w:val="60823520"/>
    <w:rsid w:val="60A70823"/>
    <w:rsid w:val="60A8771C"/>
    <w:rsid w:val="60BF3DBF"/>
    <w:rsid w:val="60F04543"/>
    <w:rsid w:val="60F13EBF"/>
    <w:rsid w:val="60FC3C68"/>
    <w:rsid w:val="614F5D83"/>
    <w:rsid w:val="61891CD7"/>
    <w:rsid w:val="619012B7"/>
    <w:rsid w:val="61AD5DE9"/>
    <w:rsid w:val="61CB22EF"/>
    <w:rsid w:val="61D90EB0"/>
    <w:rsid w:val="620A72BB"/>
    <w:rsid w:val="6218407B"/>
    <w:rsid w:val="624B7414"/>
    <w:rsid w:val="62593D9F"/>
    <w:rsid w:val="625D388F"/>
    <w:rsid w:val="62C91657"/>
    <w:rsid w:val="62DB2A06"/>
    <w:rsid w:val="62EC076F"/>
    <w:rsid w:val="62F779B5"/>
    <w:rsid w:val="633010D1"/>
    <w:rsid w:val="63365E8E"/>
    <w:rsid w:val="63373D23"/>
    <w:rsid w:val="639A4E94"/>
    <w:rsid w:val="63A30F39"/>
    <w:rsid w:val="63A84739"/>
    <w:rsid w:val="63B00ACC"/>
    <w:rsid w:val="63C27722"/>
    <w:rsid w:val="63E1229E"/>
    <w:rsid w:val="642D7291"/>
    <w:rsid w:val="6458673F"/>
    <w:rsid w:val="6464424D"/>
    <w:rsid w:val="646F1658"/>
    <w:rsid w:val="64A7789F"/>
    <w:rsid w:val="652B2A02"/>
    <w:rsid w:val="65493C57"/>
    <w:rsid w:val="655840BF"/>
    <w:rsid w:val="655976E9"/>
    <w:rsid w:val="656C203B"/>
    <w:rsid w:val="657A02B4"/>
    <w:rsid w:val="65B83629"/>
    <w:rsid w:val="661748EB"/>
    <w:rsid w:val="661F2C0A"/>
    <w:rsid w:val="662B1179"/>
    <w:rsid w:val="66495ED8"/>
    <w:rsid w:val="666B26D2"/>
    <w:rsid w:val="66860EDB"/>
    <w:rsid w:val="66A3626A"/>
    <w:rsid w:val="66C11F13"/>
    <w:rsid w:val="6712451C"/>
    <w:rsid w:val="67535261"/>
    <w:rsid w:val="677B0314"/>
    <w:rsid w:val="67AC1CCF"/>
    <w:rsid w:val="67AE2497"/>
    <w:rsid w:val="67D619EE"/>
    <w:rsid w:val="67E97973"/>
    <w:rsid w:val="67F83EA9"/>
    <w:rsid w:val="683706DE"/>
    <w:rsid w:val="68B00491"/>
    <w:rsid w:val="68C604CD"/>
    <w:rsid w:val="698E2580"/>
    <w:rsid w:val="69C7063F"/>
    <w:rsid w:val="69DA6623"/>
    <w:rsid w:val="69E73676"/>
    <w:rsid w:val="69ED43AA"/>
    <w:rsid w:val="69FD3262"/>
    <w:rsid w:val="6A0C16F7"/>
    <w:rsid w:val="6A1A2066"/>
    <w:rsid w:val="6A1C4030"/>
    <w:rsid w:val="6A711BCD"/>
    <w:rsid w:val="6A8D2838"/>
    <w:rsid w:val="6AA71193"/>
    <w:rsid w:val="6AA81420"/>
    <w:rsid w:val="6AD00976"/>
    <w:rsid w:val="6B315BD2"/>
    <w:rsid w:val="6B4C0EB1"/>
    <w:rsid w:val="6B5F815E"/>
    <w:rsid w:val="6B7C46CC"/>
    <w:rsid w:val="6BA70FD1"/>
    <w:rsid w:val="6BAE6F0A"/>
    <w:rsid w:val="6BC73B27"/>
    <w:rsid w:val="6C054650"/>
    <w:rsid w:val="6C9360FF"/>
    <w:rsid w:val="6CB542C8"/>
    <w:rsid w:val="6CDA788A"/>
    <w:rsid w:val="6CDB1F80"/>
    <w:rsid w:val="6CEB5F3B"/>
    <w:rsid w:val="6D1E3C1B"/>
    <w:rsid w:val="6D5E2269"/>
    <w:rsid w:val="6D6F4477"/>
    <w:rsid w:val="6D75046E"/>
    <w:rsid w:val="6D934609"/>
    <w:rsid w:val="6D9F2B47"/>
    <w:rsid w:val="6DDE2702"/>
    <w:rsid w:val="6DE7E5BE"/>
    <w:rsid w:val="6E076DA5"/>
    <w:rsid w:val="6E0F5136"/>
    <w:rsid w:val="6E5974AE"/>
    <w:rsid w:val="6E6634C5"/>
    <w:rsid w:val="6EDC0A58"/>
    <w:rsid w:val="6EED5551"/>
    <w:rsid w:val="6F060E0B"/>
    <w:rsid w:val="6F062233"/>
    <w:rsid w:val="6F3D4B3D"/>
    <w:rsid w:val="6F40256E"/>
    <w:rsid w:val="6F573414"/>
    <w:rsid w:val="6F5953DE"/>
    <w:rsid w:val="6F946416"/>
    <w:rsid w:val="6FBE16E5"/>
    <w:rsid w:val="6FC22F83"/>
    <w:rsid w:val="7008059F"/>
    <w:rsid w:val="703B2923"/>
    <w:rsid w:val="70687DD5"/>
    <w:rsid w:val="706D6F95"/>
    <w:rsid w:val="708B76B2"/>
    <w:rsid w:val="70B06A21"/>
    <w:rsid w:val="70C9094E"/>
    <w:rsid w:val="70F75922"/>
    <w:rsid w:val="71032FE1"/>
    <w:rsid w:val="71A010A2"/>
    <w:rsid w:val="71AF12E6"/>
    <w:rsid w:val="71C525C1"/>
    <w:rsid w:val="71D60F68"/>
    <w:rsid w:val="72074198"/>
    <w:rsid w:val="7231619E"/>
    <w:rsid w:val="72347843"/>
    <w:rsid w:val="72AE77EF"/>
    <w:rsid w:val="72E94CCB"/>
    <w:rsid w:val="72E96A79"/>
    <w:rsid w:val="730833A3"/>
    <w:rsid w:val="731D6723"/>
    <w:rsid w:val="73240EFC"/>
    <w:rsid w:val="73600047"/>
    <w:rsid w:val="737450E0"/>
    <w:rsid w:val="737F118B"/>
    <w:rsid w:val="739E7864"/>
    <w:rsid w:val="73BC2550"/>
    <w:rsid w:val="740F5229"/>
    <w:rsid w:val="745140D6"/>
    <w:rsid w:val="746E0A40"/>
    <w:rsid w:val="74A964C0"/>
    <w:rsid w:val="74E05C5A"/>
    <w:rsid w:val="75635E85"/>
    <w:rsid w:val="75640639"/>
    <w:rsid w:val="75AF5D58"/>
    <w:rsid w:val="75E54637"/>
    <w:rsid w:val="762F6A19"/>
    <w:rsid w:val="766A6123"/>
    <w:rsid w:val="769B1BA6"/>
    <w:rsid w:val="769BD362"/>
    <w:rsid w:val="76D10E1C"/>
    <w:rsid w:val="76F66C6C"/>
    <w:rsid w:val="77333379"/>
    <w:rsid w:val="775A1CF3"/>
    <w:rsid w:val="77605584"/>
    <w:rsid w:val="77673139"/>
    <w:rsid w:val="776F7EFE"/>
    <w:rsid w:val="77735147"/>
    <w:rsid w:val="777F79AC"/>
    <w:rsid w:val="77D45F4A"/>
    <w:rsid w:val="77D602C6"/>
    <w:rsid w:val="77DC4DFE"/>
    <w:rsid w:val="77F008AA"/>
    <w:rsid w:val="78174E95"/>
    <w:rsid w:val="78515BD6"/>
    <w:rsid w:val="78850670"/>
    <w:rsid w:val="78DD02CB"/>
    <w:rsid w:val="791B36AA"/>
    <w:rsid w:val="79907C4E"/>
    <w:rsid w:val="79C77F5C"/>
    <w:rsid w:val="79CF6D12"/>
    <w:rsid w:val="79DE4E5E"/>
    <w:rsid w:val="79EA1A55"/>
    <w:rsid w:val="7A236D15"/>
    <w:rsid w:val="7A4051F5"/>
    <w:rsid w:val="7A707A80"/>
    <w:rsid w:val="7A7E3F4B"/>
    <w:rsid w:val="7A965738"/>
    <w:rsid w:val="7A97000C"/>
    <w:rsid w:val="7AA7377C"/>
    <w:rsid w:val="7AEF309B"/>
    <w:rsid w:val="7B0A57AF"/>
    <w:rsid w:val="7B154783"/>
    <w:rsid w:val="7B3F192C"/>
    <w:rsid w:val="7BC31EF9"/>
    <w:rsid w:val="7BC461F3"/>
    <w:rsid w:val="7BCE7A18"/>
    <w:rsid w:val="7BD04C7A"/>
    <w:rsid w:val="7BF73FB5"/>
    <w:rsid w:val="7C383452"/>
    <w:rsid w:val="7C4A7A1D"/>
    <w:rsid w:val="7C5E2286"/>
    <w:rsid w:val="7C907F65"/>
    <w:rsid w:val="7CA74E53"/>
    <w:rsid w:val="7CA83B93"/>
    <w:rsid w:val="7CBC6FAC"/>
    <w:rsid w:val="7CDC13FD"/>
    <w:rsid w:val="7D06766E"/>
    <w:rsid w:val="7D184638"/>
    <w:rsid w:val="7D951CD7"/>
    <w:rsid w:val="7DD50326"/>
    <w:rsid w:val="7DED96CD"/>
    <w:rsid w:val="7E0A0948"/>
    <w:rsid w:val="7E1F5555"/>
    <w:rsid w:val="7E3808B5"/>
    <w:rsid w:val="7E4159BB"/>
    <w:rsid w:val="7E492AC2"/>
    <w:rsid w:val="7EA85A3A"/>
    <w:rsid w:val="7EB02B41"/>
    <w:rsid w:val="7EC46F51"/>
    <w:rsid w:val="7EF93465"/>
    <w:rsid w:val="7F2C20FC"/>
    <w:rsid w:val="7F311156"/>
    <w:rsid w:val="7F59D441"/>
    <w:rsid w:val="7F5F1C63"/>
    <w:rsid w:val="7F706D24"/>
    <w:rsid w:val="7F7A469E"/>
    <w:rsid w:val="7FB9C86F"/>
    <w:rsid w:val="7FD25273"/>
    <w:rsid w:val="7FFF6296"/>
    <w:rsid w:val="937CB836"/>
    <w:rsid w:val="9FEF1DD6"/>
    <w:rsid w:val="AFBE27B3"/>
    <w:rsid w:val="BE7F9802"/>
    <w:rsid w:val="BFDF12F7"/>
    <w:rsid w:val="D77C1A0C"/>
    <w:rsid w:val="DDDCF00E"/>
    <w:rsid w:val="DF7A4E7C"/>
    <w:rsid w:val="DFFF2098"/>
    <w:rsid w:val="E8377794"/>
    <w:rsid w:val="EEE180DF"/>
    <w:rsid w:val="F3FF3F1B"/>
    <w:rsid w:val="F4746094"/>
    <w:rsid w:val="F7FB7B43"/>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4"/>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8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1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6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caption"/>
    <w:basedOn w:val="1"/>
    <w:next w:val="1"/>
    <w:link w:val="339"/>
    <w:qFormat/>
    <w:uiPriority w:val="0"/>
    <w:rPr>
      <w:rFonts w:asciiTheme="minorHAnsi" w:hAnsiTheme="minorHAnsi" w:eastAsiaTheme="minorEastAsia" w:cstheme="minorBidi"/>
      <w:b/>
      <w:sz w:val="28"/>
      <w:szCs w:val="22"/>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314"/>
    <w:qFormat/>
    <w:uiPriority w:val="0"/>
    <w:pPr>
      <w:shd w:val="clear" w:color="auto" w:fill="000080"/>
    </w:pPr>
    <w:rPr>
      <w:rFonts w:asciiTheme="minorHAnsi" w:hAnsiTheme="minorHAnsi" w:eastAsiaTheme="minorEastAsia" w:cstheme="minorBidi"/>
    </w:rPr>
  </w:style>
  <w:style w:type="paragraph" w:styleId="17">
    <w:name w:val="annotation text"/>
    <w:basedOn w:val="1"/>
    <w:link w:val="105"/>
    <w:qFormat/>
    <w:uiPriority w:val="0"/>
    <w:pPr>
      <w:adjustRightInd/>
      <w:jc w:val="left"/>
    </w:pPr>
    <w:rPr>
      <w:szCs w:val="21"/>
    </w:rPr>
  </w:style>
  <w:style w:type="paragraph" w:styleId="18">
    <w:name w:val="Salutation"/>
    <w:basedOn w:val="1"/>
    <w:next w:val="1"/>
    <w:link w:val="402"/>
    <w:qFormat/>
    <w:uiPriority w:val="0"/>
    <w:rPr>
      <w:rFonts w:ascii="仿宋_GB2312" w:eastAsia="仿宋_GB2312" w:hAnsiTheme="minorHAnsi" w:cstheme="minorBidi"/>
      <w:sz w:val="28"/>
      <w:szCs w:val="22"/>
    </w:rPr>
  </w:style>
  <w:style w:type="paragraph" w:styleId="19">
    <w:name w:val="Body Text 3"/>
    <w:basedOn w:val="1"/>
    <w:link w:val="417"/>
    <w:qFormat/>
    <w:uiPriority w:val="0"/>
    <w:pPr>
      <w:jc w:val="center"/>
    </w:pPr>
    <w:rPr>
      <w:rFonts w:asciiTheme="minorHAnsi" w:hAnsiTheme="minorHAnsi" w:eastAsiaTheme="minorEastAsia" w:cstheme="minorBidi"/>
      <w:szCs w:val="22"/>
    </w:rPr>
  </w:style>
  <w:style w:type="paragraph" w:styleId="20">
    <w:name w:val="List Bullet 3"/>
    <w:basedOn w:val="1"/>
    <w:unhideWhenUsed/>
    <w:qFormat/>
    <w:uiPriority w:val="0"/>
    <w:pPr>
      <w:snapToGrid w:val="0"/>
      <w:spacing w:line="360" w:lineRule="auto"/>
      <w:ind w:left="360" w:right="238" w:hanging="360"/>
      <w:contextualSpacing/>
    </w:pPr>
    <w:rPr>
      <w:sz w:val="24"/>
    </w:rPr>
  </w:style>
  <w:style w:type="paragraph" w:styleId="21">
    <w:name w:val="Body Text"/>
    <w:basedOn w:val="1"/>
    <w:next w:val="22"/>
    <w:link w:val="101"/>
    <w:unhideWhenUsed/>
    <w:qFormat/>
    <w:uiPriority w:val="0"/>
    <w:pPr>
      <w:spacing w:after="120"/>
    </w:pPr>
  </w:style>
  <w:style w:type="paragraph" w:styleId="22">
    <w:name w:val="Body Text First Indent"/>
    <w:basedOn w:val="21"/>
    <w:next w:val="1"/>
    <w:link w:val="102"/>
    <w:unhideWhenUsed/>
    <w:qFormat/>
    <w:uiPriority w:val="99"/>
    <w:pPr>
      <w:ind w:firstLine="420" w:firstLineChars="100"/>
    </w:pPr>
  </w:style>
  <w:style w:type="paragraph" w:styleId="23">
    <w:name w:val="Body Text Indent"/>
    <w:basedOn w:val="1"/>
    <w:next w:val="1"/>
    <w:link w:val="90"/>
    <w:qFormat/>
    <w:uiPriority w:val="0"/>
    <w:pPr>
      <w:adjustRightInd/>
      <w:ind w:left="480" w:hanging="480" w:hangingChars="200"/>
    </w:pPr>
    <w:rPr>
      <w:rFonts w:eastAsia="Cambria" w:asciiTheme="minorHAnsi" w:hAnsiTheme="minorHAnsi" w:cstheme="minorBidi"/>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329"/>
    <w:qFormat/>
    <w:uiPriority w:val="0"/>
    <w:pPr>
      <w:widowControl/>
      <w:adjustRightInd/>
      <w:ind w:firstLine="200" w:firstLineChars="200"/>
      <w:jc w:val="left"/>
    </w:pPr>
    <w:rPr>
      <w:rFonts w:ascii="宋体" w:hAnsi="宋体" w:eastAsiaTheme="minorEastAsia" w:cstheme="minorBidi"/>
      <w:i/>
      <w:iCs/>
      <w:sz w:val="24"/>
    </w:rPr>
  </w:style>
  <w:style w:type="paragraph" w:styleId="29">
    <w:name w:val="toc 3"/>
    <w:basedOn w:val="1"/>
    <w:next w:val="1"/>
    <w:unhideWhenUsed/>
    <w:qFormat/>
    <w:uiPriority w:val="39"/>
    <w:pPr>
      <w:ind w:left="840" w:leftChars="400"/>
    </w:pPr>
  </w:style>
  <w:style w:type="paragraph" w:styleId="30">
    <w:name w:val="Plain Text"/>
    <w:basedOn w:val="1"/>
    <w:next w:val="31"/>
    <w:link w:val="89"/>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1">
    <w:name w:val="toc 2"/>
    <w:basedOn w:val="1"/>
    <w:next w:val="1"/>
    <w:unhideWhenUsed/>
    <w:qFormat/>
    <w:uiPriority w:val="39"/>
    <w:pPr>
      <w:ind w:left="420" w:leftChars="200"/>
    </w:p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107"/>
    <w:unhideWhenUsed/>
    <w:qFormat/>
    <w:uiPriority w:val="0"/>
    <w:pPr>
      <w:ind w:left="100" w:leftChars="2500"/>
    </w:pPr>
  </w:style>
  <w:style w:type="paragraph" w:styleId="34">
    <w:name w:val="Body Text Indent 2"/>
    <w:basedOn w:val="1"/>
    <w:link w:val="408"/>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65"/>
    <w:qFormat/>
    <w:uiPriority w:val="0"/>
    <w:rPr>
      <w:rFonts w:asciiTheme="minorHAnsi" w:hAnsiTheme="minorHAnsi" w:eastAsiaTheme="minorEastAsia" w:cstheme="minorBidi"/>
      <w:lang w:val="zh-CN"/>
    </w:rPr>
  </w:style>
  <w:style w:type="paragraph" w:styleId="36">
    <w:name w:val="Balloon Text"/>
    <w:basedOn w:val="1"/>
    <w:link w:val="106"/>
    <w:unhideWhenUsed/>
    <w:qFormat/>
    <w:uiPriority w:val="0"/>
    <w:rPr>
      <w:sz w:val="18"/>
      <w:szCs w:val="18"/>
    </w:rPr>
  </w:style>
  <w:style w:type="paragraph" w:styleId="37">
    <w:name w:val="footer"/>
    <w:basedOn w:val="1"/>
    <w:link w:val="83"/>
    <w:unhideWhenUsed/>
    <w:qFormat/>
    <w:uiPriority w:val="99"/>
    <w:pPr>
      <w:tabs>
        <w:tab w:val="center" w:pos="4153"/>
        <w:tab w:val="right" w:pos="8306"/>
      </w:tabs>
      <w:snapToGrid w:val="0"/>
      <w:jc w:val="left"/>
    </w:pPr>
    <w:rPr>
      <w:sz w:val="18"/>
      <w:szCs w:val="18"/>
    </w:rPr>
  </w:style>
  <w:style w:type="paragraph" w:styleId="38">
    <w:name w:val="envelope return"/>
    <w:basedOn w:val="1"/>
    <w:qFormat/>
    <w:uiPriority w:val="99"/>
    <w:pPr>
      <w:snapToGrid w:val="0"/>
    </w:pPr>
    <w:rPr>
      <w:rFonts w:ascii="Arial" w:hAnsi="Arial" w:cs="Arial"/>
    </w:rPr>
  </w:style>
  <w:style w:type="paragraph" w:styleId="39">
    <w:name w:val="header"/>
    <w:basedOn w:val="1"/>
    <w:link w:val="82"/>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basedOn w:val="1"/>
    <w:next w:val="1"/>
    <w:link w:val="253"/>
    <w:qFormat/>
    <w:uiPriority w:val="0"/>
    <w:pPr>
      <w:snapToGrid w:val="0"/>
      <w:spacing w:before="240" w:after="480"/>
      <w:jc w:val="center"/>
    </w:pPr>
    <w:rPr>
      <w:rFonts w:ascii="Arial" w:hAnsi="Arial" w:eastAsia="隶书" w:cstheme="minorBidi"/>
      <w:b/>
      <w:bCs/>
      <w:kern w:val="28"/>
      <w:sz w:val="44"/>
      <w:szCs w:val="32"/>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
    <w:link w:val="409"/>
    <w:qFormat/>
    <w:uiPriority w:val="0"/>
    <w:pPr>
      <w:adjustRightInd/>
      <w:spacing w:before="60" w:after="60" w:line="300" w:lineRule="exact"/>
    </w:pPr>
    <w:rPr>
      <w:rFonts w:asciiTheme="minorHAnsi" w:eastAsiaTheme="minorEastAsia"/>
      <w:color w:val="0000FF"/>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1">
    <w:name w:val="Body Text 2"/>
    <w:basedOn w:val="1"/>
    <w:link w:val="404"/>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next w:val="1"/>
    <w:link w:val="395"/>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7"/>
    <w:next w:val="17"/>
    <w:link w:val="132"/>
    <w:qFormat/>
    <w:uiPriority w:val="0"/>
    <w:pPr>
      <w:adjustRightInd w:val="0"/>
    </w:pPr>
    <w:rPr>
      <w:rFonts w:asciiTheme="minorHAnsi" w:hAnsiTheme="minorHAnsi" w:eastAsiaTheme="minorEastAsia" w:cstheme="minorBidi"/>
      <w:b/>
      <w:bCs/>
      <w:szCs w:val="24"/>
    </w:rPr>
  </w:style>
  <w:style w:type="paragraph" w:styleId="56">
    <w:name w:val="Body Text First Indent 2"/>
    <w:basedOn w:val="23"/>
    <w:link w:val="249"/>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TML Definition"/>
    <w:basedOn w:val="64"/>
    <w:semiHidden/>
    <w:unhideWhenUsed/>
    <w:qFormat/>
    <w:uiPriority w:val="99"/>
  </w:style>
  <w:style w:type="character" w:styleId="72">
    <w:name w:val="HTML Variable"/>
    <w:basedOn w:val="64"/>
    <w:semiHidden/>
    <w:unhideWhenUsed/>
    <w:qFormat/>
    <w:uiPriority w:val="99"/>
  </w:style>
  <w:style w:type="character" w:styleId="73">
    <w:name w:val="Hyperlink"/>
    <w:basedOn w:val="64"/>
    <w:unhideWhenUsed/>
    <w:qFormat/>
    <w:uiPriority w:val="99"/>
    <w:rPr>
      <w:color w:val="0000FF" w:themeColor="hyperlink"/>
      <w:u w:val="single"/>
      <w14:textFill>
        <w14:solidFill>
          <w14:schemeClr w14:val="hlink"/>
        </w14:solidFill>
      </w14:textFill>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character" w:styleId="76">
    <w:name w:val="HTML Cite"/>
    <w:basedOn w:val="64"/>
    <w:semiHidden/>
    <w:unhideWhenUsed/>
    <w:qFormat/>
    <w:uiPriority w:val="99"/>
  </w:style>
  <w:style w:type="character" w:styleId="77">
    <w:name w:val="HTML Keyboard"/>
    <w:basedOn w:val="64"/>
    <w:semiHidden/>
    <w:unhideWhenUsed/>
    <w:qFormat/>
    <w:uiPriority w:val="99"/>
    <w:rPr>
      <w:rFonts w:hint="default" w:ascii="Arial" w:hAnsi="Arial" w:cs="Arial"/>
      <w:sz w:val="20"/>
    </w:rPr>
  </w:style>
  <w:style w:type="character" w:styleId="78">
    <w:name w:val="HTML Sample"/>
    <w:basedOn w:val="64"/>
    <w:unhideWhenUsed/>
    <w:qFormat/>
    <w:uiPriority w:val="99"/>
    <w:rPr>
      <w:rFonts w:ascii="宋体" w:hAnsi="宋体" w:eastAsia="宋体" w:cs="宋体"/>
    </w:rPr>
  </w:style>
  <w:style w:type="paragraph" w:customStyle="1" w:styleId="79">
    <w:name w:val="Normal Indent1"/>
    <w:basedOn w:val="1"/>
    <w:qFormat/>
    <w:uiPriority w:val="0"/>
    <w:pPr>
      <w:widowControl/>
      <w:ind w:firstLine="420"/>
      <w:jc w:val="left"/>
    </w:pPr>
    <w:rPr>
      <w:kern w:val="0"/>
      <w:szCs w:val="20"/>
    </w:rPr>
  </w:style>
  <w:style w:type="character" w:customStyle="1" w:styleId="80">
    <w:name w:val="标题 3 字符"/>
    <w:qFormat/>
    <w:uiPriority w:val="9"/>
    <w:rPr>
      <w:b/>
      <w:bCs/>
      <w:kern w:val="2"/>
      <w:sz w:val="32"/>
      <w:szCs w:val="32"/>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页眉 字符3"/>
    <w:basedOn w:val="64"/>
    <w:link w:val="39"/>
    <w:qFormat/>
    <w:uiPriority w:val="0"/>
    <w:rPr>
      <w:sz w:val="18"/>
      <w:szCs w:val="18"/>
    </w:rPr>
  </w:style>
  <w:style w:type="character" w:customStyle="1" w:styleId="83">
    <w:name w:val="页脚 字符3"/>
    <w:basedOn w:val="64"/>
    <w:link w:val="37"/>
    <w:qFormat/>
    <w:uiPriority w:val="0"/>
    <w:rPr>
      <w:sz w:val="18"/>
      <w:szCs w:val="18"/>
    </w:rPr>
  </w:style>
  <w:style w:type="character" w:customStyle="1" w:styleId="84">
    <w:name w:val="标题 1 字符2"/>
    <w:basedOn w:val="64"/>
    <w:link w:val="2"/>
    <w:qFormat/>
    <w:uiPriority w:val="9"/>
    <w:rPr>
      <w:rFonts w:ascii="宋体" w:hAnsi="宋体" w:eastAsia="宋体" w:cs="宋体"/>
      <w:b/>
      <w:bCs/>
      <w:kern w:val="36"/>
      <w:sz w:val="48"/>
      <w:szCs w:val="48"/>
    </w:rPr>
  </w:style>
  <w:style w:type="character" w:customStyle="1" w:styleId="85">
    <w:name w:val="skancount"/>
    <w:basedOn w:val="64"/>
    <w:qFormat/>
    <w:uiPriority w:val="0"/>
  </w:style>
  <w:style w:type="character" w:customStyle="1" w:styleId="86">
    <w:name w:val="bookmark-item"/>
    <w:basedOn w:val="64"/>
    <w:qFormat/>
    <w:uiPriority w:val="0"/>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标题 2 字符1"/>
    <w:basedOn w:val="64"/>
    <w:link w:val="3"/>
    <w:qFormat/>
    <w:uiPriority w:val="0"/>
    <w:rPr>
      <w:rFonts w:asciiTheme="majorHAnsi" w:hAnsiTheme="majorHAnsi" w:eastAsiaTheme="majorEastAsia" w:cstheme="majorBidi"/>
      <w:b/>
      <w:bCs/>
      <w:sz w:val="32"/>
      <w:szCs w:val="32"/>
    </w:rPr>
  </w:style>
  <w:style w:type="character" w:customStyle="1" w:styleId="89">
    <w:name w:val="纯文本 字符2"/>
    <w:link w:val="30"/>
    <w:qFormat/>
    <w:uiPriority w:val="0"/>
    <w:rPr>
      <w:rFonts w:ascii="Cambria" w:hAnsi="隶书" w:eastAsia="Cambria"/>
      <w:szCs w:val="21"/>
    </w:rPr>
  </w:style>
  <w:style w:type="character" w:customStyle="1" w:styleId="90">
    <w:name w:val="正文文本缩进 字符2"/>
    <w:link w:val="23"/>
    <w:qFormat/>
    <w:uiPriority w:val="0"/>
    <w:rPr>
      <w:rFonts w:eastAsia="Cambria"/>
      <w:sz w:val="24"/>
      <w:szCs w:val="24"/>
    </w:rPr>
  </w:style>
  <w:style w:type="paragraph" w:customStyle="1" w:styleId="91">
    <w:name w:val="Default"/>
    <w:next w:val="92"/>
    <w:link w:val="344"/>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92">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3">
    <w:name w:val="正文文本缩进 Char1"/>
    <w:basedOn w:val="64"/>
    <w:qFormat/>
    <w:uiPriority w:val="0"/>
    <w:rPr>
      <w:rFonts w:ascii="Times New Roman" w:hAnsi="Times New Roman" w:eastAsia="宋体" w:cs="Times New Roman"/>
      <w:szCs w:val="24"/>
    </w:rPr>
  </w:style>
  <w:style w:type="character" w:customStyle="1" w:styleId="94">
    <w:name w:val="纯文本 Char1"/>
    <w:basedOn w:val="64"/>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64"/>
    <w:link w:val="21"/>
    <w:qFormat/>
    <w:uiPriority w:val="0"/>
    <w:rPr>
      <w:rFonts w:ascii="Times New Roman" w:hAnsi="Times New Roman" w:eastAsia="宋体" w:cs="Times New Roman"/>
      <w:szCs w:val="24"/>
    </w:rPr>
  </w:style>
  <w:style w:type="character" w:customStyle="1" w:styleId="102">
    <w:name w:val="正文首行缩进 字符"/>
    <w:basedOn w:val="101"/>
    <w:link w:val="22"/>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64"/>
    <w:link w:val="4"/>
    <w:semiHidden/>
    <w:qFormat/>
    <w:uiPriority w:val="9"/>
    <w:rPr>
      <w:rFonts w:ascii="Times New Roman" w:hAnsi="Times New Roman" w:eastAsia="宋体" w:cs="Times New Roman"/>
      <w:b/>
      <w:bCs/>
      <w:sz w:val="32"/>
      <w:szCs w:val="32"/>
    </w:rPr>
  </w:style>
  <w:style w:type="character" w:customStyle="1" w:styleId="105">
    <w:name w:val="批注文字 字符2"/>
    <w:basedOn w:val="64"/>
    <w:link w:val="17"/>
    <w:qFormat/>
    <w:uiPriority w:val="99"/>
    <w:rPr>
      <w:rFonts w:ascii="Times New Roman" w:hAnsi="Times New Roman" w:eastAsia="宋体" w:cs="Times New Roman"/>
      <w:szCs w:val="21"/>
    </w:rPr>
  </w:style>
  <w:style w:type="character" w:customStyle="1" w:styleId="106">
    <w:name w:val="批注框文本 字符2"/>
    <w:basedOn w:val="64"/>
    <w:link w:val="36"/>
    <w:semiHidden/>
    <w:qFormat/>
    <w:uiPriority w:val="99"/>
    <w:rPr>
      <w:rFonts w:ascii="Times New Roman" w:hAnsi="Times New Roman" w:eastAsia="宋体" w:cs="Times New Roman"/>
      <w:sz w:val="18"/>
      <w:szCs w:val="18"/>
    </w:rPr>
  </w:style>
  <w:style w:type="character" w:customStyle="1" w:styleId="107">
    <w:name w:val="日期 字符1"/>
    <w:basedOn w:val="64"/>
    <w:link w:val="33"/>
    <w:semiHidden/>
    <w:qFormat/>
    <w:uiPriority w:val="99"/>
    <w:rPr>
      <w:rFonts w:ascii="Times New Roman" w:hAnsi="Times New Roman" w:eastAsia="宋体" w:cs="Times New Roman"/>
      <w:szCs w:val="24"/>
    </w:rPr>
  </w:style>
  <w:style w:type="paragraph" w:customStyle="1" w:styleId="108">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64"/>
    <w:qFormat/>
    <w:uiPriority w:val="0"/>
    <w:rPr>
      <w:rFonts w:asciiTheme="majorHAnsi" w:hAnsiTheme="majorHAnsi" w:eastAsiaTheme="majorEastAsia" w:cstheme="majorBidi"/>
      <w:b/>
      <w:bCs/>
      <w:sz w:val="28"/>
      <w:szCs w:val="28"/>
    </w:rPr>
  </w:style>
  <w:style w:type="character" w:customStyle="1" w:styleId="112">
    <w:name w:val="标题 5 Char"/>
    <w:basedOn w:val="64"/>
    <w:semiHidden/>
    <w:qFormat/>
    <w:uiPriority w:val="9"/>
    <w:rPr>
      <w:rFonts w:ascii="Times New Roman" w:hAnsi="Times New Roman" w:eastAsia="宋体" w:cs="Times New Roman"/>
      <w:b/>
      <w:bCs/>
      <w:sz w:val="28"/>
      <w:szCs w:val="28"/>
    </w:rPr>
  </w:style>
  <w:style w:type="character" w:customStyle="1" w:styleId="113">
    <w:name w:val="标题 6 Char"/>
    <w:basedOn w:val="64"/>
    <w:semiHidden/>
    <w:qFormat/>
    <w:uiPriority w:val="9"/>
    <w:rPr>
      <w:rFonts w:asciiTheme="majorHAnsi" w:hAnsiTheme="majorHAnsi" w:eastAsiaTheme="majorEastAsia" w:cstheme="majorBidi"/>
      <w:b/>
      <w:bCs/>
      <w:sz w:val="24"/>
      <w:szCs w:val="24"/>
    </w:rPr>
  </w:style>
  <w:style w:type="character" w:customStyle="1" w:styleId="114">
    <w:name w:val="标题 7 Char"/>
    <w:basedOn w:val="64"/>
    <w:semiHidden/>
    <w:qFormat/>
    <w:uiPriority w:val="9"/>
    <w:rPr>
      <w:rFonts w:ascii="Times New Roman" w:hAnsi="Times New Roman" w:eastAsia="宋体" w:cs="Times New Roman"/>
      <w:b/>
      <w:bCs/>
      <w:sz w:val="24"/>
      <w:szCs w:val="24"/>
    </w:rPr>
  </w:style>
  <w:style w:type="character" w:customStyle="1" w:styleId="115">
    <w:name w:val="标题 8 Char"/>
    <w:basedOn w:val="64"/>
    <w:semiHidden/>
    <w:qFormat/>
    <w:uiPriority w:val="9"/>
    <w:rPr>
      <w:rFonts w:asciiTheme="majorHAnsi" w:hAnsiTheme="majorHAnsi" w:eastAsiaTheme="majorEastAsia" w:cstheme="majorBidi"/>
      <w:sz w:val="24"/>
      <w:szCs w:val="24"/>
    </w:rPr>
  </w:style>
  <w:style w:type="character" w:customStyle="1" w:styleId="116">
    <w:name w:val="标题 9 Char"/>
    <w:basedOn w:val="64"/>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55"/>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6"/>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52"/>
    <w:qFormat/>
    <w:uiPriority w:val="0"/>
    <w:rPr>
      <w:rFonts w:ascii="黑体" w:hAnsi="Courier New" w:eastAsia="黑体"/>
    </w:rPr>
  </w:style>
  <w:style w:type="character" w:customStyle="1" w:styleId="175">
    <w:name w:val="标题 7 字符"/>
    <w:link w:val="8"/>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0"/>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样式6 Char"/>
    <w:qFormat/>
    <w:uiPriority w:val="0"/>
    <w:rPr>
      <w:rFonts w:ascii="仿宋_GB2312" w:hAnsi="宋体" w:eastAsia="仿宋_GB2312"/>
      <w:b/>
      <w:bCs/>
      <w:kern w:val="2"/>
      <w:sz w:val="24"/>
      <w:szCs w:val="24"/>
      <w:lang w:val="en-US" w:eastAsia="zh-CN" w:bidi="ar-SA"/>
    </w:rPr>
  </w:style>
  <w:style w:type="character" w:customStyle="1" w:styleId="247">
    <w:name w:val="Char Char14"/>
    <w:qFormat/>
    <w:uiPriority w:val="6"/>
    <w:rPr>
      <w:rFonts w:ascii="黑体" w:hAnsi="黑体" w:eastAsia="黑体"/>
    </w:rPr>
  </w:style>
  <w:style w:type="character" w:customStyle="1" w:styleId="248">
    <w:name w:val="Heading 2 Hidden Char"/>
    <w:qFormat/>
    <w:uiPriority w:val="0"/>
    <w:rPr>
      <w:rFonts w:ascii="仿宋_GB2312" w:eastAsia="仿宋_GB2312"/>
      <w:b/>
      <w:bCs/>
      <w:kern w:val="2"/>
      <w:sz w:val="24"/>
      <w:szCs w:val="24"/>
      <w:lang w:val="zh-CN" w:eastAsia="zh-CN" w:bidi="ar-SA"/>
    </w:rPr>
  </w:style>
  <w:style w:type="character" w:customStyle="1" w:styleId="249">
    <w:name w:val="正文首行缩进 2 字符"/>
    <w:link w:val="56"/>
    <w:qFormat/>
    <w:uiPriority w:val="0"/>
    <w:rPr>
      <w:rFonts w:ascii="宋体" w:hAnsi="宋体"/>
      <w:kern w:val="2"/>
      <w:sz w:val="21"/>
      <w:szCs w:val="24"/>
    </w:rPr>
  </w:style>
  <w:style w:type="character" w:customStyle="1" w:styleId="250">
    <w:name w:val="font11"/>
    <w:qFormat/>
    <w:uiPriority w:val="0"/>
    <w:rPr>
      <w:rFonts w:hint="default" w:ascii="Times New Roman" w:hAnsi="Times New Roman" w:cs="Times New Roman"/>
      <w:color w:val="000000"/>
      <w:sz w:val="22"/>
      <w:szCs w:val="22"/>
      <w:u w:val="none"/>
    </w:rPr>
  </w:style>
  <w:style w:type="character" w:customStyle="1" w:styleId="251">
    <w:name w:val="blue1"/>
    <w:qFormat/>
    <w:uiPriority w:val="0"/>
    <w:rPr>
      <w:rFonts w:ascii="Arial" w:hAnsi="Arial" w:eastAsia="黑体" w:cs="Arial"/>
      <w:snapToGrid w:val="0"/>
      <w:kern w:val="0"/>
      <w:szCs w:val="21"/>
    </w:rPr>
  </w:style>
  <w:style w:type="character" w:customStyle="1" w:styleId="252">
    <w:name w:val="Char Char24"/>
    <w:qFormat/>
    <w:uiPriority w:val="6"/>
    <w:rPr>
      <w:kern w:val="1"/>
      <w:sz w:val="21"/>
    </w:rPr>
  </w:style>
  <w:style w:type="character" w:customStyle="1" w:styleId="253">
    <w:name w:val="副标题 字符"/>
    <w:link w:val="44"/>
    <w:qFormat/>
    <w:uiPriority w:val="0"/>
    <w:rPr>
      <w:rFonts w:ascii="Arial" w:hAnsi="Arial" w:eastAsia="隶书"/>
      <w:b/>
      <w:bCs/>
      <w:kern w:val="28"/>
      <w:sz w:val="44"/>
      <w:szCs w:val="32"/>
    </w:rPr>
  </w:style>
  <w:style w:type="character" w:customStyle="1" w:styleId="254">
    <w:name w:val="普通文字 Char1 Char"/>
    <w:qFormat/>
    <w:uiPriority w:val="0"/>
    <w:rPr>
      <w:rFonts w:ascii="宋体" w:hAnsi="Courier New" w:eastAsia="宋体"/>
      <w:kern w:val="2"/>
      <w:sz w:val="21"/>
      <w:szCs w:val="24"/>
      <w:lang w:val="en-US" w:eastAsia="zh-CN" w:bidi="ar-SA"/>
    </w:rPr>
  </w:style>
  <w:style w:type="character" w:customStyle="1" w:styleId="255">
    <w:name w:val="No Spacing Char"/>
    <w:link w:val="256"/>
    <w:qFormat/>
    <w:uiPriority w:val="1"/>
    <w:rPr>
      <w:sz w:val="22"/>
    </w:rPr>
  </w:style>
  <w:style w:type="paragraph" w:customStyle="1" w:styleId="256">
    <w:name w:val="无间隔1"/>
    <w:link w:val="255"/>
    <w:qFormat/>
    <w:uiPriority w:val="1"/>
    <w:rPr>
      <w:rFonts w:asciiTheme="minorHAnsi" w:hAnsiTheme="minorHAnsi" w:eastAsiaTheme="minorEastAsia" w:cstheme="minorBidi"/>
      <w:kern w:val="2"/>
      <w:sz w:val="22"/>
      <w:szCs w:val="22"/>
      <w:lang w:val="en-US" w:eastAsia="zh-CN" w:bidi="ar-SA"/>
    </w:rPr>
  </w:style>
  <w:style w:type="character" w:customStyle="1" w:styleId="257">
    <w:name w:val="font12gray1"/>
    <w:qFormat/>
    <w:uiPriority w:val="0"/>
    <w:rPr>
      <w:rFonts w:ascii="仿宋_GB2312" w:eastAsia="微软雅黑"/>
      <w:b/>
      <w:spacing w:val="300"/>
      <w:kern w:val="2"/>
      <w:sz w:val="18"/>
      <w:szCs w:val="18"/>
      <w:lang w:val="en-US" w:eastAsia="zh-CN" w:bidi="ar-SA"/>
    </w:rPr>
  </w:style>
  <w:style w:type="character" w:customStyle="1" w:styleId="258">
    <w:name w:val="Char Char7"/>
    <w:semiHidden/>
    <w:qFormat/>
    <w:uiPriority w:val="0"/>
    <w:rPr>
      <w:rFonts w:eastAsia="宋体"/>
      <w:kern w:val="2"/>
      <w:sz w:val="21"/>
      <w:szCs w:val="24"/>
      <w:lang w:val="en-US" w:eastAsia="zh-CN" w:bidi="ar-SA"/>
    </w:rPr>
  </w:style>
  <w:style w:type="character" w:customStyle="1" w:styleId="259">
    <w:name w:val="表名 Char"/>
    <w:qFormat/>
    <w:uiPriority w:val="0"/>
    <w:rPr>
      <w:rFonts w:eastAsia="宋体"/>
      <w:b/>
      <w:bCs/>
      <w:kern w:val="2"/>
      <w:sz w:val="24"/>
      <w:szCs w:val="24"/>
      <w:lang w:val="en-US" w:eastAsia="zh-CN" w:bidi="ar-SA"/>
    </w:rPr>
  </w:style>
  <w:style w:type="character" w:customStyle="1" w:styleId="260">
    <w:name w:val="Document Map Char"/>
    <w:qFormat/>
    <w:locked/>
    <w:uiPriority w:val="0"/>
    <w:rPr>
      <w:rFonts w:eastAsia="宋体"/>
      <w:kern w:val="2"/>
      <w:sz w:val="21"/>
      <w:szCs w:val="24"/>
      <w:lang w:val="en-US" w:eastAsia="zh-CN" w:bidi="ar-SA"/>
    </w:rPr>
  </w:style>
  <w:style w:type="character" w:customStyle="1" w:styleId="261">
    <w:name w:val="font41"/>
    <w:qFormat/>
    <w:uiPriority w:val="0"/>
    <w:rPr>
      <w:rFonts w:hint="eastAsia" w:ascii="仿宋_GB2312" w:eastAsia="仿宋_GB2312" w:cs="仿宋_GB2312"/>
      <w:color w:val="000000"/>
      <w:sz w:val="22"/>
      <w:szCs w:val="22"/>
      <w:u w:val="none"/>
    </w:rPr>
  </w:style>
  <w:style w:type="character" w:customStyle="1" w:styleId="262">
    <w:name w:val="标题 6 字符"/>
    <w:link w:val="7"/>
    <w:qFormat/>
    <w:uiPriority w:val="0"/>
    <w:rPr>
      <w:rFonts w:ascii="Arial" w:hAnsi="Arial" w:eastAsia="黑体" w:cs="Times New Roman"/>
      <w:b/>
      <w:bCs/>
      <w:sz w:val="24"/>
      <w:szCs w:val="24"/>
    </w:rPr>
  </w:style>
  <w:style w:type="character" w:customStyle="1" w:styleId="263">
    <w:name w:val="纯文本 Char_0"/>
    <w:link w:val="264"/>
    <w:qFormat/>
    <w:uiPriority w:val="0"/>
    <w:rPr>
      <w:rFonts w:ascii="宋体" w:hAnsi="Courier New"/>
      <w:szCs w:val="21"/>
    </w:rPr>
  </w:style>
  <w:style w:type="paragraph" w:customStyle="1" w:styleId="264">
    <w:name w:val="纯文本_0_0"/>
    <w:basedOn w:val="265"/>
    <w:link w:val="263"/>
    <w:qFormat/>
    <w:uiPriority w:val="0"/>
    <w:rPr>
      <w:rFonts w:ascii="宋体" w:hAnsi="Courier New" w:eastAsiaTheme="minorEastAsia" w:cstheme="minorBidi"/>
      <w:szCs w:val="21"/>
    </w:rPr>
  </w:style>
  <w:style w:type="paragraph" w:customStyle="1" w:styleId="2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6">
    <w:name w:val="Balloon Text Char"/>
    <w:qFormat/>
    <w:locked/>
    <w:uiPriority w:val="0"/>
    <w:rPr>
      <w:rFonts w:eastAsia="宋体"/>
      <w:kern w:val="2"/>
      <w:sz w:val="18"/>
      <w:szCs w:val="18"/>
      <w:lang w:val="en-US" w:eastAsia="zh-CN" w:bidi="ar-SA"/>
    </w:rPr>
  </w:style>
  <w:style w:type="character" w:customStyle="1" w:styleId="267">
    <w:name w:val="正文 项目2 Char"/>
    <w:qFormat/>
    <w:uiPriority w:val="0"/>
    <w:rPr>
      <w:rFonts w:ascii="仿宋_GB2312" w:hAnsi="仿宋_GB2312" w:eastAsia="仿宋_GB2312"/>
      <w:kern w:val="2"/>
      <w:sz w:val="24"/>
      <w:lang w:bidi="ar-SA"/>
    </w:rPr>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h Char Char1"/>
    <w:qFormat/>
    <w:uiPriority w:val="0"/>
    <w:rPr>
      <w:rFonts w:eastAsia="宋体"/>
      <w:kern w:val="2"/>
      <w:sz w:val="18"/>
      <w:szCs w:val="18"/>
      <w:lang w:val="en-US" w:eastAsia="zh-CN" w:bidi="ar-SA"/>
    </w:rPr>
  </w:style>
  <w:style w:type="character" w:customStyle="1" w:styleId="270">
    <w:name w:val="Char Char27"/>
    <w:qFormat/>
    <w:uiPriority w:val="6"/>
    <w:rPr>
      <w:rFonts w:ascii="宋体" w:hAnsi="宋体" w:eastAsia="宋体"/>
      <w:color w:val="000000"/>
      <w:kern w:val="1"/>
      <w:sz w:val="28"/>
      <w:lang w:val="en-US" w:eastAsia="zh-CN" w:bidi="ar-SA"/>
    </w:rPr>
  </w:style>
  <w:style w:type="character" w:customStyle="1" w:styleId="271">
    <w:name w:val="px14"/>
    <w:qFormat/>
    <w:uiPriority w:val="0"/>
    <w:rPr>
      <w:rFonts w:ascii="仿宋_GB2312" w:eastAsia="微软雅黑" w:cs="Times New Roman"/>
      <w:b/>
      <w:kern w:val="2"/>
      <w:sz w:val="32"/>
      <w:szCs w:val="32"/>
      <w:lang w:val="en-US" w:eastAsia="zh-CN" w:bidi="ar-SA"/>
    </w:rPr>
  </w:style>
  <w:style w:type="character" w:customStyle="1" w:styleId="272">
    <w:name w:val="HTML 预设格式 Char1"/>
    <w:qFormat/>
    <w:uiPriority w:val="0"/>
    <w:rPr>
      <w:rFonts w:ascii="Courier New" w:hAnsi="Courier New" w:eastAsia="宋体" w:cs="Courier New"/>
      <w:sz w:val="20"/>
      <w:szCs w:val="20"/>
    </w:rPr>
  </w:style>
  <w:style w:type="character" w:customStyle="1" w:styleId="273">
    <w:name w:val="普通文字 Char1"/>
    <w:qFormat/>
    <w:uiPriority w:val="0"/>
    <w:rPr>
      <w:rFonts w:ascii="宋体" w:hAnsi="Courier New" w:eastAsia="宋体"/>
      <w:kern w:val="2"/>
      <w:sz w:val="21"/>
      <w:lang w:val="en-US" w:eastAsia="zh-CN"/>
    </w:rPr>
  </w:style>
  <w:style w:type="character" w:customStyle="1" w:styleId="274">
    <w:name w:val="hei16b1"/>
    <w:qFormat/>
    <w:uiPriority w:val="0"/>
    <w:rPr>
      <w:rFonts w:hint="default" w:ascii="Arial" w:hAnsi="Arial" w:cs="Arial"/>
      <w:b/>
      <w:bCs/>
      <w:color w:val="000000"/>
      <w:sz w:val="24"/>
      <w:szCs w:val="24"/>
    </w:rPr>
  </w:style>
  <w:style w:type="character" w:customStyle="1" w:styleId="275">
    <w:name w:val="正文（绿盟科技） Char"/>
    <w:link w:val="276"/>
    <w:qFormat/>
    <w:uiPriority w:val="0"/>
    <w:rPr>
      <w:rFonts w:ascii="Arial" w:hAnsi="Arial"/>
      <w:szCs w:val="21"/>
    </w:rPr>
  </w:style>
  <w:style w:type="paragraph" w:customStyle="1" w:styleId="276">
    <w:name w:val="正文（绿盟科技）"/>
    <w:link w:val="275"/>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7">
    <w:name w:val="Char Char19"/>
    <w:qFormat/>
    <w:uiPriority w:val="6"/>
    <w:rPr>
      <w:rFonts w:ascii="宋体" w:hAnsi="宋体"/>
      <w:i/>
      <w:sz w:val="24"/>
      <w:szCs w:val="24"/>
    </w:rPr>
  </w:style>
  <w:style w:type="character" w:customStyle="1" w:styleId="278">
    <w:name w:val="批注主题 Char"/>
    <w:qFormat/>
    <w:uiPriority w:val="0"/>
    <w:rPr>
      <w:rFonts w:eastAsia="宋体"/>
      <w:b/>
      <w:bCs/>
      <w:kern w:val="2"/>
      <w:sz w:val="21"/>
      <w:szCs w:val="24"/>
      <w:lang w:val="en-US" w:eastAsia="zh-CN" w:bidi="ar-SA"/>
    </w:rPr>
  </w:style>
  <w:style w:type="character" w:customStyle="1" w:styleId="279">
    <w:name w:val="Comment Text Char"/>
    <w:qFormat/>
    <w:locked/>
    <w:uiPriority w:val="0"/>
    <w:rPr>
      <w:rFonts w:ascii="宋体" w:hAnsi="宋体" w:eastAsia="宋体"/>
      <w:kern w:val="2"/>
      <w:sz w:val="24"/>
      <w:lang w:val="en-US" w:eastAsia="zh-CN" w:bidi="ar-SA"/>
    </w:rPr>
  </w:style>
  <w:style w:type="character" w:customStyle="1" w:styleId="280">
    <w:name w:val="标题 2 字符"/>
    <w:qFormat/>
    <w:uiPriority w:val="1"/>
    <w:rPr>
      <w:rFonts w:ascii="仿宋_GB2312" w:hAnsi="Times New Roman" w:eastAsia="仿宋_GB2312" w:cs="Times New Roman"/>
      <w:b/>
      <w:kern w:val="2"/>
      <w:sz w:val="24"/>
      <w:lang w:val="zh-CN"/>
    </w:rPr>
  </w:style>
  <w:style w:type="character" w:customStyle="1" w:styleId="281">
    <w:name w:val="Char Char72"/>
    <w:qFormat/>
    <w:uiPriority w:val="0"/>
    <w:rPr>
      <w:rFonts w:eastAsia="宋体"/>
      <w:kern w:val="2"/>
      <w:sz w:val="21"/>
      <w:szCs w:val="24"/>
      <w:lang w:val="en-US" w:eastAsia="zh-CN" w:bidi="ar-SA"/>
    </w:rPr>
  </w:style>
  <w:style w:type="character" w:customStyle="1" w:styleId="282">
    <w:name w:val="正文文本缩进 Char2"/>
    <w:qFormat/>
    <w:uiPriority w:val="0"/>
    <w:rPr>
      <w:rFonts w:ascii="Times New Roman" w:hAnsi="Times New Roman" w:eastAsia="宋体" w:cs="Times New Roman"/>
      <w:snapToGrid w:val="0"/>
      <w:kern w:val="0"/>
      <w:szCs w:val="24"/>
    </w:rPr>
  </w:style>
  <w:style w:type="character" w:customStyle="1" w:styleId="283">
    <w:name w:val="样式2 Char"/>
    <w:qFormat/>
    <w:uiPriority w:val="0"/>
    <w:rPr>
      <w:rFonts w:ascii="仿宋_GB2312" w:hAnsi="仿宋" w:eastAsia="仿宋_GB2312" w:cs="仿宋_GB2312"/>
      <w:b/>
      <w:bCs/>
      <w:sz w:val="32"/>
      <w:szCs w:val="30"/>
      <w:lang w:val="zh-CN"/>
    </w:rPr>
  </w:style>
  <w:style w:type="character" w:customStyle="1" w:styleId="284">
    <w:name w:val="表格名称[858D7CFB-ED40-4347-BF05-701D383B685F]"/>
    <w:link w:val="285"/>
    <w:qFormat/>
    <w:uiPriority w:val="0"/>
    <w:rPr>
      <w:sz w:val="32"/>
    </w:rPr>
  </w:style>
  <w:style w:type="paragraph" w:customStyle="1" w:styleId="285">
    <w:name w:val="表格名称"/>
    <w:basedOn w:val="3"/>
    <w:link w:val="284"/>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6">
    <w:name w:val="Char Char4"/>
    <w:qFormat/>
    <w:uiPriority w:val="0"/>
    <w:rPr>
      <w:rFonts w:eastAsia="宋体"/>
      <w:b/>
      <w:sz w:val="24"/>
      <w:lang w:val="en-US" w:eastAsia="zh-CN" w:bidi="ar-SA"/>
    </w:rPr>
  </w:style>
  <w:style w:type="character" w:customStyle="1" w:styleId="287">
    <w:name w:val="c7 style3"/>
    <w:qFormat/>
    <w:uiPriority w:val="0"/>
  </w:style>
  <w:style w:type="character" w:customStyle="1" w:styleId="288">
    <w:name w:val="正文文本 3 Char1"/>
    <w:semiHidden/>
    <w:qFormat/>
    <w:uiPriority w:val="99"/>
    <w:rPr>
      <w:rFonts w:ascii="Times New Roman" w:hAnsi="Times New Roman" w:eastAsia="宋体" w:cs="Times New Roman"/>
      <w:sz w:val="16"/>
      <w:szCs w:val="16"/>
    </w:rPr>
  </w:style>
  <w:style w:type="character" w:customStyle="1" w:styleId="289">
    <w:name w:val="tw4winInternal"/>
    <w:qFormat/>
    <w:uiPriority w:val="0"/>
    <w:rPr>
      <w:rFonts w:ascii="Courier New" w:hAnsi="Courier New" w:cs="Courier New"/>
      <w:color w:val="FF0000"/>
      <w:lang w:val="en-US" w:eastAsia="zh-CN"/>
    </w:rPr>
  </w:style>
  <w:style w:type="character" w:customStyle="1" w:styleId="290">
    <w:name w:val="Char Char10"/>
    <w:semiHidden/>
    <w:qFormat/>
    <w:uiPriority w:val="0"/>
    <w:rPr>
      <w:rFonts w:ascii="宋体" w:hAnsi="宋体"/>
      <w:kern w:val="2"/>
      <w:sz w:val="21"/>
      <w:szCs w:val="24"/>
      <w:lang w:val="en-US" w:eastAsia="zh-CN"/>
    </w:rPr>
  </w:style>
  <w:style w:type="character" w:customStyle="1" w:styleId="291">
    <w:name w:val="shadow11"/>
    <w:qFormat/>
    <w:uiPriority w:val="0"/>
    <w:rPr>
      <w:color w:val="000000"/>
      <w:sz w:val="21"/>
    </w:rPr>
  </w:style>
  <w:style w:type="character" w:customStyle="1" w:styleId="292">
    <w:name w:val="正文非缩进 Char3"/>
    <w:qFormat/>
    <w:uiPriority w:val="0"/>
    <w:rPr>
      <w:rFonts w:ascii="宋体" w:eastAsia="宋体"/>
      <w:snapToGrid w:val="0"/>
      <w:color w:val="000000"/>
      <w:kern w:val="28"/>
      <w:sz w:val="28"/>
      <w:lang w:val="en-US" w:eastAsia="zh-CN" w:bidi="ar-SA"/>
    </w:rPr>
  </w:style>
  <w:style w:type="character" w:customStyle="1" w:styleId="293">
    <w:name w:val="Char Char"/>
    <w:qFormat/>
    <w:uiPriority w:val="0"/>
    <w:rPr>
      <w:rFonts w:ascii="宋体" w:hAnsi="Courier New" w:eastAsia="宋体"/>
      <w:kern w:val="2"/>
      <w:sz w:val="21"/>
      <w:lang w:val="en-US" w:eastAsia="zh-CN" w:bidi="ar-SA"/>
    </w:rPr>
  </w:style>
  <w:style w:type="character" w:customStyle="1" w:styleId="294">
    <w:name w:val="签名 Char1"/>
    <w:qFormat/>
    <w:uiPriority w:val="0"/>
    <w:rPr>
      <w:rFonts w:ascii="Times New Roman" w:hAnsi="Times New Roman" w:eastAsia="宋体" w:cs="Times New Roman"/>
      <w:szCs w:val="24"/>
    </w:rPr>
  </w:style>
  <w:style w:type="character" w:customStyle="1" w:styleId="295">
    <w:name w:val="日期 字符"/>
    <w:qFormat/>
    <w:uiPriority w:val="0"/>
    <w:rPr>
      <w:rFonts w:ascii="宋体"/>
      <w:kern w:val="2"/>
      <w:sz w:val="24"/>
      <w:szCs w:val="21"/>
      <w:lang w:val="zh-CN"/>
    </w:rPr>
  </w:style>
  <w:style w:type="character" w:customStyle="1" w:styleId="296">
    <w:name w:val="标题 9 字符"/>
    <w:link w:val="10"/>
    <w:qFormat/>
    <w:uiPriority w:val="0"/>
    <w:rPr>
      <w:rFonts w:ascii="Arial" w:hAnsi="Arial" w:eastAsia="黑体" w:cs="Times New Roman"/>
      <w:szCs w:val="21"/>
    </w:rPr>
  </w:style>
  <w:style w:type="character" w:customStyle="1" w:styleId="297">
    <w:name w:val="Char Char18"/>
    <w:qFormat/>
    <w:uiPriority w:val="6"/>
    <w:rPr>
      <w:rFonts w:ascii="宋体" w:hAnsi="宋体"/>
      <w:sz w:val="28"/>
    </w:rPr>
  </w:style>
  <w:style w:type="character" w:customStyle="1" w:styleId="298">
    <w:name w:val="Char Char22"/>
    <w:qFormat/>
    <w:uiPriority w:val="6"/>
    <w:rPr>
      <w:rFonts w:ascii="宋体" w:hAnsi="宋体"/>
      <w:kern w:val="1"/>
      <w:sz w:val="24"/>
      <w:szCs w:val="24"/>
    </w:rPr>
  </w:style>
  <w:style w:type="character" w:customStyle="1" w:styleId="299">
    <w:name w:val="pt141"/>
    <w:qFormat/>
    <w:uiPriority w:val="0"/>
    <w:rPr>
      <w:color w:val="330066"/>
      <w:sz w:val="22"/>
      <w:szCs w:val="22"/>
    </w:rPr>
  </w:style>
  <w:style w:type="character" w:customStyle="1" w:styleId="300">
    <w:name w:val="正文文本缩进 2 Char1"/>
    <w:semiHidden/>
    <w:qFormat/>
    <w:uiPriority w:val="99"/>
    <w:rPr>
      <w:rFonts w:ascii="Times New Roman" w:hAnsi="Times New Roman" w:eastAsia="宋体" w:cs="Times New Roman"/>
      <w:szCs w:val="24"/>
    </w:rPr>
  </w:style>
  <w:style w:type="character" w:customStyle="1" w:styleId="301">
    <w:name w:val="批注框文本 字符1"/>
    <w:qFormat/>
    <w:uiPriority w:val="0"/>
    <w:rPr>
      <w:kern w:val="2"/>
      <w:sz w:val="18"/>
      <w:szCs w:val="18"/>
    </w:rPr>
  </w:style>
  <w:style w:type="character" w:customStyle="1" w:styleId="302">
    <w:name w:val="Char Char611"/>
    <w:qFormat/>
    <w:uiPriority w:val="0"/>
    <w:rPr>
      <w:rFonts w:eastAsia="宋体"/>
      <w:kern w:val="2"/>
      <w:sz w:val="21"/>
      <w:szCs w:val="24"/>
      <w:lang w:val="en-US" w:eastAsia="zh-CN" w:bidi="ar-SA"/>
    </w:rPr>
  </w:style>
  <w:style w:type="character" w:customStyle="1" w:styleId="303">
    <w:name w:val="highlight1"/>
    <w:qFormat/>
    <w:uiPriority w:val="0"/>
    <w:rPr>
      <w:rFonts w:ascii="仿宋_GB2312" w:eastAsia="微软雅黑"/>
      <w:b/>
      <w:kern w:val="2"/>
      <w:sz w:val="23"/>
      <w:szCs w:val="23"/>
      <w:lang w:val="en-US" w:eastAsia="zh-CN" w:bidi="ar-SA"/>
    </w:rPr>
  </w:style>
  <w:style w:type="character" w:customStyle="1" w:styleId="304">
    <w:name w:val="my正文 Char"/>
    <w:link w:val="305"/>
    <w:qFormat/>
    <w:locked/>
    <w:uiPriority w:val="0"/>
    <w:rPr>
      <w:rFonts w:ascii="Tahoma" w:hAnsi="Tahoma"/>
      <w:sz w:val="24"/>
      <w:szCs w:val="24"/>
    </w:rPr>
  </w:style>
  <w:style w:type="paragraph" w:customStyle="1" w:styleId="305">
    <w:name w:val="my正文"/>
    <w:basedOn w:val="1"/>
    <w:link w:val="304"/>
    <w:qFormat/>
    <w:uiPriority w:val="0"/>
    <w:pPr>
      <w:adjustRightInd/>
      <w:spacing w:line="360" w:lineRule="auto"/>
      <w:ind w:firstLine="480" w:firstLineChars="200"/>
    </w:pPr>
    <w:rPr>
      <w:rFonts w:ascii="Tahoma" w:hAnsi="Tahoma" w:eastAsiaTheme="minorEastAsia" w:cstheme="minorBidi"/>
      <w:sz w:val="24"/>
    </w:rPr>
  </w:style>
  <w:style w:type="character" w:customStyle="1" w:styleId="306">
    <w:name w:val="正文缩进 字符2"/>
    <w:qFormat/>
    <w:uiPriority w:val="0"/>
    <w:rPr>
      <w:rFonts w:ascii="宋体" w:eastAsia="宋体"/>
      <w:snapToGrid w:val="0"/>
      <w:color w:val="000000"/>
      <w:kern w:val="28"/>
      <w:sz w:val="28"/>
    </w:rPr>
  </w:style>
  <w:style w:type="character" w:customStyle="1" w:styleId="307">
    <w:name w:val="Used by Word for text of Help footnotes Char Char1"/>
    <w:qFormat/>
    <w:uiPriority w:val="0"/>
    <w:rPr>
      <w:color w:val="0000FF"/>
      <w:sz w:val="21"/>
    </w:rPr>
  </w:style>
  <w:style w:type="character" w:customStyle="1" w:styleId="308">
    <w:name w:val="FA正文 Char Char"/>
    <w:qFormat/>
    <w:uiPriority w:val="0"/>
    <w:rPr>
      <w:rFonts w:hAnsi="宋体"/>
      <w:kern w:val="2"/>
      <w:sz w:val="24"/>
      <w:lang w:bidi="ar-SA"/>
    </w:rPr>
  </w:style>
  <w:style w:type="character" w:customStyle="1" w:styleId="309">
    <w:name w:val="纯文本 字符"/>
    <w:qFormat/>
    <w:uiPriority w:val="0"/>
    <w:rPr>
      <w:rFonts w:ascii="宋体" w:hAnsi="Courier New" w:eastAsia="宋体" w:cs="Arial"/>
      <w:snapToGrid w:val="0"/>
      <w:kern w:val="2"/>
      <w:sz w:val="21"/>
      <w:szCs w:val="21"/>
      <w:lang w:val="en-US" w:eastAsia="zh-CN" w:bidi="ar-SA"/>
    </w:rPr>
  </w:style>
  <w:style w:type="character" w:customStyle="1" w:styleId="310">
    <w:name w:val="3级 Char"/>
    <w:link w:val="311"/>
    <w:qFormat/>
    <w:uiPriority w:val="0"/>
    <w:rPr>
      <w:rFonts w:ascii="宋体" w:hAnsi="宋体"/>
      <w:b/>
      <w:bCs/>
      <w:sz w:val="28"/>
    </w:rPr>
  </w:style>
  <w:style w:type="paragraph" w:customStyle="1" w:styleId="311">
    <w:name w:val="3级"/>
    <w:basedOn w:val="312"/>
    <w:link w:val="310"/>
    <w:qFormat/>
    <w:uiPriority w:val="0"/>
    <w:pPr>
      <w:ind w:left="0" w:right="466" w:firstLine="288"/>
    </w:pPr>
    <w:rPr>
      <w:rFonts w:hAnsi="宋体" w:eastAsiaTheme="minorEastAsia" w:cstheme="minorBidi"/>
      <w:snapToGrid/>
      <w:kern w:val="2"/>
      <w:szCs w:val="22"/>
    </w:rPr>
  </w:style>
  <w:style w:type="paragraph" w:customStyle="1" w:styleId="312">
    <w:name w:val="样式 标题 3h33rd level3BOD 0H3l3CTHeading 3 - oldLevel 3 He..."/>
    <w:basedOn w:val="4"/>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3">
    <w:name w:val="myp11"/>
    <w:qFormat/>
    <w:uiPriority w:val="0"/>
    <w:rPr>
      <w:rFonts w:ascii="仿宋_GB2312" w:eastAsia="微软雅黑"/>
      <w:b/>
      <w:kern w:val="2"/>
      <w:sz w:val="32"/>
      <w:szCs w:val="32"/>
      <w:lang w:val="en-US" w:eastAsia="zh-CN" w:bidi="ar-SA"/>
    </w:rPr>
  </w:style>
  <w:style w:type="character" w:customStyle="1" w:styleId="314">
    <w:name w:val="文档结构图 字符"/>
    <w:link w:val="16"/>
    <w:qFormat/>
    <w:uiPriority w:val="0"/>
    <w:rPr>
      <w:szCs w:val="24"/>
      <w:shd w:val="clear" w:color="auto" w:fill="000080"/>
    </w:rPr>
  </w:style>
  <w:style w:type="character" w:customStyle="1" w:styleId="315">
    <w:name w:val="H6 Char"/>
    <w:qFormat/>
    <w:uiPriority w:val="0"/>
    <w:rPr>
      <w:rFonts w:ascii="Arial" w:hAnsi="Arial" w:eastAsia="黑体"/>
      <w:b/>
      <w:bCs/>
      <w:kern w:val="2"/>
      <w:sz w:val="24"/>
      <w:szCs w:val="24"/>
    </w:rPr>
  </w:style>
  <w:style w:type="character" w:customStyle="1" w:styleId="316">
    <w:name w:val="Char Char91"/>
    <w:qFormat/>
    <w:uiPriority w:val="0"/>
    <w:rPr>
      <w:rFonts w:eastAsia="宋体"/>
      <w:kern w:val="2"/>
      <w:sz w:val="18"/>
      <w:szCs w:val="18"/>
      <w:lang w:val="en-US" w:eastAsia="zh-CN" w:bidi="ar-SA"/>
    </w:rPr>
  </w:style>
  <w:style w:type="character" w:customStyle="1" w:styleId="317">
    <w:name w:val="副标题 Char1"/>
    <w:qFormat/>
    <w:uiPriority w:val="0"/>
    <w:rPr>
      <w:rFonts w:ascii="Cambria" w:hAnsi="Cambria" w:eastAsia="宋体" w:cs="Times New Roman"/>
      <w:b/>
      <w:bCs/>
      <w:snapToGrid w:val="0"/>
      <w:kern w:val="28"/>
      <w:sz w:val="32"/>
      <w:szCs w:val="32"/>
    </w:rPr>
  </w:style>
  <w:style w:type="character" w:customStyle="1" w:styleId="318">
    <w:name w:val="font61"/>
    <w:qFormat/>
    <w:uiPriority w:val="0"/>
    <w:rPr>
      <w:rFonts w:hint="eastAsia" w:ascii="仿宋" w:hAnsi="仿宋" w:eastAsia="仿宋" w:cs="仿宋"/>
      <w:color w:val="000000"/>
      <w:sz w:val="20"/>
      <w:szCs w:val="20"/>
      <w:u w:val="none"/>
    </w:rPr>
  </w:style>
  <w:style w:type="character" w:customStyle="1" w:styleId="31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0">
    <w:name w:val="Char Char211"/>
    <w:qFormat/>
    <w:uiPriority w:val="0"/>
    <w:rPr>
      <w:rFonts w:eastAsia="宋体"/>
      <w:b/>
      <w:bCs/>
      <w:kern w:val="2"/>
      <w:sz w:val="21"/>
      <w:szCs w:val="24"/>
      <w:lang w:val="en-US" w:eastAsia="zh-CN" w:bidi="ar-SA"/>
    </w:rPr>
  </w:style>
  <w:style w:type="character" w:customStyle="1" w:styleId="321">
    <w:name w:val="maywed421"/>
    <w:qFormat/>
    <w:uiPriority w:val="0"/>
    <w:rPr>
      <w:color w:val="366FB6"/>
      <w:u w:val="none"/>
    </w:rPr>
  </w:style>
  <w:style w:type="character" w:customStyle="1" w:styleId="322">
    <w:name w:val="Char Char102"/>
    <w:semiHidden/>
    <w:qFormat/>
    <w:uiPriority w:val="0"/>
    <w:rPr>
      <w:rFonts w:ascii="宋体" w:hAnsi="宋体"/>
      <w:kern w:val="2"/>
      <w:sz w:val="21"/>
      <w:szCs w:val="24"/>
      <w:lang w:val="en-US" w:eastAsia="zh-CN"/>
    </w:rPr>
  </w:style>
  <w:style w:type="character" w:customStyle="1" w:styleId="323">
    <w:name w:val="页眉 Char1"/>
    <w:qFormat/>
    <w:uiPriority w:val="0"/>
    <w:rPr>
      <w:rFonts w:eastAsia="宋体"/>
      <w:kern w:val="2"/>
      <w:sz w:val="18"/>
      <w:szCs w:val="18"/>
      <w:lang w:val="en-US" w:eastAsia="zh-CN" w:bidi="ar-SA"/>
    </w:rPr>
  </w:style>
  <w:style w:type="character" w:customStyle="1" w:styleId="324">
    <w:name w:val="md"/>
    <w:qFormat/>
    <w:uiPriority w:val="0"/>
    <w:rPr>
      <w:rFonts w:ascii="Arial" w:hAnsi="Arial" w:eastAsia="黑体" w:cs="Arial"/>
      <w:snapToGrid w:val="0"/>
      <w:kern w:val="0"/>
      <w:szCs w:val="21"/>
    </w:rPr>
  </w:style>
  <w:style w:type="character" w:customStyle="1" w:styleId="325">
    <w:name w:val="big1"/>
    <w:qFormat/>
    <w:uiPriority w:val="0"/>
    <w:rPr>
      <w:rFonts w:hint="eastAsia" w:ascii="宋体" w:hAnsi="宋体" w:eastAsia="宋体"/>
      <w:color w:val="333333"/>
      <w:sz w:val="22"/>
      <w:szCs w:val="22"/>
    </w:rPr>
  </w:style>
  <w:style w:type="character" w:customStyle="1" w:styleId="326">
    <w:name w:val="Char Char311"/>
    <w:qFormat/>
    <w:uiPriority w:val="0"/>
    <w:rPr>
      <w:rFonts w:eastAsia="宋体"/>
      <w:kern w:val="2"/>
      <w:sz w:val="21"/>
      <w:szCs w:val="24"/>
      <w:lang w:val="en-US" w:eastAsia="zh-CN" w:bidi="ar-SA"/>
    </w:rPr>
  </w:style>
  <w:style w:type="character" w:customStyle="1" w:styleId="327">
    <w:name w:val="Char Char81"/>
    <w:qFormat/>
    <w:uiPriority w:val="6"/>
    <w:rPr>
      <w:rFonts w:eastAsia="宋体"/>
      <w:b/>
      <w:sz w:val="24"/>
      <w:lang w:val="en-US" w:eastAsia="zh-CN"/>
    </w:rPr>
  </w:style>
  <w:style w:type="character" w:customStyle="1" w:styleId="328">
    <w:name w:val="样式3 Char"/>
    <w:qFormat/>
    <w:uiPriority w:val="0"/>
    <w:rPr>
      <w:rFonts w:ascii="仿宋_GB2312" w:hAnsi="仿宋" w:eastAsia="仿宋_GB2312" w:cs="仿宋_GB2312"/>
      <w:b/>
      <w:bCs/>
      <w:sz w:val="32"/>
      <w:szCs w:val="30"/>
      <w:lang w:val="zh-CN"/>
    </w:rPr>
  </w:style>
  <w:style w:type="character" w:customStyle="1" w:styleId="329">
    <w:name w:val="HTML 地址 字符"/>
    <w:link w:val="28"/>
    <w:qFormat/>
    <w:uiPriority w:val="0"/>
    <w:rPr>
      <w:rFonts w:ascii="宋体" w:hAnsi="宋体"/>
      <w:i/>
      <w:iCs/>
      <w:sz w:val="24"/>
      <w:szCs w:val="24"/>
    </w:rPr>
  </w:style>
  <w:style w:type="character" w:customStyle="1" w:styleId="330">
    <w:name w:val="正文首行缩进 2 Char1"/>
    <w:qFormat/>
    <w:uiPriority w:val="0"/>
    <w:rPr>
      <w:rFonts w:ascii="Times New Roman" w:hAnsi="Times New Roman" w:eastAsia="宋体" w:cs="Times New Roman"/>
      <w:kern w:val="2"/>
      <w:sz w:val="24"/>
      <w:szCs w:val="24"/>
    </w:rPr>
  </w:style>
  <w:style w:type="character" w:customStyle="1" w:styleId="331">
    <w:name w:val="副标题 Char2"/>
    <w:qFormat/>
    <w:uiPriority w:val="0"/>
    <w:rPr>
      <w:rFonts w:ascii="Cambria" w:hAnsi="Cambria" w:eastAsia="宋体" w:cs="Times New Roman"/>
      <w:b/>
      <w:bCs/>
      <w:snapToGrid w:val="0"/>
      <w:kern w:val="28"/>
      <w:sz w:val="32"/>
      <w:szCs w:val="32"/>
    </w:rPr>
  </w:style>
  <w:style w:type="character" w:customStyle="1" w:styleId="332">
    <w:name w:val="标题4-dyf Char"/>
    <w:link w:val="333"/>
    <w:qFormat/>
    <w:uiPriority w:val="0"/>
    <w:rPr>
      <w:rFonts w:ascii="Cambria" w:hAnsi="Cambria"/>
      <w:b/>
      <w:bCs/>
      <w:color w:val="000000"/>
      <w:szCs w:val="21"/>
    </w:rPr>
  </w:style>
  <w:style w:type="paragraph" w:customStyle="1" w:styleId="333">
    <w:name w:val="标题4-dyf"/>
    <w:basedOn w:val="5"/>
    <w:link w:val="33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4">
    <w:name w:val="dectext1"/>
    <w:qFormat/>
    <w:uiPriority w:val="0"/>
    <w:rPr>
      <w:rFonts w:ascii="宋体" w:hAnsi="宋体" w:eastAsia="宋体"/>
      <w:color w:val="333333"/>
      <w:sz w:val="21"/>
      <w:szCs w:val="21"/>
      <w:u w:val="none"/>
    </w:rPr>
  </w:style>
  <w:style w:type="character" w:customStyle="1" w:styleId="335">
    <w:name w:val="冯 Char"/>
    <w:link w:val="336"/>
    <w:qFormat/>
    <w:uiPriority w:val="0"/>
    <w:rPr>
      <w:rFonts w:ascii="宋体" w:hAnsi="宋体"/>
      <w:color w:val="000000"/>
      <w:sz w:val="24"/>
      <w:szCs w:val="24"/>
    </w:rPr>
  </w:style>
  <w:style w:type="paragraph" w:customStyle="1" w:styleId="336">
    <w:name w:val="冯"/>
    <w:basedOn w:val="1"/>
    <w:link w:val="33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7">
    <w:name w:val="Header Char"/>
    <w:qFormat/>
    <w:locked/>
    <w:uiPriority w:val="0"/>
    <w:rPr>
      <w:rFonts w:eastAsia="宋体"/>
      <w:kern w:val="2"/>
      <w:sz w:val="18"/>
      <w:szCs w:val="18"/>
      <w:lang w:val="en-US" w:eastAsia="zh-CN" w:bidi="ar-SA"/>
    </w:rPr>
  </w:style>
  <w:style w:type="character" w:customStyle="1" w:styleId="338">
    <w:name w:val="Char Char12"/>
    <w:qFormat/>
    <w:uiPriority w:val="0"/>
    <w:rPr>
      <w:rFonts w:ascii="仿宋_GB2312" w:eastAsia="仿宋_GB2312"/>
      <w:b/>
      <w:bCs/>
      <w:kern w:val="2"/>
      <w:sz w:val="24"/>
      <w:szCs w:val="24"/>
      <w:lang w:val="zh-CN" w:eastAsia="zh-CN" w:bidi="ar-SA"/>
    </w:rPr>
  </w:style>
  <w:style w:type="character" w:customStyle="1" w:styleId="339">
    <w:name w:val="题注 字符"/>
    <w:link w:val="14"/>
    <w:qFormat/>
    <w:uiPriority w:val="0"/>
    <w:rPr>
      <w:b/>
      <w:sz w:val="28"/>
    </w:rPr>
  </w:style>
  <w:style w:type="character" w:customStyle="1" w:styleId="340">
    <w:name w:val="普通文字 Char3"/>
    <w:qFormat/>
    <w:uiPriority w:val="0"/>
    <w:rPr>
      <w:rFonts w:ascii="宋体" w:hAnsi="Courier New" w:eastAsia="宋体"/>
      <w:kern w:val="2"/>
      <w:sz w:val="21"/>
      <w:lang w:val="en-US" w:eastAsia="zh-CN" w:bidi="ar-SA"/>
    </w:rPr>
  </w:style>
  <w:style w:type="character" w:customStyle="1" w:styleId="341">
    <w:name w:val="公文正文 Char"/>
    <w:qFormat/>
    <w:uiPriority w:val="0"/>
    <w:rPr>
      <w:rFonts w:ascii="仿宋_GB2312" w:eastAsia="仿宋_GB2312"/>
      <w:kern w:val="2"/>
      <w:sz w:val="24"/>
      <w:szCs w:val="24"/>
      <w:lang w:val="en-US" w:eastAsia="zh-CN" w:bidi="ar-SA"/>
    </w:rPr>
  </w:style>
  <w:style w:type="character" w:customStyle="1" w:styleId="342">
    <w:name w:val="正文首行缩进 Char Char Char Char Char"/>
    <w:qFormat/>
    <w:uiPriority w:val="0"/>
    <w:rPr>
      <w:rFonts w:ascii="宋体"/>
      <w:kern w:val="2"/>
      <w:sz w:val="24"/>
      <w:lang w:val="zh-CN"/>
    </w:rPr>
  </w:style>
  <w:style w:type="character" w:customStyle="1" w:styleId="343">
    <w:name w:val="PI Char"/>
    <w:qFormat/>
    <w:uiPriority w:val="0"/>
    <w:rPr>
      <w:rFonts w:ascii="宋体" w:hAnsi="宋体" w:eastAsia="宋体"/>
      <w:kern w:val="2"/>
      <w:sz w:val="24"/>
      <w:szCs w:val="24"/>
      <w:lang w:val="en-US" w:eastAsia="zh-CN" w:bidi="ar-SA"/>
    </w:rPr>
  </w:style>
  <w:style w:type="character" w:customStyle="1" w:styleId="344">
    <w:name w:val="Default Char"/>
    <w:link w:val="91"/>
    <w:qFormat/>
    <w:uiPriority w:val="0"/>
    <w:rPr>
      <w:rFonts w:ascii="Cambria" w:hAnsi="Times New Roman" w:eastAsia="宋体" w:cs="Cambria"/>
      <w:color w:val="000000"/>
      <w:kern w:val="0"/>
      <w:sz w:val="24"/>
      <w:szCs w:val="24"/>
    </w:rPr>
  </w:style>
  <w:style w:type="character" w:customStyle="1" w:styleId="345">
    <w:name w:val="style91"/>
    <w:qFormat/>
    <w:uiPriority w:val="0"/>
    <w:rPr>
      <w:color w:val="333333"/>
    </w:rPr>
  </w:style>
  <w:style w:type="character" w:customStyle="1" w:styleId="346">
    <w:name w:val="列出段落 Char2"/>
    <w:qFormat/>
    <w:uiPriority w:val="34"/>
    <w:rPr>
      <w:rFonts w:ascii="Calibri" w:hAnsi="Calibri"/>
      <w:kern w:val="2"/>
      <w:sz w:val="28"/>
    </w:rPr>
  </w:style>
  <w:style w:type="character" w:customStyle="1" w:styleId="347">
    <w:name w:val="mdeck"/>
    <w:qFormat/>
    <w:uiPriority w:val="0"/>
    <w:rPr>
      <w:rFonts w:ascii="仿宋_GB2312" w:eastAsia="微软雅黑"/>
      <w:b/>
      <w:kern w:val="2"/>
      <w:sz w:val="32"/>
      <w:szCs w:val="32"/>
      <w:lang w:val="en-US" w:eastAsia="zh-CN" w:bidi="ar-SA"/>
    </w:rPr>
  </w:style>
  <w:style w:type="character" w:customStyle="1" w:styleId="348">
    <w:name w:val="unnamed11"/>
    <w:qFormat/>
    <w:uiPriority w:val="0"/>
    <w:rPr>
      <w:sz w:val="20"/>
      <w:szCs w:val="20"/>
    </w:rPr>
  </w:style>
  <w:style w:type="character" w:customStyle="1" w:styleId="349">
    <w:name w:val="正文文本 Char2"/>
    <w:semiHidden/>
    <w:qFormat/>
    <w:uiPriority w:val="99"/>
    <w:rPr>
      <w:rFonts w:ascii="Times New Roman" w:hAnsi="Times New Roman" w:eastAsia="宋体" w:cs="Times New Roman"/>
      <w:snapToGrid w:val="0"/>
      <w:kern w:val="0"/>
      <w:szCs w:val="24"/>
    </w:rPr>
  </w:style>
  <w:style w:type="character" w:customStyle="1" w:styleId="350">
    <w:name w:val="标书正文格式 Char"/>
    <w:qFormat/>
    <w:uiPriority w:val="0"/>
    <w:rPr>
      <w:rFonts w:eastAsia="楷体_GB2312"/>
      <w:kern w:val="2"/>
      <w:sz w:val="24"/>
      <w:szCs w:val="24"/>
      <w:lang w:bidi="ar-SA"/>
    </w:rPr>
  </w:style>
  <w:style w:type="character" w:customStyle="1" w:styleId="351">
    <w:name w:val="Char Char11"/>
    <w:qFormat/>
    <w:locked/>
    <w:uiPriority w:val="0"/>
    <w:rPr>
      <w:rFonts w:ascii="宋体" w:hAnsi="宋体" w:eastAsia="宋体"/>
      <w:b/>
      <w:kern w:val="2"/>
      <w:sz w:val="24"/>
      <w:szCs w:val="24"/>
      <w:lang w:val="en-US" w:eastAsia="zh-CN" w:bidi="ar-SA"/>
    </w:rPr>
  </w:style>
  <w:style w:type="character" w:customStyle="1" w:styleId="352">
    <w:name w:val="ca-131"/>
    <w:qFormat/>
    <w:uiPriority w:val="0"/>
    <w:rPr>
      <w:rFonts w:hint="eastAsia" w:ascii="仿宋_GB2312" w:eastAsia="仿宋_GB2312"/>
      <w:b/>
      <w:bCs/>
      <w:color w:val="000000"/>
      <w:spacing w:val="-20"/>
      <w:sz w:val="24"/>
      <w:szCs w:val="24"/>
    </w:rPr>
  </w:style>
  <w:style w:type="character" w:customStyle="1" w:styleId="353">
    <w:name w:val="tw4winMark"/>
    <w:qFormat/>
    <w:uiPriority w:val="0"/>
    <w:rPr>
      <w:rFonts w:ascii="Courier New" w:hAnsi="Courier New" w:cs="Courier New"/>
      <w:vanish/>
      <w:color w:val="800080"/>
      <w:sz w:val="24"/>
      <w:szCs w:val="24"/>
      <w:vertAlign w:val="subscript"/>
    </w:rPr>
  </w:style>
  <w:style w:type="character" w:customStyle="1" w:styleId="354">
    <w:name w:val="正文样式 Char"/>
    <w:link w:val="355"/>
    <w:qFormat/>
    <w:uiPriority w:val="0"/>
    <w:rPr>
      <w:rFonts w:ascii="Calibri" w:hAnsi="Calibri"/>
      <w:sz w:val="24"/>
      <w:szCs w:val="24"/>
    </w:rPr>
  </w:style>
  <w:style w:type="paragraph" w:customStyle="1" w:styleId="355">
    <w:name w:val="正文样式"/>
    <w:basedOn w:val="1"/>
    <w:link w:val="354"/>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6">
    <w:name w:val="表正文 Char3"/>
    <w:qFormat/>
    <w:uiPriority w:val="0"/>
    <w:rPr>
      <w:rFonts w:eastAsia="宋体"/>
    </w:rPr>
  </w:style>
  <w:style w:type="character" w:customStyle="1" w:styleId="357">
    <w:name w:val="H5 Char"/>
    <w:qFormat/>
    <w:uiPriority w:val="0"/>
    <w:rPr>
      <w:b/>
      <w:bCs/>
      <w:kern w:val="2"/>
      <w:sz w:val="28"/>
      <w:szCs w:val="28"/>
    </w:rPr>
  </w:style>
  <w:style w:type="character" w:customStyle="1" w:styleId="358">
    <w:name w:val="Char Char3"/>
    <w:qFormat/>
    <w:uiPriority w:val="0"/>
    <w:rPr>
      <w:rFonts w:eastAsia="宋体"/>
      <w:kern w:val="2"/>
      <w:sz w:val="21"/>
      <w:szCs w:val="24"/>
      <w:lang w:val="en-US" w:eastAsia="zh-CN" w:bidi="ar-SA"/>
    </w:rPr>
  </w:style>
  <w:style w:type="character" w:customStyle="1" w:styleId="359">
    <w:name w:val="正文 编号 Char"/>
    <w:qFormat/>
    <w:uiPriority w:val="0"/>
    <w:rPr>
      <w:rFonts w:ascii="仿宋_GB2312" w:hAnsi="仿宋_GB2312" w:eastAsia="仿宋_GB2312"/>
      <w:kern w:val="2"/>
      <w:sz w:val="24"/>
      <w:lang w:bidi="ar-SA"/>
    </w:rPr>
  </w:style>
  <w:style w:type="character" w:customStyle="1" w:styleId="360">
    <w:name w:val="question-title2"/>
    <w:qFormat/>
    <w:uiPriority w:val="6"/>
    <w:rPr>
      <w:rFonts w:ascii="Arial" w:hAnsi="Arial" w:eastAsia="黑体" w:cs="Arial"/>
      <w:snapToGrid w:val="0"/>
      <w:kern w:val="0"/>
      <w:szCs w:val="21"/>
    </w:rPr>
  </w:style>
  <w:style w:type="character" w:customStyle="1" w:styleId="361">
    <w:name w:val="gf正文1 Char Char"/>
    <w:link w:val="362"/>
    <w:qFormat/>
    <w:uiPriority w:val="0"/>
    <w:rPr>
      <w:rFonts w:ascii="宋体" w:hAnsi="宋体" w:cs="宋体"/>
      <w:sz w:val="24"/>
      <w:szCs w:val="24"/>
    </w:rPr>
  </w:style>
  <w:style w:type="paragraph" w:customStyle="1" w:styleId="362">
    <w:name w:val="gf正文1"/>
    <w:basedOn w:val="1"/>
    <w:link w:val="361"/>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3">
    <w:name w:val="Char Char15"/>
    <w:qFormat/>
    <w:uiPriority w:val="6"/>
    <w:rPr>
      <w:rFonts w:ascii="宋体" w:hAnsi="宋体"/>
      <w:kern w:val="1"/>
      <w:sz w:val="21"/>
    </w:rPr>
  </w:style>
  <w:style w:type="character" w:customStyle="1" w:styleId="364">
    <w:name w:val="正文缩进 Char3"/>
    <w:qFormat/>
    <w:uiPriority w:val="0"/>
    <w:rPr>
      <w:rFonts w:ascii="宋体" w:eastAsia="宋体"/>
      <w:snapToGrid w:val="0"/>
      <w:color w:val="000000"/>
      <w:kern w:val="28"/>
      <w:sz w:val="28"/>
      <w:lang w:val="en-US" w:eastAsia="zh-CN" w:bidi="ar-SA"/>
    </w:rPr>
  </w:style>
  <w:style w:type="character" w:customStyle="1" w:styleId="365">
    <w:name w:val="列出段落 Char1"/>
    <w:link w:val="366"/>
    <w:qFormat/>
    <w:uiPriority w:val="0"/>
    <w:rPr>
      <w:rFonts w:ascii="Calibri" w:hAnsi="Calibri"/>
      <w:sz w:val="24"/>
      <w:lang w:eastAsia="en-US"/>
    </w:rPr>
  </w:style>
  <w:style w:type="paragraph" w:customStyle="1" w:styleId="366">
    <w:name w:val="列表1"/>
    <w:basedOn w:val="1"/>
    <w:next w:val="367"/>
    <w:link w:val="365"/>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7">
    <w:name w:val="列出段落2"/>
    <w:basedOn w:val="1"/>
    <w:qFormat/>
    <w:uiPriority w:val="34"/>
    <w:pPr>
      <w:spacing w:line="360" w:lineRule="auto"/>
      <w:ind w:firstLine="200" w:firstLineChars="200"/>
    </w:pPr>
    <w:rPr>
      <w:rFonts w:eastAsia="楷体_GB2312" w:cs="Lucida Sans"/>
      <w:sz w:val="24"/>
    </w:rPr>
  </w:style>
  <w:style w:type="character" w:customStyle="1" w:styleId="368">
    <w:name w:val="Char Char8"/>
    <w:qFormat/>
    <w:uiPriority w:val="0"/>
    <w:rPr>
      <w:rFonts w:eastAsia="宋体"/>
      <w:b/>
      <w:sz w:val="24"/>
      <w:lang w:val="en-US" w:eastAsia="zh-CN"/>
    </w:rPr>
  </w:style>
  <w:style w:type="character" w:customStyle="1" w:styleId="369">
    <w:name w:val="Normal Indent Char Char"/>
    <w:qFormat/>
    <w:uiPriority w:val="0"/>
    <w:rPr>
      <w:rFonts w:eastAsia="宋体"/>
      <w:kern w:val="2"/>
      <w:sz w:val="21"/>
      <w:lang w:val="en-US" w:eastAsia="zh-CN" w:bidi="ar-SA"/>
    </w:rPr>
  </w:style>
  <w:style w:type="character" w:customStyle="1" w:styleId="370">
    <w:name w:val="列表段落 字符"/>
    <w:qFormat/>
    <w:uiPriority w:val="99"/>
  </w:style>
  <w:style w:type="character" w:customStyle="1" w:styleId="371">
    <w:name w:val="Ò³Ã¼ Char Char1"/>
    <w:qFormat/>
    <w:uiPriority w:val="0"/>
    <w:rPr>
      <w:rFonts w:eastAsia="宋体"/>
      <w:kern w:val="2"/>
      <w:sz w:val="18"/>
      <w:szCs w:val="18"/>
      <w:lang w:val="en-US" w:eastAsia="zh-CN" w:bidi="ar-SA"/>
    </w:rPr>
  </w:style>
  <w:style w:type="character" w:customStyle="1" w:styleId="372">
    <w:name w:val="方案正文 Char"/>
    <w:qFormat/>
    <w:uiPriority w:val="0"/>
    <w:rPr>
      <w:rFonts w:ascii="仿宋_GB2312" w:eastAsia="仿宋_GB2312"/>
      <w:b/>
      <w:color w:val="000000"/>
      <w:kern w:val="2"/>
      <w:sz w:val="24"/>
      <w:lang w:val="en-US" w:eastAsia="zh-CN" w:bidi="ar-SA"/>
    </w:rPr>
  </w:style>
  <w:style w:type="character" w:customStyle="1" w:styleId="373">
    <w:name w:val="Char Char30"/>
    <w:qFormat/>
    <w:uiPriority w:val="6"/>
    <w:rPr>
      <w:rFonts w:ascii="Arial" w:hAnsi="Arial" w:eastAsia="黑体"/>
      <w:kern w:val="1"/>
      <w:sz w:val="21"/>
      <w:szCs w:val="21"/>
    </w:rPr>
  </w:style>
  <w:style w:type="character" w:customStyle="1" w:styleId="374">
    <w:name w:val="正文文本缩进 字符1"/>
    <w:qFormat/>
    <w:uiPriority w:val="0"/>
    <w:rPr>
      <w:rFonts w:ascii="宋体" w:hAnsi="宋体"/>
      <w:kern w:val="2"/>
      <w:sz w:val="24"/>
      <w:szCs w:val="24"/>
    </w:rPr>
  </w:style>
  <w:style w:type="character" w:customStyle="1" w:styleId="375">
    <w:name w:val="font01"/>
    <w:qFormat/>
    <w:uiPriority w:val="0"/>
    <w:rPr>
      <w:rFonts w:hint="eastAsia" w:ascii="微软雅黑" w:hAnsi="微软雅黑" w:eastAsia="微软雅黑" w:cs="微软雅黑"/>
      <w:color w:val="000000"/>
      <w:sz w:val="20"/>
      <w:szCs w:val="20"/>
      <w:u w:val="none"/>
    </w:rPr>
  </w:style>
  <w:style w:type="character" w:customStyle="1" w:styleId="376">
    <w:name w:val="Char Char20"/>
    <w:qFormat/>
    <w:uiPriority w:val="6"/>
    <w:rPr>
      <w:kern w:val="1"/>
      <w:sz w:val="24"/>
    </w:rPr>
  </w:style>
  <w:style w:type="character" w:customStyle="1" w:styleId="377">
    <w:name w:val="tw4winExternal"/>
    <w:qFormat/>
    <w:uiPriority w:val="0"/>
    <w:rPr>
      <w:rFonts w:ascii="Courier New" w:hAnsi="Courier New" w:cs="Courier New"/>
      <w:color w:val="808080"/>
      <w:lang w:val="en-US" w:eastAsia="zh-CN"/>
    </w:rPr>
  </w:style>
  <w:style w:type="character" w:customStyle="1" w:styleId="378">
    <w:name w:val="标题 4 Char1"/>
    <w:qFormat/>
    <w:uiPriority w:val="9"/>
    <w:rPr>
      <w:rFonts w:ascii="Cambria" w:hAnsi="Cambria" w:eastAsia="宋体" w:cs="Times New Roman"/>
      <w:b/>
      <w:bCs/>
      <w:kern w:val="2"/>
      <w:sz w:val="28"/>
      <w:szCs w:val="28"/>
    </w:rPr>
  </w:style>
  <w:style w:type="character" w:customStyle="1" w:styleId="379">
    <w:name w:val="批注文字 Char2"/>
    <w:qFormat/>
    <w:uiPriority w:val="99"/>
    <w:rPr>
      <w:rFonts w:ascii="Times New Roman" w:hAnsi="Times New Roman" w:eastAsia="宋体" w:cs="Times New Roman"/>
      <w:snapToGrid w:val="0"/>
      <w:kern w:val="0"/>
      <w:szCs w:val="24"/>
    </w:rPr>
  </w:style>
  <w:style w:type="character" w:customStyle="1" w:styleId="380">
    <w:name w:val="正文文本 2 Char"/>
    <w:qFormat/>
    <w:uiPriority w:val="0"/>
    <w:rPr>
      <w:rFonts w:eastAsia="宋体"/>
      <w:kern w:val="2"/>
      <w:sz w:val="21"/>
      <w:szCs w:val="24"/>
      <w:lang w:val="en-US" w:eastAsia="zh-CN" w:bidi="ar-SA"/>
    </w:rPr>
  </w:style>
  <w:style w:type="character" w:customStyle="1" w:styleId="381">
    <w:name w:val="Ò³Ã¼ Char Char"/>
    <w:qFormat/>
    <w:uiPriority w:val="0"/>
    <w:rPr>
      <w:rFonts w:eastAsia="宋体"/>
      <w:kern w:val="2"/>
      <w:sz w:val="18"/>
      <w:lang w:val="en-US" w:eastAsia="zh-CN" w:bidi="ar-SA"/>
    </w:rPr>
  </w:style>
  <w:style w:type="character" w:customStyle="1" w:styleId="382">
    <w:name w:val="message1"/>
    <w:qFormat/>
    <w:uiPriority w:val="0"/>
    <w:rPr>
      <w:rFonts w:hint="default" w:ascii="Tahoma" w:hAnsi="Tahoma" w:cs="Tahoma"/>
      <w:sz w:val="18"/>
      <w:szCs w:val="18"/>
    </w:rPr>
  </w:style>
  <w:style w:type="character" w:customStyle="1" w:styleId="383">
    <w:name w:val="Char Char23"/>
    <w:qFormat/>
    <w:uiPriority w:val="6"/>
    <w:rPr>
      <w:color w:val="0000FF"/>
      <w:sz w:val="21"/>
    </w:rPr>
  </w:style>
  <w:style w:type="character" w:customStyle="1" w:styleId="384">
    <w:name w:val="批注框文本 字符"/>
    <w:qFormat/>
    <w:uiPriority w:val="0"/>
    <w:rPr>
      <w:rFonts w:ascii="Arial" w:hAnsi="Arial" w:eastAsia="黑体" w:cs="Arial"/>
      <w:snapToGrid w:val="0"/>
      <w:kern w:val="0"/>
      <w:sz w:val="18"/>
      <w:szCs w:val="18"/>
    </w:rPr>
  </w:style>
  <w:style w:type="character" w:customStyle="1" w:styleId="385">
    <w:name w:val="纯文本 Char2"/>
    <w:semiHidden/>
    <w:qFormat/>
    <w:uiPriority w:val="99"/>
    <w:rPr>
      <w:rFonts w:ascii="宋体" w:hAnsi="Courier New" w:eastAsia="宋体" w:cs="Courier New"/>
    </w:rPr>
  </w:style>
  <w:style w:type="character" w:customStyle="1" w:styleId="386">
    <w:name w:val="Char Char25"/>
    <w:qFormat/>
    <w:uiPriority w:val="6"/>
    <w:rPr>
      <w:rFonts w:ascii="宋体" w:hAnsi="宋体"/>
      <w:kern w:val="1"/>
      <w:sz w:val="24"/>
      <w:lang w:val="zh-CN"/>
    </w:rPr>
  </w:style>
  <w:style w:type="character" w:customStyle="1" w:styleId="387">
    <w:name w:val="Char Char411"/>
    <w:qFormat/>
    <w:uiPriority w:val="0"/>
    <w:rPr>
      <w:rFonts w:eastAsia="宋体"/>
      <w:b/>
      <w:sz w:val="24"/>
      <w:lang w:val="en-US" w:eastAsia="zh-CN" w:bidi="ar-SA"/>
    </w:rPr>
  </w:style>
  <w:style w:type="character" w:customStyle="1" w:styleId="388">
    <w:name w:val="Heading 7 Char"/>
    <w:qFormat/>
    <w:locked/>
    <w:uiPriority w:val="0"/>
    <w:rPr>
      <w:rFonts w:ascii="宋体" w:hAnsi="宋体" w:eastAsia="宋体"/>
      <w:b/>
      <w:bCs/>
      <w:kern w:val="2"/>
      <w:sz w:val="24"/>
      <w:szCs w:val="24"/>
      <w:lang w:val="en-US" w:eastAsia="zh-CN" w:bidi="ar-SA"/>
    </w:rPr>
  </w:style>
  <w:style w:type="character" w:customStyle="1" w:styleId="389">
    <w:name w:val="此正文 Char"/>
    <w:link w:val="390"/>
    <w:qFormat/>
    <w:uiPriority w:val="0"/>
    <w:rPr>
      <w:sz w:val="24"/>
      <w:szCs w:val="24"/>
    </w:rPr>
  </w:style>
  <w:style w:type="paragraph" w:customStyle="1" w:styleId="390">
    <w:name w:val="此正文"/>
    <w:basedOn w:val="1"/>
    <w:link w:val="38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1">
    <w:name w:val="Char Char2"/>
    <w:qFormat/>
    <w:uiPriority w:val="0"/>
    <w:rPr>
      <w:rFonts w:eastAsia="宋体"/>
      <w:b/>
      <w:bCs/>
      <w:kern w:val="2"/>
      <w:sz w:val="21"/>
      <w:szCs w:val="24"/>
      <w:lang w:val="en-US" w:eastAsia="zh-CN" w:bidi="ar-SA"/>
    </w:rPr>
  </w:style>
  <w:style w:type="character" w:customStyle="1" w:styleId="392">
    <w:name w:val="标题 1 字符1"/>
    <w:qFormat/>
    <w:uiPriority w:val="9"/>
    <w:rPr>
      <w:b/>
      <w:bCs/>
      <w:kern w:val="44"/>
      <w:sz w:val="44"/>
      <w:szCs w:val="44"/>
    </w:rPr>
  </w:style>
  <w:style w:type="character" w:customStyle="1" w:styleId="393">
    <w:name w:val="Footer-Even Char1"/>
    <w:qFormat/>
    <w:uiPriority w:val="0"/>
    <w:rPr>
      <w:rFonts w:eastAsia="宋体"/>
      <w:kern w:val="2"/>
      <w:sz w:val="18"/>
      <w:szCs w:val="18"/>
      <w:lang w:val="en-US" w:eastAsia="zh-CN" w:bidi="ar-SA"/>
    </w:rPr>
  </w:style>
  <w:style w:type="character" w:customStyle="1" w:styleId="394">
    <w:name w:val="Char Char29"/>
    <w:qFormat/>
    <w:uiPriority w:val="6"/>
    <w:rPr>
      <w:rFonts w:ascii="Arial" w:hAnsi="Arial" w:eastAsia="微软雅黑"/>
      <w:b/>
      <w:kern w:val="1"/>
      <w:sz w:val="44"/>
      <w:szCs w:val="32"/>
      <w:lang w:val="en-US" w:eastAsia="zh-CN" w:bidi="ar-SA"/>
    </w:rPr>
  </w:style>
  <w:style w:type="character" w:customStyle="1" w:styleId="395">
    <w:name w:val="标题 字符"/>
    <w:link w:val="54"/>
    <w:qFormat/>
    <w:uiPriority w:val="10"/>
    <w:rPr>
      <w:b/>
      <w:sz w:val="24"/>
      <w:lang w:val="en-US"/>
    </w:rPr>
  </w:style>
  <w:style w:type="character" w:customStyle="1" w:styleId="396">
    <w:name w:val="font81"/>
    <w:qFormat/>
    <w:uiPriority w:val="0"/>
    <w:rPr>
      <w:rFonts w:ascii="微软雅黑" w:hAnsi="微软雅黑" w:eastAsia="微软雅黑" w:cs="微软雅黑"/>
      <w:color w:val="000000"/>
      <w:sz w:val="20"/>
      <w:szCs w:val="20"/>
      <w:u w:val="none"/>
    </w:rPr>
  </w:style>
  <w:style w:type="character" w:customStyle="1" w:styleId="397">
    <w:name w:val="Char Char312"/>
    <w:qFormat/>
    <w:uiPriority w:val="0"/>
    <w:rPr>
      <w:rFonts w:ascii="Times New Roman" w:hAnsi="Times New Roman" w:eastAsia="宋体" w:cs="Times New Roman"/>
      <w:b/>
      <w:kern w:val="2"/>
      <w:sz w:val="32"/>
      <w:szCs w:val="24"/>
      <w:lang w:val="en-US" w:eastAsia="zh-CN" w:bidi="ar-SA"/>
    </w:rPr>
  </w:style>
  <w:style w:type="character" w:customStyle="1" w:styleId="398">
    <w:name w:val="t21"/>
    <w:qFormat/>
    <w:uiPriority w:val="0"/>
    <w:rPr>
      <w:rFonts w:ascii="仿宋_GB2312" w:eastAsia="微软雅黑"/>
      <w:b/>
      <w:kern w:val="2"/>
      <w:sz w:val="23"/>
      <w:szCs w:val="23"/>
      <w:lang w:val="en-US" w:eastAsia="zh-CN" w:bidi="ar-SA"/>
    </w:rPr>
  </w:style>
  <w:style w:type="character" w:customStyle="1" w:styleId="399">
    <w:name w:val="表格 Char Char"/>
    <w:qFormat/>
    <w:uiPriority w:val="0"/>
    <w:rPr>
      <w:rFonts w:ascii="宋体" w:hAnsi="宋体" w:eastAsia="宋体"/>
      <w:lang w:bidi="ar-SA"/>
    </w:rPr>
  </w:style>
  <w:style w:type="character" w:customStyle="1" w:styleId="400">
    <w:name w:val="标题 6 Char1"/>
    <w:qFormat/>
    <w:uiPriority w:val="0"/>
    <w:rPr>
      <w:rFonts w:ascii="Arial" w:hAnsi="Arial" w:eastAsia="黑体" w:cs="Times New Roman"/>
      <w:b/>
      <w:sz w:val="24"/>
      <w:szCs w:val="20"/>
      <w:lang w:bidi="ar-SA"/>
    </w:rPr>
  </w:style>
  <w:style w:type="character" w:customStyle="1" w:styleId="401">
    <w:name w:val="正文首行缩进 Char Char Char Char Char Char1"/>
    <w:qFormat/>
    <w:uiPriority w:val="0"/>
    <w:rPr>
      <w:rFonts w:ascii="宋体" w:eastAsia="宋体"/>
      <w:kern w:val="2"/>
      <w:sz w:val="24"/>
      <w:szCs w:val="24"/>
      <w:lang w:val="zh-CN" w:bidi="ar-SA"/>
    </w:rPr>
  </w:style>
  <w:style w:type="character" w:customStyle="1" w:styleId="402">
    <w:name w:val="称呼 字符"/>
    <w:link w:val="18"/>
    <w:qFormat/>
    <w:uiPriority w:val="0"/>
    <w:rPr>
      <w:rFonts w:ascii="仿宋_GB2312" w:eastAsia="仿宋_GB2312"/>
      <w:sz w:val="28"/>
    </w:rPr>
  </w:style>
  <w:style w:type="character" w:customStyle="1" w:styleId="403">
    <w:name w:val="文本正文 Char Char"/>
    <w:qFormat/>
    <w:locked/>
    <w:uiPriority w:val="0"/>
    <w:rPr>
      <w:sz w:val="24"/>
      <w:lang w:bidi="ar-SA"/>
    </w:rPr>
  </w:style>
  <w:style w:type="character" w:customStyle="1" w:styleId="404">
    <w:name w:val="正文文本 2 字符1"/>
    <w:link w:val="51"/>
    <w:qFormat/>
    <w:uiPriority w:val="0"/>
    <w:rPr>
      <w:szCs w:val="24"/>
    </w:rPr>
  </w:style>
  <w:style w:type="character" w:customStyle="1" w:styleId="405">
    <w:name w:val="样式 样式 标题 4h4H4Fab-4T5Ref Heading 1rh1Heading sqlsect 1.2.3.... +... Char"/>
    <w:link w:val="406"/>
    <w:qFormat/>
    <w:uiPriority w:val="0"/>
    <w:rPr>
      <w:rFonts w:ascii="微软雅黑" w:hAnsi="微软雅黑" w:eastAsia="微软雅黑"/>
      <w:b/>
      <w:bCs/>
      <w:sz w:val="24"/>
      <w:szCs w:val="28"/>
    </w:rPr>
  </w:style>
  <w:style w:type="paragraph" w:customStyle="1" w:styleId="406">
    <w:name w:val="样式 样式 标题 4h4H4Fab-4T5Ref Heading 1rh1Heading sqlsect 1.2.3.... +..."/>
    <w:basedOn w:val="407"/>
    <w:link w:val="405"/>
    <w:qFormat/>
    <w:uiPriority w:val="0"/>
    <w:pPr>
      <w:tabs>
        <w:tab w:val="left" w:pos="2356"/>
      </w:tabs>
    </w:pPr>
  </w:style>
  <w:style w:type="paragraph" w:customStyle="1" w:styleId="407">
    <w:name w:val="样式 标题 4h4H4Fab-4T5Ref Heading 1rh1Heading sqlsect 1.2.3...."/>
    <w:basedOn w:val="5"/>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8">
    <w:name w:val="正文文本缩进 2 字符"/>
    <w:link w:val="34"/>
    <w:qFormat/>
    <w:uiPriority w:val="0"/>
    <w:rPr>
      <w:rFonts w:ascii="宋体"/>
      <w:sz w:val="28"/>
    </w:rPr>
  </w:style>
  <w:style w:type="character" w:customStyle="1" w:styleId="409">
    <w:name w:val="脚注文本 字符"/>
    <w:link w:val="47"/>
    <w:qFormat/>
    <w:uiPriority w:val="0"/>
    <w:rPr>
      <w:color w:val="0000FF"/>
    </w:rPr>
  </w:style>
  <w:style w:type="character" w:customStyle="1" w:styleId="410">
    <w:name w:val="称呼 Char1"/>
    <w:qFormat/>
    <w:uiPriority w:val="0"/>
    <w:rPr>
      <w:rFonts w:ascii="Times New Roman" w:hAnsi="Times New Roman" w:eastAsia="宋体" w:cs="Times New Roman"/>
      <w:szCs w:val="24"/>
    </w:rPr>
  </w:style>
  <w:style w:type="character" w:customStyle="1" w:styleId="411">
    <w:name w:val="正文1 Char"/>
    <w:qFormat/>
    <w:uiPriority w:val="0"/>
    <w:rPr>
      <w:rFonts w:ascii="宋体" w:eastAsia="宋体"/>
      <w:snapToGrid w:val="0"/>
      <w:color w:val="000000"/>
      <w:kern w:val="28"/>
      <w:sz w:val="28"/>
      <w:lang w:val="en-US" w:eastAsia="zh-CN" w:bidi="ar-SA"/>
    </w:rPr>
  </w:style>
  <w:style w:type="character" w:customStyle="1" w:styleId="412">
    <w:name w:val="正文缩进 Char1"/>
    <w:qFormat/>
    <w:uiPriority w:val="0"/>
    <w:rPr>
      <w:rFonts w:ascii="宋体" w:eastAsia="宋体"/>
      <w:snapToGrid w:val="0"/>
      <w:color w:val="000000"/>
      <w:kern w:val="28"/>
      <w:sz w:val="28"/>
      <w:lang w:val="en-US" w:eastAsia="zh-CN" w:bidi="ar-SA"/>
    </w:rPr>
  </w:style>
  <w:style w:type="character" w:customStyle="1" w:styleId="413">
    <w:name w:val="批注框文本 Char1"/>
    <w:qFormat/>
    <w:uiPriority w:val="0"/>
    <w:rPr>
      <w:rFonts w:ascii="Times New Roman" w:hAnsi="Times New Roman" w:eastAsia="宋体" w:cs="Times New Roman"/>
      <w:sz w:val="18"/>
      <w:szCs w:val="18"/>
    </w:rPr>
  </w:style>
  <w:style w:type="character" w:customStyle="1" w:styleId="414">
    <w:name w:val="Char Char31"/>
    <w:qFormat/>
    <w:uiPriority w:val="6"/>
    <w:rPr>
      <w:rFonts w:ascii="Arial" w:hAnsi="Arial" w:eastAsia="黑体"/>
      <w:kern w:val="1"/>
      <w:sz w:val="24"/>
      <w:szCs w:val="24"/>
    </w:rPr>
  </w:style>
  <w:style w:type="character" w:customStyle="1" w:styleId="415">
    <w:name w:val="h Char1"/>
    <w:qFormat/>
    <w:uiPriority w:val="0"/>
    <w:rPr>
      <w:sz w:val="18"/>
      <w:szCs w:val="18"/>
    </w:rPr>
  </w:style>
  <w:style w:type="character" w:customStyle="1" w:styleId="416">
    <w:name w:val="标题 4 字符1"/>
    <w:link w:val="5"/>
    <w:qFormat/>
    <w:uiPriority w:val="9"/>
    <w:rPr>
      <w:rFonts w:ascii="Arial" w:hAnsi="Arial" w:eastAsia="黑体" w:cs="Times New Roman"/>
      <w:b/>
      <w:bCs/>
      <w:sz w:val="28"/>
      <w:szCs w:val="28"/>
      <w:lang w:val="zh-CN"/>
    </w:rPr>
  </w:style>
  <w:style w:type="character" w:customStyle="1" w:styleId="417">
    <w:name w:val="正文文本 3 字符"/>
    <w:link w:val="19"/>
    <w:qFormat/>
    <w:uiPriority w:val="0"/>
  </w:style>
  <w:style w:type="character" w:customStyle="1" w:styleId="418">
    <w:name w:val="font31"/>
    <w:qFormat/>
    <w:uiPriority w:val="0"/>
    <w:rPr>
      <w:rFonts w:hint="eastAsia" w:ascii="仿宋" w:hAnsi="仿宋" w:eastAsia="仿宋" w:cs="仿宋"/>
      <w:color w:val="000000"/>
      <w:sz w:val="20"/>
      <w:szCs w:val="20"/>
      <w:u w:val="none"/>
    </w:rPr>
  </w:style>
  <w:style w:type="character" w:customStyle="1" w:styleId="419">
    <w:name w:val="脚注文本 Char1"/>
    <w:qFormat/>
    <w:uiPriority w:val="0"/>
    <w:rPr>
      <w:rFonts w:ascii="Times New Roman" w:hAnsi="Times New Roman" w:eastAsia="宋体" w:cs="Times New Roman"/>
      <w:sz w:val="18"/>
      <w:szCs w:val="18"/>
    </w:rPr>
  </w:style>
  <w:style w:type="character" w:customStyle="1" w:styleId="420">
    <w:name w:val="Char Char35"/>
    <w:qFormat/>
    <w:uiPriority w:val="6"/>
    <w:rPr>
      <w:rFonts w:ascii="Arial" w:hAnsi="Arial" w:eastAsia="黑体"/>
      <w:b/>
      <w:kern w:val="1"/>
      <w:sz w:val="28"/>
      <w:szCs w:val="28"/>
      <w:lang w:val="zh-CN"/>
    </w:rPr>
  </w:style>
  <w:style w:type="character" w:customStyle="1" w:styleId="421">
    <w:name w:val="纯文本 Char Char Char"/>
    <w:qFormat/>
    <w:uiPriority w:val="0"/>
    <w:rPr>
      <w:rFonts w:ascii="宋体" w:hAnsi="Courier New" w:eastAsia="宋体"/>
      <w:kern w:val="2"/>
      <w:sz w:val="21"/>
      <w:lang w:val="en-US" w:eastAsia="zh-CN" w:bidi="ar-SA"/>
    </w:rPr>
  </w:style>
  <w:style w:type="character" w:customStyle="1" w:styleId="422">
    <w:name w:val="正文1 Char1"/>
    <w:qFormat/>
    <w:uiPriority w:val="0"/>
    <w:rPr>
      <w:rFonts w:ascii="仿宋_GB2312" w:hAnsi="Courier New" w:eastAsia="仿宋_GB2312"/>
      <w:kern w:val="28"/>
      <w:sz w:val="24"/>
      <w:szCs w:val="24"/>
      <w:lang w:val="en-US" w:eastAsia="zh-CN"/>
    </w:rPr>
  </w:style>
  <w:style w:type="character" w:customStyle="1" w:styleId="423">
    <w:name w:val="页脚 Char1"/>
    <w:qFormat/>
    <w:uiPriority w:val="0"/>
    <w:rPr>
      <w:rFonts w:eastAsia="宋体"/>
      <w:kern w:val="2"/>
      <w:sz w:val="18"/>
      <w:szCs w:val="18"/>
      <w:lang w:val="en-US" w:eastAsia="zh-CN" w:bidi="ar-SA"/>
    </w:rPr>
  </w:style>
  <w:style w:type="character" w:customStyle="1" w:styleId="424">
    <w:name w:val="hui3"/>
    <w:qFormat/>
    <w:uiPriority w:val="0"/>
    <w:rPr>
      <w:color w:val="333333"/>
    </w:rPr>
  </w:style>
  <w:style w:type="character" w:customStyle="1" w:styleId="425">
    <w:name w:val="Char Char17"/>
    <w:qFormat/>
    <w:uiPriority w:val="6"/>
    <w:rPr>
      <w:rFonts w:eastAsia="仿宋_GB2312"/>
      <w:sz w:val="24"/>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字符"/>
    <w:link w:val="9"/>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字符"/>
    <w:link w:val="50"/>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7"/>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link w:val="462"/>
    <w:qFormat/>
    <w:uiPriority w:val="0"/>
    <w:pPr>
      <w:widowControl w:val="0"/>
      <w:spacing w:line="360" w:lineRule="auto"/>
      <w:ind w:firstLine="200" w:firstLineChars="200"/>
    </w:pPr>
    <w:rPr>
      <w:rFonts w:hAnsi="Times New Roman" w:cs="宋体" w:asciiTheme="minorHAnsi" w:eastAsiaTheme="minorEastAsia"/>
      <w:kern w:val="2"/>
      <w:sz w:val="24"/>
      <w:lang w:val="en-US" w:eastAsia="zh-CN" w:bidi="ar-SA"/>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字符"/>
    <w:link w:val="35"/>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6"/>
    <w:qFormat/>
    <w:uiPriority w:val="0"/>
    <w:pPr>
      <w:tabs>
        <w:tab w:val="left" w:pos="2520"/>
        <w:tab w:val="clear" w:pos="1008"/>
      </w:tabs>
      <w:adjustRightInd/>
      <w:ind w:left="2520" w:hanging="420"/>
    </w:pPr>
  </w:style>
  <w:style w:type="paragraph" w:customStyle="1" w:styleId="487">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7"/>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0"/>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4"/>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4"/>
    <w:next w:val="50"/>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4"/>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3"/>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4"/>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MM Topic 3"/>
    <w:basedOn w:val="4"/>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4"/>
    <w:semiHidden/>
    <w:qFormat/>
    <w:uiPriority w:val="99"/>
    <w:rPr>
      <w:rFonts w:ascii="Times New Roman" w:hAnsi="Times New Roman" w:eastAsia="宋体" w:cs="Times New Roman"/>
      <w:sz w:val="18"/>
      <w:szCs w:val="18"/>
    </w:rPr>
  </w:style>
  <w:style w:type="character" w:customStyle="1" w:styleId="553">
    <w:name w:val="正文文本缩进 2 Char"/>
    <w:basedOn w:val="64"/>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9">
    <w:name w:val="正文文本 3 Char"/>
    <w:basedOn w:val="64"/>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4"/>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3"/>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4"/>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91"/>
    <w:next w:val="91"/>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4"/>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4"/>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39"/>
    <w:qFormat/>
    <w:uiPriority w:val="0"/>
    <w:pPr>
      <w:widowControl/>
      <w:tabs>
        <w:tab w:val="left" w:pos="1212"/>
        <w:tab w:val="left" w:pos="3888"/>
        <w:tab w:val="clear" w:pos="4153"/>
        <w:tab w:val="clear" w:pos="8306"/>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4"/>
    <w:semiHidden/>
    <w:qFormat/>
    <w:uiPriority w:val="99"/>
    <w:rPr>
      <w:rFonts w:ascii="Times New Roman" w:hAnsi="Times New Roman" w:eastAsia="宋体" w:cs="Times New Roman"/>
      <w:szCs w:val="24"/>
    </w:rPr>
  </w:style>
  <w:style w:type="paragraph" w:customStyle="1" w:styleId="613">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3"/>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3"/>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5"/>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4"/>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21"/>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2"/>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3"/>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4"/>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4"/>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3"/>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1"/>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qFormat/>
    <w:uiPriority w:val="0"/>
    <w:pPr>
      <w:spacing w:before="100" w:beforeAutospacing="1"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2"/>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2"/>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4"/>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2"/>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21"/>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29"/>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16"/>
    <w:qFormat/>
    <w:uiPriority w:val="0"/>
    <w:pPr>
      <w:snapToGrid w:val="0"/>
      <w:spacing w:line="360" w:lineRule="auto"/>
    </w:pPr>
  </w:style>
  <w:style w:type="paragraph" w:customStyle="1" w:styleId="682">
    <w:name w:val="模板普通正文"/>
    <w:basedOn w:val="23"/>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3"/>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5"/>
    <w:qFormat/>
    <w:uiPriority w:val="0"/>
    <w:pPr>
      <w:widowControl/>
      <w:jc w:val="left"/>
    </w:pPr>
    <w:rPr>
      <w:rFonts w:cs="宋体"/>
      <w:sz w:val="24"/>
      <w:szCs w:val="20"/>
    </w:rPr>
  </w:style>
  <w:style w:type="paragraph" w:customStyle="1" w:styleId="694">
    <w:name w:val="样式 正文文本缩进 + 左侧:  2 字符 首行缩进:  2 字符"/>
    <w:basedOn w:val="23"/>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5"/>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3"/>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7">
    <w:name w:val="封面公司名"/>
    <w:qFormat/>
    <w:uiPriority w:val="0"/>
    <w:pPr>
      <w:jc w:val="center"/>
    </w:pPr>
    <w:rPr>
      <w:rFonts w:ascii="Arial" w:hAnsi="Arial" w:eastAsia="楷体_GB2312" w:cs="宋体"/>
      <w:bCs/>
      <w:kern w:val="2"/>
      <w:sz w:val="28"/>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3"/>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3"/>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4"/>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2"/>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3"/>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91"/>
    <w:next w:val="91"/>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3"/>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3"/>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21"/>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3"/>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21"/>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lang w:val="en-US" w:eastAsia="zh-CN" w:bidi="ar-SA"/>
    </w:rPr>
  </w:style>
  <w:style w:type="paragraph" w:customStyle="1" w:styleId="856">
    <w:name w:val="MM Topic 1"/>
    <w:basedOn w:val="2"/>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4"/>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5"/>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4"/>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4"/>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4"/>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2"/>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6"/>
    <w:next w:val="1"/>
    <w:qFormat/>
    <w:uiPriority w:val="0"/>
    <w:pPr>
      <w:tabs>
        <w:tab w:val="left" w:pos="1080"/>
        <w:tab w:val="clear" w:pos="1008"/>
      </w:tabs>
      <w:ind w:left="1080" w:hanging="1080"/>
    </w:pPr>
  </w:style>
  <w:style w:type="paragraph" w:customStyle="1" w:styleId="950">
    <w:name w:val="数字标题1"/>
    <w:basedOn w:val="2"/>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7"/>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3"/>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首行缩进 2 Char"/>
    <w:basedOn w:val="90"/>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4"/>
    <w:semiHidden/>
    <w:unhideWhenUsed/>
    <w:qFormat/>
    <w:uiPriority w:val="99"/>
    <w:rPr>
      <w:color w:val="605E5C"/>
      <w:shd w:val="clear" w:color="auto" w:fill="E1DFDD"/>
    </w:rPr>
  </w:style>
  <w:style w:type="paragraph" w:customStyle="1" w:styleId="999">
    <w:name w:val="BodyText"/>
    <w:basedOn w:val="1"/>
    <w:next w:val="1000"/>
    <w:qFormat/>
    <w:uiPriority w:val="0"/>
    <w:pPr>
      <w:textAlignment w:val="baseline"/>
    </w:pPr>
    <w:rPr>
      <w:rFonts w:ascii="Arial" w:hAnsi="Arial"/>
      <w:sz w:val="24"/>
    </w:rPr>
  </w:style>
  <w:style w:type="paragraph" w:customStyle="1" w:styleId="1000">
    <w:name w:val="BodyText1I"/>
    <w:basedOn w:val="999"/>
    <w:next w:val="1001"/>
    <w:qFormat/>
    <w:uiPriority w:val="0"/>
    <w:pPr>
      <w:ind w:firstLine="420" w:firstLineChars="100"/>
      <w:jc w:val="left"/>
    </w:pPr>
    <w:rPr>
      <w:kern w:val="0"/>
      <w:sz w:val="20"/>
      <w:szCs w:val="20"/>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1002">
    <w:name w:val="chewduserlogo"/>
    <w:basedOn w:val="64"/>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 w:type="paragraph" w:customStyle="1" w:styleId="1004">
    <w:name w:val="正文缩进2"/>
    <w:basedOn w:val="1"/>
    <w:qFormat/>
    <w:uiPriority w:val="0"/>
    <w:pPr>
      <w:spacing w:before="60"/>
      <w:ind w:firstLine="476"/>
    </w:pPr>
    <w:rPr>
      <w:szCs w:val="20"/>
    </w:rPr>
  </w:style>
  <w:style w:type="paragraph" w:customStyle="1" w:styleId="1005">
    <w:name w:val="Fließtext"/>
    <w:basedOn w:val="1"/>
    <w:qFormat/>
    <w:uiPriority w:val="0"/>
    <w:pPr>
      <w:overflowPunct w:val="0"/>
      <w:autoSpaceDE w:val="0"/>
      <w:autoSpaceDN w:val="0"/>
      <w:textAlignment w:val="baseline"/>
    </w:pPr>
    <w:rPr>
      <w:kern w:val="28"/>
      <w:szCs w:val="20"/>
    </w:rPr>
  </w:style>
  <w:style w:type="paragraph" w:customStyle="1" w:styleId="1006">
    <w:name w:val="纯文本3"/>
    <w:basedOn w:val="1"/>
    <w:qFormat/>
    <w:uiPriority w:val="0"/>
    <w:pPr>
      <w:widowControl/>
      <w:adjustRightInd/>
      <w:jc w:val="left"/>
    </w:pPr>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0" Type="http://schemas.openxmlformats.org/officeDocument/2006/relationships/fontTable" Target="fontTable.xml"/><Relationship Id="rId7" Type="http://schemas.openxmlformats.org/officeDocument/2006/relationships/image" Target="media/image2.png"/><Relationship Id="rId69" Type="http://schemas.openxmlformats.org/officeDocument/2006/relationships/numbering" Target="numbering.xml"/><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jpeg"/><Relationship Id="rId64" Type="http://schemas.openxmlformats.org/officeDocument/2006/relationships/image" Target="media/image59.jpeg"/><Relationship Id="rId63" Type="http://schemas.openxmlformats.org/officeDocument/2006/relationships/image" Target="media/image58.jpeg"/><Relationship Id="rId62" Type="http://schemas.openxmlformats.org/officeDocument/2006/relationships/image" Target="media/image57.jpeg"/><Relationship Id="rId61" Type="http://schemas.openxmlformats.org/officeDocument/2006/relationships/image" Target="media/image56.png"/><Relationship Id="rId60" Type="http://schemas.openxmlformats.org/officeDocument/2006/relationships/image" Target="media/image55.jpeg"/><Relationship Id="rId6" Type="http://schemas.openxmlformats.org/officeDocument/2006/relationships/image" Target="media/image1.png"/><Relationship Id="rId59" Type="http://schemas.openxmlformats.org/officeDocument/2006/relationships/image" Target="media/image54.jpe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jpe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jpe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jpe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jpeg"/><Relationship Id="rId44" Type="http://schemas.openxmlformats.org/officeDocument/2006/relationships/image" Target="media/image39.png"/><Relationship Id="rId43" Type="http://schemas.openxmlformats.org/officeDocument/2006/relationships/image" Target="media/image38.jpe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jpe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jpe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jpe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82</Pages>
  <Words>16485</Words>
  <Characters>18323</Characters>
  <Lines>384</Lines>
  <Paragraphs>108</Paragraphs>
  <TotalTime>12</TotalTime>
  <ScaleCrop>false</ScaleCrop>
  <LinksUpToDate>false</LinksUpToDate>
  <CharactersWithSpaces>18568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2022-01-29T00:27:00Z</dcterms:created>
  <dc:creator>Windows 用户</dc:creator>
  <cp:lastModifiedBy>　　　　　　　　　　　　</cp:lastModifiedBy>
  <cp:lastPrinted>2025-06-19T05:14:00Z</cp:lastPrinted>
  <dcterms:modified xsi:type="dcterms:W3CDTF">2025-07-01T08:14:45Z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99A47F1A03984111AE28CDB6EEC10074_13</vt:lpwstr>
  </property>
  <property fmtid="{D5CDD505-2E9C-101B-9397-08002B2CF9AE}" pid="4" name="KSOTemplateDocerSaveRecord">
    <vt:lpwstr>eyJoZGlkIjoiMGMxYmY5ZmI1OTNmMGVkMmQ5Y2NiZjNmZmQ1ODY3NzEiLCJ1c2VySWQiOiIyODE0NDY4NzAifQ==</vt:lpwstr>
  </property>
</Properties>
</file>