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70B9F">
      <w:pPr>
        <w:jc w:val="center"/>
        <w:rPr>
          <w:rFonts w:ascii="新宋体" w:hAnsi="新宋体" w:eastAsia="新宋体"/>
          <w:b/>
          <w:color w:val="auto"/>
          <w:spacing w:val="120"/>
          <w:sz w:val="56"/>
          <w:highlight w:val="none"/>
        </w:rPr>
      </w:pPr>
    </w:p>
    <w:p w14:paraId="3BC5B7AE">
      <w:pPr>
        <w:jc w:val="center"/>
        <w:rPr>
          <w:rFonts w:ascii="新宋体" w:hAnsi="新宋体" w:eastAsia="新宋体"/>
          <w:b/>
          <w:color w:val="auto"/>
          <w:spacing w:val="220"/>
          <w:sz w:val="72"/>
          <w:highlight w:val="none"/>
        </w:rPr>
      </w:pPr>
      <w:r>
        <w:rPr>
          <w:rFonts w:hint="eastAsia" w:ascii="宋体" w:hAnsi="宋体" w:cs="宋体"/>
          <w:b/>
          <w:color w:val="auto"/>
          <w:sz w:val="84"/>
          <w:szCs w:val="84"/>
          <w:highlight w:val="none"/>
        </w:rPr>
        <w:t>温州市政府(分散)采购</w:t>
      </w:r>
      <w:r>
        <w:rPr>
          <w:rFonts w:hint="eastAsia" w:ascii="新宋体" w:hAnsi="新宋体" w:eastAsia="新宋体"/>
          <w:b/>
          <w:color w:val="auto"/>
          <w:spacing w:val="300"/>
          <w:sz w:val="72"/>
          <w:highlight w:val="none"/>
        </w:rPr>
        <w:t xml:space="preserve"> </w:t>
      </w:r>
    </w:p>
    <w:p w14:paraId="228831BF">
      <w:pPr>
        <w:spacing w:line="240" w:lineRule="exact"/>
        <w:ind w:firstLine="2357" w:firstLineChars="235"/>
        <w:rPr>
          <w:rFonts w:ascii="新宋体" w:hAnsi="新宋体" w:eastAsia="新宋体"/>
          <w:b/>
          <w:color w:val="auto"/>
          <w:spacing w:val="140"/>
          <w:sz w:val="72"/>
          <w:highlight w:val="none"/>
        </w:rPr>
      </w:pPr>
    </w:p>
    <w:p w14:paraId="2D97E3C2">
      <w:pPr>
        <w:pStyle w:val="3"/>
        <w:rPr>
          <w:color w:val="auto"/>
          <w:highlight w:val="none"/>
        </w:rPr>
      </w:pPr>
    </w:p>
    <w:p w14:paraId="0F6E07C4">
      <w:pPr>
        <w:spacing w:line="360" w:lineRule="exact"/>
        <w:jc w:val="center"/>
        <w:rPr>
          <w:rFonts w:ascii="新宋体" w:hAnsi="新宋体" w:eastAsia="新宋体"/>
          <w:b/>
          <w:color w:val="auto"/>
          <w:spacing w:val="140"/>
          <w:sz w:val="72"/>
          <w:highlight w:val="none"/>
        </w:rPr>
      </w:pPr>
    </w:p>
    <w:p w14:paraId="67591E4A">
      <w:pPr>
        <w:spacing w:line="900" w:lineRule="exact"/>
        <w:jc w:val="center"/>
        <w:rPr>
          <w:rFonts w:ascii="新宋体" w:hAnsi="新宋体" w:eastAsia="新宋体"/>
          <w:b/>
          <w:color w:val="auto"/>
          <w:spacing w:val="140"/>
          <w:sz w:val="84"/>
          <w:szCs w:val="84"/>
          <w:highlight w:val="none"/>
        </w:rPr>
      </w:pPr>
      <w:r>
        <w:rPr>
          <w:rFonts w:hint="eastAsia" w:ascii="新宋体" w:hAnsi="新宋体" w:eastAsia="新宋体"/>
          <w:b/>
          <w:color w:val="auto"/>
          <w:spacing w:val="140"/>
          <w:sz w:val="84"/>
          <w:szCs w:val="84"/>
          <w:highlight w:val="none"/>
        </w:rPr>
        <w:t>采 购 文 件</w:t>
      </w:r>
    </w:p>
    <w:p w14:paraId="557027DF">
      <w:pPr>
        <w:spacing w:line="400" w:lineRule="exact"/>
        <w:jc w:val="center"/>
        <w:rPr>
          <w:rFonts w:ascii="新宋体" w:hAnsi="新宋体" w:eastAsia="新宋体"/>
          <w:b/>
          <w:color w:val="auto"/>
          <w:sz w:val="32"/>
          <w:highlight w:val="none"/>
        </w:rPr>
      </w:pPr>
    </w:p>
    <w:p w14:paraId="45E4512D">
      <w:pPr>
        <w:spacing w:line="400" w:lineRule="exact"/>
        <w:jc w:val="center"/>
        <w:rPr>
          <w:rFonts w:ascii="新宋体" w:hAnsi="新宋体" w:eastAsia="新宋体"/>
          <w:b/>
          <w:color w:val="auto"/>
          <w:sz w:val="32"/>
          <w:highlight w:val="none"/>
        </w:rPr>
      </w:pPr>
    </w:p>
    <w:p w14:paraId="5B14E8EF">
      <w:pPr>
        <w:rPr>
          <w:rFonts w:ascii="新宋体" w:hAnsi="新宋体" w:eastAsia="新宋体"/>
          <w:b/>
          <w:color w:val="auto"/>
          <w:sz w:val="24"/>
          <w:highlight w:val="none"/>
        </w:rPr>
      </w:pPr>
    </w:p>
    <w:p w14:paraId="2858E73D">
      <w:pPr>
        <w:rPr>
          <w:rFonts w:ascii="新宋体" w:hAnsi="新宋体" w:eastAsia="新宋体"/>
          <w:b/>
          <w:color w:val="auto"/>
          <w:sz w:val="24"/>
          <w:highlight w:val="none"/>
        </w:rPr>
      </w:pPr>
    </w:p>
    <w:p w14:paraId="44CA0AFC">
      <w:pPr>
        <w:spacing w:line="700" w:lineRule="exact"/>
        <w:ind w:firstLine="720" w:firstLineChars="200"/>
        <w:rPr>
          <w:rFonts w:ascii="新宋体" w:hAnsi="新宋体" w:eastAsia="新宋体"/>
          <w:color w:val="auto"/>
          <w:sz w:val="30"/>
          <w:highlight w:val="none"/>
        </w:rPr>
      </w:pPr>
      <w:r>
        <w:rPr>
          <w:rFonts w:hint="eastAsia" w:ascii="新宋体" w:hAnsi="新宋体" w:eastAsia="新宋体"/>
          <w:color w:val="auto"/>
          <w:spacing w:val="30"/>
          <w:sz w:val="30"/>
          <w:highlight w:val="none"/>
        </w:rPr>
        <w:t>项 目 编 号:</w:t>
      </w:r>
      <w:r>
        <w:rPr>
          <w:rFonts w:ascii="新宋体" w:hAnsi="新宋体" w:eastAsia="新宋体"/>
          <w:color w:val="auto"/>
          <w:spacing w:val="30"/>
          <w:sz w:val="30"/>
          <w:highlight w:val="none"/>
        </w:rPr>
        <w:t xml:space="preserve"> </w:t>
      </w:r>
      <w:r>
        <w:rPr>
          <w:rFonts w:hint="eastAsia" w:ascii="新宋体" w:hAnsi="新宋体" w:eastAsia="新宋体"/>
          <w:color w:val="auto"/>
          <w:spacing w:val="30"/>
          <w:sz w:val="30"/>
          <w:highlight w:val="none"/>
          <w:lang w:eastAsia="zh-CN"/>
        </w:rPr>
        <w:t>ZJTX2025019</w:t>
      </w:r>
      <w:r>
        <w:rPr>
          <w:rFonts w:hint="eastAsia" w:ascii="新宋体" w:hAnsi="新宋体" w:eastAsia="新宋体"/>
          <w:color w:val="auto"/>
          <w:spacing w:val="30"/>
          <w:sz w:val="30"/>
          <w:highlight w:val="none"/>
        </w:rPr>
        <w:t xml:space="preserve"> </w:t>
      </w:r>
      <w:r>
        <w:rPr>
          <w:rFonts w:hint="eastAsia" w:ascii="新宋体" w:hAnsi="新宋体" w:eastAsia="新宋体"/>
          <w:color w:val="auto"/>
          <w:sz w:val="30"/>
          <w:highlight w:val="none"/>
        </w:rPr>
        <w:t xml:space="preserve"> </w:t>
      </w:r>
    </w:p>
    <w:p w14:paraId="25AE0B4E">
      <w:pPr>
        <w:spacing w:line="700" w:lineRule="exact"/>
        <w:ind w:left="3256" w:leftChars="342" w:hanging="2538" w:hangingChars="705"/>
        <w:rPr>
          <w:rFonts w:hint="eastAsia" w:ascii="新宋体" w:hAnsi="新宋体" w:eastAsia="新宋体"/>
          <w:color w:val="auto"/>
          <w:spacing w:val="30"/>
          <w:sz w:val="30"/>
          <w:highlight w:val="none"/>
          <w:lang w:eastAsia="zh-CN"/>
        </w:rPr>
      </w:pPr>
      <w:r>
        <w:rPr>
          <w:rFonts w:hint="eastAsia" w:ascii="新宋体" w:hAnsi="新宋体" w:eastAsia="新宋体"/>
          <w:color w:val="auto"/>
          <w:spacing w:val="30"/>
          <w:sz w:val="30"/>
          <w:highlight w:val="none"/>
        </w:rPr>
        <w:t xml:space="preserve">项 目 名 称: </w:t>
      </w:r>
      <w:r>
        <w:rPr>
          <w:rFonts w:hint="eastAsia" w:ascii="新宋体" w:hAnsi="新宋体" w:eastAsia="新宋体"/>
          <w:color w:val="auto"/>
          <w:spacing w:val="30"/>
          <w:sz w:val="30"/>
          <w:highlight w:val="none"/>
          <w:lang w:eastAsia="zh-CN"/>
        </w:rPr>
        <w:t>龙湾区百镇千村富硒土地地球化学详查工作</w:t>
      </w:r>
    </w:p>
    <w:p w14:paraId="480F7CA8">
      <w:pPr>
        <w:spacing w:line="700" w:lineRule="exact"/>
        <w:ind w:firstLine="720" w:firstLineChars="200"/>
        <w:rPr>
          <w:rFonts w:ascii="新宋体" w:hAnsi="新宋体" w:eastAsia="新宋体"/>
          <w:color w:val="auto"/>
          <w:spacing w:val="40"/>
          <w:sz w:val="30"/>
          <w:highlight w:val="none"/>
        </w:rPr>
      </w:pPr>
      <w:r>
        <w:rPr>
          <w:rFonts w:hint="eastAsia" w:ascii="新宋体" w:hAnsi="新宋体" w:eastAsia="新宋体"/>
          <w:color w:val="auto"/>
          <w:spacing w:val="30"/>
          <w:sz w:val="30"/>
          <w:highlight w:val="none"/>
        </w:rPr>
        <w:t>采 购 方 式：公开招标</w:t>
      </w:r>
    </w:p>
    <w:p w14:paraId="653444E0">
      <w:pPr>
        <w:spacing w:line="600" w:lineRule="exact"/>
        <w:rPr>
          <w:rFonts w:ascii="新宋体" w:hAnsi="新宋体" w:eastAsia="新宋体"/>
          <w:color w:val="auto"/>
          <w:spacing w:val="40"/>
          <w:sz w:val="30"/>
          <w:highlight w:val="none"/>
        </w:rPr>
      </w:pPr>
    </w:p>
    <w:p w14:paraId="717C7378">
      <w:pPr>
        <w:spacing w:line="600" w:lineRule="exact"/>
        <w:rPr>
          <w:rFonts w:ascii="新宋体" w:hAnsi="新宋体" w:eastAsia="新宋体"/>
          <w:color w:val="auto"/>
          <w:spacing w:val="40"/>
          <w:sz w:val="30"/>
          <w:highlight w:val="none"/>
        </w:rPr>
      </w:pPr>
    </w:p>
    <w:p w14:paraId="156CAF0E">
      <w:pPr>
        <w:pStyle w:val="3"/>
        <w:rPr>
          <w:color w:val="auto"/>
          <w:highlight w:val="none"/>
        </w:rPr>
      </w:pPr>
    </w:p>
    <w:p w14:paraId="587D4FE1">
      <w:pPr>
        <w:spacing w:line="600" w:lineRule="exact"/>
        <w:rPr>
          <w:rFonts w:ascii="新宋体" w:hAnsi="新宋体" w:eastAsia="新宋体"/>
          <w:color w:val="auto"/>
          <w:spacing w:val="40"/>
          <w:sz w:val="30"/>
          <w:highlight w:val="none"/>
        </w:rPr>
      </w:pPr>
    </w:p>
    <w:p w14:paraId="1666C633">
      <w:pPr>
        <w:spacing w:line="600" w:lineRule="exact"/>
        <w:rPr>
          <w:rFonts w:ascii="新宋体" w:hAnsi="新宋体" w:eastAsia="新宋体"/>
          <w:color w:val="auto"/>
          <w:spacing w:val="40"/>
          <w:sz w:val="30"/>
          <w:highlight w:val="none"/>
        </w:rPr>
      </w:pPr>
    </w:p>
    <w:p w14:paraId="090FFFE8">
      <w:pPr>
        <w:spacing w:line="700" w:lineRule="exact"/>
        <w:jc w:val="center"/>
        <w:rPr>
          <w:rFonts w:hint="eastAsia" w:ascii="新宋体" w:hAnsi="新宋体" w:eastAsia="新宋体"/>
          <w:color w:val="auto"/>
          <w:spacing w:val="20"/>
          <w:sz w:val="30"/>
          <w:highlight w:val="none"/>
          <w:lang w:eastAsia="zh-CN"/>
        </w:rPr>
      </w:pPr>
      <w:r>
        <w:rPr>
          <w:rFonts w:hint="eastAsia" w:ascii="新宋体" w:hAnsi="新宋体" w:eastAsia="新宋体"/>
          <w:color w:val="auto"/>
          <w:spacing w:val="20"/>
          <w:sz w:val="30"/>
          <w:highlight w:val="none"/>
        </w:rPr>
        <w:t xml:space="preserve">采 购 人: </w:t>
      </w:r>
      <w:r>
        <w:rPr>
          <w:rFonts w:hint="eastAsia" w:ascii="新宋体" w:hAnsi="新宋体" w:eastAsia="新宋体"/>
          <w:color w:val="auto"/>
          <w:spacing w:val="20"/>
          <w:sz w:val="30"/>
          <w:highlight w:val="none"/>
          <w:lang w:eastAsia="zh-CN"/>
        </w:rPr>
        <w:t>温州市自然资源和规划局龙湾分局</w:t>
      </w:r>
    </w:p>
    <w:p w14:paraId="565AB5C7">
      <w:pPr>
        <w:spacing w:line="700" w:lineRule="exact"/>
        <w:jc w:val="center"/>
        <w:rPr>
          <w:rFonts w:ascii="新宋体" w:hAnsi="新宋体" w:eastAsia="新宋体"/>
          <w:color w:val="auto"/>
          <w:spacing w:val="40"/>
          <w:sz w:val="30"/>
          <w:highlight w:val="none"/>
        </w:rPr>
      </w:pPr>
      <w:r>
        <w:rPr>
          <w:rFonts w:hint="eastAsia" w:ascii="新宋体" w:hAnsi="新宋体" w:eastAsia="新宋体"/>
          <w:color w:val="auto"/>
          <w:spacing w:val="30"/>
          <w:sz w:val="30"/>
          <w:highlight w:val="none"/>
        </w:rPr>
        <w:t>采购代理机构: 浙江同信工程项目管理有限公司</w:t>
      </w:r>
    </w:p>
    <w:p w14:paraId="3D3E43D6">
      <w:pPr>
        <w:spacing w:line="700" w:lineRule="exact"/>
        <w:jc w:val="center"/>
        <w:rPr>
          <w:rFonts w:ascii="新宋体" w:hAnsi="新宋体" w:eastAsia="新宋体"/>
          <w:color w:val="auto"/>
          <w:spacing w:val="40"/>
          <w:sz w:val="30"/>
          <w:szCs w:val="30"/>
          <w:highlight w:val="none"/>
        </w:rPr>
      </w:pPr>
      <w:r>
        <w:rPr>
          <w:rFonts w:hint="eastAsia" w:ascii="新宋体" w:hAnsi="新宋体" w:eastAsia="新宋体"/>
          <w:color w:val="auto"/>
          <w:spacing w:val="40"/>
          <w:sz w:val="30"/>
          <w:szCs w:val="30"/>
          <w:highlight w:val="none"/>
        </w:rPr>
        <w:t>二〇二</w:t>
      </w:r>
      <w:r>
        <w:rPr>
          <w:rFonts w:hint="eastAsia" w:ascii="新宋体" w:hAnsi="新宋体" w:eastAsia="新宋体"/>
          <w:color w:val="auto"/>
          <w:spacing w:val="40"/>
          <w:sz w:val="30"/>
          <w:szCs w:val="30"/>
          <w:highlight w:val="none"/>
          <w:lang w:val="en-US" w:eastAsia="zh-CN"/>
        </w:rPr>
        <w:t>五</w:t>
      </w:r>
      <w:r>
        <w:rPr>
          <w:rFonts w:hint="eastAsia" w:ascii="新宋体" w:hAnsi="新宋体" w:eastAsia="新宋体"/>
          <w:color w:val="auto"/>
          <w:spacing w:val="40"/>
          <w:sz w:val="30"/>
          <w:szCs w:val="30"/>
          <w:highlight w:val="none"/>
        </w:rPr>
        <w:t>年</w:t>
      </w:r>
      <w:r>
        <w:rPr>
          <w:rFonts w:hint="eastAsia" w:ascii="新宋体" w:hAnsi="新宋体" w:eastAsia="新宋体"/>
          <w:color w:val="auto"/>
          <w:spacing w:val="40"/>
          <w:sz w:val="30"/>
          <w:szCs w:val="30"/>
          <w:highlight w:val="none"/>
          <w:lang w:val="en-US" w:eastAsia="zh-CN"/>
        </w:rPr>
        <w:t>六</w:t>
      </w:r>
      <w:r>
        <w:rPr>
          <w:rFonts w:hint="eastAsia" w:ascii="新宋体" w:hAnsi="新宋体" w:eastAsia="新宋体"/>
          <w:color w:val="auto"/>
          <w:spacing w:val="40"/>
          <w:sz w:val="30"/>
          <w:szCs w:val="30"/>
          <w:highlight w:val="none"/>
        </w:rPr>
        <w:t>月</w:t>
      </w:r>
    </w:p>
    <w:p w14:paraId="2457DCC9">
      <w:pPr>
        <w:spacing w:line="600" w:lineRule="exact"/>
        <w:jc w:val="center"/>
        <w:rPr>
          <w:rFonts w:ascii="新宋体" w:hAnsi="新宋体" w:eastAsia="新宋体"/>
          <w:color w:val="auto"/>
          <w:spacing w:val="40"/>
          <w:sz w:val="30"/>
          <w:szCs w:val="30"/>
          <w:highlight w:val="none"/>
        </w:rPr>
      </w:pPr>
      <w:r>
        <w:rPr>
          <w:rFonts w:hint="eastAsia" w:ascii="新宋体" w:hAnsi="新宋体" w:eastAsia="新宋体"/>
          <w:color w:val="auto"/>
          <w:spacing w:val="40"/>
          <w:sz w:val="30"/>
          <w:szCs w:val="30"/>
          <w:highlight w:val="none"/>
        </w:rPr>
        <w:br w:type="page"/>
      </w:r>
    </w:p>
    <w:p w14:paraId="6B3835CB">
      <w:pPr>
        <w:pStyle w:val="5"/>
        <w:tabs>
          <w:tab w:val="clear" w:pos="840"/>
        </w:tabs>
        <w:adjustRightInd/>
        <w:snapToGrid/>
        <w:spacing w:before="120" w:after="120" w:line="600" w:lineRule="exact"/>
        <w:jc w:val="center"/>
        <w:rPr>
          <w:rFonts w:ascii="新宋体" w:hAnsi="新宋体" w:eastAsia="新宋体"/>
          <w:bCs/>
          <w:color w:val="auto"/>
          <w:sz w:val="36"/>
          <w:szCs w:val="36"/>
          <w:highlight w:val="none"/>
        </w:rPr>
      </w:pPr>
      <w:bookmarkStart w:id="0" w:name="_Toc63412049"/>
      <w:r>
        <w:rPr>
          <w:rFonts w:hint="eastAsia" w:ascii="新宋体" w:hAnsi="新宋体" w:eastAsia="新宋体"/>
          <w:bCs/>
          <w:color w:val="auto"/>
          <w:sz w:val="36"/>
          <w:szCs w:val="36"/>
          <w:highlight w:val="none"/>
        </w:rPr>
        <w:t>目    录</w:t>
      </w:r>
      <w:bookmarkEnd w:id="0"/>
    </w:p>
    <w:p w14:paraId="35641E7A">
      <w:pPr>
        <w:pStyle w:val="18"/>
        <w:tabs>
          <w:tab w:val="right" w:leader="dot" w:pos="9344"/>
        </w:tabs>
        <w:spacing w:before="0" w:after="0" w:line="400" w:lineRule="exact"/>
        <w:rPr>
          <w:b w:val="0"/>
          <w:bCs w:val="0"/>
          <w:caps w:val="0"/>
          <w:color w:val="auto"/>
          <w:sz w:val="21"/>
          <w:szCs w:val="21"/>
          <w:highlight w:val="none"/>
        </w:rPr>
      </w:pPr>
      <w:r>
        <w:rPr>
          <w:rFonts w:ascii="新宋体" w:hAnsi="新宋体" w:eastAsia="新宋体"/>
          <w:b w:val="0"/>
          <w:bCs w:val="0"/>
          <w:caps w:val="0"/>
          <w:color w:val="auto"/>
          <w:sz w:val="21"/>
          <w:szCs w:val="21"/>
          <w:highlight w:val="none"/>
        </w:rPr>
        <w:fldChar w:fldCharType="begin"/>
      </w:r>
      <w:r>
        <w:rPr>
          <w:rFonts w:ascii="新宋体" w:hAnsi="新宋体" w:eastAsia="新宋体"/>
          <w:b w:val="0"/>
          <w:bCs w:val="0"/>
          <w:caps w:val="0"/>
          <w:color w:val="auto"/>
          <w:sz w:val="21"/>
          <w:szCs w:val="21"/>
          <w:highlight w:val="none"/>
        </w:rPr>
        <w:instrText xml:space="preserve"> TOC \o "1-2" \h \z \u </w:instrText>
      </w:r>
      <w:r>
        <w:rPr>
          <w:rFonts w:ascii="新宋体" w:hAnsi="新宋体" w:eastAsia="新宋体"/>
          <w:b w:val="0"/>
          <w:bCs w:val="0"/>
          <w:caps w:val="0"/>
          <w:color w:val="auto"/>
          <w:sz w:val="21"/>
          <w:szCs w:val="21"/>
          <w:highlight w:val="none"/>
        </w:rPr>
        <w:fldChar w:fldCharType="separate"/>
      </w:r>
      <w:r>
        <w:rPr>
          <w:color w:val="auto"/>
          <w:highlight w:val="none"/>
        </w:rPr>
        <w:fldChar w:fldCharType="begin"/>
      </w:r>
      <w:r>
        <w:rPr>
          <w:color w:val="auto"/>
          <w:highlight w:val="none"/>
        </w:rPr>
        <w:instrText xml:space="preserve"> HYPERLINK \l "_Toc63412049" </w:instrText>
      </w:r>
      <w:r>
        <w:rPr>
          <w:color w:val="auto"/>
          <w:highlight w:val="none"/>
        </w:rPr>
        <w:fldChar w:fldCharType="separate"/>
      </w:r>
      <w:r>
        <w:rPr>
          <w:rStyle w:val="27"/>
          <w:rFonts w:hint="eastAsia" w:ascii="新宋体" w:hAnsi="新宋体" w:eastAsia="新宋体"/>
          <w:color w:val="auto"/>
          <w:sz w:val="21"/>
          <w:szCs w:val="21"/>
          <w:highlight w:val="none"/>
        </w:rPr>
        <w:t>目</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录</w:t>
      </w:r>
      <w:r>
        <w:rPr>
          <w:color w:val="auto"/>
          <w:sz w:val="21"/>
          <w:szCs w:val="21"/>
          <w:highlight w:val="none"/>
        </w:rPr>
        <w:tab/>
      </w:r>
      <w:r>
        <w:rPr>
          <w:rFonts w:hint="eastAsia"/>
          <w:color w:val="auto"/>
          <w:sz w:val="21"/>
          <w:szCs w:val="21"/>
          <w:highlight w:val="none"/>
        </w:rPr>
        <w:t>2</w:t>
      </w:r>
      <w:r>
        <w:rPr>
          <w:rFonts w:hint="eastAsia"/>
          <w:color w:val="auto"/>
          <w:sz w:val="21"/>
          <w:szCs w:val="21"/>
          <w:highlight w:val="none"/>
        </w:rPr>
        <w:fldChar w:fldCharType="end"/>
      </w:r>
    </w:p>
    <w:p w14:paraId="2D6882A3">
      <w:pPr>
        <w:pStyle w:val="18"/>
        <w:tabs>
          <w:tab w:val="right" w:leader="dot" w:pos="9344"/>
        </w:tabs>
        <w:spacing w:before="0" w:after="0" w:line="400" w:lineRule="exact"/>
        <w:rPr>
          <w:b w:val="0"/>
          <w:bCs w:val="0"/>
          <w:caps w:val="0"/>
          <w:color w:val="auto"/>
          <w:sz w:val="21"/>
          <w:szCs w:val="21"/>
          <w:highlight w:val="none"/>
        </w:rPr>
      </w:pPr>
      <w:r>
        <w:rPr>
          <w:rFonts w:hint="eastAsia"/>
          <w:color w:val="auto"/>
          <w:sz w:val="21"/>
          <w:szCs w:val="21"/>
          <w:highlight w:val="none"/>
        </w:rPr>
        <w:t>投标</w:t>
      </w:r>
      <w:r>
        <w:rPr>
          <w:color w:val="auto"/>
          <w:highlight w:val="none"/>
        </w:rPr>
        <w:fldChar w:fldCharType="begin"/>
      </w:r>
      <w:r>
        <w:rPr>
          <w:color w:val="auto"/>
          <w:highlight w:val="none"/>
        </w:rPr>
        <w:instrText xml:space="preserve"> HYPERLINK \l "_Toc63412050" </w:instrText>
      </w:r>
      <w:r>
        <w:rPr>
          <w:color w:val="auto"/>
          <w:highlight w:val="none"/>
        </w:rPr>
        <w:fldChar w:fldCharType="separate"/>
      </w:r>
      <w:r>
        <w:rPr>
          <w:rStyle w:val="27"/>
          <w:rFonts w:hint="eastAsia" w:ascii="新宋体" w:hAnsi="新宋体" w:eastAsia="新宋体"/>
          <w:color w:val="auto"/>
          <w:sz w:val="21"/>
          <w:szCs w:val="21"/>
          <w:highlight w:val="none"/>
        </w:rPr>
        <w:t>邀请函</w:t>
      </w:r>
      <w:r>
        <w:rPr>
          <w:color w:val="auto"/>
          <w:sz w:val="21"/>
          <w:szCs w:val="21"/>
          <w:highlight w:val="none"/>
        </w:rPr>
        <w:tab/>
      </w:r>
      <w:r>
        <w:rPr>
          <w:rFonts w:hint="eastAsia"/>
          <w:color w:val="auto"/>
          <w:sz w:val="21"/>
          <w:szCs w:val="21"/>
          <w:highlight w:val="none"/>
        </w:rPr>
        <w:t>3</w:t>
      </w:r>
      <w:r>
        <w:rPr>
          <w:rFonts w:hint="eastAsia"/>
          <w:color w:val="auto"/>
          <w:sz w:val="21"/>
          <w:szCs w:val="21"/>
          <w:highlight w:val="none"/>
        </w:rPr>
        <w:fldChar w:fldCharType="end"/>
      </w:r>
    </w:p>
    <w:p w14:paraId="2F80B08A">
      <w:pPr>
        <w:pStyle w:val="18"/>
        <w:tabs>
          <w:tab w:val="right" w:leader="dot" w:pos="9344"/>
        </w:tabs>
        <w:spacing w:before="0" w:after="0" w:line="400" w:lineRule="exact"/>
        <w:rPr>
          <w:rFonts w:hint="eastAsia" w:eastAsia="宋体"/>
          <w:b w:val="0"/>
          <w:bCs w:val="0"/>
          <w:caps w:val="0"/>
          <w:color w:val="auto"/>
          <w:sz w:val="21"/>
          <w:szCs w:val="21"/>
          <w:highlight w:val="none"/>
          <w:lang w:val="en-US" w:eastAsia="zh-CN"/>
        </w:rPr>
      </w:pPr>
      <w:r>
        <w:rPr>
          <w:color w:val="auto"/>
          <w:highlight w:val="none"/>
        </w:rPr>
        <w:fldChar w:fldCharType="begin"/>
      </w:r>
      <w:r>
        <w:rPr>
          <w:color w:val="auto"/>
          <w:highlight w:val="none"/>
        </w:rPr>
        <w:instrText xml:space="preserve"> HYPERLINK \l "_Toc63412051" </w:instrText>
      </w:r>
      <w:r>
        <w:rPr>
          <w:color w:val="auto"/>
          <w:highlight w:val="none"/>
        </w:rPr>
        <w:fldChar w:fldCharType="separate"/>
      </w:r>
      <w:r>
        <w:rPr>
          <w:rStyle w:val="27"/>
          <w:rFonts w:hint="eastAsia" w:ascii="新宋体" w:hAnsi="新宋体" w:eastAsia="新宋体"/>
          <w:color w:val="auto"/>
          <w:sz w:val="21"/>
          <w:szCs w:val="21"/>
          <w:highlight w:val="none"/>
        </w:rPr>
        <w:t>第一部分</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投标供应商须知</w:t>
      </w:r>
      <w:r>
        <w:rPr>
          <w:color w:val="auto"/>
          <w:sz w:val="21"/>
          <w:szCs w:val="21"/>
          <w:highlight w:val="none"/>
        </w:rPr>
        <w:tab/>
      </w:r>
      <w:r>
        <w:rPr>
          <w:rFonts w:hint="eastAsia"/>
          <w:color w:val="auto"/>
          <w:sz w:val="21"/>
          <w:szCs w:val="21"/>
          <w:highlight w:val="none"/>
          <w:lang w:val="en-US" w:eastAsia="zh-CN"/>
        </w:rPr>
        <w:t>1</w:t>
      </w:r>
      <w:r>
        <w:rPr>
          <w:color w:val="auto"/>
          <w:sz w:val="21"/>
          <w:szCs w:val="21"/>
          <w:highlight w:val="none"/>
        </w:rPr>
        <w:fldChar w:fldCharType="end"/>
      </w:r>
      <w:r>
        <w:rPr>
          <w:rFonts w:hint="eastAsia"/>
          <w:color w:val="auto"/>
          <w:sz w:val="21"/>
          <w:szCs w:val="21"/>
          <w:highlight w:val="none"/>
          <w:lang w:val="en-US" w:eastAsia="zh-CN"/>
        </w:rPr>
        <w:t>1</w:t>
      </w:r>
    </w:p>
    <w:p w14:paraId="2F1EDE15">
      <w:pPr>
        <w:pStyle w:val="13"/>
        <w:tabs>
          <w:tab w:val="right" w:leader="dot" w:pos="9344"/>
        </w:tabs>
        <w:spacing w:line="400" w:lineRule="exact"/>
        <w:rPr>
          <w:rFonts w:hint="eastAsia" w:eastAsia="宋体"/>
          <w:smallCaps w:val="0"/>
          <w:color w:val="auto"/>
          <w:sz w:val="21"/>
          <w:szCs w:val="21"/>
          <w:highlight w:val="none"/>
          <w:lang w:val="en-US" w:eastAsia="zh-CN"/>
        </w:rPr>
      </w:pPr>
      <w:r>
        <w:rPr>
          <w:color w:val="auto"/>
          <w:highlight w:val="none"/>
        </w:rPr>
        <w:fldChar w:fldCharType="begin"/>
      </w:r>
      <w:r>
        <w:rPr>
          <w:color w:val="auto"/>
          <w:highlight w:val="none"/>
        </w:rPr>
        <w:instrText xml:space="preserve"> HYPERLINK \l "_Toc63412052" </w:instrText>
      </w:r>
      <w:r>
        <w:rPr>
          <w:color w:val="auto"/>
          <w:highlight w:val="none"/>
        </w:rPr>
        <w:fldChar w:fldCharType="separate"/>
      </w:r>
      <w:r>
        <w:rPr>
          <w:rStyle w:val="27"/>
          <w:rFonts w:hint="eastAsia" w:ascii="新宋体" w:hAnsi="新宋体" w:eastAsia="新宋体"/>
          <w:color w:val="auto"/>
          <w:sz w:val="21"/>
          <w:szCs w:val="21"/>
          <w:highlight w:val="none"/>
        </w:rPr>
        <w:t>一、</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说</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明</w:t>
      </w:r>
      <w:r>
        <w:rPr>
          <w:color w:val="auto"/>
          <w:sz w:val="21"/>
          <w:szCs w:val="21"/>
          <w:highlight w:val="none"/>
        </w:rPr>
        <w:tab/>
      </w:r>
      <w:r>
        <w:rPr>
          <w:rFonts w:hint="eastAsia"/>
          <w:color w:val="auto"/>
          <w:sz w:val="21"/>
          <w:szCs w:val="21"/>
          <w:highlight w:val="none"/>
          <w:lang w:val="en-US" w:eastAsia="zh-CN"/>
        </w:rPr>
        <w:t>1</w:t>
      </w:r>
      <w:r>
        <w:rPr>
          <w:color w:val="auto"/>
          <w:sz w:val="21"/>
          <w:szCs w:val="21"/>
          <w:highlight w:val="none"/>
        </w:rPr>
        <w:fldChar w:fldCharType="end"/>
      </w:r>
      <w:r>
        <w:rPr>
          <w:rFonts w:hint="eastAsia"/>
          <w:color w:val="auto"/>
          <w:sz w:val="21"/>
          <w:szCs w:val="21"/>
          <w:highlight w:val="none"/>
          <w:lang w:val="en-US" w:eastAsia="zh-CN"/>
        </w:rPr>
        <w:t>1</w:t>
      </w:r>
    </w:p>
    <w:p w14:paraId="60C798F8">
      <w:pPr>
        <w:pStyle w:val="13"/>
        <w:tabs>
          <w:tab w:val="right" w:leader="dot" w:pos="9344"/>
        </w:tabs>
        <w:spacing w:line="400" w:lineRule="exact"/>
        <w:rPr>
          <w:rFonts w:hint="eastAsia" w:eastAsia="宋体"/>
          <w:smallCaps w:val="0"/>
          <w:color w:val="auto"/>
          <w:sz w:val="21"/>
          <w:szCs w:val="21"/>
          <w:highlight w:val="none"/>
          <w:lang w:val="en-US" w:eastAsia="zh-CN"/>
        </w:rPr>
      </w:pPr>
      <w:r>
        <w:rPr>
          <w:color w:val="auto"/>
          <w:highlight w:val="none"/>
        </w:rPr>
        <w:fldChar w:fldCharType="begin"/>
      </w:r>
      <w:r>
        <w:rPr>
          <w:color w:val="auto"/>
          <w:highlight w:val="none"/>
        </w:rPr>
        <w:instrText xml:space="preserve"> HYPERLINK \l "_Toc63412053" </w:instrText>
      </w:r>
      <w:r>
        <w:rPr>
          <w:color w:val="auto"/>
          <w:highlight w:val="none"/>
        </w:rPr>
        <w:fldChar w:fldCharType="separate"/>
      </w:r>
      <w:r>
        <w:rPr>
          <w:rStyle w:val="27"/>
          <w:rFonts w:hint="eastAsia" w:ascii="新宋体" w:hAnsi="新宋体" w:eastAsia="新宋体"/>
          <w:color w:val="auto"/>
          <w:sz w:val="21"/>
          <w:szCs w:val="21"/>
          <w:highlight w:val="none"/>
        </w:rPr>
        <w:t>二、</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采购文件</w:t>
      </w:r>
      <w:r>
        <w:rPr>
          <w:color w:val="auto"/>
          <w:sz w:val="21"/>
          <w:szCs w:val="21"/>
          <w:highlight w:val="none"/>
        </w:rPr>
        <w:tab/>
      </w:r>
      <w:r>
        <w:rPr>
          <w:rFonts w:hint="eastAsia"/>
          <w:color w:val="auto"/>
          <w:sz w:val="21"/>
          <w:szCs w:val="21"/>
          <w:highlight w:val="none"/>
          <w:lang w:val="en-US" w:eastAsia="zh-CN"/>
        </w:rPr>
        <w:t>1</w:t>
      </w:r>
      <w:r>
        <w:rPr>
          <w:color w:val="auto"/>
          <w:sz w:val="21"/>
          <w:szCs w:val="21"/>
          <w:highlight w:val="none"/>
        </w:rPr>
        <w:fldChar w:fldCharType="end"/>
      </w:r>
      <w:r>
        <w:rPr>
          <w:rFonts w:hint="eastAsia"/>
          <w:color w:val="auto"/>
          <w:sz w:val="21"/>
          <w:szCs w:val="21"/>
          <w:highlight w:val="none"/>
          <w:lang w:val="en-US" w:eastAsia="zh-CN"/>
        </w:rPr>
        <w:t>1</w:t>
      </w:r>
    </w:p>
    <w:p w14:paraId="3FDD0EC1">
      <w:pPr>
        <w:pStyle w:val="13"/>
        <w:tabs>
          <w:tab w:val="right" w:leader="dot" w:pos="9344"/>
        </w:tabs>
        <w:spacing w:line="400" w:lineRule="exact"/>
        <w:rPr>
          <w:smallCaps w:val="0"/>
          <w:color w:val="auto"/>
          <w:sz w:val="21"/>
          <w:szCs w:val="21"/>
          <w:highlight w:val="none"/>
        </w:rPr>
      </w:pPr>
      <w:r>
        <w:rPr>
          <w:color w:val="auto"/>
          <w:highlight w:val="none"/>
        </w:rPr>
        <w:fldChar w:fldCharType="begin"/>
      </w:r>
      <w:r>
        <w:rPr>
          <w:color w:val="auto"/>
          <w:highlight w:val="none"/>
        </w:rPr>
        <w:instrText xml:space="preserve"> HYPERLINK \l "_Toc63412054" </w:instrText>
      </w:r>
      <w:r>
        <w:rPr>
          <w:color w:val="auto"/>
          <w:highlight w:val="none"/>
        </w:rPr>
        <w:fldChar w:fldCharType="separate"/>
      </w:r>
      <w:r>
        <w:rPr>
          <w:rStyle w:val="27"/>
          <w:rFonts w:hint="eastAsia" w:ascii="新宋体" w:hAnsi="新宋体" w:eastAsia="新宋体"/>
          <w:color w:val="auto"/>
          <w:sz w:val="21"/>
          <w:szCs w:val="21"/>
          <w:highlight w:val="none"/>
        </w:rPr>
        <w:t>三、</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投标文件的编制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_Toc63412054 \h </w:instrText>
      </w:r>
      <w:r>
        <w:rPr>
          <w:color w:val="auto"/>
          <w:sz w:val="21"/>
          <w:szCs w:val="21"/>
          <w:highlight w:val="none"/>
        </w:rPr>
        <w:fldChar w:fldCharType="separate"/>
      </w:r>
      <w:r>
        <w:rPr>
          <w:color w:val="auto"/>
          <w:sz w:val="21"/>
          <w:szCs w:val="21"/>
          <w:highlight w:val="none"/>
        </w:rPr>
        <w:t>1</w:t>
      </w:r>
      <w:r>
        <w:rPr>
          <w:rFonts w:hint="eastAsia"/>
          <w:color w:val="auto"/>
          <w:sz w:val="21"/>
          <w:szCs w:val="21"/>
          <w:highlight w:val="none"/>
          <w:lang w:val="en-US" w:eastAsia="zh-CN"/>
        </w:rPr>
        <w:t>2</w:t>
      </w:r>
      <w:r>
        <w:rPr>
          <w:color w:val="auto"/>
          <w:sz w:val="21"/>
          <w:szCs w:val="21"/>
          <w:highlight w:val="none"/>
        </w:rPr>
        <w:fldChar w:fldCharType="end"/>
      </w:r>
      <w:r>
        <w:rPr>
          <w:color w:val="auto"/>
          <w:sz w:val="21"/>
          <w:szCs w:val="21"/>
          <w:highlight w:val="none"/>
        </w:rPr>
        <w:fldChar w:fldCharType="end"/>
      </w:r>
    </w:p>
    <w:p w14:paraId="318BF4D0">
      <w:pPr>
        <w:pStyle w:val="13"/>
        <w:tabs>
          <w:tab w:val="right" w:leader="dot" w:pos="9344"/>
        </w:tabs>
        <w:spacing w:line="400" w:lineRule="exact"/>
        <w:rPr>
          <w:rFonts w:hint="eastAsia" w:eastAsia="宋体"/>
          <w:smallCaps w:val="0"/>
          <w:color w:val="auto"/>
          <w:sz w:val="21"/>
          <w:szCs w:val="21"/>
          <w:highlight w:val="none"/>
          <w:lang w:eastAsia="zh-CN"/>
        </w:rPr>
      </w:pPr>
      <w:r>
        <w:rPr>
          <w:color w:val="auto"/>
          <w:highlight w:val="none"/>
        </w:rPr>
        <w:fldChar w:fldCharType="begin"/>
      </w:r>
      <w:r>
        <w:rPr>
          <w:color w:val="auto"/>
          <w:highlight w:val="none"/>
        </w:rPr>
        <w:instrText xml:space="preserve"> HYPERLINK \l "_Toc63412055" </w:instrText>
      </w:r>
      <w:r>
        <w:rPr>
          <w:color w:val="auto"/>
          <w:highlight w:val="none"/>
        </w:rPr>
        <w:fldChar w:fldCharType="separate"/>
      </w:r>
      <w:r>
        <w:rPr>
          <w:rStyle w:val="27"/>
          <w:rFonts w:hint="eastAsia" w:ascii="新宋体" w:hAnsi="新宋体" w:eastAsia="新宋体"/>
          <w:color w:val="auto"/>
          <w:sz w:val="21"/>
          <w:szCs w:val="21"/>
          <w:highlight w:val="none"/>
        </w:rPr>
        <w:t>四、</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投标</w:t>
      </w:r>
      <w:r>
        <w:rPr>
          <w:color w:val="auto"/>
          <w:sz w:val="21"/>
          <w:szCs w:val="21"/>
          <w:highlight w:val="none"/>
        </w:rPr>
        <w:tab/>
      </w:r>
      <w:r>
        <w:rPr>
          <w:rFonts w:hint="eastAsia"/>
          <w:color w:val="auto"/>
          <w:sz w:val="21"/>
          <w:szCs w:val="21"/>
          <w:highlight w:val="none"/>
        </w:rPr>
        <w:t>1</w:t>
      </w:r>
      <w:r>
        <w:rPr>
          <w:rFonts w:hint="eastAsia"/>
          <w:color w:val="auto"/>
          <w:sz w:val="21"/>
          <w:szCs w:val="21"/>
          <w:highlight w:val="none"/>
        </w:rPr>
        <w:fldChar w:fldCharType="end"/>
      </w:r>
      <w:r>
        <w:rPr>
          <w:rFonts w:hint="eastAsia"/>
          <w:color w:val="auto"/>
          <w:sz w:val="21"/>
          <w:szCs w:val="21"/>
          <w:highlight w:val="none"/>
          <w:lang w:val="en-US" w:eastAsia="zh-CN"/>
        </w:rPr>
        <w:t>5</w:t>
      </w:r>
    </w:p>
    <w:p w14:paraId="4DB7C266">
      <w:pPr>
        <w:pStyle w:val="13"/>
        <w:tabs>
          <w:tab w:val="right" w:leader="dot" w:pos="9344"/>
        </w:tabs>
        <w:spacing w:line="400" w:lineRule="exact"/>
        <w:rPr>
          <w:smallCaps w:val="0"/>
          <w:color w:val="auto"/>
          <w:sz w:val="21"/>
          <w:szCs w:val="21"/>
          <w:highlight w:val="none"/>
        </w:rPr>
      </w:pPr>
      <w:r>
        <w:rPr>
          <w:color w:val="auto"/>
          <w:highlight w:val="none"/>
        </w:rPr>
        <w:fldChar w:fldCharType="begin"/>
      </w:r>
      <w:r>
        <w:rPr>
          <w:color w:val="auto"/>
          <w:highlight w:val="none"/>
        </w:rPr>
        <w:instrText xml:space="preserve"> HYPERLINK \l "_Toc63412056" </w:instrText>
      </w:r>
      <w:r>
        <w:rPr>
          <w:color w:val="auto"/>
          <w:highlight w:val="none"/>
        </w:rPr>
        <w:fldChar w:fldCharType="separate"/>
      </w:r>
      <w:r>
        <w:rPr>
          <w:rStyle w:val="27"/>
          <w:rFonts w:hint="eastAsia" w:ascii="新宋体" w:hAnsi="新宋体" w:eastAsia="新宋体"/>
          <w:color w:val="auto"/>
          <w:sz w:val="21"/>
          <w:szCs w:val="21"/>
          <w:highlight w:val="none"/>
        </w:rPr>
        <w:t>五、</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开标和评标</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_Toc63412056 \h </w:instrText>
      </w:r>
      <w:r>
        <w:rPr>
          <w:color w:val="auto"/>
          <w:sz w:val="21"/>
          <w:szCs w:val="21"/>
          <w:highlight w:val="none"/>
        </w:rPr>
        <w:fldChar w:fldCharType="separate"/>
      </w:r>
      <w:r>
        <w:rPr>
          <w:color w:val="auto"/>
          <w:sz w:val="21"/>
          <w:szCs w:val="21"/>
          <w:highlight w:val="none"/>
        </w:rPr>
        <w:t>1</w:t>
      </w:r>
      <w:r>
        <w:rPr>
          <w:rFonts w:hint="eastAsia"/>
          <w:color w:val="auto"/>
          <w:sz w:val="21"/>
          <w:szCs w:val="21"/>
          <w:highlight w:val="none"/>
          <w:lang w:val="en-US" w:eastAsia="zh-CN"/>
        </w:rPr>
        <w:t>5</w:t>
      </w:r>
      <w:r>
        <w:rPr>
          <w:color w:val="auto"/>
          <w:sz w:val="21"/>
          <w:szCs w:val="21"/>
          <w:highlight w:val="none"/>
        </w:rPr>
        <w:fldChar w:fldCharType="end"/>
      </w:r>
      <w:r>
        <w:rPr>
          <w:color w:val="auto"/>
          <w:sz w:val="21"/>
          <w:szCs w:val="21"/>
          <w:highlight w:val="none"/>
        </w:rPr>
        <w:fldChar w:fldCharType="end"/>
      </w:r>
    </w:p>
    <w:p w14:paraId="6A170020">
      <w:pPr>
        <w:pStyle w:val="13"/>
        <w:tabs>
          <w:tab w:val="right" w:leader="dot" w:pos="9344"/>
        </w:tabs>
        <w:spacing w:line="400" w:lineRule="exact"/>
        <w:rPr>
          <w:rFonts w:hint="eastAsia" w:eastAsia="宋体"/>
          <w:smallCaps w:val="0"/>
          <w:color w:val="auto"/>
          <w:sz w:val="21"/>
          <w:szCs w:val="21"/>
          <w:highlight w:val="none"/>
          <w:lang w:val="en-US" w:eastAsia="zh-CN"/>
        </w:rPr>
      </w:pPr>
      <w:r>
        <w:rPr>
          <w:color w:val="auto"/>
          <w:highlight w:val="none"/>
        </w:rPr>
        <w:fldChar w:fldCharType="begin"/>
      </w:r>
      <w:r>
        <w:rPr>
          <w:color w:val="auto"/>
          <w:highlight w:val="none"/>
        </w:rPr>
        <w:instrText xml:space="preserve"> HYPERLINK \l "_Toc63412057" </w:instrText>
      </w:r>
      <w:r>
        <w:rPr>
          <w:color w:val="auto"/>
          <w:highlight w:val="none"/>
        </w:rPr>
        <w:fldChar w:fldCharType="separate"/>
      </w:r>
      <w:r>
        <w:rPr>
          <w:rStyle w:val="27"/>
          <w:rFonts w:hint="eastAsia" w:ascii="新宋体" w:hAnsi="新宋体" w:eastAsia="新宋体"/>
          <w:color w:val="auto"/>
          <w:sz w:val="21"/>
          <w:szCs w:val="21"/>
          <w:highlight w:val="none"/>
        </w:rPr>
        <w:t>六、</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授予合同</w:t>
      </w:r>
      <w:r>
        <w:rPr>
          <w:color w:val="auto"/>
          <w:sz w:val="21"/>
          <w:szCs w:val="21"/>
          <w:highlight w:val="none"/>
        </w:rPr>
        <w:tab/>
      </w:r>
      <w:r>
        <w:rPr>
          <w:rFonts w:hint="eastAsia"/>
          <w:color w:val="auto"/>
          <w:sz w:val="21"/>
          <w:szCs w:val="21"/>
          <w:highlight w:val="none"/>
          <w:lang w:val="en-US" w:eastAsia="zh-CN"/>
        </w:rPr>
        <w:t>1</w:t>
      </w:r>
      <w:r>
        <w:rPr>
          <w:color w:val="auto"/>
          <w:sz w:val="21"/>
          <w:szCs w:val="21"/>
          <w:highlight w:val="none"/>
        </w:rPr>
        <w:fldChar w:fldCharType="end"/>
      </w:r>
      <w:r>
        <w:rPr>
          <w:rFonts w:hint="eastAsia"/>
          <w:color w:val="auto"/>
          <w:sz w:val="21"/>
          <w:szCs w:val="21"/>
          <w:highlight w:val="none"/>
          <w:lang w:val="en-US" w:eastAsia="zh-CN"/>
        </w:rPr>
        <w:t>9</w:t>
      </w:r>
    </w:p>
    <w:p w14:paraId="18606D30">
      <w:pPr>
        <w:pStyle w:val="18"/>
        <w:tabs>
          <w:tab w:val="right" w:leader="dot" w:pos="9344"/>
        </w:tabs>
        <w:spacing w:before="0" w:after="0" w:line="400" w:lineRule="exact"/>
        <w:rPr>
          <w:rFonts w:hint="eastAsia" w:eastAsia="宋体"/>
          <w:b w:val="0"/>
          <w:bCs w:val="0"/>
          <w:caps w:val="0"/>
          <w:color w:val="auto"/>
          <w:sz w:val="21"/>
          <w:szCs w:val="21"/>
          <w:highlight w:val="none"/>
          <w:lang w:eastAsia="zh-CN"/>
        </w:rPr>
      </w:pPr>
      <w:r>
        <w:rPr>
          <w:color w:val="auto"/>
          <w:highlight w:val="none"/>
        </w:rPr>
        <w:fldChar w:fldCharType="begin"/>
      </w:r>
      <w:r>
        <w:rPr>
          <w:color w:val="auto"/>
          <w:highlight w:val="none"/>
        </w:rPr>
        <w:instrText xml:space="preserve"> HYPERLINK \l "_Toc63412058" </w:instrText>
      </w:r>
      <w:r>
        <w:rPr>
          <w:color w:val="auto"/>
          <w:highlight w:val="none"/>
        </w:rPr>
        <w:fldChar w:fldCharType="separate"/>
      </w:r>
      <w:r>
        <w:rPr>
          <w:rStyle w:val="27"/>
          <w:rFonts w:hint="eastAsia" w:ascii="新宋体" w:hAnsi="新宋体" w:eastAsia="新宋体"/>
          <w:color w:val="auto"/>
          <w:sz w:val="21"/>
          <w:szCs w:val="21"/>
          <w:highlight w:val="none"/>
        </w:rPr>
        <w:t>第二部分</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合同格式</w:t>
      </w:r>
      <w:r>
        <w:rPr>
          <w:color w:val="auto"/>
          <w:sz w:val="21"/>
          <w:szCs w:val="21"/>
          <w:highlight w:val="none"/>
        </w:rPr>
        <w:tab/>
      </w:r>
      <w:r>
        <w:rPr>
          <w:rFonts w:hint="eastAsia"/>
          <w:color w:val="auto"/>
          <w:sz w:val="21"/>
          <w:szCs w:val="21"/>
          <w:highlight w:val="none"/>
        </w:rPr>
        <w:t>2</w:t>
      </w:r>
      <w:r>
        <w:rPr>
          <w:rFonts w:hint="eastAsia"/>
          <w:color w:val="auto"/>
          <w:sz w:val="21"/>
          <w:szCs w:val="21"/>
          <w:highlight w:val="none"/>
        </w:rPr>
        <w:fldChar w:fldCharType="end"/>
      </w:r>
      <w:r>
        <w:rPr>
          <w:rFonts w:hint="eastAsia"/>
          <w:color w:val="auto"/>
          <w:sz w:val="21"/>
          <w:szCs w:val="21"/>
          <w:highlight w:val="none"/>
          <w:lang w:val="en-US" w:eastAsia="zh-CN"/>
        </w:rPr>
        <w:t>1</w:t>
      </w:r>
    </w:p>
    <w:p w14:paraId="342FC616">
      <w:pPr>
        <w:pStyle w:val="18"/>
        <w:tabs>
          <w:tab w:val="right" w:leader="dot" w:pos="9344"/>
        </w:tabs>
        <w:spacing w:before="0" w:after="0" w:line="400" w:lineRule="exact"/>
        <w:rPr>
          <w:rFonts w:hint="eastAsia" w:eastAsia="宋体"/>
          <w:b w:val="0"/>
          <w:bCs w:val="0"/>
          <w:caps w:val="0"/>
          <w:color w:val="auto"/>
          <w:sz w:val="21"/>
          <w:szCs w:val="21"/>
          <w:highlight w:val="none"/>
          <w:lang w:eastAsia="zh-CN"/>
        </w:rPr>
      </w:pPr>
      <w:r>
        <w:rPr>
          <w:color w:val="auto"/>
          <w:highlight w:val="none"/>
        </w:rPr>
        <w:fldChar w:fldCharType="begin"/>
      </w:r>
      <w:r>
        <w:rPr>
          <w:color w:val="auto"/>
          <w:highlight w:val="none"/>
        </w:rPr>
        <w:instrText xml:space="preserve"> HYPERLINK \l "_Toc63412059" </w:instrText>
      </w:r>
      <w:r>
        <w:rPr>
          <w:color w:val="auto"/>
          <w:highlight w:val="none"/>
        </w:rPr>
        <w:fldChar w:fldCharType="separate"/>
      </w:r>
      <w:r>
        <w:rPr>
          <w:rStyle w:val="27"/>
          <w:rFonts w:hint="eastAsia" w:ascii="新宋体" w:hAnsi="新宋体" w:eastAsia="新宋体"/>
          <w:color w:val="auto"/>
          <w:sz w:val="21"/>
          <w:szCs w:val="21"/>
          <w:highlight w:val="none"/>
        </w:rPr>
        <w:t>第三部分</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附件</w:t>
      </w:r>
      <w:r>
        <w:rPr>
          <w:color w:val="auto"/>
          <w:sz w:val="21"/>
          <w:szCs w:val="21"/>
          <w:highlight w:val="none"/>
        </w:rPr>
        <w:tab/>
      </w:r>
      <w:r>
        <w:rPr>
          <w:rFonts w:hint="eastAsia"/>
          <w:color w:val="auto"/>
          <w:sz w:val="21"/>
          <w:szCs w:val="21"/>
          <w:highlight w:val="none"/>
        </w:rPr>
        <w:t>2</w:t>
      </w:r>
      <w:r>
        <w:rPr>
          <w:rFonts w:hint="eastAsia"/>
          <w:color w:val="auto"/>
          <w:sz w:val="21"/>
          <w:szCs w:val="21"/>
          <w:highlight w:val="none"/>
        </w:rPr>
        <w:fldChar w:fldCharType="end"/>
      </w:r>
      <w:r>
        <w:rPr>
          <w:rFonts w:hint="eastAsia"/>
          <w:color w:val="auto"/>
          <w:sz w:val="21"/>
          <w:szCs w:val="21"/>
          <w:highlight w:val="none"/>
          <w:lang w:val="en-US" w:eastAsia="zh-CN"/>
        </w:rPr>
        <w:t>5</w:t>
      </w:r>
    </w:p>
    <w:p w14:paraId="6266644E">
      <w:pPr>
        <w:pStyle w:val="13"/>
        <w:tabs>
          <w:tab w:val="right" w:leader="dot" w:pos="9344"/>
        </w:tabs>
        <w:spacing w:line="400" w:lineRule="exact"/>
        <w:rPr>
          <w:rStyle w:val="27"/>
          <w:rFonts w:hint="eastAsia" w:ascii="新宋体" w:hAnsi="新宋体" w:eastAsia="新宋体"/>
          <w:color w:val="auto"/>
          <w:sz w:val="21"/>
          <w:szCs w:val="21"/>
          <w:highlight w:val="none"/>
          <w:lang w:eastAsia="zh-CN"/>
        </w:rPr>
      </w:pPr>
      <w:r>
        <w:rPr>
          <w:color w:val="auto"/>
          <w:highlight w:val="none"/>
        </w:rPr>
        <w:fldChar w:fldCharType="begin"/>
      </w:r>
      <w:r>
        <w:rPr>
          <w:color w:val="auto"/>
          <w:highlight w:val="none"/>
        </w:rPr>
        <w:instrText xml:space="preserve"> HYPERLINK \l "_Toc63412060" </w:instrText>
      </w:r>
      <w:r>
        <w:rPr>
          <w:color w:val="auto"/>
          <w:highlight w:val="none"/>
        </w:rPr>
        <w:fldChar w:fldCharType="separate"/>
      </w:r>
      <w:r>
        <w:rPr>
          <w:rStyle w:val="27"/>
          <w:rFonts w:hint="eastAsia" w:ascii="新宋体" w:hAnsi="新宋体" w:eastAsia="新宋体"/>
          <w:color w:val="auto"/>
          <w:sz w:val="21"/>
          <w:szCs w:val="21"/>
          <w:highlight w:val="none"/>
        </w:rPr>
        <w:t>附件一  投 标 函</w:t>
      </w:r>
      <w:r>
        <w:rPr>
          <w:rStyle w:val="27"/>
          <w:rFonts w:hint="eastAsia" w:ascii="新宋体" w:hAnsi="新宋体" w:eastAsia="新宋体"/>
          <w:color w:val="auto"/>
          <w:sz w:val="21"/>
          <w:szCs w:val="21"/>
          <w:highlight w:val="none"/>
        </w:rPr>
        <w:tab/>
      </w:r>
      <w:r>
        <w:rPr>
          <w:rStyle w:val="27"/>
          <w:rFonts w:hint="eastAsia" w:ascii="新宋体" w:hAnsi="新宋体" w:eastAsia="新宋体"/>
          <w:color w:val="auto"/>
          <w:sz w:val="21"/>
          <w:szCs w:val="21"/>
          <w:highlight w:val="none"/>
        </w:rPr>
        <w:fldChar w:fldCharType="end"/>
      </w:r>
      <w:r>
        <w:rPr>
          <w:rStyle w:val="27"/>
          <w:rFonts w:hint="eastAsia" w:ascii="新宋体" w:hAnsi="新宋体" w:eastAsia="新宋体"/>
          <w:color w:val="auto"/>
          <w:sz w:val="21"/>
          <w:szCs w:val="21"/>
          <w:highlight w:val="none"/>
        </w:rPr>
        <w:t>2</w:t>
      </w:r>
      <w:r>
        <w:rPr>
          <w:rStyle w:val="27"/>
          <w:rFonts w:hint="eastAsia" w:ascii="新宋体" w:hAnsi="新宋体" w:eastAsia="新宋体"/>
          <w:color w:val="auto"/>
          <w:sz w:val="21"/>
          <w:szCs w:val="21"/>
          <w:highlight w:val="none"/>
          <w:lang w:val="en-US" w:eastAsia="zh-CN"/>
        </w:rPr>
        <w:t>5</w:t>
      </w:r>
    </w:p>
    <w:p w14:paraId="4DBD7745">
      <w:pPr>
        <w:pStyle w:val="13"/>
        <w:tabs>
          <w:tab w:val="right" w:leader="dot" w:pos="9344"/>
        </w:tabs>
        <w:spacing w:line="400" w:lineRule="exact"/>
        <w:rPr>
          <w:rStyle w:val="27"/>
          <w:rFonts w:hint="eastAsia" w:ascii="新宋体" w:hAnsi="新宋体" w:eastAsia="新宋体"/>
          <w:color w:val="auto"/>
          <w:sz w:val="21"/>
          <w:szCs w:val="21"/>
          <w:highlight w:val="none"/>
          <w:lang w:val="en-US" w:eastAsia="zh-CN"/>
        </w:rPr>
      </w:pPr>
      <w:r>
        <w:rPr>
          <w:color w:val="auto"/>
          <w:highlight w:val="none"/>
        </w:rPr>
        <w:fldChar w:fldCharType="begin"/>
      </w:r>
      <w:r>
        <w:rPr>
          <w:color w:val="auto"/>
          <w:highlight w:val="none"/>
        </w:rPr>
        <w:instrText xml:space="preserve"> HYPERLINK \l "_Toc63412061" </w:instrText>
      </w:r>
      <w:r>
        <w:rPr>
          <w:color w:val="auto"/>
          <w:highlight w:val="none"/>
        </w:rPr>
        <w:fldChar w:fldCharType="separate"/>
      </w:r>
      <w:r>
        <w:rPr>
          <w:rStyle w:val="27"/>
          <w:rFonts w:hint="eastAsia" w:ascii="新宋体" w:hAnsi="新宋体" w:eastAsia="新宋体"/>
          <w:color w:val="auto"/>
          <w:sz w:val="21"/>
          <w:szCs w:val="21"/>
          <w:highlight w:val="none"/>
        </w:rPr>
        <w:t>附件二  开标一览表</w:t>
      </w:r>
      <w:r>
        <w:rPr>
          <w:rStyle w:val="27"/>
          <w:rFonts w:hint="eastAsia" w:ascii="新宋体" w:hAnsi="新宋体" w:eastAsia="新宋体"/>
          <w:color w:val="auto"/>
          <w:sz w:val="21"/>
          <w:szCs w:val="21"/>
          <w:highlight w:val="none"/>
        </w:rPr>
        <w:tab/>
      </w:r>
      <w:r>
        <w:rPr>
          <w:rStyle w:val="27"/>
          <w:rFonts w:hint="eastAsia" w:ascii="新宋体" w:hAnsi="新宋体" w:eastAsia="新宋体"/>
          <w:color w:val="auto"/>
          <w:sz w:val="21"/>
          <w:szCs w:val="21"/>
          <w:highlight w:val="none"/>
          <w:lang w:val="en-US" w:eastAsia="zh-CN"/>
        </w:rPr>
        <w:t>2</w:t>
      </w:r>
      <w:r>
        <w:rPr>
          <w:rStyle w:val="27"/>
          <w:rFonts w:hint="eastAsia" w:ascii="新宋体" w:hAnsi="新宋体" w:eastAsia="新宋体"/>
          <w:color w:val="auto"/>
          <w:sz w:val="21"/>
          <w:szCs w:val="21"/>
          <w:highlight w:val="none"/>
        </w:rPr>
        <w:fldChar w:fldCharType="end"/>
      </w:r>
      <w:r>
        <w:rPr>
          <w:rStyle w:val="27"/>
          <w:rFonts w:hint="eastAsia" w:ascii="新宋体" w:hAnsi="新宋体" w:eastAsia="新宋体"/>
          <w:color w:val="auto"/>
          <w:sz w:val="21"/>
          <w:szCs w:val="21"/>
          <w:highlight w:val="none"/>
          <w:lang w:val="en-US" w:eastAsia="zh-CN"/>
        </w:rPr>
        <w:t>6</w:t>
      </w:r>
    </w:p>
    <w:p w14:paraId="6E1C221C">
      <w:pPr>
        <w:pStyle w:val="13"/>
        <w:tabs>
          <w:tab w:val="right" w:leader="dot" w:pos="9344"/>
        </w:tabs>
        <w:spacing w:line="400" w:lineRule="exact"/>
        <w:rPr>
          <w:rStyle w:val="27"/>
          <w:rFonts w:hint="eastAsia" w:ascii="新宋体" w:hAnsi="新宋体" w:eastAsia="新宋体"/>
          <w:color w:val="auto"/>
          <w:sz w:val="21"/>
          <w:szCs w:val="21"/>
          <w:highlight w:val="none"/>
          <w:lang w:eastAsia="zh-CN"/>
        </w:rPr>
      </w:pPr>
      <w:r>
        <w:rPr>
          <w:rStyle w:val="27"/>
          <w:rFonts w:hint="eastAsia" w:ascii="新宋体" w:hAnsi="新宋体" w:eastAsia="新宋体"/>
          <w:color w:val="auto"/>
          <w:sz w:val="21"/>
          <w:szCs w:val="21"/>
          <w:highlight w:val="none"/>
        </w:rPr>
        <w:t>附件三  投标分项报价表</w:t>
      </w:r>
      <w:r>
        <w:rPr>
          <w:rStyle w:val="27"/>
          <w:rFonts w:hint="eastAsia" w:ascii="新宋体" w:hAnsi="新宋体" w:eastAsia="新宋体"/>
          <w:color w:val="auto"/>
          <w:sz w:val="21"/>
          <w:szCs w:val="21"/>
          <w:highlight w:val="none"/>
        </w:rPr>
        <w:tab/>
      </w:r>
      <w:r>
        <w:rPr>
          <w:rStyle w:val="27"/>
          <w:rFonts w:hint="eastAsia" w:ascii="新宋体" w:hAnsi="新宋体" w:eastAsia="新宋体"/>
          <w:color w:val="auto"/>
          <w:sz w:val="21"/>
          <w:szCs w:val="21"/>
          <w:highlight w:val="none"/>
        </w:rPr>
        <w:t>2</w:t>
      </w:r>
      <w:r>
        <w:rPr>
          <w:rStyle w:val="27"/>
          <w:rFonts w:hint="eastAsia" w:ascii="新宋体" w:hAnsi="新宋体" w:eastAsia="新宋体"/>
          <w:color w:val="auto"/>
          <w:sz w:val="21"/>
          <w:szCs w:val="21"/>
          <w:highlight w:val="none"/>
          <w:lang w:val="en-US" w:eastAsia="zh-CN"/>
        </w:rPr>
        <w:t>7</w:t>
      </w:r>
    </w:p>
    <w:p w14:paraId="60D2FF8F">
      <w:pPr>
        <w:pStyle w:val="13"/>
        <w:tabs>
          <w:tab w:val="right" w:leader="dot" w:pos="9344"/>
        </w:tabs>
        <w:spacing w:line="400" w:lineRule="exact"/>
        <w:rPr>
          <w:rStyle w:val="27"/>
          <w:rFonts w:ascii="新宋体" w:hAnsi="新宋体" w:eastAsia="新宋体"/>
          <w:color w:val="auto"/>
          <w:sz w:val="21"/>
          <w:szCs w:val="21"/>
          <w:highlight w:val="none"/>
        </w:rPr>
      </w:pPr>
      <w:r>
        <w:rPr>
          <w:rStyle w:val="27"/>
          <w:rFonts w:hint="eastAsia" w:ascii="新宋体" w:hAnsi="新宋体" w:eastAsia="新宋体"/>
          <w:color w:val="auto"/>
          <w:sz w:val="21"/>
          <w:szCs w:val="21"/>
          <w:highlight w:val="none"/>
        </w:rPr>
        <w:t>附件四  《中小企业声明函》或《残疾人福利性单位声明函》或《监狱企业价格扣除证明材料》证明材料</w:t>
      </w:r>
      <w:r>
        <w:rPr>
          <w:rStyle w:val="27"/>
          <w:rFonts w:hint="eastAsia" w:ascii="新宋体" w:hAnsi="新宋体" w:eastAsia="新宋体"/>
          <w:color w:val="auto"/>
          <w:sz w:val="21"/>
          <w:szCs w:val="21"/>
          <w:highlight w:val="none"/>
        </w:rPr>
        <w:tab/>
      </w:r>
      <w:r>
        <w:rPr>
          <w:rStyle w:val="27"/>
          <w:rFonts w:hint="eastAsia" w:ascii="新宋体" w:hAnsi="新宋体" w:eastAsia="新宋体"/>
          <w:color w:val="auto"/>
          <w:sz w:val="21"/>
          <w:szCs w:val="21"/>
          <w:highlight w:val="none"/>
        </w:rPr>
        <w:fldChar w:fldCharType="begin"/>
      </w:r>
      <w:r>
        <w:rPr>
          <w:rStyle w:val="27"/>
          <w:rFonts w:hint="eastAsia" w:ascii="新宋体" w:hAnsi="新宋体" w:eastAsia="新宋体"/>
          <w:color w:val="auto"/>
          <w:sz w:val="21"/>
          <w:szCs w:val="21"/>
          <w:highlight w:val="none"/>
        </w:rPr>
        <w:instrText xml:space="preserve"> PAGEREF _Toc63412062 \h </w:instrText>
      </w:r>
      <w:r>
        <w:rPr>
          <w:rStyle w:val="27"/>
          <w:rFonts w:hint="eastAsia" w:ascii="新宋体" w:hAnsi="新宋体" w:eastAsia="新宋体"/>
          <w:color w:val="auto"/>
          <w:sz w:val="21"/>
          <w:szCs w:val="21"/>
          <w:highlight w:val="none"/>
        </w:rPr>
        <w:fldChar w:fldCharType="separate"/>
      </w:r>
      <w:r>
        <w:rPr>
          <w:rStyle w:val="27"/>
          <w:rFonts w:hint="eastAsia" w:ascii="新宋体" w:hAnsi="新宋体" w:eastAsia="新宋体"/>
          <w:color w:val="auto"/>
          <w:sz w:val="21"/>
          <w:szCs w:val="21"/>
          <w:highlight w:val="none"/>
        </w:rPr>
        <w:t>2</w:t>
      </w:r>
      <w:r>
        <w:rPr>
          <w:rStyle w:val="27"/>
          <w:rFonts w:hint="eastAsia" w:ascii="新宋体" w:hAnsi="新宋体" w:eastAsia="新宋体"/>
          <w:color w:val="auto"/>
          <w:sz w:val="21"/>
          <w:szCs w:val="21"/>
          <w:highlight w:val="none"/>
          <w:lang w:val="en-US" w:eastAsia="zh-CN"/>
        </w:rPr>
        <w:t>8</w:t>
      </w:r>
      <w:r>
        <w:rPr>
          <w:rStyle w:val="27"/>
          <w:rFonts w:hint="eastAsia" w:ascii="新宋体" w:hAnsi="新宋体" w:eastAsia="新宋体"/>
          <w:color w:val="auto"/>
          <w:sz w:val="21"/>
          <w:szCs w:val="21"/>
          <w:highlight w:val="none"/>
        </w:rPr>
        <w:fldChar w:fldCharType="end"/>
      </w:r>
    </w:p>
    <w:p w14:paraId="4BDA1577">
      <w:pPr>
        <w:pStyle w:val="13"/>
        <w:tabs>
          <w:tab w:val="right" w:leader="dot" w:pos="9344"/>
        </w:tabs>
        <w:spacing w:line="400" w:lineRule="exact"/>
        <w:rPr>
          <w:rStyle w:val="27"/>
          <w:rFonts w:hint="eastAsia" w:ascii="新宋体" w:hAnsi="新宋体" w:eastAsia="新宋体"/>
          <w:color w:val="auto"/>
          <w:sz w:val="21"/>
          <w:szCs w:val="21"/>
          <w:highlight w:val="none"/>
          <w:lang w:eastAsia="zh-CN"/>
        </w:rPr>
      </w:pPr>
      <w:r>
        <w:rPr>
          <w:color w:val="auto"/>
          <w:highlight w:val="none"/>
        </w:rPr>
        <w:fldChar w:fldCharType="begin"/>
      </w:r>
      <w:r>
        <w:rPr>
          <w:color w:val="auto"/>
          <w:highlight w:val="none"/>
        </w:rPr>
        <w:instrText xml:space="preserve"> HYPERLINK \l "_Toc63412063" </w:instrText>
      </w:r>
      <w:r>
        <w:rPr>
          <w:color w:val="auto"/>
          <w:highlight w:val="none"/>
        </w:rPr>
        <w:fldChar w:fldCharType="separate"/>
      </w:r>
      <w:r>
        <w:rPr>
          <w:rStyle w:val="27"/>
          <w:rFonts w:hint="eastAsia" w:ascii="新宋体" w:hAnsi="新宋体" w:eastAsia="新宋体"/>
          <w:color w:val="auto"/>
          <w:sz w:val="21"/>
          <w:szCs w:val="21"/>
          <w:highlight w:val="none"/>
        </w:rPr>
        <w:t>附件五  技术偏离表、商务偏离表</w:t>
      </w:r>
      <w:r>
        <w:rPr>
          <w:rStyle w:val="27"/>
          <w:rFonts w:hint="eastAsia" w:ascii="新宋体" w:hAnsi="新宋体" w:eastAsia="新宋体"/>
          <w:color w:val="auto"/>
          <w:sz w:val="21"/>
          <w:szCs w:val="21"/>
          <w:highlight w:val="none"/>
        </w:rPr>
        <w:tab/>
      </w:r>
      <w:r>
        <w:rPr>
          <w:rStyle w:val="27"/>
          <w:rFonts w:hint="eastAsia" w:ascii="新宋体" w:hAnsi="新宋体" w:eastAsia="新宋体"/>
          <w:color w:val="auto"/>
          <w:sz w:val="21"/>
          <w:szCs w:val="21"/>
          <w:highlight w:val="none"/>
        </w:rPr>
        <w:t>3</w:t>
      </w:r>
      <w:r>
        <w:rPr>
          <w:rStyle w:val="27"/>
          <w:rFonts w:hint="eastAsia" w:ascii="新宋体" w:hAnsi="新宋体" w:eastAsia="新宋体"/>
          <w:color w:val="auto"/>
          <w:sz w:val="21"/>
          <w:szCs w:val="21"/>
          <w:highlight w:val="none"/>
        </w:rPr>
        <w:fldChar w:fldCharType="end"/>
      </w:r>
      <w:r>
        <w:rPr>
          <w:rStyle w:val="27"/>
          <w:rFonts w:hint="eastAsia" w:ascii="新宋体" w:hAnsi="新宋体" w:eastAsia="新宋体"/>
          <w:color w:val="auto"/>
          <w:sz w:val="21"/>
          <w:szCs w:val="21"/>
          <w:highlight w:val="none"/>
          <w:lang w:val="en-US" w:eastAsia="zh-CN"/>
        </w:rPr>
        <w:t>1</w:t>
      </w:r>
    </w:p>
    <w:p w14:paraId="0F79BB7D">
      <w:pPr>
        <w:pStyle w:val="13"/>
        <w:tabs>
          <w:tab w:val="right" w:leader="dot" w:pos="9344"/>
        </w:tabs>
        <w:spacing w:line="400" w:lineRule="exact"/>
        <w:rPr>
          <w:smallCaps w:val="0"/>
          <w:color w:val="auto"/>
          <w:sz w:val="21"/>
          <w:szCs w:val="21"/>
          <w:highlight w:val="none"/>
        </w:rPr>
      </w:pPr>
      <w:r>
        <w:rPr>
          <w:color w:val="auto"/>
          <w:highlight w:val="none"/>
        </w:rPr>
        <w:fldChar w:fldCharType="begin"/>
      </w:r>
      <w:r>
        <w:rPr>
          <w:color w:val="auto"/>
          <w:highlight w:val="none"/>
        </w:rPr>
        <w:instrText xml:space="preserve"> HYPERLINK \l "_Toc63412064" </w:instrText>
      </w:r>
      <w:r>
        <w:rPr>
          <w:color w:val="auto"/>
          <w:highlight w:val="none"/>
        </w:rPr>
        <w:fldChar w:fldCharType="separate"/>
      </w:r>
      <w:r>
        <w:rPr>
          <w:rStyle w:val="27"/>
          <w:rFonts w:hint="eastAsia" w:ascii="新宋体" w:hAnsi="新宋体" w:eastAsia="新宋体"/>
          <w:color w:val="auto"/>
          <w:sz w:val="21"/>
          <w:szCs w:val="21"/>
          <w:highlight w:val="none"/>
        </w:rPr>
        <w:t>附件六  证明文件</w:t>
      </w:r>
      <w:r>
        <w:rPr>
          <w:rStyle w:val="27"/>
          <w:rFonts w:hint="eastAsia" w:ascii="新宋体" w:hAnsi="新宋体" w:eastAsia="新宋体"/>
          <w:color w:val="auto"/>
          <w:sz w:val="21"/>
          <w:szCs w:val="21"/>
          <w:highlight w:val="none"/>
        </w:rPr>
        <w:tab/>
      </w:r>
      <w:r>
        <w:rPr>
          <w:rStyle w:val="27"/>
          <w:rFonts w:hint="eastAsia" w:ascii="新宋体" w:hAnsi="新宋体" w:eastAsia="新宋体"/>
          <w:color w:val="auto"/>
          <w:sz w:val="21"/>
          <w:szCs w:val="21"/>
          <w:highlight w:val="none"/>
        </w:rPr>
        <w:fldChar w:fldCharType="begin"/>
      </w:r>
      <w:r>
        <w:rPr>
          <w:rStyle w:val="27"/>
          <w:rFonts w:hint="eastAsia" w:ascii="新宋体" w:hAnsi="新宋体" w:eastAsia="新宋体"/>
          <w:color w:val="auto"/>
          <w:sz w:val="21"/>
          <w:szCs w:val="21"/>
          <w:highlight w:val="none"/>
        </w:rPr>
        <w:instrText xml:space="preserve"> PAGEREF _Toc63412064 \h </w:instrText>
      </w:r>
      <w:r>
        <w:rPr>
          <w:rStyle w:val="27"/>
          <w:rFonts w:hint="eastAsia" w:ascii="新宋体" w:hAnsi="新宋体" w:eastAsia="新宋体"/>
          <w:color w:val="auto"/>
          <w:sz w:val="21"/>
          <w:szCs w:val="21"/>
          <w:highlight w:val="none"/>
        </w:rPr>
        <w:fldChar w:fldCharType="separate"/>
      </w:r>
      <w:r>
        <w:rPr>
          <w:rStyle w:val="27"/>
          <w:rFonts w:hint="eastAsia" w:ascii="新宋体" w:hAnsi="新宋体" w:eastAsia="新宋体"/>
          <w:color w:val="auto"/>
          <w:sz w:val="21"/>
          <w:szCs w:val="21"/>
          <w:highlight w:val="none"/>
        </w:rPr>
        <w:t>3</w:t>
      </w:r>
      <w:r>
        <w:rPr>
          <w:rStyle w:val="27"/>
          <w:rFonts w:hint="eastAsia" w:ascii="新宋体" w:hAnsi="新宋体" w:eastAsia="新宋体"/>
          <w:color w:val="auto"/>
          <w:sz w:val="21"/>
          <w:szCs w:val="21"/>
          <w:highlight w:val="none"/>
          <w:lang w:val="en-US" w:eastAsia="zh-CN"/>
        </w:rPr>
        <w:t>3</w:t>
      </w:r>
      <w:r>
        <w:rPr>
          <w:rStyle w:val="27"/>
          <w:rFonts w:hint="eastAsia" w:ascii="新宋体" w:hAnsi="新宋体" w:eastAsia="新宋体"/>
          <w:color w:val="auto"/>
          <w:sz w:val="21"/>
          <w:szCs w:val="21"/>
          <w:highlight w:val="none"/>
        </w:rPr>
        <w:fldChar w:fldCharType="end"/>
      </w:r>
      <w:r>
        <w:rPr>
          <w:rStyle w:val="27"/>
          <w:rFonts w:hint="eastAsia" w:ascii="新宋体" w:hAnsi="新宋体" w:eastAsia="新宋体"/>
          <w:color w:val="auto"/>
          <w:sz w:val="21"/>
          <w:szCs w:val="21"/>
          <w:highlight w:val="none"/>
        </w:rPr>
        <w:fldChar w:fldCharType="end"/>
      </w:r>
    </w:p>
    <w:p w14:paraId="41865DEF">
      <w:pPr>
        <w:pStyle w:val="13"/>
        <w:tabs>
          <w:tab w:val="right" w:leader="dot" w:pos="9344"/>
        </w:tabs>
        <w:spacing w:line="400" w:lineRule="exact"/>
        <w:rPr>
          <w:rFonts w:hint="eastAsia" w:eastAsia="宋体"/>
          <w:smallCaps w:val="0"/>
          <w:color w:val="auto"/>
          <w:sz w:val="21"/>
          <w:szCs w:val="21"/>
          <w:highlight w:val="none"/>
          <w:lang w:eastAsia="zh-CN"/>
        </w:rPr>
      </w:pPr>
      <w:r>
        <w:rPr>
          <w:color w:val="auto"/>
          <w:highlight w:val="none"/>
        </w:rPr>
        <w:fldChar w:fldCharType="begin"/>
      </w:r>
      <w:r>
        <w:rPr>
          <w:color w:val="auto"/>
          <w:highlight w:val="none"/>
        </w:rPr>
        <w:instrText xml:space="preserve"> HYPERLINK \l "_Toc63412065" </w:instrText>
      </w:r>
      <w:r>
        <w:rPr>
          <w:color w:val="auto"/>
          <w:highlight w:val="none"/>
        </w:rPr>
        <w:fldChar w:fldCharType="separate"/>
      </w:r>
      <w:r>
        <w:rPr>
          <w:rStyle w:val="27"/>
          <w:rFonts w:hint="eastAsia" w:ascii="新宋体" w:hAnsi="新宋体" w:eastAsia="新宋体"/>
          <w:color w:val="auto"/>
          <w:sz w:val="21"/>
          <w:szCs w:val="21"/>
          <w:highlight w:val="none"/>
        </w:rPr>
        <w:t>（</w:t>
      </w:r>
      <w:r>
        <w:rPr>
          <w:rStyle w:val="27"/>
          <w:rFonts w:ascii="新宋体" w:hAnsi="新宋体" w:eastAsia="新宋体"/>
          <w:color w:val="auto"/>
          <w:sz w:val="21"/>
          <w:szCs w:val="21"/>
          <w:highlight w:val="none"/>
        </w:rPr>
        <w:t>1</w:t>
      </w:r>
      <w:r>
        <w:rPr>
          <w:rStyle w:val="27"/>
          <w:rFonts w:hint="eastAsia" w:ascii="新宋体" w:hAnsi="新宋体" w:eastAsia="新宋体"/>
          <w:color w:val="auto"/>
          <w:sz w:val="21"/>
          <w:szCs w:val="21"/>
          <w:highlight w:val="none"/>
        </w:rPr>
        <w:t>）法定代表人授权书</w:t>
      </w:r>
      <w:r>
        <w:rPr>
          <w:color w:val="auto"/>
          <w:sz w:val="21"/>
          <w:szCs w:val="21"/>
          <w:highlight w:val="none"/>
        </w:rPr>
        <w:tab/>
      </w:r>
      <w:r>
        <w:rPr>
          <w:rFonts w:hint="eastAsia"/>
          <w:color w:val="auto"/>
          <w:sz w:val="21"/>
          <w:szCs w:val="21"/>
          <w:highlight w:val="none"/>
        </w:rPr>
        <w:t>3</w:t>
      </w:r>
      <w:r>
        <w:rPr>
          <w:rFonts w:hint="eastAsia"/>
          <w:color w:val="auto"/>
          <w:sz w:val="21"/>
          <w:szCs w:val="21"/>
          <w:highlight w:val="none"/>
        </w:rPr>
        <w:fldChar w:fldCharType="end"/>
      </w:r>
      <w:r>
        <w:rPr>
          <w:rStyle w:val="27"/>
          <w:rFonts w:hint="eastAsia"/>
          <w:color w:val="auto"/>
          <w:sz w:val="21"/>
          <w:szCs w:val="21"/>
          <w:highlight w:val="none"/>
          <w:lang w:val="en-US" w:eastAsia="zh-CN"/>
        </w:rPr>
        <w:t>3</w:t>
      </w:r>
    </w:p>
    <w:p w14:paraId="5C6116A2">
      <w:pPr>
        <w:pStyle w:val="13"/>
        <w:tabs>
          <w:tab w:val="right" w:leader="dot" w:pos="9344"/>
        </w:tabs>
        <w:spacing w:line="400" w:lineRule="exact"/>
        <w:rPr>
          <w:rFonts w:hint="eastAsia" w:eastAsia="宋体"/>
          <w:smallCaps w:val="0"/>
          <w:color w:val="auto"/>
          <w:sz w:val="21"/>
          <w:szCs w:val="21"/>
          <w:highlight w:val="none"/>
          <w:lang w:eastAsia="zh-CN"/>
        </w:rPr>
      </w:pPr>
      <w:r>
        <w:rPr>
          <w:color w:val="auto"/>
          <w:highlight w:val="none"/>
        </w:rPr>
        <w:fldChar w:fldCharType="begin"/>
      </w:r>
      <w:r>
        <w:rPr>
          <w:color w:val="auto"/>
          <w:highlight w:val="none"/>
        </w:rPr>
        <w:instrText xml:space="preserve"> HYPERLINK \l "_Toc63412066" </w:instrText>
      </w:r>
      <w:r>
        <w:rPr>
          <w:color w:val="auto"/>
          <w:highlight w:val="none"/>
        </w:rPr>
        <w:fldChar w:fldCharType="separate"/>
      </w:r>
      <w:r>
        <w:rPr>
          <w:rStyle w:val="27"/>
          <w:rFonts w:hint="eastAsia" w:ascii="新宋体" w:hAnsi="新宋体" w:eastAsia="新宋体"/>
          <w:color w:val="auto"/>
          <w:sz w:val="21"/>
          <w:szCs w:val="21"/>
          <w:highlight w:val="none"/>
        </w:rPr>
        <w:t>（</w:t>
      </w:r>
      <w:r>
        <w:rPr>
          <w:rStyle w:val="27"/>
          <w:rFonts w:ascii="新宋体" w:hAnsi="新宋体" w:eastAsia="新宋体"/>
          <w:color w:val="auto"/>
          <w:sz w:val="21"/>
          <w:szCs w:val="21"/>
          <w:highlight w:val="none"/>
        </w:rPr>
        <w:t>2</w:t>
      </w:r>
      <w:r>
        <w:rPr>
          <w:rStyle w:val="27"/>
          <w:rFonts w:hint="eastAsia" w:ascii="新宋体" w:hAnsi="新宋体" w:eastAsia="新宋体"/>
          <w:color w:val="auto"/>
          <w:sz w:val="21"/>
          <w:szCs w:val="21"/>
          <w:highlight w:val="none"/>
        </w:rPr>
        <w:t>）</w:t>
      </w:r>
      <w:r>
        <w:rPr>
          <w:rStyle w:val="27"/>
          <w:rFonts w:hint="eastAsia" w:ascii="新宋体" w:hAnsi="新宋体" w:eastAsia="新宋体"/>
          <w:color w:val="auto"/>
          <w:sz w:val="21"/>
          <w:szCs w:val="21"/>
          <w:highlight w:val="none"/>
        </w:rPr>
        <w:fldChar w:fldCharType="end"/>
      </w:r>
      <w:r>
        <w:rPr>
          <w:color w:val="auto"/>
          <w:highlight w:val="none"/>
        </w:rPr>
        <w:fldChar w:fldCharType="begin"/>
      </w:r>
      <w:r>
        <w:rPr>
          <w:color w:val="auto"/>
          <w:highlight w:val="none"/>
        </w:rPr>
        <w:instrText xml:space="preserve"> HYPERLINK \l "_Toc63412067" </w:instrText>
      </w:r>
      <w:r>
        <w:rPr>
          <w:color w:val="auto"/>
          <w:highlight w:val="none"/>
        </w:rPr>
        <w:fldChar w:fldCharType="separate"/>
      </w:r>
      <w:r>
        <w:rPr>
          <w:rStyle w:val="27"/>
          <w:rFonts w:hint="eastAsia" w:ascii="新宋体" w:hAnsi="新宋体" w:eastAsia="新宋体"/>
          <w:color w:val="auto"/>
          <w:sz w:val="21"/>
          <w:szCs w:val="21"/>
          <w:highlight w:val="none"/>
        </w:rPr>
        <w:t>资格条件承诺函</w:t>
      </w:r>
      <w:r>
        <w:rPr>
          <w:color w:val="auto"/>
          <w:sz w:val="21"/>
          <w:szCs w:val="21"/>
          <w:highlight w:val="none"/>
        </w:rPr>
        <w:tab/>
      </w:r>
      <w:r>
        <w:rPr>
          <w:rFonts w:hint="eastAsia"/>
          <w:color w:val="auto"/>
          <w:sz w:val="21"/>
          <w:szCs w:val="21"/>
          <w:highlight w:val="none"/>
        </w:rPr>
        <w:t>3</w:t>
      </w:r>
      <w:r>
        <w:rPr>
          <w:rFonts w:hint="eastAsia"/>
          <w:color w:val="auto"/>
          <w:sz w:val="21"/>
          <w:szCs w:val="21"/>
          <w:highlight w:val="none"/>
        </w:rPr>
        <w:fldChar w:fldCharType="end"/>
      </w:r>
      <w:r>
        <w:rPr>
          <w:rFonts w:hint="eastAsia"/>
          <w:color w:val="auto"/>
          <w:sz w:val="21"/>
          <w:szCs w:val="21"/>
          <w:highlight w:val="none"/>
          <w:lang w:val="en-US" w:eastAsia="zh-CN"/>
        </w:rPr>
        <w:t>4</w:t>
      </w:r>
    </w:p>
    <w:p w14:paraId="0FA65711">
      <w:pPr>
        <w:pStyle w:val="13"/>
        <w:tabs>
          <w:tab w:val="right" w:leader="dot" w:pos="9344"/>
        </w:tabs>
        <w:spacing w:line="400" w:lineRule="exact"/>
        <w:rPr>
          <w:smallCaps w:val="0"/>
          <w:color w:val="auto"/>
          <w:sz w:val="21"/>
          <w:szCs w:val="21"/>
          <w:highlight w:val="none"/>
        </w:rPr>
      </w:pPr>
      <w:r>
        <w:rPr>
          <w:color w:val="auto"/>
          <w:highlight w:val="none"/>
        </w:rPr>
        <w:fldChar w:fldCharType="begin"/>
      </w:r>
      <w:r>
        <w:rPr>
          <w:color w:val="auto"/>
          <w:highlight w:val="none"/>
        </w:rPr>
        <w:instrText xml:space="preserve"> HYPERLINK \l "_Toc63412070" </w:instrText>
      </w:r>
      <w:r>
        <w:rPr>
          <w:color w:val="auto"/>
          <w:highlight w:val="none"/>
        </w:rPr>
        <w:fldChar w:fldCharType="separate"/>
      </w:r>
      <w:r>
        <w:rPr>
          <w:rStyle w:val="27"/>
          <w:rFonts w:hint="eastAsia" w:ascii="新宋体" w:hAnsi="新宋体" w:eastAsia="新宋体"/>
          <w:color w:val="auto"/>
          <w:sz w:val="21"/>
          <w:szCs w:val="21"/>
          <w:highlight w:val="none"/>
        </w:rPr>
        <w:t>附件七</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项目负责人情况表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_Toc63412070 \h </w:instrText>
      </w:r>
      <w:r>
        <w:rPr>
          <w:color w:val="auto"/>
          <w:sz w:val="21"/>
          <w:szCs w:val="21"/>
          <w:highlight w:val="none"/>
        </w:rPr>
        <w:fldChar w:fldCharType="separate"/>
      </w:r>
      <w:r>
        <w:rPr>
          <w:color w:val="auto"/>
          <w:sz w:val="21"/>
          <w:szCs w:val="21"/>
          <w:highlight w:val="none"/>
        </w:rPr>
        <w:t>3</w:t>
      </w:r>
      <w:r>
        <w:rPr>
          <w:rFonts w:hint="eastAsia"/>
          <w:color w:val="auto"/>
          <w:sz w:val="21"/>
          <w:szCs w:val="21"/>
          <w:highlight w:val="none"/>
          <w:lang w:val="en-US" w:eastAsia="zh-CN"/>
        </w:rPr>
        <w:t>5</w:t>
      </w:r>
      <w:r>
        <w:rPr>
          <w:color w:val="auto"/>
          <w:sz w:val="21"/>
          <w:szCs w:val="21"/>
          <w:highlight w:val="none"/>
        </w:rPr>
        <w:fldChar w:fldCharType="end"/>
      </w:r>
      <w:r>
        <w:rPr>
          <w:color w:val="auto"/>
          <w:sz w:val="21"/>
          <w:szCs w:val="21"/>
          <w:highlight w:val="none"/>
        </w:rPr>
        <w:fldChar w:fldCharType="end"/>
      </w:r>
    </w:p>
    <w:p w14:paraId="5E0FFEF4">
      <w:pPr>
        <w:pStyle w:val="13"/>
        <w:tabs>
          <w:tab w:val="right" w:leader="dot" w:pos="9344"/>
        </w:tabs>
        <w:spacing w:line="400" w:lineRule="exact"/>
        <w:rPr>
          <w:rFonts w:hint="eastAsia" w:eastAsia="宋体"/>
          <w:smallCaps w:val="0"/>
          <w:color w:val="auto"/>
          <w:sz w:val="21"/>
          <w:szCs w:val="21"/>
          <w:highlight w:val="none"/>
          <w:lang w:eastAsia="zh-CN"/>
        </w:rPr>
      </w:pPr>
      <w:r>
        <w:rPr>
          <w:color w:val="auto"/>
          <w:highlight w:val="none"/>
        </w:rPr>
        <w:fldChar w:fldCharType="begin"/>
      </w:r>
      <w:r>
        <w:rPr>
          <w:color w:val="auto"/>
          <w:highlight w:val="none"/>
        </w:rPr>
        <w:instrText xml:space="preserve"> HYPERLINK \l "_Toc63412071" </w:instrText>
      </w:r>
      <w:r>
        <w:rPr>
          <w:color w:val="auto"/>
          <w:highlight w:val="none"/>
        </w:rPr>
        <w:fldChar w:fldCharType="separate"/>
      </w:r>
      <w:r>
        <w:rPr>
          <w:rStyle w:val="27"/>
          <w:rFonts w:hint="eastAsia" w:ascii="新宋体" w:hAnsi="新宋体" w:eastAsia="新宋体"/>
          <w:color w:val="auto"/>
          <w:sz w:val="21"/>
          <w:szCs w:val="21"/>
          <w:highlight w:val="none"/>
        </w:rPr>
        <w:t xml:space="preserve">附件八 </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本项目项目管理人员一览表</w:t>
      </w:r>
      <w:r>
        <w:rPr>
          <w:color w:val="auto"/>
          <w:sz w:val="21"/>
          <w:szCs w:val="21"/>
          <w:highlight w:val="none"/>
        </w:rPr>
        <w:tab/>
      </w:r>
      <w:r>
        <w:rPr>
          <w:rFonts w:hint="eastAsia"/>
          <w:color w:val="auto"/>
          <w:sz w:val="21"/>
          <w:szCs w:val="21"/>
          <w:highlight w:val="none"/>
        </w:rPr>
        <w:t>3</w:t>
      </w:r>
      <w:r>
        <w:rPr>
          <w:rFonts w:hint="eastAsia"/>
          <w:color w:val="auto"/>
          <w:sz w:val="21"/>
          <w:szCs w:val="21"/>
          <w:highlight w:val="none"/>
        </w:rPr>
        <w:fldChar w:fldCharType="end"/>
      </w:r>
      <w:r>
        <w:rPr>
          <w:rStyle w:val="27"/>
          <w:rFonts w:hint="eastAsia"/>
          <w:color w:val="auto"/>
          <w:sz w:val="21"/>
          <w:szCs w:val="21"/>
          <w:highlight w:val="none"/>
          <w:lang w:val="en-US" w:eastAsia="zh-CN"/>
        </w:rPr>
        <w:t>6</w:t>
      </w:r>
    </w:p>
    <w:p w14:paraId="3568C5C9">
      <w:pPr>
        <w:pStyle w:val="13"/>
        <w:tabs>
          <w:tab w:val="right" w:leader="dot" w:pos="9344"/>
        </w:tabs>
        <w:spacing w:line="400" w:lineRule="exact"/>
        <w:rPr>
          <w:rFonts w:hint="eastAsia" w:eastAsia="宋体"/>
          <w:smallCaps w:val="0"/>
          <w:color w:val="auto"/>
          <w:sz w:val="21"/>
          <w:szCs w:val="21"/>
          <w:highlight w:val="none"/>
          <w:lang w:eastAsia="zh-CN"/>
        </w:rPr>
      </w:pPr>
      <w:r>
        <w:rPr>
          <w:color w:val="auto"/>
          <w:highlight w:val="none"/>
        </w:rPr>
        <w:fldChar w:fldCharType="begin"/>
      </w:r>
      <w:r>
        <w:rPr>
          <w:color w:val="auto"/>
          <w:highlight w:val="none"/>
        </w:rPr>
        <w:instrText xml:space="preserve"> HYPERLINK \l "_Toc63412072" </w:instrText>
      </w:r>
      <w:r>
        <w:rPr>
          <w:color w:val="auto"/>
          <w:highlight w:val="none"/>
        </w:rPr>
        <w:fldChar w:fldCharType="separate"/>
      </w:r>
      <w:r>
        <w:rPr>
          <w:rStyle w:val="27"/>
          <w:rFonts w:hint="eastAsia" w:ascii="新宋体" w:hAnsi="新宋体" w:eastAsia="新宋体"/>
          <w:color w:val="auto"/>
          <w:sz w:val="21"/>
          <w:szCs w:val="21"/>
          <w:highlight w:val="none"/>
        </w:rPr>
        <w:t>附件九</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投标供应商业绩汇总表</w:t>
      </w:r>
      <w:r>
        <w:rPr>
          <w:color w:val="auto"/>
          <w:sz w:val="21"/>
          <w:szCs w:val="21"/>
          <w:highlight w:val="none"/>
        </w:rPr>
        <w:tab/>
      </w:r>
      <w:r>
        <w:rPr>
          <w:rFonts w:hint="eastAsia"/>
          <w:color w:val="auto"/>
          <w:sz w:val="21"/>
          <w:szCs w:val="21"/>
          <w:highlight w:val="none"/>
          <w:lang w:val="en-US" w:eastAsia="zh-CN"/>
        </w:rPr>
        <w:t>3</w:t>
      </w:r>
      <w:r>
        <w:rPr>
          <w:rFonts w:hint="eastAsia"/>
          <w:color w:val="auto"/>
          <w:sz w:val="21"/>
          <w:szCs w:val="21"/>
          <w:highlight w:val="none"/>
        </w:rPr>
        <w:fldChar w:fldCharType="end"/>
      </w:r>
      <w:r>
        <w:rPr>
          <w:rFonts w:hint="eastAsia"/>
          <w:color w:val="auto"/>
          <w:sz w:val="21"/>
          <w:szCs w:val="21"/>
          <w:highlight w:val="none"/>
          <w:lang w:val="en-US" w:eastAsia="zh-CN"/>
        </w:rPr>
        <w:t>7</w:t>
      </w:r>
    </w:p>
    <w:p w14:paraId="722B0A00">
      <w:pPr>
        <w:pStyle w:val="13"/>
        <w:tabs>
          <w:tab w:val="right" w:leader="dot" w:pos="9344"/>
        </w:tabs>
        <w:spacing w:line="400" w:lineRule="exact"/>
        <w:rPr>
          <w:smallCaps w:val="0"/>
          <w:color w:val="auto"/>
          <w:sz w:val="21"/>
          <w:szCs w:val="21"/>
          <w:highlight w:val="none"/>
        </w:rPr>
      </w:pPr>
      <w:r>
        <w:rPr>
          <w:color w:val="auto"/>
          <w:highlight w:val="none"/>
        </w:rPr>
        <w:fldChar w:fldCharType="begin"/>
      </w:r>
      <w:r>
        <w:rPr>
          <w:color w:val="auto"/>
          <w:highlight w:val="none"/>
        </w:rPr>
        <w:instrText xml:space="preserve"> HYPERLINK \l "_Toc63412073" </w:instrText>
      </w:r>
      <w:r>
        <w:rPr>
          <w:color w:val="auto"/>
          <w:highlight w:val="none"/>
        </w:rPr>
        <w:fldChar w:fldCharType="separate"/>
      </w:r>
      <w:r>
        <w:rPr>
          <w:rStyle w:val="27"/>
          <w:rFonts w:hint="eastAsia" w:ascii="新宋体" w:hAnsi="新宋体" w:eastAsia="新宋体"/>
          <w:color w:val="auto"/>
          <w:sz w:val="21"/>
          <w:szCs w:val="21"/>
          <w:highlight w:val="none"/>
        </w:rPr>
        <w:t>附件十</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诚信投标承诺书</w:t>
      </w:r>
      <w:r>
        <w:rPr>
          <w:color w:val="auto"/>
          <w:sz w:val="21"/>
          <w:szCs w:val="21"/>
          <w:highlight w:val="none"/>
        </w:rPr>
        <w:tab/>
      </w:r>
      <w:r>
        <w:rPr>
          <w:rFonts w:hint="eastAsia"/>
          <w:color w:val="auto"/>
          <w:sz w:val="21"/>
          <w:szCs w:val="21"/>
          <w:highlight w:val="none"/>
          <w:lang w:val="en-US" w:eastAsia="zh-CN"/>
        </w:rPr>
        <w:t>3</w:t>
      </w:r>
      <w:r>
        <w:rPr>
          <w:rFonts w:hint="eastAsia"/>
          <w:color w:val="auto"/>
          <w:sz w:val="21"/>
          <w:szCs w:val="21"/>
          <w:highlight w:val="none"/>
        </w:rPr>
        <w:fldChar w:fldCharType="end"/>
      </w:r>
      <w:r>
        <w:rPr>
          <w:rFonts w:hint="eastAsia"/>
          <w:color w:val="auto"/>
          <w:sz w:val="21"/>
          <w:szCs w:val="21"/>
          <w:highlight w:val="none"/>
          <w:lang w:val="en-US" w:eastAsia="zh-CN"/>
        </w:rPr>
        <w:t>8</w:t>
      </w:r>
    </w:p>
    <w:p w14:paraId="12DDEF3C">
      <w:pPr>
        <w:pStyle w:val="18"/>
        <w:tabs>
          <w:tab w:val="right" w:leader="dot" w:pos="9344"/>
        </w:tabs>
        <w:spacing w:before="0" w:after="0" w:line="400" w:lineRule="exact"/>
        <w:rPr>
          <w:rFonts w:hint="eastAsia" w:eastAsia="宋体"/>
          <w:b w:val="0"/>
          <w:bCs w:val="0"/>
          <w:caps w:val="0"/>
          <w:color w:val="auto"/>
          <w:sz w:val="21"/>
          <w:szCs w:val="21"/>
          <w:highlight w:val="none"/>
          <w:lang w:eastAsia="zh-CN"/>
        </w:rPr>
      </w:pPr>
      <w:r>
        <w:rPr>
          <w:color w:val="auto"/>
          <w:highlight w:val="none"/>
        </w:rPr>
        <w:fldChar w:fldCharType="begin"/>
      </w:r>
      <w:r>
        <w:rPr>
          <w:color w:val="auto"/>
          <w:highlight w:val="none"/>
        </w:rPr>
        <w:instrText xml:space="preserve"> HYPERLINK \l "_Toc63412074" </w:instrText>
      </w:r>
      <w:r>
        <w:rPr>
          <w:color w:val="auto"/>
          <w:highlight w:val="none"/>
        </w:rPr>
        <w:fldChar w:fldCharType="separate"/>
      </w:r>
      <w:r>
        <w:rPr>
          <w:rStyle w:val="27"/>
          <w:rFonts w:hint="eastAsia" w:ascii="新宋体" w:hAnsi="新宋体" w:eastAsia="新宋体"/>
          <w:color w:val="auto"/>
          <w:sz w:val="21"/>
          <w:szCs w:val="21"/>
          <w:highlight w:val="none"/>
        </w:rPr>
        <w:t>第四部分</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采购内容及要求</w:t>
      </w:r>
      <w:r>
        <w:rPr>
          <w:color w:val="auto"/>
          <w:sz w:val="21"/>
          <w:szCs w:val="21"/>
          <w:highlight w:val="none"/>
        </w:rPr>
        <w:tab/>
      </w:r>
      <w:r>
        <w:rPr>
          <w:rFonts w:hint="eastAsia"/>
          <w:color w:val="auto"/>
          <w:sz w:val="21"/>
          <w:szCs w:val="21"/>
          <w:highlight w:val="none"/>
          <w:lang w:val="en-US" w:eastAsia="zh-CN"/>
        </w:rPr>
        <w:t>3</w:t>
      </w:r>
      <w:r>
        <w:rPr>
          <w:rFonts w:hint="eastAsia"/>
          <w:color w:val="auto"/>
          <w:sz w:val="21"/>
          <w:szCs w:val="21"/>
          <w:highlight w:val="none"/>
        </w:rPr>
        <w:fldChar w:fldCharType="end"/>
      </w:r>
      <w:r>
        <w:rPr>
          <w:rStyle w:val="27"/>
          <w:rFonts w:hint="eastAsia"/>
          <w:color w:val="auto"/>
          <w:sz w:val="21"/>
          <w:szCs w:val="21"/>
          <w:highlight w:val="none"/>
          <w:lang w:val="en-US" w:eastAsia="zh-CN"/>
        </w:rPr>
        <w:t>9</w:t>
      </w:r>
    </w:p>
    <w:p w14:paraId="1F6238DD">
      <w:pPr>
        <w:pStyle w:val="18"/>
        <w:tabs>
          <w:tab w:val="right" w:leader="dot" w:pos="9344"/>
        </w:tabs>
        <w:spacing w:before="0" w:after="0" w:line="400" w:lineRule="exact"/>
        <w:rPr>
          <w:rFonts w:hint="eastAsia" w:eastAsia="宋体"/>
          <w:b w:val="0"/>
          <w:bCs w:val="0"/>
          <w:caps w:val="0"/>
          <w:color w:val="auto"/>
          <w:sz w:val="21"/>
          <w:szCs w:val="21"/>
          <w:highlight w:val="none"/>
          <w:lang w:eastAsia="zh-CN"/>
        </w:rPr>
      </w:pPr>
      <w:r>
        <w:rPr>
          <w:color w:val="auto"/>
          <w:highlight w:val="none"/>
        </w:rPr>
        <w:fldChar w:fldCharType="begin"/>
      </w:r>
      <w:r>
        <w:rPr>
          <w:color w:val="auto"/>
          <w:highlight w:val="none"/>
        </w:rPr>
        <w:instrText xml:space="preserve"> HYPERLINK \l "_Toc63412075" </w:instrText>
      </w:r>
      <w:r>
        <w:rPr>
          <w:color w:val="auto"/>
          <w:highlight w:val="none"/>
        </w:rPr>
        <w:fldChar w:fldCharType="separate"/>
      </w:r>
      <w:r>
        <w:rPr>
          <w:rStyle w:val="27"/>
          <w:rFonts w:hint="eastAsia" w:ascii="新宋体" w:hAnsi="新宋体" w:eastAsia="新宋体"/>
          <w:color w:val="auto"/>
          <w:sz w:val="21"/>
          <w:szCs w:val="21"/>
          <w:highlight w:val="none"/>
        </w:rPr>
        <w:t>第五部分</w:t>
      </w:r>
      <w:r>
        <w:rPr>
          <w:rStyle w:val="27"/>
          <w:rFonts w:ascii="新宋体" w:hAnsi="新宋体" w:eastAsia="新宋体"/>
          <w:color w:val="auto"/>
          <w:sz w:val="21"/>
          <w:szCs w:val="21"/>
          <w:highlight w:val="none"/>
        </w:rPr>
        <w:t xml:space="preserve">  </w:t>
      </w:r>
      <w:r>
        <w:rPr>
          <w:rStyle w:val="27"/>
          <w:rFonts w:hint="eastAsia" w:ascii="新宋体" w:hAnsi="新宋体" w:eastAsia="新宋体"/>
          <w:color w:val="auto"/>
          <w:sz w:val="21"/>
          <w:szCs w:val="21"/>
          <w:highlight w:val="none"/>
        </w:rPr>
        <w:t>评标原则及方法</w:t>
      </w:r>
      <w:r>
        <w:rPr>
          <w:color w:val="auto"/>
          <w:sz w:val="21"/>
          <w:szCs w:val="21"/>
          <w:highlight w:val="none"/>
        </w:rPr>
        <w:tab/>
      </w:r>
      <w:r>
        <w:rPr>
          <w:rFonts w:hint="eastAsia"/>
          <w:color w:val="auto"/>
          <w:sz w:val="21"/>
          <w:szCs w:val="21"/>
          <w:highlight w:val="none"/>
        </w:rPr>
        <w:t>4</w:t>
      </w:r>
      <w:r>
        <w:rPr>
          <w:rFonts w:hint="eastAsia"/>
          <w:color w:val="auto"/>
          <w:sz w:val="21"/>
          <w:szCs w:val="21"/>
          <w:highlight w:val="none"/>
        </w:rPr>
        <w:fldChar w:fldCharType="end"/>
      </w:r>
      <w:r>
        <w:rPr>
          <w:rFonts w:hint="eastAsia"/>
          <w:color w:val="auto"/>
          <w:sz w:val="21"/>
          <w:szCs w:val="21"/>
          <w:highlight w:val="none"/>
          <w:lang w:val="en-US" w:eastAsia="zh-CN"/>
        </w:rPr>
        <w:t>3</w:t>
      </w:r>
    </w:p>
    <w:p w14:paraId="30A543BA">
      <w:pPr>
        <w:pStyle w:val="18"/>
        <w:tabs>
          <w:tab w:val="right" w:leader="dot" w:pos="9344"/>
        </w:tabs>
        <w:spacing w:before="0" w:after="0" w:line="400" w:lineRule="exact"/>
        <w:rPr>
          <w:rFonts w:hint="eastAsia" w:eastAsia="宋体"/>
          <w:color w:val="auto"/>
          <w:sz w:val="21"/>
          <w:szCs w:val="21"/>
          <w:highlight w:val="none"/>
          <w:lang w:eastAsia="zh-CN"/>
        </w:rPr>
      </w:pPr>
      <w:r>
        <w:rPr>
          <w:rFonts w:hint="eastAsia"/>
          <w:color w:val="auto"/>
          <w:sz w:val="21"/>
          <w:szCs w:val="21"/>
          <w:highlight w:val="none"/>
        </w:rPr>
        <w:t>第六部分 政府采购政策功能相关说明</w:t>
      </w:r>
      <w:r>
        <w:rPr>
          <w:color w:val="auto"/>
          <w:sz w:val="21"/>
          <w:szCs w:val="21"/>
          <w:highlight w:val="none"/>
        </w:rPr>
        <w:tab/>
      </w:r>
      <w:r>
        <w:rPr>
          <w:rFonts w:hint="eastAsia"/>
          <w:color w:val="auto"/>
          <w:sz w:val="21"/>
          <w:szCs w:val="21"/>
          <w:highlight w:val="none"/>
        </w:rPr>
        <w:t>4</w:t>
      </w:r>
      <w:r>
        <w:rPr>
          <w:rFonts w:hint="eastAsia"/>
          <w:color w:val="auto"/>
          <w:sz w:val="21"/>
          <w:szCs w:val="21"/>
          <w:highlight w:val="none"/>
          <w:lang w:val="en-US" w:eastAsia="zh-CN"/>
        </w:rPr>
        <w:t>8</w:t>
      </w:r>
    </w:p>
    <w:p w14:paraId="01BF646E">
      <w:pPr>
        <w:pStyle w:val="18"/>
        <w:tabs>
          <w:tab w:val="right" w:leader="dot" w:pos="9344"/>
        </w:tabs>
        <w:spacing w:before="0" w:after="0" w:line="400" w:lineRule="exact"/>
        <w:rPr>
          <w:rFonts w:hint="eastAsia" w:eastAsia="宋体"/>
          <w:b w:val="0"/>
          <w:bCs w:val="0"/>
          <w:caps w:val="0"/>
          <w:color w:val="auto"/>
          <w:sz w:val="21"/>
          <w:szCs w:val="21"/>
          <w:highlight w:val="none"/>
          <w:lang w:eastAsia="zh-CN"/>
        </w:rPr>
      </w:pPr>
      <w:r>
        <w:rPr>
          <w:color w:val="auto"/>
          <w:highlight w:val="none"/>
        </w:rPr>
        <w:fldChar w:fldCharType="begin"/>
      </w:r>
      <w:r>
        <w:rPr>
          <w:color w:val="auto"/>
          <w:highlight w:val="none"/>
        </w:rPr>
        <w:instrText xml:space="preserve"> HYPERLINK \l "_Toc63412076" </w:instrText>
      </w:r>
      <w:r>
        <w:rPr>
          <w:color w:val="auto"/>
          <w:highlight w:val="none"/>
        </w:rPr>
        <w:fldChar w:fldCharType="separate"/>
      </w:r>
      <w:r>
        <w:rPr>
          <w:rStyle w:val="27"/>
          <w:rFonts w:hint="eastAsia" w:ascii="新宋体" w:hAnsi="新宋体" w:eastAsia="新宋体"/>
          <w:color w:val="auto"/>
          <w:sz w:val="21"/>
          <w:szCs w:val="21"/>
          <w:highlight w:val="none"/>
        </w:rPr>
        <w:t>政府采购活动现场确认声明书</w:t>
      </w:r>
      <w:r>
        <w:rPr>
          <w:color w:val="auto"/>
          <w:sz w:val="21"/>
          <w:szCs w:val="21"/>
          <w:highlight w:val="none"/>
        </w:rPr>
        <w:tab/>
      </w:r>
      <w:r>
        <w:rPr>
          <w:rFonts w:hint="eastAsia"/>
          <w:color w:val="auto"/>
          <w:sz w:val="21"/>
          <w:szCs w:val="21"/>
          <w:highlight w:val="none"/>
        </w:rPr>
        <w:t>5</w:t>
      </w:r>
      <w:r>
        <w:rPr>
          <w:rFonts w:hint="eastAsia"/>
          <w:color w:val="auto"/>
          <w:sz w:val="21"/>
          <w:szCs w:val="21"/>
          <w:highlight w:val="none"/>
        </w:rPr>
        <w:fldChar w:fldCharType="end"/>
      </w:r>
      <w:r>
        <w:rPr>
          <w:rStyle w:val="27"/>
          <w:rFonts w:hint="eastAsia"/>
          <w:color w:val="auto"/>
          <w:sz w:val="21"/>
          <w:szCs w:val="21"/>
          <w:highlight w:val="none"/>
          <w:lang w:val="en-US" w:eastAsia="zh-CN"/>
        </w:rPr>
        <w:t>5</w:t>
      </w:r>
    </w:p>
    <w:p w14:paraId="02696CA0">
      <w:pPr>
        <w:spacing w:line="400" w:lineRule="exact"/>
        <w:jc w:val="right"/>
        <w:rPr>
          <w:rFonts w:ascii="新宋体" w:hAnsi="新宋体" w:eastAsia="新宋体"/>
          <w:b/>
          <w:bCs/>
          <w:color w:val="auto"/>
          <w:sz w:val="22"/>
          <w:szCs w:val="22"/>
          <w:highlight w:val="none"/>
        </w:rPr>
      </w:pPr>
      <w:r>
        <w:rPr>
          <w:rFonts w:ascii="新宋体" w:hAnsi="新宋体" w:eastAsia="新宋体"/>
          <w:bCs/>
          <w:caps/>
          <w:color w:val="auto"/>
          <w:szCs w:val="21"/>
          <w:highlight w:val="none"/>
        </w:rPr>
        <w:fldChar w:fldCharType="end"/>
      </w:r>
    </w:p>
    <w:p w14:paraId="493CF8F6">
      <w:pPr>
        <w:spacing w:line="440" w:lineRule="exact"/>
        <w:ind w:left="413" w:hanging="413" w:hangingChars="196"/>
        <w:rPr>
          <w:rFonts w:ascii="新宋体" w:hAnsi="新宋体" w:eastAsia="新宋体"/>
          <w:b/>
          <w:bCs/>
          <w:color w:val="auto"/>
          <w:szCs w:val="21"/>
          <w:highlight w:val="none"/>
          <w:u w:val="single"/>
        </w:rPr>
      </w:pPr>
      <w:r>
        <w:rPr>
          <w:rFonts w:hint="eastAsia" w:ascii="新宋体" w:hAnsi="新宋体" w:eastAsia="新宋体"/>
          <w:b/>
          <w:bCs/>
          <w:color w:val="auto"/>
          <w:szCs w:val="21"/>
          <w:highlight w:val="none"/>
        </w:rPr>
        <w:t>注：</w:t>
      </w:r>
      <w:r>
        <w:rPr>
          <w:rFonts w:hint="eastAsia" w:ascii="新宋体" w:hAnsi="新宋体" w:eastAsia="新宋体"/>
          <w:b/>
          <w:bCs/>
          <w:color w:val="auto"/>
          <w:szCs w:val="21"/>
          <w:highlight w:val="none"/>
          <w:u w:val="single"/>
        </w:rPr>
        <w:t>采购文件中加粗条款为重要条款，提醒供应商注意；加“下划线”且加“▲”的条款，为实质性条款，着重提醒供应商注意，并认真查看采购文件中的每一个条款及要求，因误读采购文件而造成的后果，招标采购单位概不负责。</w:t>
      </w:r>
    </w:p>
    <w:p w14:paraId="02E0AEDB">
      <w:pPr>
        <w:pStyle w:val="5"/>
        <w:tabs>
          <w:tab w:val="clear" w:pos="840"/>
        </w:tabs>
        <w:adjustRightInd/>
        <w:snapToGrid/>
        <w:spacing w:before="120" w:after="120" w:line="500" w:lineRule="exact"/>
        <w:jc w:val="center"/>
        <w:rPr>
          <w:rFonts w:ascii="新宋体" w:hAnsi="新宋体" w:eastAsia="新宋体"/>
          <w:color w:val="auto"/>
          <w:sz w:val="28"/>
          <w:highlight w:val="none"/>
        </w:rPr>
      </w:pPr>
      <w:bookmarkStart w:id="1" w:name="_Toc21586"/>
      <w:bookmarkStart w:id="2" w:name="_Toc508447536"/>
      <w:bookmarkStart w:id="3" w:name="_Toc504047751"/>
      <w:bookmarkStart w:id="4" w:name="_Toc508617271"/>
      <w:bookmarkStart w:id="5" w:name="_Toc4225"/>
      <w:bookmarkStart w:id="6" w:name="_Toc515203429"/>
      <w:bookmarkStart w:id="7" w:name="_Toc16788"/>
      <w:r>
        <w:rPr>
          <w:rFonts w:hint="eastAsia" w:hAnsi="宋体" w:cs="宋体"/>
          <w:color w:val="auto"/>
          <w:sz w:val="28"/>
          <w:szCs w:val="28"/>
          <w:highlight w:val="none"/>
        </w:rPr>
        <w:br w:type="page"/>
      </w:r>
      <w:bookmarkEnd w:id="1"/>
      <w:bookmarkEnd w:id="2"/>
      <w:bookmarkEnd w:id="3"/>
      <w:bookmarkEnd w:id="4"/>
      <w:bookmarkEnd w:id="5"/>
      <w:bookmarkEnd w:id="6"/>
      <w:bookmarkEnd w:id="7"/>
      <w:bookmarkStart w:id="8" w:name="_Toc267898765"/>
      <w:bookmarkStart w:id="9" w:name="_Toc108765266"/>
      <w:r>
        <w:rPr>
          <w:rFonts w:hint="eastAsia" w:ascii="新宋体" w:hAnsi="新宋体" w:eastAsia="新宋体"/>
          <w:color w:val="auto"/>
          <w:sz w:val="32"/>
          <w:highlight w:val="none"/>
        </w:rPr>
        <w:t>投标邀请函</w:t>
      </w:r>
      <w:bookmarkEnd w:id="8"/>
      <w:bookmarkEnd w:id="9"/>
    </w:p>
    <w:p w14:paraId="18CBD107">
      <w:pPr>
        <w:spacing w:line="440" w:lineRule="exact"/>
        <w:ind w:firstLine="440" w:firstLineChars="200"/>
        <w:rPr>
          <w:rFonts w:ascii="新宋体" w:hAnsi="新宋体" w:eastAsia="新宋体"/>
          <w:bCs/>
          <w:color w:val="auto"/>
          <w:sz w:val="22"/>
          <w:highlight w:val="none"/>
          <w:u w:val="single"/>
        </w:rPr>
      </w:pPr>
      <w:r>
        <w:rPr>
          <w:rFonts w:hint="eastAsia" w:ascii="新宋体" w:hAnsi="新宋体" w:eastAsia="新宋体"/>
          <w:color w:val="auto"/>
          <w:sz w:val="22"/>
          <w:highlight w:val="none"/>
        </w:rPr>
        <w:t>浙江同信工程项目管理有限公司受</w:t>
      </w:r>
      <w:r>
        <w:rPr>
          <w:rFonts w:hint="eastAsia" w:ascii="新宋体" w:hAnsi="新宋体" w:eastAsia="新宋体"/>
          <w:color w:val="auto"/>
          <w:sz w:val="22"/>
          <w:highlight w:val="none"/>
          <w:lang w:eastAsia="zh-CN"/>
        </w:rPr>
        <w:t>温州市自然资源和规划局龙湾分局</w:t>
      </w:r>
      <w:r>
        <w:rPr>
          <w:rFonts w:hint="eastAsia" w:ascii="新宋体" w:hAnsi="新宋体" w:eastAsia="新宋体"/>
          <w:color w:val="auto"/>
          <w:sz w:val="22"/>
          <w:highlight w:val="none"/>
        </w:rPr>
        <w:t>委托</w:t>
      </w: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rPr>
        <w:t>就</w:t>
      </w:r>
      <w:r>
        <w:rPr>
          <w:rFonts w:hint="eastAsia" w:ascii="新宋体" w:hAnsi="新宋体" w:eastAsia="新宋体"/>
          <w:color w:val="auto"/>
          <w:sz w:val="22"/>
          <w:highlight w:val="none"/>
          <w:lang w:eastAsia="zh-CN"/>
        </w:rPr>
        <w:t>龙湾区百镇千村富硒土地地球化学详查工作以公开招标方式进行采购，欢迎国内合格的供应商前来参与</w:t>
      </w:r>
      <w:r>
        <w:rPr>
          <w:rFonts w:hint="eastAsia" w:ascii="新宋体" w:hAnsi="新宋体" w:eastAsia="新宋体"/>
          <w:color w:val="auto"/>
          <w:sz w:val="22"/>
          <w:highlight w:val="none"/>
        </w:rPr>
        <w:t>。</w:t>
      </w:r>
    </w:p>
    <w:p w14:paraId="19D1377C">
      <w:pPr>
        <w:spacing w:line="440" w:lineRule="exact"/>
        <w:ind w:firstLine="442" w:firstLineChars="200"/>
        <w:rPr>
          <w:rFonts w:hint="eastAsia" w:ascii="新宋体" w:hAnsi="新宋体" w:eastAsia="新宋体"/>
          <w:color w:val="auto"/>
          <w:spacing w:val="40"/>
          <w:sz w:val="22"/>
          <w:highlight w:val="none"/>
        </w:rPr>
      </w:pPr>
      <w:r>
        <w:rPr>
          <w:rFonts w:hint="eastAsia" w:ascii="新宋体" w:hAnsi="新宋体" w:eastAsia="新宋体"/>
          <w:b/>
          <w:bCs/>
          <w:color w:val="auto"/>
          <w:sz w:val="22"/>
          <w:highlight w:val="none"/>
        </w:rPr>
        <w:t>一、项目基本情况</w:t>
      </w:r>
    </w:p>
    <w:p w14:paraId="72710439">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项目编号：</w:t>
      </w:r>
      <w:r>
        <w:rPr>
          <w:rFonts w:hint="eastAsia" w:ascii="新宋体" w:hAnsi="新宋体" w:eastAsia="新宋体"/>
          <w:color w:val="auto"/>
          <w:sz w:val="22"/>
          <w:highlight w:val="none"/>
          <w:lang w:eastAsia="zh-CN"/>
        </w:rPr>
        <w:t>ZJTX2025019</w:t>
      </w:r>
      <w:r>
        <w:rPr>
          <w:rFonts w:hint="eastAsia" w:ascii="新宋体" w:hAnsi="新宋体" w:eastAsia="新宋体"/>
          <w:color w:val="auto"/>
          <w:sz w:val="22"/>
          <w:highlight w:val="none"/>
        </w:rPr>
        <w:t xml:space="preserve"> </w:t>
      </w:r>
    </w:p>
    <w:p w14:paraId="41E7A436">
      <w:pPr>
        <w:tabs>
          <w:tab w:val="left" w:pos="360"/>
        </w:tabs>
        <w:spacing w:line="400" w:lineRule="exact"/>
        <w:ind w:firstLine="440" w:firstLineChars="20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rPr>
        <w:t>项目名称：</w:t>
      </w:r>
      <w:r>
        <w:rPr>
          <w:rFonts w:hint="eastAsia" w:ascii="新宋体" w:hAnsi="新宋体" w:eastAsia="新宋体"/>
          <w:color w:val="auto"/>
          <w:sz w:val="22"/>
          <w:highlight w:val="none"/>
          <w:lang w:eastAsia="zh-CN"/>
        </w:rPr>
        <w:t>龙湾区百镇千村富硒土地地球化学详查工作</w:t>
      </w:r>
    </w:p>
    <w:p w14:paraId="37F150B7">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预算金额（元）:</w:t>
      </w:r>
      <w:r>
        <w:rPr>
          <w:rFonts w:hint="eastAsia" w:ascii="新宋体" w:hAnsi="新宋体" w:eastAsia="新宋体"/>
          <w:color w:val="auto"/>
          <w:sz w:val="22"/>
          <w:highlight w:val="none"/>
          <w:lang w:eastAsia="zh-CN"/>
        </w:rPr>
        <w:t>340000</w:t>
      </w:r>
      <w:r>
        <w:rPr>
          <w:rFonts w:hint="eastAsia" w:ascii="新宋体" w:hAnsi="新宋体" w:eastAsia="新宋体"/>
          <w:color w:val="auto"/>
          <w:sz w:val="22"/>
          <w:highlight w:val="none"/>
        </w:rPr>
        <w:t xml:space="preserve">   </w:t>
      </w:r>
    </w:p>
    <w:p w14:paraId="528F2BBB">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最高限价（元）： /</w:t>
      </w:r>
    </w:p>
    <w:p w14:paraId="387D465C">
      <w:pPr>
        <w:spacing w:line="440" w:lineRule="exact"/>
        <w:ind w:firstLine="440" w:firstLineChars="200"/>
        <w:rPr>
          <w:rFonts w:hint="eastAsia" w:ascii="新宋体" w:hAnsi="新宋体" w:eastAsia="新宋体"/>
          <w:color w:val="auto"/>
          <w:sz w:val="22"/>
          <w:highlight w:val="none"/>
        </w:rPr>
      </w:pPr>
      <w:r>
        <w:rPr>
          <w:rFonts w:hint="eastAsia" w:ascii="新宋体" w:hAnsi="新宋体" w:eastAsia="新宋体"/>
          <w:color w:val="auto"/>
          <w:sz w:val="22"/>
          <w:highlight w:val="none"/>
        </w:rPr>
        <w:t>采购需求：</w:t>
      </w:r>
    </w:p>
    <w:p w14:paraId="7C2BFB61">
      <w:pPr>
        <w:tabs>
          <w:tab w:val="left" w:pos="360"/>
        </w:tabs>
        <w:spacing w:line="400" w:lineRule="exact"/>
        <w:ind w:firstLine="440" w:firstLineChars="20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rPr>
        <w:t xml:space="preserve">标项名称: </w:t>
      </w:r>
      <w:r>
        <w:rPr>
          <w:rFonts w:hint="eastAsia" w:ascii="新宋体" w:hAnsi="新宋体" w:eastAsia="新宋体"/>
          <w:color w:val="auto"/>
          <w:sz w:val="22"/>
          <w:highlight w:val="none"/>
          <w:lang w:eastAsia="zh-CN"/>
        </w:rPr>
        <w:t>龙湾区百镇千村富硒土地地球化学详查工作</w:t>
      </w:r>
    </w:p>
    <w:p w14:paraId="21614764">
      <w:pPr>
        <w:tabs>
          <w:tab w:val="left" w:pos="360"/>
        </w:tabs>
        <w:spacing w:line="400" w:lineRule="exact"/>
        <w:ind w:firstLine="440" w:firstLineChars="20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数量: 不限 </w:t>
      </w:r>
    </w:p>
    <w:p w14:paraId="328088B4">
      <w:pPr>
        <w:tabs>
          <w:tab w:val="left" w:pos="360"/>
        </w:tabs>
        <w:spacing w:line="400" w:lineRule="exact"/>
        <w:ind w:firstLine="440" w:firstLineChars="20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rPr>
        <w:t>预算金额（元）:</w:t>
      </w:r>
      <w:r>
        <w:rPr>
          <w:rFonts w:hint="eastAsia" w:ascii="新宋体" w:hAnsi="新宋体" w:eastAsia="新宋体"/>
          <w:color w:val="auto"/>
          <w:sz w:val="22"/>
          <w:highlight w:val="none"/>
          <w:lang w:eastAsia="zh-CN"/>
        </w:rPr>
        <w:t>340000</w:t>
      </w:r>
    </w:p>
    <w:p w14:paraId="49DB0C9B">
      <w:pPr>
        <w:tabs>
          <w:tab w:val="left" w:pos="360"/>
        </w:tabs>
        <w:spacing w:line="400" w:lineRule="exact"/>
        <w:ind w:firstLine="440" w:firstLineChars="200"/>
        <w:rPr>
          <w:rFonts w:hint="eastAsia" w:ascii="新宋体" w:hAnsi="新宋体" w:eastAsia="新宋体"/>
          <w:color w:val="auto"/>
          <w:sz w:val="22"/>
          <w:highlight w:val="none"/>
        </w:rPr>
      </w:pPr>
      <w:r>
        <w:rPr>
          <w:rFonts w:hint="eastAsia" w:ascii="新宋体" w:hAnsi="新宋体" w:eastAsia="新宋体"/>
          <w:color w:val="auto"/>
          <w:sz w:val="22"/>
          <w:highlight w:val="none"/>
        </w:rPr>
        <w:t>简要规格描述或项目基本概况介绍、用途：</w:t>
      </w:r>
      <w:r>
        <w:rPr>
          <w:rFonts w:hint="eastAsia" w:ascii="新宋体" w:hAnsi="新宋体" w:eastAsia="新宋体"/>
          <w:color w:val="auto"/>
          <w:sz w:val="22"/>
          <w:highlight w:val="none"/>
          <w:lang w:eastAsia="zh-CN"/>
        </w:rPr>
        <w:t>龙湾区百镇千村富硒土地地球化学详查工作</w:t>
      </w:r>
      <w:r>
        <w:rPr>
          <w:rFonts w:hint="eastAsia" w:ascii="新宋体" w:hAnsi="新宋体" w:eastAsia="新宋体"/>
          <w:color w:val="auto"/>
          <w:sz w:val="22"/>
          <w:highlight w:val="none"/>
        </w:rPr>
        <w:t xml:space="preserve">，具体见采购文件第四部分采购内容及要求 </w:t>
      </w:r>
    </w:p>
    <w:p w14:paraId="699AFA03">
      <w:pPr>
        <w:tabs>
          <w:tab w:val="left" w:pos="360"/>
        </w:tabs>
        <w:spacing w:line="400" w:lineRule="exact"/>
        <w:ind w:firstLine="440" w:firstLineChars="200"/>
        <w:rPr>
          <w:rFonts w:hint="eastAsia" w:ascii="新宋体" w:hAnsi="新宋体" w:eastAsia="新宋体"/>
          <w:color w:val="auto"/>
          <w:sz w:val="22"/>
          <w:highlight w:val="none"/>
        </w:rPr>
      </w:pPr>
      <w:r>
        <w:rPr>
          <w:rFonts w:hint="eastAsia" w:ascii="新宋体" w:hAnsi="新宋体" w:eastAsia="新宋体"/>
          <w:color w:val="auto"/>
          <w:sz w:val="22"/>
          <w:highlight w:val="none"/>
        </w:rPr>
        <w:t>备注：</w:t>
      </w:r>
    </w:p>
    <w:p w14:paraId="0B0CF140">
      <w:pPr>
        <w:tabs>
          <w:tab w:val="left" w:pos="360"/>
        </w:tabs>
        <w:spacing w:line="400" w:lineRule="exact"/>
        <w:ind w:firstLine="440" w:firstLineChars="200"/>
        <w:rPr>
          <w:rFonts w:hint="eastAsia" w:ascii="新宋体" w:hAnsi="新宋体" w:eastAsia="新宋体"/>
          <w:color w:val="auto"/>
          <w:sz w:val="22"/>
          <w:highlight w:val="none"/>
        </w:rPr>
      </w:pPr>
      <w:r>
        <w:rPr>
          <w:rFonts w:hint="eastAsia" w:ascii="新宋体" w:hAnsi="新宋体" w:eastAsia="新宋体"/>
          <w:color w:val="auto"/>
          <w:sz w:val="22"/>
          <w:highlight w:val="none"/>
        </w:rPr>
        <w:t>合同履约期限：具体详见招标文件</w:t>
      </w:r>
    </w:p>
    <w:p w14:paraId="49D767B9">
      <w:pPr>
        <w:tabs>
          <w:tab w:val="left" w:pos="360"/>
        </w:tabs>
        <w:spacing w:line="400" w:lineRule="exact"/>
        <w:ind w:firstLine="440" w:firstLineChars="200"/>
        <w:rPr>
          <w:rFonts w:hint="eastAsia" w:ascii="新宋体" w:hAnsi="新宋体" w:eastAsia="新宋体"/>
          <w:color w:val="auto"/>
          <w:sz w:val="22"/>
          <w:highlight w:val="none"/>
        </w:rPr>
      </w:pPr>
      <w:r>
        <w:rPr>
          <w:rFonts w:hint="eastAsia" w:ascii="新宋体" w:hAnsi="新宋体" w:eastAsia="新宋体"/>
          <w:color w:val="auto"/>
          <w:sz w:val="22"/>
          <w:highlight w:val="none"/>
        </w:rPr>
        <w:t>本项目（否）接受联合体投标。</w:t>
      </w:r>
    </w:p>
    <w:p w14:paraId="25478959">
      <w:pPr>
        <w:widowControl/>
        <w:spacing w:line="400" w:lineRule="exact"/>
        <w:ind w:firstLine="442" w:firstLineChars="200"/>
        <w:jc w:val="left"/>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申请人的资格要求：</w:t>
      </w:r>
    </w:p>
    <w:p w14:paraId="114FA7EF">
      <w:pPr>
        <w:widowControl/>
        <w:spacing w:line="400" w:lineRule="exact"/>
        <w:ind w:firstLine="442" w:firstLineChars="200"/>
        <w:jc w:val="left"/>
        <w:rPr>
          <w:rFonts w:ascii="新宋体" w:hAnsi="新宋体" w:eastAsia="新宋体"/>
          <w:color w:val="auto"/>
          <w:sz w:val="22"/>
          <w:szCs w:val="22"/>
          <w:highlight w:val="none"/>
          <w:u w:val="single"/>
        </w:rPr>
      </w:pPr>
      <w:r>
        <w:rPr>
          <w:rFonts w:hint="eastAsia" w:ascii="宋体" w:hAnsi="宋体" w:cs="宋体"/>
          <w:b/>
          <w:bCs/>
          <w:color w:val="auto"/>
          <w:kern w:val="0"/>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539458D">
      <w:pPr>
        <w:widowControl/>
        <w:spacing w:line="400" w:lineRule="exact"/>
        <w:ind w:firstLine="440" w:firstLineChars="200"/>
        <w:jc w:val="left"/>
        <w:rPr>
          <w:rFonts w:ascii="新宋体" w:hAnsi="新宋体" w:eastAsia="新宋体"/>
          <w:color w:val="auto"/>
          <w:sz w:val="22"/>
          <w:highlight w:val="none"/>
        </w:rPr>
      </w:pPr>
      <w:r>
        <w:rPr>
          <w:rFonts w:hint="eastAsia" w:ascii="新宋体" w:hAnsi="新宋体" w:eastAsia="新宋体"/>
          <w:color w:val="auto"/>
          <w:sz w:val="22"/>
          <w:highlight w:val="none"/>
        </w:rPr>
        <w:t>2.落实政府采购政策需满足的资格要求：本项目整体面向中小企业采购，投标人应为中型企业/小型企业/微型企业/监狱企业/残疾人福利性单位。中小企业是指满足《政府采购促进中小企业发展管理办法》（财库〔2020〕46号）第二条规定的企业，监狱企业、残疾人福利性单位视为中小企业。</w:t>
      </w:r>
    </w:p>
    <w:p w14:paraId="421DB0F9">
      <w:pPr>
        <w:numPr>
          <w:ilvl w:val="0"/>
          <w:numId w:val="0"/>
        </w:numPr>
        <w:tabs>
          <w:tab w:val="left" w:pos="360"/>
        </w:tabs>
        <w:spacing w:line="440" w:lineRule="exact"/>
        <w:ind w:firstLine="440" w:firstLineChars="200"/>
        <w:rPr>
          <w:rFonts w:hint="eastAsia" w:ascii="新宋体" w:hAnsi="新宋体" w:eastAsia="新宋体"/>
          <w:b/>
          <w:bCs/>
          <w:color w:val="auto"/>
          <w:sz w:val="22"/>
          <w:highlight w:val="none"/>
        </w:rPr>
      </w:pPr>
      <w:r>
        <w:rPr>
          <w:rFonts w:hint="eastAsia" w:ascii="新宋体" w:hAnsi="新宋体" w:eastAsia="新宋体"/>
          <w:color w:val="auto"/>
          <w:sz w:val="22"/>
          <w:highlight w:val="none"/>
          <w:lang w:val="en-US" w:eastAsia="zh-CN"/>
        </w:rPr>
        <w:t>3</w:t>
      </w:r>
      <w:r>
        <w:rPr>
          <w:rFonts w:hint="eastAsia" w:ascii="新宋体" w:hAnsi="新宋体" w:eastAsia="新宋体"/>
          <w:color w:val="auto"/>
          <w:sz w:val="22"/>
          <w:highlight w:val="none"/>
        </w:rPr>
        <w:t>.本项目的特定资格要求：</w:t>
      </w:r>
      <w:r>
        <w:rPr>
          <w:rFonts w:hint="eastAsia"/>
          <w:color w:val="auto"/>
          <w:sz w:val="22"/>
          <w:szCs w:val="22"/>
          <w:highlight w:val="none"/>
          <w:u w:val="none"/>
          <w:lang w:val="en-US" w:eastAsia="zh-CN"/>
        </w:rPr>
        <w:t>无</w:t>
      </w:r>
    </w:p>
    <w:p w14:paraId="3BAADE04">
      <w:pPr>
        <w:tabs>
          <w:tab w:val="left" w:pos="360"/>
        </w:tabs>
        <w:spacing w:line="400" w:lineRule="exact"/>
        <w:ind w:firstLine="552" w:firstLineChars="250"/>
        <w:rPr>
          <w:rFonts w:ascii="新宋体" w:hAnsi="新宋体" w:eastAsia="新宋体"/>
          <w:b/>
          <w:bCs/>
          <w:color w:val="auto"/>
          <w:sz w:val="22"/>
          <w:highlight w:val="none"/>
        </w:rPr>
      </w:pPr>
      <w:r>
        <w:rPr>
          <w:rFonts w:hint="eastAsia" w:ascii="新宋体" w:hAnsi="新宋体" w:eastAsia="新宋体"/>
          <w:b/>
          <w:bCs/>
          <w:color w:val="auto"/>
          <w:sz w:val="22"/>
          <w:highlight w:val="none"/>
        </w:rPr>
        <w:t>三、获取采购文件</w:t>
      </w:r>
    </w:p>
    <w:p w14:paraId="00734737">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时间：/至2025年</w:t>
      </w:r>
      <w:r>
        <w:rPr>
          <w:rFonts w:hint="eastAsia" w:ascii="新宋体" w:hAnsi="新宋体" w:eastAsia="新宋体"/>
          <w:color w:val="auto"/>
          <w:sz w:val="22"/>
          <w:highlight w:val="none"/>
          <w:lang w:val="en-US" w:eastAsia="zh-CN"/>
        </w:rPr>
        <w:t>7</w:t>
      </w:r>
      <w:r>
        <w:rPr>
          <w:rFonts w:hint="eastAsia" w:ascii="新宋体" w:hAnsi="新宋体" w:eastAsia="新宋体"/>
          <w:color w:val="auto"/>
          <w:sz w:val="22"/>
          <w:highlight w:val="none"/>
        </w:rPr>
        <w:t>月</w:t>
      </w:r>
      <w:r>
        <w:rPr>
          <w:rFonts w:hint="eastAsia" w:ascii="新宋体" w:hAnsi="新宋体" w:eastAsia="新宋体"/>
          <w:color w:val="auto"/>
          <w:sz w:val="22"/>
          <w:highlight w:val="none"/>
          <w:lang w:val="en-US" w:eastAsia="zh-CN"/>
        </w:rPr>
        <w:t>22</w:t>
      </w:r>
      <w:r>
        <w:rPr>
          <w:rFonts w:hint="eastAsia" w:ascii="新宋体" w:hAnsi="新宋体" w:eastAsia="新宋体"/>
          <w:color w:val="auto"/>
          <w:sz w:val="22"/>
          <w:highlight w:val="none"/>
        </w:rPr>
        <w:t>日，每天上午00:00至12:00，下午12:00至23:59（北京时间，线上获取法定节假日均可，线下获取文件法定节假日除外）</w:t>
      </w:r>
    </w:p>
    <w:p w14:paraId="33CE21A5">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地点（网址）：政府采购云平台（www.zcygov.cn）  </w:t>
      </w:r>
    </w:p>
    <w:p w14:paraId="32FED2B2">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方式：登录“政府采购云平台”在线登记后获取</w:t>
      </w:r>
    </w:p>
    <w:p w14:paraId="0E97471C">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1）潜在供应商完成“政府采购云平台”账号注册后，通过浙江政府采购网公告下方“潜在供应商获取采购文件”跳转登录或直接登录“政府采购云平台”，在线申请获取采购文件（进入“项目采购”应用，在获取采购文件菜单中选择项目，申请获取采购文件）；仅需浏览采购文件的供应商可在浙江政府采购网点击“游客，浏览采购文件”直接下载采购文件浏览。</w:t>
      </w:r>
    </w:p>
    <w:p w14:paraId="33F1FF6D">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2）招标公告附件内的采购文件（或采购需求）仅供社会公众查阅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4C74D645">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注：请供应商按上述要求获取采购文件，如未在“政府采购云平台”系统内完成相关流程，导致的投标无效责任自负。  </w:t>
      </w:r>
    </w:p>
    <w:p w14:paraId="7B221A5D">
      <w:pPr>
        <w:tabs>
          <w:tab w:val="left" w:pos="360"/>
        </w:tabs>
        <w:spacing w:line="4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售价（元）：0 </w:t>
      </w:r>
    </w:p>
    <w:p w14:paraId="14579A11">
      <w:pPr>
        <w:tabs>
          <w:tab w:val="left" w:pos="360"/>
        </w:tabs>
        <w:spacing w:line="400" w:lineRule="exact"/>
        <w:ind w:firstLine="552" w:firstLineChars="250"/>
        <w:rPr>
          <w:rFonts w:ascii="新宋体" w:hAnsi="新宋体" w:eastAsia="新宋体"/>
          <w:b/>
          <w:bCs/>
          <w:color w:val="auto"/>
          <w:sz w:val="22"/>
          <w:highlight w:val="none"/>
        </w:rPr>
      </w:pPr>
      <w:r>
        <w:rPr>
          <w:rFonts w:hint="eastAsia" w:ascii="新宋体" w:hAnsi="新宋体" w:eastAsia="新宋体"/>
          <w:b/>
          <w:bCs/>
          <w:color w:val="auto"/>
          <w:sz w:val="22"/>
          <w:highlight w:val="none"/>
        </w:rPr>
        <w:t>四、提交投标文件截止时间、开标时间和地点</w:t>
      </w:r>
    </w:p>
    <w:p w14:paraId="116BF45C">
      <w:pPr>
        <w:tabs>
          <w:tab w:val="left" w:pos="360"/>
        </w:tabs>
        <w:spacing w:line="4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提交投标文件截止时间：2025年</w:t>
      </w:r>
      <w:r>
        <w:rPr>
          <w:rFonts w:hint="eastAsia" w:ascii="新宋体" w:hAnsi="新宋体" w:eastAsia="新宋体"/>
          <w:color w:val="auto"/>
          <w:sz w:val="22"/>
          <w:highlight w:val="none"/>
          <w:lang w:val="en-US" w:eastAsia="zh-CN"/>
        </w:rPr>
        <w:t>7</w:t>
      </w:r>
      <w:r>
        <w:rPr>
          <w:rFonts w:hint="eastAsia" w:ascii="新宋体" w:hAnsi="新宋体" w:eastAsia="新宋体"/>
          <w:color w:val="auto"/>
          <w:sz w:val="22"/>
          <w:highlight w:val="none"/>
        </w:rPr>
        <w:t>月</w:t>
      </w:r>
      <w:r>
        <w:rPr>
          <w:rFonts w:hint="eastAsia" w:ascii="新宋体" w:hAnsi="新宋体" w:eastAsia="新宋体"/>
          <w:color w:val="auto"/>
          <w:sz w:val="22"/>
          <w:highlight w:val="none"/>
          <w:lang w:val="en-US" w:eastAsia="zh-CN"/>
        </w:rPr>
        <w:t>22</w:t>
      </w:r>
      <w:r>
        <w:rPr>
          <w:rFonts w:hint="eastAsia" w:ascii="新宋体" w:hAnsi="新宋体" w:eastAsia="新宋体"/>
          <w:color w:val="auto"/>
          <w:sz w:val="22"/>
          <w:highlight w:val="none"/>
        </w:rPr>
        <w:t>日</w:t>
      </w:r>
      <w:r>
        <w:rPr>
          <w:rFonts w:hint="eastAsia" w:ascii="新宋体" w:hAnsi="新宋体" w:eastAsia="新宋体"/>
          <w:color w:val="auto"/>
          <w:sz w:val="22"/>
          <w:highlight w:val="none"/>
          <w:lang w:val="en-US" w:eastAsia="zh-CN"/>
        </w:rPr>
        <w:t>09</w:t>
      </w:r>
      <w:r>
        <w:rPr>
          <w:rFonts w:hint="eastAsia" w:ascii="新宋体" w:hAnsi="新宋体" w:eastAsia="新宋体"/>
          <w:color w:val="auto"/>
          <w:sz w:val="22"/>
          <w:highlight w:val="none"/>
        </w:rPr>
        <w:t xml:space="preserve">:30 </w:t>
      </w:r>
    </w:p>
    <w:p w14:paraId="73C3EDEA">
      <w:pPr>
        <w:tabs>
          <w:tab w:val="left" w:pos="360"/>
        </w:tabs>
        <w:spacing w:line="4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投标地点：</w:t>
      </w:r>
      <w:r>
        <w:rPr>
          <w:rFonts w:ascii="宋体" w:cs="宋体"/>
          <w:color w:val="auto"/>
          <w:sz w:val="22"/>
          <w:szCs w:val="22"/>
          <w:highlight w:val="none"/>
        </w:rPr>
        <w:t>政府采购云平台在线投标，投标供应商无须前往评审现场。 </w:t>
      </w:r>
    </w:p>
    <w:p w14:paraId="7D1B870A">
      <w:pPr>
        <w:tabs>
          <w:tab w:val="left" w:pos="360"/>
        </w:tabs>
        <w:spacing w:line="4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开标时间：2025年</w:t>
      </w:r>
      <w:r>
        <w:rPr>
          <w:rFonts w:hint="eastAsia" w:ascii="新宋体" w:hAnsi="新宋体" w:eastAsia="新宋体"/>
          <w:color w:val="auto"/>
          <w:sz w:val="22"/>
          <w:highlight w:val="none"/>
          <w:lang w:val="en-US" w:eastAsia="zh-CN"/>
        </w:rPr>
        <w:t>7</w:t>
      </w:r>
      <w:r>
        <w:rPr>
          <w:rFonts w:hint="eastAsia" w:ascii="新宋体" w:hAnsi="新宋体" w:eastAsia="新宋体"/>
          <w:color w:val="auto"/>
          <w:sz w:val="22"/>
          <w:highlight w:val="none"/>
        </w:rPr>
        <w:t>月</w:t>
      </w:r>
      <w:r>
        <w:rPr>
          <w:rFonts w:hint="eastAsia" w:ascii="新宋体" w:hAnsi="新宋体" w:eastAsia="新宋体"/>
          <w:color w:val="auto"/>
          <w:sz w:val="22"/>
          <w:highlight w:val="none"/>
          <w:lang w:val="en-US" w:eastAsia="zh-CN"/>
        </w:rPr>
        <w:t>22</w:t>
      </w:r>
      <w:r>
        <w:rPr>
          <w:rFonts w:hint="eastAsia" w:ascii="新宋体" w:hAnsi="新宋体" w:eastAsia="新宋体"/>
          <w:color w:val="auto"/>
          <w:sz w:val="22"/>
          <w:highlight w:val="none"/>
        </w:rPr>
        <w:t>日</w:t>
      </w:r>
      <w:r>
        <w:rPr>
          <w:rFonts w:hint="eastAsia" w:ascii="新宋体" w:hAnsi="新宋体" w:eastAsia="新宋体"/>
          <w:color w:val="auto"/>
          <w:sz w:val="22"/>
          <w:highlight w:val="none"/>
          <w:lang w:val="en-US" w:eastAsia="zh-CN"/>
        </w:rPr>
        <w:t>09</w:t>
      </w:r>
      <w:r>
        <w:rPr>
          <w:rFonts w:hint="eastAsia" w:ascii="新宋体" w:hAnsi="新宋体" w:eastAsia="新宋体"/>
          <w:color w:val="auto"/>
          <w:sz w:val="22"/>
          <w:highlight w:val="none"/>
        </w:rPr>
        <w:t>:30 </w:t>
      </w:r>
    </w:p>
    <w:p w14:paraId="6C844DB2">
      <w:pPr>
        <w:tabs>
          <w:tab w:val="left" w:pos="360"/>
        </w:tabs>
        <w:spacing w:line="4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开标地点：供应商不必抵达开标现场，通过“政府采购云平台”线上开启</w:t>
      </w:r>
      <w:r>
        <w:rPr>
          <w:rFonts w:ascii="宋体" w:cs="宋体"/>
          <w:color w:val="auto"/>
          <w:sz w:val="22"/>
          <w:szCs w:val="22"/>
          <w:highlight w:val="none"/>
        </w:rPr>
        <w:t> 。</w:t>
      </w:r>
    </w:p>
    <w:p w14:paraId="3AA21FF5">
      <w:pPr>
        <w:tabs>
          <w:tab w:val="left" w:pos="360"/>
        </w:tabs>
        <w:spacing w:line="400" w:lineRule="exact"/>
        <w:ind w:firstLine="552" w:firstLineChars="250"/>
        <w:rPr>
          <w:rFonts w:ascii="新宋体" w:hAnsi="新宋体" w:eastAsia="新宋体"/>
          <w:b/>
          <w:bCs/>
          <w:color w:val="auto"/>
          <w:sz w:val="22"/>
          <w:highlight w:val="none"/>
        </w:rPr>
      </w:pPr>
      <w:r>
        <w:rPr>
          <w:rFonts w:hint="eastAsia" w:ascii="新宋体" w:hAnsi="新宋体" w:eastAsia="新宋体"/>
          <w:b/>
          <w:bCs/>
          <w:color w:val="auto"/>
          <w:sz w:val="22"/>
          <w:highlight w:val="none"/>
        </w:rPr>
        <w:t>五、公告期限</w:t>
      </w:r>
    </w:p>
    <w:p w14:paraId="345C03A8">
      <w:pPr>
        <w:tabs>
          <w:tab w:val="left" w:pos="360"/>
        </w:tabs>
        <w:spacing w:line="4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自本公告发布之日起5个工作日。</w:t>
      </w:r>
    </w:p>
    <w:p w14:paraId="064BF672">
      <w:pPr>
        <w:tabs>
          <w:tab w:val="left" w:pos="360"/>
        </w:tabs>
        <w:spacing w:line="400" w:lineRule="exact"/>
        <w:ind w:firstLine="552" w:firstLineChars="250"/>
        <w:rPr>
          <w:rFonts w:ascii="新宋体" w:hAnsi="新宋体" w:eastAsia="新宋体"/>
          <w:b/>
          <w:bCs/>
          <w:color w:val="auto"/>
          <w:sz w:val="22"/>
          <w:highlight w:val="none"/>
        </w:rPr>
      </w:pPr>
      <w:r>
        <w:rPr>
          <w:rFonts w:hint="eastAsia" w:ascii="新宋体" w:hAnsi="新宋体" w:eastAsia="新宋体"/>
          <w:b/>
          <w:bCs/>
          <w:color w:val="auto"/>
          <w:sz w:val="22"/>
          <w:highlight w:val="none"/>
        </w:rPr>
        <w:t>六、其他补充事宜</w:t>
      </w:r>
    </w:p>
    <w:p w14:paraId="0320EB94">
      <w:pPr>
        <w:pStyle w:val="20"/>
        <w:widowControl/>
        <w:spacing w:line="400" w:lineRule="exact"/>
        <w:ind w:firstLine="420"/>
        <w:rPr>
          <w:rFonts w:ascii="新宋体" w:hAnsi="新宋体" w:eastAsia="新宋体"/>
          <w:color w:val="auto"/>
          <w:sz w:val="22"/>
          <w:highlight w:val="none"/>
        </w:rPr>
      </w:pPr>
      <w:r>
        <w:rPr>
          <w:rFonts w:hint="eastAsia" w:ascii="新宋体" w:hAnsi="新宋体" w:eastAsia="新宋体"/>
          <w:color w:val="auto"/>
          <w:sz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18DCBE0">
      <w:pPr>
        <w:pStyle w:val="20"/>
        <w:widowControl/>
        <w:spacing w:line="400" w:lineRule="exact"/>
        <w:ind w:firstLine="420"/>
        <w:rPr>
          <w:rFonts w:ascii="新宋体" w:hAnsi="新宋体" w:eastAsia="新宋体"/>
          <w:color w:val="auto"/>
          <w:sz w:val="22"/>
          <w:highlight w:val="none"/>
        </w:rPr>
      </w:pPr>
      <w:r>
        <w:rPr>
          <w:rFonts w:hint="eastAsia" w:ascii="新宋体" w:hAnsi="新宋体" w:eastAsia="新宋体"/>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47A4D5A">
      <w:pPr>
        <w:pStyle w:val="20"/>
        <w:widowControl/>
        <w:spacing w:line="400" w:lineRule="exact"/>
        <w:ind w:firstLine="420"/>
        <w:rPr>
          <w:rFonts w:ascii="新宋体" w:hAnsi="新宋体" w:eastAsia="新宋体"/>
          <w:color w:val="auto"/>
          <w:sz w:val="22"/>
          <w:highlight w:val="none"/>
        </w:rPr>
      </w:pPr>
      <w:r>
        <w:rPr>
          <w:rFonts w:hint="eastAsia" w:ascii="新宋体" w:hAnsi="新宋体" w:eastAsia="新宋体"/>
          <w:color w:val="auto"/>
          <w:sz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5FD0ED">
      <w:pPr>
        <w:pStyle w:val="20"/>
        <w:widowControl/>
        <w:spacing w:line="400" w:lineRule="exact"/>
        <w:ind w:firstLine="420"/>
        <w:rPr>
          <w:rFonts w:ascii="新宋体" w:hAnsi="新宋体" w:eastAsia="新宋体"/>
          <w:color w:val="auto"/>
          <w:sz w:val="22"/>
          <w:highlight w:val="none"/>
        </w:rPr>
      </w:pPr>
      <w:r>
        <w:rPr>
          <w:rFonts w:hint="eastAsia" w:ascii="新宋体" w:hAnsi="新宋体" w:eastAsia="新宋体"/>
          <w:color w:val="auto"/>
          <w:sz w:val="22"/>
          <w:highlight w:val="none"/>
        </w:rPr>
        <w:t>4.其他事项：/</w:t>
      </w:r>
    </w:p>
    <w:p w14:paraId="402BA853">
      <w:pPr>
        <w:spacing w:line="440" w:lineRule="exact"/>
        <w:ind w:left="1524" w:leftChars="200" w:hanging="1104" w:hangingChars="500"/>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七、对本次采购提出询问、质疑、投诉，请按以下方式联系</w:t>
      </w:r>
    </w:p>
    <w:p w14:paraId="692FB521">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1.采购人信息</w:t>
      </w:r>
    </w:p>
    <w:p w14:paraId="4ADE5AA1">
      <w:pPr>
        <w:tabs>
          <w:tab w:val="left" w:pos="360"/>
        </w:tabs>
        <w:spacing w:line="400" w:lineRule="exact"/>
        <w:ind w:firstLine="440" w:firstLineChars="20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rPr>
        <w:t>名    称：</w:t>
      </w:r>
      <w:r>
        <w:rPr>
          <w:rFonts w:hint="eastAsia" w:ascii="新宋体" w:hAnsi="新宋体" w:eastAsia="新宋体"/>
          <w:color w:val="auto"/>
          <w:sz w:val="22"/>
          <w:highlight w:val="none"/>
          <w:lang w:eastAsia="zh-CN"/>
        </w:rPr>
        <w:t>温州市自然资源和规划局龙湾分局</w:t>
      </w:r>
    </w:p>
    <w:p w14:paraId="4428D86F">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 xml:space="preserve">地    址： </w:t>
      </w:r>
      <w:r>
        <w:rPr>
          <w:rFonts w:hint="eastAsia" w:ascii="新宋体" w:hAnsi="新宋体" w:eastAsia="新宋体" w:cs="Times New Roman"/>
          <w:color w:val="auto"/>
          <w:sz w:val="22"/>
          <w:szCs w:val="22"/>
          <w:highlight w:val="none"/>
          <w:lang w:eastAsia="zh-CN"/>
        </w:rPr>
        <w:t>温州市机场大道2060号</w:t>
      </w:r>
    </w:p>
    <w:p w14:paraId="089E0EE2">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 xml:space="preserve">传    真：/   </w:t>
      </w:r>
    </w:p>
    <w:p w14:paraId="6924E25E">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项目联系人（询问）：</w:t>
      </w:r>
      <w:r>
        <w:rPr>
          <w:rFonts w:hint="eastAsia" w:ascii="新宋体" w:hAnsi="新宋体" w:eastAsia="新宋体"/>
          <w:color w:val="auto"/>
          <w:sz w:val="22"/>
          <w:szCs w:val="22"/>
          <w:highlight w:val="none"/>
          <w:lang w:val="en-US" w:eastAsia="zh-CN"/>
        </w:rPr>
        <w:t>黄女士</w:t>
      </w:r>
    </w:p>
    <w:p w14:paraId="75F70F75">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项目联系方式（询问）：</w:t>
      </w:r>
      <w:r>
        <w:rPr>
          <w:rFonts w:hint="eastAsia" w:ascii="新宋体" w:hAnsi="新宋体" w:eastAsia="新宋体"/>
          <w:color w:val="auto"/>
          <w:sz w:val="22"/>
          <w:szCs w:val="22"/>
          <w:highlight w:val="none"/>
          <w:lang w:eastAsia="zh-CN"/>
        </w:rPr>
        <w:t>0577-89889915</w:t>
      </w:r>
    </w:p>
    <w:p w14:paraId="46235215">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质疑联系人：</w:t>
      </w:r>
      <w:r>
        <w:rPr>
          <w:rFonts w:hint="eastAsia" w:ascii="新宋体" w:hAnsi="新宋体" w:eastAsia="新宋体"/>
          <w:color w:val="auto"/>
          <w:sz w:val="22"/>
          <w:szCs w:val="22"/>
          <w:highlight w:val="none"/>
          <w:lang w:val="en-US" w:eastAsia="zh-CN"/>
        </w:rPr>
        <w:t>黄女士</w:t>
      </w:r>
    </w:p>
    <w:p w14:paraId="5C6B5CFB">
      <w:pPr>
        <w:tabs>
          <w:tab w:val="left" w:pos="360"/>
        </w:tabs>
        <w:spacing w:line="40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质疑联系方式：</w:t>
      </w:r>
      <w:r>
        <w:rPr>
          <w:rFonts w:hint="eastAsia" w:ascii="新宋体" w:hAnsi="新宋体" w:eastAsia="新宋体"/>
          <w:color w:val="auto"/>
          <w:sz w:val="22"/>
          <w:szCs w:val="22"/>
          <w:highlight w:val="none"/>
          <w:lang w:eastAsia="zh-CN"/>
        </w:rPr>
        <w:t>0577-89889915</w:t>
      </w:r>
    </w:p>
    <w:p w14:paraId="44ACB1F6">
      <w:pPr>
        <w:tabs>
          <w:tab w:val="left" w:pos="360"/>
        </w:tabs>
        <w:spacing w:line="400" w:lineRule="exact"/>
        <w:ind w:firstLine="440" w:firstLineChars="200"/>
        <w:rPr>
          <w:rFonts w:ascii="宋体" w:cs="宋体"/>
          <w:color w:val="auto"/>
          <w:sz w:val="22"/>
          <w:szCs w:val="22"/>
          <w:highlight w:val="none"/>
        </w:rPr>
      </w:pPr>
      <w:r>
        <w:rPr>
          <w:rFonts w:hint="eastAsia" w:ascii="新宋体" w:hAnsi="新宋体" w:eastAsia="新宋体"/>
          <w:color w:val="auto"/>
          <w:sz w:val="22"/>
          <w:highlight w:val="none"/>
        </w:rPr>
        <w:t>2.采购代理机构信息</w:t>
      </w:r>
      <w:r>
        <w:rPr>
          <w:rFonts w:ascii="宋体" w:cs="宋体"/>
          <w:color w:val="auto"/>
          <w:sz w:val="22"/>
          <w:szCs w:val="22"/>
          <w:highlight w:val="none"/>
        </w:rPr>
        <w:t xml:space="preserve">  </w:t>
      </w:r>
    </w:p>
    <w:p w14:paraId="0BEA33F7">
      <w:pPr>
        <w:widowControl/>
        <w:shd w:val="clear" w:color="auto" w:fill="FFFFFF"/>
        <w:spacing w:line="400" w:lineRule="exact"/>
        <w:jc w:val="left"/>
        <w:rPr>
          <w:rFonts w:ascii="宋体" w:cs="宋体"/>
          <w:color w:val="auto"/>
          <w:sz w:val="22"/>
          <w:szCs w:val="22"/>
          <w:highlight w:val="none"/>
        </w:rPr>
      </w:pPr>
      <w:r>
        <w:rPr>
          <w:rFonts w:ascii="宋体" w:cs="宋体"/>
          <w:color w:val="auto"/>
          <w:sz w:val="22"/>
          <w:szCs w:val="22"/>
          <w:highlight w:val="none"/>
        </w:rPr>
        <w:t xml:space="preserve">    </w:t>
      </w:r>
      <w:r>
        <w:rPr>
          <w:rFonts w:hint="eastAsia" w:ascii="宋体" w:cs="宋体"/>
          <w:color w:val="auto"/>
          <w:sz w:val="22"/>
          <w:szCs w:val="22"/>
          <w:highlight w:val="none"/>
        </w:rPr>
        <w:t xml:space="preserve"> </w:t>
      </w:r>
      <w:r>
        <w:rPr>
          <w:rFonts w:ascii="宋体" w:cs="宋体"/>
          <w:color w:val="auto"/>
          <w:sz w:val="22"/>
          <w:szCs w:val="22"/>
          <w:highlight w:val="none"/>
        </w:rPr>
        <w:t>名</w:t>
      </w:r>
      <w:r>
        <w:rPr>
          <w:rFonts w:hint="eastAsia" w:ascii="宋体" w:cs="宋体"/>
          <w:color w:val="auto"/>
          <w:sz w:val="22"/>
          <w:szCs w:val="22"/>
          <w:highlight w:val="none"/>
        </w:rPr>
        <w:t>    称：浙江同信工程项目管理有限公司            </w:t>
      </w:r>
    </w:p>
    <w:p w14:paraId="2BC4AF0A">
      <w:pPr>
        <w:widowControl/>
        <w:shd w:val="clear" w:color="auto" w:fill="FFFFFF"/>
        <w:spacing w:line="400" w:lineRule="exact"/>
        <w:jc w:val="left"/>
        <w:rPr>
          <w:rFonts w:ascii="宋体" w:cs="宋体"/>
          <w:color w:val="auto"/>
          <w:sz w:val="22"/>
          <w:szCs w:val="22"/>
          <w:highlight w:val="none"/>
        </w:rPr>
      </w:pPr>
      <w:r>
        <w:rPr>
          <w:rFonts w:hint="eastAsia" w:ascii="宋体" w:cs="宋体"/>
          <w:color w:val="auto"/>
          <w:sz w:val="22"/>
          <w:szCs w:val="22"/>
          <w:highlight w:val="none"/>
        </w:rPr>
        <w:t>     地    址：温州市瓯海区娄桥街道中汇路81号瓯海总部经济园C2幢7楼  </w:t>
      </w:r>
      <w:r>
        <w:rPr>
          <w:rFonts w:ascii="宋体" w:cs="宋体"/>
          <w:color w:val="auto"/>
          <w:sz w:val="22"/>
          <w:szCs w:val="22"/>
          <w:highlight w:val="none"/>
        </w:rPr>
        <w:t xml:space="preserve">    </w:t>
      </w:r>
    </w:p>
    <w:p w14:paraId="365DD901">
      <w:pPr>
        <w:widowControl/>
        <w:shd w:val="clear" w:color="auto" w:fill="FFFFFF"/>
        <w:spacing w:line="400" w:lineRule="exact"/>
        <w:jc w:val="left"/>
        <w:rPr>
          <w:rFonts w:ascii="宋体" w:cs="宋体"/>
          <w:color w:val="auto"/>
          <w:sz w:val="22"/>
          <w:szCs w:val="22"/>
          <w:highlight w:val="none"/>
        </w:rPr>
      </w:pPr>
      <w:r>
        <w:rPr>
          <w:rFonts w:ascii="宋体" w:cs="宋体"/>
          <w:color w:val="auto"/>
          <w:sz w:val="22"/>
          <w:szCs w:val="22"/>
          <w:highlight w:val="none"/>
        </w:rPr>
        <w:t xml:space="preserve">    </w:t>
      </w:r>
      <w:r>
        <w:rPr>
          <w:rFonts w:hint="eastAsia" w:ascii="宋体" w:cs="宋体"/>
          <w:color w:val="auto"/>
          <w:sz w:val="22"/>
          <w:szCs w:val="22"/>
          <w:highlight w:val="none"/>
        </w:rPr>
        <w:t xml:space="preserve"> 传    真：0577-88722555</w:t>
      </w:r>
    </w:p>
    <w:p w14:paraId="01057EEA">
      <w:pPr>
        <w:widowControl/>
        <w:shd w:val="clear" w:color="auto" w:fill="FFFFFF"/>
        <w:spacing w:line="400" w:lineRule="exact"/>
        <w:ind w:firstLine="440" w:firstLineChars="200"/>
        <w:jc w:val="left"/>
        <w:rPr>
          <w:rFonts w:ascii="宋体" w:cs="宋体"/>
          <w:color w:val="auto"/>
          <w:sz w:val="22"/>
          <w:szCs w:val="22"/>
          <w:highlight w:val="none"/>
        </w:rPr>
      </w:pPr>
      <w:r>
        <w:rPr>
          <w:rFonts w:ascii="宋体" w:cs="宋体"/>
          <w:color w:val="auto"/>
          <w:sz w:val="22"/>
          <w:szCs w:val="22"/>
          <w:highlight w:val="none"/>
        </w:rPr>
        <w:t>项目联系人（询问）：</w:t>
      </w:r>
      <w:r>
        <w:rPr>
          <w:rFonts w:hint="eastAsia" w:ascii="宋体" w:cs="宋体"/>
          <w:color w:val="auto"/>
          <w:sz w:val="22"/>
          <w:szCs w:val="22"/>
          <w:highlight w:val="none"/>
        </w:rPr>
        <w:t>许博文      </w:t>
      </w:r>
    </w:p>
    <w:p w14:paraId="30969331">
      <w:pPr>
        <w:widowControl/>
        <w:shd w:val="clear" w:color="auto" w:fill="FFFFFF"/>
        <w:spacing w:line="400" w:lineRule="exact"/>
        <w:jc w:val="left"/>
        <w:rPr>
          <w:rFonts w:ascii="宋体" w:cs="宋体"/>
          <w:color w:val="auto"/>
          <w:sz w:val="22"/>
          <w:szCs w:val="22"/>
          <w:highlight w:val="none"/>
        </w:rPr>
      </w:pPr>
      <w:r>
        <w:rPr>
          <w:rFonts w:hint="eastAsia" w:ascii="宋体" w:cs="宋体"/>
          <w:color w:val="auto"/>
          <w:sz w:val="22"/>
          <w:szCs w:val="22"/>
          <w:highlight w:val="none"/>
        </w:rPr>
        <w:t>     项目联系方式（询问）：13868321239</w:t>
      </w:r>
    </w:p>
    <w:p w14:paraId="40008B90">
      <w:pPr>
        <w:widowControl/>
        <w:shd w:val="clear" w:color="auto" w:fill="FFFFFF"/>
        <w:spacing w:line="400" w:lineRule="exact"/>
        <w:jc w:val="left"/>
        <w:rPr>
          <w:rFonts w:ascii="宋体" w:cs="宋体"/>
          <w:color w:val="auto"/>
          <w:sz w:val="22"/>
          <w:szCs w:val="22"/>
          <w:highlight w:val="none"/>
        </w:rPr>
      </w:pPr>
      <w:r>
        <w:rPr>
          <w:rFonts w:ascii="宋体" w:cs="宋体"/>
          <w:color w:val="auto"/>
          <w:sz w:val="22"/>
          <w:szCs w:val="22"/>
          <w:highlight w:val="none"/>
        </w:rPr>
        <w:t xml:space="preserve">    </w:t>
      </w:r>
      <w:r>
        <w:rPr>
          <w:rFonts w:hint="eastAsia" w:ascii="宋体" w:cs="宋体"/>
          <w:color w:val="auto"/>
          <w:sz w:val="22"/>
          <w:szCs w:val="22"/>
          <w:highlight w:val="none"/>
        </w:rPr>
        <w:t xml:space="preserve"> </w:t>
      </w:r>
      <w:r>
        <w:rPr>
          <w:rFonts w:ascii="宋体" w:cs="宋体"/>
          <w:color w:val="auto"/>
          <w:sz w:val="22"/>
          <w:szCs w:val="22"/>
          <w:highlight w:val="none"/>
        </w:rPr>
        <w:t>质疑联系人：</w:t>
      </w:r>
      <w:r>
        <w:rPr>
          <w:rFonts w:hint="eastAsia" w:ascii="宋体" w:cs="宋体"/>
          <w:color w:val="auto"/>
          <w:sz w:val="22"/>
          <w:szCs w:val="22"/>
          <w:highlight w:val="none"/>
        </w:rPr>
        <w:t>金奇</w:t>
      </w:r>
      <w:r>
        <w:rPr>
          <w:rFonts w:ascii="宋体" w:cs="宋体"/>
          <w:color w:val="auto"/>
          <w:sz w:val="22"/>
          <w:szCs w:val="22"/>
          <w:highlight w:val="none"/>
        </w:rPr>
        <w:t xml:space="preserve">  </w:t>
      </w:r>
      <w:r>
        <w:rPr>
          <w:rFonts w:hint="eastAsia" w:ascii="宋体" w:cs="宋体"/>
          <w:color w:val="auto"/>
          <w:sz w:val="22"/>
          <w:szCs w:val="22"/>
          <w:highlight w:val="none"/>
        </w:rPr>
        <w:t xml:space="preserve"> </w:t>
      </w:r>
    </w:p>
    <w:p w14:paraId="0F8769A8">
      <w:pPr>
        <w:spacing w:line="440" w:lineRule="exact"/>
        <w:ind w:left="1520" w:leftChars="200" w:hanging="1100" w:hangingChars="500"/>
        <w:rPr>
          <w:rFonts w:hint="eastAsia" w:ascii="宋体" w:hAnsi="宋体" w:cs="宋体"/>
          <w:color w:val="auto"/>
          <w:szCs w:val="21"/>
          <w:highlight w:val="none"/>
        </w:rPr>
      </w:pPr>
      <w:r>
        <w:rPr>
          <w:rFonts w:ascii="宋体" w:cs="宋体"/>
          <w:color w:val="auto"/>
          <w:sz w:val="22"/>
          <w:szCs w:val="22"/>
          <w:highlight w:val="none"/>
        </w:rPr>
        <w:t> 质疑联系方式：</w:t>
      </w:r>
      <w:r>
        <w:rPr>
          <w:rFonts w:hint="eastAsia" w:ascii="宋体" w:cs="宋体"/>
          <w:color w:val="auto"/>
          <w:sz w:val="22"/>
          <w:szCs w:val="22"/>
          <w:highlight w:val="none"/>
        </w:rPr>
        <w:t>0577-</w:t>
      </w:r>
      <w:r>
        <w:rPr>
          <w:rFonts w:hint="eastAsia" w:ascii="宋体" w:hAnsi="宋体" w:cs="宋体"/>
          <w:color w:val="auto"/>
          <w:szCs w:val="21"/>
          <w:highlight w:val="none"/>
        </w:rPr>
        <w:t>88722555</w:t>
      </w:r>
    </w:p>
    <w:p w14:paraId="4E44F362">
      <w:pPr>
        <w:pStyle w:val="20"/>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3.同级政府采购监督管理部门</w:t>
      </w:r>
    </w:p>
    <w:p w14:paraId="498554AD">
      <w:pPr>
        <w:pStyle w:val="20"/>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w:t>
      </w:r>
      <w:r>
        <w:rPr>
          <w:rFonts w:hint="eastAsia"/>
          <w:color w:val="auto"/>
          <w:sz w:val="22"/>
          <w:szCs w:val="22"/>
          <w:highlight w:val="none"/>
          <w:u w:val="none"/>
        </w:rPr>
        <w:t xml:space="preserve">  </w:t>
      </w:r>
      <w:r>
        <w:rPr>
          <w:rFonts w:hint="eastAsia" w:ascii="宋体" w:hAnsi="宋体" w:eastAsia="宋体" w:cs="宋体"/>
          <w:color w:val="auto"/>
          <w:sz w:val="22"/>
          <w:szCs w:val="22"/>
          <w:highlight w:val="none"/>
          <w:u w:val="none"/>
        </w:rPr>
        <w:t>称：</w:t>
      </w:r>
      <w:r>
        <w:rPr>
          <w:rFonts w:hint="eastAsia" w:ascii="宋体" w:hAnsi="宋体"/>
          <w:color w:val="auto"/>
          <w:sz w:val="22"/>
          <w:highlight w:val="none"/>
          <w:lang w:eastAsia="zh-CN"/>
        </w:rPr>
        <w:t>温州市龙湾区财政局（浙江省政府采购行政裁决服务中心（温州））</w:t>
      </w:r>
    </w:p>
    <w:p w14:paraId="4BE1EACB">
      <w:pPr>
        <w:pStyle w:val="20"/>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地</w:t>
      </w:r>
      <w:r>
        <w:rPr>
          <w:rFonts w:hint="eastAsia"/>
          <w:color w:val="auto"/>
          <w:sz w:val="22"/>
          <w:szCs w:val="22"/>
          <w:highlight w:val="none"/>
          <w:u w:val="none"/>
        </w:rPr>
        <w:t xml:space="preserve">  </w:t>
      </w:r>
      <w:r>
        <w:rPr>
          <w:rFonts w:hint="eastAsia" w:ascii="宋体" w:hAnsi="宋体" w:eastAsia="宋体" w:cs="宋体"/>
          <w:color w:val="auto"/>
          <w:sz w:val="22"/>
          <w:szCs w:val="22"/>
          <w:highlight w:val="none"/>
          <w:u w:val="none"/>
        </w:rPr>
        <w:t>址：</w:t>
      </w:r>
      <w:r>
        <w:rPr>
          <w:rFonts w:hint="eastAsia" w:ascii="宋体" w:hAnsi="宋体"/>
          <w:color w:val="auto"/>
          <w:sz w:val="22"/>
          <w:highlight w:val="none"/>
        </w:rPr>
        <w:t>温州市鹿城区滨江街道瓯江路展银大厦1606室　</w:t>
      </w:r>
    </w:p>
    <w:p w14:paraId="422C68E2">
      <w:pPr>
        <w:pStyle w:val="20"/>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传</w:t>
      </w:r>
      <w:r>
        <w:rPr>
          <w:rFonts w:hint="eastAsia"/>
          <w:color w:val="auto"/>
          <w:sz w:val="22"/>
          <w:szCs w:val="22"/>
          <w:highlight w:val="none"/>
          <w:u w:val="none"/>
        </w:rPr>
        <w:t xml:space="preserve">  </w:t>
      </w:r>
      <w:r>
        <w:rPr>
          <w:rFonts w:hint="eastAsia" w:ascii="宋体" w:hAnsi="宋体" w:eastAsia="宋体" w:cs="宋体"/>
          <w:color w:val="auto"/>
          <w:sz w:val="22"/>
          <w:szCs w:val="22"/>
          <w:highlight w:val="none"/>
          <w:u w:val="none"/>
        </w:rPr>
        <w:t>真：/</w:t>
      </w:r>
    </w:p>
    <w:p w14:paraId="4BFEFCBC">
      <w:pPr>
        <w:pStyle w:val="20"/>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联 系 人：</w:t>
      </w:r>
      <w:r>
        <w:rPr>
          <w:rFonts w:hint="eastAsia" w:ascii="宋体" w:hAnsi="宋体"/>
          <w:color w:val="auto"/>
          <w:sz w:val="22"/>
          <w:highlight w:val="none"/>
        </w:rPr>
        <w:t>李老师、王老师</w:t>
      </w:r>
    </w:p>
    <w:p w14:paraId="6B14D6B1">
      <w:pPr>
        <w:spacing w:line="440" w:lineRule="exact"/>
        <w:ind w:left="1520" w:leftChars="200" w:hanging="1100" w:hangingChars="500"/>
        <w:rPr>
          <w:rFonts w:hint="eastAsia" w:ascii="宋体" w:hAnsi="宋体" w:cs="宋体"/>
          <w:color w:val="auto"/>
          <w:szCs w:val="21"/>
          <w:highlight w:val="none"/>
        </w:rPr>
      </w:pPr>
      <w:r>
        <w:rPr>
          <w:rFonts w:hint="eastAsia" w:ascii="宋体" w:hAnsi="宋体" w:eastAsia="宋体" w:cs="宋体"/>
          <w:color w:val="auto"/>
          <w:sz w:val="22"/>
          <w:szCs w:val="22"/>
          <w:highlight w:val="none"/>
          <w:u w:val="none"/>
        </w:rPr>
        <w:t>监督投诉电话：</w:t>
      </w:r>
      <w:r>
        <w:rPr>
          <w:rFonts w:hint="eastAsia" w:ascii="宋体" w:hAnsi="宋体"/>
          <w:color w:val="auto"/>
          <w:sz w:val="22"/>
          <w:highlight w:val="none"/>
          <w:lang w:eastAsia="zh-CN"/>
        </w:rPr>
        <w:t>0577-85501561，0577-85501562</w:t>
      </w:r>
      <w:r>
        <w:rPr>
          <w:rFonts w:hint="eastAsia" w:ascii="宋体" w:hAnsi="宋体"/>
          <w:color w:val="auto"/>
          <w:sz w:val="22"/>
          <w:highlight w:val="none"/>
        </w:rPr>
        <w:t> </w:t>
      </w:r>
      <w:bookmarkStart w:id="107" w:name="_GoBack"/>
      <w:bookmarkEnd w:id="107"/>
    </w:p>
    <w:p w14:paraId="1059352E">
      <w:pPr>
        <w:widowControl/>
        <w:shd w:val="clear" w:color="auto" w:fill="FFFFFF"/>
        <w:spacing w:line="400" w:lineRule="exact"/>
        <w:ind w:firstLine="378" w:firstLineChars="172"/>
        <w:jc w:val="left"/>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若对项目采购电子交易系统操作有疑问，可登录政采云（https：//www.zcygov.cn/），点击右侧咨询小采，获取采小蜜智能服务管家帮助，或拨打政采云服务热线400-881-7190获取热线服务帮助。       </w:t>
      </w:r>
    </w:p>
    <w:p w14:paraId="1025D769">
      <w:pPr>
        <w:ind w:firstLine="440" w:firstLineChars="200"/>
        <w:rPr>
          <w:color w:val="auto"/>
          <w:highlight w:val="none"/>
        </w:rPr>
      </w:pPr>
      <w:r>
        <w:rPr>
          <w:rFonts w:hint="eastAsia" w:ascii="宋体" w:hAnsi="宋体" w:cs="Courier New"/>
          <w:color w:val="auto"/>
          <w:kern w:val="0"/>
          <w:sz w:val="22"/>
          <w:szCs w:val="22"/>
          <w:highlight w:val="none"/>
        </w:rPr>
        <w:t>CA问题联系电话（人工）：汇信CA 400-888-4636；天谷CA 400-087-8198。</w:t>
      </w:r>
    </w:p>
    <w:p w14:paraId="31C6464C">
      <w:pPr>
        <w:widowControl/>
        <w:shd w:val="clear" w:color="auto" w:fill="FFFFFF"/>
        <w:spacing w:line="380" w:lineRule="exact"/>
        <w:ind w:firstLine="378" w:firstLineChars="172"/>
        <w:jc w:val="left"/>
        <w:rPr>
          <w:rFonts w:ascii="宋体" w:hAnsi="宋体" w:cs="Courier New"/>
          <w:color w:val="auto"/>
          <w:kern w:val="0"/>
          <w:sz w:val="22"/>
          <w:szCs w:val="22"/>
          <w:highlight w:val="none"/>
        </w:rPr>
      </w:pPr>
    </w:p>
    <w:p w14:paraId="1312F767">
      <w:pPr>
        <w:widowControl/>
        <w:shd w:val="clear" w:color="auto" w:fill="FFFFFF"/>
        <w:spacing w:line="480" w:lineRule="exact"/>
        <w:jc w:val="center"/>
        <w:rPr>
          <w:rFonts w:hAnsi="宋体" w:cs="宋体"/>
          <w:color w:val="auto"/>
          <w:sz w:val="36"/>
          <w:szCs w:val="36"/>
          <w:highlight w:val="none"/>
        </w:rPr>
      </w:pPr>
      <w:r>
        <w:rPr>
          <w:rFonts w:hint="eastAsia" w:ascii="新宋体" w:hAnsi="新宋体" w:eastAsia="新宋体"/>
          <w:color w:val="auto"/>
          <w:sz w:val="22"/>
          <w:highlight w:val="none"/>
        </w:rPr>
        <w:br w:type="page"/>
      </w:r>
      <w:bookmarkStart w:id="10" w:name="_Toc8037"/>
      <w:bookmarkStart w:id="11" w:name="_Toc515203430"/>
      <w:bookmarkStart w:id="12" w:name="_Toc508617274"/>
      <w:r>
        <w:rPr>
          <w:rFonts w:hint="eastAsia" w:hAnsi="宋体" w:cs="宋体"/>
          <w:color w:val="auto"/>
          <w:sz w:val="36"/>
          <w:szCs w:val="36"/>
          <w:highlight w:val="none"/>
        </w:rPr>
        <w:t>投标须知前附表</w:t>
      </w:r>
      <w:bookmarkEnd w:id="10"/>
      <w:bookmarkEnd w:id="11"/>
      <w:bookmarkEnd w:id="12"/>
    </w:p>
    <w:tbl>
      <w:tblPr>
        <w:tblStyle w:val="24"/>
        <w:tblW w:w="9940" w:type="dxa"/>
        <w:jc w:val="center"/>
        <w:tblLayout w:type="fixed"/>
        <w:tblCellMar>
          <w:top w:w="0" w:type="dxa"/>
          <w:left w:w="108" w:type="dxa"/>
          <w:bottom w:w="0" w:type="dxa"/>
          <w:right w:w="108" w:type="dxa"/>
        </w:tblCellMar>
      </w:tblPr>
      <w:tblGrid>
        <w:gridCol w:w="679"/>
        <w:gridCol w:w="1884"/>
        <w:gridCol w:w="7377"/>
      </w:tblGrid>
      <w:tr w14:paraId="55186A32">
        <w:tblPrEx>
          <w:tblCellMar>
            <w:top w:w="0" w:type="dxa"/>
            <w:left w:w="108" w:type="dxa"/>
            <w:bottom w:w="0" w:type="dxa"/>
            <w:right w:w="108" w:type="dxa"/>
          </w:tblCellMar>
        </w:tblPrEx>
        <w:trPr>
          <w:trHeight w:val="562" w:hRule="exac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373A35CA">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884" w:type="dxa"/>
            <w:tcBorders>
              <w:top w:val="single" w:color="auto" w:sz="4" w:space="0"/>
              <w:left w:val="single" w:color="auto" w:sz="4" w:space="0"/>
              <w:bottom w:val="single" w:color="auto" w:sz="4" w:space="0"/>
              <w:right w:val="single" w:color="auto" w:sz="4" w:space="0"/>
            </w:tcBorders>
            <w:noWrap/>
            <w:vAlign w:val="center"/>
          </w:tcPr>
          <w:p w14:paraId="3FDD4331">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条款名称</w:t>
            </w:r>
          </w:p>
        </w:tc>
        <w:tc>
          <w:tcPr>
            <w:tcW w:w="7377" w:type="dxa"/>
            <w:tcBorders>
              <w:top w:val="single" w:color="auto" w:sz="4" w:space="0"/>
              <w:left w:val="single" w:color="auto" w:sz="4" w:space="0"/>
              <w:bottom w:val="single" w:color="auto" w:sz="4" w:space="0"/>
              <w:right w:val="single" w:color="auto" w:sz="4" w:space="0"/>
            </w:tcBorders>
            <w:noWrap/>
            <w:vAlign w:val="center"/>
          </w:tcPr>
          <w:p w14:paraId="7954A942">
            <w:pPr>
              <w:widowControl/>
              <w:tabs>
                <w:tab w:val="left" w:pos="-360"/>
              </w:tabs>
              <w:autoSpaceDE w:val="0"/>
              <w:autoSpaceDN w:val="0"/>
              <w:spacing w:line="360" w:lineRule="exact"/>
              <w:ind w:right="-34" w:firstLine="440" w:firstLineChars="200"/>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编列内容</w:t>
            </w:r>
          </w:p>
        </w:tc>
      </w:tr>
      <w:tr w14:paraId="23E7170B">
        <w:tblPrEx>
          <w:tblCellMar>
            <w:top w:w="0" w:type="dxa"/>
            <w:left w:w="108" w:type="dxa"/>
            <w:bottom w:w="0" w:type="dxa"/>
            <w:right w:w="108" w:type="dxa"/>
          </w:tblCellMar>
        </w:tblPrEx>
        <w:trPr>
          <w:trHeight w:val="1575"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1C01C5D4">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884" w:type="dxa"/>
            <w:tcBorders>
              <w:top w:val="single" w:color="auto" w:sz="4" w:space="0"/>
              <w:left w:val="single" w:color="auto" w:sz="4" w:space="0"/>
              <w:bottom w:val="single" w:color="auto" w:sz="4" w:space="0"/>
              <w:right w:val="single" w:color="auto" w:sz="4" w:space="0"/>
            </w:tcBorders>
            <w:noWrap/>
            <w:vAlign w:val="center"/>
          </w:tcPr>
          <w:p w14:paraId="5A95283B">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377" w:type="dxa"/>
            <w:tcBorders>
              <w:top w:val="single" w:color="auto" w:sz="4" w:space="0"/>
              <w:left w:val="single" w:color="auto" w:sz="4" w:space="0"/>
              <w:bottom w:val="single" w:color="auto" w:sz="4" w:space="0"/>
              <w:right w:val="single" w:color="auto" w:sz="4" w:space="0"/>
            </w:tcBorders>
            <w:noWrap/>
            <w:vAlign w:val="center"/>
          </w:tcPr>
          <w:p w14:paraId="02AB5254">
            <w:pPr>
              <w:widowControl/>
              <w:spacing w:line="36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招标人名称：</w:t>
            </w:r>
            <w:r>
              <w:rPr>
                <w:rFonts w:hint="eastAsia" w:ascii="宋体" w:hAnsi="宋体" w:cs="宋体"/>
                <w:color w:val="auto"/>
                <w:kern w:val="0"/>
                <w:sz w:val="22"/>
                <w:szCs w:val="22"/>
                <w:highlight w:val="none"/>
                <w:lang w:eastAsia="zh-CN"/>
              </w:rPr>
              <w:t>温州市自然资源和规划局龙湾分局</w:t>
            </w:r>
          </w:p>
          <w:p w14:paraId="42477C3F">
            <w:pPr>
              <w:widowControl/>
              <w:spacing w:line="360" w:lineRule="exact"/>
              <w:jc w:val="left"/>
              <w:rPr>
                <w:rFonts w:hint="default" w:ascii="宋体" w:eastAsia="宋体" w:cs="Arial"/>
                <w:color w:val="auto"/>
                <w:sz w:val="22"/>
                <w:szCs w:val="22"/>
                <w:highlight w:val="none"/>
                <w:lang w:val="en-US" w:eastAsia="zh-CN"/>
              </w:rPr>
            </w:pPr>
            <w:r>
              <w:rPr>
                <w:rFonts w:hint="eastAsia" w:ascii="宋体" w:cs="Arial"/>
                <w:color w:val="auto"/>
                <w:sz w:val="22"/>
                <w:szCs w:val="22"/>
                <w:highlight w:val="none"/>
              </w:rPr>
              <w:t xml:space="preserve">招标人地址： </w:t>
            </w:r>
            <w:r>
              <w:rPr>
                <w:rFonts w:hint="eastAsia" w:ascii="宋体" w:hAnsi="宋体" w:cs="新宋体"/>
                <w:bCs/>
                <w:color w:val="auto"/>
                <w:kern w:val="0"/>
                <w:sz w:val="22"/>
                <w:szCs w:val="22"/>
                <w:highlight w:val="none"/>
              </w:rPr>
              <w:t>温州</w:t>
            </w:r>
            <w:r>
              <w:rPr>
                <w:rFonts w:hint="eastAsia" w:ascii="宋体" w:hAnsi="宋体" w:cs="新宋体"/>
                <w:bCs/>
                <w:color w:val="auto"/>
                <w:kern w:val="0"/>
                <w:sz w:val="22"/>
                <w:szCs w:val="22"/>
                <w:highlight w:val="none"/>
                <w:lang w:eastAsia="zh-CN"/>
              </w:rPr>
              <w:t>市机场大道</w:t>
            </w:r>
            <w:r>
              <w:rPr>
                <w:rFonts w:hint="eastAsia" w:ascii="宋体" w:hAnsi="宋体" w:cs="新宋体"/>
                <w:bCs/>
                <w:color w:val="auto"/>
                <w:kern w:val="0"/>
                <w:sz w:val="22"/>
                <w:szCs w:val="22"/>
                <w:highlight w:val="none"/>
                <w:lang w:val="en-US" w:eastAsia="zh-CN"/>
              </w:rPr>
              <w:t>2060号</w:t>
            </w:r>
          </w:p>
          <w:p w14:paraId="358022E0">
            <w:pPr>
              <w:widowControl/>
              <w:spacing w:line="360" w:lineRule="exact"/>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联系人：</w:t>
            </w:r>
            <w:r>
              <w:rPr>
                <w:rFonts w:hint="eastAsia" w:ascii="宋体" w:hAnsi="宋体" w:cs="宋体"/>
                <w:color w:val="auto"/>
                <w:kern w:val="0"/>
                <w:sz w:val="22"/>
                <w:szCs w:val="22"/>
                <w:highlight w:val="none"/>
                <w:lang w:eastAsia="zh-CN"/>
              </w:rPr>
              <w:t>黄女士</w:t>
            </w:r>
          </w:p>
          <w:p w14:paraId="61443C65">
            <w:pPr>
              <w:widowControl/>
              <w:spacing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电话： </w:t>
            </w:r>
            <w:r>
              <w:rPr>
                <w:rFonts w:hint="eastAsia" w:ascii="宋体" w:hAnsi="宋体" w:cs="宋体"/>
                <w:color w:val="auto"/>
                <w:kern w:val="0"/>
                <w:sz w:val="22"/>
                <w:szCs w:val="22"/>
                <w:highlight w:val="none"/>
                <w:lang w:eastAsia="zh-CN"/>
              </w:rPr>
              <w:t>0577-89889915</w:t>
            </w:r>
            <w:r>
              <w:rPr>
                <w:rFonts w:hint="eastAsia" w:ascii="宋体" w:hAnsi="宋体" w:cs="宋体"/>
                <w:color w:val="auto"/>
                <w:kern w:val="0"/>
                <w:sz w:val="22"/>
                <w:szCs w:val="22"/>
                <w:highlight w:val="none"/>
              </w:rPr>
              <w:t xml:space="preserve">  </w:t>
            </w:r>
          </w:p>
        </w:tc>
      </w:tr>
      <w:tr w14:paraId="2D78154A">
        <w:tblPrEx>
          <w:tblCellMar>
            <w:top w:w="0" w:type="dxa"/>
            <w:left w:w="108" w:type="dxa"/>
            <w:bottom w:w="0" w:type="dxa"/>
            <w:right w:w="108" w:type="dxa"/>
          </w:tblCellMar>
        </w:tblPrEx>
        <w:trPr>
          <w:trHeight w:val="1583"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6E8E4290">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884" w:type="dxa"/>
            <w:tcBorders>
              <w:top w:val="single" w:color="auto" w:sz="4" w:space="0"/>
              <w:left w:val="single" w:color="auto" w:sz="4" w:space="0"/>
              <w:bottom w:val="single" w:color="auto" w:sz="4" w:space="0"/>
              <w:right w:val="single" w:color="auto" w:sz="4" w:space="0"/>
            </w:tcBorders>
            <w:noWrap/>
            <w:vAlign w:val="center"/>
          </w:tcPr>
          <w:p w14:paraId="16F94D34">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377" w:type="dxa"/>
            <w:tcBorders>
              <w:top w:val="single" w:color="auto" w:sz="4" w:space="0"/>
              <w:left w:val="single" w:color="auto" w:sz="4" w:space="0"/>
              <w:bottom w:val="single" w:color="auto" w:sz="4" w:space="0"/>
              <w:right w:val="single" w:color="auto" w:sz="4" w:space="0"/>
            </w:tcBorders>
            <w:noWrap/>
            <w:vAlign w:val="center"/>
          </w:tcPr>
          <w:p w14:paraId="154A3C77">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代理机构名称：浙江同信工程项目管理有限公司</w:t>
            </w:r>
          </w:p>
          <w:p w14:paraId="797F14C6">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代理机构地址：温州市瓯海区娄桥街道中汇路81号瓯海总部经济园C2幢7楼</w:t>
            </w:r>
          </w:p>
          <w:p w14:paraId="24932785">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w:t>
            </w:r>
            <w:r>
              <w:rPr>
                <w:rFonts w:hint="eastAsia" w:ascii="Arial" w:hAnsi="Arial" w:cs="Arial"/>
                <w:color w:val="auto"/>
                <w:szCs w:val="21"/>
                <w:highlight w:val="none"/>
              </w:rPr>
              <w:t>许博文</w:t>
            </w:r>
          </w:p>
          <w:p w14:paraId="3495DB47">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电话：0577-88722555、13868321239 </w:t>
            </w:r>
          </w:p>
        </w:tc>
      </w:tr>
      <w:tr w14:paraId="5249549C">
        <w:tblPrEx>
          <w:tblCellMar>
            <w:top w:w="0" w:type="dxa"/>
            <w:left w:w="108" w:type="dxa"/>
            <w:bottom w:w="0" w:type="dxa"/>
            <w:right w:w="108" w:type="dxa"/>
          </w:tblCellMar>
        </w:tblPrEx>
        <w:trPr>
          <w:trHeight w:val="53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08868558">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884" w:type="dxa"/>
            <w:tcBorders>
              <w:top w:val="single" w:color="auto" w:sz="4" w:space="0"/>
              <w:left w:val="single" w:color="auto" w:sz="4" w:space="0"/>
              <w:bottom w:val="single" w:color="auto" w:sz="4" w:space="0"/>
              <w:right w:val="single" w:color="auto" w:sz="4" w:space="0"/>
            </w:tcBorders>
            <w:noWrap/>
            <w:vAlign w:val="center"/>
          </w:tcPr>
          <w:p w14:paraId="39A9D261">
            <w:pPr>
              <w:widowControl/>
              <w:tabs>
                <w:tab w:val="left" w:pos="-360"/>
              </w:tabs>
              <w:autoSpaceDE w:val="0"/>
              <w:autoSpaceDN w:val="0"/>
              <w:spacing w:line="360" w:lineRule="exact"/>
              <w:ind w:right="-34" w:firstLine="440" w:firstLineChars="200"/>
              <w:jc w:val="left"/>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项目名称</w:t>
            </w:r>
          </w:p>
        </w:tc>
        <w:tc>
          <w:tcPr>
            <w:tcW w:w="7377" w:type="dxa"/>
            <w:tcBorders>
              <w:top w:val="single" w:color="auto" w:sz="4" w:space="0"/>
              <w:left w:val="single" w:color="auto" w:sz="4" w:space="0"/>
              <w:bottom w:val="single" w:color="auto" w:sz="4" w:space="0"/>
              <w:right w:val="single" w:color="auto" w:sz="4" w:space="0"/>
            </w:tcBorders>
            <w:noWrap/>
            <w:vAlign w:val="center"/>
          </w:tcPr>
          <w:p w14:paraId="64977793">
            <w:pPr>
              <w:widowControl/>
              <w:tabs>
                <w:tab w:val="left" w:pos="-360"/>
              </w:tabs>
              <w:autoSpaceDE w:val="0"/>
              <w:autoSpaceDN w:val="0"/>
              <w:spacing w:line="360" w:lineRule="exact"/>
              <w:ind w:right="-34"/>
              <w:jc w:val="left"/>
              <w:textAlignment w:val="bottom"/>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龙湾区百镇千村富硒土地地球化学详查工作</w:t>
            </w:r>
          </w:p>
        </w:tc>
      </w:tr>
      <w:tr w14:paraId="48D8CA58">
        <w:tblPrEx>
          <w:tblCellMar>
            <w:top w:w="0" w:type="dxa"/>
            <w:left w:w="108" w:type="dxa"/>
            <w:bottom w:w="0" w:type="dxa"/>
            <w:right w:w="108" w:type="dxa"/>
          </w:tblCellMar>
        </w:tblPrEx>
        <w:trPr>
          <w:trHeight w:val="53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4CAFE301">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884" w:type="dxa"/>
            <w:tcBorders>
              <w:top w:val="single" w:color="auto" w:sz="4" w:space="0"/>
              <w:left w:val="single" w:color="auto" w:sz="4" w:space="0"/>
              <w:bottom w:val="single" w:color="auto" w:sz="4" w:space="0"/>
              <w:right w:val="single" w:color="auto" w:sz="4" w:space="0"/>
            </w:tcBorders>
            <w:noWrap/>
            <w:vAlign w:val="center"/>
          </w:tcPr>
          <w:p w14:paraId="56B18374">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项目编号</w:t>
            </w:r>
          </w:p>
        </w:tc>
        <w:tc>
          <w:tcPr>
            <w:tcW w:w="7377" w:type="dxa"/>
            <w:tcBorders>
              <w:top w:val="single" w:color="auto" w:sz="4" w:space="0"/>
              <w:left w:val="single" w:color="auto" w:sz="4" w:space="0"/>
              <w:bottom w:val="single" w:color="auto" w:sz="4" w:space="0"/>
              <w:right w:val="single" w:color="auto" w:sz="4" w:space="0"/>
            </w:tcBorders>
            <w:noWrap/>
            <w:vAlign w:val="center"/>
          </w:tcPr>
          <w:p w14:paraId="0D79E7B1">
            <w:pPr>
              <w:widowControl/>
              <w:tabs>
                <w:tab w:val="left" w:pos="-360"/>
              </w:tabs>
              <w:autoSpaceDE w:val="0"/>
              <w:autoSpaceDN w:val="0"/>
              <w:spacing w:line="360" w:lineRule="exact"/>
              <w:ind w:right="-34"/>
              <w:jc w:val="left"/>
              <w:textAlignment w:val="bottom"/>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ZJTX2025019</w:t>
            </w:r>
          </w:p>
        </w:tc>
      </w:tr>
      <w:tr w14:paraId="3AA8B959">
        <w:tblPrEx>
          <w:tblCellMar>
            <w:top w:w="0" w:type="dxa"/>
            <w:left w:w="108" w:type="dxa"/>
            <w:bottom w:w="0" w:type="dxa"/>
            <w:right w:w="108" w:type="dxa"/>
          </w:tblCellMar>
        </w:tblPrEx>
        <w:trPr>
          <w:trHeight w:val="494"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223E65AC">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884" w:type="dxa"/>
            <w:tcBorders>
              <w:top w:val="single" w:color="auto" w:sz="4" w:space="0"/>
              <w:left w:val="single" w:color="auto" w:sz="4" w:space="0"/>
              <w:bottom w:val="single" w:color="auto" w:sz="4" w:space="0"/>
              <w:right w:val="single" w:color="auto" w:sz="4" w:space="0"/>
            </w:tcBorders>
            <w:noWrap/>
            <w:vAlign w:val="center"/>
          </w:tcPr>
          <w:p w14:paraId="59ADBC55">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资金来源</w:t>
            </w:r>
          </w:p>
        </w:tc>
        <w:tc>
          <w:tcPr>
            <w:tcW w:w="7377" w:type="dxa"/>
            <w:tcBorders>
              <w:top w:val="single" w:color="auto" w:sz="4" w:space="0"/>
              <w:left w:val="single" w:color="auto" w:sz="4" w:space="0"/>
              <w:bottom w:val="single" w:color="auto" w:sz="4" w:space="0"/>
              <w:right w:val="single" w:color="auto" w:sz="4" w:space="0"/>
            </w:tcBorders>
            <w:noWrap/>
            <w:vAlign w:val="center"/>
          </w:tcPr>
          <w:p w14:paraId="3E339072">
            <w:pPr>
              <w:widowControl/>
              <w:tabs>
                <w:tab w:val="left" w:pos="-360"/>
              </w:tabs>
              <w:autoSpaceDE w:val="0"/>
              <w:autoSpaceDN w:val="0"/>
              <w:spacing w:line="360" w:lineRule="exact"/>
              <w:ind w:right="-34"/>
              <w:jc w:val="left"/>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财政性资金</w:t>
            </w:r>
          </w:p>
        </w:tc>
      </w:tr>
      <w:tr w14:paraId="0ABD06C1">
        <w:tblPrEx>
          <w:tblCellMar>
            <w:top w:w="0" w:type="dxa"/>
            <w:left w:w="108" w:type="dxa"/>
            <w:bottom w:w="0" w:type="dxa"/>
            <w:right w:w="108" w:type="dxa"/>
          </w:tblCellMar>
        </w:tblPrEx>
        <w:trPr>
          <w:trHeight w:val="497"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039CF506">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884" w:type="dxa"/>
            <w:tcBorders>
              <w:top w:val="single" w:color="auto" w:sz="4" w:space="0"/>
              <w:left w:val="single" w:color="auto" w:sz="4" w:space="0"/>
              <w:bottom w:val="single" w:color="auto" w:sz="4" w:space="0"/>
              <w:right w:val="single" w:color="auto" w:sz="4" w:space="0"/>
            </w:tcBorders>
            <w:noWrap/>
            <w:vAlign w:val="center"/>
          </w:tcPr>
          <w:p w14:paraId="05CC581A">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采购方式</w:t>
            </w:r>
          </w:p>
        </w:tc>
        <w:tc>
          <w:tcPr>
            <w:tcW w:w="7377" w:type="dxa"/>
            <w:tcBorders>
              <w:top w:val="single" w:color="auto" w:sz="4" w:space="0"/>
              <w:left w:val="single" w:color="auto" w:sz="4" w:space="0"/>
              <w:bottom w:val="single" w:color="auto" w:sz="4" w:space="0"/>
              <w:right w:val="single" w:color="auto" w:sz="4" w:space="0"/>
            </w:tcBorders>
            <w:noWrap/>
            <w:vAlign w:val="center"/>
          </w:tcPr>
          <w:p w14:paraId="1D6BC916">
            <w:pPr>
              <w:widowControl/>
              <w:tabs>
                <w:tab w:val="left" w:pos="-360"/>
              </w:tabs>
              <w:autoSpaceDE w:val="0"/>
              <w:autoSpaceDN w:val="0"/>
              <w:spacing w:line="360" w:lineRule="exact"/>
              <w:ind w:right="-34"/>
              <w:jc w:val="left"/>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公开招标</w:t>
            </w:r>
          </w:p>
        </w:tc>
      </w:tr>
      <w:tr w14:paraId="68CA0844">
        <w:tblPrEx>
          <w:tblCellMar>
            <w:top w:w="0" w:type="dxa"/>
            <w:left w:w="108" w:type="dxa"/>
            <w:bottom w:w="0" w:type="dxa"/>
            <w:right w:w="108" w:type="dxa"/>
          </w:tblCellMar>
        </w:tblPrEx>
        <w:trPr>
          <w:trHeight w:val="48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04036BCE">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884" w:type="dxa"/>
            <w:tcBorders>
              <w:top w:val="single" w:color="auto" w:sz="4" w:space="0"/>
              <w:left w:val="single" w:color="auto" w:sz="4" w:space="0"/>
              <w:bottom w:val="single" w:color="auto" w:sz="4" w:space="0"/>
              <w:right w:val="single" w:color="auto" w:sz="4" w:space="0"/>
            </w:tcBorders>
            <w:noWrap/>
            <w:vAlign w:val="center"/>
          </w:tcPr>
          <w:p w14:paraId="21D6965B">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评标办法</w:t>
            </w:r>
          </w:p>
        </w:tc>
        <w:tc>
          <w:tcPr>
            <w:tcW w:w="7377" w:type="dxa"/>
            <w:tcBorders>
              <w:top w:val="single" w:color="auto" w:sz="4" w:space="0"/>
              <w:left w:val="single" w:color="auto" w:sz="4" w:space="0"/>
              <w:bottom w:val="single" w:color="auto" w:sz="4" w:space="0"/>
              <w:right w:val="single" w:color="auto" w:sz="4" w:space="0"/>
            </w:tcBorders>
            <w:noWrap/>
            <w:vAlign w:val="center"/>
          </w:tcPr>
          <w:p w14:paraId="29595DB9">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综合评分法</w:t>
            </w:r>
          </w:p>
        </w:tc>
      </w:tr>
      <w:tr w14:paraId="06DC4F08">
        <w:tblPrEx>
          <w:tblCellMar>
            <w:top w:w="0" w:type="dxa"/>
            <w:left w:w="108" w:type="dxa"/>
            <w:bottom w:w="0" w:type="dxa"/>
            <w:right w:w="108" w:type="dxa"/>
          </w:tblCellMar>
        </w:tblPrEx>
        <w:trPr>
          <w:trHeight w:val="709"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034AB380">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884" w:type="dxa"/>
            <w:tcBorders>
              <w:top w:val="single" w:color="auto" w:sz="4" w:space="0"/>
              <w:left w:val="single" w:color="auto" w:sz="4" w:space="0"/>
              <w:bottom w:val="single" w:color="auto" w:sz="4" w:space="0"/>
              <w:right w:val="single" w:color="auto" w:sz="4" w:space="0"/>
            </w:tcBorders>
            <w:noWrap/>
            <w:vAlign w:val="center"/>
          </w:tcPr>
          <w:p w14:paraId="0BE6AE0A">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377" w:type="dxa"/>
            <w:tcBorders>
              <w:top w:val="single" w:color="auto" w:sz="4" w:space="0"/>
              <w:left w:val="single" w:color="auto" w:sz="4" w:space="0"/>
              <w:bottom w:val="single" w:color="auto" w:sz="4" w:space="0"/>
              <w:right w:val="single" w:color="auto" w:sz="4" w:space="0"/>
            </w:tcBorders>
            <w:noWrap/>
            <w:vAlign w:val="center"/>
          </w:tcPr>
          <w:p w14:paraId="79549B8F">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龙湾区百镇千村富硒土地地球化学详查工作项目</w:t>
            </w:r>
            <w:r>
              <w:rPr>
                <w:rFonts w:hint="eastAsia" w:ascii="宋体" w:hAnsi="宋体" w:cs="宋体"/>
                <w:color w:val="auto"/>
                <w:kern w:val="0"/>
                <w:sz w:val="22"/>
                <w:szCs w:val="22"/>
                <w:highlight w:val="none"/>
              </w:rPr>
              <w:t>，具体采购内容及要求见采购文件相关部分。</w:t>
            </w:r>
          </w:p>
        </w:tc>
      </w:tr>
      <w:tr w14:paraId="5BED4651">
        <w:tblPrEx>
          <w:tblCellMar>
            <w:top w:w="0" w:type="dxa"/>
            <w:left w:w="108" w:type="dxa"/>
            <w:bottom w:w="0" w:type="dxa"/>
            <w:right w:w="108" w:type="dxa"/>
          </w:tblCellMar>
        </w:tblPrEx>
        <w:trPr>
          <w:trHeight w:val="48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1BF13C55">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884" w:type="dxa"/>
            <w:tcBorders>
              <w:top w:val="single" w:color="auto" w:sz="4" w:space="0"/>
              <w:left w:val="single" w:color="auto" w:sz="4" w:space="0"/>
              <w:bottom w:val="single" w:color="auto" w:sz="4" w:space="0"/>
              <w:right w:val="single" w:color="auto" w:sz="4" w:space="0"/>
            </w:tcBorders>
            <w:noWrap/>
            <w:vAlign w:val="center"/>
          </w:tcPr>
          <w:p w14:paraId="6454DCE6">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项目服务期限</w:t>
            </w:r>
          </w:p>
        </w:tc>
        <w:tc>
          <w:tcPr>
            <w:tcW w:w="7377" w:type="dxa"/>
            <w:tcBorders>
              <w:top w:val="single" w:color="auto" w:sz="4" w:space="0"/>
              <w:left w:val="single" w:color="auto" w:sz="4" w:space="0"/>
              <w:bottom w:val="single" w:color="auto" w:sz="4" w:space="0"/>
              <w:right w:val="single" w:color="auto" w:sz="4" w:space="0"/>
            </w:tcBorders>
            <w:noWrap/>
            <w:vAlign w:val="center"/>
          </w:tcPr>
          <w:p w14:paraId="348A1F9E">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新宋体" w:hAnsi="新宋体" w:eastAsia="新宋体"/>
                <w:color w:val="auto"/>
                <w:sz w:val="22"/>
                <w:highlight w:val="none"/>
              </w:rPr>
              <w:t xml:space="preserve">具体见采购文件第四部分采购内容及要求 </w:t>
            </w:r>
          </w:p>
        </w:tc>
      </w:tr>
      <w:tr w14:paraId="4DFB9B1E">
        <w:tblPrEx>
          <w:tblCellMar>
            <w:top w:w="0" w:type="dxa"/>
            <w:left w:w="108" w:type="dxa"/>
            <w:bottom w:w="0" w:type="dxa"/>
            <w:right w:w="108" w:type="dxa"/>
          </w:tblCellMar>
        </w:tblPrEx>
        <w:trPr>
          <w:trHeight w:val="2358"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38EF11DF">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884" w:type="dxa"/>
            <w:tcBorders>
              <w:top w:val="single" w:color="auto" w:sz="4" w:space="0"/>
              <w:left w:val="single" w:color="auto" w:sz="4" w:space="0"/>
              <w:bottom w:val="single" w:color="auto" w:sz="4" w:space="0"/>
              <w:right w:val="single" w:color="auto" w:sz="4" w:space="0"/>
            </w:tcBorders>
            <w:noWrap/>
            <w:vAlign w:val="center"/>
          </w:tcPr>
          <w:p w14:paraId="0AF6E08C">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供应商资质格要求</w:t>
            </w:r>
          </w:p>
        </w:tc>
        <w:tc>
          <w:tcPr>
            <w:tcW w:w="7377" w:type="dxa"/>
            <w:tcBorders>
              <w:top w:val="single" w:color="auto" w:sz="4" w:space="0"/>
              <w:left w:val="single" w:color="auto" w:sz="4" w:space="0"/>
              <w:bottom w:val="single" w:color="auto" w:sz="4" w:space="0"/>
              <w:right w:val="single" w:color="auto" w:sz="4" w:space="0"/>
            </w:tcBorders>
            <w:noWrap/>
            <w:vAlign w:val="center"/>
          </w:tcPr>
          <w:p w14:paraId="028079CD">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B4B17D7">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2.落实政府采购政策需满足的资格要求：</w:t>
            </w:r>
            <w:r>
              <w:rPr>
                <w:rFonts w:hint="eastAsia" w:ascii="宋体" w:hAnsi="宋体" w:cs="宋体"/>
                <w:color w:val="auto"/>
                <w:kern w:val="0"/>
                <w:sz w:val="22"/>
                <w:szCs w:val="22"/>
                <w:highlight w:val="none"/>
              </w:rPr>
              <w:sym w:font="Wingdings" w:char="F0FE"/>
            </w:r>
            <w:r>
              <w:rPr>
                <w:rFonts w:hint="eastAsia" w:ascii="新宋体" w:hAnsi="新宋体" w:eastAsia="新宋体" w:cs="新宋体"/>
                <w:color w:val="auto"/>
                <w:kern w:val="0"/>
                <w:sz w:val="22"/>
                <w:szCs w:val="22"/>
                <w:highlight w:val="none"/>
              </w:rPr>
              <w:t>专门面向中小企业采购的项目，</w:t>
            </w:r>
            <w:r>
              <w:rPr>
                <w:rFonts w:hint="eastAsia" w:ascii="新宋体" w:hAnsi="新宋体" w:eastAsia="新宋体" w:cs="新宋体"/>
                <w:color w:val="auto"/>
                <w:kern w:val="0"/>
                <w:sz w:val="22"/>
                <w:szCs w:val="22"/>
                <w:highlight w:val="none"/>
                <w:lang w:eastAsia="zh-CN"/>
              </w:rPr>
              <w:t>投</w:t>
            </w:r>
            <w:r>
              <w:rPr>
                <w:rFonts w:hint="eastAsia" w:ascii="新宋体" w:hAnsi="新宋体" w:eastAsia="新宋体" w:cs="新宋体"/>
                <w:color w:val="auto"/>
                <w:kern w:val="0"/>
                <w:sz w:val="22"/>
                <w:szCs w:val="22"/>
                <w:highlight w:val="none"/>
              </w:rPr>
              <w:t>标人应为中小微企业、监狱企业、残疾人福利性单位。</w:t>
            </w:r>
          </w:p>
          <w:p w14:paraId="220BBAB3">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3.本项目的特定资格要求：无</w:t>
            </w:r>
          </w:p>
        </w:tc>
      </w:tr>
      <w:tr w14:paraId="444AD47A">
        <w:tblPrEx>
          <w:tblCellMar>
            <w:top w:w="0" w:type="dxa"/>
            <w:left w:w="108" w:type="dxa"/>
            <w:bottom w:w="0" w:type="dxa"/>
            <w:right w:w="108" w:type="dxa"/>
          </w:tblCellMar>
        </w:tblPrEx>
        <w:trPr>
          <w:trHeight w:val="793"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6180FDA2">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884" w:type="dxa"/>
            <w:tcBorders>
              <w:top w:val="single" w:color="auto" w:sz="4" w:space="0"/>
              <w:left w:val="single" w:color="auto" w:sz="4" w:space="0"/>
              <w:bottom w:val="single" w:color="auto" w:sz="4" w:space="0"/>
              <w:right w:val="single" w:color="auto" w:sz="4" w:space="0"/>
            </w:tcBorders>
            <w:noWrap/>
            <w:vAlign w:val="center"/>
          </w:tcPr>
          <w:p w14:paraId="4A77C42C">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是否接受联合体投标</w:t>
            </w:r>
          </w:p>
        </w:tc>
        <w:tc>
          <w:tcPr>
            <w:tcW w:w="7377" w:type="dxa"/>
            <w:tcBorders>
              <w:top w:val="single" w:color="auto" w:sz="4" w:space="0"/>
              <w:left w:val="single" w:color="auto" w:sz="4" w:space="0"/>
              <w:bottom w:val="single" w:color="auto" w:sz="4" w:space="0"/>
              <w:right w:val="single" w:color="auto" w:sz="4" w:space="0"/>
            </w:tcBorders>
            <w:noWrap/>
            <w:vAlign w:val="center"/>
          </w:tcPr>
          <w:p w14:paraId="57D0FA5F">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sym w:font="Wingdings" w:char="F0FE"/>
            </w:r>
            <w:r>
              <w:rPr>
                <w:rFonts w:hint="eastAsia" w:ascii="宋体" w:hAnsi="宋体" w:cs="宋体"/>
                <w:color w:val="auto"/>
                <w:kern w:val="0"/>
                <w:sz w:val="22"/>
                <w:szCs w:val="22"/>
                <w:highlight w:val="none"/>
              </w:rPr>
              <w:t>不接受      □接受，应满足下列要求：</w:t>
            </w:r>
          </w:p>
        </w:tc>
      </w:tr>
      <w:tr w14:paraId="69B76588">
        <w:tblPrEx>
          <w:tblCellMar>
            <w:top w:w="0" w:type="dxa"/>
            <w:left w:w="108" w:type="dxa"/>
            <w:bottom w:w="0" w:type="dxa"/>
            <w:right w:w="108" w:type="dxa"/>
          </w:tblCellMar>
        </w:tblPrEx>
        <w:trPr>
          <w:trHeight w:val="48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3B91D541">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884" w:type="dxa"/>
            <w:tcBorders>
              <w:top w:val="single" w:color="auto" w:sz="4" w:space="0"/>
              <w:left w:val="single" w:color="auto" w:sz="4" w:space="0"/>
              <w:bottom w:val="single" w:color="auto" w:sz="4" w:space="0"/>
              <w:right w:val="single" w:color="auto" w:sz="4" w:space="0"/>
            </w:tcBorders>
            <w:noWrap/>
            <w:vAlign w:val="center"/>
          </w:tcPr>
          <w:p w14:paraId="594244DA">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377" w:type="dxa"/>
            <w:tcBorders>
              <w:top w:val="single" w:color="auto" w:sz="4" w:space="0"/>
              <w:left w:val="single" w:color="auto" w:sz="4" w:space="0"/>
              <w:bottom w:val="single" w:color="auto" w:sz="4" w:space="0"/>
              <w:right w:val="single" w:color="auto" w:sz="4" w:space="0"/>
            </w:tcBorders>
            <w:noWrap/>
            <w:vAlign w:val="center"/>
          </w:tcPr>
          <w:p w14:paraId="51E007AE">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□组织        </w:t>
            </w:r>
            <w:r>
              <w:rPr>
                <w:rFonts w:hint="eastAsia" w:ascii="宋体" w:hAnsi="宋体" w:cs="宋体"/>
                <w:color w:val="auto"/>
                <w:kern w:val="0"/>
                <w:sz w:val="22"/>
                <w:szCs w:val="22"/>
                <w:highlight w:val="none"/>
              </w:rPr>
              <w:sym w:font="Wingdings" w:char="F0FE"/>
            </w:r>
            <w:r>
              <w:rPr>
                <w:rFonts w:hint="eastAsia" w:ascii="宋体" w:hAnsi="宋体" w:cs="宋体"/>
                <w:color w:val="auto"/>
                <w:kern w:val="0"/>
                <w:sz w:val="22"/>
                <w:szCs w:val="22"/>
                <w:highlight w:val="none"/>
              </w:rPr>
              <w:t>不组织</w:t>
            </w:r>
          </w:p>
        </w:tc>
      </w:tr>
      <w:tr w14:paraId="0034E352">
        <w:tblPrEx>
          <w:tblCellMar>
            <w:top w:w="0" w:type="dxa"/>
            <w:left w:w="108" w:type="dxa"/>
            <w:bottom w:w="0" w:type="dxa"/>
            <w:right w:w="108" w:type="dxa"/>
          </w:tblCellMar>
        </w:tblPrEx>
        <w:trPr>
          <w:trHeight w:val="48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7E03DF8C">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884" w:type="dxa"/>
            <w:tcBorders>
              <w:top w:val="single" w:color="auto" w:sz="4" w:space="0"/>
              <w:left w:val="single" w:color="auto" w:sz="4" w:space="0"/>
              <w:bottom w:val="single" w:color="auto" w:sz="4" w:space="0"/>
              <w:right w:val="single" w:color="auto" w:sz="4" w:space="0"/>
            </w:tcBorders>
            <w:noWrap/>
            <w:vAlign w:val="center"/>
          </w:tcPr>
          <w:p w14:paraId="2EF91C4E">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377" w:type="dxa"/>
            <w:tcBorders>
              <w:top w:val="single" w:color="auto" w:sz="4" w:space="0"/>
              <w:left w:val="single" w:color="auto" w:sz="4" w:space="0"/>
              <w:bottom w:val="single" w:color="auto" w:sz="4" w:space="0"/>
              <w:right w:val="single" w:color="auto" w:sz="4" w:space="0"/>
            </w:tcBorders>
            <w:noWrap/>
            <w:vAlign w:val="center"/>
          </w:tcPr>
          <w:p w14:paraId="452CFBA9">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□召开        </w:t>
            </w:r>
            <w:r>
              <w:rPr>
                <w:rFonts w:hint="eastAsia" w:ascii="宋体" w:hAnsi="宋体" w:cs="宋体"/>
                <w:color w:val="auto"/>
                <w:kern w:val="0"/>
                <w:sz w:val="22"/>
                <w:szCs w:val="22"/>
                <w:highlight w:val="none"/>
              </w:rPr>
              <w:sym w:font="Wingdings" w:char="F0FE"/>
            </w:r>
            <w:r>
              <w:rPr>
                <w:rFonts w:hint="eastAsia" w:ascii="宋体" w:hAnsi="宋体" w:cs="宋体"/>
                <w:color w:val="auto"/>
                <w:kern w:val="0"/>
                <w:sz w:val="22"/>
                <w:szCs w:val="22"/>
                <w:highlight w:val="none"/>
              </w:rPr>
              <w:t>不召开</w:t>
            </w:r>
          </w:p>
        </w:tc>
      </w:tr>
      <w:tr w14:paraId="1BD9B96A">
        <w:tblPrEx>
          <w:tblCellMar>
            <w:top w:w="0" w:type="dxa"/>
            <w:left w:w="108" w:type="dxa"/>
            <w:bottom w:w="0" w:type="dxa"/>
            <w:right w:w="108" w:type="dxa"/>
          </w:tblCellMar>
        </w:tblPrEx>
        <w:trPr>
          <w:trHeight w:val="793"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18F4BD5F">
            <w:pPr>
              <w:widowControl/>
              <w:tabs>
                <w:tab w:val="left" w:pos="420"/>
              </w:tabs>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884" w:type="dxa"/>
            <w:tcBorders>
              <w:top w:val="single" w:color="auto" w:sz="4" w:space="0"/>
              <w:left w:val="single" w:color="auto" w:sz="4" w:space="0"/>
              <w:bottom w:val="single" w:color="auto" w:sz="4" w:space="0"/>
              <w:right w:val="single" w:color="auto" w:sz="4" w:space="0"/>
            </w:tcBorders>
            <w:noWrap/>
            <w:vAlign w:val="center"/>
          </w:tcPr>
          <w:p w14:paraId="3D6B7AA0">
            <w:pPr>
              <w:widowControl/>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是否允许递交备选投标方案</w:t>
            </w:r>
          </w:p>
        </w:tc>
        <w:tc>
          <w:tcPr>
            <w:tcW w:w="7377" w:type="dxa"/>
            <w:tcBorders>
              <w:top w:val="single" w:color="auto" w:sz="4" w:space="0"/>
              <w:left w:val="single" w:color="auto" w:sz="4" w:space="0"/>
              <w:bottom w:val="single" w:color="auto" w:sz="4" w:space="0"/>
              <w:right w:val="single" w:color="auto" w:sz="4" w:space="0"/>
            </w:tcBorders>
            <w:noWrap/>
            <w:vAlign w:val="center"/>
          </w:tcPr>
          <w:p w14:paraId="1FA2AF99">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允许       </w:t>
            </w:r>
            <w:r>
              <w:rPr>
                <w:rFonts w:hint="eastAsia" w:ascii="宋体" w:hAnsi="宋体" w:cs="宋体"/>
                <w:color w:val="auto"/>
                <w:kern w:val="0"/>
                <w:sz w:val="22"/>
                <w:szCs w:val="22"/>
                <w:highlight w:val="none"/>
              </w:rPr>
              <w:sym w:font="Wingdings" w:char="F0FE"/>
            </w:r>
            <w:r>
              <w:rPr>
                <w:rFonts w:hint="eastAsia" w:ascii="宋体" w:hAnsi="宋体" w:cs="宋体"/>
                <w:color w:val="auto"/>
                <w:kern w:val="0"/>
                <w:sz w:val="22"/>
                <w:szCs w:val="22"/>
                <w:highlight w:val="none"/>
              </w:rPr>
              <w:t xml:space="preserve"> 不允许</w:t>
            </w:r>
          </w:p>
        </w:tc>
      </w:tr>
      <w:tr w14:paraId="6C81702C">
        <w:tblPrEx>
          <w:tblCellMar>
            <w:top w:w="0" w:type="dxa"/>
            <w:left w:w="108" w:type="dxa"/>
            <w:bottom w:w="0" w:type="dxa"/>
            <w:right w:w="108" w:type="dxa"/>
          </w:tblCellMar>
        </w:tblPrEx>
        <w:trPr>
          <w:trHeight w:val="48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7CF3F1EA">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884" w:type="dxa"/>
            <w:tcBorders>
              <w:top w:val="single" w:color="auto" w:sz="4" w:space="0"/>
              <w:left w:val="single" w:color="auto" w:sz="4" w:space="0"/>
              <w:bottom w:val="single" w:color="auto" w:sz="4" w:space="0"/>
              <w:right w:val="single" w:color="auto" w:sz="4" w:space="0"/>
            </w:tcBorders>
            <w:noWrap/>
            <w:vAlign w:val="center"/>
          </w:tcPr>
          <w:p w14:paraId="3A350A42">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是否允许分包</w:t>
            </w:r>
          </w:p>
        </w:tc>
        <w:tc>
          <w:tcPr>
            <w:tcW w:w="7377" w:type="dxa"/>
            <w:tcBorders>
              <w:top w:val="single" w:color="auto" w:sz="4" w:space="0"/>
              <w:left w:val="single" w:color="auto" w:sz="4" w:space="0"/>
              <w:bottom w:val="single" w:color="auto" w:sz="4" w:space="0"/>
              <w:right w:val="single" w:color="auto" w:sz="4" w:space="0"/>
            </w:tcBorders>
            <w:noWrap/>
            <w:vAlign w:val="center"/>
          </w:tcPr>
          <w:p w14:paraId="779D71BC">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□允许        </w:t>
            </w:r>
            <w:r>
              <w:rPr>
                <w:rFonts w:hint="eastAsia" w:ascii="宋体" w:hAnsi="宋体" w:cs="宋体"/>
                <w:color w:val="auto"/>
                <w:kern w:val="0"/>
                <w:sz w:val="22"/>
                <w:szCs w:val="22"/>
                <w:highlight w:val="none"/>
              </w:rPr>
              <w:sym w:font="Wingdings" w:char="F0FE"/>
            </w:r>
            <w:r>
              <w:rPr>
                <w:rFonts w:hint="eastAsia" w:ascii="宋体" w:hAnsi="宋体" w:cs="宋体"/>
                <w:color w:val="auto"/>
                <w:kern w:val="0"/>
                <w:sz w:val="22"/>
                <w:szCs w:val="22"/>
                <w:highlight w:val="none"/>
              </w:rPr>
              <w:t>不允许</w:t>
            </w:r>
          </w:p>
        </w:tc>
      </w:tr>
      <w:tr w14:paraId="7296BF72">
        <w:tblPrEx>
          <w:tblCellMar>
            <w:top w:w="0" w:type="dxa"/>
            <w:left w:w="108" w:type="dxa"/>
            <w:bottom w:w="0" w:type="dxa"/>
            <w:right w:w="108" w:type="dxa"/>
          </w:tblCellMar>
        </w:tblPrEx>
        <w:trPr>
          <w:trHeight w:val="48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687BB93C">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884" w:type="dxa"/>
            <w:tcBorders>
              <w:top w:val="single" w:color="auto" w:sz="4" w:space="0"/>
              <w:left w:val="single" w:color="auto" w:sz="4" w:space="0"/>
              <w:bottom w:val="single" w:color="auto" w:sz="4" w:space="0"/>
              <w:right w:val="single" w:color="auto" w:sz="4" w:space="0"/>
            </w:tcBorders>
            <w:noWrap/>
            <w:vAlign w:val="center"/>
          </w:tcPr>
          <w:p w14:paraId="53818AD7">
            <w:pPr>
              <w:widowControl/>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投标样品</w:t>
            </w:r>
          </w:p>
        </w:tc>
        <w:tc>
          <w:tcPr>
            <w:tcW w:w="7377" w:type="dxa"/>
            <w:tcBorders>
              <w:top w:val="single" w:color="auto" w:sz="4" w:space="0"/>
              <w:left w:val="single" w:color="auto" w:sz="4" w:space="0"/>
              <w:bottom w:val="single" w:color="auto" w:sz="4" w:space="0"/>
              <w:right w:val="single" w:color="auto" w:sz="4" w:space="0"/>
            </w:tcBorders>
            <w:noWrap/>
            <w:vAlign w:val="center"/>
          </w:tcPr>
          <w:p w14:paraId="41B64BB8">
            <w:pPr>
              <w:widowControl/>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sym w:font="Wingdings" w:char="F0FE"/>
            </w:r>
            <w:r>
              <w:rPr>
                <w:rFonts w:hint="eastAsia" w:ascii="宋体" w:hAnsi="宋体" w:cs="宋体"/>
                <w:color w:val="auto"/>
                <w:kern w:val="0"/>
                <w:sz w:val="22"/>
                <w:szCs w:val="22"/>
                <w:highlight w:val="none"/>
              </w:rPr>
              <w:t>不需要     □需要:具体见供应商须知</w:t>
            </w:r>
          </w:p>
        </w:tc>
      </w:tr>
      <w:tr w14:paraId="69C8DE26">
        <w:tblPrEx>
          <w:tblCellMar>
            <w:top w:w="0" w:type="dxa"/>
            <w:left w:w="108" w:type="dxa"/>
            <w:bottom w:w="0" w:type="dxa"/>
            <w:right w:w="108" w:type="dxa"/>
          </w:tblCellMar>
        </w:tblPrEx>
        <w:trPr>
          <w:trHeight w:val="48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1C15A3A3">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884" w:type="dxa"/>
            <w:tcBorders>
              <w:top w:val="single" w:color="auto" w:sz="4" w:space="0"/>
              <w:left w:val="single" w:color="auto" w:sz="4" w:space="0"/>
              <w:bottom w:val="single" w:color="auto" w:sz="4" w:space="0"/>
              <w:right w:val="single" w:color="auto" w:sz="4" w:space="0"/>
            </w:tcBorders>
            <w:noWrap/>
            <w:vAlign w:val="center"/>
          </w:tcPr>
          <w:p w14:paraId="3E944E35">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377" w:type="dxa"/>
            <w:tcBorders>
              <w:top w:val="single" w:color="auto" w:sz="4" w:space="0"/>
              <w:left w:val="single" w:color="auto" w:sz="4" w:space="0"/>
              <w:bottom w:val="single" w:color="auto" w:sz="4" w:space="0"/>
              <w:right w:val="single" w:color="auto" w:sz="4" w:space="0"/>
            </w:tcBorders>
            <w:noWrap/>
            <w:vAlign w:val="center"/>
          </w:tcPr>
          <w:p w14:paraId="11CE8999">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见招标公告中的提交投标文件截止时间</w:t>
            </w:r>
          </w:p>
        </w:tc>
      </w:tr>
      <w:tr w14:paraId="62C4E9FB">
        <w:tblPrEx>
          <w:tblCellMar>
            <w:top w:w="0" w:type="dxa"/>
            <w:left w:w="108" w:type="dxa"/>
            <w:bottom w:w="0" w:type="dxa"/>
            <w:right w:w="108" w:type="dxa"/>
          </w:tblCellMar>
        </w:tblPrEx>
        <w:trPr>
          <w:trHeight w:val="1184"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74776C1A">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884" w:type="dxa"/>
            <w:tcBorders>
              <w:top w:val="single" w:color="auto" w:sz="4" w:space="0"/>
              <w:left w:val="single" w:color="auto" w:sz="4" w:space="0"/>
              <w:bottom w:val="single" w:color="auto" w:sz="4" w:space="0"/>
              <w:right w:val="single" w:color="auto" w:sz="4" w:space="0"/>
            </w:tcBorders>
            <w:noWrap/>
            <w:vAlign w:val="center"/>
          </w:tcPr>
          <w:p w14:paraId="6132397F">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377" w:type="dxa"/>
            <w:tcBorders>
              <w:top w:val="single" w:color="auto" w:sz="4" w:space="0"/>
              <w:left w:val="single" w:color="auto" w:sz="4" w:space="0"/>
              <w:bottom w:val="single" w:color="auto" w:sz="4" w:space="0"/>
              <w:right w:val="single" w:color="auto" w:sz="4" w:space="0"/>
            </w:tcBorders>
            <w:noWrap/>
            <w:vAlign w:val="center"/>
          </w:tcPr>
          <w:p w14:paraId="2F73E0F5">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标结束前予以澄清、说明或补正，不接受要求进行的，评标委员会有权做无效标处理，详见第五部分评标办法。</w:t>
            </w:r>
          </w:p>
        </w:tc>
      </w:tr>
      <w:tr w14:paraId="780C8B5B">
        <w:tblPrEx>
          <w:tblCellMar>
            <w:top w:w="0" w:type="dxa"/>
            <w:left w:w="108" w:type="dxa"/>
            <w:bottom w:w="0" w:type="dxa"/>
            <w:right w:w="108" w:type="dxa"/>
          </w:tblCellMar>
        </w:tblPrEx>
        <w:trPr>
          <w:trHeight w:val="621" w:hRule="exac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6887A1E1">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884" w:type="dxa"/>
            <w:tcBorders>
              <w:top w:val="single" w:color="auto" w:sz="4" w:space="0"/>
              <w:left w:val="single" w:color="auto" w:sz="4" w:space="0"/>
              <w:bottom w:val="single" w:color="auto" w:sz="4" w:space="0"/>
              <w:right w:val="single" w:color="auto" w:sz="4" w:space="0"/>
            </w:tcBorders>
            <w:noWrap/>
            <w:vAlign w:val="center"/>
          </w:tcPr>
          <w:p w14:paraId="211B8AE8">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新宋体" w:hAnsi="新宋体" w:eastAsia="新宋体"/>
                <w:color w:val="auto"/>
                <w:sz w:val="22"/>
                <w:szCs w:val="22"/>
                <w:highlight w:val="none"/>
              </w:rPr>
              <w:t>投标保证金</w:t>
            </w:r>
          </w:p>
        </w:tc>
        <w:tc>
          <w:tcPr>
            <w:tcW w:w="7377" w:type="dxa"/>
            <w:tcBorders>
              <w:top w:val="single" w:color="auto" w:sz="4" w:space="0"/>
              <w:left w:val="single" w:color="auto" w:sz="4" w:space="0"/>
              <w:bottom w:val="single" w:color="auto" w:sz="4" w:space="0"/>
              <w:right w:val="single" w:color="auto" w:sz="4" w:space="0"/>
            </w:tcBorders>
            <w:noWrap/>
            <w:vAlign w:val="center"/>
          </w:tcPr>
          <w:p w14:paraId="171C9EFF">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新宋体" w:hAnsi="新宋体" w:eastAsia="新宋体"/>
                <w:color w:val="auto"/>
                <w:sz w:val="22"/>
                <w:szCs w:val="22"/>
                <w:highlight w:val="none"/>
              </w:rPr>
              <w:t>本项目不收取投标保证金。</w:t>
            </w:r>
          </w:p>
        </w:tc>
      </w:tr>
      <w:tr w14:paraId="678ABB40">
        <w:tblPrEx>
          <w:tblCellMar>
            <w:top w:w="0" w:type="dxa"/>
            <w:left w:w="108" w:type="dxa"/>
            <w:bottom w:w="0" w:type="dxa"/>
            <w:right w:w="108" w:type="dxa"/>
          </w:tblCellMar>
        </w:tblPrEx>
        <w:trPr>
          <w:trHeight w:val="621" w:hRule="exac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46912117">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884" w:type="dxa"/>
            <w:tcBorders>
              <w:top w:val="single" w:color="auto" w:sz="4" w:space="0"/>
              <w:left w:val="single" w:color="auto" w:sz="4" w:space="0"/>
              <w:bottom w:val="single" w:color="auto" w:sz="4" w:space="0"/>
              <w:right w:val="single" w:color="auto" w:sz="4" w:space="0"/>
            </w:tcBorders>
            <w:noWrap/>
            <w:vAlign w:val="center"/>
          </w:tcPr>
          <w:p w14:paraId="54F007AC">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投标有效期</w:t>
            </w:r>
          </w:p>
        </w:tc>
        <w:tc>
          <w:tcPr>
            <w:tcW w:w="7377" w:type="dxa"/>
            <w:tcBorders>
              <w:top w:val="single" w:color="auto" w:sz="4" w:space="0"/>
              <w:left w:val="single" w:color="auto" w:sz="4" w:space="0"/>
              <w:bottom w:val="single" w:color="auto" w:sz="4" w:space="0"/>
              <w:right w:val="single" w:color="auto" w:sz="4" w:space="0"/>
            </w:tcBorders>
            <w:noWrap/>
            <w:vAlign w:val="center"/>
          </w:tcPr>
          <w:p w14:paraId="27E5410A">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投标文件自投标截止时间起生效，有效期90天。</w:t>
            </w:r>
          </w:p>
        </w:tc>
      </w:tr>
      <w:tr w14:paraId="008CC9DB">
        <w:tblPrEx>
          <w:tblCellMar>
            <w:top w:w="0" w:type="dxa"/>
            <w:left w:w="108" w:type="dxa"/>
            <w:bottom w:w="0" w:type="dxa"/>
            <w:right w:w="108" w:type="dxa"/>
          </w:tblCellMar>
        </w:tblPrEx>
        <w:trPr>
          <w:trHeight w:val="735"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41565ABB">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884" w:type="dxa"/>
            <w:tcBorders>
              <w:top w:val="single" w:color="auto" w:sz="4" w:space="0"/>
              <w:left w:val="single" w:color="auto" w:sz="4" w:space="0"/>
              <w:bottom w:val="single" w:color="auto" w:sz="4" w:space="0"/>
              <w:right w:val="single" w:color="auto" w:sz="4" w:space="0"/>
            </w:tcBorders>
            <w:noWrap/>
            <w:vAlign w:val="center"/>
          </w:tcPr>
          <w:p w14:paraId="54DCE10E">
            <w:pPr>
              <w:widowControl/>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履约担保</w:t>
            </w:r>
          </w:p>
        </w:tc>
        <w:tc>
          <w:tcPr>
            <w:tcW w:w="7377" w:type="dxa"/>
            <w:tcBorders>
              <w:top w:val="single" w:color="auto" w:sz="4" w:space="0"/>
              <w:left w:val="single" w:color="auto" w:sz="4" w:space="0"/>
              <w:bottom w:val="single" w:color="auto" w:sz="4" w:space="0"/>
              <w:right w:val="single" w:color="auto" w:sz="4" w:space="0"/>
            </w:tcBorders>
            <w:noWrap/>
            <w:vAlign w:val="center"/>
          </w:tcPr>
          <w:p w14:paraId="3DAD2A30">
            <w:pPr>
              <w:pStyle w:val="4"/>
              <w:widowControl/>
              <w:spacing w:line="360" w:lineRule="exact"/>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本项目不设置履约保证金</w:t>
            </w:r>
          </w:p>
        </w:tc>
      </w:tr>
      <w:tr w14:paraId="2D94CE1D">
        <w:tblPrEx>
          <w:tblCellMar>
            <w:top w:w="0" w:type="dxa"/>
            <w:left w:w="108" w:type="dxa"/>
            <w:bottom w:w="0" w:type="dxa"/>
            <w:right w:w="108" w:type="dxa"/>
          </w:tblCellMar>
        </w:tblPrEx>
        <w:trPr>
          <w:trHeight w:val="635"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127A6243">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884" w:type="dxa"/>
            <w:tcBorders>
              <w:top w:val="single" w:color="auto" w:sz="4" w:space="0"/>
              <w:left w:val="single" w:color="auto" w:sz="4" w:space="0"/>
              <w:bottom w:val="single" w:color="auto" w:sz="4" w:space="0"/>
              <w:right w:val="single" w:color="auto" w:sz="4" w:space="0"/>
            </w:tcBorders>
            <w:noWrap/>
            <w:vAlign w:val="center"/>
          </w:tcPr>
          <w:p w14:paraId="61533D71">
            <w:pPr>
              <w:widowControl/>
              <w:spacing w:line="3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投标文件的组成</w:t>
            </w:r>
          </w:p>
        </w:tc>
        <w:tc>
          <w:tcPr>
            <w:tcW w:w="7377" w:type="dxa"/>
            <w:tcBorders>
              <w:top w:val="single" w:color="auto" w:sz="4" w:space="0"/>
              <w:left w:val="single" w:color="auto" w:sz="4" w:space="0"/>
              <w:bottom w:val="single" w:color="auto" w:sz="4" w:space="0"/>
              <w:right w:val="single" w:color="auto" w:sz="4" w:space="0"/>
            </w:tcBorders>
            <w:noWrap/>
            <w:vAlign w:val="center"/>
          </w:tcPr>
          <w:p w14:paraId="562ECD97">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ascii="宋体" w:hAnsi="宋体" w:cs="宋体"/>
                <w:color w:val="auto"/>
                <w:kern w:val="0"/>
                <w:sz w:val="22"/>
                <w:szCs w:val="22"/>
                <w:highlight w:val="none"/>
              </w:rPr>
              <w:t>由</w:t>
            </w:r>
            <w:r>
              <w:rPr>
                <w:rFonts w:hint="eastAsia" w:ascii="宋体" w:hAnsi="宋体" w:cs="宋体"/>
                <w:color w:val="auto"/>
                <w:kern w:val="0"/>
                <w:sz w:val="22"/>
                <w:szCs w:val="22"/>
                <w:highlight w:val="none"/>
              </w:rPr>
              <w:t>“资格文件、商务技术文件、报价文件</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三</w:t>
            </w:r>
            <w:r>
              <w:rPr>
                <w:rFonts w:ascii="宋体" w:hAnsi="宋体" w:cs="宋体"/>
                <w:color w:val="auto"/>
                <w:kern w:val="0"/>
                <w:sz w:val="22"/>
                <w:szCs w:val="22"/>
                <w:highlight w:val="none"/>
              </w:rPr>
              <w:t>个部分组成。</w:t>
            </w:r>
          </w:p>
        </w:tc>
      </w:tr>
      <w:tr w14:paraId="2AC1D7DD">
        <w:tblPrEx>
          <w:tblCellMar>
            <w:top w:w="0" w:type="dxa"/>
            <w:left w:w="108" w:type="dxa"/>
            <w:bottom w:w="0" w:type="dxa"/>
            <w:right w:w="108" w:type="dxa"/>
          </w:tblCellMar>
        </w:tblPrEx>
        <w:trPr>
          <w:trHeight w:val="48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0BD2043D">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884" w:type="dxa"/>
            <w:tcBorders>
              <w:top w:val="single" w:color="auto" w:sz="4" w:space="0"/>
              <w:left w:val="single" w:color="auto" w:sz="4" w:space="0"/>
              <w:bottom w:val="single" w:color="auto" w:sz="4" w:space="0"/>
              <w:right w:val="single" w:color="auto" w:sz="4" w:space="0"/>
            </w:tcBorders>
            <w:noWrap/>
            <w:vAlign w:val="center"/>
          </w:tcPr>
          <w:p w14:paraId="792C1A21">
            <w:pPr>
              <w:widowControl/>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投标文件的编制</w:t>
            </w:r>
          </w:p>
        </w:tc>
        <w:tc>
          <w:tcPr>
            <w:tcW w:w="7377" w:type="dxa"/>
            <w:tcBorders>
              <w:top w:val="single" w:color="auto" w:sz="4" w:space="0"/>
              <w:left w:val="single" w:color="auto" w:sz="4" w:space="0"/>
              <w:bottom w:val="single" w:color="auto" w:sz="4" w:space="0"/>
              <w:right w:val="single" w:color="auto" w:sz="4" w:space="0"/>
            </w:tcBorders>
            <w:noWrap/>
            <w:vAlign w:val="center"/>
          </w:tcPr>
          <w:p w14:paraId="561586CA">
            <w:pPr>
              <w:pStyle w:val="23"/>
              <w:widowControl/>
              <w:spacing w:line="360" w:lineRule="exact"/>
              <w:ind w:left="0" w:firstLine="0" w:firstLineChars="0"/>
              <w:rPr>
                <w:rFonts w:ascii="宋体" w:hAnsi="宋体" w:cs="宋体"/>
                <w:color w:val="auto"/>
                <w:kern w:val="0"/>
                <w:sz w:val="22"/>
                <w:szCs w:val="22"/>
                <w:highlight w:val="none"/>
              </w:rPr>
            </w:pPr>
            <w:r>
              <w:rPr>
                <w:rFonts w:hint="eastAsia" w:ascii="Arial" w:hAnsi="Arial" w:cs="Arial"/>
                <w:color w:val="auto"/>
                <w:sz w:val="21"/>
                <w:szCs w:val="21"/>
                <w:highlight w:val="none"/>
              </w:rPr>
              <w:t>供应商应先安装“政采云电子交易客户端”，并按照本采购文件和“政府采购云平台”的要求，通过“政采云电子交易客户端”编制并加密投标文件。</w:t>
            </w:r>
          </w:p>
        </w:tc>
      </w:tr>
      <w:tr w14:paraId="39DF869B">
        <w:tblPrEx>
          <w:tblCellMar>
            <w:top w:w="0" w:type="dxa"/>
            <w:left w:w="108" w:type="dxa"/>
            <w:bottom w:w="0" w:type="dxa"/>
            <w:right w:w="108" w:type="dxa"/>
          </w:tblCellMar>
        </w:tblPrEx>
        <w:trPr>
          <w:trHeight w:val="1575"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1F47FCD6">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884" w:type="dxa"/>
            <w:tcBorders>
              <w:top w:val="single" w:color="auto" w:sz="4" w:space="0"/>
              <w:left w:val="single" w:color="auto" w:sz="4" w:space="0"/>
              <w:bottom w:val="single" w:color="auto" w:sz="4" w:space="0"/>
              <w:right w:val="single" w:color="auto" w:sz="4" w:space="0"/>
            </w:tcBorders>
            <w:noWrap/>
            <w:vAlign w:val="center"/>
          </w:tcPr>
          <w:p w14:paraId="4806D518">
            <w:pPr>
              <w:widowControl/>
              <w:spacing w:line="360" w:lineRule="exact"/>
              <w:jc w:val="center"/>
              <w:rPr>
                <w:rFonts w:ascii="宋体" w:hAnsi="宋体" w:cs="宋体"/>
                <w:color w:val="auto"/>
                <w:kern w:val="0"/>
                <w:sz w:val="22"/>
                <w:szCs w:val="22"/>
                <w:highlight w:val="none"/>
              </w:rPr>
            </w:pPr>
            <w:r>
              <w:rPr>
                <w:rFonts w:hint="eastAsia" w:ascii="Arial" w:hAnsi="Arial" w:cs="Arial"/>
                <w:color w:val="auto"/>
                <w:szCs w:val="21"/>
                <w:highlight w:val="none"/>
              </w:rPr>
              <w:t>投标文件</w:t>
            </w:r>
            <w:r>
              <w:rPr>
                <w:rFonts w:ascii="Arial" w:hAnsi="Arial" w:cs="Arial"/>
                <w:color w:val="auto"/>
                <w:szCs w:val="21"/>
                <w:highlight w:val="none"/>
              </w:rPr>
              <w:t>签字或盖章要求</w:t>
            </w:r>
          </w:p>
        </w:tc>
        <w:tc>
          <w:tcPr>
            <w:tcW w:w="7377" w:type="dxa"/>
            <w:tcBorders>
              <w:top w:val="single" w:color="auto" w:sz="4" w:space="0"/>
              <w:left w:val="single" w:color="auto" w:sz="4" w:space="0"/>
              <w:bottom w:val="single" w:color="auto" w:sz="4" w:space="0"/>
              <w:right w:val="single" w:color="auto" w:sz="4" w:space="0"/>
            </w:tcBorders>
            <w:noWrap/>
            <w:vAlign w:val="center"/>
          </w:tcPr>
          <w:p w14:paraId="632452AA">
            <w:pPr>
              <w:widowControl/>
              <w:spacing w:line="360" w:lineRule="exact"/>
              <w:rPr>
                <w:rFonts w:ascii="Arial" w:hAnsi="Arial" w:cs="Arial"/>
                <w:color w:val="auto"/>
                <w:szCs w:val="21"/>
                <w:highlight w:val="none"/>
              </w:rPr>
            </w:pPr>
            <w:r>
              <w:rPr>
                <w:rFonts w:ascii="Arial" w:hAnsi="Arial" w:cs="Arial"/>
                <w:color w:val="auto"/>
                <w:szCs w:val="21"/>
                <w:highlight w:val="none"/>
              </w:rPr>
              <w:t>1、按“响应文件格式”中提供的格式进行签字盖章。</w:t>
            </w:r>
          </w:p>
          <w:p w14:paraId="2634C96B">
            <w:pPr>
              <w:widowControl/>
              <w:spacing w:line="360" w:lineRule="exact"/>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除采购文件另有规定外，</w:t>
            </w:r>
            <w:r>
              <w:rPr>
                <w:rFonts w:ascii="Arial" w:hAnsi="Arial" w:cs="Arial"/>
                <w:color w:val="auto"/>
                <w:szCs w:val="21"/>
                <w:highlight w:val="none"/>
              </w:rPr>
              <w:t>投标文件中须加盖单位公章的地方均使用电子签章。</w:t>
            </w:r>
          </w:p>
          <w:p w14:paraId="0D8A91A1">
            <w:pPr>
              <w:widowControl/>
              <w:spacing w:line="360" w:lineRule="exact"/>
              <w:rPr>
                <w:color w:val="auto"/>
                <w:highlight w:val="none"/>
              </w:rPr>
            </w:pPr>
            <w:r>
              <w:rPr>
                <w:rFonts w:ascii="Arial" w:hAnsi="Arial" w:cs="Arial"/>
                <w:color w:val="auto"/>
                <w:szCs w:val="21"/>
                <w:highlight w:val="none"/>
              </w:rPr>
              <w:t>3、响应文件签署人（签字或盖章）：投标文件凡涉及法定代表人或其授权代表的签字（或盖章）的地方均可使用电子签章，或签字（或盖章）后扫描上传。</w:t>
            </w:r>
          </w:p>
        </w:tc>
      </w:tr>
      <w:tr w14:paraId="7275219F">
        <w:tblPrEx>
          <w:tblCellMar>
            <w:top w:w="0" w:type="dxa"/>
            <w:left w:w="108" w:type="dxa"/>
            <w:bottom w:w="0" w:type="dxa"/>
            <w:right w:w="108" w:type="dxa"/>
          </w:tblCellMar>
        </w:tblPrEx>
        <w:trPr>
          <w:trHeight w:val="1583"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0FB07C0A">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884" w:type="dxa"/>
            <w:tcBorders>
              <w:top w:val="single" w:color="auto" w:sz="4" w:space="0"/>
              <w:left w:val="single" w:color="auto" w:sz="4" w:space="0"/>
              <w:bottom w:val="single" w:color="auto" w:sz="4" w:space="0"/>
              <w:right w:val="single" w:color="auto" w:sz="4" w:space="0"/>
            </w:tcBorders>
            <w:noWrap/>
            <w:vAlign w:val="center"/>
          </w:tcPr>
          <w:p w14:paraId="0C646231">
            <w:pPr>
              <w:widowControl/>
              <w:spacing w:line="36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投标文件的形式</w:t>
            </w:r>
          </w:p>
        </w:tc>
        <w:tc>
          <w:tcPr>
            <w:tcW w:w="7377" w:type="dxa"/>
            <w:tcBorders>
              <w:top w:val="single" w:color="auto" w:sz="4" w:space="0"/>
              <w:left w:val="single" w:color="auto" w:sz="4" w:space="0"/>
              <w:bottom w:val="single" w:color="auto" w:sz="4" w:space="0"/>
              <w:right w:val="single" w:color="auto" w:sz="4" w:space="0"/>
            </w:tcBorders>
            <w:noWrap/>
            <w:vAlign w:val="center"/>
          </w:tcPr>
          <w:p w14:paraId="35B1227D">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电子投标文件（包括“电子加密投标文件”和“备份投标文件”，在投标文件编制完成后同时生成）；</w:t>
            </w:r>
          </w:p>
          <w:p w14:paraId="31F5DB43">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（1）“电子加密投标文件”是指通过“政采云电子交易客户端”完成投标文件编制后生成并加密的数据电文形式的投标文件</w:t>
            </w:r>
            <w:r>
              <w:rPr>
                <w:rFonts w:hint="eastAsia" w:ascii="宋体" w:hAnsi="宋体" w:cs="宋体"/>
                <w:color w:val="auto"/>
                <w:kern w:val="0"/>
                <w:szCs w:val="21"/>
                <w:highlight w:val="none"/>
              </w:rPr>
              <w:t>,</w:t>
            </w:r>
            <w:r>
              <w:rPr>
                <w:rFonts w:hint="eastAsia" w:ascii="宋体" w:hAnsi="宋体" w:cs="楷体"/>
                <w:color w:val="auto"/>
                <w:kern w:val="0"/>
                <w:sz w:val="22"/>
                <w:szCs w:val="22"/>
                <w:highlight w:val="none"/>
              </w:rPr>
              <w:t>“电子加密投标文件”</w:t>
            </w:r>
            <w:r>
              <w:rPr>
                <w:rFonts w:hint="eastAsia" w:ascii="宋体" w:hAnsi="宋体" w:cs="宋体"/>
                <w:b/>
                <w:bCs/>
                <w:color w:val="auto"/>
                <w:kern w:val="0"/>
                <w:szCs w:val="21"/>
                <w:highlight w:val="none"/>
              </w:rPr>
              <w:t>后缀格式为.jmbs</w:t>
            </w:r>
            <w:r>
              <w:rPr>
                <w:rFonts w:hint="eastAsia" w:ascii="宋体" w:hAnsi="宋体" w:cs="宋体"/>
                <w:b/>
                <w:bCs/>
                <w:color w:val="auto"/>
                <w:kern w:val="0"/>
                <w:szCs w:val="21"/>
                <w:highlight w:val="none"/>
                <w:lang w:val="zh-CN"/>
              </w:rPr>
              <w:t>。</w:t>
            </w:r>
          </w:p>
          <w:p w14:paraId="7626CB68">
            <w:pPr>
              <w:pStyle w:val="23"/>
              <w:widowControl/>
              <w:spacing w:line="360" w:lineRule="exact"/>
              <w:ind w:left="0" w:firstLine="0" w:firstLineChars="0"/>
              <w:rPr>
                <w:rFonts w:ascii="宋体" w:hAnsi="宋体" w:cs="楷体"/>
                <w:b/>
                <w:color w:val="auto"/>
                <w:kern w:val="0"/>
                <w:sz w:val="22"/>
                <w:szCs w:val="22"/>
                <w:highlight w:val="none"/>
              </w:rPr>
            </w:pPr>
            <w:r>
              <w:rPr>
                <w:rFonts w:hint="eastAsia" w:ascii="宋体" w:hAnsi="宋体" w:cs="楷体"/>
                <w:color w:val="auto"/>
                <w:kern w:val="0"/>
                <w:sz w:val="22"/>
                <w:szCs w:val="22"/>
                <w:highlight w:val="none"/>
              </w:rPr>
              <w:t>（2）“备份投标文件”是指与“电子加密投标文件”同时生成的数据电文形式的电子文件（备份标书）</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“备份投标文件”后缀格式为.bfbs</w:t>
            </w:r>
            <w:r>
              <w:rPr>
                <w:rFonts w:hint="eastAsia" w:ascii="宋体" w:hAnsi="宋体" w:cs="宋体"/>
                <w:b/>
                <w:bCs/>
                <w:color w:val="auto"/>
                <w:kern w:val="0"/>
                <w:sz w:val="21"/>
                <w:szCs w:val="21"/>
                <w:highlight w:val="none"/>
              </w:rPr>
              <w:t>,</w:t>
            </w:r>
            <w:r>
              <w:rPr>
                <w:rFonts w:hint="eastAsia" w:ascii="宋体" w:hAnsi="宋体" w:cs="楷体"/>
                <w:b/>
                <w:bCs/>
                <w:color w:val="auto"/>
                <w:kern w:val="0"/>
                <w:sz w:val="22"/>
                <w:szCs w:val="22"/>
                <w:highlight w:val="none"/>
              </w:rPr>
              <w:t>其他方式编制的备份投标文件视为无效备份投标文件。</w:t>
            </w:r>
          </w:p>
        </w:tc>
      </w:tr>
      <w:tr w14:paraId="22948DA0">
        <w:tblPrEx>
          <w:tblCellMar>
            <w:top w:w="0" w:type="dxa"/>
            <w:left w:w="108" w:type="dxa"/>
            <w:bottom w:w="0" w:type="dxa"/>
            <w:right w:w="108" w:type="dxa"/>
          </w:tblCellMar>
        </w:tblPrEx>
        <w:trPr>
          <w:trHeight w:val="1406"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6301E0B1">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1884" w:type="dxa"/>
            <w:tcBorders>
              <w:top w:val="single" w:color="auto" w:sz="4" w:space="0"/>
              <w:left w:val="single" w:color="auto" w:sz="4" w:space="0"/>
              <w:bottom w:val="single" w:color="auto" w:sz="4" w:space="0"/>
              <w:right w:val="single" w:color="auto" w:sz="4" w:space="0"/>
            </w:tcBorders>
            <w:noWrap/>
            <w:vAlign w:val="center"/>
          </w:tcPr>
          <w:p w14:paraId="2BBA0655">
            <w:pPr>
              <w:widowControl/>
              <w:spacing w:line="360" w:lineRule="exact"/>
              <w:rPr>
                <w:rFonts w:ascii="宋体" w:hAnsi="宋体" w:cs="宋体"/>
                <w:color w:val="auto"/>
                <w:kern w:val="0"/>
                <w:sz w:val="22"/>
                <w:szCs w:val="22"/>
                <w:highlight w:val="none"/>
              </w:rPr>
            </w:pPr>
            <w:r>
              <w:rPr>
                <w:rFonts w:ascii="宋体" w:hAnsi="宋体" w:cs="楷体"/>
                <w:color w:val="auto"/>
                <w:kern w:val="0"/>
                <w:sz w:val="22"/>
                <w:szCs w:val="22"/>
                <w:highlight w:val="none"/>
              </w:rPr>
              <w:t>投标文件的份数</w:t>
            </w:r>
          </w:p>
        </w:tc>
        <w:tc>
          <w:tcPr>
            <w:tcW w:w="7377" w:type="dxa"/>
            <w:tcBorders>
              <w:top w:val="single" w:color="auto" w:sz="4" w:space="0"/>
              <w:left w:val="single" w:color="auto" w:sz="4" w:space="0"/>
              <w:bottom w:val="single" w:color="auto" w:sz="4" w:space="0"/>
              <w:right w:val="single" w:color="auto" w:sz="4" w:space="0"/>
            </w:tcBorders>
            <w:noWrap/>
            <w:vAlign w:val="center"/>
          </w:tcPr>
          <w:p w14:paraId="0F5262FF">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（1）“电子加密投标文件”：在线上传递交、一份。</w:t>
            </w:r>
          </w:p>
          <w:p w14:paraId="5486D13F">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（2）“备份投标文件”：自愿提交、一份。</w:t>
            </w:r>
          </w:p>
          <w:p w14:paraId="01EB1858">
            <w:pPr>
              <w:widowControl/>
              <w:spacing w:line="360" w:lineRule="exact"/>
              <w:rPr>
                <w:color w:val="auto"/>
                <w:highlight w:val="none"/>
              </w:rPr>
            </w:pPr>
            <w:r>
              <w:rPr>
                <w:rFonts w:hint="eastAsia" w:ascii="宋体" w:hAnsi="宋体" w:cs="楷体"/>
                <w:color w:val="auto"/>
                <w:kern w:val="0"/>
                <w:sz w:val="22"/>
                <w:szCs w:val="22"/>
                <w:highlight w:val="none"/>
              </w:rPr>
              <w:t>（3）中标供应商在领取中标通知书时向采购人提供全套纸质投标文件3份</w:t>
            </w:r>
            <w:r>
              <w:rPr>
                <w:rFonts w:hint="eastAsia" w:ascii="宋体" w:hAnsi="宋体" w:cs="楷体"/>
                <w:b/>
                <w:color w:val="auto"/>
                <w:kern w:val="0"/>
                <w:sz w:val="22"/>
                <w:szCs w:val="22"/>
                <w:highlight w:val="none"/>
              </w:rPr>
              <w:t>。</w:t>
            </w:r>
          </w:p>
        </w:tc>
      </w:tr>
      <w:tr w14:paraId="50F83E28">
        <w:tblPrEx>
          <w:tblCellMar>
            <w:top w:w="0" w:type="dxa"/>
            <w:left w:w="108" w:type="dxa"/>
            <w:bottom w:w="0" w:type="dxa"/>
            <w:right w:w="108" w:type="dxa"/>
          </w:tblCellMar>
        </w:tblPrEx>
        <w:trPr>
          <w:trHeight w:val="400"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4EC113AA">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1884" w:type="dxa"/>
            <w:tcBorders>
              <w:top w:val="single" w:color="auto" w:sz="4" w:space="0"/>
              <w:left w:val="single" w:color="auto" w:sz="4" w:space="0"/>
              <w:bottom w:val="single" w:color="auto" w:sz="4" w:space="0"/>
              <w:right w:val="single" w:color="auto" w:sz="4" w:space="0"/>
            </w:tcBorders>
            <w:noWrap/>
            <w:vAlign w:val="center"/>
          </w:tcPr>
          <w:p w14:paraId="41E71330">
            <w:pPr>
              <w:widowControl/>
              <w:tabs>
                <w:tab w:val="left" w:pos="-360"/>
              </w:tabs>
              <w:autoSpaceDE w:val="0"/>
              <w:autoSpaceDN w:val="0"/>
              <w:spacing w:line="360" w:lineRule="exact"/>
              <w:ind w:right="-34"/>
              <w:jc w:val="center"/>
              <w:textAlignment w:val="bottom"/>
              <w:rPr>
                <w:rFonts w:ascii="宋体" w:hAnsi="宋体" w:cs="楷体"/>
                <w:color w:val="auto"/>
                <w:kern w:val="0"/>
                <w:sz w:val="22"/>
                <w:szCs w:val="22"/>
                <w:highlight w:val="none"/>
              </w:rPr>
            </w:pPr>
            <w:r>
              <w:rPr>
                <w:rFonts w:hint="eastAsia" w:ascii="宋体" w:hAnsi="宋体" w:cs="宋体"/>
                <w:color w:val="auto"/>
                <w:kern w:val="0"/>
                <w:sz w:val="22"/>
                <w:szCs w:val="22"/>
                <w:highlight w:val="none"/>
              </w:rPr>
              <w:t>开标时间和地点</w:t>
            </w:r>
          </w:p>
        </w:tc>
        <w:tc>
          <w:tcPr>
            <w:tcW w:w="7377" w:type="dxa"/>
            <w:tcBorders>
              <w:top w:val="single" w:color="auto" w:sz="4" w:space="0"/>
              <w:left w:val="single" w:color="auto" w:sz="4" w:space="0"/>
              <w:bottom w:val="single" w:color="auto" w:sz="4" w:space="0"/>
              <w:right w:val="single" w:color="auto" w:sz="4" w:space="0"/>
            </w:tcBorders>
            <w:noWrap/>
            <w:vAlign w:val="center"/>
          </w:tcPr>
          <w:p w14:paraId="6032603E">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1.开标时间：同投标截止时间</w:t>
            </w:r>
          </w:p>
          <w:p w14:paraId="5C4277EC">
            <w:pPr>
              <w:widowControl/>
              <w:tabs>
                <w:tab w:val="left" w:pos="-360"/>
              </w:tabs>
              <w:autoSpaceDE w:val="0"/>
              <w:autoSpaceDN w:val="0"/>
              <w:spacing w:line="360" w:lineRule="exact"/>
              <w:ind w:left="220" w:right="-34" w:hanging="220" w:hangingChars="100"/>
              <w:textAlignment w:val="bottom"/>
              <w:rPr>
                <w:rFonts w:ascii="宋体" w:hAnsi="宋体" w:cs="楷体"/>
                <w:color w:val="auto"/>
                <w:kern w:val="0"/>
                <w:sz w:val="22"/>
                <w:szCs w:val="22"/>
                <w:highlight w:val="none"/>
              </w:rPr>
            </w:pPr>
            <w:r>
              <w:rPr>
                <w:rFonts w:hint="eastAsia" w:ascii="宋体" w:hAnsi="宋体" w:cs="宋体"/>
                <w:color w:val="auto"/>
                <w:kern w:val="0"/>
                <w:sz w:val="22"/>
                <w:szCs w:val="22"/>
                <w:highlight w:val="none"/>
              </w:rPr>
              <w:t>2.开标地点：</w:t>
            </w:r>
            <w:r>
              <w:rPr>
                <w:rFonts w:ascii="宋体" w:cs="Arial"/>
                <w:color w:val="auto"/>
                <w:sz w:val="22"/>
                <w:szCs w:val="22"/>
                <w:highlight w:val="none"/>
              </w:rPr>
              <w:t> </w:t>
            </w:r>
            <w:r>
              <w:rPr>
                <w:rFonts w:ascii="宋体" w:cs="宋体"/>
                <w:color w:val="auto"/>
                <w:sz w:val="22"/>
                <w:szCs w:val="22"/>
                <w:highlight w:val="none"/>
              </w:rPr>
              <w:t>政府采购云平台在线投标，投标供应商无须前往评审现场。 </w:t>
            </w:r>
          </w:p>
        </w:tc>
      </w:tr>
      <w:tr w14:paraId="1D1854BD">
        <w:tblPrEx>
          <w:tblCellMar>
            <w:top w:w="0" w:type="dxa"/>
            <w:left w:w="108" w:type="dxa"/>
            <w:bottom w:w="0" w:type="dxa"/>
            <w:right w:w="108" w:type="dxa"/>
          </w:tblCellMar>
        </w:tblPrEx>
        <w:trPr>
          <w:trHeight w:val="93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0361A3A4">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1884" w:type="dxa"/>
            <w:tcBorders>
              <w:top w:val="single" w:color="auto" w:sz="4" w:space="0"/>
              <w:left w:val="single" w:color="auto" w:sz="4" w:space="0"/>
              <w:bottom w:val="single" w:color="auto" w:sz="4" w:space="0"/>
              <w:right w:val="single" w:color="auto" w:sz="4" w:space="0"/>
            </w:tcBorders>
            <w:noWrap/>
            <w:vAlign w:val="center"/>
          </w:tcPr>
          <w:p w14:paraId="0AF79B62">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楷体"/>
                <w:color w:val="auto"/>
                <w:kern w:val="0"/>
                <w:sz w:val="22"/>
                <w:szCs w:val="22"/>
                <w:highlight w:val="none"/>
              </w:rPr>
              <w:t>投标文件的上传和递交</w:t>
            </w:r>
          </w:p>
        </w:tc>
        <w:tc>
          <w:tcPr>
            <w:tcW w:w="7377" w:type="dxa"/>
            <w:tcBorders>
              <w:top w:val="single" w:color="auto" w:sz="4" w:space="0"/>
              <w:left w:val="single" w:color="auto" w:sz="4" w:space="0"/>
              <w:bottom w:val="single" w:color="auto" w:sz="4" w:space="0"/>
              <w:right w:val="single" w:color="auto" w:sz="4" w:space="0"/>
            </w:tcBorders>
            <w:noWrap/>
            <w:vAlign w:val="center"/>
          </w:tcPr>
          <w:p w14:paraId="01C4AFC6">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（1）“电子加密投标文件”的上传、递交：</w:t>
            </w:r>
          </w:p>
          <w:p w14:paraId="2844E824">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a.投标人应在</w:t>
            </w:r>
            <w:r>
              <w:rPr>
                <w:rFonts w:hint="eastAsia" w:ascii="宋体" w:hAnsi="宋体" w:cs="宋体"/>
                <w:color w:val="auto"/>
                <w:kern w:val="0"/>
                <w:sz w:val="22"/>
                <w:szCs w:val="22"/>
                <w:highlight w:val="none"/>
              </w:rPr>
              <w:t>投标截止时间</w:t>
            </w:r>
            <w:r>
              <w:rPr>
                <w:rFonts w:hint="eastAsia" w:ascii="宋体" w:hAnsi="宋体" w:cs="楷体"/>
                <w:color w:val="auto"/>
                <w:kern w:val="0"/>
                <w:sz w:val="22"/>
                <w:szCs w:val="22"/>
                <w:highlight w:val="none"/>
              </w:rPr>
              <w:t>前将“电子加密投标文件”成功上传递交至“政府采购云平台”，否则</w:t>
            </w:r>
            <w:r>
              <w:rPr>
                <w:rFonts w:hint="eastAsia" w:ascii="宋体" w:hAnsi="宋体" w:cs="楷体"/>
                <w:b/>
                <w:bCs/>
                <w:color w:val="auto"/>
                <w:kern w:val="0"/>
                <w:sz w:val="22"/>
                <w:szCs w:val="22"/>
                <w:highlight w:val="none"/>
              </w:rPr>
              <w:t>投标无效</w:t>
            </w:r>
            <w:r>
              <w:rPr>
                <w:rFonts w:hint="eastAsia" w:ascii="宋体" w:hAnsi="宋体" w:cs="楷体"/>
                <w:color w:val="auto"/>
                <w:kern w:val="0"/>
                <w:sz w:val="22"/>
                <w:szCs w:val="22"/>
                <w:highlight w:val="none"/>
              </w:rPr>
              <w:t>。</w:t>
            </w:r>
          </w:p>
          <w:p w14:paraId="781C71DC">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b.“电子加密投标文件”成功上传递交后，投标人可自行打印投标文件接收回执。</w:t>
            </w:r>
          </w:p>
          <w:p w14:paraId="2E910AE7">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（2）“备份投标文件”的递交：</w:t>
            </w:r>
          </w:p>
          <w:p w14:paraId="12069B40">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a.投标人在“政府采购云平台”完成“电子加密投标文件”的上传递交后，还可以在</w:t>
            </w:r>
            <w:r>
              <w:rPr>
                <w:rFonts w:hint="eastAsia" w:ascii="宋体" w:hAnsi="宋体" w:cs="宋体"/>
                <w:color w:val="auto"/>
                <w:kern w:val="0"/>
                <w:sz w:val="22"/>
                <w:szCs w:val="22"/>
                <w:highlight w:val="none"/>
              </w:rPr>
              <w:t>投标截止时间</w:t>
            </w:r>
            <w:r>
              <w:rPr>
                <w:rFonts w:hint="eastAsia" w:ascii="宋体" w:hAnsi="宋体" w:cs="楷体"/>
                <w:color w:val="auto"/>
                <w:kern w:val="0"/>
                <w:sz w:val="22"/>
                <w:szCs w:val="22"/>
                <w:highlight w:val="none"/>
              </w:rPr>
              <w:t>前将系统生成的备份投标文件（后缀格式为.bfbs）以电子邮件形式传送至采购代理机构邮箱895900692@qq.com，传送的备份标书需打包压缩并加密，加密密码由投标人自行保管。</w:t>
            </w:r>
            <w:r>
              <w:rPr>
                <w:rFonts w:hint="eastAsia" w:ascii="宋体" w:hAnsi="宋体" w:cs="楷体"/>
                <w:b/>
                <w:bCs/>
                <w:color w:val="auto"/>
                <w:kern w:val="0"/>
                <w:sz w:val="22"/>
                <w:szCs w:val="22"/>
                <w:highlight w:val="none"/>
              </w:rPr>
              <w:t>“备份投标文件”由投标人自愿提交，采购文件不作强制性要求，但投标人仅递交了“备份投标文件”的，投标无效。</w:t>
            </w:r>
          </w:p>
          <w:p w14:paraId="6F8B1EB2">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b.</w:t>
            </w:r>
            <w:r>
              <w:rPr>
                <w:rFonts w:hint="eastAsia" w:ascii="宋体" w:hAnsi="宋体" w:cs="宋体"/>
                <w:color w:val="auto"/>
                <w:sz w:val="22"/>
                <w:szCs w:val="22"/>
                <w:highlight w:val="none"/>
              </w:rPr>
              <w:t>投标人需保证上传的电子加密投标文件与提交的备份投标文件必须同时生成且内容完全一致</w:t>
            </w:r>
            <w:r>
              <w:rPr>
                <w:rFonts w:hint="eastAsia" w:ascii="宋体" w:hAnsi="宋体" w:cs="楷体"/>
                <w:b/>
                <w:color w:val="auto"/>
                <w:kern w:val="0"/>
                <w:sz w:val="22"/>
                <w:szCs w:val="22"/>
                <w:highlight w:val="none"/>
              </w:rPr>
              <w:t>；</w:t>
            </w:r>
          </w:p>
          <w:p w14:paraId="06445FDD">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楷体"/>
                <w:color w:val="auto"/>
                <w:kern w:val="0"/>
                <w:sz w:val="22"/>
                <w:szCs w:val="22"/>
                <w:highlight w:val="none"/>
              </w:rPr>
              <w:t>c.通过“政府采购云平台”成功上传递交的“电子加密投标文件”已按时解密的，“备份投标文件”自动失效。</w:t>
            </w:r>
          </w:p>
        </w:tc>
      </w:tr>
      <w:tr w14:paraId="66D6967D">
        <w:tblPrEx>
          <w:tblCellMar>
            <w:top w:w="0" w:type="dxa"/>
            <w:left w:w="108" w:type="dxa"/>
            <w:bottom w:w="0" w:type="dxa"/>
            <w:right w:w="108" w:type="dxa"/>
          </w:tblCellMar>
        </w:tblPrEx>
        <w:trPr>
          <w:trHeight w:val="5087" w:hRule="exac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2E398579">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1884" w:type="dxa"/>
            <w:tcBorders>
              <w:top w:val="single" w:color="auto" w:sz="4" w:space="0"/>
              <w:left w:val="single" w:color="auto" w:sz="4" w:space="0"/>
              <w:bottom w:val="single" w:color="auto" w:sz="4" w:space="0"/>
              <w:right w:val="single" w:color="auto" w:sz="4" w:space="0"/>
            </w:tcBorders>
            <w:noWrap/>
            <w:vAlign w:val="center"/>
          </w:tcPr>
          <w:p w14:paraId="677DBDF4">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电子加密投标文件的解密和异常情况处理</w:t>
            </w:r>
          </w:p>
        </w:tc>
        <w:tc>
          <w:tcPr>
            <w:tcW w:w="7377" w:type="dxa"/>
            <w:tcBorders>
              <w:top w:val="single" w:color="auto" w:sz="4" w:space="0"/>
              <w:left w:val="single" w:color="auto" w:sz="4" w:space="0"/>
              <w:bottom w:val="single" w:color="auto" w:sz="4" w:space="0"/>
              <w:right w:val="single" w:color="auto" w:sz="4" w:space="0"/>
            </w:tcBorders>
            <w:noWrap/>
            <w:vAlign w:val="center"/>
          </w:tcPr>
          <w:p w14:paraId="7386BAB7">
            <w:pPr>
              <w:widowControl/>
              <w:spacing w:line="360" w:lineRule="exact"/>
              <w:rPr>
                <w:rFonts w:ascii="宋体" w:hAnsi="宋体" w:cs="楷体"/>
                <w:b/>
                <w:color w:val="auto"/>
                <w:kern w:val="0"/>
                <w:sz w:val="22"/>
                <w:szCs w:val="22"/>
                <w:highlight w:val="none"/>
              </w:rPr>
            </w:pPr>
            <w:r>
              <w:rPr>
                <w:rFonts w:hint="eastAsia" w:ascii="宋体" w:hAnsi="宋体" w:cs="楷体"/>
                <w:color w:val="auto"/>
                <w:kern w:val="0"/>
                <w:sz w:val="22"/>
                <w:szCs w:val="22"/>
                <w:highlight w:val="none"/>
              </w:rPr>
              <w:t>（1）</w:t>
            </w:r>
            <w:r>
              <w:rPr>
                <w:rFonts w:hint="eastAsia" w:ascii="宋体" w:hAnsi="宋体" w:cs="宋体"/>
                <w:color w:val="auto"/>
                <w:kern w:val="0"/>
                <w:sz w:val="22"/>
                <w:szCs w:val="22"/>
                <w:highlight w:val="none"/>
              </w:rPr>
              <w:t>投标截止时间</w:t>
            </w:r>
            <w:r>
              <w:rPr>
                <w:rFonts w:hint="eastAsia" w:ascii="宋体" w:hAnsi="宋体" w:cs="楷体"/>
                <w:color w:val="auto"/>
                <w:kern w:val="0"/>
                <w:sz w:val="22"/>
                <w:szCs w:val="22"/>
                <w:highlight w:val="none"/>
              </w:rPr>
              <w:t>后，采购代理机构将向各投标人发出“电子加密投标文件”的解密通知，</w:t>
            </w:r>
            <w:r>
              <w:rPr>
                <w:rFonts w:hint="eastAsia" w:ascii="宋体" w:hAnsi="宋体" w:cs="楷体"/>
                <w:b/>
                <w:color w:val="auto"/>
                <w:kern w:val="0"/>
                <w:sz w:val="22"/>
                <w:szCs w:val="22"/>
                <w:highlight w:val="none"/>
              </w:rPr>
              <w:t>各投标人代表应当在接到解密通知后30分钟内自行完成“电子加密投标文件”的在线解密（解密电子投标文件必须插入CA，</w:t>
            </w:r>
            <w:r>
              <w:rPr>
                <w:rFonts w:hint="eastAsia" w:ascii="宋体" w:hAnsi="宋体" w:cs="楷体"/>
                <w:b/>
                <w:bCs/>
                <w:color w:val="auto"/>
                <w:kern w:val="0"/>
                <w:sz w:val="22"/>
                <w:szCs w:val="22"/>
                <w:highlight w:val="none"/>
              </w:rPr>
              <w:t>解密CA必须是上传并制作电子投标文件CA锁</w:t>
            </w:r>
            <w:r>
              <w:rPr>
                <w:rFonts w:hint="eastAsia" w:ascii="宋体" w:hAnsi="宋体" w:cs="楷体"/>
                <w:b/>
                <w:color w:val="auto"/>
                <w:kern w:val="0"/>
                <w:sz w:val="22"/>
                <w:szCs w:val="22"/>
                <w:highlight w:val="none"/>
              </w:rPr>
              <w:t>）。</w:t>
            </w:r>
          </w:p>
          <w:p w14:paraId="500BFDF5">
            <w:pPr>
              <w:widowControl/>
              <w:spacing w:line="3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6C00C658">
            <w:pPr>
              <w:widowControl/>
              <w:spacing w:line="360" w:lineRule="exact"/>
              <w:rPr>
                <w:rFonts w:ascii="宋体" w:hAnsi="宋体" w:cs="楷体"/>
                <w:b/>
                <w:bCs/>
                <w:color w:val="auto"/>
                <w:kern w:val="0"/>
                <w:sz w:val="22"/>
                <w:szCs w:val="22"/>
                <w:highlight w:val="none"/>
              </w:rPr>
            </w:pPr>
            <w:r>
              <w:rPr>
                <w:rFonts w:hint="eastAsia" w:ascii="宋体" w:hAnsi="宋体" w:cs="楷体"/>
                <w:b/>
                <w:bCs/>
                <w:color w:val="auto"/>
                <w:kern w:val="0"/>
                <w:sz w:val="22"/>
                <w:szCs w:val="22"/>
                <w:highlight w:val="none"/>
              </w:rPr>
              <w:t>（3）未按规定递交合格“备份投标文件”的或递交的“备份投标文件”无法成功上传的，视为投标文件撤回。</w:t>
            </w:r>
          </w:p>
          <w:p w14:paraId="7773C809">
            <w:pPr>
              <w:widowControl/>
              <w:spacing w:line="360" w:lineRule="exact"/>
              <w:rPr>
                <w:rFonts w:ascii="宋体" w:hAnsi="宋体" w:cs="楷体"/>
                <w:color w:val="auto"/>
                <w:kern w:val="0"/>
                <w:sz w:val="22"/>
                <w:szCs w:val="22"/>
                <w:highlight w:val="none"/>
              </w:rPr>
            </w:pPr>
            <w:r>
              <w:rPr>
                <w:rFonts w:hint="eastAsia" w:ascii="宋体" w:hAnsi="宋体" w:cs="楷体"/>
                <w:b/>
                <w:bCs/>
                <w:color w:val="auto"/>
                <w:kern w:val="0"/>
                <w:sz w:val="22"/>
                <w:szCs w:val="22"/>
                <w:highlight w:val="none"/>
              </w:rPr>
              <w:t>（4）在解密期限内投标人电子投标文件解密失败，且经异常处理后政采云电子交易系统仍未能解决的，政采云系统会默认投标人自动放弃，其投标无效。</w:t>
            </w:r>
          </w:p>
        </w:tc>
      </w:tr>
      <w:tr w14:paraId="2983E619">
        <w:tblPrEx>
          <w:tblCellMar>
            <w:top w:w="0" w:type="dxa"/>
            <w:left w:w="108" w:type="dxa"/>
            <w:bottom w:w="0" w:type="dxa"/>
            <w:right w:w="108" w:type="dxa"/>
          </w:tblCellMar>
        </w:tblPrEx>
        <w:trPr>
          <w:trHeight w:val="4827" w:hRule="exac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5AB28241">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884" w:type="dxa"/>
            <w:tcBorders>
              <w:top w:val="single" w:color="auto" w:sz="4" w:space="0"/>
              <w:left w:val="single" w:color="auto" w:sz="4" w:space="0"/>
              <w:bottom w:val="single" w:color="auto" w:sz="4" w:space="0"/>
              <w:right w:val="single" w:color="auto" w:sz="4" w:space="0"/>
            </w:tcBorders>
            <w:noWrap/>
            <w:vAlign w:val="center"/>
          </w:tcPr>
          <w:p w14:paraId="015D5197">
            <w:pPr>
              <w:widowControl/>
              <w:spacing w:line="360" w:lineRule="exact"/>
              <w:jc w:val="center"/>
              <w:rPr>
                <w:rFonts w:ascii="宋体" w:hAnsi="宋体" w:cs="楷体"/>
                <w:color w:val="auto"/>
                <w:kern w:val="0"/>
                <w:sz w:val="22"/>
                <w:szCs w:val="22"/>
                <w:highlight w:val="none"/>
              </w:rPr>
            </w:pPr>
            <w:r>
              <w:rPr>
                <w:rFonts w:ascii="Arial" w:hAnsi="Arial" w:cs="Arial"/>
                <w:color w:val="auto"/>
                <w:szCs w:val="21"/>
                <w:highlight w:val="none"/>
              </w:rPr>
              <w:t>开标程序</w:t>
            </w:r>
          </w:p>
        </w:tc>
        <w:tc>
          <w:tcPr>
            <w:tcW w:w="7377" w:type="dxa"/>
            <w:tcBorders>
              <w:top w:val="single" w:color="auto" w:sz="4" w:space="0"/>
              <w:left w:val="single" w:color="auto" w:sz="4" w:space="0"/>
              <w:bottom w:val="single" w:color="auto" w:sz="4" w:space="0"/>
              <w:right w:val="single" w:color="auto" w:sz="4" w:space="0"/>
            </w:tcBorders>
            <w:noWrap/>
            <w:vAlign w:val="center"/>
          </w:tcPr>
          <w:p w14:paraId="0F74B8F4">
            <w:pPr>
              <w:pStyle w:val="33"/>
              <w:widowControl/>
              <w:numPr>
                <w:ilvl w:val="0"/>
                <w:numId w:val="2"/>
              </w:numPr>
              <w:adjustRightInd/>
              <w:spacing w:before="0" w:line="360" w:lineRule="exact"/>
              <w:ind w:firstLine="0" w:firstLineChars="0"/>
              <w:contextualSpacing/>
              <w:rPr>
                <w:rFonts w:ascii="Arial" w:hAnsi="Arial" w:cs="Arial"/>
                <w:color w:val="auto"/>
                <w:sz w:val="21"/>
                <w:szCs w:val="21"/>
                <w:highlight w:val="none"/>
              </w:rPr>
            </w:pPr>
            <w:r>
              <w:rPr>
                <w:rFonts w:hint="eastAsia" w:ascii="宋体" w:hAnsi="宋体" w:cs="宋体"/>
                <w:color w:val="auto"/>
                <w:kern w:val="0"/>
                <w:sz w:val="22"/>
                <w:szCs w:val="22"/>
                <w:highlight w:val="none"/>
              </w:rPr>
              <w:t>投标截止时间</w:t>
            </w:r>
            <w:r>
              <w:rPr>
                <w:rFonts w:hint="eastAsia" w:ascii="Arial" w:hAnsi="Arial" w:cs="Arial"/>
                <w:color w:val="auto"/>
                <w:sz w:val="21"/>
                <w:szCs w:val="21"/>
                <w:highlight w:val="none"/>
              </w:rPr>
              <w:t>后，采购代理机构将向各投标人发出“电子加密投标文件”的解密通知，各投标人代表应当在接到解密通知后30分钟内自行完成“电子加密投标文件”的在线解密</w:t>
            </w:r>
            <w:r>
              <w:rPr>
                <w:rFonts w:ascii="Arial" w:hAnsi="Arial" w:cs="Arial"/>
                <w:color w:val="auto"/>
                <w:sz w:val="21"/>
                <w:szCs w:val="21"/>
                <w:highlight w:val="none"/>
              </w:rPr>
              <w:t>；</w:t>
            </w:r>
          </w:p>
          <w:p w14:paraId="2D358337">
            <w:pPr>
              <w:pStyle w:val="33"/>
              <w:widowControl/>
              <w:numPr>
                <w:ilvl w:val="0"/>
                <w:numId w:val="2"/>
              </w:numPr>
              <w:adjustRightInd/>
              <w:spacing w:before="0" w:line="360" w:lineRule="exact"/>
              <w:ind w:firstLine="0" w:firstLineChars="0"/>
              <w:contextualSpacing/>
              <w:rPr>
                <w:rFonts w:ascii="Arial" w:hAnsi="Arial" w:cs="Arial"/>
                <w:color w:val="auto"/>
                <w:sz w:val="21"/>
                <w:szCs w:val="21"/>
                <w:highlight w:val="none"/>
              </w:rPr>
            </w:pPr>
            <w:r>
              <w:rPr>
                <w:rFonts w:ascii="Arial" w:hAnsi="Arial" w:cs="Arial"/>
                <w:color w:val="auto"/>
                <w:sz w:val="21"/>
                <w:szCs w:val="21"/>
                <w:highlight w:val="none"/>
              </w:rPr>
              <w:t>解密结束后，各供应商签署《政府采购活动现场确认声明书》（见采购文件附</w:t>
            </w:r>
            <w:r>
              <w:rPr>
                <w:rFonts w:hint="eastAsia" w:ascii="Arial" w:hAnsi="Arial" w:cs="Arial"/>
                <w:color w:val="auto"/>
                <w:sz w:val="21"/>
                <w:szCs w:val="21"/>
                <w:highlight w:val="none"/>
              </w:rPr>
              <w:t>件</w:t>
            </w:r>
            <w:r>
              <w:rPr>
                <w:rFonts w:ascii="Arial" w:hAnsi="Arial" w:cs="Arial"/>
                <w:color w:val="auto"/>
                <w:sz w:val="21"/>
                <w:szCs w:val="21"/>
                <w:highlight w:val="none"/>
              </w:rPr>
              <w:t>），通过邮件形式发送至采购代理机构邮箱：</w:t>
            </w:r>
            <w:r>
              <w:rPr>
                <w:rFonts w:hint="eastAsia" w:ascii="Arial" w:hAnsi="Arial" w:cs="Arial"/>
                <w:color w:val="auto"/>
                <w:sz w:val="21"/>
                <w:szCs w:val="21"/>
                <w:highlight w:val="none"/>
              </w:rPr>
              <w:t>895900692</w:t>
            </w:r>
            <w:r>
              <w:rPr>
                <w:rFonts w:ascii="Arial" w:hAnsi="Arial" w:cs="Arial"/>
                <w:color w:val="auto"/>
                <w:sz w:val="21"/>
                <w:szCs w:val="21"/>
                <w:highlight w:val="none"/>
              </w:rPr>
              <w:t>@qq.com。</w:t>
            </w:r>
          </w:p>
          <w:p w14:paraId="1CB43A63">
            <w:pPr>
              <w:pStyle w:val="33"/>
              <w:widowControl/>
              <w:numPr>
                <w:ilvl w:val="0"/>
                <w:numId w:val="2"/>
              </w:numPr>
              <w:adjustRightInd/>
              <w:spacing w:before="0" w:line="360" w:lineRule="exact"/>
              <w:ind w:firstLine="0" w:firstLineChars="0"/>
              <w:contextualSpacing/>
              <w:rPr>
                <w:rFonts w:ascii="Arial" w:hAnsi="Arial" w:cs="Arial"/>
                <w:color w:val="auto"/>
                <w:sz w:val="21"/>
                <w:szCs w:val="21"/>
                <w:highlight w:val="none"/>
              </w:rPr>
            </w:pPr>
            <w:r>
              <w:rPr>
                <w:rFonts w:ascii="Arial" w:hAnsi="Arial" w:cs="Arial"/>
                <w:color w:val="auto"/>
                <w:sz w:val="21"/>
                <w:szCs w:val="21"/>
                <w:highlight w:val="none"/>
              </w:rPr>
              <w:t>采购人或采购代理机构先进行资格性审查；</w:t>
            </w:r>
          </w:p>
          <w:p w14:paraId="57B8903C">
            <w:pPr>
              <w:pStyle w:val="33"/>
              <w:widowControl/>
              <w:numPr>
                <w:ilvl w:val="0"/>
                <w:numId w:val="2"/>
              </w:numPr>
              <w:adjustRightInd/>
              <w:spacing w:before="0" w:line="360" w:lineRule="exact"/>
              <w:ind w:firstLine="0" w:firstLineChars="0"/>
              <w:contextualSpacing/>
              <w:rPr>
                <w:rFonts w:ascii="Arial" w:hAnsi="Arial" w:cs="Arial"/>
                <w:color w:val="auto"/>
                <w:sz w:val="21"/>
                <w:szCs w:val="21"/>
                <w:highlight w:val="none"/>
              </w:rPr>
            </w:pPr>
            <w:r>
              <w:rPr>
                <w:rFonts w:ascii="Arial" w:hAnsi="Arial" w:cs="Arial"/>
                <w:color w:val="auto"/>
                <w:sz w:val="21"/>
                <w:szCs w:val="21"/>
                <w:highlight w:val="none"/>
              </w:rPr>
              <w:t>评标委员会对资格性审查合格的供应商进行符合性审查；</w:t>
            </w:r>
          </w:p>
          <w:p w14:paraId="1D70C161">
            <w:pPr>
              <w:pStyle w:val="33"/>
              <w:widowControl/>
              <w:numPr>
                <w:ilvl w:val="0"/>
                <w:numId w:val="2"/>
              </w:numPr>
              <w:adjustRightInd/>
              <w:spacing w:before="0" w:line="360" w:lineRule="exact"/>
              <w:ind w:firstLine="0" w:firstLineChars="0"/>
              <w:contextualSpacing/>
              <w:rPr>
                <w:rFonts w:ascii="Arial" w:hAnsi="Arial" w:cs="Arial"/>
                <w:color w:val="auto"/>
                <w:sz w:val="21"/>
                <w:szCs w:val="21"/>
                <w:highlight w:val="none"/>
              </w:rPr>
            </w:pPr>
            <w:r>
              <w:rPr>
                <w:rFonts w:ascii="Arial" w:hAnsi="Arial" w:cs="Arial"/>
                <w:color w:val="auto"/>
                <w:sz w:val="21"/>
                <w:szCs w:val="21"/>
                <w:highlight w:val="none"/>
              </w:rPr>
              <w:t>评标委员会再对资格性、符合性审查合格的供应商进行</w:t>
            </w:r>
            <w:r>
              <w:rPr>
                <w:rFonts w:hint="eastAsia" w:ascii="Arial" w:hAnsi="Arial" w:cs="Arial"/>
                <w:color w:val="auto"/>
                <w:sz w:val="21"/>
                <w:szCs w:val="21"/>
                <w:highlight w:val="none"/>
              </w:rPr>
              <w:t>商务技术</w:t>
            </w:r>
            <w:r>
              <w:rPr>
                <w:rFonts w:ascii="Arial" w:hAnsi="Arial" w:cs="Arial"/>
                <w:color w:val="auto"/>
                <w:sz w:val="21"/>
                <w:szCs w:val="21"/>
                <w:highlight w:val="none"/>
              </w:rPr>
              <w:t>评审；</w:t>
            </w:r>
          </w:p>
          <w:p w14:paraId="65C04320">
            <w:pPr>
              <w:pStyle w:val="33"/>
              <w:widowControl/>
              <w:numPr>
                <w:ilvl w:val="0"/>
                <w:numId w:val="2"/>
              </w:numPr>
              <w:adjustRightInd/>
              <w:spacing w:before="0" w:line="360" w:lineRule="exact"/>
              <w:ind w:firstLine="0" w:firstLineChars="0"/>
              <w:contextualSpacing/>
              <w:rPr>
                <w:rFonts w:ascii="Arial" w:hAnsi="Arial" w:cs="Arial"/>
                <w:color w:val="auto"/>
                <w:sz w:val="21"/>
                <w:szCs w:val="21"/>
                <w:highlight w:val="none"/>
              </w:rPr>
            </w:pPr>
            <w:r>
              <w:rPr>
                <w:rFonts w:ascii="Arial" w:hAnsi="Arial" w:cs="Arial"/>
                <w:color w:val="auto"/>
                <w:sz w:val="21"/>
                <w:szCs w:val="21"/>
                <w:highlight w:val="none"/>
              </w:rPr>
              <w:t>开启资格审查、</w:t>
            </w:r>
            <w:r>
              <w:rPr>
                <w:rFonts w:hint="eastAsia" w:ascii="Arial" w:hAnsi="Arial" w:cs="Arial"/>
                <w:color w:val="auto"/>
                <w:sz w:val="21"/>
                <w:szCs w:val="21"/>
                <w:highlight w:val="none"/>
              </w:rPr>
              <w:t>商务技术</w:t>
            </w:r>
            <w:r>
              <w:rPr>
                <w:rFonts w:ascii="Arial" w:hAnsi="Arial" w:cs="Arial"/>
                <w:color w:val="auto"/>
                <w:sz w:val="21"/>
                <w:szCs w:val="21"/>
                <w:highlight w:val="none"/>
              </w:rPr>
              <w:t>评审有效供应商的报价文件</w:t>
            </w:r>
            <w:r>
              <w:rPr>
                <w:rFonts w:hint="eastAsia" w:ascii="Arial" w:hAnsi="Arial" w:cs="Arial"/>
                <w:color w:val="auto"/>
                <w:sz w:val="21"/>
                <w:szCs w:val="21"/>
                <w:highlight w:val="none"/>
              </w:rPr>
              <w:t>；</w:t>
            </w:r>
          </w:p>
          <w:p w14:paraId="6EF4ECAC">
            <w:pPr>
              <w:pStyle w:val="33"/>
              <w:widowControl/>
              <w:numPr>
                <w:ilvl w:val="0"/>
                <w:numId w:val="2"/>
              </w:numPr>
              <w:adjustRightInd/>
              <w:spacing w:before="0" w:line="360" w:lineRule="exact"/>
              <w:ind w:firstLine="0" w:firstLineChars="0"/>
              <w:contextualSpacing/>
              <w:rPr>
                <w:rFonts w:ascii="Arial" w:hAnsi="Arial" w:cs="Arial"/>
                <w:color w:val="auto"/>
                <w:sz w:val="21"/>
                <w:szCs w:val="21"/>
                <w:highlight w:val="none"/>
              </w:rPr>
            </w:pPr>
            <w:r>
              <w:rPr>
                <w:rFonts w:ascii="Arial" w:hAnsi="Arial" w:cs="Arial"/>
                <w:color w:val="auto"/>
                <w:sz w:val="21"/>
                <w:szCs w:val="21"/>
                <w:highlight w:val="none"/>
              </w:rPr>
              <w:t>由评标委员会进行报价文件</w:t>
            </w:r>
            <w:r>
              <w:rPr>
                <w:rFonts w:hint="eastAsia" w:ascii="Arial" w:hAnsi="Arial" w:cs="Arial"/>
                <w:color w:val="auto"/>
                <w:sz w:val="21"/>
                <w:szCs w:val="21"/>
                <w:highlight w:val="none"/>
              </w:rPr>
              <w:t>评审</w:t>
            </w:r>
            <w:r>
              <w:rPr>
                <w:rFonts w:ascii="Arial" w:hAnsi="Arial" w:cs="Arial"/>
                <w:color w:val="auto"/>
                <w:sz w:val="21"/>
                <w:szCs w:val="21"/>
                <w:highlight w:val="none"/>
              </w:rPr>
              <w:t>；</w:t>
            </w:r>
          </w:p>
          <w:p w14:paraId="66EF9C64">
            <w:pPr>
              <w:pStyle w:val="33"/>
              <w:widowControl/>
              <w:numPr>
                <w:ilvl w:val="0"/>
                <w:numId w:val="2"/>
              </w:numPr>
              <w:adjustRightInd/>
              <w:spacing w:before="0" w:line="360" w:lineRule="exact"/>
              <w:ind w:firstLine="0" w:firstLineChars="0"/>
              <w:contextualSpacing/>
              <w:rPr>
                <w:rFonts w:ascii="Arial" w:hAnsi="Arial" w:cs="Arial"/>
                <w:color w:val="auto"/>
                <w:sz w:val="21"/>
                <w:szCs w:val="21"/>
                <w:highlight w:val="none"/>
              </w:rPr>
            </w:pPr>
            <w:r>
              <w:rPr>
                <w:rFonts w:ascii="Arial" w:hAnsi="Arial" w:cs="Arial"/>
                <w:color w:val="auto"/>
                <w:sz w:val="21"/>
                <w:szCs w:val="21"/>
                <w:highlight w:val="none"/>
              </w:rPr>
              <w:t>评标委员会根据综合评分情况，按照综合得分由高到低顺序确定</w:t>
            </w:r>
            <w:r>
              <w:rPr>
                <w:rFonts w:hint="eastAsia" w:ascii="Arial" w:hAnsi="Arial" w:cs="Arial"/>
                <w:color w:val="auto"/>
                <w:sz w:val="21"/>
                <w:szCs w:val="21"/>
                <w:highlight w:val="none"/>
              </w:rPr>
              <w:t>2名</w:t>
            </w:r>
            <w:r>
              <w:rPr>
                <w:rFonts w:ascii="Arial" w:hAnsi="Arial" w:cs="Arial"/>
                <w:color w:val="auto"/>
                <w:sz w:val="21"/>
                <w:szCs w:val="21"/>
                <w:highlight w:val="none"/>
              </w:rPr>
              <w:t>中标</w:t>
            </w:r>
            <w:r>
              <w:rPr>
                <w:rFonts w:hint="eastAsia" w:ascii="Arial" w:hAnsi="Arial" w:cs="Arial"/>
                <w:color w:val="auto"/>
                <w:sz w:val="21"/>
                <w:szCs w:val="21"/>
                <w:highlight w:val="none"/>
              </w:rPr>
              <w:t>候选</w:t>
            </w:r>
            <w:r>
              <w:rPr>
                <w:rFonts w:ascii="Arial" w:hAnsi="Arial" w:cs="Arial"/>
                <w:color w:val="auto"/>
                <w:sz w:val="21"/>
                <w:szCs w:val="21"/>
                <w:highlight w:val="none"/>
              </w:rPr>
              <w:t>供应商。</w:t>
            </w:r>
          </w:p>
          <w:p w14:paraId="7EC886A7">
            <w:pPr>
              <w:pStyle w:val="33"/>
              <w:widowControl/>
              <w:adjustRightInd/>
              <w:spacing w:before="0" w:line="360" w:lineRule="exact"/>
              <w:ind w:firstLine="0" w:firstLineChars="0"/>
              <w:contextualSpacing/>
              <w:rPr>
                <w:rFonts w:ascii="宋体" w:hAnsi="宋体" w:cs="楷体"/>
                <w:b/>
                <w:bCs/>
                <w:color w:val="auto"/>
                <w:kern w:val="0"/>
                <w:sz w:val="22"/>
                <w:szCs w:val="22"/>
                <w:highlight w:val="none"/>
              </w:rPr>
            </w:pPr>
            <w:r>
              <w:rPr>
                <w:rFonts w:ascii="Arial" w:hAnsi="Arial" w:cs="Arial"/>
                <w:color w:val="auto"/>
                <w:sz w:val="21"/>
                <w:szCs w:val="21"/>
                <w:highlight w:val="none"/>
              </w:rPr>
              <w:t>如遇“政府采购云平台”电子化开标或评审程序调整的，按调整后程序执行。</w:t>
            </w:r>
          </w:p>
        </w:tc>
      </w:tr>
      <w:tr w14:paraId="56CF6705">
        <w:tblPrEx>
          <w:tblCellMar>
            <w:top w:w="0" w:type="dxa"/>
            <w:left w:w="108" w:type="dxa"/>
            <w:bottom w:w="0" w:type="dxa"/>
            <w:right w:w="108" w:type="dxa"/>
          </w:tblCellMar>
        </w:tblPrEx>
        <w:trPr>
          <w:trHeight w:val="1294" w:hRule="exac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0B59378C">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31</w:t>
            </w:r>
          </w:p>
        </w:tc>
        <w:tc>
          <w:tcPr>
            <w:tcW w:w="1884" w:type="dxa"/>
            <w:tcBorders>
              <w:top w:val="single" w:color="auto" w:sz="4" w:space="0"/>
              <w:left w:val="single" w:color="auto" w:sz="4" w:space="0"/>
              <w:bottom w:val="single" w:color="auto" w:sz="4" w:space="0"/>
              <w:right w:val="single" w:color="auto" w:sz="4" w:space="0"/>
            </w:tcBorders>
            <w:noWrap/>
            <w:vAlign w:val="center"/>
          </w:tcPr>
          <w:p w14:paraId="4A75EC4F">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评标委员会的组建</w:t>
            </w:r>
          </w:p>
        </w:tc>
        <w:tc>
          <w:tcPr>
            <w:tcW w:w="7377" w:type="dxa"/>
            <w:tcBorders>
              <w:top w:val="single" w:color="auto" w:sz="4" w:space="0"/>
              <w:left w:val="single" w:color="auto" w:sz="4" w:space="0"/>
              <w:bottom w:val="single" w:color="auto" w:sz="4" w:space="0"/>
              <w:right w:val="single" w:color="auto" w:sz="4" w:space="0"/>
            </w:tcBorders>
            <w:noWrap/>
            <w:vAlign w:val="center"/>
          </w:tcPr>
          <w:p w14:paraId="19120D71">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1.评标委员会成员由采购人代表和有关技术、经济等方面的专家组成，专家成员人数为5人及以上单数。</w:t>
            </w:r>
          </w:p>
          <w:p w14:paraId="005D835B">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2.评标专家确定方式：除采购人代表外的专家按相关规定从专家库中抽取。</w:t>
            </w:r>
          </w:p>
        </w:tc>
      </w:tr>
      <w:tr w14:paraId="5B0220AD">
        <w:tblPrEx>
          <w:tblCellMar>
            <w:top w:w="0" w:type="dxa"/>
            <w:left w:w="108" w:type="dxa"/>
            <w:bottom w:w="0" w:type="dxa"/>
            <w:right w:w="108" w:type="dxa"/>
          </w:tblCellMar>
        </w:tblPrEx>
        <w:trPr>
          <w:trHeight w:val="1872" w:hRule="exac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09BC8777">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32</w:t>
            </w:r>
          </w:p>
        </w:tc>
        <w:tc>
          <w:tcPr>
            <w:tcW w:w="1884" w:type="dxa"/>
            <w:tcBorders>
              <w:top w:val="single" w:color="auto" w:sz="4" w:space="0"/>
              <w:left w:val="single" w:color="auto" w:sz="4" w:space="0"/>
              <w:bottom w:val="single" w:color="auto" w:sz="4" w:space="0"/>
              <w:right w:val="single" w:color="auto" w:sz="4" w:space="0"/>
            </w:tcBorders>
            <w:noWrap/>
            <w:vAlign w:val="center"/>
          </w:tcPr>
          <w:p w14:paraId="0CC83672">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政府采购扶持政策</w:t>
            </w:r>
          </w:p>
        </w:tc>
        <w:tc>
          <w:tcPr>
            <w:tcW w:w="7377" w:type="dxa"/>
            <w:tcBorders>
              <w:top w:val="single" w:color="auto" w:sz="4" w:space="0"/>
              <w:left w:val="single" w:color="auto" w:sz="4" w:space="0"/>
              <w:bottom w:val="single" w:color="auto" w:sz="4" w:space="0"/>
              <w:right w:val="single" w:color="auto" w:sz="4" w:space="0"/>
            </w:tcBorders>
            <w:noWrap/>
            <w:vAlign w:val="center"/>
          </w:tcPr>
          <w:p w14:paraId="3DA5FD0A">
            <w:pPr>
              <w:widowControl/>
              <w:numPr>
                <w:ilvl w:val="0"/>
                <w:numId w:val="0"/>
              </w:numPr>
              <w:tabs>
                <w:tab w:val="left" w:pos="-360"/>
              </w:tabs>
              <w:autoSpaceDE w:val="0"/>
              <w:autoSpaceDN w:val="0"/>
              <w:spacing w:line="360" w:lineRule="exact"/>
              <w:ind w:right="-34" w:rightChars="0"/>
              <w:textAlignment w:val="bottom"/>
              <w:rPr>
                <w:rFonts w:ascii="宋体" w:hAnsi="宋体" w:cs="宋体"/>
                <w:color w:val="auto"/>
                <w:kern w:val="0"/>
                <w:sz w:val="22"/>
                <w:szCs w:val="22"/>
                <w:highlight w:val="none"/>
              </w:rPr>
            </w:pPr>
            <w:r>
              <w:rPr>
                <w:rFonts w:hint="eastAsia"/>
                <w:color w:val="auto"/>
                <w:sz w:val="22"/>
                <w:szCs w:val="22"/>
                <w:highlight w:val="none"/>
                <w:lang w:val="en-US" w:eastAsia="zh-CN"/>
              </w:rPr>
              <w:t>1.</w:t>
            </w:r>
            <w:r>
              <w:rPr>
                <w:rFonts w:hint="eastAsia"/>
                <w:color w:val="auto"/>
                <w:sz w:val="22"/>
                <w:szCs w:val="22"/>
                <w:highlight w:val="none"/>
              </w:rPr>
              <w:t>本项目为专门面向中小企业采购。</w:t>
            </w:r>
            <w:r>
              <w:rPr>
                <w:rFonts w:hint="eastAsia" w:ascii="宋体" w:hAnsi="宋体" w:cs="宋体"/>
                <w:color w:val="auto"/>
                <w:szCs w:val="21"/>
                <w:highlight w:val="none"/>
              </w:rPr>
              <w:t>本项目行业属于</w:t>
            </w:r>
            <w:r>
              <w:rPr>
                <w:rFonts w:hint="eastAsia" w:ascii="宋体" w:hAnsi="宋体" w:cs="宋体"/>
                <w:color w:val="auto"/>
                <w:szCs w:val="21"/>
                <w:highlight w:val="none"/>
                <w:u w:val="single"/>
              </w:rPr>
              <w:t>其他未列明行业</w:t>
            </w:r>
            <w:r>
              <w:rPr>
                <w:rFonts w:hint="eastAsia" w:ascii="宋体" w:hAnsi="宋体" w:cs="宋体"/>
                <w:b/>
                <w:bCs/>
                <w:color w:val="auto"/>
                <w:szCs w:val="21"/>
                <w:highlight w:val="none"/>
              </w:rPr>
              <w:t>。</w:t>
            </w:r>
          </w:p>
          <w:p w14:paraId="7AEDD0E7">
            <w:pPr>
              <w:widowControl/>
              <w:numPr>
                <w:ilvl w:val="0"/>
                <w:numId w:val="0"/>
              </w:numPr>
              <w:tabs>
                <w:tab w:val="left" w:pos="-360"/>
              </w:tabs>
              <w:autoSpaceDE w:val="0"/>
              <w:autoSpaceDN w:val="0"/>
              <w:spacing w:line="360" w:lineRule="exact"/>
              <w:ind w:right="-34" w:rightChars="0"/>
              <w:textAlignment w:val="bottom"/>
              <w:rPr>
                <w:color w:val="auto"/>
                <w:highlight w:val="none"/>
              </w:rPr>
            </w:pPr>
            <w:r>
              <w:rPr>
                <w:rFonts w:hint="eastAsia"/>
                <w:color w:val="auto"/>
                <w:highlight w:val="none"/>
                <w:lang w:val="en-US" w:eastAsia="zh-CN"/>
              </w:rPr>
              <w:t>2.</w:t>
            </w:r>
            <w:r>
              <w:rPr>
                <w:rFonts w:hint="eastAsia"/>
                <w:color w:val="auto"/>
                <w:highlight w:val="none"/>
              </w:rPr>
              <w:t>对节能、环保产品优先采购。</w:t>
            </w:r>
          </w:p>
          <w:p w14:paraId="34BF9F64">
            <w:pPr>
              <w:pStyle w:val="3"/>
              <w:widowControl/>
              <w:spacing w:after="0" w:line="360" w:lineRule="exact"/>
              <w:rPr>
                <w:color w:val="auto"/>
                <w:highlight w:val="none"/>
              </w:rPr>
            </w:pPr>
            <w:r>
              <w:rPr>
                <w:rFonts w:hint="eastAsia" w:ascii="宋体" w:hAnsi="宋体" w:cs="宋体"/>
                <w:color w:val="auto"/>
                <w:szCs w:val="21"/>
                <w:highlight w:val="none"/>
              </w:rPr>
              <w:t>3.本项目执行《浙江省财政厅关于坚决打赢疫情防控阻击战进一步做好政府采购资金支持企业发展工作的通知》（浙财采监〔2020〕3号）优化政府采购金融服务（政采贷、履约保函等政府采购金融服务）。</w:t>
            </w:r>
          </w:p>
        </w:tc>
      </w:tr>
      <w:tr w14:paraId="6640D89E">
        <w:tblPrEx>
          <w:tblCellMar>
            <w:top w:w="0" w:type="dxa"/>
            <w:left w:w="108" w:type="dxa"/>
            <w:bottom w:w="0" w:type="dxa"/>
            <w:right w:w="108" w:type="dxa"/>
          </w:tblCellMar>
        </w:tblPrEx>
        <w:trPr>
          <w:trHeight w:val="2446"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21F516D0">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33</w:t>
            </w:r>
          </w:p>
        </w:tc>
        <w:tc>
          <w:tcPr>
            <w:tcW w:w="1884" w:type="dxa"/>
            <w:tcBorders>
              <w:top w:val="single" w:color="auto" w:sz="4" w:space="0"/>
              <w:left w:val="single" w:color="auto" w:sz="4" w:space="0"/>
              <w:bottom w:val="single" w:color="auto" w:sz="4" w:space="0"/>
              <w:right w:val="single" w:color="auto" w:sz="4" w:space="0"/>
            </w:tcBorders>
            <w:noWrap/>
            <w:vAlign w:val="center"/>
          </w:tcPr>
          <w:p w14:paraId="07F9EA19">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供应商信用查询</w:t>
            </w:r>
          </w:p>
        </w:tc>
        <w:tc>
          <w:tcPr>
            <w:tcW w:w="7377" w:type="dxa"/>
            <w:tcBorders>
              <w:top w:val="single" w:color="auto" w:sz="4" w:space="0"/>
              <w:left w:val="single" w:color="auto" w:sz="4" w:space="0"/>
              <w:bottom w:val="single" w:color="auto" w:sz="4" w:space="0"/>
              <w:right w:val="single" w:color="auto" w:sz="4" w:space="0"/>
            </w:tcBorders>
            <w:noWrap/>
            <w:vAlign w:val="center"/>
          </w:tcPr>
          <w:p w14:paraId="30340AF4">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4"/>
                <w:highlight w:val="none"/>
              </w:rPr>
              <w:t>1</w:t>
            </w:r>
            <w:r>
              <w:rPr>
                <w:rFonts w:hint="eastAsia" w:ascii="宋体" w:hAnsi="宋体" w:cs="宋体"/>
                <w:color w:val="auto"/>
                <w:kern w:val="0"/>
                <w:sz w:val="22"/>
                <w:szCs w:val="22"/>
                <w:highlight w:val="none"/>
              </w:rPr>
              <w:t>.投标供应商信用信息查询的查询渠道:</w:t>
            </w:r>
          </w:p>
          <w:p w14:paraId="42874D17">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“信用中国”(www.creditchina.gov.cn)；</w:t>
            </w:r>
          </w:p>
          <w:p w14:paraId="58060E41">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“中国政府采购网”（http://www.ccgp.gov.cn）</w:t>
            </w:r>
          </w:p>
          <w:p w14:paraId="6E38AAAE">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2.投标供应商信用信息查询截止时点：本项目投标截止时间。</w:t>
            </w:r>
          </w:p>
          <w:p w14:paraId="7AF8064D">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3.投标供应商信用信息查询记录和证据留存的具体方式：网页截图打印；</w:t>
            </w:r>
          </w:p>
          <w:p w14:paraId="48E34C81">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4.信用信息的使用规则：对列入失信被执行人、重大税收违法失信主体、政府采购严重违法失信行为记录名单的投标人，其投标做无效投标处理。</w:t>
            </w:r>
          </w:p>
        </w:tc>
      </w:tr>
      <w:tr w14:paraId="4C8D6D1D">
        <w:tblPrEx>
          <w:tblCellMar>
            <w:top w:w="0" w:type="dxa"/>
            <w:left w:w="108" w:type="dxa"/>
            <w:bottom w:w="0" w:type="dxa"/>
            <w:right w:w="108" w:type="dxa"/>
          </w:tblCellMar>
        </w:tblPrEx>
        <w:trPr>
          <w:trHeight w:val="1967"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281BAFE7">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34</w:t>
            </w:r>
          </w:p>
        </w:tc>
        <w:tc>
          <w:tcPr>
            <w:tcW w:w="1884" w:type="dxa"/>
            <w:tcBorders>
              <w:top w:val="single" w:color="auto" w:sz="4" w:space="0"/>
              <w:left w:val="single" w:color="auto" w:sz="4" w:space="0"/>
              <w:bottom w:val="single" w:color="auto" w:sz="4" w:space="0"/>
              <w:right w:val="single" w:color="auto" w:sz="4" w:space="0"/>
            </w:tcBorders>
            <w:noWrap/>
            <w:vAlign w:val="center"/>
          </w:tcPr>
          <w:p w14:paraId="51EE0B0A">
            <w:pPr>
              <w:widowControl/>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合同备案</w:t>
            </w:r>
          </w:p>
        </w:tc>
        <w:tc>
          <w:tcPr>
            <w:tcW w:w="7377" w:type="dxa"/>
            <w:tcBorders>
              <w:top w:val="single" w:color="auto" w:sz="4" w:space="0"/>
              <w:left w:val="single" w:color="auto" w:sz="4" w:space="0"/>
              <w:bottom w:val="single" w:color="auto" w:sz="4" w:space="0"/>
              <w:right w:val="single" w:color="auto" w:sz="4" w:space="0"/>
            </w:tcBorders>
            <w:noWrap/>
            <w:vAlign w:val="center"/>
          </w:tcPr>
          <w:p w14:paraId="48CBCAB9">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1.中标供应商须在发出中标通知书之日起30日历天内与采购人签订合同。</w:t>
            </w:r>
          </w:p>
          <w:p w14:paraId="479E3E6E">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2.中标供应商与采购人签订合同后, 2日历天内将合同原件扫描件电子版发给浙江同信工程项目管理有限公司：邮箱：895900692@qq.com；</w:t>
            </w:r>
          </w:p>
          <w:p w14:paraId="617E8C68">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3.本项目政府采购合同按规定在浙江政府采购网予以公告</w:t>
            </w:r>
          </w:p>
          <w:p w14:paraId="1B125A25">
            <w:pPr>
              <w:widowControl/>
              <w:tabs>
                <w:tab w:val="left" w:pos="-360"/>
              </w:tabs>
              <w:autoSpaceDE w:val="0"/>
              <w:autoSpaceDN w:val="0"/>
              <w:spacing w:line="360" w:lineRule="exact"/>
              <w:ind w:right="-34" w:firstLine="220" w:firstLineChars="1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http://zfcg.czt.zj.gov.cn/</w:t>
            </w:r>
            <w:r>
              <w:rPr>
                <w:rFonts w:hint="eastAsia" w:ascii="宋体" w:hAnsi="宋体" w:cs="宋体"/>
                <w:color w:val="auto"/>
                <w:kern w:val="0"/>
                <w:sz w:val="22"/>
                <w:szCs w:val="22"/>
                <w:highlight w:val="none"/>
              </w:rPr>
              <w:t>）。</w:t>
            </w:r>
          </w:p>
        </w:tc>
      </w:tr>
      <w:tr w14:paraId="1ECF3C99">
        <w:tblPrEx>
          <w:tblCellMar>
            <w:top w:w="0" w:type="dxa"/>
            <w:left w:w="108" w:type="dxa"/>
            <w:bottom w:w="0" w:type="dxa"/>
            <w:right w:w="108" w:type="dxa"/>
          </w:tblCellMar>
        </w:tblPrEx>
        <w:trPr>
          <w:trHeight w:val="1184"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4D9CCA4D">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35</w:t>
            </w:r>
          </w:p>
        </w:tc>
        <w:tc>
          <w:tcPr>
            <w:tcW w:w="1884" w:type="dxa"/>
            <w:tcBorders>
              <w:top w:val="single" w:color="auto" w:sz="4" w:space="0"/>
              <w:left w:val="single" w:color="auto" w:sz="4" w:space="0"/>
              <w:bottom w:val="single" w:color="auto" w:sz="4" w:space="0"/>
              <w:right w:val="single" w:color="auto" w:sz="4" w:space="0"/>
            </w:tcBorders>
            <w:noWrap/>
            <w:vAlign w:val="center"/>
          </w:tcPr>
          <w:p w14:paraId="48208E37">
            <w:pPr>
              <w:widowControl/>
              <w:spacing w:line="360" w:lineRule="exact"/>
              <w:jc w:val="center"/>
              <w:rPr>
                <w:rFonts w:ascii="宋体" w:hAnsi="宋体" w:cs="宋体"/>
                <w:color w:val="auto"/>
                <w:kern w:val="0"/>
                <w:szCs w:val="21"/>
                <w:highlight w:val="none"/>
                <w:lang w:val="zh-CN"/>
              </w:rPr>
            </w:pPr>
            <w:r>
              <w:rPr>
                <w:rFonts w:hint="eastAsia" w:ascii="宋体" w:hAnsi="宋体" w:cs="宋体"/>
                <w:color w:val="auto"/>
                <w:szCs w:val="21"/>
                <w:highlight w:val="none"/>
              </w:rPr>
              <w:t>合同履约管理</w:t>
            </w:r>
          </w:p>
        </w:tc>
        <w:tc>
          <w:tcPr>
            <w:tcW w:w="7377" w:type="dxa"/>
            <w:tcBorders>
              <w:top w:val="single" w:color="auto" w:sz="4" w:space="0"/>
              <w:left w:val="single" w:color="auto" w:sz="4" w:space="0"/>
              <w:bottom w:val="single" w:color="auto" w:sz="4" w:space="0"/>
              <w:right w:val="single" w:color="auto" w:sz="4" w:space="0"/>
            </w:tcBorders>
            <w:noWrap/>
            <w:vAlign w:val="center"/>
          </w:tcPr>
          <w:p w14:paraId="718FC789">
            <w:pPr>
              <w:widowControl/>
              <w:spacing w:line="360" w:lineRule="exact"/>
              <w:jc w:val="left"/>
              <w:rPr>
                <w:rFonts w:ascii="宋体" w:hAnsi="宋体" w:cs="宋体"/>
                <w:color w:val="auto"/>
                <w:kern w:val="0"/>
                <w:szCs w:val="21"/>
                <w:highlight w:val="none"/>
                <w:lang w:val="zh-CN"/>
              </w:rPr>
            </w:pPr>
            <w:r>
              <w:rPr>
                <w:rFonts w:hint="eastAsia" w:ascii="宋体" w:hAnsi="宋体" w:cs="宋体"/>
                <w:color w:val="auto"/>
                <w:szCs w:val="21"/>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5C7B325D">
        <w:tblPrEx>
          <w:tblCellMar>
            <w:top w:w="0" w:type="dxa"/>
            <w:left w:w="108" w:type="dxa"/>
            <w:bottom w:w="0" w:type="dxa"/>
            <w:right w:w="108" w:type="dxa"/>
          </w:tblCellMar>
        </w:tblPrEx>
        <w:trPr>
          <w:trHeight w:val="2358"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47040196">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c>
          <w:tcPr>
            <w:tcW w:w="1884" w:type="dxa"/>
            <w:tcBorders>
              <w:top w:val="single" w:color="auto" w:sz="4" w:space="0"/>
              <w:left w:val="single" w:color="auto" w:sz="4" w:space="0"/>
              <w:bottom w:val="single" w:color="auto" w:sz="4" w:space="0"/>
              <w:right w:val="single" w:color="auto" w:sz="4" w:space="0"/>
            </w:tcBorders>
            <w:noWrap/>
            <w:vAlign w:val="center"/>
          </w:tcPr>
          <w:p w14:paraId="37E2D547">
            <w:pPr>
              <w:widowControl/>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免责声明</w:t>
            </w:r>
          </w:p>
        </w:tc>
        <w:tc>
          <w:tcPr>
            <w:tcW w:w="7377" w:type="dxa"/>
            <w:tcBorders>
              <w:top w:val="single" w:color="auto" w:sz="4" w:space="0"/>
              <w:left w:val="single" w:color="auto" w:sz="4" w:space="0"/>
              <w:bottom w:val="single" w:color="auto" w:sz="4" w:space="0"/>
              <w:right w:val="single" w:color="auto" w:sz="4" w:space="0"/>
            </w:tcBorders>
            <w:noWrap/>
            <w:vAlign w:val="center"/>
          </w:tcPr>
          <w:p w14:paraId="03253F1C">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0BC0BAEF">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71DFEA29">
        <w:tblPrEx>
          <w:tblCellMar>
            <w:top w:w="0" w:type="dxa"/>
            <w:left w:w="108" w:type="dxa"/>
            <w:bottom w:w="0" w:type="dxa"/>
            <w:right w:w="108" w:type="dxa"/>
          </w:tblCellMar>
        </w:tblPrEx>
        <w:trPr>
          <w:trHeight w:val="3141"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44A116CE">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37</w:t>
            </w:r>
          </w:p>
        </w:tc>
        <w:tc>
          <w:tcPr>
            <w:tcW w:w="1884" w:type="dxa"/>
            <w:tcBorders>
              <w:top w:val="single" w:color="auto" w:sz="4" w:space="0"/>
              <w:left w:val="single" w:color="auto" w:sz="4" w:space="0"/>
              <w:bottom w:val="single" w:color="auto" w:sz="4" w:space="0"/>
              <w:right w:val="single" w:color="auto" w:sz="4" w:space="0"/>
            </w:tcBorders>
            <w:noWrap/>
            <w:vAlign w:val="center"/>
          </w:tcPr>
          <w:p w14:paraId="7EE45E8E">
            <w:pPr>
              <w:widowControl/>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377" w:type="dxa"/>
            <w:tcBorders>
              <w:top w:val="single" w:color="auto" w:sz="4" w:space="0"/>
              <w:left w:val="single" w:color="auto" w:sz="4" w:space="0"/>
              <w:bottom w:val="single" w:color="auto" w:sz="4" w:space="0"/>
              <w:right w:val="single" w:color="auto" w:sz="4" w:space="0"/>
            </w:tcBorders>
            <w:noWrap/>
            <w:vAlign w:val="center"/>
          </w:tcPr>
          <w:p w14:paraId="1BCE2406">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构成本采购文件的各个组成文件应互为解释，互为说明；</w:t>
            </w:r>
          </w:p>
          <w:p w14:paraId="54336D85">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如有不明确或不一致，构成合同文件组成内容的，以合同文件约定内容为准，且以专用合同条款约定的合同文件优先顺序解释；</w:t>
            </w:r>
          </w:p>
          <w:p w14:paraId="2D4624B5">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仅适用于招标投标阶段的约定，按招标公告、投标供应商须知、评标办法、投标文件格式的先后顺序解释；</w:t>
            </w:r>
          </w:p>
          <w:p w14:paraId="001D54D9">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同一文件中就同一事项的约定不一致的，以逻辑顺序在后者为准；</w:t>
            </w:r>
          </w:p>
          <w:p w14:paraId="6F087C84">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同一文件不同版本之间有不一致的，以形成时间在后者为准。</w:t>
            </w:r>
          </w:p>
          <w:p w14:paraId="50AAECEA">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按本款前述约定仍不能形成结论的，由采购人负责解释。</w:t>
            </w:r>
          </w:p>
        </w:tc>
      </w:tr>
      <w:tr w14:paraId="725A06CB">
        <w:tblPrEx>
          <w:tblCellMar>
            <w:top w:w="0" w:type="dxa"/>
            <w:left w:w="108" w:type="dxa"/>
            <w:bottom w:w="0" w:type="dxa"/>
            <w:right w:w="108" w:type="dxa"/>
          </w:tblCellMar>
        </w:tblPrEx>
        <w:trPr>
          <w:trHeight w:val="2749"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26023EDA">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38</w:t>
            </w:r>
          </w:p>
        </w:tc>
        <w:tc>
          <w:tcPr>
            <w:tcW w:w="1884" w:type="dxa"/>
            <w:tcBorders>
              <w:top w:val="single" w:color="auto" w:sz="4" w:space="0"/>
              <w:left w:val="single" w:color="auto" w:sz="4" w:space="0"/>
              <w:bottom w:val="single" w:color="auto" w:sz="4" w:space="0"/>
              <w:right w:val="single" w:color="auto" w:sz="4" w:space="0"/>
            </w:tcBorders>
            <w:noWrap/>
            <w:vAlign w:val="center"/>
          </w:tcPr>
          <w:p w14:paraId="38A3B7D8">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其他事项</w:t>
            </w:r>
          </w:p>
        </w:tc>
        <w:tc>
          <w:tcPr>
            <w:tcW w:w="7377" w:type="dxa"/>
            <w:tcBorders>
              <w:top w:val="single" w:color="auto" w:sz="4" w:space="0"/>
              <w:left w:val="single" w:color="auto" w:sz="4" w:space="0"/>
              <w:bottom w:val="single" w:color="auto" w:sz="4" w:space="0"/>
              <w:right w:val="single" w:color="auto" w:sz="4" w:space="0"/>
            </w:tcBorders>
            <w:noWrap/>
            <w:vAlign w:val="center"/>
          </w:tcPr>
          <w:p w14:paraId="72CB7739">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1、本采购文件中有关时间安排如有不一致的，一律以本“投标人须知前附表”为准；</w:t>
            </w:r>
          </w:p>
          <w:p w14:paraId="107FE039">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2、本采购文件涉及的时间为“北京时间”；</w:t>
            </w:r>
          </w:p>
          <w:p w14:paraId="0A184184">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3、本采购文件涉及的货币为“人民币”；</w:t>
            </w:r>
          </w:p>
          <w:p w14:paraId="5FF3ECE1">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4、同级采购监督部门：温州经济技术开发区财政局，</w:t>
            </w:r>
          </w:p>
          <w:p w14:paraId="414EC5FD">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 </w:t>
            </w:r>
          </w:p>
          <w:p w14:paraId="3AA48DF6">
            <w:pPr>
              <w:widowControl/>
              <w:tabs>
                <w:tab w:val="left" w:pos="-360"/>
              </w:tabs>
              <w:autoSpaceDE w:val="0"/>
              <w:autoSpaceDN w:val="0"/>
              <w:spacing w:line="360" w:lineRule="exact"/>
              <w:ind w:right="-34"/>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监督投诉电话： 0577-86998861</w:t>
            </w:r>
          </w:p>
        </w:tc>
      </w:tr>
      <w:tr w14:paraId="1D36AB3E">
        <w:tblPrEx>
          <w:tblCellMar>
            <w:top w:w="0" w:type="dxa"/>
            <w:left w:w="108" w:type="dxa"/>
            <w:bottom w:w="0" w:type="dxa"/>
            <w:right w:w="108" w:type="dxa"/>
          </w:tblCellMar>
        </w:tblPrEx>
        <w:trPr>
          <w:trHeight w:val="2630"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14:paraId="71E7B18E">
            <w:pPr>
              <w:widowControl/>
              <w:tabs>
                <w:tab w:val="left" w:pos="-360"/>
              </w:tabs>
              <w:autoSpaceDE w:val="0"/>
              <w:autoSpaceDN w:val="0"/>
              <w:spacing w:line="360" w:lineRule="exact"/>
              <w:ind w:right="-34"/>
              <w:jc w:val="center"/>
              <w:textAlignment w:val="bottom"/>
              <w:rPr>
                <w:rFonts w:ascii="宋体" w:hAnsi="宋体" w:cs="宋体"/>
                <w:color w:val="auto"/>
                <w:kern w:val="0"/>
                <w:sz w:val="22"/>
                <w:szCs w:val="22"/>
                <w:highlight w:val="none"/>
              </w:rPr>
            </w:pPr>
          </w:p>
        </w:tc>
        <w:tc>
          <w:tcPr>
            <w:tcW w:w="9261" w:type="dxa"/>
            <w:gridSpan w:val="2"/>
            <w:tcBorders>
              <w:top w:val="single" w:color="auto" w:sz="4" w:space="0"/>
              <w:left w:val="single" w:color="auto" w:sz="4" w:space="0"/>
              <w:bottom w:val="single" w:color="auto" w:sz="4" w:space="0"/>
              <w:right w:val="single" w:color="auto" w:sz="4" w:space="0"/>
            </w:tcBorders>
            <w:noWrap/>
            <w:vAlign w:val="center"/>
          </w:tcPr>
          <w:p w14:paraId="0FC2F9DB">
            <w:pPr>
              <w:widowControl/>
              <w:tabs>
                <w:tab w:val="left" w:pos="-360"/>
              </w:tabs>
              <w:autoSpaceDE w:val="0"/>
              <w:autoSpaceDN w:val="0"/>
              <w:spacing w:line="360" w:lineRule="exact"/>
              <w:ind w:right="-34"/>
              <w:textAlignment w:val="bottom"/>
              <w:rPr>
                <w:color w:val="auto"/>
                <w:highlight w:val="none"/>
              </w:rPr>
            </w:pPr>
            <w:r>
              <w:rPr>
                <w:rFonts w:hint="eastAsia"/>
                <w:color w:val="auto"/>
                <w:highlight w:val="none"/>
              </w:rPr>
              <w:t>注意事项：</w:t>
            </w:r>
          </w:p>
          <w:p w14:paraId="63F9ADB1">
            <w:pPr>
              <w:widowControl/>
              <w:tabs>
                <w:tab w:val="left" w:pos="-360"/>
              </w:tabs>
              <w:autoSpaceDE w:val="0"/>
              <w:autoSpaceDN w:val="0"/>
              <w:spacing w:line="360" w:lineRule="exact"/>
              <w:ind w:right="-34"/>
              <w:textAlignment w:val="bottom"/>
              <w:rPr>
                <w:color w:val="auto"/>
                <w:highlight w:val="none"/>
              </w:rPr>
            </w:pPr>
            <w:r>
              <w:rPr>
                <w:rFonts w:hint="eastAsia"/>
                <w:color w:val="auto"/>
                <w:highlight w:val="none"/>
              </w:rPr>
              <w:t>（1）</w:t>
            </w:r>
            <w:r>
              <w:rPr>
                <w:color w:val="auto"/>
                <w:highlight w:val="none"/>
              </w:rPr>
              <w:t>投标人不必到开标现场，自行在公司完成传输、解密等事宜。</w:t>
            </w:r>
          </w:p>
          <w:p w14:paraId="7895DA09">
            <w:pPr>
              <w:widowControl/>
              <w:tabs>
                <w:tab w:val="left" w:pos="-360"/>
              </w:tabs>
              <w:autoSpaceDE w:val="0"/>
              <w:autoSpaceDN w:val="0"/>
              <w:spacing w:line="360" w:lineRule="exact"/>
              <w:ind w:right="-34"/>
              <w:textAlignment w:val="bottom"/>
              <w:rPr>
                <w:color w:val="auto"/>
                <w:highlight w:val="none"/>
              </w:rPr>
            </w:pPr>
            <w:r>
              <w:rPr>
                <w:rFonts w:hint="eastAsia"/>
                <w:color w:val="auto"/>
                <w:highlight w:val="none"/>
              </w:rPr>
              <w:t>（2）请务必确保投标文件制作客户端为最新版本，旧版本可能导致投标文件解密失败。</w:t>
            </w:r>
          </w:p>
          <w:p w14:paraId="4E9BBD94">
            <w:pPr>
              <w:widowControl/>
              <w:tabs>
                <w:tab w:val="left" w:pos="-360"/>
              </w:tabs>
              <w:autoSpaceDE w:val="0"/>
              <w:autoSpaceDN w:val="0"/>
              <w:spacing w:line="360" w:lineRule="exact"/>
              <w:ind w:right="-34"/>
              <w:textAlignment w:val="bottom"/>
              <w:rPr>
                <w:color w:val="auto"/>
                <w:highlight w:val="none"/>
              </w:rPr>
            </w:pPr>
            <w:r>
              <w:rPr>
                <w:rFonts w:hint="eastAsia"/>
                <w:color w:val="auto"/>
                <w:highlight w:val="none"/>
              </w:rPr>
              <w:t>（3）请务必确保投标文件制作时所用的 CA 锁与投标文件解密时的 CA 锁为同一把，否则可能导致投标文件解密失败。</w:t>
            </w:r>
          </w:p>
          <w:p w14:paraId="6BD26414">
            <w:pPr>
              <w:widowControl/>
              <w:tabs>
                <w:tab w:val="left" w:pos="-360"/>
              </w:tabs>
              <w:autoSpaceDE w:val="0"/>
              <w:autoSpaceDN w:val="0"/>
              <w:spacing w:line="360" w:lineRule="exact"/>
              <w:ind w:right="-34"/>
              <w:textAlignment w:val="bottom"/>
              <w:rPr>
                <w:color w:val="auto"/>
                <w:highlight w:val="none"/>
              </w:rPr>
            </w:pPr>
            <w:r>
              <w:rPr>
                <w:rFonts w:hint="eastAsia"/>
                <w:color w:val="auto"/>
                <w:highlight w:val="none"/>
              </w:rPr>
              <w:t>（4）在投标文件解密前，请务必检验 CA 锁与所用电脑的兼容性，部分电脑因 CA 驱动未正常安装、USB 接口兼容性差等原因可能造成投标文件解密失败。</w:t>
            </w:r>
          </w:p>
        </w:tc>
      </w:tr>
    </w:tbl>
    <w:p w14:paraId="12984AE2">
      <w:pPr>
        <w:pStyle w:val="5"/>
        <w:tabs>
          <w:tab w:val="clear" w:pos="840"/>
        </w:tabs>
        <w:adjustRightInd/>
        <w:snapToGrid/>
        <w:spacing w:before="120" w:after="120" w:line="460" w:lineRule="exact"/>
        <w:jc w:val="center"/>
        <w:rPr>
          <w:rFonts w:ascii="新宋体" w:hAnsi="新宋体" w:eastAsia="新宋体"/>
          <w:bCs/>
          <w:color w:val="auto"/>
          <w:sz w:val="32"/>
          <w:szCs w:val="32"/>
          <w:highlight w:val="none"/>
        </w:rPr>
      </w:pPr>
      <w:bookmarkStart w:id="13" w:name="_Toc63412051"/>
      <w:r>
        <w:rPr>
          <w:rFonts w:hint="eastAsia" w:ascii="新宋体" w:hAnsi="新宋体" w:eastAsia="新宋体"/>
          <w:bCs/>
          <w:color w:val="auto"/>
          <w:sz w:val="32"/>
          <w:szCs w:val="32"/>
          <w:highlight w:val="none"/>
        </w:rPr>
        <w:br w:type="page"/>
      </w:r>
      <w:r>
        <w:rPr>
          <w:rFonts w:hint="eastAsia" w:ascii="新宋体" w:hAnsi="新宋体" w:eastAsia="新宋体"/>
          <w:bCs/>
          <w:color w:val="auto"/>
          <w:sz w:val="32"/>
          <w:szCs w:val="32"/>
          <w:highlight w:val="none"/>
        </w:rPr>
        <w:t>第一部分   投标供应商须知</w:t>
      </w:r>
      <w:bookmarkEnd w:id="13"/>
    </w:p>
    <w:p w14:paraId="152E7CF0">
      <w:pPr>
        <w:pStyle w:val="6"/>
        <w:spacing w:line="500" w:lineRule="exact"/>
        <w:jc w:val="center"/>
        <w:rPr>
          <w:rFonts w:ascii="新宋体" w:hAnsi="新宋体" w:eastAsia="新宋体"/>
          <w:color w:val="auto"/>
          <w:sz w:val="24"/>
          <w:szCs w:val="24"/>
          <w:highlight w:val="none"/>
        </w:rPr>
      </w:pPr>
      <w:bookmarkStart w:id="14" w:name="_Toc63412052"/>
      <w:r>
        <w:rPr>
          <w:rFonts w:hint="eastAsia" w:ascii="新宋体" w:hAnsi="新宋体" w:eastAsia="新宋体"/>
          <w:color w:val="auto"/>
          <w:sz w:val="24"/>
          <w:szCs w:val="24"/>
          <w:highlight w:val="none"/>
        </w:rPr>
        <w:t>一、 说  明</w:t>
      </w:r>
      <w:bookmarkEnd w:id="14"/>
    </w:p>
    <w:p w14:paraId="43D8DAD9">
      <w:pPr>
        <w:tabs>
          <w:tab w:val="left" w:pos="360"/>
        </w:tabs>
        <w:spacing w:line="44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  本次招标是按照《中华人民共和国政府采购法》、《采购法实施条例》、《政府采购货物和服务招标投标管理办法》、《浙江省政府采购项目电子交易管理暂行办法》等有关法律法规组织和实施。</w:t>
      </w:r>
    </w:p>
    <w:p w14:paraId="0D608074">
      <w:pPr>
        <w:tabs>
          <w:tab w:val="left" w:pos="180"/>
        </w:tabs>
        <w:spacing w:line="440" w:lineRule="exact"/>
        <w:ind w:left="-2" w:leftChars="-1"/>
        <w:rPr>
          <w:rFonts w:ascii="新宋体" w:hAnsi="新宋体"/>
          <w:b/>
          <w:color w:val="auto"/>
          <w:sz w:val="22"/>
          <w:szCs w:val="22"/>
          <w:highlight w:val="none"/>
        </w:rPr>
      </w:pPr>
      <w:r>
        <w:rPr>
          <w:rFonts w:hint="eastAsia" w:ascii="新宋体" w:hAnsi="新宋体" w:eastAsia="新宋体"/>
          <w:b/>
          <w:color w:val="auto"/>
          <w:sz w:val="22"/>
          <w:szCs w:val="22"/>
          <w:highlight w:val="none"/>
        </w:rPr>
        <w:t xml:space="preserve">2．  </w:t>
      </w:r>
      <w:r>
        <w:rPr>
          <w:rFonts w:hint="eastAsia" w:ascii="宋体" w:hAnsi="宋体" w:cs="宋体"/>
          <w:color w:val="auto"/>
          <w:kern w:val="0"/>
          <w:sz w:val="22"/>
          <w:szCs w:val="22"/>
          <w:highlight w:val="none"/>
        </w:rPr>
        <w:t>采购人和采购代理机构：见投标须知前附表</w:t>
      </w:r>
    </w:p>
    <w:p w14:paraId="71AB258C">
      <w:pPr>
        <w:spacing w:line="420" w:lineRule="exact"/>
        <w:ind w:left="552" w:hanging="552" w:hangingChars="250"/>
        <w:jc w:val="lef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3.  ▲</w:t>
      </w:r>
      <w:r>
        <w:rPr>
          <w:rFonts w:hint="eastAsia" w:ascii="新宋体" w:hAnsi="新宋体" w:eastAsia="新宋体"/>
          <w:b/>
          <w:color w:val="auto"/>
          <w:sz w:val="22"/>
          <w:szCs w:val="22"/>
          <w:highlight w:val="none"/>
          <w:u w:val="single"/>
        </w:rPr>
        <w:t>合格投标供应商</w:t>
      </w:r>
      <w:r>
        <w:rPr>
          <w:rFonts w:hint="eastAsia" w:ascii="宋体" w:hAnsi="宋体" w:cs="宋体"/>
          <w:color w:val="auto"/>
          <w:kern w:val="0"/>
          <w:sz w:val="22"/>
          <w:szCs w:val="22"/>
          <w:highlight w:val="none"/>
        </w:rPr>
        <w:t>：见投标须知前附表</w:t>
      </w:r>
    </w:p>
    <w:p w14:paraId="18CDABAB">
      <w:pPr>
        <w:spacing w:line="440" w:lineRule="exac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4.   投标供应商代表</w:t>
      </w:r>
    </w:p>
    <w:p w14:paraId="6AA41959">
      <w:pPr>
        <w:spacing w:line="44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4.1  指全权代表投标供应商参加投标活动并签署投标文件的人。</w:t>
      </w:r>
      <w:r>
        <w:rPr>
          <w:rFonts w:hint="eastAsia" w:ascii="新宋体" w:hAnsi="新宋体" w:eastAsia="新宋体"/>
          <w:color w:val="auto"/>
          <w:sz w:val="22"/>
          <w:highlight w:val="none"/>
        </w:rPr>
        <w:t>投标供应商代表可以是法定代表人或其有效授权的本单位人员，</w:t>
      </w:r>
      <w:r>
        <w:rPr>
          <w:rFonts w:hint="eastAsia" w:ascii="新宋体" w:hAnsi="新宋体" w:eastAsia="新宋体"/>
          <w:color w:val="auto"/>
          <w:sz w:val="22"/>
          <w:szCs w:val="22"/>
          <w:highlight w:val="none"/>
        </w:rPr>
        <w:t>▲</w:t>
      </w:r>
      <w:r>
        <w:rPr>
          <w:rFonts w:hint="eastAsia" w:ascii="新宋体" w:hAnsi="新宋体" w:eastAsia="新宋体"/>
          <w:b/>
          <w:color w:val="auto"/>
          <w:sz w:val="22"/>
          <w:szCs w:val="22"/>
          <w:highlight w:val="none"/>
          <w:u w:val="single"/>
        </w:rPr>
        <w:t>如果投标供应商代表不是法定代表人，须持有有效的《法定代表人授权书》（见附件统一格式），否则授权代表身份不予认可，投标无效。</w:t>
      </w:r>
    </w:p>
    <w:p w14:paraId="443CF6EC">
      <w:pPr>
        <w:spacing w:line="420" w:lineRule="exac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5</w:t>
      </w:r>
      <w:r>
        <w:rPr>
          <w:rFonts w:hint="eastAsia" w:ascii="新宋体" w:hAnsi="新宋体" w:eastAsia="新宋体"/>
          <w:b/>
          <w:color w:val="auto"/>
          <w:spacing w:val="100"/>
          <w:sz w:val="22"/>
          <w:szCs w:val="22"/>
          <w:highlight w:val="none"/>
        </w:rPr>
        <w:t xml:space="preserve">. </w:t>
      </w:r>
      <w:r>
        <w:rPr>
          <w:rFonts w:hint="eastAsia" w:ascii="新宋体" w:hAnsi="新宋体" w:eastAsia="新宋体"/>
          <w:b/>
          <w:color w:val="auto"/>
          <w:sz w:val="22"/>
          <w:szCs w:val="22"/>
          <w:highlight w:val="none"/>
        </w:rPr>
        <w:t>投标费用</w:t>
      </w:r>
    </w:p>
    <w:p w14:paraId="6E8AEB3E">
      <w:pPr>
        <w:spacing w:line="42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5.1  投标供应商应承担所有与准备和参加投标有关费用，不论投标的结果如何，采购人和招标代理机构（以下统称为招标采购单位）均无义务和责任承担这些费用。</w:t>
      </w:r>
    </w:p>
    <w:p w14:paraId="0EBA2566">
      <w:pPr>
        <w:spacing w:line="42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 ▲</w:t>
      </w:r>
      <w:r>
        <w:rPr>
          <w:rFonts w:hint="eastAsia" w:ascii="新宋体" w:hAnsi="新宋体" w:eastAsia="新宋体"/>
          <w:color w:val="auto"/>
          <w:sz w:val="22"/>
          <w:szCs w:val="22"/>
          <w:highlight w:val="none"/>
          <w:u w:val="single"/>
        </w:rPr>
        <w:t>单位负责人为同一人或者存在直接控股、管理关系的不同供应商，不得参加同一合同项下的政府采购活动；公益一类事业单位不属于政府购买服务的承接主体，不得参与承接购买服务。</w:t>
      </w:r>
    </w:p>
    <w:p w14:paraId="4EE9F026">
      <w:pPr>
        <w:spacing w:line="42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   如无特别说明，</w:t>
      </w:r>
      <w:r>
        <w:rPr>
          <w:rFonts w:ascii="新宋体" w:hAnsi="新宋体" w:eastAsia="新宋体"/>
          <w:color w:val="auto"/>
          <w:sz w:val="22"/>
          <w:szCs w:val="22"/>
          <w:highlight w:val="none"/>
        </w:rPr>
        <w:t>投标</w:t>
      </w:r>
      <w:r>
        <w:rPr>
          <w:rFonts w:hint="eastAsia" w:ascii="新宋体" w:hAnsi="新宋体" w:eastAsia="新宋体"/>
          <w:color w:val="auto"/>
          <w:sz w:val="22"/>
          <w:szCs w:val="22"/>
          <w:highlight w:val="none"/>
        </w:rPr>
        <w:t>供应商参加本项目</w:t>
      </w:r>
      <w:r>
        <w:rPr>
          <w:rFonts w:ascii="新宋体" w:hAnsi="新宋体" w:eastAsia="新宋体"/>
          <w:color w:val="auto"/>
          <w:sz w:val="22"/>
          <w:szCs w:val="22"/>
          <w:highlight w:val="none"/>
        </w:rPr>
        <w:t>投标所使用的资格、信誉、荣誉、业绩与企业认证</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人员必须为</w:t>
      </w:r>
      <w:r>
        <w:rPr>
          <w:rFonts w:hint="eastAsia" w:ascii="新宋体" w:hAnsi="新宋体" w:eastAsia="新宋体"/>
          <w:color w:val="auto"/>
          <w:sz w:val="22"/>
          <w:szCs w:val="22"/>
          <w:highlight w:val="none"/>
        </w:rPr>
        <w:t>其</w:t>
      </w:r>
      <w:r>
        <w:rPr>
          <w:rFonts w:ascii="新宋体" w:hAnsi="新宋体" w:eastAsia="新宋体"/>
          <w:color w:val="auto"/>
          <w:sz w:val="22"/>
          <w:szCs w:val="22"/>
          <w:highlight w:val="none"/>
        </w:rPr>
        <w:t>单位所有。</w:t>
      </w:r>
    </w:p>
    <w:p w14:paraId="5F000308">
      <w:pPr>
        <w:spacing w:line="420" w:lineRule="exact"/>
        <w:ind w:left="550" w:hanging="550" w:hangingChars="250"/>
        <w:rPr>
          <w:rFonts w:ascii="新宋体" w:hAnsi="新宋体" w:eastAsia="新宋体"/>
          <w:b/>
          <w:color w:val="auto"/>
          <w:sz w:val="22"/>
          <w:szCs w:val="22"/>
          <w:highlight w:val="none"/>
          <w:u w:val="single"/>
        </w:rPr>
      </w:pPr>
      <w:r>
        <w:rPr>
          <w:rFonts w:hint="eastAsia" w:ascii="新宋体" w:hAnsi="新宋体" w:eastAsia="新宋体"/>
          <w:color w:val="auto"/>
          <w:sz w:val="22"/>
          <w:szCs w:val="22"/>
          <w:highlight w:val="none"/>
        </w:rPr>
        <w:t>9. ▲</w:t>
      </w:r>
      <w:r>
        <w:rPr>
          <w:rFonts w:hint="eastAsia" w:ascii="新宋体" w:hAnsi="新宋体" w:eastAsia="新宋体"/>
          <w:b/>
          <w:color w:val="auto"/>
          <w:sz w:val="22"/>
          <w:szCs w:val="22"/>
          <w:highlight w:val="none"/>
          <w:u w:val="single"/>
        </w:rPr>
        <w:t>参加本项目投标的供应商必须遵守“诚实信用”原则，并在投标文件中提供《诚信投标承诺书》（见附件统一格式），不提供该承诺书的投标文件将按无效标处理。</w:t>
      </w:r>
    </w:p>
    <w:p w14:paraId="2EC29B46">
      <w:pPr>
        <w:pStyle w:val="3"/>
        <w:rPr>
          <w:rFonts w:eastAsia="新宋体"/>
          <w:color w:val="auto"/>
          <w:highlight w:val="none"/>
        </w:rPr>
      </w:pPr>
    </w:p>
    <w:p w14:paraId="6CABF30C">
      <w:pPr>
        <w:pStyle w:val="6"/>
        <w:spacing w:line="500" w:lineRule="exact"/>
        <w:jc w:val="center"/>
        <w:rPr>
          <w:rFonts w:ascii="新宋体" w:hAnsi="新宋体" w:eastAsia="新宋体"/>
          <w:color w:val="auto"/>
          <w:sz w:val="24"/>
          <w:szCs w:val="24"/>
          <w:highlight w:val="none"/>
        </w:rPr>
      </w:pPr>
      <w:bookmarkStart w:id="15" w:name="_Toc63412053"/>
      <w:r>
        <w:rPr>
          <w:rFonts w:hint="eastAsia" w:ascii="新宋体" w:hAnsi="新宋体" w:eastAsia="新宋体"/>
          <w:color w:val="auto"/>
          <w:sz w:val="24"/>
          <w:szCs w:val="24"/>
          <w:highlight w:val="none"/>
        </w:rPr>
        <w:t xml:space="preserve">二、 </w:t>
      </w:r>
      <w:bookmarkEnd w:id="15"/>
      <w:r>
        <w:rPr>
          <w:rFonts w:hint="eastAsia" w:ascii="新宋体" w:hAnsi="新宋体" w:eastAsia="新宋体"/>
          <w:color w:val="auto"/>
          <w:sz w:val="24"/>
          <w:szCs w:val="24"/>
          <w:highlight w:val="none"/>
        </w:rPr>
        <w:t>采购文件</w:t>
      </w:r>
    </w:p>
    <w:p w14:paraId="4CC39709">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  采购文件由采购文件目录所列内容及相关资料组成。</w:t>
      </w:r>
    </w:p>
    <w:p w14:paraId="09FFA914">
      <w:pPr>
        <w:spacing w:line="440" w:lineRule="exact"/>
        <w:ind w:left="190" w:hanging="190" w:hangingChars="86"/>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  采购文件的澄清或修改</w:t>
      </w:r>
    </w:p>
    <w:p w14:paraId="2DE5F8AC">
      <w:pPr>
        <w:spacing w:line="440" w:lineRule="exact"/>
        <w:ind w:left="539" w:hanging="539" w:hanging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2.1  招标采购单位</w:t>
      </w:r>
      <w:r>
        <w:rPr>
          <w:rFonts w:ascii="新宋体" w:hAnsi="新宋体" w:eastAsia="新宋体"/>
          <w:color w:val="auto"/>
          <w:sz w:val="22"/>
          <w:szCs w:val="22"/>
          <w:highlight w:val="none"/>
        </w:rPr>
        <w:t>可以对已发出的</w:t>
      </w:r>
      <w:r>
        <w:rPr>
          <w:rFonts w:hint="eastAsia" w:ascii="新宋体" w:hAnsi="新宋体" w:eastAsia="新宋体"/>
          <w:color w:val="auto"/>
          <w:sz w:val="22"/>
          <w:szCs w:val="22"/>
          <w:highlight w:val="none"/>
        </w:rPr>
        <w:t>采购文件</w:t>
      </w:r>
      <w:r>
        <w:rPr>
          <w:rFonts w:ascii="新宋体" w:hAnsi="新宋体" w:eastAsia="新宋体"/>
          <w:color w:val="auto"/>
          <w:sz w:val="22"/>
          <w:szCs w:val="22"/>
          <w:highlight w:val="none"/>
        </w:rPr>
        <w:t>进行必要的澄清或者修改。澄清或者修改的内容可能影响投标文件编制的，</w:t>
      </w:r>
      <w:r>
        <w:rPr>
          <w:rFonts w:hint="eastAsia" w:ascii="新宋体" w:hAnsi="新宋体" w:eastAsia="新宋体"/>
          <w:color w:val="auto"/>
          <w:sz w:val="22"/>
          <w:szCs w:val="22"/>
          <w:highlight w:val="none"/>
        </w:rPr>
        <w:t>招标采购单位</w:t>
      </w:r>
      <w:r>
        <w:rPr>
          <w:rFonts w:ascii="新宋体" w:hAnsi="新宋体" w:eastAsia="新宋体"/>
          <w:color w:val="auto"/>
          <w:sz w:val="22"/>
          <w:szCs w:val="22"/>
          <w:highlight w:val="none"/>
        </w:rPr>
        <w:t>应当在</w:t>
      </w:r>
      <w:r>
        <w:rPr>
          <w:rFonts w:hint="eastAsia" w:ascii="宋体" w:hAnsi="宋体" w:cs="宋体"/>
          <w:color w:val="auto"/>
          <w:kern w:val="0"/>
          <w:sz w:val="22"/>
          <w:szCs w:val="22"/>
          <w:highlight w:val="none"/>
        </w:rPr>
        <w:t>投标截止时间</w:t>
      </w:r>
      <w:r>
        <w:rPr>
          <w:rFonts w:ascii="新宋体" w:hAnsi="新宋体" w:eastAsia="新宋体"/>
          <w:color w:val="auto"/>
          <w:sz w:val="22"/>
          <w:szCs w:val="22"/>
          <w:highlight w:val="none"/>
        </w:rPr>
        <w:t>至少15日前，以书面形式</w:t>
      </w:r>
      <w:r>
        <w:rPr>
          <w:rFonts w:hint="eastAsia" w:ascii="新宋体" w:hAnsi="新宋体" w:eastAsia="新宋体"/>
          <w:color w:val="auto"/>
          <w:sz w:val="22"/>
          <w:szCs w:val="22"/>
          <w:highlight w:val="none"/>
        </w:rPr>
        <w:t>（公告，下同）</w:t>
      </w:r>
      <w:r>
        <w:rPr>
          <w:rFonts w:ascii="新宋体" w:hAnsi="新宋体" w:eastAsia="新宋体"/>
          <w:color w:val="auto"/>
          <w:sz w:val="22"/>
          <w:szCs w:val="22"/>
          <w:highlight w:val="none"/>
        </w:rPr>
        <w:t>通知所有获取</w:t>
      </w:r>
      <w:r>
        <w:rPr>
          <w:rFonts w:hint="eastAsia" w:ascii="新宋体" w:hAnsi="新宋体" w:eastAsia="新宋体"/>
          <w:color w:val="auto"/>
          <w:sz w:val="22"/>
          <w:szCs w:val="22"/>
          <w:highlight w:val="none"/>
        </w:rPr>
        <w:t>采购文件</w:t>
      </w:r>
      <w:r>
        <w:rPr>
          <w:rFonts w:ascii="新宋体" w:hAnsi="新宋体" w:eastAsia="新宋体"/>
          <w:color w:val="auto"/>
          <w:sz w:val="22"/>
          <w:szCs w:val="22"/>
          <w:highlight w:val="none"/>
        </w:rPr>
        <w:t>的潜在投标</w:t>
      </w:r>
      <w:r>
        <w:rPr>
          <w:rFonts w:hint="eastAsia" w:ascii="新宋体" w:hAnsi="新宋体" w:eastAsia="新宋体"/>
          <w:color w:val="auto"/>
          <w:sz w:val="22"/>
          <w:szCs w:val="22"/>
          <w:highlight w:val="none"/>
        </w:rPr>
        <w:t>供应商</w:t>
      </w:r>
      <w:r>
        <w:rPr>
          <w:rFonts w:ascii="新宋体" w:hAnsi="新宋体" w:eastAsia="新宋体"/>
          <w:color w:val="auto"/>
          <w:sz w:val="22"/>
          <w:szCs w:val="22"/>
          <w:highlight w:val="none"/>
        </w:rPr>
        <w:t>；不足15日的，</w:t>
      </w:r>
      <w:r>
        <w:rPr>
          <w:rFonts w:hint="eastAsia" w:ascii="新宋体" w:hAnsi="新宋体" w:eastAsia="新宋体"/>
          <w:color w:val="auto"/>
          <w:sz w:val="22"/>
          <w:szCs w:val="22"/>
          <w:highlight w:val="none"/>
        </w:rPr>
        <w:t>招标采购单位</w:t>
      </w:r>
      <w:r>
        <w:rPr>
          <w:rFonts w:ascii="新宋体" w:hAnsi="新宋体" w:eastAsia="新宋体"/>
          <w:color w:val="auto"/>
          <w:sz w:val="22"/>
          <w:szCs w:val="22"/>
          <w:highlight w:val="none"/>
        </w:rPr>
        <w:t>应当顺延提</w:t>
      </w:r>
      <w:r>
        <w:rPr>
          <w:rFonts w:hint="eastAsia" w:ascii="新宋体" w:hAnsi="新宋体" w:eastAsia="新宋体"/>
          <w:color w:val="auto"/>
          <w:sz w:val="22"/>
          <w:szCs w:val="22"/>
          <w:highlight w:val="none"/>
        </w:rPr>
        <w:t>交投标文件截止时间</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该澄清或修改内容为采购文件的组成部分。</w:t>
      </w:r>
    </w:p>
    <w:p w14:paraId="6F0BC3D2">
      <w:pPr>
        <w:spacing w:line="420" w:lineRule="exact"/>
        <w:ind w:left="539" w:hanging="539" w:hanging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2.2  招标代理单位可以视采购的具体情况决定是否延长</w:t>
      </w:r>
      <w:r>
        <w:rPr>
          <w:rFonts w:hint="eastAsia" w:ascii="宋体" w:hAnsi="宋体" w:cs="宋体"/>
          <w:color w:val="auto"/>
          <w:kern w:val="0"/>
          <w:sz w:val="22"/>
          <w:szCs w:val="22"/>
          <w:highlight w:val="none"/>
        </w:rPr>
        <w:t>投标截止时间</w:t>
      </w:r>
      <w:r>
        <w:rPr>
          <w:rFonts w:hint="eastAsia" w:ascii="新宋体" w:hAnsi="新宋体" w:eastAsia="新宋体"/>
          <w:color w:val="auto"/>
          <w:sz w:val="22"/>
          <w:szCs w:val="22"/>
          <w:highlight w:val="none"/>
        </w:rPr>
        <w:t>和开标时间，具体参照2.1条规定。</w:t>
      </w:r>
    </w:p>
    <w:p w14:paraId="2B2BC99C">
      <w:pPr>
        <w:pStyle w:val="6"/>
        <w:spacing w:line="500" w:lineRule="exact"/>
        <w:jc w:val="center"/>
        <w:rPr>
          <w:rFonts w:ascii="新宋体" w:hAnsi="新宋体" w:eastAsia="新宋体"/>
          <w:color w:val="auto"/>
          <w:sz w:val="24"/>
          <w:szCs w:val="24"/>
          <w:highlight w:val="none"/>
        </w:rPr>
      </w:pPr>
      <w:bookmarkStart w:id="16" w:name="_Toc63412054"/>
      <w:r>
        <w:rPr>
          <w:rFonts w:hint="eastAsia" w:ascii="新宋体" w:hAnsi="新宋体" w:eastAsia="新宋体"/>
          <w:color w:val="auto"/>
          <w:sz w:val="24"/>
          <w:szCs w:val="24"/>
          <w:highlight w:val="none"/>
        </w:rPr>
        <w:t>三、 投标文件的编制</w:t>
      </w:r>
      <w:bookmarkEnd w:id="16"/>
    </w:p>
    <w:p w14:paraId="38662609">
      <w:pPr>
        <w:spacing w:line="440" w:lineRule="exact"/>
        <w:ind w:left="539" w:hanging="539" w:hanging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1．  投标供应商应认真阅读采购文件中所有事项、格式、条款和技术规范等。投标供应商没有按照采购文件要求提交全部资料，或者没有仔细阅读采购文件，或者没有对采购文件各个方面做出实质性响应，</w:t>
      </w:r>
      <w:r>
        <w:rPr>
          <w:rFonts w:ascii="新宋体" w:hAnsi="新宋体" w:eastAsia="新宋体"/>
          <w:color w:val="auto"/>
          <w:sz w:val="22"/>
          <w:szCs w:val="22"/>
          <w:highlight w:val="none"/>
        </w:rPr>
        <w:t>是投标供应商的风险</w:t>
      </w:r>
      <w:r>
        <w:rPr>
          <w:rFonts w:hint="eastAsia" w:ascii="新宋体" w:hAnsi="新宋体" w:eastAsia="新宋体"/>
          <w:color w:val="auto"/>
          <w:sz w:val="22"/>
          <w:szCs w:val="22"/>
          <w:highlight w:val="none"/>
        </w:rPr>
        <w:t>，由此造成的一切后果由投标供应商自行承担。</w:t>
      </w:r>
    </w:p>
    <w:p w14:paraId="67D5C11F">
      <w:pPr>
        <w:spacing w:line="440" w:lineRule="exact"/>
        <w:ind w:left="539" w:hanging="539" w:hangingChars="245"/>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 xml:space="preserve">2． </w:t>
      </w:r>
      <w:r>
        <w:rPr>
          <w:rFonts w:hint="eastAsia" w:ascii="新宋体" w:hAnsi="新宋体" w:eastAsia="新宋体"/>
          <w:b/>
          <w:color w:val="auto"/>
          <w:sz w:val="22"/>
          <w:szCs w:val="22"/>
          <w:highlight w:val="none"/>
        </w:rPr>
        <w:t xml:space="preserve"> 投标供应商应保证所提供文件资料的真实性，所有文件资料必须是针对本次投标的。如发现投标单位提供了虚假文件资料，其投标将被拒绝，并自行承担相应的法律责任。</w:t>
      </w:r>
    </w:p>
    <w:p w14:paraId="17F92F20">
      <w:pPr>
        <w:spacing w:line="44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  投标文件组成：</w:t>
      </w:r>
    </w:p>
    <w:p w14:paraId="1FC2EF2D">
      <w:pPr>
        <w:spacing w:line="420" w:lineRule="exact"/>
        <w:ind w:left="629" w:hanging="629" w:hangingChars="286"/>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3.1  投标文件由资格文件、商务技术文件和报价文件三</w:t>
      </w:r>
      <w:r>
        <w:rPr>
          <w:rFonts w:ascii="新宋体" w:hAnsi="新宋体" w:eastAsia="新宋体"/>
          <w:color w:val="auto"/>
          <w:sz w:val="22"/>
          <w:szCs w:val="22"/>
          <w:highlight w:val="none"/>
        </w:rPr>
        <w:t>个部分组成</w:t>
      </w:r>
      <w:r>
        <w:rPr>
          <w:rFonts w:hint="eastAsia" w:ascii="新宋体" w:hAnsi="新宋体" w:eastAsia="新宋体"/>
          <w:color w:val="auto"/>
          <w:sz w:val="22"/>
          <w:szCs w:val="22"/>
          <w:highlight w:val="none"/>
        </w:rPr>
        <w:t>：</w:t>
      </w:r>
    </w:p>
    <w:p w14:paraId="180E9463">
      <w:pPr>
        <w:spacing w:line="400" w:lineRule="exac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（一）资格文件</w:t>
      </w:r>
    </w:p>
    <w:p w14:paraId="53E4D675">
      <w:pPr>
        <w:spacing w:line="40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（1）有效的营业执照(或事业法人登记证书或其它工商等登记证明材料)扫描件</w:t>
      </w:r>
      <w:r>
        <w:rPr>
          <w:rFonts w:hint="eastAsia" w:ascii="宋体" w:hAnsi="宋体" w:cs="新宋体"/>
          <w:b/>
          <w:bCs/>
          <w:color w:val="auto"/>
          <w:sz w:val="22"/>
          <w:szCs w:val="22"/>
          <w:highlight w:val="none"/>
          <w:u w:val="single"/>
        </w:rPr>
        <w:t>加盖公章（即电子签章）</w:t>
      </w:r>
      <w:r>
        <w:rPr>
          <w:rFonts w:hint="eastAsia" w:ascii="新宋体" w:hAnsi="新宋体" w:eastAsia="新宋体"/>
          <w:color w:val="auto"/>
          <w:sz w:val="22"/>
          <w:szCs w:val="22"/>
          <w:highlight w:val="none"/>
        </w:rPr>
        <w:t>；</w:t>
      </w:r>
    </w:p>
    <w:p w14:paraId="18F49101">
      <w:pPr>
        <w:spacing w:line="40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（2）资格条件承诺函                             （附件六-2）</w:t>
      </w:r>
    </w:p>
    <w:p w14:paraId="33C2535C">
      <w:pPr>
        <w:spacing w:line="400" w:lineRule="exact"/>
        <w:ind w:left="550" w:hanging="550" w:hangingChars="250"/>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eastAsia="zh-CN"/>
        </w:rPr>
        <w:t>（</w:t>
      </w:r>
      <w:r>
        <w:rPr>
          <w:rFonts w:hint="eastAsia" w:ascii="新宋体" w:hAnsi="新宋体" w:eastAsia="新宋体" w:cs="Times New Roman"/>
          <w:color w:val="auto"/>
          <w:sz w:val="22"/>
          <w:szCs w:val="22"/>
          <w:highlight w:val="none"/>
          <w:lang w:val="en-US" w:eastAsia="zh-CN"/>
        </w:rPr>
        <w:t>3</w:t>
      </w:r>
      <w:r>
        <w:rPr>
          <w:rFonts w:hint="eastAsia" w:ascii="新宋体" w:hAnsi="新宋体" w:eastAsia="新宋体" w:cs="Times New Roman"/>
          <w:color w:val="auto"/>
          <w:sz w:val="22"/>
          <w:szCs w:val="22"/>
          <w:highlight w:val="none"/>
          <w:lang w:eastAsia="zh-CN"/>
        </w:rPr>
        <w:t>）</w:t>
      </w:r>
      <w:r>
        <w:rPr>
          <w:rFonts w:hint="eastAsia" w:ascii="新宋体" w:hAnsi="新宋体" w:eastAsia="新宋体" w:cs="Times New Roman"/>
          <w:color w:val="auto"/>
          <w:sz w:val="22"/>
          <w:szCs w:val="22"/>
          <w:highlight w:val="none"/>
          <w:lang w:val="en-US" w:eastAsia="zh-CN"/>
        </w:rPr>
        <w:t>中小企业声明函（附件四-1）或残疾人福利性单位声明函（附件四-2）或监狱企业的证明文件；</w:t>
      </w:r>
    </w:p>
    <w:p w14:paraId="72EAF89E">
      <w:pPr>
        <w:spacing w:line="400" w:lineRule="exact"/>
        <w:ind w:left="550" w:hanging="550" w:hangingChars="250"/>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lang w:eastAsia="zh-CN"/>
        </w:rPr>
        <w:t>（</w:t>
      </w:r>
      <w:r>
        <w:rPr>
          <w:rFonts w:hint="eastAsia" w:ascii="新宋体" w:hAnsi="新宋体" w:eastAsia="新宋体" w:cs="Times New Roman"/>
          <w:color w:val="auto"/>
          <w:sz w:val="22"/>
          <w:szCs w:val="22"/>
          <w:highlight w:val="none"/>
          <w:lang w:val="en-US" w:eastAsia="zh-CN"/>
        </w:rPr>
        <w:t>4</w:t>
      </w:r>
      <w:r>
        <w:rPr>
          <w:rFonts w:hint="eastAsia" w:ascii="新宋体" w:hAnsi="新宋体" w:eastAsia="新宋体" w:cs="Times New Roman"/>
          <w:color w:val="auto"/>
          <w:sz w:val="22"/>
          <w:szCs w:val="22"/>
          <w:highlight w:val="none"/>
          <w:lang w:eastAsia="zh-CN"/>
        </w:rPr>
        <w:t>）</w:t>
      </w:r>
      <w:r>
        <w:rPr>
          <w:rFonts w:hint="eastAsia" w:ascii="宋体" w:cs="宋体"/>
          <w:color w:val="auto"/>
          <w:spacing w:val="-11"/>
          <w:sz w:val="22"/>
          <w:highlight w:val="none"/>
        </w:rPr>
        <w:t>至本项目提交投标文件截止时间内任意时间的“信用中国（https://www.creditchina.gov.cn/）”、“中国政府采购网（http://www.ccgp.gov.cn/）”投标人信用查询网页截图（具体结果以开标当日采购人或采购代理机构网页查询结果为准）</w:t>
      </w:r>
    </w:p>
    <w:p w14:paraId="38BD01B4">
      <w:pPr>
        <w:spacing w:line="400" w:lineRule="exact"/>
        <w:ind w:firstLine="440" w:firstLineChars="200"/>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备注：</w:t>
      </w:r>
    </w:p>
    <w:p w14:paraId="23CF2E61">
      <w:pPr>
        <w:spacing w:line="430" w:lineRule="exact"/>
        <w:ind w:firstLine="440" w:firstLineChars="200"/>
        <w:rPr>
          <w:rFonts w:ascii="宋体" w:hAnsi="宋体" w:cs="新宋体"/>
          <w:color w:val="auto"/>
          <w:sz w:val="22"/>
          <w:szCs w:val="22"/>
          <w:highlight w:val="none"/>
        </w:rPr>
      </w:pPr>
      <w:r>
        <w:rPr>
          <w:rFonts w:ascii="宋体" w:hAnsi="宋体" w:cs="新宋体"/>
          <w:color w:val="auto"/>
          <w:sz w:val="22"/>
          <w:szCs w:val="22"/>
          <w:highlight w:val="none"/>
        </w:rPr>
        <w:t>①</w:t>
      </w: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2FC63EA">
      <w:pPr>
        <w:spacing w:line="430" w:lineRule="exact"/>
        <w:ind w:firstLine="442" w:firstLineChars="200"/>
        <w:rPr>
          <w:rFonts w:ascii="宋体" w:hAnsi="宋体" w:cs="新宋体"/>
          <w:color w:val="auto"/>
          <w:sz w:val="22"/>
          <w:szCs w:val="22"/>
          <w:highlight w:val="none"/>
        </w:rPr>
      </w:pPr>
      <w:r>
        <w:rPr>
          <w:rFonts w:ascii="宋体" w:hAnsi="宋体" w:cs="新宋体"/>
          <w:b/>
          <w:bCs/>
          <w:color w:val="auto"/>
          <w:sz w:val="22"/>
          <w:szCs w:val="22"/>
          <w:highlight w:val="none"/>
          <w:u w:val="single"/>
        </w:rPr>
        <w:t>②</w:t>
      </w:r>
      <w:r>
        <w:rPr>
          <w:rFonts w:hint="eastAsia" w:ascii="宋体" w:hAnsi="宋体" w:cs="新宋体"/>
          <w:b/>
          <w:bCs/>
          <w:color w:val="auto"/>
          <w:sz w:val="22"/>
          <w:szCs w:val="22"/>
          <w:highlight w:val="none"/>
          <w:u w:val="single"/>
        </w:rPr>
        <w:t>▲以上所需的各种证书、证件、证明等须提供扫描件并加盖公章（即电子签章）</w:t>
      </w:r>
      <w:r>
        <w:rPr>
          <w:rFonts w:hint="eastAsia" w:ascii="宋体" w:hAnsi="宋体" w:cs="新宋体"/>
          <w:color w:val="auto"/>
          <w:sz w:val="22"/>
          <w:szCs w:val="22"/>
          <w:highlight w:val="none"/>
        </w:rPr>
        <w:t>；</w:t>
      </w:r>
    </w:p>
    <w:p w14:paraId="14A7FA8F">
      <w:pPr>
        <w:spacing w:line="430" w:lineRule="exact"/>
        <w:ind w:firstLine="440" w:firstLineChars="200"/>
        <w:rPr>
          <w:rFonts w:ascii="宋体" w:hAnsi="宋体" w:cs="新宋体"/>
          <w:color w:val="auto"/>
          <w:sz w:val="22"/>
          <w:szCs w:val="22"/>
          <w:highlight w:val="none"/>
        </w:rPr>
      </w:pPr>
      <w:r>
        <w:rPr>
          <w:rFonts w:ascii="宋体" w:hAnsi="宋体" w:cs="新宋体"/>
          <w:color w:val="auto"/>
          <w:sz w:val="22"/>
          <w:szCs w:val="22"/>
          <w:highlight w:val="none"/>
        </w:rPr>
        <w:t>③</w:t>
      </w:r>
      <w:r>
        <w:rPr>
          <w:rFonts w:hint="eastAsia" w:ascii="宋体" w:hAnsi="宋体" w:cs="新宋体"/>
          <w:color w:val="auto"/>
          <w:sz w:val="22"/>
          <w:szCs w:val="22"/>
          <w:highlight w:val="none"/>
        </w:rPr>
        <w:t>相关证书、报告等如遇年检或换证等特殊情况须按要求提供相应的证明材料。</w:t>
      </w:r>
    </w:p>
    <w:p w14:paraId="2449C605">
      <w:pPr>
        <w:spacing w:line="400" w:lineRule="exac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（二）商务技术文件</w:t>
      </w:r>
    </w:p>
    <w:p w14:paraId="3A70F021">
      <w:pPr>
        <w:pStyle w:val="12"/>
        <w:tabs>
          <w:tab w:val="left" w:pos="0"/>
          <w:tab w:val="left" w:pos="540"/>
        </w:tabs>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（1）投标函                                       （附件一）</w:t>
      </w:r>
    </w:p>
    <w:p w14:paraId="097679EB">
      <w:pPr>
        <w:pStyle w:val="12"/>
        <w:tabs>
          <w:tab w:val="left" w:pos="0"/>
          <w:tab w:val="left" w:pos="540"/>
        </w:tabs>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（2）法定代表人授权书                             （附件六-1）</w:t>
      </w:r>
    </w:p>
    <w:p w14:paraId="5798833E">
      <w:pPr>
        <w:pStyle w:val="12"/>
        <w:tabs>
          <w:tab w:val="left" w:pos="0"/>
          <w:tab w:val="left" w:pos="540"/>
        </w:tabs>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（3）诚信投标承诺书                               （附件十）</w:t>
      </w:r>
    </w:p>
    <w:p w14:paraId="476F4A6C">
      <w:pPr>
        <w:spacing w:line="400" w:lineRule="exact"/>
        <w:ind w:left="620" w:hanging="620" w:hangingChars="282"/>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t xml:space="preserve">（4）技术偏离表、商务偏离表             </w:t>
      </w: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 xml:space="preserve">  （附件五1、2）</w:t>
      </w:r>
    </w:p>
    <w:p w14:paraId="7533F34D">
      <w:pPr>
        <w:spacing w:line="400" w:lineRule="exact"/>
        <w:ind w:left="620" w:hanging="620" w:hangingChars="282"/>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t xml:space="preserve">（5）项目负责人情况表          </w:t>
      </w: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 xml:space="preserve">  （附件</w:t>
      </w:r>
      <w:r>
        <w:rPr>
          <w:rFonts w:hint="eastAsia" w:ascii="新宋体" w:hAnsi="新宋体" w:eastAsia="新宋体"/>
          <w:color w:val="auto"/>
          <w:sz w:val="22"/>
          <w:szCs w:val="22"/>
          <w:highlight w:val="none"/>
          <w:lang w:val="en-US" w:eastAsia="zh-CN"/>
        </w:rPr>
        <w:t>七</w:t>
      </w:r>
      <w:r>
        <w:rPr>
          <w:rFonts w:hint="eastAsia" w:ascii="新宋体" w:hAnsi="新宋体" w:eastAsia="新宋体"/>
          <w:color w:val="auto"/>
          <w:sz w:val="22"/>
          <w:szCs w:val="22"/>
          <w:highlight w:val="none"/>
        </w:rPr>
        <w:t>）</w:t>
      </w:r>
    </w:p>
    <w:p w14:paraId="40012F7F">
      <w:pPr>
        <w:spacing w:line="400" w:lineRule="exact"/>
        <w:textAlignment w:val="baseline"/>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6</w:t>
      </w:r>
      <w:r>
        <w:rPr>
          <w:rFonts w:hint="eastAsia" w:ascii="新宋体" w:hAnsi="新宋体" w:eastAsia="新宋体"/>
          <w:color w:val="auto"/>
          <w:sz w:val="22"/>
          <w:szCs w:val="22"/>
          <w:highlight w:val="none"/>
          <w:lang w:eastAsia="zh-CN"/>
        </w:rPr>
        <w:t>）本项目项目管理人员一览表</w:t>
      </w:r>
      <w:r>
        <w:rPr>
          <w:rFonts w:hint="eastAsia"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 xml:space="preserve">  （附件</w:t>
      </w:r>
      <w:r>
        <w:rPr>
          <w:rFonts w:hint="eastAsia" w:ascii="新宋体" w:hAnsi="新宋体" w:eastAsia="新宋体"/>
          <w:color w:val="auto"/>
          <w:sz w:val="22"/>
          <w:szCs w:val="22"/>
          <w:highlight w:val="none"/>
          <w:lang w:val="en-US" w:eastAsia="zh-CN"/>
        </w:rPr>
        <w:t>八</w:t>
      </w:r>
      <w:r>
        <w:rPr>
          <w:rFonts w:hint="eastAsia" w:ascii="新宋体" w:hAnsi="新宋体" w:eastAsia="新宋体"/>
          <w:color w:val="auto"/>
          <w:sz w:val="22"/>
          <w:szCs w:val="22"/>
          <w:highlight w:val="none"/>
        </w:rPr>
        <w:t>）</w:t>
      </w:r>
    </w:p>
    <w:p w14:paraId="7A6B9D29">
      <w:pPr>
        <w:spacing w:line="400" w:lineRule="exact"/>
        <w:textAlignment w:val="baseline"/>
        <w:rPr>
          <w:rFonts w:hint="eastAsia" w:eastAsia="新宋体"/>
          <w:color w:val="auto"/>
          <w:sz w:val="22"/>
          <w:szCs w:val="22"/>
          <w:highlight w:val="none"/>
          <w:lang w:eastAsia="zh-CN"/>
        </w:rPr>
      </w:pP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7</w:t>
      </w:r>
      <w:r>
        <w:rPr>
          <w:rFonts w:hint="eastAsia" w:eastAsia="新宋体"/>
          <w:color w:val="auto"/>
          <w:sz w:val="22"/>
          <w:szCs w:val="22"/>
          <w:highlight w:val="none"/>
          <w:lang w:eastAsia="zh-CN"/>
        </w:rPr>
        <w:t>）投标供应商业绩汇总表</w:t>
      </w: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 xml:space="preserve"> （附件</w:t>
      </w:r>
      <w:r>
        <w:rPr>
          <w:rFonts w:hint="eastAsia" w:ascii="新宋体" w:hAnsi="新宋体" w:eastAsia="新宋体"/>
          <w:color w:val="auto"/>
          <w:sz w:val="22"/>
          <w:szCs w:val="22"/>
          <w:highlight w:val="none"/>
          <w:lang w:val="en-US" w:eastAsia="zh-CN"/>
        </w:rPr>
        <w:t>九</w:t>
      </w:r>
      <w:r>
        <w:rPr>
          <w:rFonts w:hint="eastAsia" w:ascii="新宋体" w:hAnsi="新宋体" w:eastAsia="新宋体"/>
          <w:color w:val="auto"/>
          <w:sz w:val="22"/>
          <w:szCs w:val="22"/>
          <w:highlight w:val="none"/>
        </w:rPr>
        <w:t>）</w:t>
      </w:r>
    </w:p>
    <w:p w14:paraId="0CA7989D">
      <w:pPr>
        <w:spacing w:line="400" w:lineRule="exact"/>
        <w:textAlignment w:val="baseline"/>
        <w:rPr>
          <w:rFonts w:ascii="新宋体" w:hAnsi="新宋体" w:eastAsia="新宋体"/>
          <w:color w:val="auto"/>
          <w:sz w:val="22"/>
          <w:szCs w:val="22"/>
          <w:highlight w:val="none"/>
        </w:rPr>
      </w:pP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8</w:t>
      </w:r>
      <w:r>
        <w:rPr>
          <w:rFonts w:hint="eastAsia" w:eastAsia="新宋体"/>
          <w:color w:val="auto"/>
          <w:sz w:val="22"/>
          <w:szCs w:val="22"/>
          <w:highlight w:val="none"/>
          <w:lang w:eastAsia="zh-CN"/>
        </w:rPr>
        <w:t>）</w:t>
      </w:r>
      <w:r>
        <w:rPr>
          <w:rFonts w:eastAsia="新宋体"/>
          <w:color w:val="auto"/>
          <w:sz w:val="22"/>
          <w:szCs w:val="22"/>
          <w:highlight w:val="none"/>
        </w:rPr>
        <w:t>供应商整体情况</w:t>
      </w:r>
      <w:r>
        <w:rPr>
          <w:rFonts w:hint="eastAsia" w:ascii="新宋体" w:hAnsi="新宋体" w:eastAsia="新宋体"/>
          <w:color w:val="auto"/>
          <w:sz w:val="22"/>
          <w:szCs w:val="22"/>
          <w:highlight w:val="none"/>
        </w:rPr>
        <w:t>、项目实施方案等（按“评标细则商务技术部分”相关评分内容逐项列出）</w:t>
      </w:r>
    </w:p>
    <w:p w14:paraId="6D3BB12A">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）投标供应商认为需要提供的其他相关资料</w:t>
      </w:r>
    </w:p>
    <w:p w14:paraId="48A80F86">
      <w:pPr>
        <w:spacing w:line="440" w:lineRule="exact"/>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（三）报价文件</w:t>
      </w:r>
    </w:p>
    <w:p w14:paraId="53657D1F">
      <w:pPr>
        <w:tabs>
          <w:tab w:val="left" w:pos="540"/>
        </w:tabs>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（1）开标一览表                                      （附件二）</w:t>
      </w:r>
    </w:p>
    <w:p w14:paraId="3133A01F">
      <w:pPr>
        <w:tabs>
          <w:tab w:val="left" w:pos="540"/>
        </w:tabs>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（2）投标分项报价表                                  （附件三）</w:t>
      </w:r>
    </w:p>
    <w:p w14:paraId="0A7568A0">
      <w:pPr>
        <w:spacing w:line="440" w:lineRule="exact"/>
        <w:ind w:left="330" w:hanging="330" w:hanging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3.2  投标文件格式</w:t>
      </w:r>
    </w:p>
    <w:p w14:paraId="7A93C0C9">
      <w:pPr>
        <w:spacing w:line="440" w:lineRule="exact"/>
        <w:ind w:left="525" w:left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投标供应商应根据采购文件中所提供的格式，内容按顺序填写并制作投标文件。</w:t>
      </w:r>
      <w:r>
        <w:rPr>
          <w:rFonts w:hint="eastAsia" w:ascii="新宋体" w:hAnsi="新宋体" w:eastAsia="新宋体"/>
          <w:b/>
          <w:color w:val="auto"/>
          <w:sz w:val="22"/>
          <w:szCs w:val="22"/>
          <w:highlight w:val="none"/>
        </w:rPr>
        <w:t>任何未按采购文件要求制作投标文件均可能会导致对其不利的评定，该风险由投标供应商自行承担。</w:t>
      </w:r>
    </w:p>
    <w:p w14:paraId="075B6EBF">
      <w:pPr>
        <w:tabs>
          <w:tab w:val="left" w:pos="-180"/>
          <w:tab w:val="left" w:pos="180"/>
          <w:tab w:val="left" w:pos="360"/>
        </w:tabs>
        <w:spacing w:line="440" w:lineRule="exact"/>
        <w:ind w:left="663" w:hanging="663" w:hangingChars="300"/>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rPr>
        <w:t>4．  投标报价</w:t>
      </w:r>
    </w:p>
    <w:p w14:paraId="2398F74A">
      <w:pPr>
        <w:pStyle w:val="14"/>
        <w:spacing w:line="440" w:lineRule="exact"/>
        <w:ind w:left="534" w:leftChars="4" w:hanging="526" w:hangingChars="238"/>
        <w:rPr>
          <w:rFonts w:ascii="新宋体" w:hAnsi="新宋体" w:eastAsia="新宋体"/>
          <w:b/>
          <w:bCs/>
          <w:color w:val="auto"/>
          <w:sz w:val="22"/>
          <w:szCs w:val="22"/>
          <w:highlight w:val="none"/>
          <w:u w:val="single"/>
        </w:rPr>
      </w:pPr>
      <w:r>
        <w:rPr>
          <w:rFonts w:hint="eastAsia" w:ascii="新宋体" w:hAnsi="新宋体" w:eastAsia="新宋体"/>
          <w:b/>
          <w:color w:val="auto"/>
          <w:sz w:val="22"/>
          <w:szCs w:val="22"/>
          <w:highlight w:val="none"/>
        </w:rPr>
        <w:t xml:space="preserve">4.1 </w:t>
      </w:r>
      <w:r>
        <w:rPr>
          <w:rFonts w:hint="eastAsia" w:ascii="新宋体" w:hAnsi="新宋体" w:eastAsia="新宋体"/>
          <w:color w:val="auto"/>
          <w:sz w:val="22"/>
          <w:szCs w:val="22"/>
          <w:highlight w:val="none"/>
          <w:u w:val="single"/>
        </w:rPr>
        <w:t xml:space="preserve"> </w:t>
      </w:r>
      <w:r>
        <w:rPr>
          <w:rFonts w:hint="eastAsia" w:ascii="宋体" w:hAnsi="宋体"/>
          <w:b/>
          <w:color w:val="auto"/>
          <w:sz w:val="22"/>
          <w:szCs w:val="22"/>
          <w:highlight w:val="none"/>
          <w:u w:val="single"/>
        </w:rPr>
        <w:t>投标报价是指中标供应商在正确地完全履行合同义务后采购人应支付给中标供应商所有的服务价款，采用固定费用综合总价包干。投标报价是履行合同的最终价格，应包括调研费用、规划编制费、交通、住宿、餐饮、税费、利润、专家评审费、人员工资补贴、评审认定、备案、研究报告与规划报告文本复制及招标代理费、服务质量保证期工作费用及采购人安排的项目其他相关工作的费用等所有涉及本项目所产生的一切费用。项目实施中不能调整变动，其市场风险由供应商承担，供应商在投标报价时应充分考虑，凡供应商漏项、漏报均被视为已包含在投标报价中。</w:t>
      </w:r>
    </w:p>
    <w:p w14:paraId="1C51763F">
      <w:pPr>
        <w:pStyle w:val="12"/>
        <w:tabs>
          <w:tab w:val="left" w:pos="0"/>
          <w:tab w:val="left" w:pos="540"/>
        </w:tabs>
        <w:spacing w:line="440" w:lineRule="exact"/>
        <w:ind w:left="539" w:hanging="539" w:hangingChars="245"/>
        <w:rPr>
          <w:rFonts w:ascii="新宋体" w:hAnsi="新宋体" w:eastAsia="新宋体"/>
          <w:color w:val="auto"/>
          <w:kern w:val="2"/>
          <w:sz w:val="22"/>
          <w:szCs w:val="22"/>
          <w:highlight w:val="none"/>
        </w:rPr>
      </w:pPr>
      <w:r>
        <w:rPr>
          <w:rFonts w:hint="eastAsia" w:ascii="新宋体" w:hAnsi="新宋体" w:eastAsia="新宋体"/>
          <w:color w:val="auto"/>
          <w:sz w:val="22"/>
          <w:szCs w:val="22"/>
          <w:highlight w:val="none"/>
        </w:rPr>
        <w:t xml:space="preserve">4.2 </w:t>
      </w:r>
      <w:r>
        <w:rPr>
          <w:rFonts w:hint="eastAsia" w:ascii="新宋体" w:hAnsi="新宋体" w:eastAsia="新宋体"/>
          <w:color w:val="auto"/>
          <w:kern w:val="2"/>
          <w:sz w:val="22"/>
          <w:szCs w:val="22"/>
          <w:highlight w:val="none"/>
        </w:rPr>
        <w:t xml:space="preserve"> </w:t>
      </w:r>
      <w:r>
        <w:rPr>
          <w:rFonts w:hint="eastAsia" w:ascii="新宋体" w:hAnsi="新宋体" w:eastAsia="新宋体"/>
          <w:color w:val="auto"/>
          <w:kern w:val="2"/>
          <w:sz w:val="22"/>
          <w:szCs w:val="22"/>
          <w:highlight w:val="none"/>
          <w:u w:val="single"/>
        </w:rPr>
        <w:t>投标供应商必须按第三部分附件中的开标一览表、投标分项报价表（均统一格式）内容填写单价、合价及其他事项，并由法定代表人或授权代表签署。</w:t>
      </w:r>
    </w:p>
    <w:p w14:paraId="7A0181C1">
      <w:pPr>
        <w:tabs>
          <w:tab w:val="left" w:pos="-180"/>
          <w:tab w:val="left" w:pos="180"/>
          <w:tab w:val="left" w:pos="360"/>
        </w:tabs>
        <w:spacing w:line="440" w:lineRule="exact"/>
        <w:ind w:left="539" w:hanging="539" w:hangingChars="245"/>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4.3  本次投标均以人民币报价。</w:t>
      </w:r>
    </w:p>
    <w:p w14:paraId="184749F0">
      <w:pPr>
        <w:tabs>
          <w:tab w:val="left" w:pos="-180"/>
          <w:tab w:val="left" w:pos="180"/>
          <w:tab w:val="left" w:pos="360"/>
        </w:tabs>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 xml:space="preserve">4.4  </w:t>
      </w:r>
      <w:r>
        <w:rPr>
          <w:rFonts w:hint="eastAsia" w:ascii="新宋体" w:hAnsi="新宋体" w:eastAsia="新宋体"/>
          <w:color w:val="auto"/>
          <w:sz w:val="22"/>
          <w:szCs w:val="22"/>
          <w:highlight w:val="none"/>
          <w:u w:val="single"/>
        </w:rPr>
        <w:t>▲招标采购单位不接受任何选择报价，对任何货物或服务只允许一个报价。</w:t>
      </w:r>
    </w:p>
    <w:p w14:paraId="4150DB7A">
      <w:pPr>
        <w:tabs>
          <w:tab w:val="left" w:pos="-180"/>
          <w:tab w:val="left" w:pos="180"/>
          <w:tab w:val="left" w:pos="360"/>
        </w:tabs>
        <w:spacing w:line="440" w:lineRule="exact"/>
        <w:ind w:left="539" w:hanging="539" w:hanging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4.5  招标采购单位要求分类报价是为了方便评标，但在任何情况下不限制采购人以其认为最合适的条款、条件签订合同的权利。</w:t>
      </w:r>
    </w:p>
    <w:p w14:paraId="353EBFDB">
      <w:pPr>
        <w:tabs>
          <w:tab w:val="left" w:pos="-180"/>
          <w:tab w:val="left" w:pos="180"/>
          <w:tab w:val="left" w:pos="360"/>
        </w:tabs>
        <w:spacing w:line="440" w:lineRule="exact"/>
        <w:ind w:left="539" w:leftChars="-6" w:hanging="552" w:hangingChars="25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4.6  投标价报出后，投标供应商不得以任何理由予以变更。任何包含价格调整的要求，将被认为是非实质性响应投标而予以拒绝。</w:t>
      </w:r>
    </w:p>
    <w:p w14:paraId="0BF17D6C">
      <w:pPr>
        <w:tabs>
          <w:tab w:val="left" w:pos="-180"/>
          <w:tab w:val="left" w:pos="180"/>
          <w:tab w:val="left" w:pos="360"/>
        </w:tabs>
        <w:spacing w:line="440" w:lineRule="exact"/>
        <w:ind w:left="663" w:hanging="663" w:hangingChars="300"/>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4.7  最低报价不能作为中标的保证。</w:t>
      </w:r>
    </w:p>
    <w:p w14:paraId="4482CA1F">
      <w:pPr>
        <w:spacing w:line="44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5.  投标保证金</w:t>
      </w:r>
    </w:p>
    <w:p w14:paraId="3995CE3A">
      <w:pPr>
        <w:spacing w:line="440" w:lineRule="exact"/>
        <w:ind w:left="523" w:leftChars="3" w:hanging="517" w:hangingChars="2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5.1  本项目不收取投标保证金。</w:t>
      </w:r>
    </w:p>
    <w:p w14:paraId="4066BC76">
      <w:pPr>
        <w:spacing w:line="440" w:lineRule="exact"/>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rPr>
        <w:t>6.  投标有效期</w:t>
      </w:r>
    </w:p>
    <w:p w14:paraId="335533D3">
      <w:pPr>
        <w:spacing w:line="440" w:lineRule="exact"/>
        <w:ind w:left="663" w:hanging="663" w:hangingChars="300"/>
        <w:rPr>
          <w:rFonts w:ascii="新宋体" w:hAnsi="新宋体" w:eastAsia="新宋体"/>
          <w:b/>
          <w:color w:val="auto"/>
          <w:sz w:val="22"/>
          <w:szCs w:val="22"/>
          <w:highlight w:val="none"/>
          <w:u w:val="single"/>
        </w:rPr>
      </w:pPr>
      <w:r>
        <w:rPr>
          <w:rFonts w:hint="eastAsia" w:ascii="新宋体" w:hAnsi="新宋体" w:eastAsia="新宋体"/>
          <w:b/>
          <w:color w:val="auto"/>
          <w:sz w:val="22"/>
          <w:szCs w:val="22"/>
          <w:highlight w:val="none"/>
        </w:rPr>
        <w:t xml:space="preserve">6.1  </w:t>
      </w:r>
      <w:r>
        <w:rPr>
          <w:rFonts w:hint="eastAsia" w:ascii="新宋体" w:hAnsi="新宋体" w:eastAsia="新宋体"/>
          <w:b/>
          <w:color w:val="auto"/>
          <w:sz w:val="22"/>
          <w:szCs w:val="22"/>
          <w:highlight w:val="none"/>
          <w:u w:val="single"/>
        </w:rPr>
        <w:t>▲自开标之日起</w:t>
      </w:r>
      <w:r>
        <w:rPr>
          <w:rFonts w:hint="eastAsia" w:ascii="新宋体" w:hAnsi="新宋体" w:eastAsia="新宋体"/>
          <w:b/>
          <w:bCs/>
          <w:color w:val="auto"/>
          <w:sz w:val="22"/>
          <w:szCs w:val="22"/>
          <w:highlight w:val="none"/>
          <w:u w:val="single"/>
        </w:rPr>
        <w:t>90</w:t>
      </w:r>
      <w:r>
        <w:rPr>
          <w:rFonts w:hint="eastAsia" w:ascii="新宋体" w:hAnsi="新宋体" w:eastAsia="新宋体"/>
          <w:b/>
          <w:color w:val="auto"/>
          <w:sz w:val="22"/>
          <w:szCs w:val="22"/>
          <w:highlight w:val="none"/>
          <w:u w:val="single"/>
        </w:rPr>
        <w:t>天内投标应保持有效。</w:t>
      </w:r>
    </w:p>
    <w:p w14:paraId="720497AC">
      <w:pPr>
        <w:spacing w:line="440" w:lineRule="exact"/>
        <w:ind w:left="523" w:leftChars="3" w:hanging="517" w:hangingChars="2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6.2  特殊情况下，在原投标有效期截止前，招标采购单位可与投标供应商协商延长投标有效期，这种要求和答复均以书面形式进行。投标供应商可拒绝接受延期要求。同意延长投标有效期的投标供应商不得修改投标文件。</w:t>
      </w:r>
    </w:p>
    <w:p w14:paraId="12A103A5">
      <w:pPr>
        <w:spacing w:line="420" w:lineRule="exact"/>
        <w:ind w:left="425" w:leftChars="3" w:hanging="419" w:hangingChars="181"/>
        <w:rPr>
          <w:rFonts w:ascii="新宋体" w:hAnsi="新宋体" w:eastAsia="新宋体"/>
          <w:color w:val="auto"/>
          <w:sz w:val="22"/>
          <w:szCs w:val="22"/>
          <w:highlight w:val="none"/>
        </w:rPr>
      </w:pPr>
      <w:r>
        <w:rPr>
          <w:rFonts w:hint="eastAsia" w:ascii="新宋体" w:hAnsi="新宋体" w:eastAsia="新宋体"/>
          <w:color w:val="auto"/>
          <w:spacing w:val="6"/>
          <w:sz w:val="22"/>
          <w:szCs w:val="22"/>
          <w:highlight w:val="none"/>
        </w:rPr>
        <w:t>6.3 在投标有效期内，投标供应商不能撤销投标文件，强行撤销投标文件的，应按预算（或最高限价）金额的2%赔偿对采购代理代理机构及采购人造成的损失。</w:t>
      </w:r>
    </w:p>
    <w:p w14:paraId="20BD7821">
      <w:pPr>
        <w:spacing w:line="440" w:lineRule="exact"/>
        <w:ind w:left="663" w:hanging="663" w:hangingChars="30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7.  投标文件的编制</w:t>
      </w:r>
    </w:p>
    <w:p w14:paraId="769EFC6C">
      <w:pPr>
        <w:spacing w:line="440" w:lineRule="exact"/>
        <w:ind w:left="523" w:leftChars="3" w:hanging="517" w:hangingChars="2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7.1 本项目通过“政府采购云平台（</w:t>
      </w:r>
      <w:r>
        <w:rPr>
          <w:rFonts w:ascii="新宋体" w:hAnsi="新宋体" w:eastAsia="新宋体"/>
          <w:color w:val="auto"/>
          <w:sz w:val="22"/>
          <w:szCs w:val="22"/>
          <w:highlight w:val="none"/>
        </w:rPr>
        <w:t>www.</w:t>
      </w:r>
      <w:r>
        <w:rPr>
          <w:rFonts w:hint="eastAsia" w:ascii="新宋体" w:hAnsi="新宋体" w:eastAsia="新宋体"/>
          <w:color w:val="auto"/>
          <w:sz w:val="22"/>
          <w:szCs w:val="22"/>
          <w:highlight w:val="none"/>
        </w:rPr>
        <w:t>zcy</w:t>
      </w:r>
      <w:r>
        <w:rPr>
          <w:rFonts w:ascii="新宋体" w:hAnsi="新宋体" w:eastAsia="新宋体"/>
          <w:color w:val="auto"/>
          <w:sz w:val="22"/>
          <w:szCs w:val="22"/>
          <w:highlight w:val="none"/>
        </w:rPr>
        <w:t>gov.cn</w:t>
      </w:r>
      <w:r>
        <w:rPr>
          <w:rFonts w:hint="eastAsia" w:ascii="新宋体" w:hAnsi="新宋体" w:eastAsia="新宋体"/>
          <w:color w:val="auto"/>
          <w:sz w:val="22"/>
          <w:szCs w:val="22"/>
          <w:highlight w:val="none"/>
        </w:rPr>
        <w:t>）” 实行在线投标响应（即电子投标）。投标供应商应通过“政采云电子交易客户端”，并按照本采购文件和“政府采购云平台”的要求编制并加密投标文件。供应商未按规定加密的投标文件，“政府采购云平台”将予以拒收。</w:t>
      </w:r>
    </w:p>
    <w:p w14:paraId="30F90D48">
      <w:pPr>
        <w:spacing w:line="440" w:lineRule="exact"/>
        <w:ind w:left="523" w:leftChars="3" w:hanging="517" w:hangingChars="2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7.2  投标供应商应当按照</w:t>
      </w:r>
      <w:r>
        <w:rPr>
          <w:rFonts w:ascii="新宋体" w:hAnsi="新宋体" w:eastAsia="新宋体"/>
          <w:color w:val="auto"/>
          <w:sz w:val="22"/>
          <w:szCs w:val="22"/>
          <w:highlight w:val="none"/>
        </w:rPr>
        <w:t>本</w:t>
      </w:r>
      <w:r>
        <w:rPr>
          <w:rFonts w:hint="eastAsia" w:ascii="新宋体" w:hAnsi="新宋体" w:eastAsia="新宋体"/>
          <w:color w:val="auto"/>
          <w:sz w:val="22"/>
          <w:szCs w:val="22"/>
          <w:highlight w:val="none"/>
        </w:rPr>
        <w:t>章节“投标文件组成”规定的内容在“政采云电子交易客户端”编制投标文件。其中资格文件和商务技术文件中不得出现本项目投标报价，如因投标供应商原因提前泄露投标报价，自行承担责任。</w:t>
      </w:r>
    </w:p>
    <w:p w14:paraId="759110CA">
      <w:pPr>
        <w:spacing w:line="440" w:lineRule="exact"/>
        <w:ind w:left="523" w:leftChars="3" w:hanging="517" w:hangingChars="2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7.3  采购文件“第三部分 附件”中有</w:t>
      </w:r>
      <w:r>
        <w:rPr>
          <w:rFonts w:ascii="新宋体" w:hAnsi="新宋体" w:eastAsia="新宋体"/>
          <w:color w:val="auto"/>
          <w:sz w:val="22"/>
          <w:szCs w:val="22"/>
          <w:highlight w:val="none"/>
        </w:rPr>
        <w:t>提供格式的，投标</w:t>
      </w:r>
      <w:r>
        <w:rPr>
          <w:rFonts w:hint="eastAsia" w:ascii="新宋体" w:hAnsi="新宋体" w:eastAsia="新宋体"/>
          <w:color w:val="auto"/>
          <w:sz w:val="22"/>
          <w:szCs w:val="22"/>
          <w:highlight w:val="none"/>
        </w:rPr>
        <w:t>供应商须参</w:t>
      </w:r>
      <w:r>
        <w:rPr>
          <w:rFonts w:ascii="新宋体" w:hAnsi="新宋体" w:eastAsia="新宋体"/>
          <w:color w:val="auto"/>
          <w:sz w:val="22"/>
          <w:szCs w:val="22"/>
          <w:highlight w:val="none"/>
        </w:rPr>
        <w:t>照格式</w:t>
      </w:r>
      <w:r>
        <w:rPr>
          <w:rFonts w:hint="eastAsia" w:ascii="新宋体" w:hAnsi="新宋体" w:eastAsia="新宋体"/>
          <w:color w:val="auto"/>
          <w:sz w:val="22"/>
          <w:szCs w:val="22"/>
          <w:highlight w:val="none"/>
        </w:rPr>
        <w:t>进行编制（格式中要求提供相关证明材料的还需后附相关证明材料），并按格式要求在指定位置进行签章，否则视为未提供；采购文件“第三部分 附件”</w:t>
      </w:r>
      <w:r>
        <w:rPr>
          <w:rFonts w:ascii="新宋体" w:hAnsi="新宋体" w:eastAsia="新宋体"/>
          <w:color w:val="auto"/>
          <w:sz w:val="22"/>
          <w:szCs w:val="22"/>
          <w:highlight w:val="none"/>
        </w:rPr>
        <w:t>未提供格式的，请各投标单位自行拟定格式</w:t>
      </w:r>
      <w:r>
        <w:rPr>
          <w:rFonts w:hint="eastAsia" w:ascii="新宋体" w:hAnsi="新宋体" w:eastAsia="新宋体"/>
          <w:color w:val="auto"/>
          <w:sz w:val="22"/>
          <w:szCs w:val="22"/>
          <w:highlight w:val="none"/>
        </w:rPr>
        <w:t>，并加盖单位公章（即电子签章）以及投标供应商代表签章（或电子签章），否则视为未提供。</w:t>
      </w:r>
    </w:p>
    <w:p w14:paraId="7FC819BD">
      <w:pPr>
        <w:spacing w:line="440" w:lineRule="exact"/>
        <w:ind w:left="523" w:leftChars="3" w:hanging="517" w:hangingChars="2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w:t>
      </w:r>
      <w:r>
        <w:rPr>
          <w:rFonts w:ascii="新宋体" w:hAnsi="新宋体" w:eastAsia="新宋体"/>
          <w:color w:val="auto"/>
          <w:sz w:val="22"/>
          <w:szCs w:val="22"/>
          <w:highlight w:val="none"/>
        </w:rPr>
        <w:t>4</w:t>
      </w:r>
      <w:r>
        <w:rPr>
          <w:rFonts w:hint="eastAsia"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u w:val="single"/>
        </w:rPr>
        <w:t>在电子投标文件制作过程中投标文件</w:t>
      </w:r>
      <w:r>
        <w:rPr>
          <w:rFonts w:ascii="新宋体" w:hAnsi="新宋体" w:eastAsia="新宋体"/>
          <w:color w:val="auto"/>
          <w:sz w:val="22"/>
          <w:szCs w:val="22"/>
          <w:highlight w:val="none"/>
          <w:u w:val="single"/>
        </w:rPr>
        <w:t>编制内容不完整、编排混乱</w:t>
      </w:r>
      <w:r>
        <w:rPr>
          <w:rFonts w:hint="eastAsia" w:ascii="新宋体" w:hAnsi="新宋体" w:eastAsia="新宋体"/>
          <w:color w:val="auto"/>
          <w:sz w:val="22"/>
          <w:szCs w:val="22"/>
          <w:highlight w:val="none"/>
          <w:u w:val="single"/>
        </w:rPr>
        <w:t>，</w:t>
      </w:r>
      <w:r>
        <w:rPr>
          <w:rFonts w:ascii="新宋体" w:hAnsi="新宋体" w:eastAsia="新宋体"/>
          <w:color w:val="auto"/>
          <w:sz w:val="22"/>
          <w:szCs w:val="22"/>
          <w:highlight w:val="none"/>
          <w:u w:val="single"/>
        </w:rPr>
        <w:t>或没有做好</w:t>
      </w:r>
      <w:r>
        <w:rPr>
          <w:rFonts w:hint="eastAsia" w:ascii="新宋体" w:hAnsi="新宋体" w:eastAsia="新宋体"/>
          <w:color w:val="auto"/>
          <w:sz w:val="22"/>
          <w:szCs w:val="22"/>
          <w:highlight w:val="none"/>
          <w:u w:val="single"/>
        </w:rPr>
        <w:t>系统中每一评分项与投标文件对应内容关联的，导致投标文件</w:t>
      </w:r>
      <w:r>
        <w:rPr>
          <w:rFonts w:ascii="新宋体" w:hAnsi="新宋体" w:eastAsia="新宋体"/>
          <w:color w:val="auto"/>
          <w:sz w:val="22"/>
          <w:szCs w:val="22"/>
          <w:highlight w:val="none"/>
          <w:u w:val="single"/>
        </w:rPr>
        <w:t>被误读、漏读或者查找不到相关内容的，是投标供应商的责任</w:t>
      </w:r>
      <w:r>
        <w:rPr>
          <w:rFonts w:hint="eastAsia" w:ascii="新宋体" w:hAnsi="新宋体" w:eastAsia="新宋体"/>
          <w:color w:val="auto"/>
          <w:sz w:val="22"/>
          <w:szCs w:val="22"/>
          <w:highlight w:val="none"/>
          <w:u w:val="single"/>
        </w:rPr>
        <w:t>，</w:t>
      </w:r>
      <w:r>
        <w:rPr>
          <w:rFonts w:ascii="新宋体" w:hAnsi="新宋体" w:eastAsia="新宋体"/>
          <w:color w:val="auto"/>
          <w:sz w:val="22"/>
          <w:szCs w:val="22"/>
          <w:highlight w:val="none"/>
          <w:u w:val="single"/>
        </w:rPr>
        <w:t>后果由投标供应商负责。</w:t>
      </w:r>
    </w:p>
    <w:p w14:paraId="1D11E50D">
      <w:pPr>
        <w:spacing w:line="440" w:lineRule="exact"/>
        <w:ind w:left="523" w:leftChars="3" w:hanging="517" w:hangingChars="2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w:t>
      </w:r>
      <w:r>
        <w:rPr>
          <w:rFonts w:ascii="新宋体" w:hAnsi="新宋体" w:eastAsia="新宋体"/>
          <w:color w:val="auto"/>
          <w:sz w:val="22"/>
          <w:szCs w:val="22"/>
          <w:highlight w:val="none"/>
        </w:rPr>
        <w:t>5</w:t>
      </w:r>
      <w:r>
        <w:rPr>
          <w:rFonts w:hint="eastAsia" w:ascii="新宋体" w:hAnsi="新宋体" w:eastAsia="新宋体"/>
          <w:color w:val="auto"/>
          <w:sz w:val="22"/>
          <w:szCs w:val="22"/>
          <w:highlight w:val="none"/>
        </w:rPr>
        <w:t xml:space="preserve">  </w:t>
      </w:r>
      <w:r>
        <w:rPr>
          <w:rFonts w:ascii="新宋体" w:hAnsi="新宋体" w:eastAsia="新宋体"/>
          <w:color w:val="auto"/>
          <w:sz w:val="22"/>
          <w:szCs w:val="22"/>
          <w:highlight w:val="none"/>
        </w:rPr>
        <w:t>投标文件字迹</w:t>
      </w:r>
      <w:r>
        <w:rPr>
          <w:rFonts w:hint="eastAsia" w:ascii="新宋体" w:hAnsi="新宋体" w:eastAsia="新宋体"/>
          <w:color w:val="auto"/>
          <w:sz w:val="22"/>
          <w:szCs w:val="22"/>
          <w:highlight w:val="none"/>
        </w:rPr>
        <w:t>模糊、</w:t>
      </w:r>
      <w:r>
        <w:rPr>
          <w:rFonts w:ascii="新宋体" w:hAnsi="新宋体" w:eastAsia="新宋体"/>
          <w:color w:val="auto"/>
          <w:sz w:val="22"/>
          <w:szCs w:val="22"/>
          <w:highlight w:val="none"/>
        </w:rPr>
        <w:t>潦草或</w:t>
      </w:r>
      <w:r>
        <w:rPr>
          <w:rFonts w:hint="eastAsia" w:ascii="新宋体" w:hAnsi="新宋体" w:eastAsia="新宋体"/>
          <w:color w:val="auto"/>
          <w:sz w:val="22"/>
          <w:szCs w:val="22"/>
          <w:highlight w:val="none"/>
        </w:rPr>
        <w:t>表述</w:t>
      </w:r>
      <w:r>
        <w:rPr>
          <w:rFonts w:ascii="新宋体" w:hAnsi="新宋体" w:eastAsia="新宋体"/>
          <w:color w:val="auto"/>
          <w:sz w:val="22"/>
          <w:szCs w:val="22"/>
          <w:highlight w:val="none"/>
        </w:rPr>
        <w:t>不清所引起的后果由投标供应商负责。</w:t>
      </w:r>
    </w:p>
    <w:p w14:paraId="768427A5">
      <w:pPr>
        <w:tabs>
          <w:tab w:val="left" w:pos="540"/>
        </w:tabs>
        <w:overflowPunct w:val="0"/>
        <w:snapToGrid w:val="0"/>
        <w:spacing w:line="400" w:lineRule="exact"/>
        <w:ind w:left="565" w:hanging="565" w:hangingChars="257"/>
        <w:rPr>
          <w:rFonts w:ascii="新宋体" w:hAnsi="新宋体" w:eastAsia="新宋体" w:cs="Arial"/>
          <w:color w:val="auto"/>
          <w:kern w:val="0"/>
          <w:sz w:val="22"/>
          <w:szCs w:val="22"/>
          <w:highlight w:val="none"/>
        </w:rPr>
      </w:pPr>
      <w:r>
        <w:rPr>
          <w:rFonts w:hint="eastAsia" w:ascii="新宋体" w:hAnsi="新宋体" w:eastAsia="新宋体" w:cs="Arial"/>
          <w:color w:val="auto"/>
          <w:kern w:val="0"/>
          <w:sz w:val="22"/>
          <w:szCs w:val="22"/>
          <w:highlight w:val="none"/>
        </w:rPr>
        <w:t>7.6  投标文件中提供的各种证书、证件、证明资料，内容应该完整、清晰、易于辨识，如因为投标文件资料存有瑕疵，致使内容不全、模糊、难以辨认，或导致对材料真实性存疑等情形的，是供应商自己的风险，如因此导致评委作出对其不利的评定，一切后果由供应商自行承担。</w:t>
      </w:r>
    </w:p>
    <w:p w14:paraId="0E4E07A0">
      <w:pPr>
        <w:tabs>
          <w:tab w:val="left" w:pos="540"/>
        </w:tabs>
        <w:overflowPunct w:val="0"/>
        <w:snapToGrid w:val="0"/>
        <w:spacing w:line="400" w:lineRule="exact"/>
        <w:ind w:left="565" w:hanging="565" w:hangingChars="257"/>
        <w:rPr>
          <w:rFonts w:ascii="新宋体" w:hAnsi="新宋体" w:eastAsia="新宋体" w:cs="Arial"/>
          <w:color w:val="auto"/>
          <w:kern w:val="0"/>
          <w:sz w:val="22"/>
          <w:szCs w:val="22"/>
          <w:highlight w:val="none"/>
        </w:rPr>
      </w:pPr>
      <w:r>
        <w:rPr>
          <w:rFonts w:hint="eastAsia" w:ascii="新宋体" w:hAnsi="新宋体" w:eastAsia="新宋体" w:cs="Arial"/>
          <w:color w:val="auto"/>
          <w:kern w:val="0"/>
          <w:sz w:val="22"/>
          <w:szCs w:val="22"/>
          <w:highlight w:val="none"/>
        </w:rPr>
        <w:t xml:space="preserve">7.7  </w:t>
      </w:r>
      <w:r>
        <w:rPr>
          <w:rFonts w:hint="eastAsia" w:ascii="新宋体" w:hAnsi="新宋体" w:eastAsia="新宋体" w:cs="Arial"/>
          <w:color w:val="auto"/>
          <w:kern w:val="0"/>
          <w:sz w:val="22"/>
          <w:highlight w:val="none"/>
          <w:u w:val="single"/>
        </w:rPr>
        <w:t>本采购文件评分细则里要求提供的各种证书、证件、证明资料，投标供应商不需要在投标时提供原件，如采购人、采购代理机构或评标委员会在电子投标评审结束后，因故需要对相关资料进行真实性核查，投标供应商有责任提交相关原件，否则将可能做出对其不利的认定，</w:t>
      </w:r>
      <w:r>
        <w:rPr>
          <w:rFonts w:ascii="新宋体" w:hAnsi="新宋体" w:eastAsia="新宋体" w:cs="Arial"/>
          <w:color w:val="auto"/>
          <w:kern w:val="0"/>
          <w:sz w:val="22"/>
          <w:highlight w:val="none"/>
          <w:u w:val="single"/>
        </w:rPr>
        <w:t>后果由投标供应商负责。</w:t>
      </w:r>
    </w:p>
    <w:p w14:paraId="5034AB49">
      <w:pPr>
        <w:spacing w:line="440" w:lineRule="exact"/>
        <w:ind w:left="525" w:leftChars="3" w:hanging="519" w:hangingChars="23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8.  投标文件的签字或盖章</w:t>
      </w:r>
    </w:p>
    <w:p w14:paraId="6280B210">
      <w:pPr>
        <w:spacing w:line="440" w:lineRule="exact"/>
        <w:ind w:left="424" w:leftChars="3" w:hanging="418" w:hangingChars="19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8.1</w:t>
      </w:r>
      <w:r>
        <w:rPr>
          <w:rFonts w:hint="eastAsia" w:ascii="宋体" w:hAnsi="宋体" w:cs="Courier New"/>
          <w:color w:val="auto"/>
          <w:sz w:val="22"/>
          <w:szCs w:val="22"/>
          <w:highlight w:val="none"/>
        </w:rPr>
        <w:t>见投标人须知前附表</w:t>
      </w:r>
      <w:r>
        <w:rPr>
          <w:rFonts w:hint="eastAsia" w:ascii="新宋体" w:hAnsi="新宋体" w:eastAsia="新宋体"/>
          <w:color w:val="auto"/>
          <w:sz w:val="22"/>
          <w:szCs w:val="22"/>
          <w:highlight w:val="none"/>
        </w:rPr>
        <w:t>。电子签章操作指南详见采购公告附件《供应商项目采购-电子招投标操作指南》。</w:t>
      </w:r>
    </w:p>
    <w:p w14:paraId="66D1E105">
      <w:pPr>
        <w:spacing w:line="440" w:lineRule="exact"/>
        <w:ind w:left="424" w:leftChars="3" w:hanging="418" w:hangingChars="19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8.2 投标文件不得涂改，若有修改错漏处，须加盖单位公章（即电子签章）或者投标供应商代表签章（或电子签章）。</w:t>
      </w:r>
    </w:p>
    <w:p w14:paraId="086E739E">
      <w:pPr>
        <w:spacing w:line="440" w:lineRule="exact"/>
        <w:ind w:left="426" w:leftChars="3" w:hanging="420" w:hangingChars="190"/>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9.  投标文件的形式：</w:t>
      </w:r>
      <w:r>
        <w:rPr>
          <w:rFonts w:hint="eastAsia" w:ascii="宋体" w:hAnsi="宋体" w:cs="Courier New"/>
          <w:color w:val="auto"/>
          <w:sz w:val="22"/>
          <w:szCs w:val="22"/>
          <w:highlight w:val="none"/>
        </w:rPr>
        <w:t>见投标人须知前附表</w:t>
      </w:r>
      <w:r>
        <w:rPr>
          <w:rFonts w:hint="eastAsia" w:ascii="新宋体" w:hAnsi="新宋体" w:eastAsia="新宋体"/>
          <w:color w:val="auto"/>
          <w:sz w:val="22"/>
          <w:szCs w:val="22"/>
          <w:highlight w:val="none"/>
        </w:rPr>
        <w:t>。</w:t>
      </w:r>
    </w:p>
    <w:p w14:paraId="5F4E32D1">
      <w:pPr>
        <w:spacing w:line="440" w:lineRule="exact"/>
        <w:ind w:left="426" w:leftChars="3" w:hanging="420" w:hangingChars="190"/>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10.  投标文件的份数：</w:t>
      </w:r>
      <w:r>
        <w:rPr>
          <w:rFonts w:hint="eastAsia" w:ascii="宋体" w:hAnsi="宋体" w:cs="Courier New"/>
          <w:color w:val="auto"/>
          <w:sz w:val="22"/>
          <w:szCs w:val="22"/>
          <w:highlight w:val="none"/>
        </w:rPr>
        <w:t>见投标人须知前附表</w:t>
      </w:r>
      <w:r>
        <w:rPr>
          <w:rFonts w:hint="eastAsia" w:ascii="新宋体" w:hAnsi="新宋体" w:eastAsia="新宋体"/>
          <w:color w:val="auto"/>
          <w:sz w:val="22"/>
          <w:szCs w:val="22"/>
          <w:highlight w:val="none"/>
        </w:rPr>
        <w:t>。</w:t>
      </w:r>
    </w:p>
    <w:p w14:paraId="0AE85224">
      <w:pPr>
        <w:spacing w:line="440" w:lineRule="exact"/>
        <w:ind w:left="525" w:leftChars="3" w:hanging="519" w:hangingChars="23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11. 投标文件的效力</w:t>
      </w:r>
    </w:p>
    <w:p w14:paraId="2BA729C3">
      <w:pPr>
        <w:spacing w:line="440" w:lineRule="exact"/>
        <w:ind w:left="523" w:leftChars="3" w:hanging="517" w:hangingChars="2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11.1投标文件的启用，按先后顺位分别为电子加密投标文件、备份投标文件。供应商不上传或不提供电子加密投标文件的，投标无效。</w:t>
      </w:r>
    </w:p>
    <w:p w14:paraId="6B9E8406">
      <w:pPr>
        <w:spacing w:line="440" w:lineRule="exact"/>
        <w:ind w:left="523" w:leftChars="3" w:hanging="517" w:hangingChars="2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11.2电子加密投标文件与备份投标文件的内容应完全一致。如因电子加密投标文件解密异常，才能启用备份投标文件，备份投标文件一旦启用，则电子加密投标文件即为失效。</w:t>
      </w:r>
    </w:p>
    <w:p w14:paraId="4B095334">
      <w:pPr>
        <w:pStyle w:val="6"/>
        <w:spacing w:line="500" w:lineRule="exact"/>
        <w:jc w:val="center"/>
        <w:rPr>
          <w:rFonts w:ascii="新宋体" w:hAnsi="新宋体" w:eastAsia="新宋体"/>
          <w:color w:val="auto"/>
          <w:sz w:val="24"/>
          <w:szCs w:val="24"/>
          <w:highlight w:val="none"/>
        </w:rPr>
      </w:pPr>
      <w:bookmarkStart w:id="17" w:name="_Toc33287506"/>
      <w:bookmarkStart w:id="18" w:name="_Toc63412055"/>
      <w:bookmarkStart w:id="19" w:name="_Toc35189569"/>
      <w:bookmarkStart w:id="20" w:name="_Toc34949231"/>
      <w:bookmarkStart w:id="21" w:name="_Toc35974567"/>
      <w:bookmarkStart w:id="22" w:name="_Toc35186948"/>
      <w:r>
        <w:rPr>
          <w:rFonts w:hint="eastAsia" w:ascii="新宋体" w:hAnsi="新宋体" w:eastAsia="新宋体"/>
          <w:color w:val="auto"/>
          <w:sz w:val="24"/>
          <w:szCs w:val="24"/>
          <w:highlight w:val="none"/>
        </w:rPr>
        <w:t>四、 投</w:t>
      </w:r>
      <w:bookmarkEnd w:id="17"/>
      <w:r>
        <w:rPr>
          <w:rFonts w:hint="eastAsia" w:ascii="新宋体" w:hAnsi="新宋体" w:eastAsia="新宋体"/>
          <w:color w:val="auto"/>
          <w:sz w:val="24"/>
          <w:szCs w:val="24"/>
          <w:highlight w:val="none"/>
        </w:rPr>
        <w:t>标</w:t>
      </w:r>
      <w:bookmarkEnd w:id="18"/>
      <w:bookmarkEnd w:id="19"/>
      <w:bookmarkEnd w:id="20"/>
      <w:bookmarkEnd w:id="21"/>
      <w:bookmarkEnd w:id="22"/>
    </w:p>
    <w:p w14:paraId="77E119E6">
      <w:pPr>
        <w:spacing w:line="42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  投标文件的上传和递交：</w:t>
      </w:r>
      <w:r>
        <w:rPr>
          <w:rFonts w:hint="eastAsia" w:ascii="宋体" w:hAnsi="宋体" w:cs="Courier New"/>
          <w:color w:val="auto"/>
          <w:sz w:val="22"/>
          <w:szCs w:val="22"/>
          <w:highlight w:val="none"/>
        </w:rPr>
        <w:t>见投标人须知前附表。</w:t>
      </w:r>
    </w:p>
    <w:p w14:paraId="0968B757">
      <w:pPr>
        <w:spacing w:line="420" w:lineRule="exact"/>
        <w:ind w:left="442" w:hanging="442" w:hangingChars="20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  电子加密投标文件的解密和异常情况处理：</w:t>
      </w:r>
      <w:r>
        <w:rPr>
          <w:rFonts w:hint="eastAsia" w:ascii="宋体" w:hAnsi="宋体" w:cs="Courier New"/>
          <w:color w:val="auto"/>
          <w:sz w:val="22"/>
          <w:szCs w:val="22"/>
          <w:highlight w:val="none"/>
        </w:rPr>
        <w:t>见投标人须知前附表。</w:t>
      </w:r>
    </w:p>
    <w:p w14:paraId="3E73908D">
      <w:pPr>
        <w:spacing w:line="420" w:lineRule="exact"/>
        <w:ind w:left="440" w:hanging="440" w:hangingChars="200"/>
        <w:rPr>
          <w:rFonts w:ascii="新宋体" w:hAnsi="新宋体" w:eastAsia="新宋体"/>
          <w:b/>
          <w:color w:val="auto"/>
          <w:sz w:val="22"/>
          <w:szCs w:val="22"/>
          <w:highlight w:val="none"/>
        </w:rPr>
      </w:pPr>
      <w:r>
        <w:rPr>
          <w:rFonts w:hint="eastAsia" w:ascii="新宋体" w:hAnsi="新宋体" w:eastAsia="新宋体"/>
          <w:bCs/>
          <w:color w:val="auto"/>
          <w:sz w:val="22"/>
          <w:szCs w:val="22"/>
          <w:highlight w:val="none"/>
        </w:rPr>
        <w:t>3</w:t>
      </w:r>
      <w:r>
        <w:rPr>
          <w:rFonts w:hint="eastAsia" w:ascii="新宋体" w:hAnsi="新宋体" w:eastAsia="新宋体" w:cs="宋体"/>
          <w:b/>
          <w:color w:val="auto"/>
          <w:sz w:val="22"/>
          <w:szCs w:val="22"/>
          <w:highlight w:val="none"/>
        </w:rPr>
        <w:t xml:space="preserve">.  </w:t>
      </w:r>
      <w:r>
        <w:rPr>
          <w:rFonts w:hint="eastAsia" w:ascii="新宋体" w:hAnsi="新宋体" w:eastAsia="新宋体"/>
          <w:b/>
          <w:color w:val="auto"/>
          <w:sz w:val="22"/>
          <w:szCs w:val="22"/>
          <w:highlight w:val="none"/>
        </w:rPr>
        <w:t>投标文件的补充、修改或撤回</w:t>
      </w:r>
    </w:p>
    <w:p w14:paraId="0867EDDB">
      <w:pPr>
        <w:spacing w:line="440" w:lineRule="exact"/>
        <w:ind w:left="440" w:hanging="440" w:hangingChars="20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3.1 供应商应当在</w:t>
      </w:r>
      <w:r>
        <w:rPr>
          <w:rFonts w:hint="eastAsia" w:ascii="宋体" w:hAnsi="宋体" w:cs="宋体"/>
          <w:color w:val="auto"/>
          <w:kern w:val="0"/>
          <w:sz w:val="22"/>
          <w:szCs w:val="22"/>
          <w:highlight w:val="none"/>
        </w:rPr>
        <w:t>投标截止时间</w:t>
      </w:r>
      <w:r>
        <w:rPr>
          <w:rFonts w:hint="eastAsia" w:ascii="新宋体" w:hAnsi="新宋体" w:eastAsia="新宋体"/>
          <w:bCs/>
          <w:color w:val="auto"/>
          <w:sz w:val="22"/>
          <w:szCs w:val="22"/>
          <w:highlight w:val="none"/>
        </w:rPr>
        <w:t>前完成投标文件的上传、递交，并可以补充、修改或者撤回投标文件。补充或者修改投标文件的，应当先行撤回原文件，补充、修改后重新上传、递交</w:t>
      </w:r>
      <w:r>
        <w:rPr>
          <w:rFonts w:hint="eastAsia" w:ascii="新宋体" w:hAnsi="新宋体" w:eastAsia="新宋体"/>
          <w:bCs/>
          <w:color w:val="auto"/>
          <w:sz w:val="22"/>
          <w:szCs w:val="22"/>
          <w:highlight w:val="none"/>
          <w:u w:val="single"/>
        </w:rPr>
        <w:t>（撤回后需重新做好</w:t>
      </w:r>
      <w:r>
        <w:rPr>
          <w:rFonts w:ascii="新宋体" w:hAnsi="新宋体" w:eastAsia="新宋体"/>
          <w:bCs/>
          <w:color w:val="auto"/>
          <w:sz w:val="22"/>
          <w:szCs w:val="22"/>
          <w:highlight w:val="none"/>
          <w:u w:val="single"/>
        </w:rPr>
        <w:t>系统</w:t>
      </w:r>
      <w:r>
        <w:rPr>
          <w:rFonts w:hint="eastAsia" w:ascii="新宋体" w:hAnsi="新宋体" w:eastAsia="新宋体"/>
          <w:bCs/>
          <w:color w:val="auto"/>
          <w:sz w:val="22"/>
          <w:szCs w:val="22"/>
          <w:highlight w:val="none"/>
          <w:u w:val="single"/>
        </w:rPr>
        <w:t>评分内容与投标文件对应内容的关联）</w:t>
      </w:r>
      <w:r>
        <w:rPr>
          <w:rFonts w:hint="eastAsia" w:ascii="新宋体" w:hAnsi="新宋体" w:eastAsia="新宋体"/>
          <w:bCs/>
          <w:color w:val="auto"/>
          <w:sz w:val="22"/>
          <w:szCs w:val="22"/>
          <w:highlight w:val="none"/>
        </w:rPr>
        <w:t>，如</w:t>
      </w:r>
      <w:r>
        <w:rPr>
          <w:rFonts w:hint="eastAsia" w:ascii="宋体" w:hAnsi="宋体" w:cs="宋体"/>
          <w:color w:val="auto"/>
          <w:kern w:val="0"/>
          <w:sz w:val="22"/>
          <w:szCs w:val="22"/>
          <w:highlight w:val="none"/>
        </w:rPr>
        <w:t>投标截止时间</w:t>
      </w:r>
      <w:r>
        <w:rPr>
          <w:rFonts w:hint="eastAsia" w:ascii="新宋体" w:hAnsi="新宋体" w:eastAsia="新宋体"/>
          <w:bCs/>
          <w:color w:val="auto"/>
          <w:sz w:val="22"/>
          <w:szCs w:val="22"/>
          <w:highlight w:val="none"/>
        </w:rPr>
        <w:t>前未完成重新上传、递交的，视为撤回投标文件。</w:t>
      </w:r>
      <w:r>
        <w:rPr>
          <w:rFonts w:hint="eastAsia" w:ascii="宋体" w:hAnsi="宋体" w:cs="宋体"/>
          <w:color w:val="auto"/>
          <w:kern w:val="0"/>
          <w:sz w:val="22"/>
          <w:szCs w:val="22"/>
          <w:highlight w:val="none"/>
        </w:rPr>
        <w:t>投标截止时间</w:t>
      </w:r>
      <w:r>
        <w:rPr>
          <w:rFonts w:hint="eastAsia" w:ascii="新宋体" w:hAnsi="新宋体" w:eastAsia="新宋体"/>
          <w:bCs/>
          <w:color w:val="auto"/>
          <w:sz w:val="22"/>
          <w:szCs w:val="22"/>
          <w:highlight w:val="none"/>
        </w:rPr>
        <w:t>后递交的投标文件，“政府采购云平台”将予以拒收。</w:t>
      </w:r>
    </w:p>
    <w:p w14:paraId="35359150">
      <w:pPr>
        <w:tabs>
          <w:tab w:val="left" w:pos="525"/>
          <w:tab w:val="left" w:pos="635"/>
          <w:tab w:val="left" w:pos="900"/>
        </w:tabs>
        <w:spacing w:line="440" w:lineRule="exact"/>
        <w:rPr>
          <w:rFonts w:ascii="宋体" w:hAnsi="宋体" w:cs="Courier New"/>
          <w:b/>
          <w:bCs/>
          <w:color w:val="auto"/>
          <w:sz w:val="22"/>
          <w:szCs w:val="22"/>
          <w:highlight w:val="none"/>
        </w:rPr>
      </w:pPr>
      <w:r>
        <w:rPr>
          <w:rFonts w:hint="eastAsia" w:ascii="新宋体" w:hAnsi="新宋体" w:eastAsia="新宋体"/>
          <w:bCs/>
          <w:color w:val="auto"/>
          <w:sz w:val="22"/>
          <w:szCs w:val="22"/>
          <w:highlight w:val="none"/>
        </w:rPr>
        <w:t xml:space="preserve">3.2 </w:t>
      </w:r>
      <w:r>
        <w:rPr>
          <w:rFonts w:hint="eastAsia" w:ascii="宋体" w:hAnsi="宋体" w:eastAsia="宋体" w:cs="Courier New"/>
          <w:b/>
          <w:bCs/>
          <w:color w:val="auto"/>
          <w:sz w:val="22"/>
          <w:szCs w:val="22"/>
          <w:highlight w:val="none"/>
        </w:rPr>
        <w:t>投标截止时间后递交</w:t>
      </w:r>
      <w:r>
        <w:rPr>
          <w:rFonts w:hint="eastAsia" w:ascii="宋体" w:hAnsi="宋体" w:cs="Courier New"/>
          <w:b/>
          <w:bCs/>
          <w:color w:val="auto"/>
          <w:sz w:val="22"/>
          <w:szCs w:val="22"/>
          <w:highlight w:val="none"/>
        </w:rPr>
        <w:t>的投标文件，“政府采购云平台”将予以拒收。</w:t>
      </w:r>
    </w:p>
    <w:p w14:paraId="3E23272B">
      <w:pPr>
        <w:spacing w:line="440" w:lineRule="exact"/>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 xml:space="preserve">3.3 </w:t>
      </w:r>
      <w:r>
        <w:rPr>
          <w:rFonts w:hint="eastAsia" w:ascii="宋体" w:hAnsi="宋体" w:cs="宋体"/>
          <w:color w:val="auto"/>
          <w:kern w:val="0"/>
          <w:sz w:val="22"/>
          <w:szCs w:val="22"/>
          <w:highlight w:val="none"/>
        </w:rPr>
        <w:t>投标截止时间</w:t>
      </w:r>
      <w:r>
        <w:rPr>
          <w:rFonts w:ascii="新宋体" w:hAnsi="新宋体" w:eastAsia="新宋体"/>
          <w:bCs/>
          <w:color w:val="auto"/>
          <w:sz w:val="22"/>
          <w:szCs w:val="22"/>
          <w:highlight w:val="none"/>
        </w:rPr>
        <w:t>后，投标供应商不得撤回、修改投标文件</w:t>
      </w:r>
      <w:r>
        <w:rPr>
          <w:rFonts w:hint="eastAsia" w:ascii="新宋体" w:hAnsi="新宋体" w:eastAsia="新宋体"/>
          <w:bCs/>
          <w:color w:val="auto"/>
          <w:sz w:val="22"/>
          <w:szCs w:val="22"/>
          <w:highlight w:val="none"/>
        </w:rPr>
        <w:t>。</w:t>
      </w:r>
    </w:p>
    <w:p w14:paraId="0FD6FBAD">
      <w:pPr>
        <w:tabs>
          <w:tab w:val="left" w:pos="525"/>
          <w:tab w:val="left" w:pos="900"/>
        </w:tabs>
        <w:spacing w:line="360" w:lineRule="auto"/>
        <w:rPr>
          <w:rFonts w:ascii="宋体" w:hAnsi="宋体" w:cs="Courier New"/>
          <w:color w:val="auto"/>
          <w:sz w:val="22"/>
          <w:szCs w:val="22"/>
          <w:highlight w:val="none"/>
        </w:rPr>
      </w:pPr>
      <w:r>
        <w:rPr>
          <w:rFonts w:hint="eastAsia" w:ascii="宋体" w:hAnsi="宋体" w:cs="Courier New"/>
          <w:color w:val="auto"/>
          <w:sz w:val="22"/>
          <w:szCs w:val="22"/>
          <w:highlight w:val="none"/>
        </w:rPr>
        <w:t>4.  投标文件的备选方案</w:t>
      </w:r>
    </w:p>
    <w:p w14:paraId="58E8A99F">
      <w:pPr>
        <w:tabs>
          <w:tab w:val="left" w:pos="525"/>
          <w:tab w:val="left" w:pos="635"/>
          <w:tab w:val="left" w:pos="900"/>
        </w:tabs>
        <w:spacing w:line="360" w:lineRule="auto"/>
        <w:ind w:left="440" w:hanging="440" w:hangingChars="200"/>
        <w:rPr>
          <w:rFonts w:ascii="宋体" w:hAnsi="宋体" w:cs="Courier New"/>
          <w:color w:val="auto"/>
          <w:sz w:val="22"/>
          <w:szCs w:val="22"/>
          <w:highlight w:val="none"/>
        </w:rPr>
      </w:pPr>
      <w:r>
        <w:rPr>
          <w:rFonts w:hint="eastAsia" w:ascii="宋体" w:hAnsi="宋体" w:cs="Courier New"/>
          <w:color w:val="auto"/>
          <w:sz w:val="22"/>
          <w:szCs w:val="22"/>
          <w:highlight w:val="none"/>
        </w:rPr>
        <w:t>4.1 投标人不得递交任何的投标备选（替代）方案，否则其投标文件将作无效标处理。与“电子加密投标文件”同时生成的“备份投标文件”不是投标备选（替代）方案。</w:t>
      </w:r>
    </w:p>
    <w:p w14:paraId="0E80FF5F">
      <w:pPr>
        <w:pStyle w:val="4"/>
        <w:ind w:firstLine="210"/>
        <w:rPr>
          <w:color w:val="auto"/>
          <w:highlight w:val="none"/>
        </w:rPr>
      </w:pPr>
    </w:p>
    <w:p w14:paraId="0912AD76">
      <w:pPr>
        <w:pStyle w:val="6"/>
        <w:spacing w:line="420" w:lineRule="exact"/>
        <w:jc w:val="center"/>
        <w:rPr>
          <w:rFonts w:ascii="新宋体" w:hAnsi="新宋体" w:eastAsia="新宋体"/>
          <w:color w:val="auto"/>
          <w:sz w:val="24"/>
          <w:szCs w:val="24"/>
          <w:highlight w:val="none"/>
        </w:rPr>
      </w:pPr>
      <w:bookmarkStart w:id="23" w:name="_Toc35186949"/>
      <w:bookmarkStart w:id="24" w:name="_Toc35974568"/>
      <w:bookmarkStart w:id="25" w:name="_Toc35189570"/>
      <w:bookmarkStart w:id="26" w:name="_Toc63412056"/>
      <w:bookmarkStart w:id="27" w:name="_Toc306613653"/>
      <w:r>
        <w:rPr>
          <w:rFonts w:hint="eastAsia" w:ascii="新宋体" w:hAnsi="新宋体" w:eastAsia="新宋体"/>
          <w:color w:val="auto"/>
          <w:sz w:val="24"/>
          <w:szCs w:val="24"/>
          <w:highlight w:val="none"/>
        </w:rPr>
        <w:t>五、 开标和评标</w:t>
      </w:r>
      <w:bookmarkEnd w:id="23"/>
      <w:bookmarkEnd w:id="24"/>
      <w:bookmarkEnd w:id="25"/>
      <w:bookmarkEnd w:id="26"/>
      <w:bookmarkEnd w:id="27"/>
    </w:p>
    <w:p w14:paraId="0C0FE2E4">
      <w:pPr>
        <w:spacing w:line="46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 评标委员会</w:t>
      </w:r>
    </w:p>
    <w:p w14:paraId="54A6C8FF">
      <w:pPr>
        <w:spacing w:line="460" w:lineRule="exact"/>
        <w:ind w:left="425" w:hanging="424" w:hangingChars="193"/>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1.1 本项目依法组建评标委员会。评标委员会由采购人或采购代理机构依法组建，成员包括采购人代表和评审专家，成员人数</w:t>
      </w:r>
      <w:r>
        <w:rPr>
          <w:rFonts w:ascii="新宋体" w:hAnsi="新宋体" w:eastAsia="新宋体"/>
          <w:bCs/>
          <w:color w:val="auto"/>
          <w:sz w:val="22"/>
          <w:szCs w:val="22"/>
          <w:highlight w:val="none"/>
        </w:rPr>
        <w:t>为</w:t>
      </w:r>
      <w:r>
        <w:rPr>
          <w:rFonts w:hint="eastAsia" w:ascii="新宋体" w:hAnsi="新宋体" w:eastAsia="新宋体"/>
          <w:bCs/>
          <w:color w:val="auto"/>
          <w:sz w:val="22"/>
          <w:szCs w:val="22"/>
          <w:highlight w:val="none"/>
        </w:rPr>
        <w:t>五</w:t>
      </w:r>
      <w:r>
        <w:rPr>
          <w:rFonts w:ascii="新宋体" w:hAnsi="新宋体" w:eastAsia="新宋体"/>
          <w:bCs/>
          <w:color w:val="auto"/>
          <w:sz w:val="22"/>
          <w:szCs w:val="22"/>
          <w:highlight w:val="none"/>
        </w:rPr>
        <w:t>人</w:t>
      </w:r>
      <w:r>
        <w:rPr>
          <w:rFonts w:hint="eastAsia" w:ascii="新宋体" w:hAnsi="新宋体" w:eastAsia="新宋体"/>
          <w:bCs/>
          <w:color w:val="auto"/>
          <w:sz w:val="22"/>
          <w:szCs w:val="22"/>
          <w:highlight w:val="none"/>
        </w:rPr>
        <w:t>或以上单数，其中评审专家不少于成员总数的三分之二。评标委员会成员名单在评审结果（采购结果）公告前保密。</w:t>
      </w:r>
    </w:p>
    <w:p w14:paraId="7AF99339">
      <w:pPr>
        <w:spacing w:line="460" w:lineRule="exact"/>
        <w:ind w:left="425" w:hanging="424" w:hangingChars="193"/>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1.2 评标委员会的成员在评标过程中必须严格遵守《政府采购法》等有关法律、法规的规定。</w:t>
      </w:r>
    </w:p>
    <w:p w14:paraId="19A59956">
      <w:pPr>
        <w:spacing w:line="460" w:lineRule="exact"/>
        <w:ind w:left="425" w:hanging="424" w:hangingChars="193"/>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 xml:space="preserve">1.3 </w:t>
      </w:r>
      <w:r>
        <w:rPr>
          <w:rFonts w:ascii="新宋体" w:hAnsi="新宋体" w:eastAsia="新宋体"/>
          <w:bCs/>
          <w:color w:val="auto"/>
          <w:sz w:val="22"/>
          <w:szCs w:val="22"/>
          <w:highlight w:val="none"/>
        </w:rPr>
        <w:t>评标委员会负责具体评标事务，并独立履行下列职责：</w:t>
      </w:r>
    </w:p>
    <w:p w14:paraId="49284871">
      <w:pPr>
        <w:spacing w:line="460" w:lineRule="exact"/>
        <w:ind w:left="425" w:hanging="424" w:hangingChars="193"/>
        <w:rPr>
          <w:rFonts w:ascii="新宋体" w:hAnsi="新宋体" w:eastAsia="新宋体"/>
          <w:bCs/>
          <w:color w:val="auto"/>
          <w:sz w:val="22"/>
          <w:szCs w:val="22"/>
          <w:highlight w:val="none"/>
        </w:rPr>
      </w:pPr>
      <w:r>
        <w:rPr>
          <w:rFonts w:ascii="新宋体" w:hAnsi="新宋体" w:eastAsia="新宋体"/>
          <w:bCs/>
          <w:color w:val="auto"/>
          <w:sz w:val="22"/>
          <w:szCs w:val="22"/>
          <w:highlight w:val="none"/>
        </w:rPr>
        <w:t>　　（</w:t>
      </w:r>
      <w:r>
        <w:rPr>
          <w:rFonts w:hint="eastAsia" w:ascii="新宋体" w:hAnsi="新宋体" w:eastAsia="新宋体"/>
          <w:bCs/>
          <w:color w:val="auto"/>
          <w:sz w:val="22"/>
          <w:szCs w:val="22"/>
          <w:highlight w:val="none"/>
        </w:rPr>
        <w:t>1</w:t>
      </w:r>
      <w:r>
        <w:rPr>
          <w:rFonts w:ascii="新宋体" w:hAnsi="新宋体" w:eastAsia="新宋体"/>
          <w:bCs/>
          <w:color w:val="auto"/>
          <w:sz w:val="22"/>
          <w:szCs w:val="22"/>
          <w:highlight w:val="none"/>
        </w:rPr>
        <w:t>）审查、评价投标文件是否符合</w:t>
      </w:r>
      <w:r>
        <w:rPr>
          <w:rFonts w:hint="eastAsia" w:ascii="新宋体" w:hAnsi="新宋体" w:eastAsia="新宋体"/>
          <w:bCs/>
          <w:color w:val="auto"/>
          <w:sz w:val="22"/>
          <w:szCs w:val="22"/>
          <w:highlight w:val="none"/>
        </w:rPr>
        <w:t>采购文件</w:t>
      </w:r>
      <w:r>
        <w:rPr>
          <w:rFonts w:ascii="新宋体" w:hAnsi="新宋体" w:eastAsia="新宋体"/>
          <w:bCs/>
          <w:color w:val="auto"/>
          <w:sz w:val="22"/>
          <w:szCs w:val="22"/>
          <w:highlight w:val="none"/>
        </w:rPr>
        <w:t>的商务、技术等实质性要求；</w:t>
      </w:r>
    </w:p>
    <w:p w14:paraId="6DC0FF1B">
      <w:pPr>
        <w:spacing w:line="460" w:lineRule="exact"/>
        <w:ind w:left="425" w:hanging="424" w:hangingChars="193"/>
        <w:rPr>
          <w:rFonts w:ascii="新宋体" w:hAnsi="新宋体" w:eastAsia="新宋体"/>
          <w:bCs/>
          <w:color w:val="auto"/>
          <w:sz w:val="22"/>
          <w:szCs w:val="22"/>
          <w:highlight w:val="none"/>
        </w:rPr>
      </w:pPr>
      <w:r>
        <w:rPr>
          <w:rFonts w:ascii="新宋体" w:hAnsi="新宋体" w:eastAsia="新宋体"/>
          <w:bCs/>
          <w:color w:val="auto"/>
          <w:sz w:val="22"/>
          <w:szCs w:val="22"/>
          <w:highlight w:val="none"/>
        </w:rPr>
        <w:t>　　（</w:t>
      </w:r>
      <w:r>
        <w:rPr>
          <w:rFonts w:hint="eastAsia" w:ascii="新宋体" w:hAnsi="新宋体" w:eastAsia="新宋体"/>
          <w:bCs/>
          <w:color w:val="auto"/>
          <w:sz w:val="22"/>
          <w:szCs w:val="22"/>
          <w:highlight w:val="none"/>
        </w:rPr>
        <w:t>2</w:t>
      </w:r>
      <w:r>
        <w:rPr>
          <w:rFonts w:ascii="新宋体" w:hAnsi="新宋体" w:eastAsia="新宋体"/>
          <w:bCs/>
          <w:color w:val="auto"/>
          <w:sz w:val="22"/>
          <w:szCs w:val="22"/>
          <w:highlight w:val="none"/>
        </w:rPr>
        <w:t>）要求投标人对投标文件有关事项作出澄清或者说明；</w:t>
      </w:r>
    </w:p>
    <w:p w14:paraId="24F0EEFA">
      <w:pPr>
        <w:spacing w:line="460" w:lineRule="exact"/>
        <w:ind w:left="425" w:hanging="424" w:hangingChars="193"/>
        <w:rPr>
          <w:rFonts w:ascii="新宋体" w:hAnsi="新宋体" w:eastAsia="新宋体"/>
          <w:bCs/>
          <w:color w:val="auto"/>
          <w:sz w:val="22"/>
          <w:szCs w:val="22"/>
          <w:highlight w:val="none"/>
        </w:rPr>
      </w:pPr>
      <w:r>
        <w:rPr>
          <w:rFonts w:ascii="新宋体" w:hAnsi="新宋体" w:eastAsia="新宋体"/>
          <w:bCs/>
          <w:color w:val="auto"/>
          <w:sz w:val="22"/>
          <w:szCs w:val="22"/>
          <w:highlight w:val="none"/>
        </w:rPr>
        <w:t>　　（</w:t>
      </w:r>
      <w:r>
        <w:rPr>
          <w:rFonts w:hint="eastAsia" w:ascii="新宋体" w:hAnsi="新宋体" w:eastAsia="新宋体"/>
          <w:bCs/>
          <w:color w:val="auto"/>
          <w:sz w:val="22"/>
          <w:szCs w:val="22"/>
          <w:highlight w:val="none"/>
        </w:rPr>
        <w:t>3</w:t>
      </w:r>
      <w:r>
        <w:rPr>
          <w:rFonts w:ascii="新宋体" w:hAnsi="新宋体" w:eastAsia="新宋体"/>
          <w:bCs/>
          <w:color w:val="auto"/>
          <w:sz w:val="22"/>
          <w:szCs w:val="22"/>
          <w:highlight w:val="none"/>
        </w:rPr>
        <w:t>）对投标文件进行比较和评价；</w:t>
      </w:r>
    </w:p>
    <w:p w14:paraId="5971B2AA">
      <w:pPr>
        <w:spacing w:line="460" w:lineRule="exact"/>
        <w:ind w:left="425" w:hanging="424" w:hangingChars="193"/>
        <w:rPr>
          <w:rFonts w:ascii="新宋体" w:hAnsi="新宋体" w:eastAsia="新宋体"/>
          <w:bCs/>
          <w:color w:val="auto"/>
          <w:sz w:val="22"/>
          <w:szCs w:val="22"/>
          <w:highlight w:val="none"/>
        </w:rPr>
      </w:pPr>
      <w:r>
        <w:rPr>
          <w:rFonts w:ascii="新宋体" w:hAnsi="新宋体" w:eastAsia="新宋体"/>
          <w:bCs/>
          <w:color w:val="auto"/>
          <w:sz w:val="22"/>
          <w:szCs w:val="22"/>
          <w:highlight w:val="none"/>
        </w:rPr>
        <w:t>　　（</w:t>
      </w:r>
      <w:r>
        <w:rPr>
          <w:rFonts w:hint="eastAsia" w:ascii="新宋体" w:hAnsi="新宋体" w:eastAsia="新宋体"/>
          <w:bCs/>
          <w:color w:val="auto"/>
          <w:sz w:val="22"/>
          <w:szCs w:val="22"/>
          <w:highlight w:val="none"/>
        </w:rPr>
        <w:t>4</w:t>
      </w:r>
      <w:r>
        <w:rPr>
          <w:rFonts w:ascii="新宋体" w:hAnsi="新宋体" w:eastAsia="新宋体"/>
          <w:bCs/>
          <w:color w:val="auto"/>
          <w:sz w:val="22"/>
          <w:szCs w:val="22"/>
          <w:highlight w:val="none"/>
        </w:rPr>
        <w:t>）确定中标候选人名单，以及根据采购人委托直接确定中标人；</w:t>
      </w:r>
    </w:p>
    <w:p w14:paraId="35EAE1AE">
      <w:pPr>
        <w:spacing w:line="460" w:lineRule="exact"/>
        <w:ind w:left="425" w:hanging="424" w:hangingChars="193"/>
        <w:rPr>
          <w:rFonts w:ascii="新宋体" w:hAnsi="新宋体" w:eastAsia="新宋体"/>
          <w:bCs/>
          <w:color w:val="auto"/>
          <w:sz w:val="22"/>
          <w:szCs w:val="22"/>
          <w:highlight w:val="none"/>
        </w:rPr>
      </w:pPr>
      <w:r>
        <w:rPr>
          <w:rFonts w:ascii="新宋体" w:hAnsi="新宋体" w:eastAsia="新宋体"/>
          <w:bCs/>
          <w:color w:val="auto"/>
          <w:sz w:val="22"/>
          <w:szCs w:val="22"/>
          <w:highlight w:val="none"/>
        </w:rPr>
        <w:t>　　（</w:t>
      </w:r>
      <w:r>
        <w:rPr>
          <w:rFonts w:hint="eastAsia" w:ascii="新宋体" w:hAnsi="新宋体" w:eastAsia="新宋体"/>
          <w:bCs/>
          <w:color w:val="auto"/>
          <w:sz w:val="22"/>
          <w:szCs w:val="22"/>
          <w:highlight w:val="none"/>
        </w:rPr>
        <w:t>5</w:t>
      </w:r>
      <w:r>
        <w:rPr>
          <w:rFonts w:ascii="新宋体" w:hAnsi="新宋体" w:eastAsia="新宋体"/>
          <w:bCs/>
          <w:color w:val="auto"/>
          <w:sz w:val="22"/>
          <w:szCs w:val="22"/>
          <w:highlight w:val="none"/>
        </w:rPr>
        <w:t>）向采购人、采购代理机构或者有关部门报告评标中发现的违法行为。</w:t>
      </w:r>
    </w:p>
    <w:p w14:paraId="082F4038">
      <w:pPr>
        <w:spacing w:line="460" w:lineRule="exact"/>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 评标过程的保密性</w:t>
      </w:r>
    </w:p>
    <w:p w14:paraId="5F394F8E">
      <w:pPr>
        <w:spacing w:line="460" w:lineRule="exact"/>
        <w:ind w:left="425" w:hanging="424" w:hangingChars="193"/>
        <w:rPr>
          <w:rFonts w:ascii="新宋体" w:hAnsi="新宋体" w:eastAsia="新宋体"/>
          <w:b/>
          <w:bCs/>
          <w:color w:val="auto"/>
          <w:sz w:val="22"/>
          <w:szCs w:val="22"/>
          <w:highlight w:val="none"/>
        </w:rPr>
      </w:pPr>
      <w:r>
        <w:rPr>
          <w:rFonts w:hint="eastAsia" w:ascii="新宋体" w:hAnsi="新宋体" w:eastAsia="新宋体"/>
          <w:bCs/>
          <w:color w:val="auto"/>
          <w:sz w:val="22"/>
          <w:szCs w:val="22"/>
          <w:highlight w:val="none"/>
        </w:rPr>
        <w:t xml:space="preserve">2.1 </w:t>
      </w:r>
      <w:r>
        <w:rPr>
          <w:rFonts w:hint="eastAsia" w:ascii="新宋体" w:hAnsi="新宋体" w:eastAsia="新宋体"/>
          <w:b/>
          <w:bCs/>
          <w:color w:val="auto"/>
          <w:sz w:val="22"/>
          <w:szCs w:val="22"/>
          <w:highlight w:val="none"/>
        </w:rPr>
        <w:t>开标后直至向中标供应商授予合同时止，凡与评审有关的资料均不得向投标供应商及与评标无关人员透露。如果投标供应商在评标过程中试图向招标采购单位施加影响，或扰乱开评标秩序，其投标将被拒绝。</w:t>
      </w:r>
    </w:p>
    <w:p w14:paraId="2509C6C7">
      <w:pPr>
        <w:spacing w:line="46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 开标、评标</w:t>
      </w:r>
    </w:p>
    <w:p w14:paraId="285D92DC">
      <w:pPr>
        <w:spacing w:line="400" w:lineRule="exact"/>
        <w:ind w:left="440" w:hanging="440" w:hangingChars="200"/>
        <w:rPr>
          <w:rFonts w:ascii="新宋体" w:hAnsi="新宋体" w:eastAsia="新宋体" w:cs="Arial"/>
          <w:color w:val="auto"/>
          <w:kern w:val="0"/>
          <w:sz w:val="22"/>
          <w:szCs w:val="22"/>
          <w:highlight w:val="none"/>
        </w:rPr>
      </w:pPr>
      <w:r>
        <w:rPr>
          <w:rFonts w:hint="eastAsia" w:ascii="新宋体" w:hAnsi="新宋体" w:eastAsia="新宋体" w:cs="Arial"/>
          <w:color w:val="auto"/>
          <w:kern w:val="0"/>
          <w:sz w:val="22"/>
          <w:szCs w:val="22"/>
          <w:highlight w:val="none"/>
        </w:rPr>
        <w:t>3.1</w:t>
      </w:r>
      <w:r>
        <w:rPr>
          <w:rFonts w:hint="eastAsia" w:ascii="新宋体" w:hAnsi="新宋体" w:eastAsia="新宋体"/>
          <w:color w:val="auto"/>
          <w:sz w:val="22"/>
          <w:szCs w:val="22"/>
          <w:highlight w:val="none"/>
        </w:rPr>
        <w:t>采购组织机构将按照采购文件规定的时间通过“政府采购云平台”组织开标、开启投标文件，所有供应商均应当准时在线参加。</w:t>
      </w:r>
      <w:r>
        <w:rPr>
          <w:rFonts w:hint="eastAsia" w:ascii="新宋体" w:hAnsi="新宋体" w:eastAsia="新宋体" w:cs="Arial"/>
          <w:color w:val="auto"/>
          <w:kern w:val="0"/>
          <w:sz w:val="22"/>
          <w:szCs w:val="22"/>
          <w:highlight w:val="none"/>
        </w:rPr>
        <w:t>投标供应商</w:t>
      </w:r>
      <w:r>
        <w:rPr>
          <w:rFonts w:ascii="新宋体" w:hAnsi="新宋体" w:eastAsia="新宋体" w:cs="Arial"/>
          <w:color w:val="auto"/>
          <w:kern w:val="0"/>
          <w:sz w:val="22"/>
          <w:szCs w:val="22"/>
          <w:highlight w:val="none"/>
        </w:rPr>
        <w:t>如不</w:t>
      </w:r>
      <w:r>
        <w:rPr>
          <w:rFonts w:hint="eastAsia" w:ascii="新宋体" w:hAnsi="新宋体" w:eastAsia="新宋体" w:cs="Arial"/>
          <w:color w:val="auto"/>
          <w:kern w:val="0"/>
          <w:sz w:val="22"/>
          <w:szCs w:val="22"/>
          <w:highlight w:val="none"/>
        </w:rPr>
        <w:t>在线参加</w:t>
      </w:r>
      <w:r>
        <w:rPr>
          <w:rFonts w:ascii="新宋体" w:hAnsi="新宋体" w:eastAsia="新宋体" w:cs="Arial"/>
          <w:color w:val="auto"/>
          <w:kern w:val="0"/>
          <w:sz w:val="22"/>
          <w:szCs w:val="22"/>
          <w:highlight w:val="none"/>
        </w:rPr>
        <w:t>开标大会的，</w:t>
      </w:r>
      <w:r>
        <w:rPr>
          <w:rFonts w:hint="eastAsia" w:ascii="新宋体" w:hAnsi="新宋体" w:eastAsia="新宋体" w:cs="Arial"/>
          <w:color w:val="auto"/>
          <w:kern w:val="0"/>
          <w:sz w:val="22"/>
          <w:szCs w:val="22"/>
          <w:highlight w:val="none"/>
        </w:rPr>
        <w:t>视同认可开标结果，</w:t>
      </w:r>
      <w:r>
        <w:rPr>
          <w:rFonts w:ascii="新宋体" w:hAnsi="新宋体" w:eastAsia="新宋体" w:cs="Arial"/>
          <w:color w:val="auto"/>
          <w:kern w:val="0"/>
          <w:sz w:val="22"/>
          <w:szCs w:val="22"/>
          <w:highlight w:val="none"/>
        </w:rPr>
        <w:t>事后不得对开标过程和开标结果提出异议</w:t>
      </w:r>
      <w:r>
        <w:rPr>
          <w:rFonts w:hint="eastAsia" w:ascii="新宋体" w:hAnsi="新宋体" w:eastAsia="新宋体" w:cs="Arial"/>
          <w:color w:val="auto"/>
          <w:kern w:val="0"/>
          <w:sz w:val="22"/>
          <w:szCs w:val="22"/>
          <w:highlight w:val="none"/>
        </w:rPr>
        <w:t>。如投标供应商因未在线参加开标而导致投标文件无法按时解密等一切后果由供应商自己承担。</w:t>
      </w:r>
    </w:p>
    <w:p w14:paraId="6DA30033">
      <w:pPr>
        <w:spacing w:line="400" w:lineRule="exact"/>
        <w:ind w:left="440" w:hanging="440" w:hangingChars="200"/>
        <w:rPr>
          <w:rFonts w:ascii="新宋体" w:hAnsi="新宋体" w:eastAsia="新宋体" w:cs="Arial"/>
          <w:color w:val="auto"/>
          <w:kern w:val="0"/>
          <w:sz w:val="22"/>
          <w:szCs w:val="22"/>
          <w:highlight w:val="none"/>
        </w:rPr>
      </w:pPr>
      <w:r>
        <w:rPr>
          <w:rFonts w:hint="eastAsia" w:ascii="新宋体" w:hAnsi="新宋体" w:eastAsia="新宋体"/>
          <w:bCs/>
          <w:color w:val="auto"/>
          <w:sz w:val="22"/>
          <w:szCs w:val="22"/>
          <w:highlight w:val="none"/>
        </w:rPr>
        <w:t xml:space="preserve">3.2 </w:t>
      </w:r>
      <w:r>
        <w:rPr>
          <w:rFonts w:hint="eastAsia" w:ascii="新宋体" w:hAnsi="新宋体" w:eastAsia="新宋体" w:cs="Arial"/>
          <w:color w:val="auto"/>
          <w:kern w:val="0"/>
          <w:sz w:val="22"/>
          <w:szCs w:val="22"/>
          <w:highlight w:val="none"/>
        </w:rPr>
        <w:t>向各投标供应商发出电子加密投标文件【开始解密】通知，由供应商在</w:t>
      </w:r>
      <w:r>
        <w:rPr>
          <w:rFonts w:hint="eastAsia" w:ascii="新宋体" w:hAnsi="新宋体" w:eastAsia="新宋体"/>
          <w:b/>
          <w:color w:val="auto"/>
          <w:sz w:val="22"/>
          <w:szCs w:val="22"/>
          <w:highlight w:val="none"/>
        </w:rPr>
        <w:t>采购代理机构发送解密指令后规定时间内</w:t>
      </w:r>
      <w:r>
        <w:rPr>
          <w:rFonts w:hint="eastAsia" w:ascii="新宋体" w:hAnsi="新宋体" w:eastAsia="新宋体" w:cs="Arial"/>
          <w:color w:val="auto"/>
          <w:kern w:val="0"/>
          <w:sz w:val="22"/>
          <w:szCs w:val="22"/>
          <w:highlight w:val="none"/>
        </w:rPr>
        <w:t>自行对已递交的电子加密投标文件进行解密。供应商在规定的时间内无法完成电子加密投标文件解密的，如已按规定递交了备份投标文件，将由采购组织机构按“政府采购云平台”操作规范将备份投标文件上传至“政府采购云平台”，上传成功后，电子加密投标文件自动失效。</w:t>
      </w:r>
    </w:p>
    <w:p w14:paraId="19C1FE84">
      <w:pPr>
        <w:spacing w:line="400" w:lineRule="exact"/>
        <w:ind w:left="440" w:hanging="440" w:hangingChars="200"/>
        <w:rPr>
          <w:rFonts w:ascii="新宋体" w:hAnsi="新宋体" w:eastAsia="新宋体" w:cs="Arial"/>
          <w:color w:val="auto"/>
          <w:kern w:val="0"/>
          <w:sz w:val="22"/>
          <w:szCs w:val="22"/>
          <w:highlight w:val="none"/>
        </w:rPr>
      </w:pPr>
      <w:r>
        <w:rPr>
          <w:rFonts w:hint="eastAsia" w:ascii="新宋体" w:hAnsi="新宋体" w:eastAsia="新宋体"/>
          <w:bCs/>
          <w:color w:val="auto"/>
          <w:sz w:val="22"/>
          <w:szCs w:val="22"/>
          <w:highlight w:val="none"/>
        </w:rPr>
        <w:t xml:space="preserve">3.3 </w:t>
      </w:r>
      <w:r>
        <w:rPr>
          <w:rFonts w:hint="eastAsia" w:ascii="新宋体" w:hAnsi="新宋体" w:eastAsia="新宋体" w:cs="Arial"/>
          <w:color w:val="auto"/>
          <w:kern w:val="0"/>
          <w:sz w:val="22"/>
          <w:szCs w:val="22"/>
          <w:highlight w:val="none"/>
        </w:rPr>
        <w:t>投标文件解密结束后，采购代理机构将统一开启电子投标文件，各投标供应商需签署《政府采购活动现场确认声明书》（声明书已放在采购文件最后一页，由供应商打印填写签章），扫描回传邮箱（895900692@qq.com）。</w:t>
      </w:r>
    </w:p>
    <w:p w14:paraId="41CA1897">
      <w:pPr>
        <w:spacing w:line="400" w:lineRule="exact"/>
        <w:ind w:left="440" w:hanging="440" w:hangingChars="200"/>
        <w:rPr>
          <w:rFonts w:ascii="新宋体" w:hAnsi="新宋体" w:eastAsia="新宋体" w:cs="宋体"/>
          <w:b/>
          <w:color w:val="auto"/>
          <w:sz w:val="22"/>
          <w:szCs w:val="22"/>
          <w:highlight w:val="none"/>
        </w:rPr>
      </w:pPr>
      <w:r>
        <w:rPr>
          <w:rFonts w:hint="eastAsia" w:ascii="新宋体" w:hAnsi="新宋体" w:eastAsia="新宋体" w:cs="宋体"/>
          <w:color w:val="auto"/>
          <w:sz w:val="22"/>
          <w:szCs w:val="22"/>
          <w:highlight w:val="none"/>
        </w:rPr>
        <w:t>3.4 开标结束后，</w:t>
      </w:r>
      <w:r>
        <w:rPr>
          <w:rFonts w:hint="eastAsia" w:ascii="新宋体" w:hAnsi="新宋体" w:eastAsia="新宋体" w:cs="Arial"/>
          <w:color w:val="auto"/>
          <w:kern w:val="0"/>
          <w:sz w:val="22"/>
          <w:szCs w:val="22"/>
          <w:highlight w:val="none"/>
        </w:rPr>
        <w:t>采购人或采购代理机构将</w:t>
      </w:r>
      <w:r>
        <w:rPr>
          <w:rFonts w:hint="eastAsia" w:ascii="新宋体" w:hAnsi="新宋体" w:eastAsia="新宋体"/>
          <w:bCs/>
          <w:color w:val="auto"/>
          <w:sz w:val="22"/>
          <w:szCs w:val="22"/>
          <w:highlight w:val="none"/>
        </w:rPr>
        <w:t>依据法律法规及采购文件的规定</w:t>
      </w:r>
      <w:r>
        <w:rPr>
          <w:rFonts w:hint="eastAsia" w:ascii="新宋体" w:hAnsi="新宋体" w:eastAsia="新宋体" w:cs="Arial"/>
          <w:color w:val="auto"/>
          <w:kern w:val="0"/>
          <w:sz w:val="22"/>
          <w:szCs w:val="22"/>
          <w:highlight w:val="none"/>
        </w:rPr>
        <w:t>对投标供应商的资格文件进行审查，</w:t>
      </w:r>
      <w:r>
        <w:rPr>
          <w:rFonts w:hint="eastAsia" w:ascii="新宋体" w:hAnsi="新宋体" w:eastAsia="新宋体"/>
          <w:bCs/>
          <w:color w:val="auto"/>
          <w:sz w:val="22"/>
          <w:szCs w:val="22"/>
          <w:highlight w:val="none"/>
        </w:rPr>
        <w:t>包括营业执照(或事业法人登记证书或其它工商等登记证明材料)、资格条件承诺函等资格证明文件，以确定是否具备投标资格。</w:t>
      </w:r>
      <w:r>
        <w:rPr>
          <w:rFonts w:hint="eastAsia" w:ascii="新宋体" w:hAnsi="新宋体" w:eastAsia="新宋体"/>
          <w:bCs/>
          <w:color w:val="auto"/>
          <w:sz w:val="22"/>
          <w:szCs w:val="22"/>
          <w:highlight w:val="none"/>
          <w:u w:val="single"/>
        </w:rPr>
        <w:t>▲</w:t>
      </w:r>
      <w:r>
        <w:rPr>
          <w:rFonts w:hint="eastAsia" w:ascii="新宋体" w:hAnsi="新宋体" w:eastAsia="新宋体"/>
          <w:color w:val="auto"/>
          <w:sz w:val="22"/>
          <w:szCs w:val="22"/>
          <w:highlight w:val="none"/>
          <w:u w:val="single"/>
        </w:rPr>
        <w:t>投标供应商</w:t>
      </w:r>
      <w:r>
        <w:rPr>
          <w:rFonts w:hint="eastAsia" w:ascii="新宋体" w:hAnsi="新宋体" w:eastAsia="新宋体"/>
          <w:bCs/>
          <w:color w:val="auto"/>
          <w:sz w:val="22"/>
          <w:szCs w:val="22"/>
          <w:highlight w:val="none"/>
          <w:u w:val="single"/>
        </w:rPr>
        <w:t>未按要求提交上述资料或经审查所</w:t>
      </w:r>
      <w:r>
        <w:rPr>
          <w:rFonts w:hint="eastAsia" w:ascii="新宋体" w:hAnsi="新宋体" w:eastAsia="新宋体"/>
          <w:color w:val="auto"/>
          <w:sz w:val="22"/>
          <w:szCs w:val="22"/>
          <w:highlight w:val="none"/>
          <w:u w:val="single"/>
        </w:rPr>
        <w:t>提交的资格证明材料无法证明其符合采购文件规定的“投标供应商资格要求”的，或具有其他违反</w:t>
      </w:r>
      <w:r>
        <w:rPr>
          <w:rFonts w:hint="eastAsia" w:ascii="新宋体" w:hAnsi="新宋体" w:eastAsia="新宋体"/>
          <w:bCs/>
          <w:color w:val="auto"/>
          <w:sz w:val="22"/>
          <w:szCs w:val="22"/>
          <w:highlight w:val="none"/>
          <w:u w:val="single"/>
        </w:rPr>
        <w:t>法律法规规定应被取消投标资格情形的，</w:t>
      </w:r>
      <w:r>
        <w:rPr>
          <w:rFonts w:hint="eastAsia" w:ascii="新宋体" w:hAnsi="新宋体" w:eastAsia="新宋体" w:cs="Arial"/>
          <w:color w:val="auto"/>
          <w:kern w:val="0"/>
          <w:sz w:val="22"/>
          <w:szCs w:val="22"/>
          <w:highlight w:val="none"/>
          <w:u w:val="single"/>
        </w:rPr>
        <w:t>资格审查将不予通过，</w:t>
      </w:r>
      <w:r>
        <w:rPr>
          <w:rFonts w:hint="eastAsia" w:ascii="新宋体" w:hAnsi="新宋体" w:eastAsia="新宋体"/>
          <w:bCs/>
          <w:color w:val="auto"/>
          <w:sz w:val="22"/>
          <w:szCs w:val="22"/>
          <w:highlight w:val="none"/>
          <w:u w:val="single"/>
        </w:rPr>
        <w:t>其投标文件</w:t>
      </w:r>
      <w:r>
        <w:rPr>
          <w:rFonts w:hint="eastAsia" w:ascii="新宋体" w:hAnsi="新宋体" w:eastAsia="新宋体"/>
          <w:color w:val="auto"/>
          <w:sz w:val="22"/>
          <w:szCs w:val="22"/>
          <w:highlight w:val="none"/>
          <w:u w:val="single"/>
        </w:rPr>
        <w:t>作无效标处理</w:t>
      </w:r>
      <w:r>
        <w:rPr>
          <w:rFonts w:hint="eastAsia" w:ascii="新宋体" w:hAnsi="新宋体" w:eastAsia="新宋体" w:cs="Arial"/>
          <w:color w:val="auto"/>
          <w:kern w:val="0"/>
          <w:sz w:val="22"/>
          <w:szCs w:val="22"/>
          <w:highlight w:val="none"/>
          <w:u w:val="single"/>
        </w:rPr>
        <w:t>，并不再将其投标文件提交评标委员会进行后续评审</w:t>
      </w:r>
      <w:r>
        <w:rPr>
          <w:rFonts w:hint="eastAsia" w:ascii="新宋体" w:hAnsi="新宋体" w:eastAsia="新宋体" w:cs="Arial"/>
          <w:color w:val="auto"/>
          <w:kern w:val="0"/>
          <w:sz w:val="22"/>
          <w:szCs w:val="22"/>
          <w:highlight w:val="none"/>
        </w:rPr>
        <w:t>。</w:t>
      </w:r>
    </w:p>
    <w:p w14:paraId="1563190F">
      <w:pPr>
        <w:spacing w:line="400" w:lineRule="exact"/>
        <w:ind w:left="420" w:leftChars="200"/>
        <w:rPr>
          <w:rFonts w:ascii="新宋体" w:hAnsi="新宋体" w:eastAsia="新宋体"/>
          <w:bCs/>
          <w:color w:val="auto"/>
          <w:sz w:val="22"/>
          <w:szCs w:val="22"/>
          <w:highlight w:val="none"/>
        </w:rPr>
      </w:pPr>
      <w:r>
        <w:rPr>
          <w:rFonts w:ascii="新宋体" w:hAnsi="新宋体" w:eastAsia="新宋体"/>
          <w:bCs/>
          <w:color w:val="auto"/>
          <w:sz w:val="22"/>
          <w:szCs w:val="22"/>
          <w:highlight w:val="none"/>
        </w:rPr>
        <w:t>采购人或采购代理机构对投标</w:t>
      </w:r>
      <w:r>
        <w:rPr>
          <w:rFonts w:hint="eastAsia" w:ascii="新宋体" w:hAnsi="新宋体" w:eastAsia="新宋体"/>
          <w:bCs/>
          <w:color w:val="auto"/>
          <w:sz w:val="22"/>
          <w:szCs w:val="22"/>
          <w:highlight w:val="none"/>
        </w:rPr>
        <w:t>供应商</w:t>
      </w:r>
      <w:r>
        <w:rPr>
          <w:rFonts w:ascii="新宋体" w:hAnsi="新宋体" w:eastAsia="新宋体"/>
          <w:bCs/>
          <w:color w:val="auto"/>
          <w:sz w:val="22"/>
          <w:szCs w:val="22"/>
          <w:highlight w:val="none"/>
        </w:rPr>
        <w:t>所</w:t>
      </w:r>
      <w:r>
        <w:rPr>
          <w:rFonts w:hint="eastAsia" w:ascii="新宋体" w:hAnsi="新宋体" w:eastAsia="新宋体"/>
          <w:bCs/>
          <w:color w:val="auto"/>
          <w:sz w:val="22"/>
          <w:szCs w:val="22"/>
          <w:highlight w:val="none"/>
        </w:rPr>
        <w:t>提交</w:t>
      </w:r>
      <w:r>
        <w:rPr>
          <w:rFonts w:ascii="新宋体" w:hAnsi="新宋体" w:eastAsia="新宋体"/>
          <w:bCs/>
          <w:color w:val="auto"/>
          <w:sz w:val="22"/>
          <w:szCs w:val="22"/>
          <w:highlight w:val="none"/>
        </w:rPr>
        <w:t>的资格证明材料仅负审核的责任。如发现投标</w:t>
      </w:r>
      <w:r>
        <w:rPr>
          <w:rFonts w:hint="eastAsia" w:ascii="新宋体" w:hAnsi="新宋体" w:eastAsia="新宋体"/>
          <w:bCs/>
          <w:color w:val="auto"/>
          <w:sz w:val="22"/>
          <w:szCs w:val="22"/>
          <w:highlight w:val="none"/>
        </w:rPr>
        <w:t>供应商</w:t>
      </w:r>
      <w:r>
        <w:rPr>
          <w:rFonts w:ascii="新宋体" w:hAnsi="新宋体" w:eastAsia="新宋体"/>
          <w:bCs/>
          <w:color w:val="auto"/>
          <w:sz w:val="22"/>
          <w:szCs w:val="22"/>
          <w:highlight w:val="none"/>
        </w:rPr>
        <w:t>所提</w:t>
      </w:r>
      <w:r>
        <w:rPr>
          <w:rFonts w:hint="eastAsia" w:ascii="新宋体" w:hAnsi="新宋体" w:eastAsia="新宋体"/>
          <w:bCs/>
          <w:color w:val="auto"/>
          <w:sz w:val="22"/>
          <w:szCs w:val="22"/>
          <w:highlight w:val="none"/>
        </w:rPr>
        <w:t>交</w:t>
      </w:r>
      <w:r>
        <w:rPr>
          <w:rFonts w:ascii="新宋体" w:hAnsi="新宋体" w:eastAsia="新宋体"/>
          <w:bCs/>
          <w:color w:val="auto"/>
          <w:sz w:val="22"/>
          <w:szCs w:val="22"/>
          <w:highlight w:val="none"/>
        </w:rPr>
        <w:t>的资格证明材料不合法或</w:t>
      </w:r>
      <w:r>
        <w:rPr>
          <w:rFonts w:hint="eastAsia" w:ascii="新宋体" w:hAnsi="新宋体" w:eastAsia="新宋体"/>
          <w:bCs/>
          <w:color w:val="auto"/>
          <w:sz w:val="22"/>
          <w:szCs w:val="22"/>
          <w:highlight w:val="none"/>
        </w:rPr>
        <w:t>与事实不符</w:t>
      </w:r>
      <w:r>
        <w:rPr>
          <w:rFonts w:ascii="新宋体" w:hAnsi="新宋体" w:eastAsia="新宋体"/>
          <w:bCs/>
          <w:color w:val="auto"/>
          <w:sz w:val="22"/>
          <w:szCs w:val="22"/>
          <w:highlight w:val="none"/>
        </w:rPr>
        <w:t>，采购人可取消</w:t>
      </w:r>
      <w:r>
        <w:rPr>
          <w:rFonts w:hint="eastAsia" w:ascii="新宋体" w:hAnsi="新宋体" w:eastAsia="新宋体"/>
          <w:bCs/>
          <w:color w:val="auto"/>
          <w:sz w:val="22"/>
          <w:szCs w:val="22"/>
          <w:highlight w:val="none"/>
        </w:rPr>
        <w:t>其</w:t>
      </w:r>
      <w:r>
        <w:rPr>
          <w:rFonts w:ascii="新宋体" w:hAnsi="新宋体" w:eastAsia="新宋体"/>
          <w:bCs/>
          <w:color w:val="auto"/>
          <w:sz w:val="22"/>
          <w:szCs w:val="22"/>
          <w:highlight w:val="none"/>
        </w:rPr>
        <w:t>中标资格并追究投标</w:t>
      </w:r>
      <w:r>
        <w:rPr>
          <w:rFonts w:hint="eastAsia" w:ascii="新宋体" w:hAnsi="新宋体" w:eastAsia="新宋体"/>
          <w:bCs/>
          <w:color w:val="auto"/>
          <w:sz w:val="22"/>
          <w:szCs w:val="22"/>
          <w:highlight w:val="none"/>
        </w:rPr>
        <w:t>供应商</w:t>
      </w:r>
      <w:r>
        <w:rPr>
          <w:rFonts w:ascii="新宋体" w:hAnsi="新宋体" w:eastAsia="新宋体"/>
          <w:bCs/>
          <w:color w:val="auto"/>
          <w:sz w:val="22"/>
          <w:szCs w:val="22"/>
          <w:highlight w:val="none"/>
        </w:rPr>
        <w:t>的法律责任。</w:t>
      </w:r>
    </w:p>
    <w:p w14:paraId="71A1F865">
      <w:pPr>
        <w:tabs>
          <w:tab w:val="left" w:pos="180"/>
        </w:tabs>
        <w:spacing w:line="460" w:lineRule="exact"/>
        <w:ind w:left="424" w:leftChars="8" w:hanging="407" w:hangingChars="185"/>
        <w:rPr>
          <w:rFonts w:ascii="新宋体" w:hAnsi="新宋体" w:eastAsia="新宋体"/>
          <w:color w:val="auto"/>
          <w:sz w:val="22"/>
          <w:szCs w:val="22"/>
          <w:highlight w:val="none"/>
        </w:rPr>
      </w:pPr>
      <w:r>
        <w:rPr>
          <w:rFonts w:hint="eastAsia" w:ascii="新宋体" w:hAnsi="新宋体" w:eastAsia="新宋体"/>
          <w:bCs/>
          <w:color w:val="auto"/>
          <w:sz w:val="22"/>
          <w:szCs w:val="22"/>
          <w:highlight w:val="none"/>
        </w:rPr>
        <w:t>3.5评标委员会对符合资格的投标供应商的投标文件进行符合性审查，以确定其是否满足采购文件的实质性要求。</w:t>
      </w:r>
      <w:r>
        <w:rPr>
          <w:rFonts w:hint="eastAsia" w:ascii="新宋体" w:hAnsi="新宋体" w:eastAsia="新宋体"/>
          <w:bCs/>
          <w:color w:val="auto"/>
          <w:sz w:val="22"/>
          <w:szCs w:val="22"/>
          <w:highlight w:val="none"/>
          <w:u w:val="single"/>
        </w:rPr>
        <w:t>▲没有满足采购文件实质性要求</w:t>
      </w:r>
      <w:r>
        <w:rPr>
          <w:rFonts w:hint="eastAsia" w:ascii="新宋体" w:hAnsi="新宋体" w:eastAsia="新宋体"/>
          <w:color w:val="auto"/>
          <w:sz w:val="22"/>
          <w:szCs w:val="22"/>
          <w:highlight w:val="none"/>
          <w:u w:val="single"/>
        </w:rPr>
        <w:t>的投标作无效标处理。</w:t>
      </w:r>
      <w:r>
        <w:rPr>
          <w:rFonts w:hint="eastAsia" w:ascii="新宋体" w:hAnsi="新宋体" w:eastAsia="新宋体"/>
          <w:color w:val="auto"/>
          <w:sz w:val="22"/>
          <w:szCs w:val="22"/>
          <w:highlight w:val="none"/>
        </w:rPr>
        <w:t>评标委员会决定投标的实质性要求只根据投标文件本身的内容，而不寻求外部的证据。投标供应商不得通过修正或撤销不合要求的偏离或保留从而使其投标成为实质上响应的投标。</w:t>
      </w:r>
    </w:p>
    <w:p w14:paraId="4B808014">
      <w:pPr>
        <w:tabs>
          <w:tab w:val="left" w:pos="180"/>
        </w:tabs>
        <w:spacing w:line="460" w:lineRule="exact"/>
        <w:ind w:left="424" w:leftChars="8" w:hanging="407" w:hangingChars="185"/>
        <w:rPr>
          <w:rFonts w:ascii="新宋体" w:hAnsi="新宋体" w:eastAsia="新宋体"/>
          <w:color w:val="auto"/>
          <w:sz w:val="22"/>
          <w:szCs w:val="22"/>
          <w:highlight w:val="none"/>
        </w:rPr>
      </w:pPr>
      <w:r>
        <w:rPr>
          <w:rFonts w:hint="eastAsia" w:ascii="新宋体" w:hAnsi="新宋体" w:eastAsia="新宋体"/>
          <w:bCs/>
          <w:color w:val="auto"/>
          <w:sz w:val="22"/>
          <w:szCs w:val="22"/>
          <w:highlight w:val="none"/>
        </w:rPr>
        <w:t xml:space="preserve">3.6 </w:t>
      </w:r>
      <w:r>
        <w:rPr>
          <w:rFonts w:ascii="新宋体" w:hAnsi="新宋体" w:eastAsia="新宋体"/>
          <w:color w:val="auto"/>
          <w:sz w:val="22"/>
          <w:szCs w:val="22"/>
          <w:highlight w:val="none"/>
          <w:u w:val="single"/>
        </w:rPr>
        <w:t>评标委员会认为投标</w:t>
      </w:r>
      <w:r>
        <w:rPr>
          <w:rFonts w:hint="eastAsia" w:ascii="新宋体" w:hAnsi="新宋体" w:eastAsia="新宋体"/>
          <w:color w:val="auto"/>
          <w:sz w:val="22"/>
          <w:szCs w:val="22"/>
          <w:highlight w:val="none"/>
          <w:u w:val="single"/>
        </w:rPr>
        <w:t>供应商</w:t>
      </w:r>
      <w:r>
        <w:rPr>
          <w:rFonts w:ascii="新宋体" w:hAnsi="新宋体" w:eastAsia="新宋体"/>
          <w:color w:val="auto"/>
          <w:sz w:val="22"/>
          <w:szCs w:val="22"/>
          <w:highlight w:val="none"/>
          <w:u w:val="single"/>
        </w:rPr>
        <w:t>的报价明显低于其他通过符合性审查投标</w:t>
      </w:r>
      <w:r>
        <w:rPr>
          <w:rFonts w:hint="eastAsia" w:ascii="新宋体" w:hAnsi="新宋体" w:eastAsia="新宋体"/>
          <w:color w:val="auto"/>
          <w:sz w:val="22"/>
          <w:szCs w:val="22"/>
          <w:highlight w:val="none"/>
          <w:u w:val="single"/>
        </w:rPr>
        <w:t>供应商</w:t>
      </w:r>
      <w:r>
        <w:rPr>
          <w:rFonts w:ascii="新宋体" w:hAnsi="新宋体" w:eastAsia="新宋体"/>
          <w:color w:val="auto"/>
          <w:sz w:val="22"/>
          <w:szCs w:val="22"/>
          <w:highlight w:val="none"/>
          <w:u w:val="single"/>
        </w:rPr>
        <w:t>的报价，有可能影响产品质量或者不能诚信履约的，应当要求其在评标现场合理的时间内提供书面说明，必要时提交相关证明材料；投标</w:t>
      </w:r>
      <w:r>
        <w:rPr>
          <w:rFonts w:hint="eastAsia" w:ascii="新宋体" w:hAnsi="新宋体" w:eastAsia="新宋体"/>
          <w:color w:val="auto"/>
          <w:sz w:val="22"/>
          <w:szCs w:val="22"/>
          <w:highlight w:val="none"/>
          <w:u w:val="single"/>
        </w:rPr>
        <w:t>供应商</w:t>
      </w:r>
      <w:r>
        <w:rPr>
          <w:rFonts w:ascii="新宋体" w:hAnsi="新宋体" w:eastAsia="新宋体"/>
          <w:color w:val="auto"/>
          <w:sz w:val="22"/>
          <w:szCs w:val="22"/>
          <w:highlight w:val="none"/>
          <w:u w:val="single"/>
        </w:rPr>
        <w:t>不能证明其报价合理性的，评标委员会应当将其作为无效投标处理。</w:t>
      </w:r>
    </w:p>
    <w:p w14:paraId="4912182C">
      <w:pPr>
        <w:tabs>
          <w:tab w:val="left" w:pos="180"/>
        </w:tabs>
        <w:spacing w:line="460" w:lineRule="exact"/>
        <w:ind w:left="507" w:leftChars="32" w:hanging="440" w:hangingChars="200"/>
        <w:rPr>
          <w:rFonts w:ascii="新宋体" w:hAnsi="新宋体" w:eastAsia="新宋体"/>
          <w:bCs/>
          <w:color w:val="auto"/>
          <w:sz w:val="22"/>
          <w:szCs w:val="22"/>
          <w:highlight w:val="none"/>
          <w:u w:val="single"/>
        </w:rPr>
      </w:pPr>
      <w:r>
        <w:rPr>
          <w:rFonts w:hint="eastAsia" w:ascii="新宋体" w:hAnsi="新宋体" w:eastAsia="新宋体"/>
          <w:bCs/>
          <w:color w:val="auto"/>
          <w:sz w:val="22"/>
          <w:szCs w:val="22"/>
          <w:highlight w:val="none"/>
        </w:rPr>
        <w:t>3.7</w:t>
      </w:r>
      <w:r>
        <w:rPr>
          <w:rFonts w:hint="eastAsia" w:ascii="新宋体" w:hAnsi="新宋体" w:eastAsia="新宋体"/>
          <w:bCs/>
          <w:color w:val="auto"/>
          <w:sz w:val="22"/>
          <w:szCs w:val="22"/>
          <w:highlight w:val="none"/>
          <w:u w:val="single"/>
        </w:rPr>
        <w:t>采购文件中加“下划线”且加“▲”的条款，为实质性条款，不得负偏离，否则按无效标条款处理。</w:t>
      </w:r>
      <w:r>
        <w:rPr>
          <w:rFonts w:hint="eastAsia" w:ascii="新宋体" w:hAnsi="新宋体" w:eastAsia="新宋体"/>
          <w:bCs/>
          <w:color w:val="auto"/>
          <w:sz w:val="22"/>
          <w:szCs w:val="22"/>
          <w:highlight w:val="none"/>
        </w:rPr>
        <w:t>对于标书中规定的实质性条款，判定是否构成实质性偏离，由评标委员会来判定。</w:t>
      </w:r>
    </w:p>
    <w:p w14:paraId="07F3DEF2">
      <w:pPr>
        <w:tabs>
          <w:tab w:val="left" w:pos="180"/>
        </w:tabs>
        <w:spacing w:line="460" w:lineRule="exact"/>
        <w:ind w:left="525" w:leftChars="250"/>
        <w:rPr>
          <w:rFonts w:ascii="新宋体" w:hAnsi="新宋体" w:eastAsia="新宋体"/>
          <w:color w:val="auto"/>
          <w:sz w:val="22"/>
          <w:szCs w:val="22"/>
          <w:highlight w:val="none"/>
          <w:u w:val="single"/>
        </w:rPr>
      </w:pPr>
      <w:r>
        <w:rPr>
          <w:rFonts w:hint="eastAsia" w:ascii="新宋体" w:hAnsi="新宋体" w:eastAsia="新宋体"/>
          <w:bCs/>
          <w:color w:val="auto"/>
          <w:sz w:val="22"/>
          <w:szCs w:val="22"/>
          <w:highlight w:val="none"/>
          <w:u w:val="single"/>
        </w:rPr>
        <w:t>投标响应微小负偏离或重大负偏离的认定，由评标委员会来判定，对属于微小负偏离的由评委在评分中予以酌情考量，对构成重大负偏离的，将被认定为是对采购文件实质上的不响应，按无效标条款处理。</w:t>
      </w:r>
    </w:p>
    <w:p w14:paraId="0DC7AD51">
      <w:pPr>
        <w:spacing w:line="460" w:lineRule="exact"/>
        <w:ind w:left="550" w:hanging="550" w:hangingChars="25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3.8 评标委员按照采购文件中规定的评标方法和标准，对投标文件进行商务技术和报价的评估，综合比较与评价。</w:t>
      </w:r>
    </w:p>
    <w:p w14:paraId="580AED1F">
      <w:pPr>
        <w:spacing w:line="460" w:lineRule="exact"/>
        <w:ind w:left="522" w:leftChars="5" w:hanging="512" w:hangingChars="232"/>
        <w:rPr>
          <w:rFonts w:ascii="新宋体" w:hAnsi="新宋体" w:eastAsia="新宋体"/>
          <w:b/>
          <w:color w:val="auto"/>
          <w:sz w:val="22"/>
          <w:highlight w:val="none"/>
          <w:u w:val="single"/>
        </w:rPr>
      </w:pPr>
      <w:r>
        <w:rPr>
          <w:rFonts w:hint="eastAsia" w:ascii="新宋体" w:hAnsi="新宋体" w:eastAsia="新宋体"/>
          <w:b/>
          <w:color w:val="auto"/>
          <w:sz w:val="22"/>
          <w:highlight w:val="none"/>
        </w:rPr>
        <w:t xml:space="preserve">3.9 </w:t>
      </w:r>
      <w:r>
        <w:rPr>
          <w:rFonts w:hint="eastAsia" w:ascii="新宋体" w:hAnsi="新宋体" w:eastAsia="新宋体"/>
          <w:color w:val="auto"/>
          <w:sz w:val="22"/>
          <w:highlight w:val="none"/>
        </w:rPr>
        <w:t>▲</w:t>
      </w:r>
      <w:r>
        <w:rPr>
          <w:rFonts w:hint="eastAsia" w:ascii="新宋体" w:hAnsi="新宋体" w:eastAsia="新宋体"/>
          <w:b/>
          <w:color w:val="auto"/>
          <w:sz w:val="22"/>
          <w:highlight w:val="none"/>
          <w:u w:val="single"/>
        </w:rPr>
        <w:t>符合性审查过程中投标文件有下列情形之一的，经评标委员会认定后按无效标处理（无效标条款）：</w:t>
      </w:r>
    </w:p>
    <w:p w14:paraId="3641E72D">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（1）投标文件未按采购文件要求签署、盖章的；</w:t>
      </w:r>
    </w:p>
    <w:p w14:paraId="4AC408F0">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（2）投标响应明显不满足采购文件中规定的采购需求及技术、服务要求的被认定构成重大偏离的，或不满足采购文件中规定的标注“▲”的实质性条款，或存在采购文件中明确规定的其他无效标情形的；</w:t>
      </w:r>
    </w:p>
    <w:p w14:paraId="6E98D1D7">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（3）投标文件内容不全或关键字迹模糊无法辨认的；</w:t>
      </w:r>
    </w:p>
    <w:p w14:paraId="13CD48F2">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（4）投标文件的编制明显不符合采购文件规定的编制要求；</w:t>
      </w:r>
    </w:p>
    <w:p w14:paraId="5B82E9FA">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bCs/>
          <w:color w:val="auto"/>
          <w:sz w:val="22"/>
          <w:szCs w:val="22"/>
          <w:highlight w:val="none"/>
        </w:rPr>
        <w:t>（5）在资格文件和商务技术文件中出现投标报价的；</w:t>
      </w:r>
    </w:p>
    <w:p w14:paraId="3691AE0A">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（6）投标文件附有采购人不能接受的条件；</w:t>
      </w:r>
    </w:p>
    <w:p w14:paraId="49403D25">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（7）授权代表未提供有效法定代表人授权委托书的；</w:t>
      </w:r>
    </w:p>
    <w:p w14:paraId="77477804">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（8）</w:t>
      </w:r>
      <w:r>
        <w:rPr>
          <w:rFonts w:ascii="新宋体" w:hAnsi="新宋体" w:eastAsia="新宋体"/>
          <w:b/>
          <w:color w:val="auto"/>
          <w:sz w:val="22"/>
          <w:highlight w:val="none"/>
        </w:rPr>
        <w:t>同一投标</w:t>
      </w:r>
      <w:r>
        <w:rPr>
          <w:rFonts w:hint="eastAsia" w:ascii="新宋体" w:hAnsi="新宋体" w:eastAsia="新宋体"/>
          <w:b/>
          <w:color w:val="auto"/>
          <w:sz w:val="22"/>
          <w:highlight w:val="none"/>
        </w:rPr>
        <w:t>供应商</w:t>
      </w:r>
      <w:r>
        <w:rPr>
          <w:rFonts w:ascii="新宋体" w:hAnsi="新宋体" w:eastAsia="新宋体"/>
          <w:b/>
          <w:color w:val="auto"/>
          <w:sz w:val="22"/>
          <w:highlight w:val="none"/>
        </w:rPr>
        <w:t>提交两个以上不同的投标文件</w:t>
      </w:r>
      <w:r>
        <w:rPr>
          <w:rFonts w:hint="eastAsia" w:ascii="新宋体" w:hAnsi="新宋体" w:eastAsia="新宋体"/>
          <w:b/>
          <w:color w:val="auto"/>
          <w:sz w:val="22"/>
          <w:highlight w:val="none"/>
        </w:rPr>
        <w:t>（或投标方案）；</w:t>
      </w:r>
    </w:p>
    <w:p w14:paraId="0B910EF7">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（9）评标委员会认定不符合法律、法规和采购文件中规定的其他实质性要求的。</w:t>
      </w:r>
    </w:p>
    <w:p w14:paraId="3A387EC1">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3.10评审过程中，投标文件有下列情况之一的，经评标委员会认定后按无效标处理：</w:t>
      </w:r>
    </w:p>
    <w:p w14:paraId="7F934F33">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（1）投标文件未按采购文件要求签署、盖章的；</w:t>
      </w:r>
    </w:p>
    <w:p w14:paraId="258FBE4F">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（2）仅提交备份投标文件的；</w:t>
      </w:r>
    </w:p>
    <w:p w14:paraId="410F97F7">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（3）电子加密投标文件解密失败且未按规定提交备份投标文件的；</w:t>
      </w:r>
    </w:p>
    <w:p w14:paraId="5C1FC160">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（4）电子投标文件及备份投标文件均解密失败的；</w:t>
      </w:r>
    </w:p>
    <w:p w14:paraId="68C7A290">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（5）同一投标供应商提交两个以上不同的投标文件（或投标方案）或者投标报价的；</w:t>
      </w:r>
    </w:p>
    <w:p w14:paraId="2FE7386F">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（6）未按照采购文件标明币种进行报价的，或者投标报价涵盖的内容不符合采购文件要求的，或者投标报价超过采购预算（或最高限价）或者投标单价超过采购预算单价（或单价最高限价）的；</w:t>
      </w:r>
    </w:p>
    <w:p w14:paraId="6F4BC11D">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（7）评标委员会认定供应商的报价明显低于其他通过符合性审查投标供应商的报价，有可能影响产品质量或者服务质量或不能诚信履约的，但该供应商不能证明其报价合理性的；</w:t>
      </w:r>
    </w:p>
    <w:p w14:paraId="0E4CAC5D">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（8）评标委员会认为投标文件未实质性响应采购文件的要求的；</w:t>
      </w:r>
    </w:p>
    <w:p w14:paraId="34E42415">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（9）投标文件含有采购人不能接受的附加条件的；</w:t>
      </w:r>
    </w:p>
    <w:p w14:paraId="3E4030FD">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（10）存在串标、抬标或弄虚作假情况的；</w:t>
      </w:r>
    </w:p>
    <w:p w14:paraId="180BBF19">
      <w:pPr>
        <w:spacing w:line="440" w:lineRule="exact"/>
        <w:ind w:left="730" w:leftChars="85" w:hanging="552" w:hangingChars="250"/>
        <w:rPr>
          <w:color w:val="auto"/>
          <w:highlight w:val="none"/>
        </w:rPr>
      </w:pPr>
      <w:r>
        <w:rPr>
          <w:rFonts w:hint="eastAsia" w:ascii="新宋体" w:hAnsi="新宋体" w:eastAsia="新宋体"/>
          <w:b/>
          <w:color w:val="auto"/>
          <w:sz w:val="22"/>
          <w:highlight w:val="none"/>
        </w:rPr>
        <w:t>（11）投标文件报价出现前后不一致的，又不接受对其价格错误进行修正的；</w:t>
      </w:r>
    </w:p>
    <w:p w14:paraId="53ECA302">
      <w:pPr>
        <w:spacing w:line="440" w:lineRule="exact"/>
        <w:ind w:left="730" w:leftChars="85" w:hanging="552" w:hangingChars="250"/>
        <w:rPr>
          <w:rFonts w:ascii="新宋体" w:hAnsi="新宋体" w:eastAsia="新宋体"/>
          <w:b/>
          <w:color w:val="auto"/>
          <w:sz w:val="22"/>
          <w:highlight w:val="none"/>
        </w:rPr>
      </w:pPr>
      <w:r>
        <w:rPr>
          <w:rFonts w:hint="eastAsia" w:ascii="新宋体" w:hAnsi="新宋体" w:eastAsia="新宋体"/>
          <w:b/>
          <w:color w:val="auto"/>
          <w:sz w:val="22"/>
          <w:highlight w:val="none"/>
        </w:rPr>
        <w:t>（12）评标委员会认定不符合法律、法规和采购文件中规定的其他实质性要求的。</w:t>
      </w:r>
    </w:p>
    <w:p w14:paraId="2E31367C">
      <w:pPr>
        <w:spacing w:line="460" w:lineRule="exact"/>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3.11 投标文件报价出现前后不一致的，按照下列规定修正：</w:t>
      </w:r>
    </w:p>
    <w:p w14:paraId="6569CC52">
      <w:pPr>
        <w:spacing w:line="460" w:lineRule="exact"/>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ascii="新宋体" w:hAnsi="新宋体" w:eastAsia="新宋体"/>
          <w:bCs/>
          <w:color w:val="auto"/>
          <w:sz w:val="22"/>
          <w:szCs w:val="22"/>
          <w:highlight w:val="none"/>
        </w:rPr>
        <w:t>投标文件中开标一览表内容与</w:t>
      </w:r>
      <w:r>
        <w:rPr>
          <w:rFonts w:hint="eastAsia" w:ascii="新宋体" w:hAnsi="新宋体" w:eastAsia="新宋体"/>
          <w:bCs/>
          <w:color w:val="auto"/>
          <w:sz w:val="22"/>
          <w:szCs w:val="22"/>
          <w:highlight w:val="none"/>
        </w:rPr>
        <w:t>分项报价表</w:t>
      </w:r>
      <w:r>
        <w:rPr>
          <w:rFonts w:ascii="新宋体" w:hAnsi="新宋体" w:eastAsia="新宋体"/>
          <w:bCs/>
          <w:color w:val="auto"/>
          <w:sz w:val="22"/>
          <w:szCs w:val="22"/>
          <w:highlight w:val="none"/>
        </w:rPr>
        <w:t>内容不一致的，以开标一览表为准</w:t>
      </w:r>
      <w:r>
        <w:rPr>
          <w:rFonts w:hint="eastAsia" w:ascii="新宋体" w:hAnsi="新宋体" w:eastAsia="新宋体"/>
          <w:bCs/>
          <w:color w:val="auto"/>
          <w:sz w:val="22"/>
          <w:szCs w:val="22"/>
          <w:highlight w:val="none"/>
        </w:rPr>
        <w:t>；</w:t>
      </w:r>
    </w:p>
    <w:p w14:paraId="4619AB95">
      <w:pPr>
        <w:spacing w:line="460" w:lineRule="exact"/>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w:t>
      </w:r>
      <w:r>
        <w:rPr>
          <w:rFonts w:ascii="新宋体" w:hAnsi="新宋体" w:eastAsia="新宋体"/>
          <w:bCs/>
          <w:color w:val="auto"/>
          <w:sz w:val="22"/>
          <w:szCs w:val="22"/>
          <w:highlight w:val="none"/>
        </w:rPr>
        <w:t>大写金额和小写金额不一致的，以大写金额为准</w:t>
      </w:r>
      <w:r>
        <w:rPr>
          <w:rFonts w:hint="eastAsia" w:ascii="新宋体" w:hAnsi="新宋体" w:eastAsia="新宋体"/>
          <w:bCs/>
          <w:color w:val="auto"/>
          <w:sz w:val="22"/>
          <w:szCs w:val="22"/>
          <w:highlight w:val="none"/>
        </w:rPr>
        <w:t>；</w:t>
      </w:r>
    </w:p>
    <w:p w14:paraId="01350AC4">
      <w:pPr>
        <w:spacing w:line="460" w:lineRule="exact"/>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w:t>
      </w:r>
      <w:r>
        <w:rPr>
          <w:rFonts w:ascii="新宋体" w:hAnsi="新宋体" w:eastAsia="新宋体"/>
          <w:bCs/>
          <w:color w:val="auto"/>
          <w:sz w:val="22"/>
          <w:szCs w:val="22"/>
          <w:highlight w:val="none"/>
        </w:rPr>
        <w:t>单价金额小数点或者百分比有明显错位的，以开标一览表的总价为准，并修改单价</w:t>
      </w:r>
      <w:r>
        <w:rPr>
          <w:rFonts w:hint="eastAsia" w:ascii="新宋体" w:hAnsi="新宋体" w:eastAsia="新宋体"/>
          <w:bCs/>
          <w:color w:val="auto"/>
          <w:sz w:val="22"/>
          <w:szCs w:val="22"/>
          <w:highlight w:val="none"/>
        </w:rPr>
        <w:t>；</w:t>
      </w:r>
    </w:p>
    <w:p w14:paraId="0761F636">
      <w:pPr>
        <w:spacing w:line="460" w:lineRule="exact"/>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w:t>
      </w:r>
      <w:r>
        <w:rPr>
          <w:rFonts w:ascii="新宋体" w:hAnsi="新宋体" w:eastAsia="新宋体"/>
          <w:bCs/>
          <w:color w:val="auto"/>
          <w:sz w:val="22"/>
          <w:szCs w:val="22"/>
          <w:highlight w:val="none"/>
        </w:rPr>
        <w:t>总价金额与按单价汇总金额不一致的，以单价金额计算结果为准。</w:t>
      </w:r>
    </w:p>
    <w:p w14:paraId="40F1195A">
      <w:pPr>
        <w:spacing w:line="460" w:lineRule="exact"/>
        <w:ind w:left="525" w:leftChars="250"/>
        <w:rPr>
          <w:rFonts w:ascii="新宋体" w:hAnsi="新宋体" w:eastAsia="新宋体"/>
          <w:bCs/>
          <w:color w:val="auto"/>
          <w:sz w:val="22"/>
          <w:szCs w:val="22"/>
          <w:highlight w:val="none"/>
        </w:rPr>
      </w:pPr>
      <w:r>
        <w:rPr>
          <w:rFonts w:ascii="新宋体" w:hAnsi="新宋体" w:eastAsia="新宋体"/>
          <w:bCs/>
          <w:color w:val="auto"/>
          <w:sz w:val="22"/>
          <w:szCs w:val="22"/>
          <w:highlight w:val="none"/>
        </w:rPr>
        <w:t>同时出现两种以上不一致的，按照前款规定的顺序修正。</w:t>
      </w:r>
      <w:r>
        <w:rPr>
          <w:rFonts w:hint="eastAsia" w:ascii="新宋体" w:hAnsi="新宋体" w:eastAsia="新宋体"/>
          <w:bCs/>
          <w:color w:val="auto"/>
          <w:sz w:val="22"/>
          <w:szCs w:val="22"/>
          <w:highlight w:val="none"/>
        </w:rPr>
        <w:t>▲</w:t>
      </w:r>
      <w:r>
        <w:rPr>
          <w:rFonts w:hint="eastAsia" w:ascii="新宋体" w:hAnsi="新宋体" w:eastAsia="新宋体"/>
          <w:bCs/>
          <w:color w:val="auto"/>
          <w:sz w:val="22"/>
          <w:szCs w:val="22"/>
          <w:highlight w:val="none"/>
          <w:u w:val="single"/>
        </w:rPr>
        <w:t>如果投标供应商不接受对其价格错误进行修正，其投标无效。</w:t>
      </w:r>
    </w:p>
    <w:p w14:paraId="0CB580E8">
      <w:pPr>
        <w:spacing w:line="440" w:lineRule="exact"/>
        <w:ind w:left="592" w:leftChars="2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   评标过程中遇到特殊情况，由评标委员会遵循公开、公正原则，采取投票方式按照少数服从多数原则决定。</w:t>
      </w:r>
    </w:p>
    <w:p w14:paraId="15C0AFBF">
      <w:pPr>
        <w:tabs>
          <w:tab w:val="left" w:pos="1365"/>
        </w:tabs>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  投标文件的澄清</w:t>
      </w:r>
    </w:p>
    <w:p w14:paraId="78A9BFC8">
      <w:pPr>
        <w:tabs>
          <w:tab w:val="left" w:pos="1365"/>
        </w:tabs>
        <w:spacing w:line="46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5.1  </w:t>
      </w:r>
      <w:r>
        <w:rPr>
          <w:rFonts w:ascii="新宋体" w:hAnsi="新宋体" w:eastAsia="新宋体"/>
          <w:color w:val="auto"/>
          <w:sz w:val="22"/>
          <w:szCs w:val="22"/>
          <w:highlight w:val="none"/>
        </w:rPr>
        <w:t>对于投标文件中含义不明确、同类问题表述不一致或者有明显文字和计算错误的内容，评标委员会应当以书面形式</w:t>
      </w:r>
      <w:r>
        <w:rPr>
          <w:rFonts w:hint="eastAsia" w:ascii="新宋体" w:hAnsi="新宋体" w:eastAsia="新宋体"/>
          <w:color w:val="auto"/>
          <w:sz w:val="22"/>
          <w:szCs w:val="22"/>
          <w:highlight w:val="none"/>
        </w:rPr>
        <w:t>（或通过“政府采购云平台”在线询标）</w:t>
      </w:r>
      <w:r>
        <w:rPr>
          <w:rFonts w:ascii="新宋体" w:hAnsi="新宋体" w:eastAsia="新宋体"/>
          <w:color w:val="auto"/>
          <w:sz w:val="22"/>
          <w:szCs w:val="22"/>
          <w:highlight w:val="none"/>
        </w:rPr>
        <w:t>要求投标</w:t>
      </w:r>
      <w:r>
        <w:rPr>
          <w:rFonts w:hint="eastAsia" w:ascii="新宋体" w:hAnsi="新宋体" w:eastAsia="新宋体"/>
          <w:color w:val="auto"/>
          <w:sz w:val="22"/>
          <w:szCs w:val="22"/>
          <w:highlight w:val="none"/>
        </w:rPr>
        <w:t>供应商在30分钟内</w:t>
      </w:r>
      <w:r>
        <w:rPr>
          <w:rFonts w:ascii="新宋体" w:hAnsi="新宋体" w:eastAsia="新宋体"/>
          <w:color w:val="auto"/>
          <w:sz w:val="22"/>
          <w:szCs w:val="22"/>
          <w:highlight w:val="none"/>
        </w:rPr>
        <w:t>作出必要的澄清、说明或者补正。投标</w:t>
      </w:r>
      <w:r>
        <w:rPr>
          <w:rFonts w:hint="eastAsia" w:ascii="新宋体" w:hAnsi="新宋体" w:eastAsia="新宋体"/>
          <w:color w:val="auto"/>
          <w:sz w:val="22"/>
          <w:szCs w:val="22"/>
          <w:highlight w:val="none"/>
        </w:rPr>
        <w:t>供应商</w:t>
      </w:r>
      <w:r>
        <w:rPr>
          <w:rFonts w:ascii="新宋体" w:hAnsi="新宋体" w:eastAsia="新宋体"/>
          <w:color w:val="auto"/>
          <w:sz w:val="22"/>
          <w:szCs w:val="22"/>
          <w:highlight w:val="none"/>
        </w:rPr>
        <w:t>的澄清、说明或者补正应当采用书面形式</w:t>
      </w:r>
      <w:r>
        <w:rPr>
          <w:rFonts w:hint="eastAsia" w:ascii="新宋体" w:hAnsi="新宋体" w:eastAsia="新宋体"/>
          <w:color w:val="auto"/>
          <w:sz w:val="22"/>
          <w:szCs w:val="22"/>
          <w:highlight w:val="none"/>
        </w:rPr>
        <w:t>（或通过“政府采购云平台”在线答复）</w:t>
      </w:r>
      <w:r>
        <w:rPr>
          <w:rFonts w:ascii="新宋体" w:hAnsi="新宋体" w:eastAsia="新宋体"/>
          <w:color w:val="auto"/>
          <w:sz w:val="22"/>
          <w:szCs w:val="22"/>
          <w:highlight w:val="none"/>
        </w:rPr>
        <w:t>，并加盖公章</w:t>
      </w:r>
      <w:r>
        <w:rPr>
          <w:rFonts w:hint="eastAsia" w:ascii="新宋体" w:hAnsi="新宋体" w:eastAsia="新宋体"/>
          <w:color w:val="auto"/>
          <w:sz w:val="22"/>
          <w:szCs w:val="22"/>
          <w:highlight w:val="none"/>
        </w:rPr>
        <w:t>（实体公章或电子签章）</w:t>
      </w:r>
      <w:r>
        <w:rPr>
          <w:rFonts w:ascii="新宋体" w:hAnsi="新宋体" w:eastAsia="新宋体"/>
          <w:color w:val="auto"/>
          <w:sz w:val="22"/>
          <w:szCs w:val="22"/>
          <w:highlight w:val="none"/>
        </w:rPr>
        <w:t>，或者由法定代表人或其授权的代表签字。投标</w:t>
      </w:r>
      <w:r>
        <w:rPr>
          <w:rFonts w:hint="eastAsia" w:ascii="新宋体" w:hAnsi="新宋体" w:eastAsia="新宋体"/>
          <w:color w:val="auto"/>
          <w:sz w:val="22"/>
          <w:szCs w:val="22"/>
          <w:highlight w:val="none"/>
        </w:rPr>
        <w:t>供应商</w:t>
      </w:r>
      <w:r>
        <w:rPr>
          <w:rFonts w:ascii="新宋体" w:hAnsi="新宋体" w:eastAsia="新宋体"/>
          <w:color w:val="auto"/>
          <w:sz w:val="22"/>
          <w:szCs w:val="22"/>
          <w:highlight w:val="none"/>
        </w:rPr>
        <w:t>的澄清、说明或者补正不得超出投标文件的范围或者改变投标文件的实质性内容。</w:t>
      </w:r>
      <w:r>
        <w:rPr>
          <w:rFonts w:hint="eastAsia" w:ascii="新宋体" w:hAnsi="新宋体" w:eastAsia="新宋体"/>
          <w:color w:val="auto"/>
          <w:sz w:val="22"/>
          <w:szCs w:val="22"/>
          <w:highlight w:val="none"/>
        </w:rPr>
        <w:t>拒不按要求对其投标文件进行澄清，说明或补正的投标供应商，评标委员会可以否决其投标。</w:t>
      </w:r>
    </w:p>
    <w:p w14:paraId="73206027">
      <w:pPr>
        <w:tabs>
          <w:tab w:val="left" w:pos="1365"/>
        </w:tabs>
        <w:spacing w:line="460" w:lineRule="exact"/>
        <w:ind w:left="550" w:hanging="550" w:hangingChars="250"/>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5.2  ▲</w:t>
      </w:r>
      <w:r>
        <w:rPr>
          <w:rFonts w:hint="eastAsia" w:ascii="新宋体" w:hAnsi="新宋体" w:eastAsia="新宋体"/>
          <w:b/>
          <w:color w:val="auto"/>
          <w:sz w:val="22"/>
          <w:szCs w:val="22"/>
          <w:highlight w:val="none"/>
          <w:u w:val="single"/>
        </w:rPr>
        <w:t>经澄清后，若偏差仍存在，且不可接受，投标供应商则被认为是“没有实质性响应采购文件要求”，其投标不进入下一步评审。</w:t>
      </w:r>
    </w:p>
    <w:p w14:paraId="76879974">
      <w:pPr>
        <w:tabs>
          <w:tab w:val="left" w:pos="1365"/>
        </w:tabs>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  确定中标候选供应商</w:t>
      </w:r>
    </w:p>
    <w:p w14:paraId="4EE22AEE">
      <w:pPr>
        <w:tabs>
          <w:tab w:val="left" w:pos="1365"/>
        </w:tabs>
        <w:spacing w:line="46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6.1  本次招标由评标委员会确定2名中标候选供应商并向采购人推荐，采购人根据评标委员会的推荐结果按顺序确定中标供应商。</w:t>
      </w:r>
    </w:p>
    <w:p w14:paraId="73C531F9">
      <w:pPr>
        <w:tabs>
          <w:tab w:val="left" w:pos="1365"/>
        </w:tabs>
        <w:spacing w:line="460" w:lineRule="exact"/>
        <w:ind w:left="556" w:leftChars="2" w:hanging="552" w:hangingChars="250"/>
        <w:rPr>
          <w:rFonts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rPr>
        <w:t xml:space="preserve">6.2  </w:t>
      </w:r>
      <w:r>
        <w:rPr>
          <w:rFonts w:hint="eastAsia" w:ascii="新宋体" w:hAnsi="新宋体" w:eastAsia="新宋体"/>
          <w:b/>
          <w:bCs/>
          <w:color w:val="auto"/>
          <w:sz w:val="22"/>
          <w:szCs w:val="22"/>
          <w:highlight w:val="none"/>
          <w:u w:val="single"/>
        </w:rPr>
        <w:t>评标委员会依据法律、法规及采购文件有关规定按有效投标供应商的综合得分（即商务技术分与价格分之和）高低进行排序，综合得分最高、次高的投标人作为第一、第二中标候选人（综合得分相同投标报价低的优先；综合得分和投标报价均相同的，商务技术得分高的优先；综合得分、报价、商务技术得分均相同的，抽签决定名次）向招标人推荐，并提交评标报告。</w:t>
      </w:r>
    </w:p>
    <w:p w14:paraId="10EA28AC">
      <w:pPr>
        <w:tabs>
          <w:tab w:val="left" w:pos="1365"/>
        </w:tabs>
        <w:spacing w:line="460" w:lineRule="exact"/>
        <w:ind w:left="554" w:leftChars="2"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6.3  排名第一的中标候选供应商放弃中标；因不可抗力或自身原因提出不能履行合同；或者采购文件规定；或未能在规定时间内与采购人签订合同的；</w:t>
      </w:r>
      <w:r>
        <w:rPr>
          <w:rFonts w:hint="eastAsia" w:ascii="新宋体" w:hAnsi="新宋体" w:eastAsia="新宋体"/>
          <w:color w:val="auto"/>
          <w:spacing w:val="6"/>
          <w:sz w:val="22"/>
          <w:szCs w:val="22"/>
          <w:highlight w:val="none"/>
        </w:rPr>
        <w:t>或在规定时间内借故否认已经承诺的条件而拒签合同的；</w:t>
      </w:r>
      <w:r>
        <w:rPr>
          <w:rFonts w:hint="eastAsia" w:ascii="新宋体" w:hAnsi="新宋体" w:eastAsia="新宋体"/>
          <w:color w:val="auto"/>
          <w:sz w:val="22"/>
          <w:szCs w:val="22"/>
          <w:highlight w:val="none"/>
        </w:rPr>
        <w:t>或已签合同却拒绝按合同约定履约的；或者因排名第一的候选供应商在本次采购活动中存在违法违规行为或其他原因被取消中标资格的，采购人可确定由排名第二的候选供应商为中标供应商，</w:t>
      </w:r>
      <w:r>
        <w:rPr>
          <w:rFonts w:hint="eastAsia" w:ascii="新宋体" w:hAnsi="新宋体" w:eastAsia="新宋体" w:cs="Arial"/>
          <w:bCs/>
          <w:color w:val="auto"/>
          <w:sz w:val="22"/>
          <w:szCs w:val="22"/>
          <w:highlight w:val="none"/>
        </w:rPr>
        <w:t>也可以重新开展政府采购活动。</w:t>
      </w:r>
    </w:p>
    <w:p w14:paraId="1BA70973">
      <w:pPr>
        <w:tabs>
          <w:tab w:val="left" w:pos="1365"/>
        </w:tabs>
        <w:spacing w:line="460" w:lineRule="exact"/>
        <w:ind w:left="541" w:hanging="541" w:hanging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6.4  采购人根据采购文件、中标供应商的投标文件、合同等材料及时组织验收，并严把质量关。</w:t>
      </w:r>
    </w:p>
    <w:p w14:paraId="690A7EF7">
      <w:pPr>
        <w:tabs>
          <w:tab w:val="left" w:pos="1365"/>
        </w:tabs>
        <w:spacing w:line="460" w:lineRule="exac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6.5  采购人对决标结果不做任何解释，也不保证最低价中标。</w:t>
      </w:r>
    </w:p>
    <w:p w14:paraId="79A7A830">
      <w:pPr>
        <w:spacing w:line="460" w:lineRule="exac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7．  评标细则详见第五部分“评标原则及方法”。</w:t>
      </w:r>
    </w:p>
    <w:p w14:paraId="17405A1A">
      <w:pPr>
        <w:spacing w:line="460" w:lineRule="exac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8．  未详尽事宜，遵照有关法律法规执行。</w:t>
      </w:r>
    </w:p>
    <w:p w14:paraId="26A0D8B6">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   特别说明：如遇“政府采购云平台”电子化开标或评审程序调整的，按调整后程序执行。</w:t>
      </w:r>
    </w:p>
    <w:p w14:paraId="142C1731">
      <w:pPr>
        <w:pStyle w:val="6"/>
        <w:spacing w:line="420" w:lineRule="exact"/>
        <w:jc w:val="center"/>
        <w:rPr>
          <w:rFonts w:ascii="新宋体" w:hAnsi="新宋体" w:eastAsia="新宋体"/>
          <w:color w:val="auto"/>
          <w:sz w:val="24"/>
          <w:szCs w:val="24"/>
          <w:highlight w:val="none"/>
        </w:rPr>
      </w:pPr>
      <w:bookmarkStart w:id="28" w:name="_Toc306613654"/>
      <w:bookmarkStart w:id="29" w:name="_Toc35974569"/>
      <w:bookmarkStart w:id="30" w:name="_Toc63412057"/>
      <w:r>
        <w:rPr>
          <w:rFonts w:hint="eastAsia" w:ascii="新宋体" w:hAnsi="新宋体" w:eastAsia="新宋体"/>
          <w:color w:val="auto"/>
          <w:sz w:val="24"/>
          <w:szCs w:val="24"/>
          <w:highlight w:val="none"/>
        </w:rPr>
        <w:t>六、 授予合同</w:t>
      </w:r>
      <w:bookmarkEnd w:id="28"/>
      <w:bookmarkEnd w:id="29"/>
      <w:bookmarkEnd w:id="30"/>
    </w:p>
    <w:p w14:paraId="24D9DEF5">
      <w:pPr>
        <w:spacing w:line="44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  中标结果公告</w:t>
      </w:r>
    </w:p>
    <w:p w14:paraId="0788F19F">
      <w:pPr>
        <w:spacing w:line="44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  评标委员会推荐的中标候选人经采购人确认为中标供应商后，在浙江省政府采购网上发布中标结果公告，公告期1个工作日。</w:t>
      </w:r>
    </w:p>
    <w:p w14:paraId="1A210D3D">
      <w:pPr>
        <w:spacing w:line="440" w:lineRule="exact"/>
        <w:ind w:left="442" w:hanging="442" w:hangingChars="200"/>
        <w:rPr>
          <w:rFonts w:ascii="新宋体" w:hAnsi="新宋体" w:eastAsia="新宋体"/>
          <w:bCs/>
          <w:color w:val="auto"/>
          <w:sz w:val="22"/>
          <w:szCs w:val="22"/>
          <w:highlight w:val="none"/>
        </w:rPr>
      </w:pPr>
      <w:r>
        <w:rPr>
          <w:rFonts w:hint="eastAsia" w:ascii="新宋体" w:hAnsi="新宋体" w:eastAsia="新宋体"/>
          <w:b/>
          <w:bCs/>
          <w:color w:val="auto"/>
          <w:sz w:val="22"/>
          <w:szCs w:val="22"/>
          <w:highlight w:val="none"/>
        </w:rPr>
        <w:t xml:space="preserve">2． </w:t>
      </w:r>
      <w:r>
        <w:rPr>
          <w:rFonts w:hint="eastAsia" w:ascii="新宋体" w:hAnsi="新宋体" w:eastAsia="新宋体"/>
          <w:bCs/>
          <w:color w:val="auto"/>
          <w:sz w:val="22"/>
          <w:szCs w:val="22"/>
          <w:highlight w:val="none"/>
        </w:rPr>
        <w:t xml:space="preserve"> </w:t>
      </w:r>
      <w:r>
        <w:rPr>
          <w:rFonts w:hint="eastAsia" w:ascii="新宋体" w:hAnsi="新宋体" w:eastAsia="新宋体"/>
          <w:b/>
          <w:bCs/>
          <w:color w:val="auto"/>
          <w:sz w:val="22"/>
          <w:szCs w:val="22"/>
          <w:highlight w:val="none"/>
        </w:rPr>
        <w:t>中标通知书</w:t>
      </w:r>
    </w:p>
    <w:p w14:paraId="7661CD6E">
      <w:pPr>
        <w:spacing w:line="440" w:lineRule="exact"/>
        <w:ind w:left="440" w:hanging="440" w:hangingChars="20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 xml:space="preserve">2.1  </w:t>
      </w:r>
      <w:r>
        <w:rPr>
          <w:rFonts w:hint="eastAsia" w:ascii="新宋体" w:hAnsi="新宋体" w:eastAsia="新宋体"/>
          <w:color w:val="auto"/>
          <w:sz w:val="22"/>
          <w:szCs w:val="22"/>
          <w:highlight w:val="none"/>
        </w:rPr>
        <w:t xml:space="preserve">中标供应商确定后，采购人将向中标供应商发出中标通知书。 </w:t>
      </w:r>
    </w:p>
    <w:p w14:paraId="004B4B7C">
      <w:pPr>
        <w:spacing w:line="440" w:lineRule="exact"/>
        <w:ind w:left="440" w:hanging="440" w:hangingChars="20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 xml:space="preserve">2.2  </w:t>
      </w:r>
      <w:r>
        <w:rPr>
          <w:rFonts w:hint="eastAsia" w:ascii="新宋体" w:hAnsi="新宋体" w:eastAsia="新宋体"/>
          <w:color w:val="auto"/>
          <w:sz w:val="22"/>
          <w:szCs w:val="22"/>
          <w:highlight w:val="none"/>
        </w:rPr>
        <w:t>中标通知书是合同的一个组成部分,对采购人和中标供应商均具有同等法律效力。</w:t>
      </w:r>
    </w:p>
    <w:p w14:paraId="257C5B95">
      <w:pPr>
        <w:spacing w:line="440" w:lineRule="exact"/>
        <w:ind w:left="440" w:hanging="440" w:hangingChars="20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  签订合同</w:t>
      </w:r>
    </w:p>
    <w:p w14:paraId="0057B95B">
      <w:pPr>
        <w:spacing w:line="440" w:lineRule="exact"/>
        <w:ind w:left="440" w:hanging="440" w:hangingChars="20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3.1  中标供应商应按中标通知书规定的时间、地点与采购人签订合同。</w:t>
      </w:r>
    </w:p>
    <w:p w14:paraId="5F09965F">
      <w:pPr>
        <w:spacing w:line="440" w:lineRule="exact"/>
        <w:ind w:left="550" w:hanging="550" w:hangingChars="25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w:t>
      </w:r>
      <w:r>
        <w:rPr>
          <w:rFonts w:hint="eastAsia" w:ascii="新宋体" w:hAnsi="新宋体" w:eastAsia="新宋体"/>
          <w:color w:val="auto"/>
          <w:sz w:val="22"/>
          <w:szCs w:val="22"/>
          <w:highlight w:val="none"/>
        </w:rPr>
        <w:t>.2  采购文件、中标供应商的投标文件、投标修改文件、评标过程中有关澄清文件及经投标供应商和评委双方签字的询标纪要和中标通知书均作为合同附件。</w:t>
      </w:r>
    </w:p>
    <w:p w14:paraId="1D569401">
      <w:pPr>
        <w:spacing w:line="440" w:lineRule="exact"/>
        <w:ind w:left="440" w:hanging="440" w:hangingChars="20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w:t>
      </w:r>
      <w:r>
        <w:rPr>
          <w:rFonts w:hint="eastAsia" w:ascii="新宋体" w:hAnsi="新宋体" w:eastAsia="新宋体"/>
          <w:color w:val="auto"/>
          <w:sz w:val="22"/>
          <w:szCs w:val="22"/>
          <w:highlight w:val="none"/>
        </w:rPr>
        <w:t>.3  拒签合同的违约责任</w:t>
      </w:r>
    </w:p>
    <w:p w14:paraId="76703E5C">
      <w:pPr>
        <w:spacing w:line="440" w:lineRule="exact"/>
        <w:ind w:left="565" w:leftChars="269"/>
        <w:rPr>
          <w:rFonts w:ascii="新宋体" w:hAnsi="新宋体" w:eastAsia="新宋体"/>
          <w:b/>
          <w:color w:val="auto"/>
          <w:spacing w:val="6"/>
          <w:sz w:val="22"/>
          <w:szCs w:val="22"/>
          <w:highlight w:val="none"/>
        </w:rPr>
      </w:pPr>
      <w:r>
        <w:rPr>
          <w:rFonts w:hint="eastAsia" w:ascii="新宋体" w:hAnsi="新宋体" w:eastAsia="新宋体"/>
          <w:b/>
          <w:color w:val="auto"/>
          <w:spacing w:val="6"/>
          <w:sz w:val="22"/>
          <w:szCs w:val="22"/>
          <w:highlight w:val="none"/>
        </w:rPr>
        <w:t>中标供应商接到中标通知书后，在规定时间内借故否认已经承诺的条件而拒签合同的，按自动弃标处理。如已签合同却拒绝按合同约定履行，以违约处理，采购人可单方终止合同，并上报采购监管部门。</w:t>
      </w:r>
    </w:p>
    <w:p w14:paraId="463372AD">
      <w:pPr>
        <w:spacing w:line="440" w:lineRule="exact"/>
        <w:ind w:left="539" w:hanging="539" w:hangingChars="245"/>
        <w:rPr>
          <w:rFonts w:ascii="新宋体" w:hAnsi="新宋体" w:eastAsia="新宋体"/>
          <w:b/>
          <w:color w:val="auto"/>
          <w:spacing w:val="6"/>
          <w:sz w:val="22"/>
          <w:szCs w:val="22"/>
          <w:highlight w:val="none"/>
        </w:rPr>
      </w:pPr>
      <w:r>
        <w:rPr>
          <w:rFonts w:hint="eastAsia" w:ascii="新宋体" w:hAnsi="新宋体" w:eastAsia="新宋体"/>
          <w:bCs/>
          <w:color w:val="auto"/>
          <w:sz w:val="22"/>
          <w:szCs w:val="22"/>
          <w:highlight w:val="none"/>
        </w:rPr>
        <w:t>3</w:t>
      </w:r>
      <w:r>
        <w:rPr>
          <w:rFonts w:hint="eastAsia" w:ascii="新宋体" w:hAnsi="新宋体" w:eastAsia="新宋体"/>
          <w:b/>
          <w:color w:val="auto"/>
          <w:spacing w:val="6"/>
          <w:sz w:val="22"/>
          <w:szCs w:val="22"/>
          <w:highlight w:val="none"/>
        </w:rPr>
        <w:t>.4  合同一式四份，其中采购人二份，中标供应商二份。中标供应商在采购合同签订2日历天内将合同原件扫描件电子版发给招标代理机构。</w:t>
      </w:r>
    </w:p>
    <w:p w14:paraId="125C9089">
      <w:pPr>
        <w:spacing w:line="440" w:lineRule="exact"/>
        <w:rPr>
          <w:rFonts w:ascii="新宋体" w:hAnsi="新宋体" w:eastAsia="新宋体"/>
          <w:b/>
          <w:color w:val="auto"/>
          <w:spacing w:val="6"/>
          <w:sz w:val="22"/>
          <w:szCs w:val="22"/>
          <w:highlight w:val="none"/>
        </w:rPr>
      </w:pPr>
      <w:r>
        <w:rPr>
          <w:rFonts w:hint="eastAsia" w:ascii="新宋体" w:hAnsi="新宋体" w:eastAsia="新宋体"/>
          <w:b/>
          <w:color w:val="auto"/>
          <w:spacing w:val="6"/>
          <w:sz w:val="22"/>
          <w:szCs w:val="22"/>
          <w:highlight w:val="none"/>
        </w:rPr>
        <w:t>4．  履约保证金：见投标须知前附表。</w:t>
      </w:r>
    </w:p>
    <w:p w14:paraId="247BB92D">
      <w:pPr>
        <w:spacing w:line="440" w:lineRule="exact"/>
        <w:ind w:left="552" w:hanging="552" w:hangingChars="25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5．  质疑与投诉</w:t>
      </w:r>
    </w:p>
    <w:p w14:paraId="729C0490">
      <w:pPr>
        <w:spacing w:line="44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5.1  投标供应商认为采购文件、采购过程、中标和成交结果使自己的合法权益受到损害的，可以在知道或应知道其权益受到损害之日起七个工作日内以书面形式向招标采购单位提出质疑。</w:t>
      </w:r>
      <w:r>
        <w:rPr>
          <w:rFonts w:ascii="新宋体" w:hAnsi="新宋体" w:eastAsia="新宋体"/>
          <w:color w:val="auto"/>
          <w:sz w:val="22"/>
          <w:szCs w:val="22"/>
          <w:highlight w:val="none"/>
        </w:rPr>
        <w:t>对采购文件提出质疑的，应当在获取采购文件或者采购文件公告期限届满之日起7个工作日内</w:t>
      </w:r>
      <w:r>
        <w:rPr>
          <w:rFonts w:hint="eastAsia" w:ascii="新宋体" w:hAnsi="新宋体" w:eastAsia="新宋体"/>
          <w:color w:val="auto"/>
          <w:sz w:val="22"/>
          <w:szCs w:val="22"/>
          <w:highlight w:val="none"/>
        </w:rPr>
        <w:t>，否则将不予接受。对采购结果提出质疑的，质疑期限自采购结果公告（包括公示、预公告、结果变更公告等）期限届满之日起计算。</w:t>
      </w:r>
    </w:p>
    <w:p w14:paraId="2FEF6ED9">
      <w:pPr>
        <w:spacing w:line="440" w:lineRule="exact"/>
        <w:ind w:left="550" w:hanging="550" w:hanging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5.2  招标采购单位在收到投标供应商的书面质疑后七个工作日内作出答复，但答复的内容不得涉及商业秘密。质疑供应商对招标采购单位的答复不满意，可以在答复期满后十五个工作日内向同级政府采购监督管理部门投诉。联系方式：温州经济技术开发区财政局，联系号码：0577-86998861。</w:t>
      </w:r>
    </w:p>
    <w:p w14:paraId="574CC374">
      <w:pPr>
        <w:spacing w:line="440" w:lineRule="exact"/>
        <w:ind w:left="550" w:hanging="550" w:hangingChars="250"/>
        <w:rPr>
          <w:rFonts w:ascii="新宋体" w:hAnsi="新宋体" w:eastAsia="新宋体"/>
          <w:color w:val="auto"/>
          <w:spacing w:val="6"/>
          <w:sz w:val="22"/>
          <w:szCs w:val="22"/>
          <w:highlight w:val="none"/>
        </w:rPr>
      </w:pPr>
      <w:r>
        <w:rPr>
          <w:rFonts w:hint="eastAsia" w:ascii="新宋体" w:hAnsi="新宋体" w:eastAsia="新宋体"/>
          <w:color w:val="auto"/>
          <w:sz w:val="22"/>
          <w:szCs w:val="22"/>
          <w:highlight w:val="none"/>
        </w:rPr>
        <w:t>5.3  投诉人投诉时，应提交投诉书。投诉人对投诉书的真实性负责，恶意投诉将承当相应的法律和民事责任。</w:t>
      </w:r>
    </w:p>
    <w:p w14:paraId="40D39335">
      <w:pPr>
        <w:spacing w:line="440" w:lineRule="exact"/>
        <w:ind w:left="552" w:hanging="552" w:hangingChars="250"/>
        <w:rPr>
          <w:rFonts w:ascii="新宋体" w:hAnsi="新宋体" w:eastAsia="新宋体"/>
          <w:color w:val="auto"/>
          <w:spacing w:val="6"/>
          <w:sz w:val="22"/>
          <w:szCs w:val="22"/>
          <w:highlight w:val="none"/>
        </w:rPr>
      </w:pPr>
      <w:r>
        <w:rPr>
          <w:rFonts w:hint="eastAsia" w:ascii="新宋体" w:hAnsi="新宋体" w:eastAsia="新宋体"/>
          <w:b/>
          <w:bCs/>
          <w:color w:val="auto"/>
          <w:sz w:val="22"/>
          <w:szCs w:val="22"/>
          <w:highlight w:val="none"/>
        </w:rPr>
        <w:t>6．  招标代理服务费</w:t>
      </w:r>
    </w:p>
    <w:p w14:paraId="0A42DDD1">
      <w:pPr>
        <w:spacing w:line="420" w:lineRule="exact"/>
        <w:ind w:left="442" w:hanging="442" w:hangingChars="200"/>
        <w:rPr>
          <w:rFonts w:ascii="新宋体" w:hAnsi="新宋体" w:eastAsia="新宋体"/>
          <w:b/>
          <w:color w:val="auto"/>
          <w:sz w:val="22"/>
          <w:highlight w:val="none"/>
        </w:rPr>
      </w:pPr>
      <w:r>
        <w:rPr>
          <w:rFonts w:hint="eastAsia" w:ascii="新宋体" w:hAnsi="新宋体" w:eastAsia="新宋体"/>
          <w:b/>
          <w:color w:val="auto"/>
          <w:sz w:val="22"/>
          <w:szCs w:val="22"/>
          <w:highlight w:val="none"/>
        </w:rPr>
        <w:t xml:space="preserve">6.1  </w:t>
      </w:r>
      <w:r>
        <w:rPr>
          <w:rFonts w:hint="eastAsia" w:ascii="新宋体" w:hAnsi="新宋体" w:eastAsia="新宋体" w:cs="新宋体"/>
          <w:color w:val="auto"/>
          <w:kern w:val="2"/>
          <w:sz w:val="22"/>
          <w:szCs w:val="22"/>
          <w:highlight w:val="none"/>
          <w:lang w:val="en-US" w:eastAsia="zh-CN" w:bidi="ar-SA"/>
        </w:rPr>
        <w:t>本项目的采购代理费由中标供应商支付，以中标金额为基准，按计价格﹝2002﹞1980号《招标代理服务收费管理暂行办法》规定的服务类收费标准计取，不足捌千元，按捌千元收取。由中标人在领取中标通知书前，一次性向采购代理机构付清。</w:t>
      </w:r>
    </w:p>
    <w:p w14:paraId="11861401">
      <w:pPr>
        <w:spacing w:line="440" w:lineRule="exact"/>
        <w:rPr>
          <w:rFonts w:ascii="新宋体" w:hAnsi="新宋体" w:eastAsia="新宋体"/>
          <w:color w:val="auto"/>
          <w:sz w:val="22"/>
          <w:highlight w:val="none"/>
        </w:rPr>
      </w:pPr>
      <w:r>
        <w:rPr>
          <w:rFonts w:hint="eastAsia" w:ascii="新宋体" w:hAnsi="新宋体" w:eastAsia="新宋体"/>
          <w:color w:val="auto"/>
          <w:sz w:val="22"/>
          <w:highlight w:val="none"/>
        </w:rPr>
        <w:t xml:space="preserve">6.2  </w:t>
      </w:r>
      <w:r>
        <w:rPr>
          <w:rFonts w:hint="eastAsia" w:ascii="新宋体" w:hAnsi="新宋体" w:eastAsia="新宋体"/>
          <w:bCs/>
          <w:color w:val="auto"/>
          <w:sz w:val="22"/>
          <w:highlight w:val="none"/>
        </w:rPr>
        <w:t>招标</w:t>
      </w:r>
      <w:r>
        <w:rPr>
          <w:rFonts w:hint="eastAsia" w:ascii="新宋体" w:hAnsi="新宋体" w:eastAsia="新宋体"/>
          <w:color w:val="auto"/>
          <w:sz w:val="22"/>
          <w:highlight w:val="none"/>
        </w:rPr>
        <w:t>代理服务费可以是现金或转账。</w:t>
      </w:r>
    </w:p>
    <w:p w14:paraId="09BBB290">
      <w:pPr>
        <w:spacing w:line="420" w:lineRule="exact"/>
        <w:ind w:left="550" w:hanging="550" w:hangingChars="250"/>
        <w:rPr>
          <w:rFonts w:ascii="新宋体" w:hAnsi="新宋体" w:eastAsia="新宋体"/>
          <w:color w:val="auto"/>
          <w:sz w:val="22"/>
          <w:highlight w:val="none"/>
        </w:rPr>
      </w:pPr>
      <w:r>
        <w:rPr>
          <w:rFonts w:hint="eastAsia" w:ascii="新宋体" w:hAnsi="新宋体" w:eastAsia="新宋体"/>
          <w:color w:val="auto"/>
          <w:sz w:val="22"/>
          <w:szCs w:val="22"/>
          <w:highlight w:val="none"/>
        </w:rPr>
        <w:t>6.3  中标供应商未按规定时间交纳招标代理服务费的，将上报采购监管部门将其列入非诚信单位名单。</w:t>
      </w:r>
    </w:p>
    <w:p w14:paraId="0179D11E">
      <w:pPr>
        <w:pStyle w:val="5"/>
        <w:tabs>
          <w:tab w:val="clear" w:pos="840"/>
        </w:tabs>
        <w:adjustRightInd/>
        <w:snapToGrid/>
        <w:spacing w:before="120" w:after="120" w:line="460" w:lineRule="exact"/>
        <w:jc w:val="center"/>
        <w:rPr>
          <w:rFonts w:ascii="新宋体" w:hAnsi="新宋体" w:eastAsia="新宋体"/>
          <w:bCs/>
          <w:color w:val="auto"/>
          <w:sz w:val="32"/>
          <w:szCs w:val="32"/>
          <w:highlight w:val="none"/>
        </w:rPr>
      </w:pPr>
      <w:bookmarkStart w:id="31" w:name="_Toc63412058"/>
      <w:r>
        <w:rPr>
          <w:rFonts w:hint="eastAsia" w:ascii="新宋体" w:hAnsi="新宋体" w:eastAsia="新宋体"/>
          <w:bCs/>
          <w:color w:val="auto"/>
          <w:sz w:val="32"/>
          <w:szCs w:val="32"/>
          <w:highlight w:val="none"/>
        </w:rPr>
        <w:br w:type="page"/>
      </w:r>
      <w:r>
        <w:rPr>
          <w:rFonts w:hint="eastAsia" w:ascii="新宋体" w:hAnsi="新宋体" w:eastAsia="新宋体"/>
          <w:bCs/>
          <w:color w:val="auto"/>
          <w:sz w:val="32"/>
          <w:szCs w:val="32"/>
          <w:highlight w:val="none"/>
        </w:rPr>
        <w:t xml:space="preserve">第二部分 </w:t>
      </w:r>
      <w:bookmarkEnd w:id="31"/>
      <w:r>
        <w:rPr>
          <w:rFonts w:hint="eastAsia" w:ascii="新宋体" w:hAnsi="新宋体" w:eastAsia="新宋体"/>
          <w:bCs/>
          <w:color w:val="auto"/>
          <w:sz w:val="32"/>
          <w:szCs w:val="32"/>
          <w:highlight w:val="none"/>
        </w:rPr>
        <w:t>合同格式（参考格式）</w:t>
      </w:r>
    </w:p>
    <w:p w14:paraId="477DA8F3">
      <w:pPr>
        <w:pStyle w:val="12"/>
        <w:snapToGrid w:val="0"/>
        <w:spacing w:line="380" w:lineRule="exact"/>
        <w:rPr>
          <w:rFonts w:hAnsi="宋体" w:eastAsia="宋体" w:cs="Arial"/>
          <w:b w:val="0"/>
          <w:bCs w:val="0"/>
          <w:color w:val="auto"/>
          <w:sz w:val="22"/>
          <w:highlight w:val="none"/>
          <w:u w:val="wave"/>
        </w:rPr>
      </w:pPr>
      <w:bookmarkStart w:id="32" w:name="_Toc9361"/>
      <w:bookmarkStart w:id="33" w:name="_Toc247514197"/>
      <w:bookmarkStart w:id="34" w:name="_Toc247527798"/>
      <w:bookmarkStart w:id="35" w:name="_Toc357321394"/>
      <w:bookmarkStart w:id="36" w:name="_Toc357026799"/>
      <w:bookmarkStart w:id="37" w:name="_Toc184635122"/>
      <w:bookmarkStart w:id="38" w:name="_Toc32399"/>
    </w:p>
    <w:p w14:paraId="18369BF6">
      <w:pPr>
        <w:keepNext w:val="0"/>
        <w:keepLines w:val="0"/>
        <w:pageBreakBefore w:val="0"/>
        <w:kinsoku/>
        <w:wordWrap/>
        <w:topLinePunct w:val="0"/>
        <w:autoSpaceDE/>
        <w:autoSpaceDN/>
        <w:bidi w:val="0"/>
        <w:spacing w:line="500" w:lineRule="exact"/>
        <w:ind w:firstLine="420" w:firstLineChars="200"/>
        <w:textAlignment w:val="auto"/>
        <w:rPr>
          <w:rFonts w:ascii="新宋体" w:hAnsi="新宋体" w:eastAsia="新宋体"/>
          <w:bCs/>
          <w:color w:val="auto"/>
          <w:sz w:val="21"/>
          <w:szCs w:val="21"/>
          <w:highlight w:val="none"/>
        </w:rPr>
      </w:pPr>
      <w:r>
        <w:rPr>
          <w:rFonts w:hint="eastAsia" w:ascii="新宋体" w:hAnsi="新宋体" w:eastAsia="新宋体"/>
          <w:bCs/>
          <w:color w:val="auto"/>
          <w:sz w:val="21"/>
          <w:szCs w:val="21"/>
          <w:highlight w:val="none"/>
        </w:rPr>
        <w:t xml:space="preserve">采购单位： </w:t>
      </w:r>
      <w:r>
        <w:rPr>
          <w:rFonts w:hint="eastAsia" w:ascii="新宋体" w:hAnsi="新宋体" w:eastAsia="新宋体"/>
          <w:bCs/>
          <w:color w:val="auto"/>
          <w:sz w:val="21"/>
          <w:szCs w:val="21"/>
          <w:highlight w:val="none"/>
          <w:u w:val="single"/>
        </w:rPr>
        <w:t xml:space="preserve">                        </w:t>
      </w:r>
      <w:r>
        <w:rPr>
          <w:rFonts w:hint="eastAsia" w:ascii="新宋体" w:hAnsi="新宋体" w:eastAsia="新宋体"/>
          <w:bCs/>
          <w:color w:val="auto"/>
          <w:sz w:val="21"/>
          <w:szCs w:val="21"/>
          <w:highlight w:val="none"/>
        </w:rPr>
        <w:t>（以下简称甲方）</w:t>
      </w:r>
    </w:p>
    <w:p w14:paraId="7A59BD17">
      <w:pPr>
        <w:keepNext w:val="0"/>
        <w:keepLines w:val="0"/>
        <w:pageBreakBefore w:val="0"/>
        <w:kinsoku/>
        <w:wordWrap/>
        <w:topLinePunct w:val="0"/>
        <w:autoSpaceDE/>
        <w:autoSpaceDN/>
        <w:bidi w:val="0"/>
        <w:spacing w:line="500" w:lineRule="exact"/>
        <w:ind w:firstLine="420" w:firstLineChars="200"/>
        <w:textAlignment w:val="auto"/>
        <w:rPr>
          <w:rFonts w:ascii="新宋体" w:hAnsi="新宋体" w:eastAsia="新宋体"/>
          <w:bCs/>
          <w:color w:val="auto"/>
          <w:sz w:val="21"/>
          <w:szCs w:val="21"/>
          <w:highlight w:val="none"/>
        </w:rPr>
      </w:pPr>
      <w:r>
        <w:rPr>
          <w:rFonts w:hint="eastAsia" w:ascii="新宋体" w:hAnsi="新宋体" w:eastAsia="新宋体"/>
          <w:bCs/>
          <w:color w:val="auto"/>
          <w:sz w:val="21"/>
          <w:szCs w:val="21"/>
          <w:highlight w:val="none"/>
        </w:rPr>
        <w:t>中标供应商：</w:t>
      </w:r>
      <w:r>
        <w:rPr>
          <w:rFonts w:hint="eastAsia" w:ascii="新宋体" w:hAnsi="新宋体" w:eastAsia="新宋体"/>
          <w:bCs/>
          <w:color w:val="auto"/>
          <w:sz w:val="21"/>
          <w:szCs w:val="21"/>
          <w:highlight w:val="none"/>
          <w:u w:val="single"/>
        </w:rPr>
        <w:t xml:space="preserve">                        </w:t>
      </w:r>
      <w:r>
        <w:rPr>
          <w:rFonts w:hint="eastAsia" w:ascii="新宋体" w:hAnsi="新宋体" w:eastAsia="新宋体"/>
          <w:bCs/>
          <w:color w:val="auto"/>
          <w:sz w:val="21"/>
          <w:szCs w:val="21"/>
          <w:highlight w:val="none"/>
        </w:rPr>
        <w:t xml:space="preserve"> （以下简称乙方）</w:t>
      </w:r>
    </w:p>
    <w:p w14:paraId="72E44EF3">
      <w:pPr>
        <w:keepNext w:val="0"/>
        <w:keepLines w:val="0"/>
        <w:pageBreakBefore w:val="0"/>
        <w:kinsoku/>
        <w:wordWrap/>
        <w:topLinePunct w:val="0"/>
        <w:autoSpaceDE/>
        <w:autoSpaceDN/>
        <w:bidi w:val="0"/>
        <w:spacing w:line="500" w:lineRule="exact"/>
        <w:ind w:firstLine="420" w:firstLineChars="200"/>
        <w:textAlignment w:val="auto"/>
        <w:rPr>
          <w:rFonts w:hint="eastAsia" w:ascii="新宋体" w:hAnsi="新宋体" w:eastAsia="新宋体"/>
          <w:bCs/>
          <w:color w:val="auto"/>
          <w:sz w:val="21"/>
          <w:szCs w:val="21"/>
          <w:highlight w:val="none"/>
          <w:lang w:eastAsia="zh-CN"/>
        </w:rPr>
      </w:pPr>
      <w:r>
        <w:rPr>
          <w:rFonts w:hint="eastAsia" w:ascii="新宋体" w:hAnsi="新宋体" w:eastAsia="新宋体" w:cs="Times New Roman"/>
          <w:bCs/>
          <w:color w:val="auto"/>
          <w:sz w:val="21"/>
          <w:szCs w:val="21"/>
          <w:highlight w:val="none"/>
          <w:lang w:eastAsia="zh-CN"/>
        </w:rPr>
        <w:t>温州市自然资源和规划局龙湾分局</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（项目名称)</w:t>
      </w: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(项目编号）在国内以公开招标方式进行采购，经</w:t>
      </w:r>
      <w:r>
        <w:rPr>
          <w:rFonts w:hint="eastAsia" w:ascii="新宋体" w:hAnsi="新宋体" w:eastAsia="新宋体" w:cs="新宋体"/>
          <w:color w:val="auto"/>
          <w:sz w:val="21"/>
          <w:szCs w:val="21"/>
          <w:highlight w:val="none"/>
          <w:lang w:val="en-US" w:eastAsia="zh-CN"/>
        </w:rPr>
        <w:t>评审</w:t>
      </w:r>
      <w:r>
        <w:rPr>
          <w:rFonts w:hint="eastAsia" w:ascii="新宋体" w:hAnsi="新宋体" w:eastAsia="新宋体" w:cs="新宋体"/>
          <w:color w:val="auto"/>
          <w:sz w:val="21"/>
          <w:szCs w:val="21"/>
          <w:highlight w:val="none"/>
        </w:rPr>
        <w:t>小组综合评定</w:t>
      </w:r>
      <w:r>
        <w:rPr>
          <w:rFonts w:hint="eastAsia" w:eastAsia="新宋体" w:cs="新宋体"/>
          <w:color w:val="auto"/>
          <w:sz w:val="21"/>
          <w:szCs w:val="21"/>
          <w:highlight w:val="none"/>
          <w:lang w:val="en-US" w:eastAsia="zh-CN"/>
        </w:rPr>
        <w:t>现</w:t>
      </w:r>
      <w:r>
        <w:rPr>
          <w:rFonts w:hint="eastAsia" w:ascii="新宋体" w:hAnsi="新宋体" w:eastAsia="新宋体" w:cs="新宋体"/>
          <w:color w:val="auto"/>
          <w:sz w:val="21"/>
          <w:szCs w:val="21"/>
          <w:highlight w:val="none"/>
        </w:rPr>
        <w:t>确认</w:t>
      </w:r>
      <w:r>
        <w:rPr>
          <w:rFonts w:hint="eastAsia" w:ascii="新宋体" w:hAnsi="新宋体" w:eastAsia="新宋体" w:cs="新宋体"/>
          <w:color w:val="auto"/>
          <w:sz w:val="21"/>
          <w:szCs w:val="21"/>
          <w:highlight w:val="none"/>
          <w:u w:val="single"/>
        </w:rPr>
        <w:t xml:space="preserve">     （中标供应商名称）  </w:t>
      </w:r>
      <w:r>
        <w:rPr>
          <w:rFonts w:hint="eastAsia" w:ascii="新宋体" w:hAnsi="新宋体" w:eastAsia="新宋体" w:cs="新宋体"/>
          <w:color w:val="auto"/>
          <w:sz w:val="21"/>
          <w:szCs w:val="21"/>
          <w:highlight w:val="none"/>
        </w:rPr>
        <w:t>为本项目中标供应商。</w:t>
      </w:r>
      <w:r>
        <w:rPr>
          <w:rFonts w:hint="eastAsia" w:ascii="新宋体" w:hAnsi="新宋体" w:eastAsia="新宋体"/>
          <w:bCs/>
          <w:color w:val="auto"/>
          <w:sz w:val="21"/>
          <w:szCs w:val="21"/>
          <w:highlight w:val="none"/>
        </w:rPr>
        <w:t>为了明确甲、乙双方的权利和义务，履行各自的职责，高效优质地完成本项目的各项工作任务，按照《中华人民共和国采购法》、《</w:t>
      </w:r>
      <w:r>
        <w:rPr>
          <w:rFonts w:hint="eastAsia" w:ascii="新宋体" w:hAnsi="新宋体" w:eastAsia="新宋体" w:cs="Times New Roman"/>
          <w:bCs/>
          <w:color w:val="auto"/>
          <w:sz w:val="21"/>
          <w:szCs w:val="21"/>
          <w:highlight w:val="none"/>
        </w:rPr>
        <w:fldChar w:fldCharType="begin"/>
      </w:r>
      <w:r>
        <w:rPr>
          <w:rFonts w:hint="eastAsia" w:ascii="新宋体" w:hAnsi="新宋体" w:eastAsia="新宋体" w:cs="Times New Roman"/>
          <w:bCs/>
          <w:color w:val="auto"/>
          <w:sz w:val="21"/>
          <w:szCs w:val="21"/>
          <w:highlight w:val="none"/>
        </w:rPr>
        <w:instrText xml:space="preserve"> HYPERLINK "https://baike.baidu.com/item/%E4%B8%AD%E5%8D%8E%E4%BA%BA%E6%B0%91%E5%85%B1%E5%92%8C%E5%9B%BD%E6%B0%91%E6%B3%95%E5%85%B8/19435116?fromModule=lemma_inlink" \t "https://baike.baidu.com/item/%E6%B0%91%E6%B3%95%E5%85%B8/_blank" </w:instrText>
      </w:r>
      <w:r>
        <w:rPr>
          <w:rFonts w:hint="eastAsia" w:ascii="新宋体" w:hAnsi="新宋体" w:eastAsia="新宋体" w:cs="Times New Roman"/>
          <w:bCs/>
          <w:color w:val="auto"/>
          <w:sz w:val="21"/>
          <w:szCs w:val="21"/>
          <w:highlight w:val="none"/>
        </w:rPr>
        <w:fldChar w:fldCharType="separate"/>
      </w:r>
      <w:r>
        <w:rPr>
          <w:rFonts w:hint="default" w:ascii="新宋体" w:hAnsi="新宋体" w:eastAsia="新宋体" w:cs="Times New Roman"/>
          <w:bCs/>
          <w:color w:val="auto"/>
          <w:sz w:val="21"/>
          <w:szCs w:val="21"/>
          <w:highlight w:val="none"/>
        </w:rPr>
        <w:t>中华人民共和国民法典</w:t>
      </w:r>
      <w:r>
        <w:rPr>
          <w:rFonts w:hint="default" w:ascii="新宋体" w:hAnsi="新宋体" w:eastAsia="新宋体" w:cs="Times New Roman"/>
          <w:bCs/>
          <w:color w:val="auto"/>
          <w:sz w:val="21"/>
          <w:szCs w:val="21"/>
          <w:highlight w:val="none"/>
        </w:rPr>
        <w:fldChar w:fldCharType="end"/>
      </w:r>
      <w:r>
        <w:rPr>
          <w:rFonts w:hint="eastAsia" w:ascii="新宋体" w:hAnsi="新宋体" w:eastAsia="新宋体" w:cs="Times New Roman"/>
          <w:bCs/>
          <w:color w:val="auto"/>
          <w:sz w:val="21"/>
          <w:szCs w:val="21"/>
          <w:highlight w:val="none"/>
        </w:rPr>
        <w:t>》</w:t>
      </w:r>
      <w:r>
        <w:rPr>
          <w:rFonts w:hint="eastAsia" w:ascii="新宋体" w:hAnsi="新宋体" w:eastAsia="新宋体"/>
          <w:bCs/>
          <w:color w:val="auto"/>
          <w:sz w:val="21"/>
          <w:szCs w:val="21"/>
          <w:highlight w:val="none"/>
        </w:rPr>
        <w:t>等有关法律法规规定，经甲乙双方在平等、自愿的基础上共同协商一致，现签订合同如下</w:t>
      </w:r>
      <w:r>
        <w:rPr>
          <w:rFonts w:hint="eastAsia" w:eastAsia="新宋体"/>
          <w:bCs/>
          <w:color w:val="auto"/>
          <w:sz w:val="21"/>
          <w:szCs w:val="21"/>
          <w:highlight w:val="none"/>
          <w:lang w:eastAsia="zh-CN"/>
        </w:rPr>
        <w:t>：</w:t>
      </w:r>
    </w:p>
    <w:p w14:paraId="73809351">
      <w:pPr>
        <w:keepNext w:val="0"/>
        <w:keepLines w:val="0"/>
        <w:pageBreakBefore w:val="0"/>
        <w:kinsoku/>
        <w:wordWrap/>
        <w:overflowPunct w:val="0"/>
        <w:topLinePunct w:val="0"/>
        <w:autoSpaceDE/>
        <w:autoSpaceDN/>
        <w:bidi w:val="0"/>
        <w:spacing w:line="5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合同项目名称</w:t>
      </w:r>
    </w:p>
    <w:p w14:paraId="078FB97F">
      <w:pPr>
        <w:keepNext w:val="0"/>
        <w:keepLines w:val="0"/>
        <w:pageBreakBefore w:val="0"/>
        <w:kinsoku/>
        <w:wordWrap/>
        <w:topLinePunct w:val="0"/>
        <w:autoSpaceDE/>
        <w:autoSpaceDN/>
        <w:bidi w:val="0"/>
        <w:spacing w:line="500" w:lineRule="exact"/>
        <w:ind w:firstLine="810" w:firstLineChars="386"/>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 xml:space="preserve">项目 </w:t>
      </w:r>
    </w:p>
    <w:p w14:paraId="623AD122">
      <w:pPr>
        <w:keepNext w:val="0"/>
        <w:keepLines w:val="0"/>
        <w:pageBreakBefore w:val="0"/>
        <w:kinsoku/>
        <w:wordWrap/>
        <w:topLinePunct w:val="0"/>
        <w:autoSpaceDE/>
        <w:autoSpaceDN/>
        <w:bidi w:val="0"/>
        <w:spacing w:line="5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第二条 合同文件</w:t>
      </w:r>
      <w:r>
        <w:rPr>
          <w:rFonts w:hint="eastAsia" w:ascii="宋体" w:hAnsi="宋体" w:eastAsia="宋体" w:cs="宋体"/>
          <w:b/>
          <w:color w:val="auto"/>
          <w:sz w:val="21"/>
          <w:szCs w:val="21"/>
          <w:highlight w:val="none"/>
        </w:rPr>
        <w:t>的组成</w:t>
      </w:r>
    </w:p>
    <w:p w14:paraId="3E83D5C6">
      <w:pPr>
        <w:keepNext w:val="0"/>
        <w:keepLines w:val="0"/>
        <w:pageBreakBefore w:val="0"/>
        <w:kinsoku/>
        <w:wordWrap/>
        <w:topLinePunct w:val="0"/>
        <w:autoSpaceDE/>
        <w:autoSpaceDN/>
        <w:bidi w:val="0"/>
        <w:spacing w:line="5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下列文件构成本合同的组成部分：</w:t>
      </w:r>
    </w:p>
    <w:p w14:paraId="7DAE8278">
      <w:pPr>
        <w:keepNext w:val="0"/>
        <w:keepLines w:val="0"/>
        <w:pageBreakBefore w:val="0"/>
        <w:widowControl/>
        <w:numPr>
          <w:ilvl w:val="0"/>
          <w:numId w:val="3"/>
        </w:numPr>
        <w:kinsoku/>
        <w:wordWrap/>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合同主要条款</w:t>
      </w:r>
    </w:p>
    <w:p w14:paraId="38B99684">
      <w:pPr>
        <w:keepNext w:val="0"/>
        <w:keepLines w:val="0"/>
        <w:pageBreakBefore w:val="0"/>
        <w:widowControl/>
        <w:numPr>
          <w:ilvl w:val="0"/>
          <w:numId w:val="3"/>
        </w:numPr>
        <w:kinsoku/>
        <w:wordWrap/>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合同补充条款或说明（如有） </w:t>
      </w:r>
    </w:p>
    <w:p w14:paraId="5386DA47">
      <w:pPr>
        <w:keepNext w:val="0"/>
        <w:keepLines w:val="0"/>
        <w:pageBreakBefore w:val="0"/>
        <w:kinsoku/>
        <w:wordWrap/>
        <w:topLinePunct w:val="0"/>
        <w:autoSpaceDE/>
        <w:autoSpaceDN/>
        <w:bidi w:val="0"/>
        <w:spacing w:line="50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中标通知书</w:t>
      </w:r>
    </w:p>
    <w:p w14:paraId="0B6499E7">
      <w:pPr>
        <w:keepNext w:val="0"/>
        <w:keepLines w:val="0"/>
        <w:pageBreakBefore w:val="0"/>
        <w:kinsoku/>
        <w:wordWrap/>
        <w:topLinePunct w:val="0"/>
        <w:autoSpaceDE/>
        <w:autoSpaceDN/>
        <w:bidi w:val="0"/>
        <w:spacing w:line="50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 招标文件 </w:t>
      </w:r>
    </w:p>
    <w:p w14:paraId="67BAB04B">
      <w:pPr>
        <w:keepNext w:val="0"/>
        <w:keepLines w:val="0"/>
        <w:pageBreakBefore w:val="0"/>
        <w:kinsoku/>
        <w:wordWrap/>
        <w:topLinePunct w:val="0"/>
        <w:autoSpaceDE/>
        <w:autoSpaceDN/>
        <w:bidi w:val="0"/>
        <w:spacing w:line="50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 投标文件 </w:t>
      </w:r>
    </w:p>
    <w:p w14:paraId="21C4EBD0">
      <w:pPr>
        <w:keepNext w:val="0"/>
        <w:keepLines w:val="0"/>
        <w:pageBreakBefore w:val="0"/>
        <w:kinsoku/>
        <w:wordWrap/>
        <w:topLinePunct w:val="0"/>
        <w:autoSpaceDE/>
        <w:autoSpaceDN/>
        <w:bidi w:val="0"/>
        <w:spacing w:line="50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 承诺书  （含询标时承诺）</w:t>
      </w:r>
    </w:p>
    <w:p w14:paraId="15638012">
      <w:pPr>
        <w:keepNext w:val="0"/>
        <w:keepLines w:val="0"/>
        <w:pageBreakBefore w:val="0"/>
        <w:kinsoku/>
        <w:wordWrap/>
        <w:topLinePunct w:val="0"/>
        <w:autoSpaceDE/>
        <w:autoSpaceDN/>
        <w:bidi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第三条 工作内容要求</w:t>
      </w:r>
    </w:p>
    <w:p w14:paraId="50ECF8CD">
      <w:pPr>
        <w:keepNext w:val="0"/>
        <w:keepLines w:val="0"/>
        <w:pageBreakBefore w:val="0"/>
        <w:kinsoku/>
        <w:wordWrap/>
        <w:topLinePunct w:val="0"/>
        <w:autoSpaceDE/>
        <w:autoSpaceDN/>
        <w:bidi w:val="0"/>
        <w:spacing w:line="5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龙湾区百镇千村富硒土地地球化学详查工作，详见本项目采购文件第四部分《第四部分 采购内容及要求》。</w:t>
      </w:r>
    </w:p>
    <w:p w14:paraId="5EDFF0F3">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 xml:space="preserve">第四条 </w:t>
      </w:r>
      <w:r>
        <w:rPr>
          <w:rFonts w:ascii="宋体" w:hAnsi="宋体" w:eastAsia="宋体"/>
          <w:b/>
          <w:color w:val="auto"/>
          <w:szCs w:val="21"/>
          <w:highlight w:val="none"/>
        </w:rPr>
        <w:t>合同金额</w:t>
      </w:r>
    </w:p>
    <w:p w14:paraId="39056742">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本合同金额为（大写）：_____________________元（￥_________元）人民币。</w:t>
      </w:r>
    </w:p>
    <w:p w14:paraId="396CEF33">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第五条 项目质量要求及验收标准</w:t>
      </w:r>
    </w:p>
    <w:p w14:paraId="600B20C0">
      <w:pPr>
        <w:keepNext w:val="0"/>
        <w:keepLines w:val="0"/>
        <w:pageBreakBefore w:val="0"/>
        <w:kinsoku/>
        <w:wordWrap/>
        <w:topLinePunct w:val="0"/>
        <w:autoSpaceDE/>
        <w:autoSpaceDN/>
        <w:bidi w:val="0"/>
        <w:spacing w:line="5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1、符合国家、省自然资源厅有关技术规范规程和</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提出的要求。</w:t>
      </w:r>
    </w:p>
    <w:p w14:paraId="03149966">
      <w:pPr>
        <w:keepNext w:val="0"/>
        <w:keepLines w:val="0"/>
        <w:pageBreakBefore w:val="0"/>
        <w:kinsoku/>
        <w:wordWrap/>
        <w:topLinePunct w:val="0"/>
        <w:autoSpaceDE/>
        <w:autoSpaceDN/>
        <w:bidi w:val="0"/>
        <w:spacing w:line="5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2、项目整体通过</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或上级自然资源部门组织的验收（项目验收、评审等相应费用由</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lang w:eastAsia="zh-CN"/>
        </w:rPr>
        <w:t>承担）。</w:t>
      </w:r>
    </w:p>
    <w:p w14:paraId="1C529455">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 xml:space="preserve">第六条 </w:t>
      </w:r>
      <w:r>
        <w:rPr>
          <w:rFonts w:ascii="宋体" w:hAnsi="宋体" w:eastAsia="宋体"/>
          <w:b/>
          <w:color w:val="auto"/>
          <w:szCs w:val="21"/>
          <w:highlight w:val="none"/>
        </w:rPr>
        <w:t>知识产权</w:t>
      </w:r>
    </w:p>
    <w:p w14:paraId="7328D16D">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ascii="宋体" w:hAnsi="宋体" w:eastAsia="宋体" w:cs="Times New Roman"/>
          <w:color w:val="auto"/>
          <w:szCs w:val="21"/>
          <w:highlight w:val="none"/>
        </w:rPr>
        <w:t>乙方应保证提供服务过程中不会侵犯任何第三方的知识产权。</w:t>
      </w:r>
    </w:p>
    <w:p w14:paraId="5B54E362">
      <w:pPr>
        <w:keepNext w:val="0"/>
        <w:keepLines w:val="0"/>
        <w:pageBreakBefore w:val="0"/>
        <w:kinsoku/>
        <w:wordWrap/>
        <w:topLinePunct w:val="0"/>
        <w:autoSpaceDE/>
        <w:autoSpaceDN/>
        <w:bidi w:val="0"/>
        <w:spacing w:line="500" w:lineRule="exact"/>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完成的成果的权利归属：本次规划成果其所形成的相关知识产权归</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rPr>
        <w:t>所有，</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享有著作权。未经允许，任何单位和个人不得转让和使用本项目的调查成果。</w:t>
      </w:r>
    </w:p>
    <w:p w14:paraId="4E4FACC9">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 xml:space="preserve">第七条 </w:t>
      </w:r>
      <w:r>
        <w:rPr>
          <w:rFonts w:ascii="宋体" w:hAnsi="宋体" w:eastAsia="宋体"/>
          <w:b/>
          <w:color w:val="auto"/>
          <w:szCs w:val="21"/>
          <w:highlight w:val="none"/>
        </w:rPr>
        <w:t>履约保证金</w:t>
      </w:r>
    </w:p>
    <w:p w14:paraId="525FF901">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本项目不要求提供履约保证金</w:t>
      </w:r>
      <w:r>
        <w:rPr>
          <w:rFonts w:ascii="宋体" w:hAnsi="宋体" w:eastAsia="宋体"/>
          <w:color w:val="auto"/>
          <w:szCs w:val="21"/>
          <w:highlight w:val="none"/>
        </w:rPr>
        <w:t>。</w:t>
      </w:r>
    </w:p>
    <w:p w14:paraId="50409EA8">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 xml:space="preserve">第八条 </w:t>
      </w:r>
      <w:r>
        <w:rPr>
          <w:rFonts w:ascii="宋体" w:hAnsi="宋体" w:eastAsia="宋体"/>
          <w:b/>
          <w:color w:val="auto"/>
          <w:szCs w:val="21"/>
          <w:highlight w:val="none"/>
        </w:rPr>
        <w:t>转包或分包</w:t>
      </w:r>
    </w:p>
    <w:p w14:paraId="5A8B67D5">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1.本合同范围的服务，应由乙方直接供应，不得转让他人供应；</w:t>
      </w:r>
    </w:p>
    <w:p w14:paraId="54D8C68F">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2.除非得到甲方的书面同意，乙方不得将本合同范围的服务全部或部分分包给他人供应；</w:t>
      </w:r>
    </w:p>
    <w:p w14:paraId="297C3C38">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3.如有转让和未经甲方同意的分包行为，甲方有权解除合同，</w:t>
      </w:r>
      <w:r>
        <w:rPr>
          <w:rFonts w:hint="eastAsia" w:ascii="宋体" w:hAnsi="宋体" w:eastAsia="宋体"/>
          <w:color w:val="auto"/>
          <w:szCs w:val="21"/>
          <w:highlight w:val="none"/>
          <w:lang w:val="en-US" w:eastAsia="zh-CN"/>
        </w:rPr>
        <w:t>乙方需支付违约金为合同总价的2%，</w:t>
      </w:r>
      <w:r>
        <w:rPr>
          <w:rFonts w:ascii="宋体" w:hAnsi="宋体" w:eastAsia="宋体"/>
          <w:color w:val="auto"/>
          <w:szCs w:val="21"/>
          <w:highlight w:val="none"/>
        </w:rPr>
        <w:t>并追究乙方的违约责任。</w:t>
      </w:r>
    </w:p>
    <w:p w14:paraId="7C9CE7CD">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第九条 工作时间要求</w:t>
      </w:r>
    </w:p>
    <w:p w14:paraId="64517D56">
      <w:pPr>
        <w:keepNext w:val="0"/>
        <w:keepLines w:val="0"/>
        <w:pageBreakBefore w:val="0"/>
        <w:kinsoku/>
        <w:wordWrap/>
        <w:topLinePunct w:val="0"/>
        <w:autoSpaceDE/>
        <w:autoSpaceDN/>
        <w:bidi w:val="0"/>
        <w:spacing w:line="500" w:lineRule="exact"/>
        <w:ind w:firstLine="420" w:firstLineChars="200"/>
        <w:textAlignment w:val="auto"/>
        <w:rPr>
          <w:rFonts w:hint="default" w:ascii="宋体" w:hAnsi="宋体" w:eastAsia="宋体"/>
          <w:color w:val="auto"/>
          <w:szCs w:val="21"/>
          <w:highlight w:val="none"/>
          <w:lang w:val="en-US" w:eastAsia="zh-CN"/>
        </w:rPr>
      </w:pPr>
      <w:r>
        <w:rPr>
          <w:rFonts w:ascii="宋体" w:hAnsi="宋体" w:eastAsia="宋体"/>
          <w:color w:val="auto"/>
          <w:szCs w:val="21"/>
          <w:highlight w:val="none"/>
        </w:rPr>
        <w:t>1.2025年9月30 日前，完成项目设计方案编制与评审，并在绿矿智用平台完成项目入库；2025年12月底前，完成土壤、灌溉水、农产品、土壤垂向剖面等介质野外样品采集、加工与送检，组织完成项目野外验收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具体验收时间以省市组织为准。</w:t>
      </w:r>
    </w:p>
    <w:p w14:paraId="6973D69F">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 xml:space="preserve">第十条 </w:t>
      </w:r>
      <w:r>
        <w:rPr>
          <w:rFonts w:ascii="宋体" w:hAnsi="宋体" w:eastAsia="宋体"/>
          <w:b/>
          <w:color w:val="auto"/>
          <w:szCs w:val="21"/>
          <w:highlight w:val="none"/>
        </w:rPr>
        <w:t>合同履行时间、履行方式及履行地点</w:t>
      </w:r>
    </w:p>
    <w:p w14:paraId="6CA9470D">
      <w:pPr>
        <w:keepNext w:val="0"/>
        <w:keepLines w:val="0"/>
        <w:pageBreakBefore w:val="0"/>
        <w:kinsoku/>
        <w:wordWrap/>
        <w:topLinePunct w:val="0"/>
        <w:autoSpaceDE/>
        <w:autoSpaceDN/>
        <w:bidi w:val="0"/>
        <w:spacing w:line="500" w:lineRule="exact"/>
        <w:ind w:firstLine="420" w:firstLineChars="200"/>
        <w:textAlignment w:val="auto"/>
        <w:rPr>
          <w:rFonts w:hint="default" w:ascii="宋体" w:hAnsi="宋体" w:eastAsia="宋体"/>
          <w:color w:val="auto"/>
          <w:kern w:val="0"/>
          <w:szCs w:val="21"/>
          <w:highlight w:val="none"/>
          <w:lang w:val="en-US" w:eastAsia="zh-CN"/>
        </w:rPr>
      </w:pPr>
      <w:r>
        <w:rPr>
          <w:rFonts w:ascii="宋体" w:hAnsi="宋体" w:eastAsia="宋体"/>
          <w:color w:val="auto"/>
          <w:szCs w:val="21"/>
          <w:highlight w:val="none"/>
        </w:rPr>
        <w:t>1.履行时间：</w:t>
      </w:r>
      <w:r>
        <w:rPr>
          <w:rFonts w:hint="eastAsia" w:ascii="宋体" w:hAnsi="宋体" w:eastAsia="宋体"/>
          <w:color w:val="auto"/>
          <w:szCs w:val="21"/>
          <w:highlight w:val="none"/>
          <w:lang w:val="en-US" w:eastAsia="zh-CN"/>
        </w:rPr>
        <w:t>20</w:t>
      </w:r>
      <w:r>
        <w:rPr>
          <w:rFonts w:hint="eastAsia" w:ascii="宋体" w:hAnsi="宋体"/>
          <w:color w:val="auto"/>
          <w:szCs w:val="21"/>
          <w:highlight w:val="none"/>
          <w:lang w:val="en-US" w:eastAsia="zh-CN"/>
        </w:rPr>
        <w:t>25</w:t>
      </w:r>
      <w:r>
        <w:rPr>
          <w:rFonts w:hint="eastAsia" w:ascii="宋体" w:hAnsi="宋体" w:eastAsia="宋体"/>
          <w:color w:val="auto"/>
          <w:szCs w:val="21"/>
          <w:highlight w:val="none"/>
          <w:lang w:val="en-US" w:eastAsia="zh-CN"/>
        </w:rPr>
        <w:t>年   年    月至20</w:t>
      </w:r>
      <w:r>
        <w:rPr>
          <w:rFonts w:hint="eastAsia" w:ascii="宋体" w:hAnsi="宋体"/>
          <w:color w:val="auto"/>
          <w:szCs w:val="21"/>
          <w:highlight w:val="none"/>
          <w:lang w:val="en-US" w:eastAsia="zh-CN"/>
        </w:rPr>
        <w:t>25</w:t>
      </w:r>
      <w:r>
        <w:rPr>
          <w:rFonts w:hint="eastAsia" w:ascii="宋体" w:hAnsi="宋体" w:eastAsia="宋体"/>
          <w:color w:val="auto"/>
          <w:szCs w:val="21"/>
          <w:highlight w:val="none"/>
          <w:lang w:val="en-US" w:eastAsia="zh-CN"/>
        </w:rPr>
        <w:t>年   年    月</w:t>
      </w:r>
    </w:p>
    <w:p w14:paraId="2EC94A62">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2.履行方式：</w:t>
      </w:r>
      <w:r>
        <w:rPr>
          <w:rFonts w:hint="eastAsia" w:ascii="宋体" w:hAnsi="宋体" w:eastAsia="宋体"/>
          <w:color w:val="auto"/>
          <w:szCs w:val="21"/>
          <w:highlight w:val="none"/>
          <w:lang w:val="en-US" w:eastAsia="zh-CN"/>
        </w:rPr>
        <w:t>根据甲方要求</w:t>
      </w:r>
      <w:r>
        <w:rPr>
          <w:rFonts w:ascii="宋体" w:hAnsi="宋体" w:eastAsia="宋体"/>
          <w:color w:val="auto"/>
          <w:szCs w:val="21"/>
          <w:highlight w:val="none"/>
        </w:rPr>
        <w:t>提供</w:t>
      </w:r>
      <w:r>
        <w:rPr>
          <w:rFonts w:hint="eastAsia" w:ascii="宋体" w:hAnsi="宋体" w:eastAsia="宋体"/>
          <w:color w:val="auto"/>
          <w:szCs w:val="21"/>
          <w:highlight w:val="none"/>
          <w:lang w:val="en-US" w:eastAsia="zh-CN"/>
        </w:rPr>
        <w:t>相关</w:t>
      </w:r>
      <w:r>
        <w:rPr>
          <w:rFonts w:ascii="宋体" w:hAnsi="宋体" w:eastAsia="宋体"/>
          <w:color w:val="auto"/>
          <w:szCs w:val="21"/>
          <w:highlight w:val="none"/>
        </w:rPr>
        <w:t>服务</w:t>
      </w:r>
    </w:p>
    <w:p w14:paraId="00A70598">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3.履行地点：温州市</w:t>
      </w:r>
      <w:r>
        <w:rPr>
          <w:rFonts w:hint="eastAsia" w:ascii="宋体" w:hAnsi="宋体"/>
          <w:color w:val="auto"/>
          <w:szCs w:val="21"/>
          <w:highlight w:val="none"/>
          <w:lang w:val="en-US" w:eastAsia="zh-CN"/>
        </w:rPr>
        <w:t>龙湾</w:t>
      </w:r>
      <w:r>
        <w:rPr>
          <w:rFonts w:ascii="宋体" w:hAnsi="宋体" w:eastAsia="宋体"/>
          <w:color w:val="auto"/>
          <w:szCs w:val="21"/>
          <w:highlight w:val="none"/>
        </w:rPr>
        <w:t>区</w:t>
      </w:r>
    </w:p>
    <w:p w14:paraId="1506EC05">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第十一条 付款方式</w:t>
      </w:r>
    </w:p>
    <w:p w14:paraId="6C0656BC">
      <w:pPr>
        <w:keepNext w:val="0"/>
        <w:keepLines w:val="0"/>
        <w:pageBreakBefore w:val="0"/>
        <w:kinsoku/>
        <w:wordWrap/>
        <w:topLinePunct w:val="0"/>
        <w:autoSpaceDE/>
        <w:autoSpaceDN/>
        <w:bidi w:val="0"/>
        <w:spacing w:line="5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在合同生效以及具备实施条件后7个工作日内，</w:t>
      </w:r>
      <w:r>
        <w:rPr>
          <w:rFonts w:hint="eastAsia" w:ascii="宋体" w:hAnsi="宋体" w:eastAsia="宋体" w:cs="Times New Roman"/>
          <w:color w:val="auto"/>
          <w:szCs w:val="21"/>
          <w:highlight w:val="none"/>
          <w:lang w:val="en-US" w:eastAsia="zh-CN"/>
        </w:rPr>
        <w:t>甲方</w:t>
      </w:r>
      <w:r>
        <w:rPr>
          <w:rFonts w:ascii="宋体" w:hAnsi="宋体" w:eastAsia="宋体" w:cs="Times New Roman"/>
          <w:color w:val="auto"/>
          <w:szCs w:val="21"/>
          <w:highlight w:val="none"/>
        </w:rPr>
        <w:t>向</w:t>
      </w:r>
      <w:r>
        <w:rPr>
          <w:rFonts w:hint="eastAsia" w:ascii="宋体" w:hAnsi="宋体" w:eastAsia="宋体" w:cs="Times New Roman"/>
          <w:color w:val="auto"/>
          <w:szCs w:val="21"/>
          <w:highlight w:val="none"/>
          <w:lang w:val="en-US" w:eastAsia="zh-CN"/>
        </w:rPr>
        <w:t>乙方</w:t>
      </w:r>
      <w:r>
        <w:rPr>
          <w:rFonts w:ascii="宋体" w:hAnsi="宋体" w:eastAsia="宋体" w:cs="Times New Roman"/>
          <w:color w:val="auto"/>
          <w:szCs w:val="21"/>
          <w:highlight w:val="none"/>
        </w:rPr>
        <w:t>支付合同价的</w:t>
      </w:r>
      <w:r>
        <w:rPr>
          <w:rFonts w:hint="eastAsia" w:ascii="宋体" w:hAnsi="宋体" w:cs="Times New Roman"/>
          <w:color w:val="auto"/>
          <w:szCs w:val="21"/>
          <w:highlight w:val="none"/>
          <w:lang w:val="en-US" w:eastAsia="zh-CN"/>
        </w:rPr>
        <w:t>2</w:t>
      </w:r>
      <w:r>
        <w:rPr>
          <w:rFonts w:ascii="宋体" w:hAnsi="宋体" w:eastAsia="宋体" w:cs="Times New Roman"/>
          <w:color w:val="auto"/>
          <w:szCs w:val="21"/>
          <w:highlight w:val="none"/>
        </w:rPr>
        <w:t>0%作为预付款</w:t>
      </w:r>
      <w:r>
        <w:rPr>
          <w:rFonts w:hint="eastAsia" w:ascii="宋体" w:hAnsi="宋体" w:eastAsia="宋体" w:cs="Times New Roman"/>
          <w:color w:val="auto"/>
          <w:szCs w:val="21"/>
          <w:highlight w:val="none"/>
          <w:lang w:eastAsia="zh-CN"/>
        </w:rPr>
        <w:t>。</w:t>
      </w:r>
    </w:p>
    <w:p w14:paraId="4E3317E7">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①在签订合同时，</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明确表示无需预付款或者主动要求降低预付款比例的，</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rPr>
        <w:t>可不适用前述规定。</w:t>
      </w:r>
    </w:p>
    <w:p w14:paraId="1B6ED3D1">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②在签订合同时，</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要求预付款的。</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rPr>
        <w:t>有权要求中标人提供银行、保险公司等金融机构出具的预付款保函或其他担保措施。</w:t>
      </w:r>
    </w:p>
    <w:p w14:paraId="5AB82FDF">
      <w:pPr>
        <w:keepNext w:val="0"/>
        <w:keepLines w:val="0"/>
        <w:pageBreakBefore w:val="0"/>
        <w:kinsoku/>
        <w:wordWrap/>
        <w:topLinePunct w:val="0"/>
        <w:autoSpaceDE/>
        <w:autoSpaceDN/>
        <w:bidi w:val="0"/>
        <w:spacing w:line="500" w:lineRule="exact"/>
        <w:ind w:firstLine="420" w:firstLineChars="200"/>
        <w:textAlignment w:val="auto"/>
        <w:rPr>
          <w:rFonts w:hint="eastAsia" w:ascii="宋体" w:hAnsi="宋体" w:cs="Times New Roman"/>
          <w:color w:val="auto"/>
          <w:szCs w:val="21"/>
          <w:highlight w:val="none"/>
          <w:lang w:eastAsia="zh-CN"/>
        </w:rPr>
      </w:pP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eastAsia="zh-CN"/>
        </w:rPr>
        <w:t>2025年9月30 日前，完成项目设计方案编制与评审，并在绿矿智用平台完成项目入库</w:t>
      </w:r>
      <w:r>
        <w:rPr>
          <w:rFonts w:ascii="宋体" w:hAnsi="宋体" w:eastAsia="宋体" w:cs="Times New Roman"/>
          <w:color w:val="auto"/>
          <w:szCs w:val="21"/>
          <w:highlight w:val="none"/>
        </w:rPr>
        <w:t>后7个工作日内支付合同价的</w:t>
      </w:r>
      <w:r>
        <w:rPr>
          <w:rFonts w:hint="eastAsia" w:ascii="宋体" w:hAnsi="宋体" w:cs="Times New Roman"/>
          <w:color w:val="auto"/>
          <w:szCs w:val="21"/>
          <w:highlight w:val="none"/>
          <w:lang w:eastAsia="zh-CN"/>
        </w:rPr>
        <w:t>30%。</w:t>
      </w:r>
    </w:p>
    <w:p w14:paraId="4FCB7B0B">
      <w:pPr>
        <w:keepNext w:val="0"/>
        <w:keepLines w:val="0"/>
        <w:pageBreakBefore w:val="0"/>
        <w:kinsoku/>
        <w:wordWrap/>
        <w:topLinePunct w:val="0"/>
        <w:autoSpaceDE/>
        <w:autoSpaceDN/>
        <w:bidi w:val="0"/>
        <w:spacing w:line="5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完成所有成果验收通过后10个工作日内</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rPr>
        <w:t>应一次性付清余款。</w:t>
      </w:r>
    </w:p>
    <w:p w14:paraId="671D186D">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注：本项目的经费由政府拨款，如因政策影响，拨款未能及时到位，</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不得以此为由而不履行本项目规定的义务。如因财政资金拨付原因，拨款可能会延缓支付，</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报价时</w:t>
      </w:r>
      <w:r>
        <w:rPr>
          <w:rFonts w:hint="eastAsia" w:ascii="宋体" w:hAnsi="宋体" w:eastAsia="宋体" w:cs="Times New Roman"/>
          <w:color w:val="auto"/>
          <w:szCs w:val="21"/>
          <w:highlight w:val="none"/>
          <w:lang w:val="en-US" w:eastAsia="zh-CN"/>
        </w:rPr>
        <w:t>已</w:t>
      </w:r>
      <w:r>
        <w:rPr>
          <w:rFonts w:hint="eastAsia" w:ascii="宋体" w:hAnsi="宋体" w:eastAsia="宋体" w:cs="Times New Roman"/>
          <w:color w:val="auto"/>
          <w:szCs w:val="21"/>
          <w:highlight w:val="none"/>
        </w:rPr>
        <w:t>充分考虑，自行承担风险。</w:t>
      </w:r>
    </w:p>
    <w:p w14:paraId="564EE2AA">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 xml:space="preserve">条十二条 </w:t>
      </w:r>
      <w:r>
        <w:rPr>
          <w:rFonts w:ascii="宋体" w:hAnsi="宋体" w:eastAsia="宋体"/>
          <w:b/>
          <w:color w:val="auto"/>
          <w:szCs w:val="21"/>
          <w:highlight w:val="none"/>
        </w:rPr>
        <w:t>税费</w:t>
      </w:r>
    </w:p>
    <w:p w14:paraId="029B7942">
      <w:pPr>
        <w:keepNext w:val="0"/>
        <w:keepLines w:val="0"/>
        <w:pageBreakBefore w:val="0"/>
        <w:kinsoku/>
        <w:wordWrap/>
        <w:topLinePunct w:val="0"/>
        <w:autoSpaceDE/>
        <w:autoSpaceDN/>
        <w:bidi w:val="0"/>
        <w:snapToGrid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本合同执行中相关的一切税费均由乙方负担。</w:t>
      </w:r>
    </w:p>
    <w:p w14:paraId="75E6B0F0">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 xml:space="preserve">第十三条 </w:t>
      </w:r>
      <w:r>
        <w:rPr>
          <w:rFonts w:ascii="宋体" w:hAnsi="宋体" w:eastAsia="宋体"/>
          <w:b/>
          <w:color w:val="auto"/>
          <w:szCs w:val="21"/>
          <w:highlight w:val="none"/>
        </w:rPr>
        <w:t>质量保证</w:t>
      </w:r>
    </w:p>
    <w:p w14:paraId="088B9E92">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1.乙方应按采购文件规定向甲方提供服务。</w:t>
      </w:r>
    </w:p>
    <w:p w14:paraId="6D3DD267">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2.乙方提供的服务成果</w:t>
      </w:r>
      <w:r>
        <w:rPr>
          <w:rFonts w:hint="eastAsia" w:ascii="宋体" w:hAnsi="宋体"/>
          <w:color w:val="auto"/>
          <w:szCs w:val="21"/>
          <w:highlight w:val="none"/>
          <w:lang w:val="en-US" w:eastAsia="zh-CN"/>
        </w:rPr>
        <w:t>未通过验收的</w:t>
      </w:r>
      <w:r>
        <w:rPr>
          <w:rFonts w:ascii="宋体" w:hAnsi="宋体" w:eastAsia="宋体"/>
          <w:color w:val="auto"/>
          <w:szCs w:val="21"/>
          <w:highlight w:val="none"/>
        </w:rPr>
        <w:t>，根据实际情况，经双方协商，可按以下办法处理：</w:t>
      </w:r>
    </w:p>
    <w:p w14:paraId="3DF19DF4">
      <w:pPr>
        <w:keepNext w:val="0"/>
        <w:keepLines w:val="0"/>
        <w:pageBreakBefore w:val="0"/>
        <w:numPr>
          <w:ilvl w:val="0"/>
          <w:numId w:val="4"/>
        </w:numPr>
        <w:kinsoku/>
        <w:wordWrap/>
        <w:topLinePunct w:val="0"/>
        <w:autoSpaceDE/>
        <w:autoSpaceDN/>
        <w:bidi w:val="0"/>
        <w:spacing w:line="500" w:lineRule="exact"/>
        <w:textAlignment w:val="auto"/>
        <w:rPr>
          <w:rFonts w:ascii="宋体" w:hAnsi="宋体" w:eastAsia="宋体"/>
          <w:color w:val="auto"/>
          <w:szCs w:val="21"/>
          <w:highlight w:val="none"/>
        </w:rPr>
      </w:pPr>
      <w:r>
        <w:rPr>
          <w:rFonts w:ascii="宋体" w:hAnsi="宋体" w:eastAsia="宋体"/>
          <w:color w:val="auto"/>
          <w:szCs w:val="21"/>
          <w:highlight w:val="none"/>
        </w:rPr>
        <w:t>重做：由乙方承担所发生的全部费用。</w:t>
      </w:r>
    </w:p>
    <w:p w14:paraId="68CD9248">
      <w:pPr>
        <w:keepNext w:val="0"/>
        <w:keepLines w:val="0"/>
        <w:pageBreakBefore w:val="0"/>
        <w:numPr>
          <w:ilvl w:val="0"/>
          <w:numId w:val="4"/>
        </w:numPr>
        <w:kinsoku/>
        <w:wordWrap/>
        <w:topLinePunct w:val="0"/>
        <w:autoSpaceDE/>
        <w:autoSpaceDN/>
        <w:bidi w:val="0"/>
        <w:spacing w:line="500" w:lineRule="exact"/>
        <w:textAlignment w:val="auto"/>
        <w:rPr>
          <w:rFonts w:ascii="宋体" w:hAnsi="宋体" w:eastAsia="宋体"/>
          <w:color w:val="auto"/>
          <w:szCs w:val="21"/>
          <w:highlight w:val="none"/>
        </w:rPr>
      </w:pPr>
      <w:r>
        <w:rPr>
          <w:rFonts w:ascii="宋体" w:hAnsi="宋体" w:eastAsia="宋体"/>
          <w:color w:val="auto"/>
          <w:szCs w:val="21"/>
          <w:highlight w:val="none"/>
        </w:rPr>
        <w:t>贬值处理：由甲乙双方合议定价。</w:t>
      </w:r>
    </w:p>
    <w:p w14:paraId="03E66EE4">
      <w:pPr>
        <w:keepNext w:val="0"/>
        <w:keepLines w:val="0"/>
        <w:pageBreakBefore w:val="0"/>
        <w:numPr>
          <w:ilvl w:val="0"/>
          <w:numId w:val="4"/>
        </w:numPr>
        <w:kinsoku/>
        <w:wordWrap/>
        <w:topLinePunct w:val="0"/>
        <w:autoSpaceDE/>
        <w:autoSpaceDN/>
        <w:bidi w:val="0"/>
        <w:spacing w:line="500" w:lineRule="exact"/>
        <w:ind w:left="1140" w:leftChars="0" w:hanging="720" w:firstLineChars="0"/>
        <w:textAlignment w:val="auto"/>
        <w:rPr>
          <w:rFonts w:ascii="宋体" w:hAnsi="宋体" w:eastAsia="宋体"/>
          <w:color w:val="auto"/>
          <w:szCs w:val="21"/>
          <w:highlight w:val="none"/>
        </w:rPr>
      </w:pPr>
      <w:r>
        <w:rPr>
          <w:rFonts w:ascii="宋体" w:hAnsi="宋体" w:eastAsia="宋体"/>
          <w:color w:val="auto"/>
          <w:szCs w:val="21"/>
          <w:highlight w:val="none"/>
        </w:rPr>
        <w:t>解除合同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乙方赔偿损失</w:t>
      </w:r>
      <w:r>
        <w:rPr>
          <w:rFonts w:ascii="宋体" w:hAnsi="宋体" w:eastAsia="宋体"/>
          <w:color w:val="auto"/>
          <w:szCs w:val="21"/>
          <w:highlight w:val="none"/>
        </w:rPr>
        <w:t>。</w:t>
      </w:r>
    </w:p>
    <w:p w14:paraId="28FA2F12">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lang w:val="zh-CN"/>
        </w:rPr>
      </w:pPr>
      <w:r>
        <w:rPr>
          <w:rFonts w:hint="eastAsia" w:ascii="宋体" w:hAnsi="宋体" w:eastAsia="宋体"/>
          <w:b/>
          <w:color w:val="auto"/>
          <w:szCs w:val="21"/>
          <w:highlight w:val="none"/>
          <w:lang w:val="en-US" w:eastAsia="zh-CN"/>
        </w:rPr>
        <w:t xml:space="preserve">第十四条 </w:t>
      </w:r>
      <w:r>
        <w:rPr>
          <w:rFonts w:ascii="宋体" w:hAnsi="宋体" w:eastAsia="宋体"/>
          <w:b/>
          <w:color w:val="auto"/>
          <w:szCs w:val="21"/>
          <w:highlight w:val="none"/>
          <w:lang w:val="zh-CN"/>
        </w:rPr>
        <w:t>违约责任</w:t>
      </w:r>
    </w:p>
    <w:p w14:paraId="6F5C6BA4">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1.甲方无正当理由拒收接受服务的，甲方向乙方偿付合同</w:t>
      </w:r>
      <w:r>
        <w:rPr>
          <w:rFonts w:hint="eastAsia" w:ascii="宋体" w:hAnsi="宋体" w:eastAsia="宋体" w:cs="Times New Roman"/>
          <w:color w:val="auto"/>
          <w:szCs w:val="21"/>
          <w:highlight w:val="none"/>
          <w:lang w:val="en-US" w:eastAsia="zh-CN"/>
        </w:rPr>
        <w:t>总价</w:t>
      </w:r>
      <w:r>
        <w:rPr>
          <w:rFonts w:ascii="宋体" w:hAnsi="宋体" w:eastAsia="宋体" w:cs="Times New Roman"/>
          <w:color w:val="auto"/>
          <w:szCs w:val="21"/>
          <w:highlight w:val="none"/>
        </w:rPr>
        <w:t>的百分之五违约金。</w:t>
      </w:r>
    </w:p>
    <w:p w14:paraId="30174AE4">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2.甲方无故逾期验收和办理款项支付手续的,甲方应按逾期付款总额每日万分之五向乙方支付违约金。</w:t>
      </w:r>
    </w:p>
    <w:p w14:paraId="2A16C8AD">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3.乙方未能如期提供服务的，每日向甲方支付合同</w:t>
      </w:r>
      <w:r>
        <w:rPr>
          <w:rFonts w:hint="eastAsia" w:ascii="宋体" w:hAnsi="宋体" w:eastAsia="宋体" w:cs="Times New Roman"/>
          <w:color w:val="auto"/>
          <w:szCs w:val="21"/>
          <w:highlight w:val="none"/>
          <w:lang w:val="en-US" w:eastAsia="zh-CN"/>
        </w:rPr>
        <w:t>总价</w:t>
      </w:r>
      <w:r>
        <w:rPr>
          <w:rFonts w:ascii="宋体" w:hAnsi="宋体" w:eastAsia="宋体" w:cs="Times New Roman"/>
          <w:color w:val="auto"/>
          <w:szCs w:val="21"/>
          <w:highlight w:val="none"/>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Times New Roman"/>
          <w:color w:val="auto"/>
          <w:szCs w:val="21"/>
          <w:highlight w:val="none"/>
          <w:lang w:val="en-US" w:eastAsia="zh-CN"/>
        </w:rPr>
        <w:t>总价</w:t>
      </w:r>
      <w:r>
        <w:rPr>
          <w:rFonts w:ascii="宋体" w:hAnsi="宋体" w:eastAsia="宋体" w:cs="Times New Roman"/>
          <w:color w:val="auto"/>
          <w:szCs w:val="21"/>
          <w:highlight w:val="none"/>
        </w:rPr>
        <w:t>的百分之五的违约金，如造成甲方损失超过违约金的，超出部分由乙方继续承担赔偿责任。</w:t>
      </w:r>
    </w:p>
    <w:p w14:paraId="0DFC5444">
      <w:pPr>
        <w:keepNext w:val="0"/>
        <w:keepLines w:val="0"/>
        <w:pageBreakBefore w:val="0"/>
        <w:kinsoku/>
        <w:wordWrap/>
        <w:topLinePunct w:val="0"/>
        <w:autoSpaceDE/>
        <w:autoSpaceDN/>
        <w:bidi w:val="0"/>
        <w:spacing w:line="50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4.乙方必须按规定程序和有关要求进行实施，服务过程中的各种项目研究质量及人身财产安全意外，其责任由乙方人承担，甲方不承担任何责任。</w:t>
      </w:r>
    </w:p>
    <w:p w14:paraId="07D6EC3E">
      <w:pPr>
        <w:keepNext w:val="0"/>
        <w:keepLines w:val="0"/>
        <w:pageBreakBefore w:val="0"/>
        <w:kinsoku/>
        <w:wordWrap/>
        <w:topLinePunct w:val="0"/>
        <w:autoSpaceDE/>
        <w:autoSpaceDN/>
        <w:bidi w:val="0"/>
        <w:spacing w:line="500" w:lineRule="exact"/>
        <w:textAlignment w:val="auto"/>
        <w:rPr>
          <w:rFonts w:ascii="宋体" w:hAnsi="宋体" w:eastAsia="宋体"/>
          <w:b/>
          <w:color w:val="auto"/>
          <w:szCs w:val="21"/>
          <w:highlight w:val="none"/>
          <w:lang w:val="zh-CN"/>
        </w:rPr>
      </w:pPr>
      <w:r>
        <w:rPr>
          <w:rFonts w:hint="eastAsia" w:ascii="宋体" w:hAnsi="宋体" w:eastAsia="宋体"/>
          <w:b/>
          <w:color w:val="auto"/>
          <w:szCs w:val="21"/>
          <w:highlight w:val="none"/>
          <w:lang w:val="en-US" w:eastAsia="zh-CN"/>
        </w:rPr>
        <w:t xml:space="preserve">第十五条  </w:t>
      </w:r>
      <w:r>
        <w:rPr>
          <w:rFonts w:ascii="宋体" w:hAnsi="宋体" w:eastAsia="宋体"/>
          <w:b/>
          <w:color w:val="auto"/>
          <w:szCs w:val="21"/>
          <w:highlight w:val="none"/>
          <w:lang w:val="zh-CN"/>
        </w:rPr>
        <w:t>不可抗力事件处理</w:t>
      </w:r>
    </w:p>
    <w:p w14:paraId="7F571A32">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1.在合同有效期内，任何一方因不可抗力事件导致不能履行合同，则合同履行期可延长，其延长期与不可抗力影响期相同。</w:t>
      </w:r>
    </w:p>
    <w:p w14:paraId="3B425C7F">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2.不可抗力事件发生后，应立即通知对方，并寄送有关权威机构出具的证明。</w:t>
      </w:r>
    </w:p>
    <w:p w14:paraId="3C450DEF">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3.不可抗力事件延续120天以上，双方应通过友好协商，确定是否继续履行合同。</w:t>
      </w:r>
    </w:p>
    <w:p w14:paraId="05621166">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lang w:val="zh-CN"/>
        </w:rPr>
      </w:pPr>
      <w:r>
        <w:rPr>
          <w:rFonts w:hint="eastAsia" w:ascii="宋体" w:hAnsi="宋体" w:eastAsia="宋体"/>
          <w:b/>
          <w:color w:val="auto"/>
          <w:szCs w:val="21"/>
          <w:highlight w:val="none"/>
          <w:lang w:val="en-US" w:eastAsia="zh-CN"/>
        </w:rPr>
        <w:t xml:space="preserve">第十六条 </w:t>
      </w:r>
      <w:r>
        <w:rPr>
          <w:rFonts w:ascii="宋体" w:hAnsi="宋体" w:eastAsia="宋体"/>
          <w:b/>
          <w:color w:val="auto"/>
          <w:szCs w:val="21"/>
          <w:highlight w:val="none"/>
          <w:lang w:val="zh-CN"/>
        </w:rPr>
        <w:t>诉讼</w:t>
      </w:r>
    </w:p>
    <w:p w14:paraId="71D20F71">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双方在执行合同中所发生的一切争议，应通过协商解决。如协商不成，可向</w:t>
      </w:r>
      <w:r>
        <w:rPr>
          <w:rFonts w:hint="eastAsia" w:ascii="宋体" w:hAnsi="宋体"/>
          <w:color w:val="auto"/>
          <w:szCs w:val="21"/>
          <w:highlight w:val="none"/>
          <w:u w:val="single"/>
          <w:lang w:val="en-US" w:eastAsia="zh-CN"/>
        </w:rPr>
        <w:t>龙湾</w:t>
      </w:r>
      <w:r>
        <w:rPr>
          <w:rFonts w:hint="eastAsia" w:ascii="宋体" w:hAnsi="宋体" w:eastAsia="宋体"/>
          <w:color w:val="auto"/>
          <w:szCs w:val="21"/>
          <w:highlight w:val="none"/>
          <w:u w:val="single"/>
          <w:lang w:val="en-US" w:eastAsia="zh-CN"/>
        </w:rPr>
        <w:t>区</w:t>
      </w:r>
      <w:r>
        <w:rPr>
          <w:rFonts w:hint="eastAsia" w:ascii="宋体" w:hAnsi="宋体"/>
          <w:color w:val="auto"/>
          <w:szCs w:val="21"/>
          <w:highlight w:val="none"/>
          <w:u w:val="none"/>
          <w:lang w:val="en-US" w:eastAsia="zh-CN"/>
        </w:rPr>
        <w:t>人民</w:t>
      </w:r>
      <w:r>
        <w:rPr>
          <w:rFonts w:ascii="宋体" w:hAnsi="宋体" w:eastAsia="宋体"/>
          <w:color w:val="auto"/>
          <w:szCs w:val="21"/>
          <w:highlight w:val="none"/>
        </w:rPr>
        <w:t>法院起诉。</w:t>
      </w:r>
    </w:p>
    <w:p w14:paraId="7CC49706">
      <w:pPr>
        <w:keepNext w:val="0"/>
        <w:keepLines w:val="0"/>
        <w:pageBreakBefore w:val="0"/>
        <w:kinsoku/>
        <w:wordWrap/>
        <w:topLinePunct w:val="0"/>
        <w:autoSpaceDE/>
        <w:autoSpaceDN/>
        <w:bidi w:val="0"/>
        <w:adjustRightInd w:val="0"/>
        <w:snapToGrid w:val="0"/>
        <w:spacing w:line="500" w:lineRule="exact"/>
        <w:textAlignment w:val="auto"/>
        <w:rPr>
          <w:rFonts w:ascii="宋体" w:hAnsi="宋体" w:eastAsia="宋体"/>
          <w:b/>
          <w:color w:val="auto"/>
          <w:szCs w:val="21"/>
          <w:highlight w:val="none"/>
          <w:lang w:val="zh-CN"/>
        </w:rPr>
      </w:pPr>
      <w:r>
        <w:rPr>
          <w:rFonts w:hint="eastAsia" w:ascii="宋体" w:hAnsi="宋体" w:eastAsia="宋体"/>
          <w:b/>
          <w:color w:val="auto"/>
          <w:szCs w:val="21"/>
          <w:highlight w:val="none"/>
          <w:lang w:val="en-US" w:eastAsia="zh-CN"/>
        </w:rPr>
        <w:t xml:space="preserve">第十七条 </w:t>
      </w:r>
      <w:r>
        <w:rPr>
          <w:rFonts w:ascii="宋体" w:hAnsi="宋体" w:eastAsia="宋体"/>
          <w:b/>
          <w:color w:val="auto"/>
          <w:szCs w:val="21"/>
          <w:highlight w:val="none"/>
          <w:lang w:val="zh-CN"/>
        </w:rPr>
        <w:t>合同生效及其它</w:t>
      </w:r>
    </w:p>
    <w:p w14:paraId="04D2E28B">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1．合同经双方法定代表人或授权代表签字并加盖单位公章后生效。</w:t>
      </w:r>
    </w:p>
    <w:p w14:paraId="252D4EC4">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2．本合同未尽事宜，遵照《</w:t>
      </w:r>
      <w:r>
        <w:rPr>
          <w:rFonts w:hint="eastAsia" w:ascii="宋体" w:hAnsi="宋体" w:eastAsia="宋体"/>
          <w:color w:val="auto"/>
          <w:szCs w:val="21"/>
          <w:highlight w:val="none"/>
        </w:rPr>
        <w:t>中华人民共和国民法典</w:t>
      </w:r>
      <w:r>
        <w:rPr>
          <w:rFonts w:ascii="宋体" w:hAnsi="宋体" w:eastAsia="宋体"/>
          <w:color w:val="auto"/>
          <w:szCs w:val="21"/>
          <w:highlight w:val="none"/>
        </w:rPr>
        <w:t>》有关条文执行。</w:t>
      </w:r>
    </w:p>
    <w:p w14:paraId="29455B91">
      <w:pPr>
        <w:keepNext w:val="0"/>
        <w:keepLines w:val="0"/>
        <w:pageBreakBefore w:val="0"/>
        <w:kinsoku/>
        <w:wordWrap/>
        <w:topLinePunct w:val="0"/>
        <w:autoSpaceDE/>
        <w:autoSpaceDN/>
        <w:bidi w:val="0"/>
        <w:spacing w:line="50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3</w:t>
      </w:r>
      <w:r>
        <w:rPr>
          <w:rFonts w:ascii="宋体" w:hAnsi="宋体" w:eastAsia="宋体"/>
          <w:color w:val="auto"/>
          <w:szCs w:val="21"/>
          <w:highlight w:val="none"/>
        </w:rPr>
        <w:t>．本合同正本一式</w:t>
      </w:r>
      <w:r>
        <w:rPr>
          <w:rFonts w:hint="eastAsia" w:ascii="宋体" w:hAnsi="宋体"/>
          <w:color w:val="auto"/>
          <w:szCs w:val="21"/>
          <w:highlight w:val="none"/>
          <w:u w:val="single"/>
          <w:lang w:val="en-US" w:eastAsia="zh-CN"/>
        </w:rPr>
        <w:t xml:space="preserve">    </w:t>
      </w:r>
      <w:r>
        <w:rPr>
          <w:rFonts w:ascii="宋体" w:hAnsi="宋体" w:eastAsia="宋体"/>
          <w:color w:val="auto"/>
          <w:szCs w:val="21"/>
          <w:highlight w:val="none"/>
        </w:rPr>
        <w:t>份，具有同等法律效力，甲、乙方双方各执</w:t>
      </w:r>
      <w:r>
        <w:rPr>
          <w:rFonts w:hint="eastAsia" w:ascii="宋体" w:hAnsi="宋体"/>
          <w:color w:val="auto"/>
          <w:szCs w:val="21"/>
          <w:highlight w:val="none"/>
          <w:u w:val="single"/>
          <w:lang w:val="en-US" w:eastAsia="zh-CN"/>
        </w:rPr>
        <w:t xml:space="preserve">   </w:t>
      </w:r>
      <w:r>
        <w:rPr>
          <w:rFonts w:ascii="宋体" w:hAnsi="宋体" w:eastAsia="宋体"/>
          <w:color w:val="auto"/>
          <w:szCs w:val="21"/>
          <w:highlight w:val="none"/>
        </w:rPr>
        <w:t>份。</w:t>
      </w:r>
    </w:p>
    <w:p w14:paraId="4FE27734">
      <w:pPr>
        <w:pStyle w:val="23"/>
        <w:keepNext w:val="0"/>
        <w:keepLines w:val="0"/>
        <w:pageBreakBefore w:val="0"/>
        <w:kinsoku/>
        <w:wordWrap/>
        <w:topLinePunct w:val="0"/>
        <w:autoSpaceDE/>
        <w:autoSpaceDN/>
        <w:bidi w:val="0"/>
        <w:spacing w:line="500" w:lineRule="exact"/>
        <w:ind w:left="0" w:leftChars="0" w:firstLine="0" w:firstLineChars="0"/>
        <w:textAlignment w:val="auto"/>
        <w:rPr>
          <w:rFonts w:ascii="宋体" w:hAnsi="宋体" w:eastAsia="宋体"/>
          <w:color w:val="auto"/>
          <w:highlight w:val="none"/>
        </w:rPr>
      </w:pPr>
    </w:p>
    <w:p w14:paraId="08AAC79D">
      <w:pPr>
        <w:keepNext w:val="0"/>
        <w:keepLines w:val="0"/>
        <w:pageBreakBefore w:val="0"/>
        <w:kinsoku/>
        <w:wordWrap/>
        <w:topLinePunct w:val="0"/>
        <w:autoSpaceDE/>
        <w:autoSpaceDN/>
        <w:bidi w:val="0"/>
        <w:spacing w:line="500" w:lineRule="exact"/>
        <w:textAlignment w:val="auto"/>
        <w:rPr>
          <w:rFonts w:ascii="宋体" w:hAnsi="宋体" w:eastAsia="宋体"/>
          <w:color w:val="auto"/>
          <w:sz w:val="22"/>
          <w:szCs w:val="22"/>
          <w:highlight w:val="none"/>
        </w:rPr>
      </w:pPr>
      <w:bookmarkStart w:id="39" w:name="bookmark21"/>
      <w:r>
        <w:rPr>
          <w:rFonts w:ascii="宋体" w:hAnsi="宋体" w:eastAsia="宋体"/>
          <w:color w:val="auto"/>
          <w:sz w:val="22"/>
          <w:szCs w:val="22"/>
          <w:highlight w:val="none"/>
          <w:lang w:val="zh-CN"/>
        </w:rPr>
        <w:t>（本页为合同签署页，以下无正文）</w:t>
      </w:r>
      <w:bookmarkEnd w:id="39"/>
    </w:p>
    <w:p w14:paraId="2514B810">
      <w:pPr>
        <w:keepNext w:val="0"/>
        <w:keepLines w:val="0"/>
        <w:pageBreakBefore w:val="0"/>
        <w:kinsoku/>
        <w:wordWrap/>
        <w:topLinePunct w:val="0"/>
        <w:autoSpaceDE/>
        <w:autoSpaceDN/>
        <w:bidi w:val="0"/>
        <w:spacing w:line="500" w:lineRule="exact"/>
        <w:textAlignment w:val="auto"/>
        <w:rPr>
          <w:rFonts w:ascii="宋体" w:hAnsi="宋体" w:eastAsia="宋体"/>
          <w:color w:val="auto"/>
          <w:sz w:val="22"/>
          <w:szCs w:val="22"/>
          <w:highlight w:val="none"/>
        </w:rPr>
      </w:pPr>
    </w:p>
    <w:p w14:paraId="6ED5E410">
      <w:pPr>
        <w:keepNext w:val="0"/>
        <w:keepLines w:val="0"/>
        <w:pageBreakBefore w:val="0"/>
        <w:tabs>
          <w:tab w:val="left" w:pos="360"/>
        </w:tabs>
        <w:kinsoku/>
        <w:wordWrap/>
        <w:topLinePunct w:val="0"/>
        <w:autoSpaceDE/>
        <w:autoSpaceDN/>
        <w:bidi w:val="0"/>
        <w:spacing w:line="500" w:lineRule="exact"/>
        <w:ind w:firstLine="550"/>
        <w:textAlignment w:val="auto"/>
        <w:rPr>
          <w:rFonts w:ascii="宋体" w:hAnsi="宋体" w:eastAsia="宋体"/>
          <w:color w:val="auto"/>
          <w:kern w:val="1"/>
          <w:sz w:val="22"/>
          <w:szCs w:val="22"/>
          <w:highlight w:val="none"/>
        </w:rPr>
      </w:pPr>
      <w:r>
        <w:rPr>
          <w:rFonts w:ascii="宋体" w:hAnsi="宋体" w:eastAsia="宋体"/>
          <w:color w:val="auto"/>
          <w:kern w:val="1"/>
          <w:sz w:val="22"/>
          <w:szCs w:val="22"/>
          <w:highlight w:val="none"/>
        </w:rPr>
        <w:t>甲方：（印章）                        乙方：（印章）</w:t>
      </w:r>
    </w:p>
    <w:p w14:paraId="73DF5D50">
      <w:pPr>
        <w:keepNext w:val="0"/>
        <w:keepLines w:val="0"/>
        <w:pageBreakBefore w:val="0"/>
        <w:tabs>
          <w:tab w:val="left" w:pos="360"/>
        </w:tabs>
        <w:kinsoku/>
        <w:wordWrap/>
        <w:topLinePunct w:val="0"/>
        <w:autoSpaceDE/>
        <w:autoSpaceDN/>
        <w:bidi w:val="0"/>
        <w:spacing w:line="500" w:lineRule="exact"/>
        <w:ind w:firstLine="550"/>
        <w:textAlignment w:val="auto"/>
        <w:rPr>
          <w:rFonts w:ascii="宋体" w:hAnsi="宋体" w:eastAsia="宋体"/>
          <w:color w:val="auto"/>
          <w:kern w:val="1"/>
          <w:sz w:val="22"/>
          <w:szCs w:val="22"/>
          <w:highlight w:val="none"/>
        </w:rPr>
      </w:pPr>
      <w:r>
        <w:rPr>
          <w:rFonts w:ascii="宋体" w:hAnsi="宋体" w:eastAsia="宋体"/>
          <w:color w:val="auto"/>
          <w:kern w:val="1"/>
          <w:sz w:val="22"/>
          <w:szCs w:val="22"/>
          <w:highlight w:val="none"/>
        </w:rPr>
        <w:t>全权代表:（签字）                    全权代表:（签字）</w:t>
      </w:r>
    </w:p>
    <w:p w14:paraId="06B6968B">
      <w:pPr>
        <w:keepNext w:val="0"/>
        <w:keepLines w:val="0"/>
        <w:pageBreakBefore w:val="0"/>
        <w:tabs>
          <w:tab w:val="left" w:pos="360"/>
        </w:tabs>
        <w:kinsoku/>
        <w:wordWrap/>
        <w:topLinePunct w:val="0"/>
        <w:autoSpaceDE/>
        <w:autoSpaceDN/>
        <w:bidi w:val="0"/>
        <w:spacing w:line="500" w:lineRule="exact"/>
        <w:ind w:firstLine="550"/>
        <w:textAlignment w:val="auto"/>
        <w:rPr>
          <w:rFonts w:ascii="宋体" w:hAnsi="宋体" w:eastAsia="宋体"/>
          <w:color w:val="auto"/>
          <w:kern w:val="1"/>
          <w:sz w:val="22"/>
          <w:szCs w:val="22"/>
          <w:highlight w:val="none"/>
        </w:rPr>
      </w:pPr>
      <w:r>
        <w:rPr>
          <w:rFonts w:ascii="宋体" w:hAnsi="宋体" w:eastAsia="宋体"/>
          <w:color w:val="auto"/>
          <w:kern w:val="1"/>
          <w:sz w:val="22"/>
          <w:szCs w:val="22"/>
          <w:highlight w:val="none"/>
        </w:rPr>
        <w:t>地址：                               地址：</w:t>
      </w:r>
    </w:p>
    <w:p w14:paraId="606877B1">
      <w:pPr>
        <w:keepNext w:val="0"/>
        <w:keepLines w:val="0"/>
        <w:pageBreakBefore w:val="0"/>
        <w:tabs>
          <w:tab w:val="left" w:pos="360"/>
        </w:tabs>
        <w:kinsoku/>
        <w:wordWrap/>
        <w:topLinePunct w:val="0"/>
        <w:autoSpaceDE/>
        <w:autoSpaceDN/>
        <w:bidi w:val="0"/>
        <w:spacing w:line="500" w:lineRule="exact"/>
        <w:ind w:firstLine="550"/>
        <w:textAlignment w:val="auto"/>
        <w:rPr>
          <w:rFonts w:ascii="宋体" w:hAnsi="宋体" w:eastAsia="宋体"/>
          <w:color w:val="auto"/>
          <w:kern w:val="1"/>
          <w:sz w:val="22"/>
          <w:szCs w:val="22"/>
          <w:highlight w:val="none"/>
        </w:rPr>
      </w:pPr>
      <w:r>
        <w:rPr>
          <w:rFonts w:ascii="宋体" w:hAnsi="宋体" w:eastAsia="宋体"/>
          <w:color w:val="auto"/>
          <w:kern w:val="1"/>
          <w:sz w:val="22"/>
          <w:szCs w:val="22"/>
          <w:highlight w:val="none"/>
        </w:rPr>
        <w:t>邮政编码：                           邮政编码：</w:t>
      </w:r>
    </w:p>
    <w:p w14:paraId="117EF3F0">
      <w:pPr>
        <w:keepNext w:val="0"/>
        <w:keepLines w:val="0"/>
        <w:pageBreakBefore w:val="0"/>
        <w:tabs>
          <w:tab w:val="left" w:pos="360"/>
        </w:tabs>
        <w:kinsoku/>
        <w:wordWrap/>
        <w:topLinePunct w:val="0"/>
        <w:autoSpaceDE/>
        <w:autoSpaceDN/>
        <w:bidi w:val="0"/>
        <w:spacing w:line="500" w:lineRule="exact"/>
        <w:ind w:firstLine="550"/>
        <w:textAlignment w:val="auto"/>
        <w:rPr>
          <w:rFonts w:ascii="宋体" w:hAnsi="宋体" w:eastAsia="宋体"/>
          <w:color w:val="auto"/>
          <w:kern w:val="1"/>
          <w:sz w:val="22"/>
          <w:szCs w:val="22"/>
          <w:highlight w:val="none"/>
        </w:rPr>
      </w:pPr>
      <w:r>
        <w:rPr>
          <w:rFonts w:ascii="宋体" w:hAnsi="宋体" w:eastAsia="宋体"/>
          <w:color w:val="auto"/>
          <w:kern w:val="1"/>
          <w:sz w:val="22"/>
          <w:szCs w:val="22"/>
          <w:highlight w:val="none"/>
        </w:rPr>
        <w:t>电话：                               电话：</w:t>
      </w:r>
    </w:p>
    <w:p w14:paraId="4B739280">
      <w:pPr>
        <w:keepNext w:val="0"/>
        <w:keepLines w:val="0"/>
        <w:pageBreakBefore w:val="0"/>
        <w:tabs>
          <w:tab w:val="left" w:pos="360"/>
        </w:tabs>
        <w:kinsoku/>
        <w:wordWrap/>
        <w:topLinePunct w:val="0"/>
        <w:autoSpaceDE/>
        <w:autoSpaceDN/>
        <w:bidi w:val="0"/>
        <w:spacing w:line="500" w:lineRule="exact"/>
        <w:ind w:firstLine="550"/>
        <w:textAlignment w:val="auto"/>
        <w:rPr>
          <w:rFonts w:ascii="宋体" w:hAnsi="宋体" w:eastAsia="宋体"/>
          <w:color w:val="auto"/>
          <w:kern w:val="1"/>
          <w:sz w:val="22"/>
          <w:szCs w:val="22"/>
          <w:highlight w:val="none"/>
        </w:rPr>
      </w:pPr>
      <w:r>
        <w:rPr>
          <w:rFonts w:ascii="宋体" w:hAnsi="宋体" w:eastAsia="宋体"/>
          <w:color w:val="auto"/>
          <w:kern w:val="1"/>
          <w:sz w:val="22"/>
          <w:szCs w:val="22"/>
          <w:highlight w:val="none"/>
        </w:rPr>
        <w:t>传真：                               传真：</w:t>
      </w:r>
    </w:p>
    <w:p w14:paraId="06E80AD8">
      <w:pPr>
        <w:keepNext w:val="0"/>
        <w:keepLines w:val="0"/>
        <w:pageBreakBefore w:val="0"/>
        <w:tabs>
          <w:tab w:val="left" w:pos="360"/>
        </w:tabs>
        <w:kinsoku/>
        <w:wordWrap/>
        <w:topLinePunct w:val="0"/>
        <w:autoSpaceDE/>
        <w:autoSpaceDN/>
        <w:bidi w:val="0"/>
        <w:spacing w:line="500" w:lineRule="exact"/>
        <w:ind w:firstLine="550"/>
        <w:textAlignment w:val="auto"/>
        <w:rPr>
          <w:rFonts w:ascii="宋体" w:hAnsi="宋体" w:eastAsia="宋体"/>
          <w:color w:val="auto"/>
          <w:kern w:val="1"/>
          <w:sz w:val="22"/>
          <w:szCs w:val="22"/>
          <w:highlight w:val="none"/>
        </w:rPr>
      </w:pPr>
      <w:r>
        <w:rPr>
          <w:rFonts w:ascii="宋体" w:hAnsi="宋体" w:eastAsia="宋体"/>
          <w:color w:val="auto"/>
          <w:kern w:val="1"/>
          <w:sz w:val="22"/>
          <w:szCs w:val="22"/>
          <w:highlight w:val="none"/>
        </w:rPr>
        <w:t>开户银行：                           开户银行：</w:t>
      </w:r>
    </w:p>
    <w:p w14:paraId="010560E8">
      <w:pPr>
        <w:keepNext w:val="0"/>
        <w:keepLines w:val="0"/>
        <w:pageBreakBefore w:val="0"/>
        <w:tabs>
          <w:tab w:val="left" w:pos="360"/>
        </w:tabs>
        <w:kinsoku/>
        <w:wordWrap/>
        <w:topLinePunct w:val="0"/>
        <w:autoSpaceDE/>
        <w:autoSpaceDN/>
        <w:bidi w:val="0"/>
        <w:spacing w:line="500" w:lineRule="exact"/>
        <w:ind w:firstLine="550"/>
        <w:textAlignment w:val="auto"/>
        <w:rPr>
          <w:rFonts w:ascii="宋体" w:hAnsi="宋体" w:eastAsia="宋体"/>
          <w:color w:val="auto"/>
          <w:kern w:val="1"/>
          <w:sz w:val="22"/>
          <w:szCs w:val="22"/>
          <w:highlight w:val="none"/>
        </w:rPr>
      </w:pPr>
      <w:r>
        <w:rPr>
          <w:rFonts w:ascii="宋体" w:hAnsi="宋体" w:eastAsia="宋体"/>
          <w:color w:val="auto"/>
          <w:kern w:val="1"/>
          <w:sz w:val="22"/>
          <w:szCs w:val="22"/>
          <w:highlight w:val="none"/>
        </w:rPr>
        <w:t>帐号：                               帐号：</w:t>
      </w:r>
    </w:p>
    <w:p w14:paraId="7D964834">
      <w:pPr>
        <w:keepNext w:val="0"/>
        <w:keepLines w:val="0"/>
        <w:pageBreakBefore w:val="0"/>
        <w:tabs>
          <w:tab w:val="left" w:pos="360"/>
        </w:tabs>
        <w:kinsoku/>
        <w:wordWrap/>
        <w:topLinePunct w:val="0"/>
        <w:autoSpaceDE/>
        <w:autoSpaceDN/>
        <w:bidi w:val="0"/>
        <w:spacing w:line="500" w:lineRule="exact"/>
        <w:ind w:firstLine="550"/>
        <w:textAlignment w:val="auto"/>
        <w:rPr>
          <w:rFonts w:ascii="宋体" w:hAnsi="宋体" w:eastAsia="宋体"/>
          <w:color w:val="auto"/>
          <w:kern w:val="1"/>
          <w:sz w:val="22"/>
          <w:szCs w:val="22"/>
          <w:highlight w:val="none"/>
        </w:rPr>
      </w:pPr>
      <w:r>
        <w:rPr>
          <w:rFonts w:ascii="宋体" w:hAnsi="宋体" w:eastAsia="宋体"/>
          <w:color w:val="auto"/>
          <w:kern w:val="1"/>
          <w:sz w:val="22"/>
          <w:szCs w:val="22"/>
          <w:highlight w:val="none"/>
        </w:rPr>
        <w:t>签约日期：　　　　　　　　　　　</w:t>
      </w:r>
      <w:r>
        <w:rPr>
          <w:rFonts w:hint="eastAsia" w:ascii="宋体" w:hAnsi="宋体" w:eastAsia="宋体"/>
          <w:color w:val="auto"/>
          <w:kern w:val="1"/>
          <w:sz w:val="22"/>
          <w:szCs w:val="22"/>
          <w:highlight w:val="none"/>
          <w:lang w:val="en-US" w:eastAsia="zh-CN"/>
        </w:rPr>
        <w:t xml:space="preserve"> </w:t>
      </w:r>
      <w:r>
        <w:rPr>
          <w:rFonts w:ascii="宋体" w:hAnsi="宋体" w:eastAsia="宋体"/>
          <w:color w:val="auto"/>
          <w:kern w:val="1"/>
          <w:sz w:val="22"/>
          <w:szCs w:val="22"/>
          <w:highlight w:val="none"/>
        </w:rPr>
        <w:t>　　签约日期：</w:t>
      </w:r>
    </w:p>
    <w:p w14:paraId="0041E181">
      <w:pPr>
        <w:keepNext w:val="0"/>
        <w:keepLines w:val="0"/>
        <w:pageBreakBefore w:val="0"/>
        <w:tabs>
          <w:tab w:val="left" w:pos="360"/>
        </w:tabs>
        <w:kinsoku/>
        <w:wordWrap/>
        <w:topLinePunct w:val="0"/>
        <w:autoSpaceDE/>
        <w:autoSpaceDN/>
        <w:bidi w:val="0"/>
        <w:spacing w:line="500" w:lineRule="exact"/>
        <w:ind w:firstLine="550"/>
        <w:textAlignment w:val="auto"/>
        <w:rPr>
          <w:rFonts w:hint="default" w:eastAsia="宋体"/>
          <w:color w:val="auto"/>
          <w:highlight w:val="none"/>
          <w:lang w:val="en-US" w:eastAsia="zh-CN"/>
        </w:rPr>
      </w:pPr>
      <w:r>
        <w:rPr>
          <w:rFonts w:hint="eastAsia" w:ascii="宋体" w:hAnsi="宋体" w:eastAsia="宋体"/>
          <w:color w:val="auto"/>
          <w:kern w:val="1"/>
          <w:sz w:val="22"/>
          <w:szCs w:val="22"/>
          <w:highlight w:val="none"/>
          <w:lang w:val="en-US" w:eastAsia="zh-CN"/>
        </w:rPr>
        <w:t>签约地点</w:t>
      </w:r>
    </w:p>
    <w:p w14:paraId="7E8FD3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p>
    <w:p w14:paraId="25E7FC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（本合同格式为参考格式，最终以实际签订的合同格式为准）</w:t>
      </w:r>
    </w:p>
    <w:p w14:paraId="250584E2">
      <w:pPr>
        <w:keepNext w:val="0"/>
        <w:keepLines w:val="0"/>
        <w:pageBreakBefore w:val="0"/>
        <w:kinsoku/>
        <w:wordWrap/>
        <w:topLinePunct w:val="0"/>
        <w:autoSpaceDE/>
        <w:autoSpaceDN/>
        <w:bidi w:val="0"/>
        <w:spacing w:line="500" w:lineRule="exact"/>
        <w:ind w:firstLine="539" w:firstLineChars="245"/>
        <w:textAlignment w:val="auto"/>
        <w:rPr>
          <w:rFonts w:hint="eastAsia" w:ascii="新宋体" w:hAnsi="新宋体" w:eastAsia="新宋体" w:cs="宋体"/>
          <w:color w:val="auto"/>
          <w:sz w:val="22"/>
          <w:highlight w:val="none"/>
        </w:rPr>
      </w:pPr>
    </w:p>
    <w:p w14:paraId="73FFA7A6">
      <w:pPr>
        <w:keepNext w:val="0"/>
        <w:keepLines w:val="0"/>
        <w:pageBreakBefore w:val="0"/>
        <w:kinsoku/>
        <w:wordWrap/>
        <w:topLinePunct w:val="0"/>
        <w:autoSpaceDE/>
        <w:autoSpaceDN/>
        <w:bidi w:val="0"/>
        <w:snapToGrid w:val="0"/>
        <w:spacing w:line="500" w:lineRule="exact"/>
        <w:ind w:firstLine="440" w:firstLineChars="200"/>
        <w:textAlignment w:val="auto"/>
        <w:rPr>
          <w:rFonts w:hint="eastAsia" w:ascii="宋体" w:hAnsi="宋体" w:eastAsia="宋体" w:cs="宋体"/>
          <w:color w:val="auto"/>
          <w:sz w:val="22"/>
          <w:highlight w:val="none"/>
        </w:rPr>
      </w:pPr>
    </w:p>
    <w:p w14:paraId="15050F31">
      <w:pPr>
        <w:keepNext w:val="0"/>
        <w:keepLines w:val="0"/>
        <w:pageBreakBefore w:val="0"/>
        <w:kinsoku/>
        <w:wordWrap/>
        <w:topLinePunct w:val="0"/>
        <w:autoSpaceDE/>
        <w:autoSpaceDN/>
        <w:bidi w:val="0"/>
        <w:spacing w:line="500" w:lineRule="exact"/>
        <w:jc w:val="center"/>
        <w:textAlignment w:val="auto"/>
        <w:rPr>
          <w:rStyle w:val="27"/>
          <w:rFonts w:hint="eastAsia" w:ascii="宋体" w:hAnsi="宋体" w:eastAsia="宋体" w:cs="宋体"/>
          <w:b/>
          <w:bCs/>
          <w:color w:val="auto"/>
          <w:sz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eastAsia="宋体" w:cs="宋体"/>
          <w:color w:val="auto"/>
          <w:highlight w:val="none"/>
        </w:rPr>
        <w:fldChar w:fldCharType="separate"/>
      </w:r>
      <w:r>
        <w:rPr>
          <w:rStyle w:val="27"/>
          <w:rFonts w:hint="eastAsia" w:ascii="宋体" w:hAnsi="宋体" w:eastAsia="宋体" w:cs="宋体"/>
          <w:b/>
          <w:bCs/>
          <w:color w:val="auto"/>
          <w:sz w:val="22"/>
          <w:highlight w:val="none"/>
        </w:rPr>
        <w:t>（合同签订后供应商须将合同扫描发至</w:t>
      </w:r>
      <w:r>
        <w:rPr>
          <w:rStyle w:val="27"/>
          <w:rFonts w:hint="eastAsia" w:ascii="宋体" w:hAnsi="宋体" w:cs="宋体"/>
          <w:b/>
          <w:bCs/>
          <w:color w:val="auto"/>
          <w:sz w:val="22"/>
          <w:highlight w:val="none"/>
          <w:lang w:val="en-US" w:eastAsia="zh-CN"/>
        </w:rPr>
        <w:t>895900692</w:t>
      </w:r>
      <w:r>
        <w:rPr>
          <w:rStyle w:val="27"/>
          <w:rFonts w:hint="eastAsia" w:ascii="宋体" w:hAnsi="宋体" w:eastAsia="宋体" w:cs="宋体"/>
          <w:b/>
          <w:bCs/>
          <w:color w:val="auto"/>
          <w:sz w:val="22"/>
          <w:highlight w:val="none"/>
        </w:rPr>
        <w:t>@qq.com邮箱备案）</w:t>
      </w:r>
      <w:r>
        <w:rPr>
          <w:rFonts w:hint="eastAsia" w:ascii="宋体" w:hAnsi="宋体" w:eastAsia="宋体" w:cs="宋体"/>
          <w:b/>
          <w:bCs/>
          <w:color w:val="auto"/>
          <w:sz w:val="22"/>
          <w:highlight w:val="none"/>
        </w:rPr>
        <w:fldChar w:fldCharType="end"/>
      </w:r>
    </w:p>
    <w:p w14:paraId="14B314F2">
      <w:pPr>
        <w:rPr>
          <w:rFonts w:hint="eastAsia" w:hAnsi="宋体" w:eastAsia="宋体" w:cs="宋体"/>
          <w:color w:val="auto"/>
          <w:sz w:val="22"/>
          <w:highlight w:val="none"/>
        </w:rPr>
      </w:pPr>
      <w:r>
        <w:rPr>
          <w:rFonts w:hint="eastAsia" w:hAnsi="宋体" w:eastAsia="宋体" w:cs="宋体"/>
          <w:color w:val="auto"/>
          <w:sz w:val="22"/>
          <w:highlight w:val="none"/>
        </w:rPr>
        <w:br w:type="page"/>
      </w:r>
    </w:p>
    <w:bookmarkEnd w:id="32"/>
    <w:bookmarkEnd w:id="33"/>
    <w:bookmarkEnd w:id="34"/>
    <w:bookmarkEnd w:id="35"/>
    <w:bookmarkEnd w:id="36"/>
    <w:bookmarkEnd w:id="37"/>
    <w:bookmarkEnd w:id="38"/>
    <w:p w14:paraId="49D3A067">
      <w:pPr>
        <w:pStyle w:val="5"/>
        <w:tabs>
          <w:tab w:val="clear" w:pos="840"/>
        </w:tabs>
        <w:adjustRightInd/>
        <w:snapToGrid/>
        <w:spacing w:before="120" w:after="120" w:line="400" w:lineRule="exact"/>
        <w:jc w:val="center"/>
        <w:rPr>
          <w:rFonts w:ascii="新宋体" w:hAnsi="新宋体" w:eastAsia="新宋体"/>
          <w:color w:val="auto"/>
          <w:sz w:val="32"/>
          <w:szCs w:val="32"/>
          <w:highlight w:val="none"/>
        </w:rPr>
      </w:pPr>
      <w:bookmarkStart w:id="40" w:name="_Toc63412059"/>
      <w:r>
        <w:rPr>
          <w:rFonts w:hint="eastAsia" w:ascii="新宋体" w:hAnsi="新宋体" w:eastAsia="新宋体"/>
          <w:color w:val="auto"/>
          <w:sz w:val="32"/>
          <w:szCs w:val="32"/>
          <w:highlight w:val="none"/>
        </w:rPr>
        <w:t>第三部分 附件</w:t>
      </w:r>
      <w:bookmarkEnd w:id="40"/>
    </w:p>
    <w:p w14:paraId="28B6133B">
      <w:pPr>
        <w:pStyle w:val="6"/>
        <w:spacing w:line="400" w:lineRule="exact"/>
        <w:rPr>
          <w:rFonts w:ascii="新宋体" w:hAnsi="新宋体" w:eastAsia="新宋体"/>
          <w:color w:val="auto"/>
          <w:sz w:val="22"/>
          <w:szCs w:val="22"/>
          <w:highlight w:val="none"/>
        </w:rPr>
      </w:pPr>
      <w:bookmarkStart w:id="41" w:name="_Toc301515373"/>
      <w:bookmarkStart w:id="42" w:name="_Toc395528088"/>
      <w:bookmarkStart w:id="43" w:name="_Toc63412060"/>
      <w:bookmarkStart w:id="44" w:name="_Toc496784111"/>
      <w:r>
        <w:rPr>
          <w:rFonts w:hint="eastAsia" w:ascii="新宋体" w:hAnsi="新宋体" w:eastAsia="新宋体"/>
          <w:color w:val="auto"/>
          <w:sz w:val="22"/>
          <w:szCs w:val="22"/>
          <w:highlight w:val="none"/>
        </w:rPr>
        <w:t>附件一  投 标 函</w:t>
      </w:r>
      <w:bookmarkEnd w:id="41"/>
      <w:bookmarkEnd w:id="42"/>
      <w:bookmarkEnd w:id="43"/>
      <w:bookmarkEnd w:id="44"/>
    </w:p>
    <w:p w14:paraId="0D8F573B">
      <w:pPr>
        <w:spacing w:line="400" w:lineRule="exact"/>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 标 函</w:t>
      </w:r>
    </w:p>
    <w:p w14:paraId="274BE265">
      <w:pPr>
        <w:spacing w:line="400" w:lineRule="exact"/>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温州市自然资源和规划局龙湾分局</w:t>
      </w:r>
    </w:p>
    <w:p w14:paraId="45675FDE">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浙江同信工程项目管理有限公司：</w:t>
      </w:r>
    </w:p>
    <w:p w14:paraId="76031C10">
      <w:pPr>
        <w:spacing w:line="42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项目（项目编号：</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（投标供应商名称）    </w:t>
      </w:r>
      <w:r>
        <w:rPr>
          <w:rFonts w:hint="eastAsia" w:ascii="新宋体" w:hAnsi="新宋体" w:eastAsia="新宋体"/>
          <w:color w:val="auto"/>
          <w:sz w:val="22"/>
          <w:szCs w:val="22"/>
          <w:highlight w:val="none"/>
        </w:rPr>
        <w:t>作为投标供应商正式授权</w:t>
      </w:r>
      <w:r>
        <w:rPr>
          <w:rFonts w:hint="eastAsia" w:ascii="新宋体" w:hAnsi="新宋体" w:eastAsia="新宋体"/>
          <w:color w:val="auto"/>
          <w:sz w:val="22"/>
          <w:szCs w:val="22"/>
          <w:highlight w:val="none"/>
          <w:u w:val="single"/>
        </w:rPr>
        <w:t xml:space="preserve">　  （授权代表全名，职务）    </w:t>
      </w:r>
      <w:r>
        <w:rPr>
          <w:rFonts w:hint="eastAsia" w:ascii="新宋体" w:hAnsi="新宋体" w:eastAsia="新宋体"/>
          <w:color w:val="auto"/>
          <w:sz w:val="22"/>
          <w:szCs w:val="22"/>
          <w:highlight w:val="none"/>
        </w:rPr>
        <w:t>代表我方处理有关本投标的一切事宜，并参加本项目的投标。</w:t>
      </w:r>
    </w:p>
    <w:p w14:paraId="5F011F73">
      <w:pPr>
        <w:spacing w:line="420" w:lineRule="exact"/>
        <w:ind w:left="975" w:leftChars="150" w:hanging="660" w:hangingChars="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在此提交的投标文件中，包括按“采购文件”要求编制的资格文件、商务技术文件、报价文件。</w:t>
      </w:r>
    </w:p>
    <w:p w14:paraId="5CA39706">
      <w:pPr>
        <w:spacing w:line="42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我方己完全明白采购文件的所有条款要求，并重申以下几点：</w:t>
      </w:r>
    </w:p>
    <w:p w14:paraId="0BB8BC58">
      <w:pPr>
        <w:spacing w:line="420" w:lineRule="exact"/>
        <w:ind w:left="1019" w:leftChars="171" w:hanging="660" w:hangingChars="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（一）本投标文件的有效期自投标截止日起</w:t>
      </w:r>
      <w:r>
        <w:rPr>
          <w:rFonts w:hint="eastAsia" w:ascii="新宋体" w:hAnsi="新宋体" w:eastAsia="新宋体"/>
          <w:b/>
          <w:color w:val="auto"/>
          <w:sz w:val="22"/>
          <w:szCs w:val="22"/>
          <w:highlight w:val="none"/>
          <w:u w:val="single"/>
        </w:rPr>
        <w:t>90</w:t>
      </w:r>
      <w:r>
        <w:rPr>
          <w:rFonts w:hint="eastAsia" w:ascii="新宋体" w:hAnsi="新宋体" w:eastAsia="新宋体"/>
          <w:color w:val="auto"/>
          <w:sz w:val="22"/>
          <w:szCs w:val="22"/>
          <w:highlight w:val="none"/>
        </w:rPr>
        <w:t>天内有效，如中标，有效期将延至合同终止日为止；</w:t>
      </w:r>
    </w:p>
    <w:p w14:paraId="72DA1BF3">
      <w:pPr>
        <w:spacing w:line="420" w:lineRule="exact"/>
        <w:ind w:left="1019" w:leftChars="171" w:hanging="660" w:hangingChars="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（二）我方已详细研究了采购文件的所有内容包括修改书（如有）和所有已提供的参考资料以及有关附件，我方完全理解并同意放弃在此方面提出含糊意见或误解的一切权力；</w:t>
      </w:r>
    </w:p>
    <w:p w14:paraId="5CFFABBB">
      <w:pPr>
        <w:spacing w:line="420" w:lineRule="exact"/>
        <w:ind w:left="1019" w:leftChars="171" w:hanging="660" w:hangingChars="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（三）我方明白并承诺在规定的开标时间之后，在投标有效期内不撤回投标；</w:t>
      </w:r>
    </w:p>
    <w:p w14:paraId="12EA373E">
      <w:pPr>
        <w:spacing w:line="420" w:lineRule="exact"/>
        <w:ind w:left="359" w:leftChars="171"/>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（四）我方同意提供按照贵方可能要求的与投标有关的一切数据或资料；</w:t>
      </w:r>
    </w:p>
    <w:p w14:paraId="2AE8CF8A">
      <w:pPr>
        <w:spacing w:line="420" w:lineRule="exact"/>
        <w:ind w:left="359" w:leftChars="171"/>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（五）我方理解贵方不一定接受最低报价。</w:t>
      </w:r>
    </w:p>
    <w:p w14:paraId="4EB0D820">
      <w:pPr>
        <w:spacing w:line="400" w:lineRule="exact"/>
        <w:ind w:left="1019" w:leftChars="171" w:hanging="660" w:hangingChars="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（六）我方如果中标，将保证履行采购文件以及采购文件修改书（如有）中的全部责任和义务，按质、按量、按期完成《合同书》中的全部任务。</w:t>
      </w:r>
    </w:p>
    <w:p w14:paraId="15E1A63C">
      <w:pPr>
        <w:spacing w:line="400" w:lineRule="exact"/>
        <w:ind w:left="31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（七）所有与本投标有关的函件请发往下列地址：</w:t>
      </w:r>
    </w:p>
    <w:p w14:paraId="7630B4FE">
      <w:pPr>
        <w:spacing w:line="400" w:lineRule="exact"/>
        <w:ind w:firstLine="4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地址</w:t>
      </w:r>
      <w:r>
        <w:rPr>
          <w:rFonts w:hint="eastAsia" w:ascii="新宋体" w:hAnsi="新宋体" w:eastAsia="新宋体"/>
          <w:color w:val="auto"/>
          <w:sz w:val="22"/>
          <w:szCs w:val="22"/>
          <w:highlight w:val="none"/>
          <w:u w:val="single"/>
        </w:rPr>
        <w:t xml:space="preserve">                           </w:t>
      </w:r>
    </w:p>
    <w:p w14:paraId="0B027F19">
      <w:pPr>
        <w:spacing w:line="400" w:lineRule="exact"/>
        <w:ind w:firstLine="4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电话</w:t>
      </w:r>
      <w:r>
        <w:rPr>
          <w:rFonts w:hint="eastAsia" w:ascii="新宋体" w:hAnsi="新宋体" w:eastAsia="新宋体"/>
          <w:color w:val="auto"/>
          <w:sz w:val="22"/>
          <w:szCs w:val="22"/>
          <w:highlight w:val="none"/>
          <w:u w:val="single"/>
        </w:rPr>
        <w:t xml:space="preserve">                           </w:t>
      </w:r>
    </w:p>
    <w:p w14:paraId="55BD1BB9">
      <w:pPr>
        <w:spacing w:line="400" w:lineRule="exact"/>
        <w:ind w:firstLine="435"/>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 xml:space="preserve">   传真</w:t>
      </w:r>
      <w:r>
        <w:rPr>
          <w:rFonts w:hint="eastAsia" w:ascii="新宋体" w:hAnsi="新宋体" w:eastAsia="新宋体"/>
          <w:color w:val="auto"/>
          <w:sz w:val="22"/>
          <w:szCs w:val="22"/>
          <w:highlight w:val="none"/>
          <w:u w:val="single"/>
        </w:rPr>
        <w:t xml:space="preserve">                           </w:t>
      </w:r>
    </w:p>
    <w:p w14:paraId="624614F9">
      <w:pPr>
        <w:spacing w:line="400" w:lineRule="exact"/>
        <w:ind w:firstLine="770" w:firstLineChars="350"/>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电子邮件</w:t>
      </w:r>
      <w:r>
        <w:rPr>
          <w:rFonts w:hint="eastAsia" w:ascii="新宋体" w:hAnsi="新宋体" w:eastAsia="新宋体"/>
          <w:color w:val="auto"/>
          <w:sz w:val="22"/>
          <w:szCs w:val="22"/>
          <w:highlight w:val="none"/>
          <w:u w:val="single"/>
        </w:rPr>
        <w:t xml:space="preserve">                       </w:t>
      </w:r>
    </w:p>
    <w:p w14:paraId="5CAC306E">
      <w:pPr>
        <w:spacing w:line="500" w:lineRule="exact"/>
        <w:ind w:firstLine="4840" w:firstLineChars="2200"/>
        <w:rPr>
          <w:rFonts w:ascii="新宋体" w:hAnsi="新宋体" w:eastAsia="新宋体"/>
          <w:color w:val="auto"/>
          <w:sz w:val="22"/>
          <w:highlight w:val="none"/>
        </w:rPr>
      </w:pPr>
    </w:p>
    <w:p w14:paraId="6D10899A">
      <w:pPr>
        <w:spacing w:line="500" w:lineRule="exact"/>
        <w:ind w:firstLine="4840" w:firstLineChars="2200"/>
        <w:rPr>
          <w:rFonts w:ascii="新宋体" w:hAnsi="新宋体" w:eastAsia="新宋体"/>
          <w:color w:val="auto"/>
          <w:sz w:val="22"/>
          <w:szCs w:val="22"/>
          <w:highlight w:val="none"/>
        </w:rPr>
      </w:pPr>
      <w:r>
        <w:rPr>
          <w:rFonts w:hint="eastAsia" w:ascii="新宋体" w:hAnsi="新宋体" w:eastAsia="新宋体"/>
          <w:color w:val="auto"/>
          <w:sz w:val="22"/>
          <w:highlight w:val="none"/>
        </w:rPr>
        <w:t>投标供应商名称</w:t>
      </w:r>
      <w:r>
        <w:rPr>
          <w:rFonts w:hint="eastAsia" w:ascii="新宋体" w:hAnsi="新宋体" w:eastAsia="新宋体"/>
          <w:color w:val="auto"/>
          <w:sz w:val="22"/>
          <w:szCs w:val="22"/>
          <w:highlight w:val="none"/>
        </w:rPr>
        <w:t>（盖章）：</w:t>
      </w:r>
    </w:p>
    <w:p w14:paraId="2AFA85E3">
      <w:pPr>
        <w:spacing w:line="500" w:lineRule="exact"/>
        <w:ind w:firstLine="4840" w:firstLineChars="2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投标供应商代表（签字或盖章）：</w:t>
      </w:r>
    </w:p>
    <w:p w14:paraId="314C81F3">
      <w:pPr>
        <w:spacing w:line="500" w:lineRule="exact"/>
        <w:ind w:firstLine="4840" w:firstLineChars="2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14:paraId="46933679">
      <w:pPr>
        <w:spacing w:line="400" w:lineRule="exact"/>
        <w:ind w:firstLine="435"/>
        <w:rPr>
          <w:rFonts w:ascii="新宋体" w:hAnsi="新宋体" w:eastAsia="新宋体"/>
          <w:color w:val="auto"/>
          <w:sz w:val="22"/>
          <w:szCs w:val="22"/>
          <w:highlight w:val="none"/>
          <w:u w:val="single"/>
        </w:rPr>
      </w:pPr>
    </w:p>
    <w:p w14:paraId="750FCD79">
      <w:pPr>
        <w:rPr>
          <w:rFonts w:hint="eastAsia" w:ascii="新宋体" w:hAnsi="新宋体" w:eastAsia="新宋体"/>
          <w:color w:val="auto"/>
          <w:sz w:val="22"/>
          <w:szCs w:val="22"/>
          <w:highlight w:val="none"/>
        </w:rPr>
      </w:pPr>
      <w:bookmarkStart w:id="45" w:name="_Toc496784112"/>
      <w:bookmarkStart w:id="46" w:name="_Toc301515374"/>
      <w:bookmarkStart w:id="47" w:name="_Toc63412061"/>
      <w:bookmarkStart w:id="48" w:name="_Toc395528089"/>
      <w:r>
        <w:rPr>
          <w:rFonts w:hint="eastAsia" w:ascii="新宋体" w:hAnsi="新宋体" w:eastAsia="新宋体"/>
          <w:color w:val="auto"/>
          <w:sz w:val="22"/>
          <w:szCs w:val="22"/>
          <w:highlight w:val="none"/>
        </w:rPr>
        <w:br w:type="page"/>
      </w:r>
    </w:p>
    <w:p w14:paraId="684C876F">
      <w:pPr>
        <w:pStyle w:val="6"/>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附件二  </w:t>
      </w:r>
      <w:bookmarkEnd w:id="45"/>
      <w:bookmarkEnd w:id="46"/>
      <w:bookmarkEnd w:id="47"/>
      <w:bookmarkEnd w:id="48"/>
      <w:r>
        <w:rPr>
          <w:rFonts w:hint="eastAsia" w:ascii="新宋体" w:hAnsi="新宋体" w:eastAsia="新宋体"/>
          <w:color w:val="auto"/>
          <w:sz w:val="22"/>
          <w:szCs w:val="22"/>
          <w:highlight w:val="none"/>
        </w:rPr>
        <w:t>开标一览表</w:t>
      </w:r>
    </w:p>
    <w:p w14:paraId="73FF23D3">
      <w:pPr>
        <w:autoSpaceDE w:val="0"/>
        <w:autoSpaceDN w:val="0"/>
        <w:adjustRightInd w:val="0"/>
        <w:spacing w:line="460" w:lineRule="atLeast"/>
        <w:jc w:val="center"/>
        <w:rPr>
          <w:rFonts w:ascii="宋体" w:hAnsi="宋体" w:cs="新宋体"/>
          <w:b/>
          <w:bCs/>
          <w:color w:val="auto"/>
          <w:kern w:val="0"/>
          <w:sz w:val="28"/>
          <w:szCs w:val="28"/>
          <w:highlight w:val="none"/>
          <w:lang w:val="zh-CN"/>
        </w:rPr>
      </w:pPr>
    </w:p>
    <w:p w14:paraId="7745F58B">
      <w:pPr>
        <w:jc w:val="center"/>
        <w:rPr>
          <w:rFonts w:ascii="宋体" w:hAnsi="宋体" w:cs="新宋体"/>
          <w:b/>
          <w:color w:val="auto"/>
          <w:sz w:val="28"/>
          <w:highlight w:val="none"/>
        </w:rPr>
      </w:pPr>
      <w:r>
        <w:rPr>
          <w:rFonts w:hint="eastAsia" w:ascii="宋体" w:hAnsi="宋体" w:cs="新宋体"/>
          <w:b/>
          <w:color w:val="auto"/>
          <w:sz w:val="28"/>
          <w:highlight w:val="none"/>
        </w:rPr>
        <w:t>开标一览表</w:t>
      </w:r>
    </w:p>
    <w:p w14:paraId="7B710A9B">
      <w:pPr>
        <w:overflowPunct w:val="0"/>
        <w:spacing w:line="380" w:lineRule="exact"/>
        <w:jc w:val="center"/>
        <w:rPr>
          <w:rFonts w:ascii="宋体" w:hAnsi="宋体" w:cs="新宋体"/>
          <w:b/>
          <w:bCs/>
          <w:color w:val="auto"/>
          <w:sz w:val="28"/>
          <w:highlight w:val="none"/>
        </w:rPr>
      </w:pPr>
    </w:p>
    <w:p w14:paraId="42334ABB">
      <w:pPr>
        <w:overflowPunct w:val="0"/>
        <w:spacing w:line="380" w:lineRule="exact"/>
        <w:jc w:val="center"/>
        <w:rPr>
          <w:rFonts w:ascii="宋体" w:hAnsi="宋体" w:cs="新宋体"/>
          <w:b/>
          <w:bCs/>
          <w:color w:val="auto"/>
          <w:sz w:val="28"/>
          <w:highlight w:val="none"/>
        </w:rPr>
      </w:pPr>
    </w:p>
    <w:p w14:paraId="3ACF7CE8">
      <w:pPr>
        <w:overflowPunct w:val="0"/>
        <w:spacing w:line="380" w:lineRule="exact"/>
        <w:rPr>
          <w:rFonts w:ascii="宋体" w:hAnsi="宋体" w:cs="新宋体"/>
          <w:bCs/>
          <w:color w:val="auto"/>
          <w:sz w:val="22"/>
          <w:szCs w:val="22"/>
          <w:highlight w:val="none"/>
        </w:rPr>
      </w:pPr>
      <w:r>
        <w:rPr>
          <w:rFonts w:hint="eastAsia" w:ascii="宋体" w:hAnsi="宋体" w:cs="新宋体"/>
          <w:b/>
          <w:color w:val="auto"/>
          <w:sz w:val="22"/>
          <w:highlight w:val="none"/>
        </w:rPr>
        <w:t xml:space="preserve">项目名称： </w:t>
      </w:r>
      <w:r>
        <w:rPr>
          <w:rFonts w:hint="eastAsia" w:ascii="宋体" w:hAnsi="宋体" w:cs="新宋体"/>
          <w:color w:val="auto"/>
          <w:sz w:val="22"/>
          <w:highlight w:val="none"/>
        </w:rPr>
        <w:t xml:space="preserve">       </w:t>
      </w:r>
      <w:r>
        <w:rPr>
          <w:rFonts w:hint="eastAsia" w:ascii="宋体" w:hAnsi="宋体" w:cs="新宋体"/>
          <w:b/>
          <w:color w:val="auto"/>
          <w:sz w:val="22"/>
          <w:highlight w:val="none"/>
        </w:rPr>
        <w:t xml:space="preserve">         </w:t>
      </w:r>
      <w:r>
        <w:rPr>
          <w:rFonts w:hint="eastAsia" w:ascii="宋体" w:hAnsi="宋体" w:cs="新宋体"/>
          <w:b/>
          <w:bCs/>
          <w:color w:val="auto"/>
          <w:sz w:val="22"/>
          <w:highlight w:val="none"/>
        </w:rPr>
        <w:t xml:space="preserve">      </w:t>
      </w:r>
      <w:r>
        <w:rPr>
          <w:rFonts w:hint="eastAsia" w:ascii="宋体" w:hAnsi="宋体" w:cs="新宋体"/>
          <w:b/>
          <w:color w:val="auto"/>
          <w:sz w:val="22"/>
          <w:highlight w:val="none"/>
        </w:rPr>
        <w:t xml:space="preserve">               </w:t>
      </w:r>
      <w:r>
        <w:rPr>
          <w:rFonts w:ascii="宋体" w:hAnsi="宋体" w:cs="新宋体"/>
          <w:b/>
          <w:color w:val="auto"/>
          <w:sz w:val="22"/>
          <w:highlight w:val="none"/>
        </w:rPr>
        <w:t xml:space="preserve">  </w:t>
      </w:r>
      <w:r>
        <w:rPr>
          <w:rFonts w:hint="eastAsia" w:ascii="宋体" w:hAnsi="宋体" w:cs="新宋体"/>
          <w:b/>
          <w:color w:val="auto"/>
          <w:sz w:val="22"/>
          <w:highlight w:val="none"/>
        </w:rPr>
        <w:t>项目编号：</w:t>
      </w:r>
      <w:r>
        <w:rPr>
          <w:rFonts w:hint="eastAsia" w:ascii="宋体" w:hAnsi="宋体"/>
          <w:bCs/>
          <w:color w:val="auto"/>
          <w:sz w:val="22"/>
          <w:szCs w:val="22"/>
          <w:highlight w:val="none"/>
        </w:rPr>
        <w:t xml:space="preserve">   </w:t>
      </w:r>
    </w:p>
    <w:tbl>
      <w:tblPr>
        <w:tblStyle w:val="24"/>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4740"/>
        <w:gridCol w:w="2039"/>
      </w:tblGrid>
      <w:tr w14:paraId="7036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579" w:type="dxa"/>
            <w:tcBorders>
              <w:left w:val="single" w:color="auto" w:sz="4" w:space="0"/>
              <w:right w:val="single" w:color="000000" w:sz="6" w:space="0"/>
            </w:tcBorders>
            <w:vAlign w:val="center"/>
          </w:tcPr>
          <w:p w14:paraId="03240B2C">
            <w:pPr>
              <w:pStyle w:val="12"/>
              <w:snapToGrid w:val="0"/>
              <w:spacing w:line="460" w:lineRule="atLeast"/>
              <w:jc w:val="center"/>
              <w:rPr>
                <w:rFonts w:hAnsi="宋体"/>
                <w:b/>
                <w:color w:val="auto"/>
                <w:sz w:val="22"/>
                <w:szCs w:val="22"/>
                <w:highlight w:val="none"/>
              </w:rPr>
            </w:pPr>
            <w:r>
              <w:rPr>
                <w:rFonts w:hint="eastAsia" w:hAnsi="宋体"/>
                <w:b/>
                <w:color w:val="auto"/>
                <w:sz w:val="22"/>
                <w:szCs w:val="22"/>
                <w:highlight w:val="none"/>
              </w:rPr>
              <w:t>项目名称</w:t>
            </w:r>
          </w:p>
        </w:tc>
        <w:tc>
          <w:tcPr>
            <w:tcW w:w="4740" w:type="dxa"/>
            <w:vAlign w:val="center"/>
          </w:tcPr>
          <w:p w14:paraId="45276BC1">
            <w:pPr>
              <w:pStyle w:val="12"/>
              <w:snapToGrid w:val="0"/>
              <w:spacing w:line="460" w:lineRule="atLeast"/>
              <w:jc w:val="center"/>
              <w:rPr>
                <w:rFonts w:hAnsi="宋体"/>
                <w:b/>
                <w:color w:val="auto"/>
                <w:sz w:val="22"/>
                <w:szCs w:val="22"/>
                <w:highlight w:val="none"/>
              </w:rPr>
            </w:pPr>
            <w:r>
              <w:rPr>
                <w:rFonts w:hint="eastAsia" w:hAnsi="宋体"/>
                <w:b/>
                <w:color w:val="auto"/>
                <w:sz w:val="22"/>
                <w:szCs w:val="22"/>
                <w:highlight w:val="none"/>
              </w:rPr>
              <w:t>投标报价</w:t>
            </w:r>
            <w:r>
              <w:rPr>
                <w:rFonts w:hint="eastAsia" w:hAnsi="宋体" w:cs="新宋体"/>
                <w:b/>
                <w:color w:val="auto"/>
                <w:sz w:val="22"/>
                <w:highlight w:val="none"/>
              </w:rPr>
              <w:t>（</w:t>
            </w:r>
            <w:r>
              <w:rPr>
                <w:rFonts w:hint="eastAsia" w:hAnsi="宋体"/>
                <w:b/>
                <w:color w:val="auto"/>
                <w:sz w:val="22"/>
                <w:szCs w:val="22"/>
                <w:highlight w:val="none"/>
              </w:rPr>
              <w:t>元人民币</w:t>
            </w:r>
            <w:r>
              <w:rPr>
                <w:rFonts w:hint="eastAsia" w:hAnsi="宋体" w:cs="新宋体"/>
                <w:b/>
                <w:color w:val="auto"/>
                <w:sz w:val="22"/>
                <w:highlight w:val="none"/>
              </w:rPr>
              <w:t>）</w:t>
            </w:r>
          </w:p>
        </w:tc>
        <w:tc>
          <w:tcPr>
            <w:tcW w:w="2039" w:type="dxa"/>
            <w:vAlign w:val="center"/>
          </w:tcPr>
          <w:p w14:paraId="318599BD">
            <w:pPr>
              <w:pStyle w:val="12"/>
              <w:snapToGrid w:val="0"/>
              <w:spacing w:line="460" w:lineRule="atLeast"/>
              <w:jc w:val="center"/>
              <w:rPr>
                <w:rFonts w:hAnsi="宋体"/>
                <w:b/>
                <w:color w:val="auto"/>
                <w:sz w:val="22"/>
                <w:szCs w:val="22"/>
                <w:highlight w:val="none"/>
              </w:rPr>
            </w:pPr>
            <w:r>
              <w:rPr>
                <w:rFonts w:hint="eastAsia" w:hAnsi="宋体"/>
                <w:b/>
                <w:color w:val="auto"/>
                <w:sz w:val="22"/>
                <w:szCs w:val="22"/>
                <w:highlight w:val="none"/>
              </w:rPr>
              <w:t>备注</w:t>
            </w:r>
          </w:p>
        </w:tc>
      </w:tr>
      <w:tr w14:paraId="7CF4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jc w:val="center"/>
        </w:trPr>
        <w:tc>
          <w:tcPr>
            <w:tcW w:w="2579" w:type="dxa"/>
            <w:tcBorders>
              <w:left w:val="single" w:color="auto" w:sz="4" w:space="0"/>
              <w:right w:val="single" w:color="000000" w:sz="6" w:space="0"/>
            </w:tcBorders>
            <w:vAlign w:val="center"/>
          </w:tcPr>
          <w:p w14:paraId="5433BCE1">
            <w:pPr>
              <w:pStyle w:val="12"/>
              <w:snapToGrid w:val="0"/>
              <w:spacing w:line="460" w:lineRule="atLeast"/>
              <w:jc w:val="center"/>
              <w:rPr>
                <w:rFonts w:hint="eastAsia" w:hAnsi="宋体" w:eastAsia="宋体"/>
                <w:b/>
                <w:bCs/>
                <w:color w:val="auto"/>
                <w:sz w:val="22"/>
                <w:szCs w:val="22"/>
                <w:highlight w:val="none"/>
                <w:lang w:eastAsia="zh-CN"/>
              </w:rPr>
            </w:pPr>
            <w:r>
              <w:rPr>
                <w:rFonts w:hint="eastAsia" w:hAnsi="宋体"/>
                <w:b/>
                <w:bCs/>
                <w:color w:val="auto"/>
                <w:sz w:val="22"/>
                <w:szCs w:val="22"/>
                <w:highlight w:val="none"/>
                <w:lang w:eastAsia="zh-CN"/>
              </w:rPr>
              <w:t>龙湾区百镇千村富硒土地地球化学详查工作</w:t>
            </w:r>
          </w:p>
        </w:tc>
        <w:tc>
          <w:tcPr>
            <w:tcW w:w="4740" w:type="dxa"/>
            <w:vAlign w:val="center"/>
          </w:tcPr>
          <w:p w14:paraId="4AC0D4C8">
            <w:pPr>
              <w:pStyle w:val="12"/>
              <w:rPr>
                <w:rFonts w:hAnsi="宋体"/>
                <w:b/>
                <w:color w:val="auto"/>
                <w:sz w:val="22"/>
                <w:szCs w:val="22"/>
                <w:highlight w:val="none"/>
              </w:rPr>
            </w:pPr>
            <w:r>
              <w:rPr>
                <w:rFonts w:hint="eastAsia" w:hAnsi="宋体"/>
                <w:b/>
                <w:color w:val="auto"/>
                <w:sz w:val="22"/>
                <w:szCs w:val="22"/>
                <w:highlight w:val="none"/>
              </w:rPr>
              <w:t>大写：</w:t>
            </w:r>
            <w:r>
              <w:rPr>
                <w:rFonts w:hAnsi="宋体"/>
                <w:b/>
                <w:color w:val="auto"/>
                <w:sz w:val="22"/>
                <w:szCs w:val="22"/>
                <w:highlight w:val="none"/>
              </w:rPr>
              <w:t xml:space="preserve"> </w:t>
            </w:r>
          </w:p>
          <w:p w14:paraId="46024D4A">
            <w:pPr>
              <w:pStyle w:val="12"/>
              <w:rPr>
                <w:rFonts w:hAnsi="宋体"/>
                <w:b/>
                <w:color w:val="auto"/>
                <w:sz w:val="22"/>
                <w:szCs w:val="22"/>
                <w:highlight w:val="none"/>
              </w:rPr>
            </w:pPr>
          </w:p>
          <w:p w14:paraId="5A0D74BD">
            <w:pPr>
              <w:pStyle w:val="12"/>
              <w:rPr>
                <w:rFonts w:hAnsi="宋体"/>
                <w:b/>
                <w:color w:val="auto"/>
                <w:sz w:val="22"/>
                <w:szCs w:val="22"/>
                <w:highlight w:val="none"/>
              </w:rPr>
            </w:pPr>
            <w:r>
              <w:rPr>
                <w:rFonts w:hint="eastAsia" w:hAnsi="宋体"/>
                <w:b/>
                <w:color w:val="auto"/>
                <w:sz w:val="22"/>
                <w:szCs w:val="22"/>
                <w:highlight w:val="none"/>
              </w:rPr>
              <w:t>小写：</w:t>
            </w:r>
          </w:p>
        </w:tc>
        <w:tc>
          <w:tcPr>
            <w:tcW w:w="2039" w:type="dxa"/>
            <w:vAlign w:val="center"/>
          </w:tcPr>
          <w:p w14:paraId="0C670AFB">
            <w:pPr>
              <w:pStyle w:val="12"/>
              <w:snapToGrid w:val="0"/>
              <w:jc w:val="center"/>
              <w:rPr>
                <w:rFonts w:hAnsi="宋体"/>
                <w:b/>
                <w:bCs/>
                <w:color w:val="auto"/>
                <w:sz w:val="22"/>
                <w:szCs w:val="22"/>
                <w:highlight w:val="none"/>
              </w:rPr>
            </w:pPr>
          </w:p>
        </w:tc>
      </w:tr>
    </w:tbl>
    <w:p w14:paraId="7160DC84">
      <w:pPr>
        <w:overflowPunct w:val="0"/>
        <w:spacing w:line="460" w:lineRule="exact"/>
        <w:rPr>
          <w:rFonts w:ascii="宋体" w:hAnsi="宋体" w:cs="新宋体"/>
          <w:color w:val="auto"/>
          <w:sz w:val="22"/>
          <w:szCs w:val="22"/>
          <w:highlight w:val="none"/>
        </w:rPr>
      </w:pPr>
    </w:p>
    <w:p w14:paraId="6DF36AB2">
      <w:pPr>
        <w:overflowPunct w:val="0"/>
        <w:spacing w:line="460" w:lineRule="exact"/>
        <w:rPr>
          <w:rFonts w:hint="eastAsia" w:ascii="宋体" w:hAnsi="宋体" w:cs="宋体"/>
          <w:b/>
          <w:bCs/>
          <w:color w:val="auto"/>
          <w:sz w:val="22"/>
          <w:szCs w:val="22"/>
          <w:highlight w:val="none"/>
        </w:rPr>
      </w:pPr>
      <w:r>
        <w:rPr>
          <w:rFonts w:hint="eastAsia" w:ascii="宋体" w:hAnsi="宋体" w:cs="新宋体"/>
          <w:b/>
          <w:bCs/>
          <w:color w:val="auto"/>
          <w:sz w:val="22"/>
          <w:szCs w:val="22"/>
          <w:highlight w:val="none"/>
        </w:rPr>
        <w:t>说明：</w:t>
      </w:r>
      <w:r>
        <w:rPr>
          <w:rFonts w:hint="default" w:ascii="宋体" w:hAnsi="宋体" w:cs="宋体"/>
          <w:b/>
          <w:bCs/>
          <w:color w:val="auto"/>
          <w:sz w:val="22"/>
          <w:szCs w:val="22"/>
          <w:highlight w:val="none"/>
          <w:u w:val="single"/>
        </w:rPr>
        <w:t>▲</w:t>
      </w:r>
      <w:r>
        <w:rPr>
          <w:rFonts w:hint="eastAsia" w:ascii="宋体" w:hAnsi="宋体" w:cs="宋体"/>
          <w:b/>
          <w:bCs/>
          <w:color w:val="auto"/>
          <w:sz w:val="22"/>
          <w:szCs w:val="22"/>
          <w:highlight w:val="none"/>
          <w:u w:val="single"/>
        </w:rPr>
        <w:t>①不提供此表的报价，视为没有实质性响应采购文件要求</w:t>
      </w:r>
      <w:r>
        <w:rPr>
          <w:rFonts w:hint="eastAsia" w:ascii="宋体" w:hAnsi="宋体" w:cs="宋体"/>
          <w:b/>
          <w:bCs/>
          <w:color w:val="auto"/>
          <w:sz w:val="22"/>
          <w:szCs w:val="22"/>
          <w:highlight w:val="none"/>
        </w:rPr>
        <w:t>。</w:t>
      </w:r>
    </w:p>
    <w:p w14:paraId="75E7F662">
      <w:pPr>
        <w:overflowPunct w:val="0"/>
        <w:spacing w:line="460" w:lineRule="exact"/>
        <w:ind w:firstLine="663" w:firstLineChars="3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②投标报价应与“投标分项报价表”中合计</w:t>
      </w:r>
      <w:r>
        <w:rPr>
          <w:rFonts w:hint="eastAsia" w:ascii="宋体" w:hAnsi="宋体" w:cs="宋体"/>
          <w:b/>
          <w:bCs/>
          <w:color w:val="auto"/>
          <w:sz w:val="22"/>
          <w:szCs w:val="22"/>
          <w:highlight w:val="none"/>
          <w:lang w:val="en-US" w:eastAsia="zh-CN"/>
        </w:rPr>
        <w:t>总价</w:t>
      </w:r>
      <w:r>
        <w:rPr>
          <w:rFonts w:hint="eastAsia" w:ascii="宋体" w:hAnsi="宋体" w:cs="宋体"/>
          <w:b/>
          <w:bCs/>
          <w:color w:val="auto"/>
          <w:sz w:val="22"/>
          <w:szCs w:val="22"/>
          <w:highlight w:val="none"/>
        </w:rPr>
        <w:t>相一致。</w:t>
      </w:r>
    </w:p>
    <w:p w14:paraId="32A24041">
      <w:pPr>
        <w:overflowPunct w:val="0"/>
        <w:spacing w:line="460" w:lineRule="exact"/>
        <w:ind w:firstLine="663" w:firstLineChars="300"/>
        <w:rPr>
          <w:rFonts w:hint="eastAsia" w:ascii="宋体" w:hAnsi="宋体" w:eastAsia="宋体" w:cs="宋体"/>
          <w:b/>
          <w:bCs/>
          <w:color w:val="auto"/>
          <w:sz w:val="22"/>
          <w:szCs w:val="22"/>
          <w:highlight w:val="none"/>
          <w:lang w:eastAsia="zh-CN"/>
        </w:rPr>
      </w:pPr>
      <w:r>
        <w:rPr>
          <w:rFonts w:hint="default" w:ascii="宋体" w:hAnsi="宋体" w:cs="宋体"/>
          <w:b/>
          <w:bCs/>
          <w:color w:val="auto"/>
          <w:sz w:val="22"/>
          <w:szCs w:val="22"/>
          <w:highlight w:val="none"/>
          <w:u w:val="single"/>
        </w:rPr>
        <w:t>▲③投标报价不得高于最高限价</w:t>
      </w:r>
      <w:r>
        <w:rPr>
          <w:rFonts w:hint="eastAsia" w:ascii="宋体" w:hAnsi="宋体" w:cs="宋体"/>
          <w:b/>
          <w:bCs/>
          <w:color w:val="auto"/>
          <w:sz w:val="22"/>
          <w:szCs w:val="22"/>
          <w:highlight w:val="none"/>
        </w:rPr>
        <w:t>。</w:t>
      </w:r>
    </w:p>
    <w:p w14:paraId="72419856">
      <w:pPr>
        <w:pStyle w:val="11"/>
        <w:ind w:left="440" w:hanging="440"/>
        <w:rPr>
          <w:rFonts w:cs="新宋体"/>
          <w:color w:val="auto"/>
          <w:sz w:val="22"/>
          <w:szCs w:val="22"/>
          <w:highlight w:val="none"/>
        </w:rPr>
      </w:pPr>
    </w:p>
    <w:p w14:paraId="13EB6167">
      <w:pPr>
        <w:overflowPunct w:val="0"/>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投标人全称（盖章）：</w:t>
      </w:r>
    </w:p>
    <w:p w14:paraId="5D0B0189">
      <w:pPr>
        <w:overflowPunct w:val="0"/>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投标供应商代表（签字或盖章）：</w:t>
      </w:r>
    </w:p>
    <w:p w14:paraId="69CC2A7C">
      <w:pPr>
        <w:overflowPunct w:val="0"/>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日 期：  年  月  日</w:t>
      </w:r>
    </w:p>
    <w:p w14:paraId="772DC699">
      <w:pPr>
        <w:ind w:firstLine="4840" w:firstLineChars="2200"/>
        <w:rPr>
          <w:rFonts w:ascii="新宋体" w:hAnsi="新宋体" w:eastAsia="新宋体"/>
          <w:color w:val="auto"/>
          <w:sz w:val="22"/>
          <w:szCs w:val="22"/>
          <w:highlight w:val="none"/>
        </w:rPr>
      </w:pPr>
      <w:r>
        <w:rPr>
          <w:rFonts w:hint="eastAsia" w:ascii="宋体" w:hAnsi="宋体" w:cs="新宋体"/>
          <w:color w:val="auto"/>
          <w:sz w:val="22"/>
          <w:szCs w:val="22"/>
          <w:highlight w:val="none"/>
        </w:rPr>
        <w:br w:type="page"/>
      </w:r>
    </w:p>
    <w:p w14:paraId="6DDC5524">
      <w:pPr>
        <w:pStyle w:val="6"/>
        <w:spacing w:line="400" w:lineRule="exact"/>
        <w:rPr>
          <w:rFonts w:ascii="新宋体" w:hAnsi="新宋体" w:eastAsia="新宋体"/>
          <w:b w:val="0"/>
          <w:color w:val="auto"/>
          <w:highlight w:val="none"/>
        </w:rPr>
      </w:pPr>
      <w:bookmarkStart w:id="49" w:name="_Toc63412062"/>
      <w:bookmarkStart w:id="50" w:name="_Toc317492717"/>
      <w:bookmarkStart w:id="51" w:name="_Toc496784113"/>
      <w:bookmarkStart w:id="52" w:name="_Toc301515375"/>
      <w:bookmarkStart w:id="53" w:name="_Toc395528090"/>
      <w:r>
        <w:rPr>
          <w:rFonts w:hint="eastAsia" w:ascii="新宋体" w:hAnsi="新宋体" w:eastAsia="新宋体"/>
          <w:color w:val="auto"/>
          <w:sz w:val="22"/>
          <w:szCs w:val="22"/>
          <w:highlight w:val="none"/>
        </w:rPr>
        <w:t>附件三  投标分项报价表</w:t>
      </w:r>
      <w:bookmarkEnd w:id="49"/>
      <w:bookmarkEnd w:id="50"/>
      <w:bookmarkEnd w:id="51"/>
      <w:bookmarkEnd w:id="52"/>
      <w:bookmarkEnd w:id="53"/>
      <w:r>
        <w:rPr>
          <w:rFonts w:hint="eastAsia" w:ascii="新宋体" w:hAnsi="新宋体" w:eastAsia="新宋体"/>
          <w:b w:val="0"/>
          <w:color w:val="auto"/>
          <w:highlight w:val="none"/>
        </w:rPr>
        <w:t xml:space="preserve"> </w:t>
      </w:r>
    </w:p>
    <w:p w14:paraId="26D703FF">
      <w:pPr>
        <w:autoSpaceDE w:val="0"/>
        <w:autoSpaceDN w:val="0"/>
        <w:adjustRightInd w:val="0"/>
        <w:spacing w:line="460" w:lineRule="atLeast"/>
        <w:jc w:val="center"/>
        <w:rPr>
          <w:rFonts w:hint="eastAsia" w:ascii="宋体" w:hAnsi="宋体"/>
          <w:color w:val="auto"/>
          <w:sz w:val="36"/>
          <w:szCs w:val="36"/>
          <w:highlight w:val="none"/>
        </w:rPr>
      </w:pPr>
      <w:bookmarkStart w:id="54" w:name="_Toc496784114"/>
      <w:bookmarkStart w:id="55" w:name="_Toc63412063"/>
      <w:bookmarkStart w:id="56" w:name="_Toc317492718"/>
      <w:bookmarkStart w:id="57" w:name="_Toc301515376"/>
      <w:bookmarkStart w:id="58" w:name="_Toc395528091"/>
      <w:bookmarkStart w:id="59" w:name="_Toc184281693"/>
      <w:r>
        <w:rPr>
          <w:rFonts w:hint="eastAsia" w:ascii="宋体" w:hAnsi="宋体"/>
          <w:color w:val="auto"/>
          <w:sz w:val="36"/>
          <w:szCs w:val="36"/>
          <w:highlight w:val="none"/>
        </w:rPr>
        <w:t>投标分项报价表</w:t>
      </w:r>
    </w:p>
    <w:p w14:paraId="3503DAFA">
      <w:pPr>
        <w:rPr>
          <w:rFonts w:hint="eastAsia" w:ascii="宋体" w:hAnsi="宋体"/>
          <w:color w:val="auto"/>
          <w:sz w:val="22"/>
          <w:highlight w:val="none"/>
        </w:rPr>
      </w:pPr>
      <w:r>
        <w:rPr>
          <w:rFonts w:hint="eastAsia" w:ascii="宋体" w:hAnsi="宋体"/>
          <w:color w:val="auto"/>
          <w:sz w:val="22"/>
          <w:highlight w:val="none"/>
        </w:rPr>
        <w:t>项目名称：                        采购编号：           （价格单位：元）</w:t>
      </w:r>
    </w:p>
    <w:tbl>
      <w:tblPr>
        <w:tblStyle w:val="2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14"/>
        <w:gridCol w:w="1278"/>
        <w:gridCol w:w="1298"/>
        <w:gridCol w:w="1373"/>
        <w:gridCol w:w="2444"/>
      </w:tblGrid>
      <w:tr w14:paraId="05F7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top w:val="single" w:color="auto" w:sz="12" w:space="0"/>
              <w:left w:val="single" w:color="auto" w:sz="12" w:space="0"/>
              <w:bottom w:val="single" w:color="auto" w:sz="12" w:space="0"/>
            </w:tcBorders>
            <w:noWrap w:val="0"/>
            <w:vAlign w:val="center"/>
          </w:tcPr>
          <w:p w14:paraId="5AFDFDF3">
            <w:pPr>
              <w:jc w:val="center"/>
              <w:rPr>
                <w:rFonts w:ascii="宋体" w:cs="Arial"/>
                <w:color w:val="auto"/>
                <w:sz w:val="22"/>
                <w:highlight w:val="none"/>
              </w:rPr>
            </w:pPr>
            <w:r>
              <w:rPr>
                <w:rFonts w:ascii="宋体" w:cs="Arial"/>
                <w:color w:val="auto"/>
                <w:sz w:val="22"/>
                <w:highlight w:val="none"/>
              </w:rPr>
              <w:t>序号</w:t>
            </w:r>
          </w:p>
        </w:tc>
        <w:tc>
          <w:tcPr>
            <w:tcW w:w="2214" w:type="dxa"/>
            <w:tcBorders>
              <w:top w:val="single" w:color="auto" w:sz="12" w:space="0"/>
              <w:bottom w:val="single" w:color="auto" w:sz="12" w:space="0"/>
            </w:tcBorders>
            <w:noWrap w:val="0"/>
            <w:vAlign w:val="center"/>
          </w:tcPr>
          <w:p w14:paraId="17889576">
            <w:pPr>
              <w:jc w:val="center"/>
              <w:rPr>
                <w:rFonts w:ascii="宋体" w:cs="Arial"/>
                <w:color w:val="auto"/>
                <w:sz w:val="22"/>
                <w:highlight w:val="none"/>
              </w:rPr>
            </w:pPr>
            <w:r>
              <w:rPr>
                <w:rFonts w:ascii="宋体" w:cs="Arial"/>
                <w:color w:val="auto"/>
                <w:sz w:val="22"/>
                <w:highlight w:val="none"/>
              </w:rPr>
              <w:t>费用名称</w:t>
            </w:r>
          </w:p>
        </w:tc>
        <w:tc>
          <w:tcPr>
            <w:tcW w:w="1278" w:type="dxa"/>
            <w:tcBorders>
              <w:top w:val="single" w:color="auto" w:sz="12" w:space="0"/>
              <w:bottom w:val="single" w:color="auto" w:sz="12" w:space="0"/>
            </w:tcBorders>
            <w:noWrap w:val="0"/>
            <w:vAlign w:val="center"/>
          </w:tcPr>
          <w:p w14:paraId="70F65BEE">
            <w:pPr>
              <w:jc w:val="center"/>
              <w:rPr>
                <w:rFonts w:ascii="宋体" w:cs="Arial"/>
                <w:color w:val="auto"/>
                <w:sz w:val="22"/>
                <w:highlight w:val="none"/>
              </w:rPr>
            </w:pPr>
            <w:r>
              <w:rPr>
                <w:rFonts w:ascii="宋体" w:cs="Arial"/>
                <w:color w:val="auto"/>
                <w:sz w:val="22"/>
                <w:highlight w:val="none"/>
              </w:rPr>
              <w:t>数量</w:t>
            </w:r>
          </w:p>
        </w:tc>
        <w:tc>
          <w:tcPr>
            <w:tcW w:w="1298" w:type="dxa"/>
            <w:tcBorders>
              <w:top w:val="single" w:color="auto" w:sz="12" w:space="0"/>
              <w:bottom w:val="single" w:color="auto" w:sz="12" w:space="0"/>
            </w:tcBorders>
            <w:noWrap w:val="0"/>
            <w:vAlign w:val="center"/>
          </w:tcPr>
          <w:p w14:paraId="565FDD70">
            <w:pPr>
              <w:jc w:val="center"/>
              <w:rPr>
                <w:rFonts w:ascii="宋体" w:cs="Arial"/>
                <w:color w:val="auto"/>
                <w:sz w:val="22"/>
                <w:highlight w:val="none"/>
              </w:rPr>
            </w:pPr>
            <w:r>
              <w:rPr>
                <w:rFonts w:ascii="宋体" w:cs="Arial"/>
                <w:color w:val="auto"/>
                <w:sz w:val="22"/>
                <w:highlight w:val="none"/>
              </w:rPr>
              <w:t>单价</w:t>
            </w:r>
          </w:p>
          <w:p w14:paraId="5DB1F7BB">
            <w:pPr>
              <w:ind w:right="-11"/>
              <w:jc w:val="center"/>
              <w:rPr>
                <w:rFonts w:ascii="宋体" w:cs="Arial"/>
                <w:color w:val="auto"/>
                <w:sz w:val="22"/>
                <w:highlight w:val="none"/>
              </w:rPr>
            </w:pPr>
            <w:r>
              <w:rPr>
                <w:rFonts w:ascii="宋体" w:cs="Arial"/>
                <w:color w:val="auto"/>
                <w:sz w:val="22"/>
                <w:highlight w:val="none"/>
              </w:rPr>
              <w:t>（含税）</w:t>
            </w:r>
          </w:p>
        </w:tc>
        <w:tc>
          <w:tcPr>
            <w:tcW w:w="1373" w:type="dxa"/>
            <w:tcBorders>
              <w:top w:val="single" w:color="auto" w:sz="12" w:space="0"/>
              <w:bottom w:val="single" w:color="auto" w:sz="12" w:space="0"/>
            </w:tcBorders>
            <w:noWrap w:val="0"/>
            <w:vAlign w:val="center"/>
          </w:tcPr>
          <w:p w14:paraId="2E86148B">
            <w:pPr>
              <w:jc w:val="center"/>
              <w:rPr>
                <w:rFonts w:ascii="宋体" w:cs="Arial"/>
                <w:color w:val="auto"/>
                <w:sz w:val="22"/>
                <w:highlight w:val="none"/>
              </w:rPr>
            </w:pPr>
            <w:r>
              <w:rPr>
                <w:rFonts w:ascii="宋体" w:cs="Arial"/>
                <w:color w:val="auto"/>
                <w:sz w:val="22"/>
                <w:highlight w:val="none"/>
              </w:rPr>
              <w:t>合价</w:t>
            </w:r>
          </w:p>
          <w:p w14:paraId="1CEA114B">
            <w:pPr>
              <w:jc w:val="center"/>
              <w:rPr>
                <w:rFonts w:ascii="宋体" w:cs="Arial"/>
                <w:color w:val="auto"/>
                <w:sz w:val="22"/>
                <w:highlight w:val="none"/>
              </w:rPr>
            </w:pPr>
            <w:r>
              <w:rPr>
                <w:rFonts w:ascii="宋体" w:cs="Arial"/>
                <w:color w:val="auto"/>
                <w:sz w:val="22"/>
                <w:highlight w:val="none"/>
              </w:rPr>
              <w:t>（含税）</w:t>
            </w:r>
          </w:p>
        </w:tc>
        <w:tc>
          <w:tcPr>
            <w:tcW w:w="2444" w:type="dxa"/>
            <w:tcBorders>
              <w:top w:val="single" w:color="auto" w:sz="12" w:space="0"/>
              <w:bottom w:val="single" w:color="auto" w:sz="12" w:space="0"/>
              <w:right w:val="single" w:color="auto" w:sz="12" w:space="0"/>
            </w:tcBorders>
            <w:noWrap w:val="0"/>
            <w:vAlign w:val="center"/>
          </w:tcPr>
          <w:p w14:paraId="5A48D646">
            <w:pPr>
              <w:jc w:val="center"/>
              <w:rPr>
                <w:rFonts w:ascii="宋体" w:cs="Arial"/>
                <w:color w:val="auto"/>
                <w:sz w:val="22"/>
                <w:highlight w:val="none"/>
              </w:rPr>
            </w:pPr>
            <w:r>
              <w:rPr>
                <w:rFonts w:ascii="宋体" w:cs="Arial"/>
                <w:color w:val="auto"/>
                <w:sz w:val="22"/>
                <w:highlight w:val="none"/>
              </w:rPr>
              <w:t>备注</w:t>
            </w:r>
          </w:p>
        </w:tc>
      </w:tr>
      <w:tr w14:paraId="5F74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20032989">
            <w:pPr>
              <w:ind w:right="-11"/>
              <w:jc w:val="center"/>
              <w:rPr>
                <w:rFonts w:ascii="宋体" w:cs="Arial"/>
                <w:color w:val="auto"/>
                <w:sz w:val="22"/>
                <w:highlight w:val="none"/>
              </w:rPr>
            </w:pPr>
            <w:r>
              <w:rPr>
                <w:rFonts w:ascii="宋体" w:cs="Arial"/>
                <w:color w:val="auto"/>
                <w:sz w:val="22"/>
                <w:highlight w:val="none"/>
              </w:rPr>
              <w:t>1</w:t>
            </w:r>
          </w:p>
        </w:tc>
        <w:tc>
          <w:tcPr>
            <w:tcW w:w="2214" w:type="dxa"/>
            <w:noWrap w:val="0"/>
            <w:vAlign w:val="center"/>
          </w:tcPr>
          <w:p w14:paraId="3A691EFD">
            <w:pPr>
              <w:rPr>
                <w:rFonts w:ascii="宋体" w:cs="Arial"/>
                <w:color w:val="auto"/>
                <w:sz w:val="22"/>
                <w:highlight w:val="none"/>
              </w:rPr>
            </w:pPr>
          </w:p>
        </w:tc>
        <w:tc>
          <w:tcPr>
            <w:tcW w:w="1278" w:type="dxa"/>
            <w:noWrap w:val="0"/>
            <w:vAlign w:val="center"/>
          </w:tcPr>
          <w:p w14:paraId="57FB6DD8">
            <w:pPr>
              <w:ind w:right="-11"/>
              <w:jc w:val="center"/>
              <w:rPr>
                <w:rFonts w:ascii="宋体" w:cs="Arial"/>
                <w:color w:val="auto"/>
                <w:sz w:val="22"/>
                <w:highlight w:val="none"/>
              </w:rPr>
            </w:pPr>
          </w:p>
        </w:tc>
        <w:tc>
          <w:tcPr>
            <w:tcW w:w="1298" w:type="dxa"/>
            <w:noWrap w:val="0"/>
            <w:vAlign w:val="center"/>
          </w:tcPr>
          <w:p w14:paraId="50A472C8">
            <w:pPr>
              <w:ind w:right="-11"/>
              <w:jc w:val="center"/>
              <w:rPr>
                <w:rFonts w:ascii="宋体" w:cs="Arial"/>
                <w:color w:val="auto"/>
                <w:sz w:val="22"/>
                <w:highlight w:val="none"/>
              </w:rPr>
            </w:pPr>
          </w:p>
        </w:tc>
        <w:tc>
          <w:tcPr>
            <w:tcW w:w="1373" w:type="dxa"/>
            <w:noWrap w:val="0"/>
            <w:vAlign w:val="center"/>
          </w:tcPr>
          <w:p w14:paraId="6E53AC1A">
            <w:pPr>
              <w:ind w:right="-11"/>
              <w:jc w:val="center"/>
              <w:rPr>
                <w:rFonts w:ascii="宋体" w:cs="Arial"/>
                <w:color w:val="auto"/>
                <w:sz w:val="22"/>
                <w:highlight w:val="none"/>
              </w:rPr>
            </w:pPr>
          </w:p>
        </w:tc>
        <w:tc>
          <w:tcPr>
            <w:tcW w:w="2444" w:type="dxa"/>
            <w:tcBorders>
              <w:right w:val="single" w:color="auto" w:sz="12" w:space="0"/>
            </w:tcBorders>
            <w:noWrap w:val="0"/>
            <w:vAlign w:val="center"/>
          </w:tcPr>
          <w:p w14:paraId="04678473">
            <w:pPr>
              <w:ind w:right="-11"/>
              <w:jc w:val="center"/>
              <w:rPr>
                <w:rFonts w:hint="eastAsia" w:ascii="宋体" w:eastAsia="宋体" w:cs="Arial"/>
                <w:color w:val="auto"/>
                <w:sz w:val="22"/>
                <w:highlight w:val="none"/>
                <w:lang w:eastAsia="zh-CN"/>
              </w:rPr>
            </w:pPr>
            <w:r>
              <w:rPr>
                <w:rFonts w:hint="eastAsia" w:ascii="宋体" w:cs="Arial"/>
                <w:color w:val="auto"/>
                <w:sz w:val="22"/>
                <w:highlight w:val="none"/>
                <w:lang w:val="en-US" w:eastAsia="zh-CN"/>
              </w:rPr>
              <w:t xml:space="preserve"> </w:t>
            </w:r>
          </w:p>
        </w:tc>
      </w:tr>
      <w:tr w14:paraId="0D64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2FEE5D0E">
            <w:pPr>
              <w:ind w:right="-11"/>
              <w:jc w:val="center"/>
              <w:rPr>
                <w:rFonts w:ascii="宋体" w:cs="Arial"/>
                <w:color w:val="auto"/>
                <w:sz w:val="22"/>
                <w:highlight w:val="none"/>
              </w:rPr>
            </w:pPr>
            <w:r>
              <w:rPr>
                <w:rFonts w:ascii="宋体" w:cs="Arial"/>
                <w:color w:val="auto"/>
                <w:sz w:val="22"/>
                <w:highlight w:val="none"/>
              </w:rPr>
              <w:t>2</w:t>
            </w:r>
          </w:p>
        </w:tc>
        <w:tc>
          <w:tcPr>
            <w:tcW w:w="2214" w:type="dxa"/>
            <w:noWrap w:val="0"/>
            <w:vAlign w:val="center"/>
          </w:tcPr>
          <w:p w14:paraId="36DC6A67">
            <w:pPr>
              <w:rPr>
                <w:rFonts w:ascii="宋体" w:cs="Arial"/>
                <w:color w:val="auto"/>
                <w:sz w:val="22"/>
                <w:highlight w:val="none"/>
              </w:rPr>
            </w:pPr>
          </w:p>
        </w:tc>
        <w:tc>
          <w:tcPr>
            <w:tcW w:w="1278" w:type="dxa"/>
            <w:noWrap w:val="0"/>
            <w:vAlign w:val="center"/>
          </w:tcPr>
          <w:p w14:paraId="3CE1D8BD">
            <w:pPr>
              <w:ind w:right="-11"/>
              <w:jc w:val="center"/>
              <w:rPr>
                <w:rFonts w:ascii="宋体" w:cs="Arial"/>
                <w:color w:val="auto"/>
                <w:sz w:val="22"/>
                <w:highlight w:val="none"/>
              </w:rPr>
            </w:pPr>
          </w:p>
        </w:tc>
        <w:tc>
          <w:tcPr>
            <w:tcW w:w="1298" w:type="dxa"/>
            <w:noWrap w:val="0"/>
            <w:vAlign w:val="center"/>
          </w:tcPr>
          <w:p w14:paraId="45938AA9">
            <w:pPr>
              <w:ind w:right="-11"/>
              <w:jc w:val="center"/>
              <w:rPr>
                <w:rFonts w:ascii="宋体" w:cs="Arial"/>
                <w:color w:val="auto"/>
                <w:sz w:val="22"/>
                <w:highlight w:val="none"/>
              </w:rPr>
            </w:pPr>
          </w:p>
        </w:tc>
        <w:tc>
          <w:tcPr>
            <w:tcW w:w="1373" w:type="dxa"/>
            <w:noWrap w:val="0"/>
            <w:vAlign w:val="center"/>
          </w:tcPr>
          <w:p w14:paraId="691915F6">
            <w:pPr>
              <w:ind w:right="-11"/>
              <w:jc w:val="center"/>
              <w:rPr>
                <w:rFonts w:ascii="宋体" w:cs="Arial"/>
                <w:color w:val="auto"/>
                <w:sz w:val="22"/>
                <w:highlight w:val="none"/>
              </w:rPr>
            </w:pPr>
          </w:p>
        </w:tc>
        <w:tc>
          <w:tcPr>
            <w:tcW w:w="2444" w:type="dxa"/>
            <w:tcBorders>
              <w:right w:val="single" w:color="auto" w:sz="12" w:space="0"/>
            </w:tcBorders>
            <w:noWrap w:val="0"/>
            <w:vAlign w:val="center"/>
          </w:tcPr>
          <w:p w14:paraId="4D6DE0C2">
            <w:pPr>
              <w:ind w:right="-11"/>
              <w:jc w:val="center"/>
              <w:rPr>
                <w:rFonts w:ascii="宋体" w:cs="Arial"/>
                <w:color w:val="auto"/>
                <w:sz w:val="22"/>
                <w:highlight w:val="none"/>
              </w:rPr>
            </w:pPr>
          </w:p>
        </w:tc>
      </w:tr>
      <w:tr w14:paraId="2E21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7F01A2D1">
            <w:pPr>
              <w:ind w:right="-11"/>
              <w:jc w:val="center"/>
              <w:rPr>
                <w:rFonts w:ascii="宋体" w:cs="Arial"/>
                <w:color w:val="auto"/>
                <w:sz w:val="22"/>
                <w:highlight w:val="none"/>
              </w:rPr>
            </w:pPr>
            <w:r>
              <w:rPr>
                <w:rFonts w:ascii="宋体" w:cs="Arial"/>
                <w:color w:val="auto"/>
                <w:sz w:val="22"/>
                <w:highlight w:val="none"/>
              </w:rPr>
              <w:t>3</w:t>
            </w:r>
          </w:p>
        </w:tc>
        <w:tc>
          <w:tcPr>
            <w:tcW w:w="2214" w:type="dxa"/>
            <w:noWrap w:val="0"/>
            <w:vAlign w:val="center"/>
          </w:tcPr>
          <w:p w14:paraId="644CBD84">
            <w:pPr>
              <w:rPr>
                <w:rFonts w:ascii="宋体" w:cs="Arial"/>
                <w:color w:val="auto"/>
                <w:sz w:val="22"/>
                <w:highlight w:val="none"/>
              </w:rPr>
            </w:pPr>
          </w:p>
        </w:tc>
        <w:tc>
          <w:tcPr>
            <w:tcW w:w="1278" w:type="dxa"/>
            <w:noWrap w:val="0"/>
            <w:vAlign w:val="center"/>
          </w:tcPr>
          <w:p w14:paraId="282C7F0C">
            <w:pPr>
              <w:ind w:right="-11"/>
              <w:jc w:val="center"/>
              <w:rPr>
                <w:rFonts w:ascii="宋体" w:cs="Arial"/>
                <w:color w:val="auto"/>
                <w:sz w:val="22"/>
                <w:highlight w:val="none"/>
              </w:rPr>
            </w:pPr>
          </w:p>
        </w:tc>
        <w:tc>
          <w:tcPr>
            <w:tcW w:w="1298" w:type="dxa"/>
            <w:noWrap w:val="0"/>
            <w:vAlign w:val="center"/>
          </w:tcPr>
          <w:p w14:paraId="41B0312E">
            <w:pPr>
              <w:ind w:right="-11"/>
              <w:jc w:val="center"/>
              <w:rPr>
                <w:rFonts w:ascii="宋体" w:cs="Arial"/>
                <w:color w:val="auto"/>
                <w:sz w:val="22"/>
                <w:highlight w:val="none"/>
              </w:rPr>
            </w:pPr>
          </w:p>
        </w:tc>
        <w:tc>
          <w:tcPr>
            <w:tcW w:w="1373" w:type="dxa"/>
            <w:noWrap w:val="0"/>
            <w:vAlign w:val="center"/>
          </w:tcPr>
          <w:p w14:paraId="44883AF1">
            <w:pPr>
              <w:ind w:right="-11"/>
              <w:jc w:val="center"/>
              <w:rPr>
                <w:rFonts w:ascii="宋体" w:cs="Arial"/>
                <w:color w:val="auto"/>
                <w:sz w:val="22"/>
                <w:highlight w:val="none"/>
              </w:rPr>
            </w:pPr>
          </w:p>
        </w:tc>
        <w:tc>
          <w:tcPr>
            <w:tcW w:w="2444" w:type="dxa"/>
            <w:tcBorders>
              <w:right w:val="single" w:color="auto" w:sz="12" w:space="0"/>
            </w:tcBorders>
            <w:noWrap w:val="0"/>
            <w:vAlign w:val="center"/>
          </w:tcPr>
          <w:p w14:paraId="0555821E">
            <w:pPr>
              <w:ind w:right="-11"/>
              <w:jc w:val="center"/>
              <w:rPr>
                <w:rFonts w:ascii="宋体" w:cs="Arial"/>
                <w:color w:val="auto"/>
                <w:sz w:val="22"/>
                <w:highlight w:val="none"/>
              </w:rPr>
            </w:pPr>
          </w:p>
        </w:tc>
      </w:tr>
      <w:tr w14:paraId="5D04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4D717126">
            <w:pPr>
              <w:spacing w:line="360" w:lineRule="auto"/>
              <w:ind w:right="-11"/>
              <w:jc w:val="center"/>
              <w:rPr>
                <w:rFonts w:ascii="宋体" w:cs="Arial"/>
                <w:color w:val="auto"/>
                <w:sz w:val="22"/>
                <w:highlight w:val="none"/>
              </w:rPr>
            </w:pPr>
          </w:p>
        </w:tc>
        <w:tc>
          <w:tcPr>
            <w:tcW w:w="2214" w:type="dxa"/>
            <w:noWrap w:val="0"/>
            <w:vAlign w:val="center"/>
          </w:tcPr>
          <w:p w14:paraId="04D7F11F">
            <w:pPr>
              <w:spacing w:line="360" w:lineRule="auto"/>
              <w:rPr>
                <w:rFonts w:ascii="宋体" w:cs="Arial"/>
                <w:color w:val="auto"/>
                <w:sz w:val="22"/>
                <w:highlight w:val="none"/>
              </w:rPr>
            </w:pPr>
          </w:p>
        </w:tc>
        <w:tc>
          <w:tcPr>
            <w:tcW w:w="1278" w:type="dxa"/>
            <w:noWrap w:val="0"/>
            <w:vAlign w:val="top"/>
          </w:tcPr>
          <w:p w14:paraId="5BB9D6DF">
            <w:pPr>
              <w:spacing w:line="360" w:lineRule="auto"/>
              <w:ind w:right="-11"/>
              <w:jc w:val="center"/>
              <w:rPr>
                <w:rFonts w:ascii="宋体" w:cs="Arial"/>
                <w:color w:val="auto"/>
                <w:sz w:val="22"/>
                <w:highlight w:val="none"/>
              </w:rPr>
            </w:pPr>
          </w:p>
        </w:tc>
        <w:tc>
          <w:tcPr>
            <w:tcW w:w="1298" w:type="dxa"/>
            <w:noWrap w:val="0"/>
            <w:vAlign w:val="top"/>
          </w:tcPr>
          <w:p w14:paraId="7E04C36D">
            <w:pPr>
              <w:spacing w:line="360" w:lineRule="auto"/>
              <w:ind w:right="-11"/>
              <w:jc w:val="center"/>
              <w:rPr>
                <w:rFonts w:ascii="宋体" w:cs="Arial"/>
                <w:color w:val="auto"/>
                <w:sz w:val="22"/>
                <w:highlight w:val="none"/>
              </w:rPr>
            </w:pPr>
          </w:p>
        </w:tc>
        <w:tc>
          <w:tcPr>
            <w:tcW w:w="1373" w:type="dxa"/>
            <w:noWrap w:val="0"/>
            <w:vAlign w:val="center"/>
          </w:tcPr>
          <w:p w14:paraId="3038464E">
            <w:pPr>
              <w:spacing w:line="360" w:lineRule="auto"/>
              <w:ind w:right="-11"/>
              <w:jc w:val="center"/>
              <w:rPr>
                <w:rFonts w:ascii="宋体" w:cs="Arial"/>
                <w:color w:val="auto"/>
                <w:sz w:val="22"/>
                <w:highlight w:val="none"/>
              </w:rPr>
            </w:pPr>
          </w:p>
        </w:tc>
        <w:tc>
          <w:tcPr>
            <w:tcW w:w="2444" w:type="dxa"/>
            <w:tcBorders>
              <w:right w:val="single" w:color="auto" w:sz="12" w:space="0"/>
            </w:tcBorders>
            <w:noWrap w:val="0"/>
            <w:vAlign w:val="center"/>
          </w:tcPr>
          <w:p w14:paraId="5DFB4BE7">
            <w:pPr>
              <w:spacing w:line="360" w:lineRule="auto"/>
              <w:ind w:right="-11"/>
              <w:jc w:val="center"/>
              <w:rPr>
                <w:rFonts w:ascii="宋体" w:cs="Arial"/>
                <w:color w:val="auto"/>
                <w:sz w:val="22"/>
                <w:highlight w:val="none"/>
              </w:rPr>
            </w:pPr>
          </w:p>
        </w:tc>
      </w:tr>
      <w:tr w14:paraId="4B56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350F90AA">
            <w:pPr>
              <w:spacing w:line="360" w:lineRule="auto"/>
              <w:ind w:right="-11"/>
              <w:jc w:val="center"/>
              <w:rPr>
                <w:rFonts w:ascii="宋体" w:cs="Arial"/>
                <w:color w:val="auto"/>
                <w:sz w:val="22"/>
                <w:highlight w:val="none"/>
              </w:rPr>
            </w:pPr>
          </w:p>
        </w:tc>
        <w:tc>
          <w:tcPr>
            <w:tcW w:w="2214" w:type="dxa"/>
            <w:noWrap w:val="0"/>
            <w:vAlign w:val="center"/>
          </w:tcPr>
          <w:p w14:paraId="7F3382C2">
            <w:pPr>
              <w:spacing w:line="360" w:lineRule="auto"/>
              <w:rPr>
                <w:rFonts w:ascii="宋体" w:cs="Arial"/>
                <w:color w:val="auto"/>
                <w:sz w:val="22"/>
                <w:highlight w:val="none"/>
              </w:rPr>
            </w:pPr>
          </w:p>
        </w:tc>
        <w:tc>
          <w:tcPr>
            <w:tcW w:w="1278" w:type="dxa"/>
            <w:noWrap w:val="0"/>
            <w:vAlign w:val="top"/>
          </w:tcPr>
          <w:p w14:paraId="5242A7A1">
            <w:pPr>
              <w:spacing w:line="360" w:lineRule="auto"/>
              <w:ind w:right="-11"/>
              <w:jc w:val="center"/>
              <w:rPr>
                <w:rFonts w:ascii="宋体" w:cs="Arial"/>
                <w:color w:val="auto"/>
                <w:sz w:val="22"/>
                <w:highlight w:val="none"/>
              </w:rPr>
            </w:pPr>
          </w:p>
        </w:tc>
        <w:tc>
          <w:tcPr>
            <w:tcW w:w="1298" w:type="dxa"/>
            <w:noWrap w:val="0"/>
            <w:vAlign w:val="top"/>
          </w:tcPr>
          <w:p w14:paraId="62D5A269">
            <w:pPr>
              <w:spacing w:line="360" w:lineRule="auto"/>
              <w:ind w:right="-11"/>
              <w:jc w:val="center"/>
              <w:rPr>
                <w:rFonts w:ascii="宋体" w:cs="Arial"/>
                <w:color w:val="auto"/>
                <w:sz w:val="22"/>
                <w:highlight w:val="none"/>
              </w:rPr>
            </w:pPr>
          </w:p>
        </w:tc>
        <w:tc>
          <w:tcPr>
            <w:tcW w:w="1373" w:type="dxa"/>
            <w:noWrap w:val="0"/>
            <w:vAlign w:val="center"/>
          </w:tcPr>
          <w:p w14:paraId="46285E41">
            <w:pPr>
              <w:spacing w:line="360" w:lineRule="auto"/>
              <w:ind w:right="-11"/>
              <w:jc w:val="center"/>
              <w:rPr>
                <w:rFonts w:ascii="宋体" w:cs="Arial"/>
                <w:color w:val="auto"/>
                <w:sz w:val="22"/>
                <w:highlight w:val="none"/>
              </w:rPr>
            </w:pPr>
          </w:p>
        </w:tc>
        <w:tc>
          <w:tcPr>
            <w:tcW w:w="2444" w:type="dxa"/>
            <w:tcBorders>
              <w:right w:val="single" w:color="auto" w:sz="12" w:space="0"/>
            </w:tcBorders>
            <w:noWrap w:val="0"/>
            <w:vAlign w:val="center"/>
          </w:tcPr>
          <w:p w14:paraId="43C5E93E">
            <w:pPr>
              <w:spacing w:line="360" w:lineRule="auto"/>
              <w:ind w:right="-11"/>
              <w:jc w:val="center"/>
              <w:rPr>
                <w:rFonts w:ascii="宋体" w:cs="Arial"/>
                <w:color w:val="auto"/>
                <w:sz w:val="22"/>
                <w:highlight w:val="none"/>
              </w:rPr>
            </w:pPr>
          </w:p>
        </w:tc>
      </w:tr>
      <w:tr w14:paraId="68A7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31883B9B">
            <w:pPr>
              <w:spacing w:line="360" w:lineRule="auto"/>
              <w:ind w:right="-11"/>
              <w:jc w:val="center"/>
              <w:rPr>
                <w:rFonts w:ascii="宋体" w:cs="Arial"/>
                <w:color w:val="auto"/>
                <w:sz w:val="22"/>
                <w:highlight w:val="none"/>
              </w:rPr>
            </w:pPr>
          </w:p>
        </w:tc>
        <w:tc>
          <w:tcPr>
            <w:tcW w:w="2214" w:type="dxa"/>
            <w:noWrap w:val="0"/>
            <w:vAlign w:val="center"/>
          </w:tcPr>
          <w:p w14:paraId="55972C43">
            <w:pPr>
              <w:spacing w:line="360" w:lineRule="auto"/>
              <w:rPr>
                <w:rFonts w:ascii="宋体" w:cs="Arial"/>
                <w:color w:val="auto"/>
                <w:sz w:val="22"/>
                <w:highlight w:val="none"/>
              </w:rPr>
            </w:pPr>
          </w:p>
        </w:tc>
        <w:tc>
          <w:tcPr>
            <w:tcW w:w="1278" w:type="dxa"/>
            <w:noWrap w:val="0"/>
            <w:vAlign w:val="top"/>
          </w:tcPr>
          <w:p w14:paraId="6CBBA700">
            <w:pPr>
              <w:spacing w:line="360" w:lineRule="auto"/>
              <w:ind w:right="-11"/>
              <w:jc w:val="center"/>
              <w:rPr>
                <w:rFonts w:ascii="宋体" w:cs="Arial"/>
                <w:color w:val="auto"/>
                <w:sz w:val="22"/>
                <w:highlight w:val="none"/>
              </w:rPr>
            </w:pPr>
          </w:p>
        </w:tc>
        <w:tc>
          <w:tcPr>
            <w:tcW w:w="1298" w:type="dxa"/>
            <w:noWrap w:val="0"/>
            <w:vAlign w:val="top"/>
          </w:tcPr>
          <w:p w14:paraId="7354E0B4">
            <w:pPr>
              <w:spacing w:line="360" w:lineRule="auto"/>
              <w:ind w:right="-11"/>
              <w:jc w:val="center"/>
              <w:rPr>
                <w:rFonts w:ascii="宋体" w:cs="Arial"/>
                <w:color w:val="auto"/>
                <w:sz w:val="22"/>
                <w:highlight w:val="none"/>
              </w:rPr>
            </w:pPr>
          </w:p>
        </w:tc>
        <w:tc>
          <w:tcPr>
            <w:tcW w:w="1373" w:type="dxa"/>
            <w:noWrap w:val="0"/>
            <w:vAlign w:val="center"/>
          </w:tcPr>
          <w:p w14:paraId="7DAB1D47">
            <w:pPr>
              <w:spacing w:line="360" w:lineRule="auto"/>
              <w:ind w:right="-11"/>
              <w:jc w:val="center"/>
              <w:rPr>
                <w:rFonts w:ascii="宋体" w:cs="Arial"/>
                <w:color w:val="auto"/>
                <w:sz w:val="22"/>
                <w:highlight w:val="none"/>
              </w:rPr>
            </w:pPr>
          </w:p>
        </w:tc>
        <w:tc>
          <w:tcPr>
            <w:tcW w:w="2444" w:type="dxa"/>
            <w:tcBorders>
              <w:right w:val="single" w:color="auto" w:sz="12" w:space="0"/>
            </w:tcBorders>
            <w:noWrap w:val="0"/>
            <w:vAlign w:val="center"/>
          </w:tcPr>
          <w:p w14:paraId="6F6034BE">
            <w:pPr>
              <w:spacing w:line="360" w:lineRule="auto"/>
              <w:ind w:right="-11"/>
              <w:jc w:val="center"/>
              <w:rPr>
                <w:rFonts w:ascii="宋体" w:cs="Arial"/>
                <w:color w:val="auto"/>
                <w:sz w:val="22"/>
                <w:highlight w:val="none"/>
              </w:rPr>
            </w:pPr>
          </w:p>
        </w:tc>
      </w:tr>
      <w:tr w14:paraId="6FD6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00BB8841">
            <w:pPr>
              <w:spacing w:line="360" w:lineRule="auto"/>
              <w:ind w:right="-11"/>
              <w:jc w:val="center"/>
              <w:rPr>
                <w:rFonts w:ascii="宋体" w:cs="Arial"/>
                <w:color w:val="auto"/>
                <w:sz w:val="22"/>
                <w:highlight w:val="none"/>
              </w:rPr>
            </w:pPr>
          </w:p>
        </w:tc>
        <w:tc>
          <w:tcPr>
            <w:tcW w:w="2214" w:type="dxa"/>
            <w:noWrap w:val="0"/>
            <w:vAlign w:val="center"/>
          </w:tcPr>
          <w:p w14:paraId="2C754D70">
            <w:pPr>
              <w:spacing w:line="360" w:lineRule="auto"/>
              <w:rPr>
                <w:rFonts w:ascii="宋体" w:cs="Arial"/>
                <w:color w:val="auto"/>
                <w:sz w:val="22"/>
                <w:highlight w:val="none"/>
              </w:rPr>
            </w:pPr>
          </w:p>
        </w:tc>
        <w:tc>
          <w:tcPr>
            <w:tcW w:w="1278" w:type="dxa"/>
            <w:noWrap w:val="0"/>
            <w:vAlign w:val="top"/>
          </w:tcPr>
          <w:p w14:paraId="05E9F0FB">
            <w:pPr>
              <w:spacing w:line="360" w:lineRule="auto"/>
              <w:ind w:right="-11"/>
              <w:jc w:val="center"/>
              <w:rPr>
                <w:rFonts w:ascii="宋体" w:cs="Arial"/>
                <w:color w:val="auto"/>
                <w:sz w:val="22"/>
                <w:highlight w:val="none"/>
              </w:rPr>
            </w:pPr>
          </w:p>
        </w:tc>
        <w:tc>
          <w:tcPr>
            <w:tcW w:w="1298" w:type="dxa"/>
            <w:noWrap w:val="0"/>
            <w:vAlign w:val="top"/>
          </w:tcPr>
          <w:p w14:paraId="09B10342">
            <w:pPr>
              <w:spacing w:line="360" w:lineRule="auto"/>
              <w:ind w:right="-11"/>
              <w:jc w:val="center"/>
              <w:rPr>
                <w:rFonts w:ascii="宋体" w:cs="Arial"/>
                <w:color w:val="auto"/>
                <w:sz w:val="22"/>
                <w:highlight w:val="none"/>
              </w:rPr>
            </w:pPr>
          </w:p>
        </w:tc>
        <w:tc>
          <w:tcPr>
            <w:tcW w:w="1373" w:type="dxa"/>
            <w:noWrap w:val="0"/>
            <w:vAlign w:val="center"/>
          </w:tcPr>
          <w:p w14:paraId="2CC6EAEE">
            <w:pPr>
              <w:spacing w:line="360" w:lineRule="auto"/>
              <w:ind w:right="-11"/>
              <w:jc w:val="center"/>
              <w:rPr>
                <w:rFonts w:ascii="宋体" w:cs="Arial"/>
                <w:color w:val="auto"/>
                <w:sz w:val="22"/>
                <w:highlight w:val="none"/>
              </w:rPr>
            </w:pPr>
          </w:p>
        </w:tc>
        <w:tc>
          <w:tcPr>
            <w:tcW w:w="2444" w:type="dxa"/>
            <w:tcBorders>
              <w:right w:val="single" w:color="auto" w:sz="12" w:space="0"/>
            </w:tcBorders>
            <w:noWrap w:val="0"/>
            <w:vAlign w:val="center"/>
          </w:tcPr>
          <w:p w14:paraId="525532C5">
            <w:pPr>
              <w:spacing w:line="360" w:lineRule="auto"/>
              <w:ind w:right="-11"/>
              <w:jc w:val="center"/>
              <w:rPr>
                <w:rFonts w:ascii="宋体" w:cs="Arial"/>
                <w:color w:val="auto"/>
                <w:sz w:val="22"/>
                <w:highlight w:val="none"/>
              </w:rPr>
            </w:pPr>
          </w:p>
        </w:tc>
      </w:tr>
      <w:tr w14:paraId="7F7E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6FA900E1">
            <w:pPr>
              <w:spacing w:line="360" w:lineRule="auto"/>
              <w:ind w:right="-11"/>
              <w:jc w:val="center"/>
              <w:rPr>
                <w:rFonts w:ascii="宋体" w:cs="Arial"/>
                <w:color w:val="auto"/>
                <w:sz w:val="22"/>
                <w:highlight w:val="none"/>
              </w:rPr>
            </w:pPr>
          </w:p>
        </w:tc>
        <w:tc>
          <w:tcPr>
            <w:tcW w:w="2214" w:type="dxa"/>
            <w:noWrap w:val="0"/>
            <w:vAlign w:val="center"/>
          </w:tcPr>
          <w:p w14:paraId="74EE6673">
            <w:pPr>
              <w:spacing w:line="360" w:lineRule="auto"/>
              <w:rPr>
                <w:rFonts w:ascii="宋体" w:cs="Arial"/>
                <w:color w:val="auto"/>
                <w:sz w:val="22"/>
                <w:highlight w:val="none"/>
              </w:rPr>
            </w:pPr>
          </w:p>
        </w:tc>
        <w:tc>
          <w:tcPr>
            <w:tcW w:w="1278" w:type="dxa"/>
            <w:noWrap w:val="0"/>
            <w:vAlign w:val="top"/>
          </w:tcPr>
          <w:p w14:paraId="5B7C52E7">
            <w:pPr>
              <w:spacing w:line="360" w:lineRule="auto"/>
              <w:ind w:right="-11"/>
              <w:jc w:val="center"/>
              <w:rPr>
                <w:rFonts w:ascii="宋体" w:cs="Arial"/>
                <w:color w:val="auto"/>
                <w:sz w:val="22"/>
                <w:highlight w:val="none"/>
              </w:rPr>
            </w:pPr>
          </w:p>
        </w:tc>
        <w:tc>
          <w:tcPr>
            <w:tcW w:w="1298" w:type="dxa"/>
            <w:noWrap w:val="0"/>
            <w:vAlign w:val="top"/>
          </w:tcPr>
          <w:p w14:paraId="2330EAB7">
            <w:pPr>
              <w:spacing w:line="360" w:lineRule="auto"/>
              <w:ind w:right="-11"/>
              <w:jc w:val="center"/>
              <w:rPr>
                <w:rFonts w:ascii="宋体" w:cs="Arial"/>
                <w:color w:val="auto"/>
                <w:sz w:val="22"/>
                <w:highlight w:val="none"/>
              </w:rPr>
            </w:pPr>
          </w:p>
        </w:tc>
        <w:tc>
          <w:tcPr>
            <w:tcW w:w="1373" w:type="dxa"/>
            <w:noWrap w:val="0"/>
            <w:vAlign w:val="center"/>
          </w:tcPr>
          <w:p w14:paraId="493179C9">
            <w:pPr>
              <w:spacing w:line="360" w:lineRule="auto"/>
              <w:ind w:right="-11"/>
              <w:jc w:val="center"/>
              <w:rPr>
                <w:rFonts w:ascii="宋体" w:cs="Arial"/>
                <w:color w:val="auto"/>
                <w:sz w:val="22"/>
                <w:highlight w:val="none"/>
              </w:rPr>
            </w:pPr>
          </w:p>
        </w:tc>
        <w:tc>
          <w:tcPr>
            <w:tcW w:w="2444" w:type="dxa"/>
            <w:tcBorders>
              <w:right w:val="single" w:color="auto" w:sz="12" w:space="0"/>
            </w:tcBorders>
            <w:noWrap w:val="0"/>
            <w:vAlign w:val="center"/>
          </w:tcPr>
          <w:p w14:paraId="3F6610E0">
            <w:pPr>
              <w:spacing w:line="360" w:lineRule="auto"/>
              <w:ind w:right="-11"/>
              <w:jc w:val="center"/>
              <w:rPr>
                <w:rFonts w:ascii="宋体" w:cs="Arial"/>
                <w:color w:val="auto"/>
                <w:sz w:val="22"/>
                <w:highlight w:val="none"/>
              </w:rPr>
            </w:pPr>
          </w:p>
        </w:tc>
      </w:tr>
      <w:tr w14:paraId="163F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3F1A426E">
            <w:pPr>
              <w:spacing w:line="360" w:lineRule="auto"/>
              <w:ind w:right="-11"/>
              <w:jc w:val="center"/>
              <w:rPr>
                <w:rFonts w:ascii="宋体" w:cs="Arial"/>
                <w:color w:val="auto"/>
                <w:sz w:val="22"/>
                <w:highlight w:val="none"/>
              </w:rPr>
            </w:pPr>
          </w:p>
        </w:tc>
        <w:tc>
          <w:tcPr>
            <w:tcW w:w="2214" w:type="dxa"/>
            <w:noWrap w:val="0"/>
            <w:vAlign w:val="center"/>
          </w:tcPr>
          <w:p w14:paraId="2EBA3E20">
            <w:pPr>
              <w:spacing w:line="360" w:lineRule="auto"/>
              <w:rPr>
                <w:rFonts w:ascii="宋体" w:cs="Arial"/>
                <w:color w:val="auto"/>
                <w:sz w:val="22"/>
                <w:highlight w:val="none"/>
              </w:rPr>
            </w:pPr>
          </w:p>
        </w:tc>
        <w:tc>
          <w:tcPr>
            <w:tcW w:w="1278" w:type="dxa"/>
            <w:noWrap w:val="0"/>
            <w:vAlign w:val="top"/>
          </w:tcPr>
          <w:p w14:paraId="338C5C22">
            <w:pPr>
              <w:spacing w:line="360" w:lineRule="auto"/>
              <w:ind w:right="-11"/>
              <w:jc w:val="center"/>
              <w:rPr>
                <w:rFonts w:ascii="宋体" w:cs="Arial"/>
                <w:color w:val="auto"/>
                <w:sz w:val="22"/>
                <w:highlight w:val="none"/>
              </w:rPr>
            </w:pPr>
          </w:p>
        </w:tc>
        <w:tc>
          <w:tcPr>
            <w:tcW w:w="1298" w:type="dxa"/>
            <w:noWrap w:val="0"/>
            <w:vAlign w:val="top"/>
          </w:tcPr>
          <w:p w14:paraId="36308707">
            <w:pPr>
              <w:spacing w:line="360" w:lineRule="auto"/>
              <w:ind w:right="-11"/>
              <w:jc w:val="center"/>
              <w:rPr>
                <w:rFonts w:ascii="宋体" w:cs="Arial"/>
                <w:color w:val="auto"/>
                <w:sz w:val="22"/>
                <w:highlight w:val="none"/>
              </w:rPr>
            </w:pPr>
          </w:p>
        </w:tc>
        <w:tc>
          <w:tcPr>
            <w:tcW w:w="1373" w:type="dxa"/>
            <w:noWrap w:val="0"/>
            <w:vAlign w:val="center"/>
          </w:tcPr>
          <w:p w14:paraId="237775DC">
            <w:pPr>
              <w:spacing w:line="360" w:lineRule="auto"/>
              <w:ind w:right="-11"/>
              <w:jc w:val="center"/>
              <w:rPr>
                <w:rFonts w:ascii="宋体" w:cs="Arial"/>
                <w:color w:val="auto"/>
                <w:sz w:val="22"/>
                <w:highlight w:val="none"/>
              </w:rPr>
            </w:pPr>
          </w:p>
        </w:tc>
        <w:tc>
          <w:tcPr>
            <w:tcW w:w="2444" w:type="dxa"/>
            <w:tcBorders>
              <w:right w:val="single" w:color="auto" w:sz="12" w:space="0"/>
            </w:tcBorders>
            <w:noWrap w:val="0"/>
            <w:vAlign w:val="center"/>
          </w:tcPr>
          <w:p w14:paraId="1A4DFCB1">
            <w:pPr>
              <w:spacing w:line="360" w:lineRule="auto"/>
              <w:ind w:right="-11"/>
              <w:jc w:val="center"/>
              <w:rPr>
                <w:rFonts w:ascii="宋体" w:cs="Arial"/>
                <w:color w:val="auto"/>
                <w:sz w:val="22"/>
                <w:highlight w:val="none"/>
              </w:rPr>
            </w:pPr>
          </w:p>
        </w:tc>
      </w:tr>
      <w:tr w14:paraId="0ACC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32C72EC1">
            <w:pPr>
              <w:spacing w:line="360" w:lineRule="auto"/>
              <w:ind w:right="-11"/>
              <w:jc w:val="center"/>
              <w:rPr>
                <w:rFonts w:ascii="宋体" w:cs="Arial"/>
                <w:color w:val="auto"/>
                <w:sz w:val="22"/>
                <w:highlight w:val="none"/>
              </w:rPr>
            </w:pPr>
          </w:p>
        </w:tc>
        <w:tc>
          <w:tcPr>
            <w:tcW w:w="2214" w:type="dxa"/>
            <w:noWrap w:val="0"/>
            <w:vAlign w:val="center"/>
          </w:tcPr>
          <w:p w14:paraId="5C5BF41F">
            <w:pPr>
              <w:spacing w:line="360" w:lineRule="auto"/>
              <w:rPr>
                <w:rFonts w:ascii="宋体" w:cs="Arial"/>
                <w:color w:val="auto"/>
                <w:sz w:val="22"/>
                <w:highlight w:val="none"/>
              </w:rPr>
            </w:pPr>
          </w:p>
        </w:tc>
        <w:tc>
          <w:tcPr>
            <w:tcW w:w="1278" w:type="dxa"/>
            <w:noWrap w:val="0"/>
            <w:vAlign w:val="top"/>
          </w:tcPr>
          <w:p w14:paraId="202ED29D">
            <w:pPr>
              <w:spacing w:line="360" w:lineRule="auto"/>
              <w:ind w:right="-11"/>
              <w:jc w:val="center"/>
              <w:rPr>
                <w:rFonts w:ascii="宋体" w:cs="Arial"/>
                <w:color w:val="auto"/>
                <w:sz w:val="22"/>
                <w:highlight w:val="none"/>
              </w:rPr>
            </w:pPr>
          </w:p>
        </w:tc>
        <w:tc>
          <w:tcPr>
            <w:tcW w:w="1298" w:type="dxa"/>
            <w:noWrap w:val="0"/>
            <w:vAlign w:val="top"/>
          </w:tcPr>
          <w:p w14:paraId="3690BE36">
            <w:pPr>
              <w:spacing w:line="360" w:lineRule="auto"/>
              <w:ind w:right="-11"/>
              <w:jc w:val="center"/>
              <w:rPr>
                <w:rFonts w:ascii="宋体" w:cs="Arial"/>
                <w:color w:val="auto"/>
                <w:sz w:val="22"/>
                <w:highlight w:val="none"/>
              </w:rPr>
            </w:pPr>
          </w:p>
        </w:tc>
        <w:tc>
          <w:tcPr>
            <w:tcW w:w="1373" w:type="dxa"/>
            <w:noWrap w:val="0"/>
            <w:vAlign w:val="center"/>
          </w:tcPr>
          <w:p w14:paraId="048581C0">
            <w:pPr>
              <w:spacing w:line="360" w:lineRule="auto"/>
              <w:ind w:right="-11"/>
              <w:jc w:val="center"/>
              <w:rPr>
                <w:rFonts w:ascii="宋体" w:cs="Arial"/>
                <w:color w:val="auto"/>
                <w:sz w:val="22"/>
                <w:highlight w:val="none"/>
              </w:rPr>
            </w:pPr>
          </w:p>
        </w:tc>
        <w:tc>
          <w:tcPr>
            <w:tcW w:w="2444" w:type="dxa"/>
            <w:tcBorders>
              <w:right w:val="single" w:color="auto" w:sz="12" w:space="0"/>
            </w:tcBorders>
            <w:noWrap w:val="0"/>
            <w:vAlign w:val="center"/>
          </w:tcPr>
          <w:p w14:paraId="54917D2A">
            <w:pPr>
              <w:spacing w:line="360" w:lineRule="auto"/>
              <w:ind w:right="-11"/>
              <w:jc w:val="center"/>
              <w:rPr>
                <w:rFonts w:ascii="宋体" w:cs="Arial"/>
                <w:color w:val="auto"/>
                <w:sz w:val="22"/>
                <w:highlight w:val="none"/>
              </w:rPr>
            </w:pPr>
          </w:p>
        </w:tc>
      </w:tr>
      <w:tr w14:paraId="6B86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4846F4E2">
            <w:pPr>
              <w:spacing w:line="360" w:lineRule="auto"/>
              <w:ind w:right="-11"/>
              <w:jc w:val="center"/>
              <w:rPr>
                <w:rFonts w:ascii="宋体" w:cs="Arial"/>
                <w:color w:val="auto"/>
                <w:sz w:val="22"/>
                <w:highlight w:val="none"/>
              </w:rPr>
            </w:pPr>
          </w:p>
        </w:tc>
        <w:tc>
          <w:tcPr>
            <w:tcW w:w="2214" w:type="dxa"/>
            <w:noWrap w:val="0"/>
            <w:vAlign w:val="center"/>
          </w:tcPr>
          <w:p w14:paraId="674C2B4F">
            <w:pPr>
              <w:spacing w:line="360" w:lineRule="auto"/>
              <w:rPr>
                <w:rFonts w:ascii="宋体" w:cs="Arial"/>
                <w:color w:val="auto"/>
                <w:sz w:val="22"/>
                <w:highlight w:val="none"/>
              </w:rPr>
            </w:pPr>
          </w:p>
        </w:tc>
        <w:tc>
          <w:tcPr>
            <w:tcW w:w="1278" w:type="dxa"/>
            <w:noWrap w:val="0"/>
            <w:vAlign w:val="top"/>
          </w:tcPr>
          <w:p w14:paraId="7E6DCA78">
            <w:pPr>
              <w:spacing w:line="360" w:lineRule="auto"/>
              <w:ind w:right="-11"/>
              <w:jc w:val="center"/>
              <w:rPr>
                <w:rFonts w:ascii="宋体" w:cs="Arial"/>
                <w:color w:val="auto"/>
                <w:sz w:val="22"/>
                <w:highlight w:val="none"/>
              </w:rPr>
            </w:pPr>
          </w:p>
        </w:tc>
        <w:tc>
          <w:tcPr>
            <w:tcW w:w="1298" w:type="dxa"/>
            <w:noWrap w:val="0"/>
            <w:vAlign w:val="top"/>
          </w:tcPr>
          <w:p w14:paraId="697EFA55">
            <w:pPr>
              <w:spacing w:line="360" w:lineRule="auto"/>
              <w:ind w:right="-11"/>
              <w:jc w:val="center"/>
              <w:rPr>
                <w:rFonts w:ascii="宋体" w:cs="Arial"/>
                <w:color w:val="auto"/>
                <w:sz w:val="22"/>
                <w:highlight w:val="none"/>
              </w:rPr>
            </w:pPr>
          </w:p>
        </w:tc>
        <w:tc>
          <w:tcPr>
            <w:tcW w:w="1373" w:type="dxa"/>
            <w:noWrap w:val="0"/>
            <w:vAlign w:val="center"/>
          </w:tcPr>
          <w:p w14:paraId="3C409F77">
            <w:pPr>
              <w:spacing w:line="360" w:lineRule="auto"/>
              <w:ind w:right="-11"/>
              <w:jc w:val="center"/>
              <w:rPr>
                <w:rFonts w:ascii="宋体" w:cs="Arial"/>
                <w:color w:val="auto"/>
                <w:sz w:val="22"/>
                <w:highlight w:val="none"/>
              </w:rPr>
            </w:pPr>
          </w:p>
        </w:tc>
        <w:tc>
          <w:tcPr>
            <w:tcW w:w="2444" w:type="dxa"/>
            <w:tcBorders>
              <w:right w:val="single" w:color="auto" w:sz="12" w:space="0"/>
            </w:tcBorders>
            <w:noWrap w:val="0"/>
            <w:vAlign w:val="center"/>
          </w:tcPr>
          <w:p w14:paraId="1D1C3979">
            <w:pPr>
              <w:spacing w:line="360" w:lineRule="auto"/>
              <w:ind w:right="-11"/>
              <w:jc w:val="center"/>
              <w:rPr>
                <w:rFonts w:ascii="宋体" w:cs="Arial"/>
                <w:color w:val="auto"/>
                <w:sz w:val="22"/>
                <w:highlight w:val="none"/>
              </w:rPr>
            </w:pPr>
          </w:p>
        </w:tc>
      </w:tr>
      <w:tr w14:paraId="24B8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14:paraId="040E1B78">
            <w:pPr>
              <w:spacing w:line="360" w:lineRule="auto"/>
              <w:ind w:right="-11"/>
              <w:jc w:val="center"/>
              <w:rPr>
                <w:rFonts w:ascii="宋体" w:cs="Arial"/>
                <w:color w:val="auto"/>
                <w:sz w:val="22"/>
                <w:highlight w:val="none"/>
              </w:rPr>
            </w:pPr>
          </w:p>
        </w:tc>
        <w:tc>
          <w:tcPr>
            <w:tcW w:w="2214" w:type="dxa"/>
            <w:noWrap w:val="0"/>
            <w:vAlign w:val="center"/>
          </w:tcPr>
          <w:p w14:paraId="0FB02480">
            <w:pPr>
              <w:spacing w:line="360" w:lineRule="auto"/>
              <w:rPr>
                <w:rFonts w:ascii="宋体" w:cs="Arial"/>
                <w:color w:val="auto"/>
                <w:sz w:val="22"/>
                <w:highlight w:val="none"/>
              </w:rPr>
            </w:pPr>
          </w:p>
        </w:tc>
        <w:tc>
          <w:tcPr>
            <w:tcW w:w="1278" w:type="dxa"/>
            <w:noWrap w:val="0"/>
            <w:vAlign w:val="top"/>
          </w:tcPr>
          <w:p w14:paraId="5DDDCF38">
            <w:pPr>
              <w:spacing w:line="360" w:lineRule="auto"/>
              <w:ind w:right="-11"/>
              <w:jc w:val="center"/>
              <w:rPr>
                <w:rFonts w:ascii="宋体" w:cs="Arial"/>
                <w:color w:val="auto"/>
                <w:sz w:val="22"/>
                <w:highlight w:val="none"/>
              </w:rPr>
            </w:pPr>
          </w:p>
        </w:tc>
        <w:tc>
          <w:tcPr>
            <w:tcW w:w="1298" w:type="dxa"/>
            <w:noWrap w:val="0"/>
            <w:vAlign w:val="top"/>
          </w:tcPr>
          <w:p w14:paraId="2FAD89CE">
            <w:pPr>
              <w:spacing w:line="360" w:lineRule="auto"/>
              <w:ind w:right="-11"/>
              <w:jc w:val="center"/>
              <w:rPr>
                <w:rFonts w:ascii="宋体" w:cs="Arial"/>
                <w:color w:val="auto"/>
                <w:sz w:val="22"/>
                <w:highlight w:val="none"/>
              </w:rPr>
            </w:pPr>
          </w:p>
        </w:tc>
        <w:tc>
          <w:tcPr>
            <w:tcW w:w="1373" w:type="dxa"/>
            <w:noWrap w:val="0"/>
            <w:vAlign w:val="center"/>
          </w:tcPr>
          <w:p w14:paraId="3D33A171">
            <w:pPr>
              <w:spacing w:line="360" w:lineRule="auto"/>
              <w:ind w:right="-11"/>
              <w:jc w:val="center"/>
              <w:rPr>
                <w:rFonts w:ascii="宋体" w:cs="Arial"/>
                <w:color w:val="auto"/>
                <w:sz w:val="22"/>
                <w:highlight w:val="none"/>
              </w:rPr>
            </w:pPr>
          </w:p>
        </w:tc>
        <w:tc>
          <w:tcPr>
            <w:tcW w:w="2444" w:type="dxa"/>
            <w:tcBorders>
              <w:right w:val="single" w:color="auto" w:sz="12" w:space="0"/>
            </w:tcBorders>
            <w:noWrap w:val="0"/>
            <w:vAlign w:val="center"/>
          </w:tcPr>
          <w:p w14:paraId="0085E7E4">
            <w:pPr>
              <w:spacing w:line="360" w:lineRule="auto"/>
              <w:ind w:right="-11"/>
              <w:jc w:val="center"/>
              <w:rPr>
                <w:rFonts w:ascii="宋体" w:cs="Arial"/>
                <w:color w:val="auto"/>
                <w:sz w:val="22"/>
                <w:highlight w:val="none"/>
              </w:rPr>
            </w:pPr>
          </w:p>
        </w:tc>
      </w:tr>
      <w:tr w14:paraId="14CC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69" w:type="dxa"/>
            <w:gridSpan w:val="4"/>
            <w:tcBorders>
              <w:left w:val="single" w:color="auto" w:sz="12" w:space="0"/>
              <w:bottom w:val="single" w:color="auto" w:sz="12" w:space="0"/>
            </w:tcBorders>
            <w:noWrap w:val="0"/>
            <w:vAlign w:val="center"/>
          </w:tcPr>
          <w:p w14:paraId="02217712">
            <w:pPr>
              <w:spacing w:line="360" w:lineRule="auto"/>
              <w:ind w:right="-11"/>
              <w:jc w:val="center"/>
              <w:rPr>
                <w:rFonts w:hint="eastAsia" w:ascii="宋体" w:eastAsia="宋体" w:cs="Arial"/>
                <w:color w:val="auto"/>
                <w:sz w:val="22"/>
                <w:highlight w:val="none"/>
                <w:lang w:eastAsia="zh-CN"/>
              </w:rPr>
            </w:pPr>
            <w:r>
              <w:rPr>
                <w:rFonts w:hint="eastAsia" w:ascii="宋体" w:cs="Arial"/>
                <w:color w:val="auto"/>
                <w:sz w:val="22"/>
                <w:highlight w:val="none"/>
              </w:rPr>
              <w:t>合计</w:t>
            </w:r>
            <w:r>
              <w:rPr>
                <w:rFonts w:hint="eastAsia" w:ascii="宋体" w:cs="Arial"/>
                <w:color w:val="auto"/>
                <w:sz w:val="22"/>
                <w:highlight w:val="none"/>
                <w:lang w:val="en-US" w:eastAsia="zh-CN"/>
              </w:rPr>
              <w:t>总价</w:t>
            </w:r>
          </w:p>
        </w:tc>
        <w:tc>
          <w:tcPr>
            <w:tcW w:w="3817" w:type="dxa"/>
            <w:gridSpan w:val="2"/>
            <w:tcBorders>
              <w:bottom w:val="single" w:color="auto" w:sz="12" w:space="0"/>
              <w:right w:val="single" w:color="auto" w:sz="12" w:space="0"/>
            </w:tcBorders>
            <w:noWrap w:val="0"/>
            <w:vAlign w:val="center"/>
          </w:tcPr>
          <w:p w14:paraId="2375906E">
            <w:pPr>
              <w:spacing w:line="360" w:lineRule="auto"/>
              <w:ind w:right="-11"/>
              <w:jc w:val="center"/>
              <w:rPr>
                <w:rFonts w:ascii="宋体" w:cs="Arial"/>
                <w:color w:val="auto"/>
                <w:sz w:val="22"/>
                <w:highlight w:val="none"/>
              </w:rPr>
            </w:pPr>
          </w:p>
        </w:tc>
      </w:tr>
    </w:tbl>
    <w:p w14:paraId="54ECAC3C">
      <w:pPr>
        <w:keepNext w:val="0"/>
        <w:keepLines w:val="0"/>
        <w:pageBreakBefore w:val="0"/>
        <w:widowControl w:val="0"/>
        <w:kinsoku/>
        <w:wordWrap/>
        <w:overflowPunct/>
        <w:topLinePunct w:val="0"/>
        <w:autoSpaceDE/>
        <w:autoSpaceDN/>
        <w:bidi w:val="0"/>
        <w:adjustRightInd/>
        <w:snapToGrid/>
        <w:spacing w:line="360" w:lineRule="exact"/>
        <w:ind w:left="424" w:leftChars="-1" w:hanging="426" w:hangingChars="194"/>
        <w:textAlignment w:val="auto"/>
        <w:rPr>
          <w:rFonts w:ascii="宋体" w:cs="Arial Unicode MS"/>
          <w:color w:val="auto"/>
          <w:sz w:val="22"/>
          <w:highlight w:val="none"/>
        </w:rPr>
      </w:pPr>
      <w:r>
        <w:rPr>
          <w:rFonts w:hint="eastAsia" w:ascii="宋体"/>
          <w:color w:val="auto"/>
          <w:sz w:val="22"/>
          <w:highlight w:val="none"/>
        </w:rPr>
        <w:t>注：1</w:t>
      </w:r>
      <w:r>
        <w:rPr>
          <w:rFonts w:hint="eastAsia" w:ascii="宋体"/>
          <w:color w:val="auto"/>
          <w:sz w:val="22"/>
          <w:highlight w:val="none"/>
          <w:lang w:val="en-US" w:eastAsia="zh-CN"/>
        </w:rPr>
        <w:t>.投标报价是指中标供应商在正确地完全履行合同义务后采购人应支付给中标供应商所有的服务价款，采用固定费用综合总价包干。投标报价是履行合同的最终价格，应包括调研费用、规划编制费、交通、住宿、餐饮、税费、利润、专家评审费、人员工资补贴、评审认定、备案、研究报告与规划报告文本复制及招标代理费、服务质量保证期工作费用及采购人安排的项目其他相关工作的费用等所有涉及本项目所产生的一切费用。项目实施中不能调整变动，其市场风险由供应商承担，供应商在投标报价时应充分考虑，凡供应商漏项、漏报均被视为已包含在投标报价中。</w:t>
      </w:r>
    </w:p>
    <w:p w14:paraId="558CF9E8">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color w:val="auto"/>
          <w:sz w:val="22"/>
          <w:highlight w:val="none"/>
        </w:rPr>
      </w:pPr>
      <w:r>
        <w:rPr>
          <w:rFonts w:hint="eastAsia" w:ascii="宋体"/>
          <w:color w:val="auto"/>
          <w:sz w:val="22"/>
          <w:highlight w:val="none"/>
        </w:rPr>
        <w:t>2</w:t>
      </w:r>
      <w:r>
        <w:rPr>
          <w:rFonts w:hint="eastAsia" w:ascii="宋体"/>
          <w:color w:val="auto"/>
          <w:sz w:val="22"/>
          <w:highlight w:val="none"/>
          <w:lang w:val="en-US" w:eastAsia="zh-CN"/>
        </w:rPr>
        <w:t>.</w:t>
      </w:r>
      <w:r>
        <w:rPr>
          <w:rFonts w:hint="eastAsia" w:ascii="宋体"/>
          <w:color w:val="auto"/>
          <w:sz w:val="22"/>
          <w:highlight w:val="none"/>
        </w:rPr>
        <w:t>总计价应与附件二“开标一览表”中投标</w:t>
      </w:r>
      <w:r>
        <w:rPr>
          <w:rFonts w:hint="eastAsia" w:ascii="宋体"/>
          <w:color w:val="auto"/>
          <w:sz w:val="22"/>
          <w:highlight w:val="none"/>
          <w:lang w:val="en-US" w:eastAsia="zh-CN"/>
        </w:rPr>
        <w:t>报价</w:t>
      </w:r>
      <w:r>
        <w:rPr>
          <w:rFonts w:hint="eastAsia" w:ascii="宋体"/>
          <w:color w:val="auto"/>
          <w:sz w:val="22"/>
          <w:highlight w:val="none"/>
        </w:rPr>
        <w:t>相一致。</w:t>
      </w:r>
    </w:p>
    <w:p w14:paraId="35D4D52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color w:val="auto"/>
          <w:sz w:val="22"/>
          <w:highlight w:val="none"/>
        </w:rPr>
      </w:pPr>
      <w:r>
        <w:rPr>
          <w:rFonts w:hint="eastAsia" w:ascii="宋体"/>
          <w:color w:val="auto"/>
          <w:sz w:val="22"/>
          <w:highlight w:val="none"/>
        </w:rPr>
        <w:t>3</w:t>
      </w:r>
      <w:r>
        <w:rPr>
          <w:rFonts w:hint="eastAsia" w:ascii="宋体"/>
          <w:color w:val="auto"/>
          <w:sz w:val="22"/>
          <w:highlight w:val="none"/>
          <w:lang w:val="en-US" w:eastAsia="zh-CN"/>
        </w:rPr>
        <w:t>.</w:t>
      </w:r>
      <w:r>
        <w:rPr>
          <w:rFonts w:hint="eastAsia" w:ascii="宋体"/>
          <w:color w:val="auto"/>
          <w:sz w:val="22"/>
          <w:highlight w:val="none"/>
        </w:rPr>
        <w:t>本表所列费用为本项目的全部费用，未列费用均为综合考虑。</w:t>
      </w:r>
    </w:p>
    <w:p w14:paraId="4394930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color w:val="auto"/>
          <w:sz w:val="22"/>
          <w:highlight w:val="none"/>
        </w:rPr>
      </w:pPr>
      <w:r>
        <w:rPr>
          <w:rFonts w:hint="eastAsia" w:ascii="宋体"/>
          <w:color w:val="auto"/>
          <w:sz w:val="22"/>
          <w:highlight w:val="none"/>
        </w:rPr>
        <w:t>4</w:t>
      </w:r>
      <w:r>
        <w:rPr>
          <w:rFonts w:hint="eastAsia" w:ascii="宋体"/>
          <w:color w:val="auto"/>
          <w:sz w:val="22"/>
          <w:highlight w:val="none"/>
          <w:lang w:val="en-US" w:eastAsia="zh-CN"/>
        </w:rPr>
        <w:t>.</w:t>
      </w:r>
      <w:r>
        <w:rPr>
          <w:rFonts w:hint="eastAsia" w:ascii="宋体"/>
          <w:color w:val="auto"/>
          <w:sz w:val="22"/>
          <w:highlight w:val="none"/>
        </w:rPr>
        <w:t>不提供详细分项报价将视为没有实质性响应招标文件。</w:t>
      </w:r>
    </w:p>
    <w:p w14:paraId="0028E46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color w:val="auto"/>
          <w:sz w:val="22"/>
          <w:highlight w:val="none"/>
        </w:rPr>
      </w:pPr>
      <w:r>
        <w:rPr>
          <w:rFonts w:hint="eastAsia" w:ascii="宋体"/>
          <w:color w:val="auto"/>
          <w:sz w:val="22"/>
          <w:highlight w:val="none"/>
        </w:rPr>
        <w:t>5</w:t>
      </w:r>
      <w:r>
        <w:rPr>
          <w:rFonts w:hint="eastAsia" w:ascii="宋体"/>
          <w:color w:val="auto"/>
          <w:sz w:val="22"/>
          <w:highlight w:val="none"/>
          <w:lang w:val="en-US" w:eastAsia="zh-CN"/>
        </w:rPr>
        <w:t>.</w:t>
      </w:r>
      <w:r>
        <w:rPr>
          <w:rFonts w:hint="eastAsia" w:ascii="宋体"/>
          <w:color w:val="auto"/>
          <w:sz w:val="22"/>
          <w:highlight w:val="none"/>
        </w:rPr>
        <w:t xml:space="preserve">本表可在不改变格式的情况下根据具体需要自行增减。 </w:t>
      </w:r>
    </w:p>
    <w:p w14:paraId="658F8531">
      <w:pPr>
        <w:ind w:firstLine="63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A1740A2">
      <w:pPr>
        <w:spacing w:line="360" w:lineRule="exact"/>
        <w:jc w:val="left"/>
        <w:rPr>
          <w:rFonts w:hint="eastAsia" w:ascii="宋体" w:hAnsi="宋体"/>
          <w:color w:val="auto"/>
          <w:sz w:val="22"/>
          <w:highlight w:val="none"/>
        </w:rPr>
      </w:pPr>
    </w:p>
    <w:p w14:paraId="55A57F32">
      <w:pPr>
        <w:spacing w:line="360" w:lineRule="exact"/>
        <w:jc w:val="left"/>
        <w:rPr>
          <w:rFonts w:hint="eastAsia" w:ascii="宋体" w:hAnsi="宋体"/>
          <w:color w:val="auto"/>
          <w:sz w:val="22"/>
          <w:highlight w:val="none"/>
        </w:rPr>
      </w:pPr>
      <w:r>
        <w:rPr>
          <w:rFonts w:hint="eastAsia" w:ascii="宋体" w:hAnsi="宋体"/>
          <w:color w:val="auto"/>
          <w:sz w:val="22"/>
          <w:highlight w:val="none"/>
        </w:rPr>
        <w:t>供应商全称（盖章）：</w:t>
      </w:r>
    </w:p>
    <w:p w14:paraId="2C9AC9DA">
      <w:pPr>
        <w:overflowPunct w:val="0"/>
        <w:spacing w:line="460" w:lineRule="exact"/>
        <w:rPr>
          <w:rFonts w:ascii="宋体" w:hAnsi="宋体" w:cs="新宋体"/>
          <w:color w:val="auto"/>
          <w:sz w:val="22"/>
          <w:szCs w:val="22"/>
          <w:highlight w:val="none"/>
        </w:rPr>
      </w:pPr>
      <w:r>
        <w:rPr>
          <w:rFonts w:hint="eastAsia" w:ascii="宋体" w:hAnsi="宋体" w:cs="新宋体"/>
          <w:color w:val="auto"/>
          <w:sz w:val="22"/>
          <w:szCs w:val="22"/>
          <w:highlight w:val="none"/>
        </w:rPr>
        <w:t>投标供应商代表（签字或盖章）：</w:t>
      </w:r>
    </w:p>
    <w:p w14:paraId="7877A851">
      <w:pPr>
        <w:autoSpaceDE w:val="0"/>
        <w:autoSpaceDN w:val="0"/>
        <w:adjustRightInd w:val="0"/>
        <w:spacing w:line="460" w:lineRule="atLeast"/>
        <w:rPr>
          <w:rFonts w:hint="eastAsia" w:ascii="宋体" w:hAnsi="宋体"/>
          <w:color w:val="auto"/>
          <w:sz w:val="22"/>
          <w:highlight w:val="none"/>
        </w:rPr>
      </w:pPr>
      <w:r>
        <w:rPr>
          <w:rFonts w:hint="eastAsia" w:ascii="宋体" w:hAnsi="宋体"/>
          <w:color w:val="auto"/>
          <w:sz w:val="22"/>
          <w:highlight w:val="none"/>
        </w:rPr>
        <w:t>日期：</w:t>
      </w:r>
    </w:p>
    <w:p w14:paraId="5ADC53F6">
      <w:pPr>
        <w:pStyle w:val="21"/>
        <w:snapToGrid w:val="0"/>
        <w:spacing w:line="440" w:lineRule="atLeast"/>
        <w:ind w:left="1"/>
        <w:jc w:val="left"/>
        <w:rPr>
          <w:rFonts w:hint="eastAsia" w:ascii="宋体" w:hAnsi="宋体" w:cs="宋体"/>
          <w:b/>
          <w:color w:val="auto"/>
          <w:sz w:val="22"/>
          <w:highlight w:val="none"/>
        </w:rPr>
        <w:sectPr>
          <w:footerReference r:id="rId4" w:type="first"/>
          <w:footerReference r:id="rId3" w:type="default"/>
          <w:pgSz w:w="11906" w:h="16838"/>
          <w:pgMar w:top="1417" w:right="1417" w:bottom="1134" w:left="1134" w:header="851" w:footer="476" w:gutter="0"/>
          <w:pgNumType w:fmt="decimal"/>
          <w:cols w:space="720" w:num="1"/>
          <w:docGrid w:linePitch="312" w:charSpace="0"/>
        </w:sectPr>
      </w:pPr>
    </w:p>
    <w:p w14:paraId="465C25B9">
      <w:pPr>
        <w:spacing w:line="460" w:lineRule="exact"/>
        <w:jc w:val="left"/>
        <w:rPr>
          <w:rFonts w:ascii="宋体" w:hAnsi="宋体"/>
          <w:b/>
          <w:bCs/>
          <w:color w:val="auto"/>
          <w:sz w:val="28"/>
          <w:szCs w:val="28"/>
          <w:highlight w:val="none"/>
        </w:rPr>
      </w:pPr>
      <w:r>
        <w:rPr>
          <w:rFonts w:hint="eastAsia" w:ascii="新宋体" w:hAnsi="新宋体" w:eastAsia="新宋体"/>
          <w:b/>
          <w:bCs/>
          <w:color w:val="auto"/>
          <w:sz w:val="22"/>
          <w:szCs w:val="22"/>
          <w:highlight w:val="none"/>
        </w:rPr>
        <w:t>附件四 《中小企业声明函》或《残疾人福利性单位声明函》或《监狱企业价格扣除证明材料》证明材料</w:t>
      </w:r>
    </w:p>
    <w:p w14:paraId="6C061417">
      <w:pPr>
        <w:widowControl/>
        <w:jc w:val="center"/>
        <w:rPr>
          <w:rFonts w:ascii="宋体" w:hAnsi="宋体" w:cs="宋体"/>
          <w:b/>
          <w:color w:val="auto"/>
          <w:kern w:val="0"/>
          <w:sz w:val="36"/>
          <w:szCs w:val="36"/>
          <w:highlight w:val="none"/>
        </w:rPr>
      </w:pPr>
      <w:bookmarkStart w:id="60" w:name="OLE_LINK13"/>
      <w:bookmarkStart w:id="61" w:name="OLE_LINK14"/>
    </w:p>
    <w:p w14:paraId="45C2847E">
      <w:pPr>
        <w:widowControl/>
        <w:jc w:val="center"/>
        <w:rPr>
          <w:rFonts w:ascii="宋体" w:hAnsi="宋体" w:cs="宋体"/>
          <w:color w:val="auto"/>
          <w:highlight w:val="none"/>
        </w:rPr>
      </w:pPr>
      <w:r>
        <w:rPr>
          <w:rFonts w:hint="eastAsia" w:ascii="宋体" w:hAnsi="宋体" w:cs="宋体"/>
          <w:b/>
          <w:color w:val="auto"/>
          <w:kern w:val="0"/>
          <w:sz w:val="36"/>
          <w:szCs w:val="36"/>
          <w:highlight w:val="none"/>
        </w:rPr>
        <w:t>（1）中小企业声明函</w:t>
      </w:r>
    </w:p>
    <w:p w14:paraId="75BF0E9D">
      <w:pPr>
        <w:widowControl/>
        <w:spacing w:line="400" w:lineRule="exact"/>
        <w:ind w:firstLine="420"/>
        <w:jc w:val="left"/>
        <w:rPr>
          <w:rFonts w:ascii="宋体" w:hAnsi="宋体" w:cs="宋体"/>
          <w:color w:val="auto"/>
          <w:kern w:val="0"/>
          <w:szCs w:val="21"/>
          <w:highlight w:val="none"/>
        </w:rPr>
      </w:pPr>
    </w:p>
    <w:p w14:paraId="252A49A3">
      <w:pPr>
        <w:spacing w:line="360" w:lineRule="auto"/>
        <w:ind w:right="6" w:firstLine="420" w:firstLineChars="200"/>
        <w:rPr>
          <w:rFonts w:ascii="Arial" w:hAnsi="Arial" w:cs="Arial"/>
          <w:color w:val="auto"/>
          <w:highlight w:val="none"/>
        </w:rPr>
      </w:pPr>
      <w:r>
        <w:rPr>
          <w:rFonts w:ascii="Arial" w:hAnsi="Arial" w:cs="Arial"/>
          <w:color w:val="auto"/>
          <w:highlight w:val="none"/>
        </w:rPr>
        <w:t>本公司（联合体）郑重声明，根据《政府采购促进中小企业发展管理办法》（财库﹝2020﹞46号）的规定，本公司（联合体）参加</w:t>
      </w:r>
      <w:r>
        <w:rPr>
          <w:rFonts w:ascii="Arial" w:hAnsi="Arial" w:cs="Arial"/>
          <w:color w:val="auto"/>
          <w:highlight w:val="none"/>
          <w:u w:val="single"/>
        </w:rPr>
        <w:t>（单位名称）</w:t>
      </w:r>
      <w:r>
        <w:rPr>
          <w:rFonts w:ascii="Arial" w:hAnsi="Arial" w:cs="Arial"/>
          <w:color w:val="auto"/>
          <w:highlight w:val="none"/>
        </w:rPr>
        <w:t>的</w:t>
      </w:r>
      <w:r>
        <w:rPr>
          <w:rFonts w:ascii="Arial" w:hAnsi="Arial" w:cs="Arial"/>
          <w:color w:val="auto"/>
          <w:highlight w:val="none"/>
          <w:u w:val="single"/>
        </w:rPr>
        <w:t>（项目名称）</w:t>
      </w:r>
      <w:r>
        <w:rPr>
          <w:rFonts w:ascii="Arial" w:hAnsi="Arial" w:cs="Arial"/>
          <w:color w:val="auto"/>
          <w:highlight w:val="none"/>
        </w:rPr>
        <w:t xml:space="preserve">采购活动，服务全部由符合政策要求的中小企业承接。相关企业（含联合体中的中小企业、签订分包意向协议的中小企业） 的具体情况如下： </w:t>
      </w:r>
    </w:p>
    <w:p w14:paraId="5945F67D">
      <w:pPr>
        <w:spacing w:line="360" w:lineRule="auto"/>
        <w:ind w:right="6" w:firstLine="420" w:firstLineChars="200"/>
        <w:rPr>
          <w:rFonts w:ascii="Arial" w:hAnsi="Arial" w:cs="Arial"/>
          <w:color w:val="auto"/>
          <w:highlight w:val="none"/>
        </w:rPr>
      </w:pPr>
      <w:r>
        <w:rPr>
          <w:rFonts w:ascii="Arial" w:hAnsi="Arial" w:cs="Arial"/>
          <w:color w:val="auto"/>
          <w:highlight w:val="none"/>
        </w:rPr>
        <w:t>1.</w:t>
      </w:r>
      <w:r>
        <w:rPr>
          <w:rFonts w:ascii="Arial" w:hAnsi="Arial" w:cs="Arial"/>
          <w:color w:val="auto"/>
          <w:highlight w:val="none"/>
          <w:u w:val="single"/>
        </w:rPr>
        <w:t>（标的名称）</w:t>
      </w:r>
      <w:r>
        <w:rPr>
          <w:rFonts w:ascii="Arial" w:hAnsi="Arial" w:cs="Arial"/>
          <w:color w:val="auto"/>
          <w:highlight w:val="none"/>
        </w:rPr>
        <w:t>，属于</w:t>
      </w:r>
      <w:r>
        <w:rPr>
          <w:rFonts w:ascii="Arial" w:hAnsi="Arial" w:cs="Arial"/>
          <w:color w:val="auto"/>
          <w:highlight w:val="none"/>
          <w:u w:val="single"/>
        </w:rPr>
        <w:t>（采购文件中明确的所属行业）</w:t>
      </w:r>
      <w:r>
        <w:rPr>
          <w:rFonts w:ascii="Arial" w:hAnsi="Arial" w:cs="Arial"/>
          <w:color w:val="auto"/>
          <w:highlight w:val="none"/>
        </w:rPr>
        <w:t>行业；承建（承接）企业为（企业名称），从业人员</w:t>
      </w:r>
      <w:r>
        <w:rPr>
          <w:rFonts w:ascii="Arial" w:hAnsi="Arial" w:cs="Arial"/>
          <w:color w:val="auto"/>
          <w:highlight w:val="none"/>
          <w:u w:val="single"/>
        </w:rPr>
        <w:t xml:space="preserve">    </w:t>
      </w:r>
      <w:r>
        <w:rPr>
          <w:rFonts w:ascii="Arial" w:hAnsi="Arial" w:cs="Arial"/>
          <w:color w:val="auto"/>
          <w:highlight w:val="none"/>
        </w:rPr>
        <w:t>人，营业收入为</w:t>
      </w:r>
      <w:r>
        <w:rPr>
          <w:rFonts w:ascii="Arial" w:hAnsi="Arial" w:cs="Arial"/>
          <w:color w:val="auto"/>
          <w:highlight w:val="none"/>
          <w:u w:val="single"/>
        </w:rPr>
        <w:t xml:space="preserve">    </w:t>
      </w:r>
      <w:r>
        <w:rPr>
          <w:rFonts w:ascii="Arial" w:hAnsi="Arial" w:cs="Arial"/>
          <w:color w:val="auto"/>
          <w:highlight w:val="none"/>
        </w:rPr>
        <w:t>万元，资产总额为</w:t>
      </w:r>
      <w:r>
        <w:rPr>
          <w:rFonts w:ascii="Arial" w:hAnsi="Arial" w:cs="Arial"/>
          <w:color w:val="auto"/>
          <w:highlight w:val="none"/>
          <w:u w:val="single"/>
        </w:rPr>
        <w:t xml:space="preserve">     </w:t>
      </w:r>
      <w:r>
        <w:rPr>
          <w:rFonts w:ascii="Arial" w:hAnsi="Arial" w:cs="Arial"/>
          <w:color w:val="auto"/>
          <w:highlight w:val="none"/>
        </w:rPr>
        <w:t>万元</w:t>
      </w:r>
      <w:r>
        <w:rPr>
          <w:rFonts w:ascii="Arial" w:hAnsi="Arial" w:cs="Arial"/>
          <w:color w:val="auto"/>
          <w:sz w:val="24"/>
          <w:highlight w:val="none"/>
          <w:vertAlign w:val="superscript"/>
        </w:rPr>
        <w:t>1</w:t>
      </w:r>
      <w:r>
        <w:rPr>
          <w:rFonts w:ascii="Arial" w:hAnsi="Arial" w:cs="Arial"/>
          <w:color w:val="auto"/>
          <w:highlight w:val="none"/>
        </w:rPr>
        <w:t>，属于</w:t>
      </w:r>
      <w:r>
        <w:rPr>
          <w:rFonts w:ascii="Arial" w:hAnsi="Arial" w:cs="Arial"/>
          <w:color w:val="auto"/>
          <w:highlight w:val="none"/>
          <w:u w:val="single"/>
        </w:rPr>
        <w:t>（中型企业、小型企业、微型企业）</w:t>
      </w:r>
      <w:r>
        <w:rPr>
          <w:rFonts w:ascii="Arial" w:hAnsi="Arial" w:cs="Arial"/>
          <w:color w:val="auto"/>
          <w:highlight w:val="none"/>
        </w:rPr>
        <w:t xml:space="preserve">； </w:t>
      </w:r>
    </w:p>
    <w:p w14:paraId="205F0775">
      <w:pPr>
        <w:spacing w:line="360" w:lineRule="auto"/>
        <w:ind w:right="6" w:firstLine="420" w:firstLineChars="200"/>
        <w:rPr>
          <w:rFonts w:ascii="Arial" w:hAnsi="Arial" w:cs="Arial"/>
          <w:color w:val="auto"/>
          <w:highlight w:val="none"/>
        </w:rPr>
      </w:pPr>
      <w:r>
        <w:rPr>
          <w:rFonts w:ascii="Arial" w:hAnsi="Arial" w:cs="Arial"/>
          <w:color w:val="auto"/>
          <w:highlight w:val="none"/>
        </w:rPr>
        <w:t>2.</w:t>
      </w:r>
      <w:r>
        <w:rPr>
          <w:rFonts w:ascii="Arial" w:hAnsi="Arial" w:cs="Arial"/>
          <w:color w:val="auto"/>
          <w:highlight w:val="none"/>
          <w:u w:val="single"/>
        </w:rPr>
        <w:t>（标的名称）</w:t>
      </w:r>
      <w:r>
        <w:rPr>
          <w:rFonts w:ascii="Arial" w:hAnsi="Arial" w:cs="Arial"/>
          <w:color w:val="auto"/>
          <w:highlight w:val="none"/>
        </w:rPr>
        <w:t>，属于</w:t>
      </w:r>
      <w:r>
        <w:rPr>
          <w:rFonts w:ascii="Arial" w:hAnsi="Arial" w:cs="Arial"/>
          <w:color w:val="auto"/>
          <w:highlight w:val="none"/>
          <w:u w:val="single"/>
        </w:rPr>
        <w:t>（采购文件中明确的所属行业）</w:t>
      </w:r>
      <w:r>
        <w:rPr>
          <w:rFonts w:ascii="Arial" w:hAnsi="Arial" w:cs="Arial"/>
          <w:color w:val="auto"/>
          <w:highlight w:val="none"/>
        </w:rPr>
        <w:t>行业；承建（承接）企业为（企业名称），从业人员</w:t>
      </w:r>
      <w:r>
        <w:rPr>
          <w:rFonts w:ascii="Arial" w:hAnsi="Arial" w:cs="Arial"/>
          <w:color w:val="auto"/>
          <w:highlight w:val="none"/>
          <w:u w:val="single"/>
        </w:rPr>
        <w:t xml:space="preserve">    </w:t>
      </w:r>
      <w:r>
        <w:rPr>
          <w:rFonts w:ascii="Arial" w:hAnsi="Arial" w:cs="Arial"/>
          <w:color w:val="auto"/>
          <w:highlight w:val="none"/>
        </w:rPr>
        <w:t>人，营业收入为</w:t>
      </w:r>
      <w:r>
        <w:rPr>
          <w:rFonts w:ascii="Arial" w:hAnsi="Arial" w:cs="Arial"/>
          <w:color w:val="auto"/>
          <w:highlight w:val="none"/>
          <w:u w:val="single"/>
        </w:rPr>
        <w:t xml:space="preserve">    </w:t>
      </w:r>
      <w:r>
        <w:rPr>
          <w:rFonts w:ascii="Arial" w:hAnsi="Arial" w:cs="Arial"/>
          <w:color w:val="auto"/>
          <w:highlight w:val="none"/>
        </w:rPr>
        <w:t>万元，资产总额为</w:t>
      </w:r>
      <w:r>
        <w:rPr>
          <w:rFonts w:ascii="Arial" w:hAnsi="Arial" w:cs="Arial"/>
          <w:color w:val="auto"/>
          <w:highlight w:val="none"/>
          <w:u w:val="single"/>
        </w:rPr>
        <w:t xml:space="preserve">     </w:t>
      </w:r>
      <w:r>
        <w:rPr>
          <w:rFonts w:ascii="Arial" w:hAnsi="Arial" w:cs="Arial"/>
          <w:color w:val="auto"/>
          <w:highlight w:val="none"/>
        </w:rPr>
        <w:t>万元</w:t>
      </w:r>
      <w:r>
        <w:rPr>
          <w:rFonts w:ascii="Arial" w:hAnsi="Arial" w:cs="Arial"/>
          <w:color w:val="auto"/>
          <w:sz w:val="24"/>
          <w:highlight w:val="none"/>
          <w:vertAlign w:val="superscript"/>
        </w:rPr>
        <w:t>1</w:t>
      </w:r>
      <w:r>
        <w:rPr>
          <w:rFonts w:ascii="Arial" w:hAnsi="Arial" w:cs="Arial"/>
          <w:color w:val="auto"/>
          <w:highlight w:val="none"/>
        </w:rPr>
        <w:t>，属于</w:t>
      </w:r>
      <w:r>
        <w:rPr>
          <w:rFonts w:ascii="Arial" w:hAnsi="Arial" w:cs="Arial"/>
          <w:color w:val="auto"/>
          <w:highlight w:val="none"/>
          <w:u w:val="single"/>
        </w:rPr>
        <w:t>（中型企业、小型企业、微型企业）</w:t>
      </w:r>
      <w:r>
        <w:rPr>
          <w:rFonts w:ascii="Arial" w:hAnsi="Arial" w:cs="Arial"/>
          <w:color w:val="auto"/>
          <w:highlight w:val="none"/>
        </w:rPr>
        <w:t>；</w:t>
      </w:r>
    </w:p>
    <w:p w14:paraId="48EC6FD0">
      <w:pPr>
        <w:spacing w:line="360" w:lineRule="auto"/>
        <w:ind w:right="6" w:firstLine="420" w:firstLineChars="200"/>
        <w:rPr>
          <w:rFonts w:ascii="Arial" w:hAnsi="Arial" w:cs="Arial"/>
          <w:color w:val="auto"/>
          <w:highlight w:val="none"/>
        </w:rPr>
      </w:pPr>
      <w:r>
        <w:rPr>
          <w:rFonts w:ascii="Arial" w:hAnsi="Arial" w:cs="Arial"/>
          <w:color w:val="auto"/>
          <w:highlight w:val="none"/>
        </w:rPr>
        <w:t xml:space="preserve"> …… </w:t>
      </w:r>
    </w:p>
    <w:p w14:paraId="24C4EED2">
      <w:pPr>
        <w:spacing w:line="360" w:lineRule="auto"/>
        <w:ind w:right="6" w:firstLine="420" w:firstLineChars="200"/>
        <w:rPr>
          <w:rFonts w:ascii="Arial" w:hAnsi="Arial" w:cs="Arial"/>
          <w:color w:val="auto"/>
          <w:highlight w:val="none"/>
        </w:rPr>
      </w:pPr>
      <w:r>
        <w:rPr>
          <w:rFonts w:ascii="Arial" w:hAnsi="Arial" w:cs="Arial"/>
          <w:color w:val="auto"/>
          <w:highlight w:val="none"/>
        </w:rPr>
        <w:t>以上企业，不属于大企业的分支机构，不存在控股股东为大企业的情形，也不存在与大企业的负责人为同一人的情形。</w:t>
      </w:r>
    </w:p>
    <w:p w14:paraId="1BBE63C7">
      <w:pPr>
        <w:spacing w:line="360" w:lineRule="auto"/>
        <w:ind w:right="6" w:firstLine="420" w:firstLineChars="200"/>
        <w:rPr>
          <w:rFonts w:ascii="Arial" w:hAnsi="Arial" w:cs="Arial"/>
          <w:color w:val="auto"/>
          <w:highlight w:val="none"/>
        </w:rPr>
      </w:pPr>
      <w:r>
        <w:rPr>
          <w:rFonts w:ascii="Arial" w:hAnsi="Arial" w:cs="Arial"/>
          <w:color w:val="auto"/>
          <w:highlight w:val="none"/>
        </w:rPr>
        <w:t xml:space="preserve">本企业对上述声明内容的真实性负责。如有虚假，将依 法承担相应责任。 </w:t>
      </w:r>
    </w:p>
    <w:p w14:paraId="4DC79BAB">
      <w:pPr>
        <w:pStyle w:val="11"/>
        <w:spacing w:line="360" w:lineRule="auto"/>
        <w:ind w:left="0" w:firstLine="5280" w:firstLineChars="2200"/>
        <w:rPr>
          <w:rFonts w:ascii="Arial" w:hAnsi="Arial" w:cs="Arial"/>
          <w:color w:val="auto"/>
          <w:highlight w:val="none"/>
        </w:rPr>
      </w:pPr>
    </w:p>
    <w:p w14:paraId="55B05A15">
      <w:pPr>
        <w:spacing w:line="360" w:lineRule="auto"/>
        <w:ind w:right="6" w:firstLine="4830" w:firstLineChars="2300"/>
        <w:rPr>
          <w:rFonts w:ascii="Arial" w:hAnsi="Arial" w:cs="Arial"/>
          <w:color w:val="auto"/>
          <w:highlight w:val="none"/>
        </w:rPr>
      </w:pPr>
      <w:r>
        <w:rPr>
          <w:rFonts w:ascii="Arial" w:hAnsi="Arial" w:cs="Arial"/>
          <w:color w:val="auto"/>
          <w:highlight w:val="none"/>
        </w:rPr>
        <w:t>供应商全称（公章）：</w:t>
      </w:r>
    </w:p>
    <w:p w14:paraId="1C37F2E8">
      <w:pPr>
        <w:spacing w:line="360" w:lineRule="auto"/>
        <w:ind w:right="6" w:firstLine="4830" w:firstLineChars="2300"/>
        <w:rPr>
          <w:rFonts w:ascii="Arial" w:hAnsi="Arial" w:cs="Arial"/>
          <w:color w:val="auto"/>
          <w:highlight w:val="none"/>
        </w:rPr>
      </w:pPr>
      <w:r>
        <w:rPr>
          <w:rFonts w:ascii="Arial" w:hAnsi="Arial" w:cs="Arial"/>
          <w:color w:val="auto"/>
          <w:highlight w:val="none"/>
        </w:rPr>
        <w:t xml:space="preserve">日期：    年   月    日 </w:t>
      </w:r>
    </w:p>
    <w:p w14:paraId="02F49674">
      <w:pPr>
        <w:pStyle w:val="11"/>
        <w:spacing w:line="360" w:lineRule="auto"/>
        <w:rPr>
          <w:rFonts w:ascii="Arial" w:hAnsi="Arial" w:cs="Arial"/>
          <w:color w:val="auto"/>
          <w:highlight w:val="none"/>
          <w:vertAlign w:val="superscript"/>
        </w:rPr>
      </w:pPr>
    </w:p>
    <w:p w14:paraId="6041828C">
      <w:pPr>
        <w:pStyle w:val="11"/>
        <w:spacing w:line="276" w:lineRule="auto"/>
        <w:ind w:left="482" w:hanging="482"/>
        <w:rPr>
          <w:rFonts w:ascii="Arial" w:hAnsi="Arial" w:cs="Arial"/>
          <w:b/>
          <w:color w:val="auto"/>
          <w:szCs w:val="22"/>
          <w:highlight w:val="none"/>
        </w:rPr>
      </w:pPr>
      <w:r>
        <w:rPr>
          <w:rFonts w:ascii="Arial" w:hAnsi="Arial" w:cs="Arial"/>
          <w:b/>
          <w:color w:val="auto"/>
          <w:szCs w:val="22"/>
          <w:highlight w:val="none"/>
        </w:rPr>
        <w:t>注：1、从业人员、营业收入、资产总额填报上一年度数据，无上一年度数据的新成立企业可不填报；</w:t>
      </w:r>
    </w:p>
    <w:p w14:paraId="4F0B017E">
      <w:pPr>
        <w:pStyle w:val="11"/>
        <w:spacing w:line="276" w:lineRule="auto"/>
        <w:ind w:left="0" w:firstLine="482" w:firstLineChars="200"/>
        <w:rPr>
          <w:rFonts w:ascii="Arial" w:hAnsi="Arial" w:cs="Arial"/>
          <w:b/>
          <w:color w:val="auto"/>
          <w:szCs w:val="22"/>
          <w:highlight w:val="none"/>
        </w:rPr>
      </w:pPr>
      <w:r>
        <w:rPr>
          <w:rFonts w:ascii="Arial" w:hAnsi="Arial" w:cs="Arial"/>
          <w:b/>
          <w:color w:val="auto"/>
          <w:szCs w:val="22"/>
          <w:highlight w:val="none"/>
        </w:rPr>
        <w:t>2、中小微型企业划分标准参照国家统计局关于印发《统计上大中小微型企业划分办法（2017）》的通知；</w:t>
      </w:r>
    </w:p>
    <w:p w14:paraId="46BDDE3B">
      <w:pPr>
        <w:tabs>
          <w:tab w:val="left" w:pos="420"/>
        </w:tabs>
        <w:spacing w:line="276" w:lineRule="auto"/>
        <w:ind w:firstLine="422" w:firstLineChars="200"/>
        <w:rPr>
          <w:rFonts w:ascii="Arial" w:hAnsi="Arial" w:cs="Arial"/>
          <w:b/>
          <w:color w:val="auto"/>
          <w:szCs w:val="22"/>
          <w:highlight w:val="none"/>
        </w:rPr>
      </w:pPr>
      <w:r>
        <w:rPr>
          <w:rFonts w:ascii="Arial" w:hAnsi="Arial" w:cs="Arial"/>
          <w:b/>
          <w:color w:val="auto"/>
          <w:szCs w:val="22"/>
          <w:highlight w:val="none"/>
        </w:rPr>
        <w:t>3、供应商提供声明函内容不实的，属于提供虚假材料谋取中标、成交，依照《中华人民共和国政府采购法》等国家有关规定追究相应责任。</w:t>
      </w:r>
    </w:p>
    <w:p w14:paraId="4A394AC3">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AF42D48">
      <w:pPr>
        <w:widowControl/>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（2）残疾人福利性单位声明函</w:t>
      </w:r>
    </w:p>
    <w:bookmarkEnd w:id="60"/>
    <w:bookmarkEnd w:id="61"/>
    <w:p w14:paraId="5DC15C29">
      <w:pPr>
        <w:spacing w:line="588" w:lineRule="exact"/>
        <w:ind w:firstLine="446"/>
        <w:rPr>
          <w:rFonts w:ascii="宋体" w:hAnsi="宋体" w:cs="宋体"/>
          <w:b/>
          <w:color w:val="auto"/>
          <w:spacing w:val="6"/>
          <w:szCs w:val="21"/>
          <w:highlight w:val="none"/>
        </w:rPr>
      </w:pPr>
    </w:p>
    <w:p w14:paraId="58E3C605">
      <w:pPr>
        <w:spacing w:line="360" w:lineRule="auto"/>
        <w:ind w:firstLine="420" w:firstLineChars="200"/>
        <w:rPr>
          <w:rFonts w:ascii="Arial" w:hAnsi="Arial" w:cs="Arial"/>
          <w:color w:val="auto"/>
          <w:highlight w:val="none"/>
        </w:rPr>
      </w:pPr>
      <w:r>
        <w:rPr>
          <w:rFonts w:ascii="Arial" w:hAnsi="Arial" w:cs="Arial"/>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02F53A">
      <w:pPr>
        <w:spacing w:line="360" w:lineRule="auto"/>
        <w:ind w:firstLine="420" w:firstLineChars="200"/>
        <w:rPr>
          <w:rFonts w:ascii="Arial" w:hAnsi="Arial" w:cs="Arial"/>
          <w:color w:val="auto"/>
          <w:highlight w:val="none"/>
        </w:rPr>
      </w:pPr>
      <w:r>
        <w:rPr>
          <w:rFonts w:ascii="Arial" w:hAnsi="Arial" w:cs="Arial"/>
          <w:color w:val="auto"/>
          <w:highlight w:val="none"/>
        </w:rPr>
        <w:t>本单位对上述声明的真实性负责。如有虚假，将依法承担相应责任。</w:t>
      </w:r>
    </w:p>
    <w:p w14:paraId="06CA0E8E">
      <w:pPr>
        <w:spacing w:line="360" w:lineRule="auto"/>
        <w:ind w:firstLine="624" w:firstLineChars="200"/>
        <w:rPr>
          <w:rFonts w:ascii="Arial" w:hAnsi="Arial" w:cs="Arial"/>
          <w:color w:val="auto"/>
          <w:spacing w:val="6"/>
          <w:sz w:val="30"/>
          <w:szCs w:val="30"/>
          <w:highlight w:val="none"/>
        </w:rPr>
      </w:pPr>
    </w:p>
    <w:p w14:paraId="1D44BC77">
      <w:pPr>
        <w:spacing w:line="360" w:lineRule="auto"/>
        <w:ind w:firstLine="624" w:firstLineChars="200"/>
        <w:rPr>
          <w:rFonts w:ascii="Arial" w:hAnsi="Arial" w:cs="Arial"/>
          <w:color w:val="auto"/>
          <w:spacing w:val="6"/>
          <w:sz w:val="30"/>
          <w:szCs w:val="30"/>
          <w:highlight w:val="none"/>
        </w:rPr>
      </w:pPr>
    </w:p>
    <w:p w14:paraId="44105707">
      <w:pPr>
        <w:spacing w:line="360" w:lineRule="auto"/>
        <w:rPr>
          <w:rFonts w:ascii="Arial" w:hAnsi="Arial" w:cs="Arial"/>
          <w:color w:val="auto"/>
          <w:highlight w:val="none"/>
        </w:rPr>
      </w:pPr>
      <w:r>
        <w:rPr>
          <w:rFonts w:ascii="Arial" w:hAnsi="Arial" w:cs="Arial"/>
          <w:color w:val="auto"/>
          <w:spacing w:val="6"/>
          <w:sz w:val="30"/>
          <w:szCs w:val="30"/>
          <w:highlight w:val="none"/>
        </w:rPr>
        <w:t xml:space="preserve">                        </w:t>
      </w:r>
    </w:p>
    <w:p w14:paraId="4879E1D4">
      <w:pPr>
        <w:spacing w:line="360" w:lineRule="auto"/>
        <w:ind w:firstLine="4830" w:firstLineChars="2300"/>
        <w:rPr>
          <w:rFonts w:ascii="Arial" w:hAnsi="Arial" w:cs="Arial"/>
          <w:color w:val="auto"/>
          <w:highlight w:val="none"/>
        </w:rPr>
      </w:pPr>
      <w:r>
        <w:rPr>
          <w:rFonts w:hint="eastAsia" w:ascii="Arial" w:hAnsi="Arial" w:cs="Arial"/>
          <w:color w:val="auto"/>
          <w:highlight w:val="none"/>
        </w:rPr>
        <w:t>单位名称</w:t>
      </w:r>
      <w:r>
        <w:rPr>
          <w:rFonts w:ascii="Arial" w:hAnsi="Arial" w:cs="Arial"/>
          <w:color w:val="auto"/>
          <w:highlight w:val="none"/>
        </w:rPr>
        <w:t>（</w:t>
      </w:r>
      <w:r>
        <w:rPr>
          <w:rFonts w:hint="eastAsia" w:ascii="Arial" w:hAnsi="Arial" w:cs="Arial"/>
          <w:color w:val="auto"/>
          <w:highlight w:val="none"/>
        </w:rPr>
        <w:t>盖章</w:t>
      </w:r>
      <w:r>
        <w:rPr>
          <w:rFonts w:ascii="Arial" w:hAnsi="Arial" w:cs="Arial"/>
          <w:color w:val="auto"/>
          <w:highlight w:val="none"/>
        </w:rPr>
        <w:t>）：</w:t>
      </w:r>
    </w:p>
    <w:p w14:paraId="0717F3F8">
      <w:pPr>
        <w:spacing w:line="360" w:lineRule="auto"/>
        <w:ind w:firstLine="4830" w:firstLineChars="2300"/>
        <w:rPr>
          <w:rFonts w:ascii="Arial" w:hAnsi="Arial" w:cs="Arial"/>
          <w:color w:val="auto"/>
          <w:szCs w:val="21"/>
          <w:highlight w:val="none"/>
        </w:rPr>
      </w:pPr>
      <w:r>
        <w:rPr>
          <w:rFonts w:ascii="Arial" w:hAnsi="Arial" w:cs="Arial"/>
          <w:color w:val="auto"/>
          <w:szCs w:val="22"/>
          <w:highlight w:val="none"/>
        </w:rPr>
        <w:t>日期</w:t>
      </w:r>
      <w:r>
        <w:rPr>
          <w:rFonts w:ascii="Arial" w:hAnsi="Arial" w:cs="Arial"/>
          <w:color w:val="auto"/>
          <w:szCs w:val="21"/>
          <w:highlight w:val="none"/>
        </w:rPr>
        <w:t>：    年   月    日</w:t>
      </w:r>
    </w:p>
    <w:p w14:paraId="18A97C8D">
      <w:pPr>
        <w:spacing w:line="360" w:lineRule="auto"/>
        <w:rPr>
          <w:rFonts w:ascii="Arial" w:hAnsi="Arial" w:cs="Arial"/>
          <w:color w:val="auto"/>
          <w:highlight w:val="none"/>
        </w:rPr>
      </w:pPr>
    </w:p>
    <w:p w14:paraId="64B4259B">
      <w:pPr>
        <w:spacing w:line="360" w:lineRule="auto"/>
        <w:rPr>
          <w:rFonts w:ascii="Arial" w:hAnsi="Arial" w:cs="Arial"/>
          <w:color w:val="auto"/>
          <w:highlight w:val="none"/>
        </w:rPr>
      </w:pPr>
    </w:p>
    <w:p w14:paraId="6E773155">
      <w:pPr>
        <w:spacing w:line="360" w:lineRule="auto"/>
        <w:rPr>
          <w:rFonts w:ascii="Arial" w:hAnsi="Arial" w:cs="Arial"/>
          <w:color w:val="auto"/>
          <w:highlight w:val="none"/>
        </w:rPr>
      </w:pPr>
    </w:p>
    <w:p w14:paraId="3A1DE563">
      <w:pPr>
        <w:numPr>
          <w:ilvl w:val="0"/>
          <w:numId w:val="5"/>
        </w:numPr>
        <w:tabs>
          <w:tab w:val="left" w:pos="420"/>
          <w:tab w:val="clear" w:pos="1244"/>
        </w:tabs>
        <w:spacing w:before="100" w:beforeAutospacing="1" w:after="100" w:afterAutospacing="1" w:line="360" w:lineRule="auto"/>
        <w:ind w:hanging="1244"/>
        <w:rPr>
          <w:rFonts w:ascii="Arial" w:hAnsi="Arial" w:cs="Arial"/>
          <w:b/>
          <w:color w:val="auto"/>
          <w:szCs w:val="21"/>
          <w:highlight w:val="none"/>
        </w:rPr>
      </w:pPr>
      <w:r>
        <w:rPr>
          <w:rFonts w:ascii="Arial" w:hAnsi="Arial" w:cs="Arial"/>
          <w:b/>
          <w:color w:val="auto"/>
          <w:szCs w:val="21"/>
          <w:highlight w:val="none"/>
        </w:rPr>
        <w:t>残疾人福利性单位视同小型、微型企业，享受价格扣除。</w:t>
      </w:r>
    </w:p>
    <w:p w14:paraId="36E8ACD6">
      <w:pPr>
        <w:numPr>
          <w:ilvl w:val="0"/>
          <w:numId w:val="5"/>
        </w:numPr>
        <w:tabs>
          <w:tab w:val="left" w:pos="420"/>
          <w:tab w:val="clear" w:pos="1244"/>
        </w:tabs>
        <w:spacing w:before="100" w:beforeAutospacing="1" w:after="100" w:afterAutospacing="1" w:line="360" w:lineRule="auto"/>
        <w:ind w:hanging="1244"/>
        <w:rPr>
          <w:rFonts w:ascii="Arial" w:hAnsi="Arial" w:cs="Arial"/>
          <w:b/>
          <w:color w:val="auto"/>
          <w:szCs w:val="21"/>
          <w:highlight w:val="none"/>
        </w:rPr>
      </w:pPr>
      <w:r>
        <w:rPr>
          <w:rFonts w:ascii="Arial" w:hAnsi="Arial" w:cs="Arial"/>
          <w:b/>
          <w:color w:val="auto"/>
          <w:szCs w:val="21"/>
          <w:highlight w:val="none"/>
        </w:rPr>
        <w:t>残疾人福利性单位属于小型、微型企业的，不重复享受政策。</w:t>
      </w:r>
    </w:p>
    <w:p w14:paraId="3B0E429B">
      <w:pPr>
        <w:numPr>
          <w:ilvl w:val="0"/>
          <w:numId w:val="5"/>
        </w:numPr>
        <w:tabs>
          <w:tab w:val="left" w:pos="420"/>
          <w:tab w:val="clear" w:pos="1244"/>
        </w:tabs>
        <w:spacing w:before="100" w:beforeAutospacing="1" w:after="100" w:afterAutospacing="1" w:line="360" w:lineRule="auto"/>
        <w:ind w:hanging="1244"/>
        <w:rPr>
          <w:rFonts w:ascii="Arial" w:hAnsi="Arial" w:cs="Arial"/>
          <w:b/>
          <w:color w:val="auto"/>
          <w:szCs w:val="21"/>
          <w:highlight w:val="none"/>
        </w:rPr>
      </w:pPr>
      <w:r>
        <w:rPr>
          <w:rFonts w:ascii="Arial" w:hAnsi="Arial" w:cs="Arial"/>
          <w:b/>
          <w:color w:val="auto"/>
          <w:szCs w:val="21"/>
          <w:highlight w:val="none"/>
        </w:rPr>
        <w:t>如中标供应商声明为残疾人福利性单位，本声明函将随中标结果同时公告，接受社会监督。</w:t>
      </w:r>
    </w:p>
    <w:p w14:paraId="3EB788A6">
      <w:pPr>
        <w:spacing w:line="360" w:lineRule="auto"/>
        <w:jc w:val="center"/>
        <w:rPr>
          <w:rFonts w:ascii="宋体" w:hAnsi="宋体"/>
          <w:b/>
          <w:bCs/>
          <w:color w:val="auto"/>
          <w:sz w:val="28"/>
          <w:szCs w:val="28"/>
          <w:highlight w:val="none"/>
        </w:rPr>
      </w:pPr>
    </w:p>
    <w:p w14:paraId="6BC49FBE">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C6731D8">
      <w:pPr>
        <w:widowControl/>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（3）、监狱企业价格扣除证明材料</w:t>
      </w:r>
    </w:p>
    <w:p w14:paraId="6F255E1A">
      <w:pPr>
        <w:shd w:val="clear" w:color="auto" w:fill="FFFFFF"/>
        <w:snapToGrid w:val="0"/>
        <w:spacing w:line="360" w:lineRule="auto"/>
        <w:ind w:firstLine="440" w:firstLineChars="200"/>
        <w:rPr>
          <w:rFonts w:ascii="宋体" w:hAnsi="宋体"/>
          <w:color w:val="auto"/>
          <w:sz w:val="22"/>
          <w:szCs w:val="22"/>
          <w:highlight w:val="none"/>
        </w:rPr>
      </w:pPr>
    </w:p>
    <w:p w14:paraId="719E7880">
      <w:pPr>
        <w:shd w:val="clear" w:color="auto" w:fill="FFFFFF"/>
        <w:snapToGrid w:val="0"/>
        <w:spacing w:line="360" w:lineRule="auto"/>
        <w:ind w:firstLine="440" w:firstLineChars="200"/>
        <w:rPr>
          <w:rFonts w:ascii="宋体" w:hAnsi="宋体"/>
          <w:color w:val="auto"/>
          <w:sz w:val="22"/>
          <w:szCs w:val="22"/>
          <w:highlight w:val="none"/>
        </w:rPr>
      </w:pPr>
      <w:r>
        <w:rPr>
          <w:rFonts w:ascii="宋体" w:hAnsi="宋体"/>
          <w:color w:val="auto"/>
          <w:sz w:val="22"/>
          <w:szCs w:val="22"/>
          <w:highlight w:val="none"/>
        </w:rPr>
        <w:t>监狱企业参加政府采购活动时，应当提供由省级以上监狱管理局、戒毒管理局(含新疆生产建设兵团)出具的属于监狱企业的证明文件</w:t>
      </w:r>
      <w:bookmarkStart w:id="62" w:name="_Hlk507410124"/>
      <w:r>
        <w:rPr>
          <w:rFonts w:hint="eastAsia" w:ascii="宋体" w:hAnsi="宋体"/>
          <w:b/>
          <w:color w:val="auto"/>
          <w:sz w:val="22"/>
          <w:szCs w:val="22"/>
          <w:highlight w:val="none"/>
        </w:rPr>
        <w:t>（</w:t>
      </w:r>
      <w:bookmarkEnd w:id="62"/>
      <w:r>
        <w:rPr>
          <w:rFonts w:hint="eastAsia" w:ascii="宋体" w:hAnsi="宋体" w:cs="宋体"/>
          <w:b/>
          <w:bCs/>
          <w:color w:val="auto"/>
          <w:szCs w:val="21"/>
          <w:highlight w:val="none"/>
        </w:rPr>
        <w:t>扫描件上传后进行电子签章</w:t>
      </w:r>
      <w:r>
        <w:rPr>
          <w:rFonts w:hint="eastAsia" w:ascii="宋体" w:hAnsi="宋体"/>
          <w:b/>
          <w:color w:val="auto"/>
          <w:sz w:val="22"/>
          <w:szCs w:val="22"/>
          <w:highlight w:val="none"/>
        </w:rPr>
        <w:t>）</w:t>
      </w:r>
      <w:r>
        <w:rPr>
          <w:rFonts w:ascii="宋体" w:hAnsi="宋体"/>
          <w:color w:val="auto"/>
          <w:sz w:val="22"/>
          <w:szCs w:val="22"/>
          <w:highlight w:val="none"/>
        </w:rPr>
        <w:t>。</w:t>
      </w:r>
    </w:p>
    <w:p w14:paraId="5ABF0107">
      <w:pPr>
        <w:pStyle w:val="6"/>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br w:type="page"/>
      </w:r>
      <w:r>
        <w:rPr>
          <w:rFonts w:hint="eastAsia" w:ascii="新宋体" w:hAnsi="新宋体" w:eastAsia="新宋体"/>
          <w:color w:val="auto"/>
          <w:sz w:val="22"/>
          <w:szCs w:val="22"/>
          <w:highlight w:val="none"/>
        </w:rPr>
        <w:t xml:space="preserve">附件五  </w:t>
      </w:r>
      <w:bookmarkEnd w:id="54"/>
      <w:bookmarkEnd w:id="55"/>
      <w:bookmarkEnd w:id="56"/>
      <w:bookmarkEnd w:id="57"/>
      <w:bookmarkEnd w:id="58"/>
      <w:r>
        <w:rPr>
          <w:rFonts w:hint="eastAsia" w:ascii="新宋体" w:hAnsi="新宋体" w:eastAsia="新宋体"/>
          <w:color w:val="auto"/>
          <w:sz w:val="22"/>
          <w:szCs w:val="22"/>
          <w:highlight w:val="none"/>
        </w:rPr>
        <w:t>技术偏离表、商务偏离表</w:t>
      </w:r>
    </w:p>
    <w:bookmarkEnd w:id="59"/>
    <w:p w14:paraId="18F55851">
      <w:pPr>
        <w:spacing w:line="460" w:lineRule="exact"/>
        <w:jc w:val="center"/>
        <w:rPr>
          <w:rFonts w:ascii="宋体" w:hAnsi="宋体"/>
          <w:b/>
          <w:bCs/>
          <w:color w:val="auto"/>
          <w:sz w:val="28"/>
          <w:szCs w:val="28"/>
          <w:highlight w:val="none"/>
        </w:rPr>
      </w:pPr>
      <w:bookmarkStart w:id="63" w:name="_Toc35189578"/>
      <w:bookmarkStart w:id="64" w:name="_Toc35974576"/>
      <w:bookmarkStart w:id="65" w:name="_Toc63412064"/>
      <w:r>
        <w:rPr>
          <w:rFonts w:hint="eastAsia" w:ascii="宋体" w:hAnsi="宋体"/>
          <w:b/>
          <w:bCs/>
          <w:color w:val="auto"/>
          <w:sz w:val="28"/>
          <w:szCs w:val="28"/>
          <w:highlight w:val="none"/>
        </w:rPr>
        <w:t xml:space="preserve"> (1)技术偏离表</w:t>
      </w:r>
    </w:p>
    <w:p w14:paraId="50FE3EF1">
      <w:pPr>
        <w:ind w:firstLine="435"/>
        <w:jc w:val="center"/>
        <w:rPr>
          <w:rFonts w:ascii="宋体" w:hAnsi="宋体"/>
          <w:b/>
          <w:color w:val="auto"/>
          <w:sz w:val="44"/>
          <w:highlight w:val="none"/>
        </w:rPr>
      </w:pPr>
    </w:p>
    <w:p w14:paraId="1D0A40FB">
      <w:pPr>
        <w:ind w:firstLine="330" w:firstLineChars="150"/>
        <w:rPr>
          <w:rFonts w:ascii="宋体" w:hAnsi="宋体"/>
          <w:b/>
          <w:color w:val="auto"/>
          <w:sz w:val="24"/>
          <w:highlight w:val="none"/>
        </w:rPr>
      </w:pPr>
      <w:r>
        <w:rPr>
          <w:rFonts w:hint="eastAsia" w:ascii="新宋体" w:hAnsi="新宋体" w:eastAsia="新宋体"/>
          <w:color w:val="auto"/>
          <w:sz w:val="22"/>
          <w:szCs w:val="22"/>
          <w:highlight w:val="none"/>
        </w:rPr>
        <w:t>项目名称：                                      项目编号：</w:t>
      </w:r>
    </w:p>
    <w:tbl>
      <w:tblPr>
        <w:tblStyle w:val="2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1B253A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50ECA91D">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538" w:type="dxa"/>
            <w:vAlign w:val="center"/>
          </w:tcPr>
          <w:p w14:paraId="7ED71D4A">
            <w:pPr>
              <w:jc w:val="center"/>
              <w:rPr>
                <w:rFonts w:ascii="宋体" w:hAnsi="宋体"/>
                <w:color w:val="auto"/>
                <w:sz w:val="22"/>
                <w:szCs w:val="22"/>
                <w:highlight w:val="none"/>
              </w:rPr>
            </w:pPr>
            <w:r>
              <w:rPr>
                <w:rFonts w:hint="eastAsia" w:ascii="宋体" w:hAnsi="宋体"/>
                <w:color w:val="auto"/>
                <w:sz w:val="22"/>
                <w:szCs w:val="22"/>
                <w:highlight w:val="none"/>
              </w:rPr>
              <w:t>采购文件技术要求</w:t>
            </w:r>
          </w:p>
        </w:tc>
        <w:tc>
          <w:tcPr>
            <w:tcW w:w="2326" w:type="dxa"/>
            <w:vAlign w:val="center"/>
          </w:tcPr>
          <w:p w14:paraId="23EB5D2F">
            <w:pPr>
              <w:jc w:val="center"/>
              <w:rPr>
                <w:rFonts w:ascii="宋体" w:hAnsi="宋体"/>
                <w:color w:val="auto"/>
                <w:sz w:val="22"/>
                <w:szCs w:val="22"/>
                <w:highlight w:val="none"/>
              </w:rPr>
            </w:pPr>
            <w:r>
              <w:rPr>
                <w:rFonts w:hint="eastAsia" w:ascii="宋体" w:hAnsi="宋体"/>
                <w:color w:val="auto"/>
                <w:sz w:val="22"/>
                <w:szCs w:val="22"/>
                <w:highlight w:val="none"/>
              </w:rPr>
              <w:t>投标人技术响应</w:t>
            </w:r>
          </w:p>
        </w:tc>
        <w:tc>
          <w:tcPr>
            <w:tcW w:w="2115" w:type="dxa"/>
            <w:vAlign w:val="center"/>
          </w:tcPr>
          <w:p w14:paraId="59BA4A56">
            <w:pPr>
              <w:jc w:val="center"/>
              <w:rPr>
                <w:rFonts w:ascii="宋体" w:hAnsi="宋体"/>
                <w:color w:val="auto"/>
                <w:sz w:val="22"/>
                <w:szCs w:val="22"/>
                <w:highlight w:val="none"/>
              </w:rPr>
            </w:pPr>
            <w:r>
              <w:rPr>
                <w:rFonts w:hint="eastAsia" w:ascii="宋体" w:hAnsi="宋体"/>
                <w:color w:val="auto"/>
                <w:sz w:val="22"/>
                <w:szCs w:val="22"/>
                <w:highlight w:val="none"/>
              </w:rPr>
              <w:t>偏离</w:t>
            </w:r>
          </w:p>
        </w:tc>
        <w:tc>
          <w:tcPr>
            <w:tcW w:w="1902" w:type="dxa"/>
            <w:vAlign w:val="center"/>
          </w:tcPr>
          <w:p w14:paraId="5E528EC6">
            <w:pPr>
              <w:jc w:val="center"/>
              <w:rPr>
                <w:rFonts w:ascii="宋体" w:hAnsi="宋体"/>
                <w:color w:val="auto"/>
                <w:sz w:val="22"/>
                <w:szCs w:val="22"/>
                <w:highlight w:val="none"/>
              </w:rPr>
            </w:pPr>
            <w:r>
              <w:rPr>
                <w:rFonts w:hint="eastAsia" w:ascii="宋体" w:hAnsi="宋体"/>
                <w:color w:val="auto"/>
                <w:sz w:val="22"/>
                <w:szCs w:val="22"/>
                <w:highlight w:val="none"/>
              </w:rPr>
              <w:t>说  明</w:t>
            </w:r>
          </w:p>
        </w:tc>
      </w:tr>
      <w:tr w14:paraId="71A5D5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36376511">
            <w:pPr>
              <w:jc w:val="center"/>
              <w:rPr>
                <w:rFonts w:ascii="宋体" w:hAnsi="宋体"/>
                <w:color w:val="auto"/>
                <w:sz w:val="22"/>
                <w:szCs w:val="22"/>
                <w:highlight w:val="none"/>
              </w:rPr>
            </w:pPr>
          </w:p>
        </w:tc>
        <w:tc>
          <w:tcPr>
            <w:tcW w:w="2538" w:type="dxa"/>
            <w:vAlign w:val="center"/>
          </w:tcPr>
          <w:p w14:paraId="21A54025">
            <w:pPr>
              <w:jc w:val="center"/>
              <w:rPr>
                <w:rFonts w:ascii="宋体" w:hAnsi="宋体"/>
                <w:color w:val="auto"/>
                <w:sz w:val="22"/>
                <w:szCs w:val="22"/>
                <w:highlight w:val="none"/>
              </w:rPr>
            </w:pPr>
          </w:p>
        </w:tc>
        <w:tc>
          <w:tcPr>
            <w:tcW w:w="2326" w:type="dxa"/>
            <w:vAlign w:val="center"/>
          </w:tcPr>
          <w:p w14:paraId="15DD31E2">
            <w:pPr>
              <w:jc w:val="center"/>
              <w:rPr>
                <w:rFonts w:ascii="宋体" w:hAnsi="宋体"/>
                <w:color w:val="auto"/>
                <w:sz w:val="22"/>
                <w:szCs w:val="22"/>
                <w:highlight w:val="none"/>
              </w:rPr>
            </w:pPr>
          </w:p>
        </w:tc>
        <w:tc>
          <w:tcPr>
            <w:tcW w:w="2115" w:type="dxa"/>
            <w:vAlign w:val="center"/>
          </w:tcPr>
          <w:p w14:paraId="67116809">
            <w:pPr>
              <w:jc w:val="center"/>
              <w:rPr>
                <w:rFonts w:ascii="宋体" w:hAnsi="宋体"/>
                <w:color w:val="auto"/>
                <w:sz w:val="22"/>
                <w:szCs w:val="22"/>
                <w:highlight w:val="none"/>
              </w:rPr>
            </w:pPr>
          </w:p>
        </w:tc>
        <w:tc>
          <w:tcPr>
            <w:tcW w:w="1902" w:type="dxa"/>
            <w:vAlign w:val="center"/>
          </w:tcPr>
          <w:p w14:paraId="3B600347">
            <w:pPr>
              <w:jc w:val="center"/>
              <w:rPr>
                <w:rFonts w:ascii="宋体" w:hAnsi="宋体"/>
                <w:color w:val="auto"/>
                <w:sz w:val="22"/>
                <w:szCs w:val="22"/>
                <w:highlight w:val="none"/>
              </w:rPr>
            </w:pPr>
          </w:p>
        </w:tc>
      </w:tr>
      <w:tr w14:paraId="74F357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14CEE77">
            <w:pPr>
              <w:jc w:val="center"/>
              <w:rPr>
                <w:rFonts w:ascii="宋体" w:hAnsi="宋体"/>
                <w:color w:val="auto"/>
                <w:sz w:val="22"/>
                <w:szCs w:val="22"/>
                <w:highlight w:val="none"/>
              </w:rPr>
            </w:pPr>
          </w:p>
        </w:tc>
        <w:tc>
          <w:tcPr>
            <w:tcW w:w="2538" w:type="dxa"/>
            <w:vAlign w:val="center"/>
          </w:tcPr>
          <w:p w14:paraId="6F860BDD">
            <w:pPr>
              <w:jc w:val="center"/>
              <w:rPr>
                <w:rFonts w:ascii="宋体" w:hAnsi="宋体"/>
                <w:color w:val="auto"/>
                <w:sz w:val="22"/>
                <w:szCs w:val="22"/>
                <w:highlight w:val="none"/>
              </w:rPr>
            </w:pPr>
          </w:p>
        </w:tc>
        <w:tc>
          <w:tcPr>
            <w:tcW w:w="2326" w:type="dxa"/>
            <w:vAlign w:val="center"/>
          </w:tcPr>
          <w:p w14:paraId="567A7BC1">
            <w:pPr>
              <w:jc w:val="center"/>
              <w:rPr>
                <w:rFonts w:ascii="宋体" w:hAnsi="宋体"/>
                <w:color w:val="auto"/>
                <w:sz w:val="22"/>
                <w:szCs w:val="22"/>
                <w:highlight w:val="none"/>
              </w:rPr>
            </w:pPr>
          </w:p>
        </w:tc>
        <w:tc>
          <w:tcPr>
            <w:tcW w:w="2115" w:type="dxa"/>
            <w:vAlign w:val="center"/>
          </w:tcPr>
          <w:p w14:paraId="6D4B5AE9">
            <w:pPr>
              <w:jc w:val="center"/>
              <w:rPr>
                <w:rFonts w:ascii="宋体" w:hAnsi="宋体"/>
                <w:color w:val="auto"/>
                <w:sz w:val="22"/>
                <w:szCs w:val="22"/>
                <w:highlight w:val="none"/>
              </w:rPr>
            </w:pPr>
          </w:p>
        </w:tc>
        <w:tc>
          <w:tcPr>
            <w:tcW w:w="1902" w:type="dxa"/>
            <w:vAlign w:val="center"/>
          </w:tcPr>
          <w:p w14:paraId="1547179D">
            <w:pPr>
              <w:jc w:val="center"/>
              <w:rPr>
                <w:rFonts w:ascii="宋体" w:hAnsi="宋体"/>
                <w:color w:val="auto"/>
                <w:sz w:val="22"/>
                <w:szCs w:val="22"/>
                <w:highlight w:val="none"/>
              </w:rPr>
            </w:pPr>
          </w:p>
        </w:tc>
      </w:tr>
      <w:tr w14:paraId="2F0DF5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2B40BBB">
            <w:pPr>
              <w:jc w:val="center"/>
              <w:rPr>
                <w:rFonts w:ascii="宋体" w:hAnsi="宋体"/>
                <w:color w:val="auto"/>
                <w:sz w:val="22"/>
                <w:szCs w:val="22"/>
                <w:highlight w:val="none"/>
              </w:rPr>
            </w:pPr>
          </w:p>
        </w:tc>
        <w:tc>
          <w:tcPr>
            <w:tcW w:w="2538" w:type="dxa"/>
            <w:vAlign w:val="center"/>
          </w:tcPr>
          <w:p w14:paraId="73515618">
            <w:pPr>
              <w:jc w:val="center"/>
              <w:rPr>
                <w:rFonts w:ascii="宋体" w:hAnsi="宋体"/>
                <w:color w:val="auto"/>
                <w:sz w:val="22"/>
                <w:szCs w:val="22"/>
                <w:highlight w:val="none"/>
              </w:rPr>
            </w:pPr>
          </w:p>
        </w:tc>
        <w:tc>
          <w:tcPr>
            <w:tcW w:w="2326" w:type="dxa"/>
            <w:vAlign w:val="center"/>
          </w:tcPr>
          <w:p w14:paraId="36AC6897">
            <w:pPr>
              <w:jc w:val="center"/>
              <w:rPr>
                <w:rFonts w:ascii="宋体" w:hAnsi="宋体"/>
                <w:color w:val="auto"/>
                <w:sz w:val="22"/>
                <w:szCs w:val="22"/>
                <w:highlight w:val="none"/>
              </w:rPr>
            </w:pPr>
          </w:p>
        </w:tc>
        <w:tc>
          <w:tcPr>
            <w:tcW w:w="2115" w:type="dxa"/>
            <w:vAlign w:val="center"/>
          </w:tcPr>
          <w:p w14:paraId="50645C40">
            <w:pPr>
              <w:jc w:val="center"/>
              <w:rPr>
                <w:rFonts w:ascii="宋体" w:hAnsi="宋体"/>
                <w:color w:val="auto"/>
                <w:sz w:val="22"/>
                <w:szCs w:val="22"/>
                <w:highlight w:val="none"/>
              </w:rPr>
            </w:pPr>
          </w:p>
        </w:tc>
        <w:tc>
          <w:tcPr>
            <w:tcW w:w="1902" w:type="dxa"/>
            <w:vAlign w:val="center"/>
          </w:tcPr>
          <w:p w14:paraId="68F955F0">
            <w:pPr>
              <w:jc w:val="center"/>
              <w:rPr>
                <w:rFonts w:ascii="宋体" w:hAnsi="宋体"/>
                <w:color w:val="auto"/>
                <w:sz w:val="22"/>
                <w:szCs w:val="22"/>
                <w:highlight w:val="none"/>
              </w:rPr>
            </w:pPr>
          </w:p>
        </w:tc>
      </w:tr>
      <w:tr w14:paraId="4ABCFA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157DAF80">
            <w:pPr>
              <w:jc w:val="center"/>
              <w:rPr>
                <w:rFonts w:ascii="宋体" w:hAnsi="宋体"/>
                <w:color w:val="auto"/>
                <w:sz w:val="22"/>
                <w:szCs w:val="22"/>
                <w:highlight w:val="none"/>
              </w:rPr>
            </w:pPr>
          </w:p>
        </w:tc>
        <w:tc>
          <w:tcPr>
            <w:tcW w:w="2538" w:type="dxa"/>
            <w:vAlign w:val="center"/>
          </w:tcPr>
          <w:p w14:paraId="196EDB44">
            <w:pPr>
              <w:jc w:val="center"/>
              <w:rPr>
                <w:rFonts w:ascii="宋体" w:hAnsi="宋体"/>
                <w:color w:val="auto"/>
                <w:sz w:val="22"/>
                <w:szCs w:val="22"/>
                <w:highlight w:val="none"/>
              </w:rPr>
            </w:pPr>
          </w:p>
        </w:tc>
        <w:tc>
          <w:tcPr>
            <w:tcW w:w="2326" w:type="dxa"/>
            <w:vAlign w:val="center"/>
          </w:tcPr>
          <w:p w14:paraId="12B8FD3A">
            <w:pPr>
              <w:jc w:val="center"/>
              <w:rPr>
                <w:rFonts w:ascii="宋体" w:hAnsi="宋体"/>
                <w:color w:val="auto"/>
                <w:sz w:val="22"/>
                <w:szCs w:val="22"/>
                <w:highlight w:val="none"/>
              </w:rPr>
            </w:pPr>
          </w:p>
        </w:tc>
        <w:tc>
          <w:tcPr>
            <w:tcW w:w="2115" w:type="dxa"/>
            <w:vAlign w:val="center"/>
          </w:tcPr>
          <w:p w14:paraId="73BD8016">
            <w:pPr>
              <w:jc w:val="center"/>
              <w:rPr>
                <w:rFonts w:ascii="宋体" w:hAnsi="宋体"/>
                <w:color w:val="auto"/>
                <w:sz w:val="22"/>
                <w:szCs w:val="22"/>
                <w:highlight w:val="none"/>
              </w:rPr>
            </w:pPr>
          </w:p>
        </w:tc>
        <w:tc>
          <w:tcPr>
            <w:tcW w:w="1902" w:type="dxa"/>
            <w:vAlign w:val="center"/>
          </w:tcPr>
          <w:p w14:paraId="10DBE56E">
            <w:pPr>
              <w:jc w:val="center"/>
              <w:rPr>
                <w:rFonts w:ascii="宋体" w:hAnsi="宋体"/>
                <w:color w:val="auto"/>
                <w:sz w:val="22"/>
                <w:szCs w:val="22"/>
                <w:highlight w:val="none"/>
              </w:rPr>
            </w:pPr>
          </w:p>
        </w:tc>
      </w:tr>
      <w:tr w14:paraId="665877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2FE1844">
            <w:pPr>
              <w:jc w:val="center"/>
              <w:rPr>
                <w:rFonts w:ascii="宋体" w:hAnsi="宋体"/>
                <w:color w:val="auto"/>
                <w:sz w:val="22"/>
                <w:szCs w:val="22"/>
                <w:highlight w:val="none"/>
              </w:rPr>
            </w:pPr>
          </w:p>
        </w:tc>
        <w:tc>
          <w:tcPr>
            <w:tcW w:w="2538" w:type="dxa"/>
            <w:vAlign w:val="center"/>
          </w:tcPr>
          <w:p w14:paraId="3434494B">
            <w:pPr>
              <w:jc w:val="center"/>
              <w:rPr>
                <w:rFonts w:ascii="宋体" w:hAnsi="宋体"/>
                <w:color w:val="auto"/>
                <w:sz w:val="22"/>
                <w:szCs w:val="22"/>
                <w:highlight w:val="none"/>
              </w:rPr>
            </w:pPr>
          </w:p>
        </w:tc>
        <w:tc>
          <w:tcPr>
            <w:tcW w:w="2326" w:type="dxa"/>
            <w:vAlign w:val="center"/>
          </w:tcPr>
          <w:p w14:paraId="1D5D5D13">
            <w:pPr>
              <w:jc w:val="center"/>
              <w:rPr>
                <w:rFonts w:ascii="宋体" w:hAnsi="宋体"/>
                <w:color w:val="auto"/>
                <w:sz w:val="22"/>
                <w:szCs w:val="22"/>
                <w:highlight w:val="none"/>
              </w:rPr>
            </w:pPr>
          </w:p>
        </w:tc>
        <w:tc>
          <w:tcPr>
            <w:tcW w:w="2115" w:type="dxa"/>
            <w:vAlign w:val="center"/>
          </w:tcPr>
          <w:p w14:paraId="6DDA912F">
            <w:pPr>
              <w:jc w:val="center"/>
              <w:rPr>
                <w:rFonts w:ascii="宋体" w:hAnsi="宋体"/>
                <w:color w:val="auto"/>
                <w:sz w:val="22"/>
                <w:szCs w:val="22"/>
                <w:highlight w:val="none"/>
              </w:rPr>
            </w:pPr>
          </w:p>
        </w:tc>
        <w:tc>
          <w:tcPr>
            <w:tcW w:w="1902" w:type="dxa"/>
            <w:vAlign w:val="center"/>
          </w:tcPr>
          <w:p w14:paraId="358841A5">
            <w:pPr>
              <w:jc w:val="center"/>
              <w:rPr>
                <w:rFonts w:ascii="宋体" w:hAnsi="宋体"/>
                <w:color w:val="auto"/>
                <w:sz w:val="22"/>
                <w:szCs w:val="22"/>
                <w:highlight w:val="none"/>
              </w:rPr>
            </w:pPr>
          </w:p>
        </w:tc>
      </w:tr>
    </w:tbl>
    <w:p w14:paraId="14550147">
      <w:pPr>
        <w:spacing w:line="500" w:lineRule="exact"/>
        <w:rPr>
          <w:rFonts w:ascii="宋体" w:hAnsi="宋体"/>
          <w:color w:val="auto"/>
          <w:sz w:val="22"/>
          <w:szCs w:val="22"/>
          <w:highlight w:val="none"/>
        </w:rPr>
      </w:pPr>
      <w:r>
        <w:rPr>
          <w:rFonts w:hint="eastAsia" w:ascii="宋体" w:hAnsi="宋体"/>
          <w:color w:val="auto"/>
          <w:sz w:val="24"/>
          <w:highlight w:val="none"/>
        </w:rPr>
        <w:t>说明：</w:t>
      </w:r>
      <w:r>
        <w:rPr>
          <w:rFonts w:hint="eastAsia" w:ascii="宋体" w:hAnsi="宋体"/>
          <w:color w:val="auto"/>
          <w:sz w:val="22"/>
          <w:szCs w:val="22"/>
          <w:highlight w:val="none"/>
        </w:rPr>
        <w:t>不填写此表视作完全响应采购文件要求。</w:t>
      </w:r>
    </w:p>
    <w:p w14:paraId="69BCB40F">
      <w:pPr>
        <w:spacing w:line="400" w:lineRule="exact"/>
        <w:rPr>
          <w:rFonts w:ascii="宋体" w:hAnsi="宋体"/>
          <w:color w:val="auto"/>
          <w:sz w:val="22"/>
          <w:szCs w:val="22"/>
          <w:highlight w:val="none"/>
        </w:rPr>
      </w:pPr>
    </w:p>
    <w:p w14:paraId="5E9BEBA4">
      <w:pPr>
        <w:spacing w:line="400" w:lineRule="exact"/>
        <w:rPr>
          <w:rFonts w:ascii="宋体" w:hAnsi="宋体"/>
          <w:color w:val="auto"/>
          <w:sz w:val="22"/>
          <w:szCs w:val="22"/>
          <w:highlight w:val="none"/>
        </w:rPr>
      </w:pPr>
    </w:p>
    <w:p w14:paraId="7610EEB8">
      <w:pPr>
        <w:spacing w:line="400" w:lineRule="exact"/>
        <w:rPr>
          <w:rFonts w:ascii="宋体" w:hAnsi="宋体"/>
          <w:color w:val="auto"/>
          <w:sz w:val="22"/>
          <w:szCs w:val="22"/>
          <w:highlight w:val="none"/>
        </w:rPr>
      </w:pPr>
    </w:p>
    <w:p w14:paraId="18C373FB">
      <w:pPr>
        <w:spacing w:line="400" w:lineRule="exact"/>
        <w:rPr>
          <w:rFonts w:ascii="宋体" w:hAnsi="宋体"/>
          <w:color w:val="auto"/>
          <w:sz w:val="22"/>
          <w:szCs w:val="22"/>
          <w:highlight w:val="none"/>
        </w:rPr>
      </w:pPr>
    </w:p>
    <w:p w14:paraId="187AB833">
      <w:pPr>
        <w:spacing w:line="400" w:lineRule="exact"/>
        <w:ind w:firstLine="770" w:firstLineChars="350"/>
        <w:rPr>
          <w:rFonts w:ascii="宋体" w:hAnsi="宋体"/>
          <w:color w:val="auto"/>
          <w:sz w:val="22"/>
          <w:szCs w:val="22"/>
          <w:highlight w:val="none"/>
        </w:rPr>
      </w:pPr>
      <w:r>
        <w:rPr>
          <w:rFonts w:hint="eastAsia" w:ascii="宋体" w:hAnsi="宋体"/>
          <w:color w:val="auto"/>
          <w:sz w:val="22"/>
          <w:szCs w:val="22"/>
          <w:highlight w:val="none"/>
        </w:rPr>
        <w:t>投标人全称（盖章）：</w:t>
      </w:r>
    </w:p>
    <w:p w14:paraId="3A1C9742">
      <w:pPr>
        <w:spacing w:line="400" w:lineRule="exact"/>
        <w:ind w:firstLine="770" w:firstLineChars="350"/>
        <w:rPr>
          <w:rFonts w:ascii="宋体" w:hAnsi="宋体"/>
          <w:color w:val="auto"/>
          <w:sz w:val="22"/>
          <w:szCs w:val="22"/>
          <w:highlight w:val="none"/>
        </w:rPr>
      </w:pPr>
      <w:r>
        <w:rPr>
          <w:rFonts w:hint="eastAsia" w:ascii="宋体" w:hAnsi="宋体"/>
          <w:color w:val="auto"/>
          <w:sz w:val="22"/>
          <w:szCs w:val="22"/>
          <w:highlight w:val="none"/>
        </w:rPr>
        <w:t>投标供应商代表（签字或盖章）：</w:t>
      </w:r>
    </w:p>
    <w:p w14:paraId="49482B3B">
      <w:pPr>
        <w:spacing w:line="400" w:lineRule="exact"/>
        <w:ind w:firstLine="770" w:firstLineChars="350"/>
        <w:rPr>
          <w:rFonts w:ascii="宋体" w:hAnsi="宋体"/>
          <w:color w:val="auto"/>
          <w:sz w:val="22"/>
          <w:szCs w:val="22"/>
          <w:highlight w:val="none"/>
        </w:rPr>
      </w:pPr>
      <w:r>
        <w:rPr>
          <w:rFonts w:hint="eastAsia" w:ascii="宋体" w:hAnsi="宋体"/>
          <w:color w:val="auto"/>
          <w:sz w:val="22"/>
          <w:szCs w:val="22"/>
          <w:highlight w:val="none"/>
        </w:rPr>
        <w:t>日 期：  年  月  日</w:t>
      </w:r>
    </w:p>
    <w:p w14:paraId="3494E141">
      <w:pPr>
        <w:spacing w:line="400" w:lineRule="exact"/>
        <w:rPr>
          <w:rFonts w:ascii="宋体" w:hAnsi="宋体"/>
          <w:color w:val="auto"/>
          <w:sz w:val="22"/>
          <w:szCs w:val="22"/>
          <w:highlight w:val="none"/>
        </w:rPr>
      </w:pPr>
    </w:p>
    <w:p w14:paraId="2B839653">
      <w:pPr>
        <w:spacing w:line="500" w:lineRule="exact"/>
        <w:jc w:val="center"/>
        <w:rPr>
          <w:rFonts w:ascii="宋体" w:hAnsi="宋体"/>
          <w:b/>
          <w:bCs/>
          <w:color w:val="auto"/>
          <w:sz w:val="28"/>
          <w:szCs w:val="28"/>
          <w:highlight w:val="none"/>
        </w:rPr>
      </w:pPr>
      <w:r>
        <w:rPr>
          <w:rFonts w:hint="eastAsia" w:ascii="宋体" w:hAnsi="宋体"/>
          <w:color w:val="auto"/>
          <w:sz w:val="24"/>
          <w:highlight w:val="none"/>
        </w:rPr>
        <w:br w:type="page"/>
      </w:r>
      <w:r>
        <w:rPr>
          <w:rFonts w:hint="eastAsia" w:ascii="宋体" w:hAnsi="宋体"/>
          <w:b/>
          <w:bCs/>
          <w:color w:val="auto"/>
          <w:sz w:val="28"/>
          <w:szCs w:val="28"/>
          <w:highlight w:val="none"/>
        </w:rPr>
        <w:t>(2)商务偏离表</w:t>
      </w:r>
    </w:p>
    <w:p w14:paraId="162FC8B0">
      <w:pPr>
        <w:ind w:firstLine="435"/>
        <w:jc w:val="center"/>
        <w:rPr>
          <w:rFonts w:ascii="宋体" w:hAnsi="宋体"/>
          <w:b/>
          <w:color w:val="auto"/>
          <w:sz w:val="44"/>
          <w:highlight w:val="none"/>
        </w:rPr>
      </w:pPr>
    </w:p>
    <w:p w14:paraId="6F4DFDE9">
      <w:pPr>
        <w:spacing w:line="360" w:lineRule="exact"/>
        <w:rPr>
          <w:rFonts w:ascii="新宋体" w:hAnsi="新宋体" w:eastAsia="新宋体"/>
          <w:color w:val="auto"/>
          <w:szCs w:val="21"/>
          <w:highlight w:val="none"/>
        </w:rPr>
      </w:pPr>
      <w:r>
        <w:rPr>
          <w:rFonts w:hint="eastAsia" w:ascii="宋体" w:hAnsi="宋体"/>
          <w:b/>
          <w:color w:val="auto"/>
          <w:szCs w:val="21"/>
          <w:highlight w:val="none"/>
        </w:rPr>
        <w:t xml:space="preserve"> </w:t>
      </w:r>
      <w:r>
        <w:rPr>
          <w:rFonts w:hint="eastAsia" w:ascii="新宋体" w:hAnsi="新宋体" w:eastAsia="新宋体"/>
          <w:color w:val="auto"/>
          <w:sz w:val="22"/>
          <w:szCs w:val="22"/>
          <w:highlight w:val="none"/>
        </w:rPr>
        <w:t>项目名称：                                     项目编号：</w:t>
      </w:r>
    </w:p>
    <w:p w14:paraId="10AE841B">
      <w:pPr>
        <w:ind w:firstLine="221" w:firstLineChars="100"/>
        <w:rPr>
          <w:rFonts w:ascii="宋体" w:hAnsi="宋体"/>
          <w:b/>
          <w:color w:val="auto"/>
          <w:sz w:val="22"/>
          <w:szCs w:val="22"/>
          <w:highlight w:val="none"/>
        </w:rPr>
      </w:pPr>
    </w:p>
    <w:tbl>
      <w:tblPr>
        <w:tblStyle w:val="2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61D2CD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472ADA06">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559" w:type="dxa"/>
            <w:vAlign w:val="center"/>
          </w:tcPr>
          <w:p w14:paraId="76F524D1">
            <w:pPr>
              <w:jc w:val="center"/>
              <w:rPr>
                <w:rFonts w:ascii="宋体" w:hAnsi="宋体"/>
                <w:color w:val="auto"/>
                <w:sz w:val="22"/>
                <w:szCs w:val="22"/>
                <w:highlight w:val="none"/>
              </w:rPr>
            </w:pPr>
            <w:r>
              <w:rPr>
                <w:rFonts w:hint="eastAsia" w:ascii="宋体" w:hAnsi="宋体"/>
                <w:color w:val="auto"/>
                <w:sz w:val="22"/>
                <w:szCs w:val="22"/>
                <w:highlight w:val="none"/>
              </w:rPr>
              <w:t>条款内容</w:t>
            </w:r>
          </w:p>
        </w:tc>
        <w:tc>
          <w:tcPr>
            <w:tcW w:w="2184" w:type="dxa"/>
            <w:vAlign w:val="center"/>
          </w:tcPr>
          <w:p w14:paraId="6C6274B7">
            <w:pPr>
              <w:jc w:val="center"/>
              <w:rPr>
                <w:rFonts w:ascii="宋体" w:hAnsi="宋体"/>
                <w:color w:val="auto"/>
                <w:sz w:val="22"/>
                <w:szCs w:val="22"/>
                <w:highlight w:val="none"/>
              </w:rPr>
            </w:pPr>
            <w:r>
              <w:rPr>
                <w:rFonts w:hint="eastAsia" w:ascii="宋体" w:hAnsi="宋体"/>
                <w:color w:val="auto"/>
                <w:sz w:val="22"/>
                <w:szCs w:val="22"/>
                <w:highlight w:val="none"/>
              </w:rPr>
              <w:t>采购文件商务条款描述</w:t>
            </w:r>
          </w:p>
        </w:tc>
        <w:tc>
          <w:tcPr>
            <w:tcW w:w="2402" w:type="dxa"/>
            <w:vAlign w:val="center"/>
          </w:tcPr>
          <w:p w14:paraId="2D8489F5">
            <w:pPr>
              <w:jc w:val="center"/>
              <w:rPr>
                <w:rFonts w:ascii="宋体" w:hAnsi="宋体"/>
                <w:color w:val="auto"/>
                <w:sz w:val="22"/>
                <w:szCs w:val="22"/>
                <w:highlight w:val="none"/>
              </w:rPr>
            </w:pPr>
            <w:r>
              <w:rPr>
                <w:rFonts w:hint="eastAsia" w:ascii="宋体" w:hAnsi="宋体"/>
                <w:color w:val="auto"/>
                <w:sz w:val="22"/>
                <w:szCs w:val="22"/>
                <w:highlight w:val="none"/>
              </w:rPr>
              <w:t>投标文件商务条款</w:t>
            </w:r>
          </w:p>
        </w:tc>
        <w:tc>
          <w:tcPr>
            <w:tcW w:w="1200" w:type="dxa"/>
            <w:vAlign w:val="center"/>
          </w:tcPr>
          <w:p w14:paraId="4EBD62EA">
            <w:pPr>
              <w:jc w:val="center"/>
              <w:rPr>
                <w:rFonts w:ascii="宋体" w:hAnsi="宋体"/>
                <w:color w:val="auto"/>
                <w:sz w:val="22"/>
                <w:szCs w:val="22"/>
                <w:highlight w:val="none"/>
              </w:rPr>
            </w:pPr>
            <w:r>
              <w:rPr>
                <w:rFonts w:hint="eastAsia" w:ascii="宋体" w:hAnsi="宋体"/>
                <w:color w:val="auto"/>
                <w:sz w:val="22"/>
                <w:szCs w:val="22"/>
                <w:highlight w:val="none"/>
              </w:rPr>
              <w:t>偏离</w:t>
            </w:r>
          </w:p>
        </w:tc>
        <w:tc>
          <w:tcPr>
            <w:tcW w:w="1588" w:type="dxa"/>
            <w:vAlign w:val="center"/>
          </w:tcPr>
          <w:p w14:paraId="5F4583F3">
            <w:pPr>
              <w:jc w:val="center"/>
              <w:rPr>
                <w:rFonts w:ascii="宋体" w:hAnsi="宋体"/>
                <w:color w:val="auto"/>
                <w:sz w:val="22"/>
                <w:szCs w:val="22"/>
                <w:highlight w:val="none"/>
              </w:rPr>
            </w:pPr>
            <w:r>
              <w:rPr>
                <w:rFonts w:hint="eastAsia" w:ascii="宋体" w:hAnsi="宋体"/>
                <w:color w:val="auto"/>
                <w:sz w:val="22"/>
                <w:szCs w:val="22"/>
                <w:highlight w:val="none"/>
              </w:rPr>
              <w:t>说   明</w:t>
            </w:r>
          </w:p>
        </w:tc>
      </w:tr>
      <w:tr w14:paraId="6A85D6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1AAB8460">
            <w:pPr>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559" w:type="dxa"/>
            <w:vAlign w:val="center"/>
          </w:tcPr>
          <w:p w14:paraId="7A03E9A8">
            <w:pPr>
              <w:jc w:val="center"/>
              <w:rPr>
                <w:rFonts w:ascii="宋体" w:hAnsi="宋体"/>
                <w:color w:val="auto"/>
                <w:sz w:val="22"/>
                <w:szCs w:val="22"/>
                <w:highlight w:val="none"/>
              </w:rPr>
            </w:pPr>
          </w:p>
        </w:tc>
        <w:tc>
          <w:tcPr>
            <w:tcW w:w="2184" w:type="dxa"/>
            <w:vAlign w:val="center"/>
          </w:tcPr>
          <w:p w14:paraId="77F5118A">
            <w:pPr>
              <w:jc w:val="center"/>
              <w:rPr>
                <w:rFonts w:ascii="宋体" w:hAnsi="宋体"/>
                <w:color w:val="auto"/>
                <w:sz w:val="22"/>
                <w:szCs w:val="22"/>
                <w:highlight w:val="none"/>
              </w:rPr>
            </w:pPr>
          </w:p>
        </w:tc>
        <w:tc>
          <w:tcPr>
            <w:tcW w:w="2402" w:type="dxa"/>
            <w:vAlign w:val="center"/>
          </w:tcPr>
          <w:p w14:paraId="305326B9">
            <w:pPr>
              <w:jc w:val="center"/>
              <w:rPr>
                <w:rFonts w:ascii="宋体" w:hAnsi="宋体"/>
                <w:color w:val="auto"/>
                <w:sz w:val="22"/>
                <w:szCs w:val="22"/>
                <w:highlight w:val="none"/>
              </w:rPr>
            </w:pPr>
          </w:p>
        </w:tc>
        <w:tc>
          <w:tcPr>
            <w:tcW w:w="1200" w:type="dxa"/>
            <w:vAlign w:val="center"/>
          </w:tcPr>
          <w:p w14:paraId="4A71B1DB">
            <w:pPr>
              <w:jc w:val="center"/>
              <w:rPr>
                <w:rFonts w:ascii="宋体" w:hAnsi="宋体"/>
                <w:color w:val="auto"/>
                <w:sz w:val="22"/>
                <w:szCs w:val="22"/>
                <w:highlight w:val="none"/>
              </w:rPr>
            </w:pPr>
          </w:p>
        </w:tc>
        <w:tc>
          <w:tcPr>
            <w:tcW w:w="1588" w:type="dxa"/>
            <w:vAlign w:val="center"/>
          </w:tcPr>
          <w:p w14:paraId="715ED9E3">
            <w:pPr>
              <w:jc w:val="center"/>
              <w:rPr>
                <w:rFonts w:ascii="宋体" w:hAnsi="宋体"/>
                <w:color w:val="auto"/>
                <w:sz w:val="22"/>
                <w:szCs w:val="22"/>
                <w:highlight w:val="none"/>
              </w:rPr>
            </w:pPr>
          </w:p>
        </w:tc>
      </w:tr>
      <w:tr w14:paraId="789602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4637E52">
            <w:pPr>
              <w:jc w:val="center"/>
              <w:rPr>
                <w:rFonts w:ascii="宋体" w:hAnsi="宋体"/>
                <w:color w:val="auto"/>
                <w:sz w:val="22"/>
                <w:szCs w:val="22"/>
                <w:highlight w:val="none"/>
              </w:rPr>
            </w:pPr>
            <w:r>
              <w:rPr>
                <w:rFonts w:hint="eastAsia" w:ascii="宋体" w:hAnsi="宋体"/>
                <w:color w:val="auto"/>
                <w:sz w:val="22"/>
                <w:szCs w:val="22"/>
                <w:highlight w:val="none"/>
              </w:rPr>
              <w:t>2</w:t>
            </w:r>
          </w:p>
        </w:tc>
        <w:tc>
          <w:tcPr>
            <w:tcW w:w="1559" w:type="dxa"/>
            <w:vAlign w:val="center"/>
          </w:tcPr>
          <w:p w14:paraId="633363DB">
            <w:pPr>
              <w:jc w:val="center"/>
              <w:rPr>
                <w:rFonts w:ascii="宋体" w:hAnsi="宋体"/>
                <w:color w:val="auto"/>
                <w:sz w:val="22"/>
                <w:szCs w:val="22"/>
                <w:highlight w:val="none"/>
              </w:rPr>
            </w:pPr>
          </w:p>
        </w:tc>
        <w:tc>
          <w:tcPr>
            <w:tcW w:w="2184" w:type="dxa"/>
            <w:vAlign w:val="center"/>
          </w:tcPr>
          <w:p w14:paraId="76715F26">
            <w:pPr>
              <w:jc w:val="center"/>
              <w:rPr>
                <w:rFonts w:ascii="宋体" w:hAnsi="宋体"/>
                <w:color w:val="auto"/>
                <w:sz w:val="22"/>
                <w:szCs w:val="22"/>
                <w:highlight w:val="none"/>
              </w:rPr>
            </w:pPr>
          </w:p>
        </w:tc>
        <w:tc>
          <w:tcPr>
            <w:tcW w:w="2402" w:type="dxa"/>
            <w:vAlign w:val="center"/>
          </w:tcPr>
          <w:p w14:paraId="2CB22BFA">
            <w:pPr>
              <w:jc w:val="center"/>
              <w:rPr>
                <w:rFonts w:ascii="宋体" w:hAnsi="宋体"/>
                <w:color w:val="auto"/>
                <w:sz w:val="22"/>
                <w:szCs w:val="22"/>
                <w:highlight w:val="none"/>
              </w:rPr>
            </w:pPr>
          </w:p>
        </w:tc>
        <w:tc>
          <w:tcPr>
            <w:tcW w:w="1200" w:type="dxa"/>
            <w:vAlign w:val="center"/>
          </w:tcPr>
          <w:p w14:paraId="420C328F">
            <w:pPr>
              <w:jc w:val="center"/>
              <w:rPr>
                <w:rFonts w:ascii="宋体" w:hAnsi="宋体"/>
                <w:color w:val="auto"/>
                <w:sz w:val="22"/>
                <w:szCs w:val="22"/>
                <w:highlight w:val="none"/>
              </w:rPr>
            </w:pPr>
          </w:p>
        </w:tc>
        <w:tc>
          <w:tcPr>
            <w:tcW w:w="1588" w:type="dxa"/>
            <w:vAlign w:val="center"/>
          </w:tcPr>
          <w:p w14:paraId="2F5C8702">
            <w:pPr>
              <w:jc w:val="center"/>
              <w:rPr>
                <w:rFonts w:ascii="宋体" w:hAnsi="宋体"/>
                <w:color w:val="auto"/>
                <w:sz w:val="22"/>
                <w:szCs w:val="22"/>
                <w:highlight w:val="none"/>
              </w:rPr>
            </w:pPr>
          </w:p>
        </w:tc>
      </w:tr>
      <w:tr w14:paraId="26BDE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5D046579">
            <w:pPr>
              <w:jc w:val="center"/>
              <w:rPr>
                <w:rFonts w:ascii="宋体" w:hAnsi="宋体"/>
                <w:color w:val="auto"/>
                <w:sz w:val="22"/>
                <w:szCs w:val="22"/>
                <w:highlight w:val="none"/>
              </w:rPr>
            </w:pPr>
            <w:r>
              <w:rPr>
                <w:rFonts w:hint="eastAsia" w:ascii="宋体" w:hAnsi="宋体"/>
                <w:color w:val="auto"/>
                <w:sz w:val="22"/>
                <w:szCs w:val="22"/>
                <w:highlight w:val="none"/>
              </w:rPr>
              <w:t>3</w:t>
            </w:r>
          </w:p>
        </w:tc>
        <w:tc>
          <w:tcPr>
            <w:tcW w:w="1559" w:type="dxa"/>
            <w:vAlign w:val="center"/>
          </w:tcPr>
          <w:p w14:paraId="4365EBCD">
            <w:pPr>
              <w:jc w:val="center"/>
              <w:rPr>
                <w:rFonts w:ascii="宋体" w:hAnsi="宋体"/>
                <w:color w:val="auto"/>
                <w:sz w:val="22"/>
                <w:szCs w:val="22"/>
                <w:highlight w:val="none"/>
              </w:rPr>
            </w:pPr>
          </w:p>
        </w:tc>
        <w:tc>
          <w:tcPr>
            <w:tcW w:w="2184" w:type="dxa"/>
            <w:vAlign w:val="center"/>
          </w:tcPr>
          <w:p w14:paraId="4FE4764F">
            <w:pPr>
              <w:jc w:val="center"/>
              <w:rPr>
                <w:rFonts w:ascii="宋体" w:hAnsi="宋体"/>
                <w:color w:val="auto"/>
                <w:sz w:val="22"/>
                <w:szCs w:val="22"/>
                <w:highlight w:val="none"/>
              </w:rPr>
            </w:pPr>
          </w:p>
        </w:tc>
        <w:tc>
          <w:tcPr>
            <w:tcW w:w="2402" w:type="dxa"/>
            <w:vAlign w:val="center"/>
          </w:tcPr>
          <w:p w14:paraId="1208402D">
            <w:pPr>
              <w:jc w:val="center"/>
              <w:rPr>
                <w:rFonts w:ascii="宋体" w:hAnsi="宋体"/>
                <w:color w:val="auto"/>
                <w:sz w:val="22"/>
                <w:szCs w:val="22"/>
                <w:highlight w:val="none"/>
              </w:rPr>
            </w:pPr>
          </w:p>
        </w:tc>
        <w:tc>
          <w:tcPr>
            <w:tcW w:w="1200" w:type="dxa"/>
            <w:vAlign w:val="center"/>
          </w:tcPr>
          <w:p w14:paraId="50A555DE">
            <w:pPr>
              <w:jc w:val="center"/>
              <w:rPr>
                <w:rFonts w:ascii="宋体" w:hAnsi="宋体"/>
                <w:color w:val="auto"/>
                <w:sz w:val="22"/>
                <w:szCs w:val="22"/>
                <w:highlight w:val="none"/>
              </w:rPr>
            </w:pPr>
          </w:p>
        </w:tc>
        <w:tc>
          <w:tcPr>
            <w:tcW w:w="1588" w:type="dxa"/>
            <w:vAlign w:val="center"/>
          </w:tcPr>
          <w:p w14:paraId="46473904">
            <w:pPr>
              <w:jc w:val="center"/>
              <w:rPr>
                <w:rFonts w:ascii="宋体" w:hAnsi="宋体"/>
                <w:color w:val="auto"/>
                <w:sz w:val="22"/>
                <w:szCs w:val="22"/>
                <w:highlight w:val="none"/>
              </w:rPr>
            </w:pPr>
          </w:p>
        </w:tc>
      </w:tr>
      <w:tr w14:paraId="243550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0D49EC1">
            <w:pPr>
              <w:jc w:val="center"/>
              <w:rPr>
                <w:rFonts w:ascii="宋体" w:hAnsi="宋体"/>
                <w:color w:val="auto"/>
                <w:sz w:val="22"/>
                <w:szCs w:val="22"/>
                <w:highlight w:val="none"/>
              </w:rPr>
            </w:pPr>
            <w:r>
              <w:rPr>
                <w:rFonts w:hint="eastAsia" w:ascii="宋体" w:hAnsi="宋体"/>
                <w:color w:val="auto"/>
                <w:sz w:val="22"/>
                <w:szCs w:val="22"/>
                <w:highlight w:val="none"/>
              </w:rPr>
              <w:t>4</w:t>
            </w:r>
          </w:p>
        </w:tc>
        <w:tc>
          <w:tcPr>
            <w:tcW w:w="1559" w:type="dxa"/>
            <w:vAlign w:val="center"/>
          </w:tcPr>
          <w:p w14:paraId="0943B1A2">
            <w:pPr>
              <w:jc w:val="center"/>
              <w:rPr>
                <w:rFonts w:ascii="宋体" w:hAnsi="宋体"/>
                <w:color w:val="auto"/>
                <w:sz w:val="22"/>
                <w:szCs w:val="22"/>
                <w:highlight w:val="none"/>
              </w:rPr>
            </w:pPr>
          </w:p>
        </w:tc>
        <w:tc>
          <w:tcPr>
            <w:tcW w:w="2184" w:type="dxa"/>
            <w:vAlign w:val="center"/>
          </w:tcPr>
          <w:p w14:paraId="10429590">
            <w:pPr>
              <w:jc w:val="center"/>
              <w:rPr>
                <w:rFonts w:ascii="宋体" w:hAnsi="宋体"/>
                <w:color w:val="auto"/>
                <w:sz w:val="22"/>
                <w:szCs w:val="22"/>
                <w:highlight w:val="none"/>
              </w:rPr>
            </w:pPr>
          </w:p>
        </w:tc>
        <w:tc>
          <w:tcPr>
            <w:tcW w:w="2402" w:type="dxa"/>
            <w:vAlign w:val="center"/>
          </w:tcPr>
          <w:p w14:paraId="26E586D3">
            <w:pPr>
              <w:jc w:val="center"/>
              <w:rPr>
                <w:rFonts w:ascii="宋体" w:hAnsi="宋体"/>
                <w:color w:val="auto"/>
                <w:sz w:val="22"/>
                <w:szCs w:val="22"/>
                <w:highlight w:val="none"/>
              </w:rPr>
            </w:pPr>
          </w:p>
        </w:tc>
        <w:tc>
          <w:tcPr>
            <w:tcW w:w="1200" w:type="dxa"/>
            <w:vAlign w:val="center"/>
          </w:tcPr>
          <w:p w14:paraId="34901F21">
            <w:pPr>
              <w:jc w:val="center"/>
              <w:rPr>
                <w:rFonts w:ascii="宋体" w:hAnsi="宋体"/>
                <w:color w:val="auto"/>
                <w:sz w:val="22"/>
                <w:szCs w:val="22"/>
                <w:highlight w:val="none"/>
              </w:rPr>
            </w:pPr>
          </w:p>
        </w:tc>
        <w:tc>
          <w:tcPr>
            <w:tcW w:w="1588" w:type="dxa"/>
            <w:vAlign w:val="center"/>
          </w:tcPr>
          <w:p w14:paraId="49364555">
            <w:pPr>
              <w:jc w:val="center"/>
              <w:rPr>
                <w:rFonts w:ascii="宋体" w:hAnsi="宋体"/>
                <w:color w:val="auto"/>
                <w:sz w:val="22"/>
                <w:szCs w:val="22"/>
                <w:highlight w:val="none"/>
              </w:rPr>
            </w:pPr>
          </w:p>
        </w:tc>
      </w:tr>
      <w:tr w14:paraId="7152B5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9D102BF">
            <w:pPr>
              <w:jc w:val="center"/>
              <w:rPr>
                <w:rFonts w:ascii="宋体" w:hAnsi="宋体"/>
                <w:color w:val="auto"/>
                <w:sz w:val="22"/>
                <w:szCs w:val="22"/>
                <w:highlight w:val="none"/>
              </w:rPr>
            </w:pPr>
            <w:r>
              <w:rPr>
                <w:rFonts w:hint="eastAsia" w:ascii="宋体" w:hAnsi="宋体"/>
                <w:color w:val="auto"/>
                <w:sz w:val="22"/>
                <w:szCs w:val="22"/>
                <w:highlight w:val="none"/>
              </w:rPr>
              <w:t>5</w:t>
            </w:r>
          </w:p>
        </w:tc>
        <w:tc>
          <w:tcPr>
            <w:tcW w:w="1559" w:type="dxa"/>
            <w:vAlign w:val="center"/>
          </w:tcPr>
          <w:p w14:paraId="54E3B08A">
            <w:pPr>
              <w:jc w:val="center"/>
              <w:rPr>
                <w:rFonts w:ascii="宋体" w:hAnsi="宋体"/>
                <w:color w:val="auto"/>
                <w:sz w:val="22"/>
                <w:szCs w:val="22"/>
                <w:highlight w:val="none"/>
              </w:rPr>
            </w:pPr>
          </w:p>
        </w:tc>
        <w:tc>
          <w:tcPr>
            <w:tcW w:w="2184" w:type="dxa"/>
            <w:vAlign w:val="center"/>
          </w:tcPr>
          <w:p w14:paraId="3B4A53A6">
            <w:pPr>
              <w:jc w:val="center"/>
              <w:rPr>
                <w:rFonts w:ascii="宋体" w:hAnsi="宋体"/>
                <w:color w:val="auto"/>
                <w:sz w:val="22"/>
                <w:szCs w:val="22"/>
                <w:highlight w:val="none"/>
              </w:rPr>
            </w:pPr>
          </w:p>
        </w:tc>
        <w:tc>
          <w:tcPr>
            <w:tcW w:w="2402" w:type="dxa"/>
            <w:vAlign w:val="center"/>
          </w:tcPr>
          <w:p w14:paraId="64FD8900">
            <w:pPr>
              <w:jc w:val="center"/>
              <w:rPr>
                <w:rFonts w:ascii="宋体" w:hAnsi="宋体"/>
                <w:color w:val="auto"/>
                <w:sz w:val="22"/>
                <w:szCs w:val="22"/>
                <w:highlight w:val="none"/>
              </w:rPr>
            </w:pPr>
          </w:p>
        </w:tc>
        <w:tc>
          <w:tcPr>
            <w:tcW w:w="1200" w:type="dxa"/>
            <w:vAlign w:val="center"/>
          </w:tcPr>
          <w:p w14:paraId="60AF4000">
            <w:pPr>
              <w:jc w:val="center"/>
              <w:rPr>
                <w:rFonts w:ascii="宋体" w:hAnsi="宋体"/>
                <w:color w:val="auto"/>
                <w:sz w:val="22"/>
                <w:szCs w:val="22"/>
                <w:highlight w:val="none"/>
              </w:rPr>
            </w:pPr>
          </w:p>
        </w:tc>
        <w:tc>
          <w:tcPr>
            <w:tcW w:w="1588" w:type="dxa"/>
            <w:vAlign w:val="center"/>
          </w:tcPr>
          <w:p w14:paraId="25ACB79F">
            <w:pPr>
              <w:jc w:val="center"/>
              <w:rPr>
                <w:rFonts w:ascii="宋体" w:hAnsi="宋体"/>
                <w:color w:val="auto"/>
                <w:sz w:val="22"/>
                <w:szCs w:val="22"/>
                <w:highlight w:val="none"/>
              </w:rPr>
            </w:pPr>
          </w:p>
        </w:tc>
      </w:tr>
      <w:tr w14:paraId="3BC3E5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EAD95E0">
            <w:pPr>
              <w:jc w:val="center"/>
              <w:rPr>
                <w:rFonts w:ascii="宋体" w:hAnsi="宋体"/>
                <w:color w:val="auto"/>
                <w:sz w:val="22"/>
                <w:szCs w:val="22"/>
                <w:highlight w:val="none"/>
              </w:rPr>
            </w:pPr>
            <w:r>
              <w:rPr>
                <w:rFonts w:hint="eastAsia" w:ascii="宋体" w:hAnsi="宋体"/>
                <w:color w:val="auto"/>
                <w:sz w:val="22"/>
                <w:szCs w:val="22"/>
                <w:highlight w:val="none"/>
              </w:rPr>
              <w:t>……</w:t>
            </w:r>
          </w:p>
        </w:tc>
        <w:tc>
          <w:tcPr>
            <w:tcW w:w="1559" w:type="dxa"/>
            <w:vAlign w:val="center"/>
          </w:tcPr>
          <w:p w14:paraId="3E4A4C0E">
            <w:pPr>
              <w:jc w:val="center"/>
              <w:rPr>
                <w:rFonts w:ascii="宋体" w:hAnsi="宋体"/>
                <w:color w:val="auto"/>
                <w:sz w:val="22"/>
                <w:szCs w:val="22"/>
                <w:highlight w:val="none"/>
              </w:rPr>
            </w:pPr>
            <w:r>
              <w:rPr>
                <w:rFonts w:hint="eastAsia" w:ascii="宋体" w:hAnsi="宋体"/>
                <w:color w:val="auto"/>
                <w:sz w:val="22"/>
                <w:szCs w:val="22"/>
                <w:highlight w:val="none"/>
              </w:rPr>
              <w:t>……</w:t>
            </w:r>
          </w:p>
        </w:tc>
        <w:tc>
          <w:tcPr>
            <w:tcW w:w="2184" w:type="dxa"/>
            <w:vAlign w:val="center"/>
          </w:tcPr>
          <w:p w14:paraId="4A286314">
            <w:pPr>
              <w:jc w:val="center"/>
              <w:rPr>
                <w:rFonts w:ascii="宋体" w:hAnsi="宋体"/>
                <w:color w:val="auto"/>
                <w:sz w:val="22"/>
                <w:szCs w:val="22"/>
                <w:highlight w:val="none"/>
              </w:rPr>
            </w:pPr>
          </w:p>
        </w:tc>
        <w:tc>
          <w:tcPr>
            <w:tcW w:w="2402" w:type="dxa"/>
            <w:vAlign w:val="center"/>
          </w:tcPr>
          <w:p w14:paraId="56CC2BC5">
            <w:pPr>
              <w:jc w:val="center"/>
              <w:rPr>
                <w:rFonts w:ascii="宋体" w:hAnsi="宋体"/>
                <w:color w:val="auto"/>
                <w:sz w:val="22"/>
                <w:szCs w:val="22"/>
                <w:highlight w:val="none"/>
              </w:rPr>
            </w:pPr>
          </w:p>
        </w:tc>
        <w:tc>
          <w:tcPr>
            <w:tcW w:w="1200" w:type="dxa"/>
            <w:vAlign w:val="center"/>
          </w:tcPr>
          <w:p w14:paraId="24E63422">
            <w:pPr>
              <w:jc w:val="center"/>
              <w:rPr>
                <w:rFonts w:ascii="宋体" w:hAnsi="宋体"/>
                <w:color w:val="auto"/>
                <w:sz w:val="22"/>
                <w:szCs w:val="22"/>
                <w:highlight w:val="none"/>
              </w:rPr>
            </w:pPr>
          </w:p>
        </w:tc>
        <w:tc>
          <w:tcPr>
            <w:tcW w:w="1588" w:type="dxa"/>
            <w:vAlign w:val="center"/>
          </w:tcPr>
          <w:p w14:paraId="31EC3C96">
            <w:pPr>
              <w:jc w:val="center"/>
              <w:rPr>
                <w:rFonts w:ascii="宋体" w:hAnsi="宋体"/>
                <w:color w:val="auto"/>
                <w:sz w:val="22"/>
                <w:szCs w:val="22"/>
                <w:highlight w:val="none"/>
              </w:rPr>
            </w:pPr>
          </w:p>
        </w:tc>
      </w:tr>
    </w:tbl>
    <w:p w14:paraId="726D03C8">
      <w:pPr>
        <w:spacing w:line="500" w:lineRule="exact"/>
        <w:rPr>
          <w:rFonts w:ascii="宋体" w:hAnsi="宋体"/>
          <w:color w:val="auto"/>
          <w:sz w:val="22"/>
          <w:szCs w:val="22"/>
          <w:highlight w:val="none"/>
        </w:rPr>
      </w:pPr>
      <w:r>
        <w:rPr>
          <w:rFonts w:hint="eastAsia" w:ascii="宋体" w:hAnsi="宋体"/>
          <w:color w:val="auto"/>
          <w:sz w:val="24"/>
          <w:highlight w:val="none"/>
        </w:rPr>
        <w:t>说明：</w:t>
      </w:r>
      <w:r>
        <w:rPr>
          <w:rFonts w:hint="eastAsia" w:ascii="宋体" w:hAnsi="宋体"/>
          <w:color w:val="auto"/>
          <w:sz w:val="22"/>
          <w:szCs w:val="22"/>
          <w:highlight w:val="none"/>
        </w:rPr>
        <w:t>不填写此表视作完全响应采购文件要求。</w:t>
      </w:r>
    </w:p>
    <w:p w14:paraId="3BD9C59A">
      <w:pPr>
        <w:spacing w:line="500" w:lineRule="exact"/>
        <w:ind w:firstLine="4400" w:firstLineChars="2000"/>
        <w:rPr>
          <w:rFonts w:ascii="宋体" w:hAnsi="宋体"/>
          <w:color w:val="auto"/>
          <w:sz w:val="22"/>
          <w:szCs w:val="22"/>
          <w:highlight w:val="none"/>
        </w:rPr>
      </w:pPr>
    </w:p>
    <w:p w14:paraId="410D4E84">
      <w:pPr>
        <w:spacing w:line="500" w:lineRule="exact"/>
        <w:ind w:firstLine="4400" w:firstLineChars="2000"/>
        <w:rPr>
          <w:rFonts w:ascii="宋体" w:hAnsi="宋体"/>
          <w:color w:val="auto"/>
          <w:sz w:val="22"/>
          <w:szCs w:val="22"/>
          <w:highlight w:val="none"/>
        </w:rPr>
      </w:pPr>
    </w:p>
    <w:p w14:paraId="0789B52D">
      <w:pPr>
        <w:spacing w:line="500" w:lineRule="exact"/>
        <w:ind w:firstLine="4400" w:firstLineChars="2000"/>
        <w:rPr>
          <w:rFonts w:ascii="宋体" w:hAnsi="宋体"/>
          <w:color w:val="auto"/>
          <w:sz w:val="22"/>
          <w:szCs w:val="22"/>
          <w:highlight w:val="none"/>
        </w:rPr>
      </w:pPr>
    </w:p>
    <w:p w14:paraId="349E7109">
      <w:pPr>
        <w:tabs>
          <w:tab w:val="left" w:pos="840"/>
        </w:tabs>
        <w:adjustRightInd w:val="0"/>
        <w:snapToGrid w:val="0"/>
        <w:spacing w:line="360" w:lineRule="auto"/>
        <w:ind w:left="420" w:leftChars="200" w:firstLine="330" w:firstLineChars="150"/>
        <w:rPr>
          <w:rFonts w:ascii="宋体" w:hAnsi="宋体"/>
          <w:color w:val="auto"/>
          <w:sz w:val="22"/>
          <w:szCs w:val="22"/>
          <w:highlight w:val="none"/>
        </w:rPr>
      </w:pPr>
      <w:r>
        <w:rPr>
          <w:rFonts w:hint="eastAsia" w:ascii="宋体" w:hAnsi="宋体"/>
          <w:color w:val="auto"/>
          <w:sz w:val="22"/>
          <w:szCs w:val="22"/>
          <w:highlight w:val="none"/>
        </w:rPr>
        <w:t>投标人全称（盖章）：</w:t>
      </w:r>
    </w:p>
    <w:p w14:paraId="55781568">
      <w:pPr>
        <w:tabs>
          <w:tab w:val="left" w:pos="840"/>
        </w:tabs>
        <w:adjustRightInd w:val="0"/>
        <w:snapToGrid w:val="0"/>
        <w:spacing w:line="360" w:lineRule="auto"/>
        <w:ind w:left="420" w:leftChars="200" w:firstLine="330" w:firstLineChars="150"/>
        <w:rPr>
          <w:rFonts w:ascii="宋体" w:hAnsi="宋体"/>
          <w:color w:val="auto"/>
          <w:sz w:val="22"/>
          <w:szCs w:val="22"/>
          <w:highlight w:val="none"/>
        </w:rPr>
      </w:pPr>
      <w:r>
        <w:rPr>
          <w:rFonts w:hint="eastAsia" w:ascii="宋体" w:hAnsi="宋体"/>
          <w:color w:val="auto"/>
          <w:sz w:val="22"/>
          <w:szCs w:val="22"/>
          <w:highlight w:val="none"/>
        </w:rPr>
        <w:t>投标供应商代表（签字或盖章）：</w:t>
      </w:r>
    </w:p>
    <w:p w14:paraId="1331211A">
      <w:pPr>
        <w:tabs>
          <w:tab w:val="left" w:pos="840"/>
        </w:tabs>
        <w:adjustRightInd w:val="0"/>
        <w:snapToGrid w:val="0"/>
        <w:spacing w:line="360" w:lineRule="auto"/>
        <w:ind w:left="420" w:leftChars="200" w:firstLine="330" w:firstLineChars="150"/>
        <w:rPr>
          <w:rFonts w:ascii="宋体" w:hAnsi="宋体"/>
          <w:color w:val="auto"/>
          <w:sz w:val="22"/>
          <w:szCs w:val="22"/>
          <w:highlight w:val="none"/>
        </w:rPr>
      </w:pPr>
      <w:r>
        <w:rPr>
          <w:rFonts w:hint="eastAsia" w:ascii="宋体" w:hAnsi="宋体"/>
          <w:color w:val="auto"/>
          <w:sz w:val="22"/>
          <w:szCs w:val="22"/>
          <w:highlight w:val="none"/>
        </w:rPr>
        <w:t>日 期：  年  月  日</w:t>
      </w:r>
    </w:p>
    <w:p w14:paraId="6E2C6B6F">
      <w:pPr>
        <w:pStyle w:val="3"/>
        <w:rPr>
          <w:rFonts w:ascii="宋体" w:hAnsi="宋体"/>
          <w:color w:val="auto"/>
          <w:sz w:val="22"/>
          <w:szCs w:val="22"/>
          <w:highlight w:val="none"/>
        </w:rPr>
      </w:pPr>
    </w:p>
    <w:p w14:paraId="5BE15001">
      <w:pPr>
        <w:pStyle w:val="4"/>
        <w:ind w:firstLine="220"/>
        <w:rPr>
          <w:rFonts w:ascii="宋体" w:hAnsi="宋体"/>
          <w:color w:val="auto"/>
          <w:sz w:val="22"/>
          <w:szCs w:val="22"/>
          <w:highlight w:val="none"/>
        </w:rPr>
      </w:pPr>
    </w:p>
    <w:p w14:paraId="43CCC8C4">
      <w:pPr>
        <w:pStyle w:val="19"/>
        <w:rPr>
          <w:color w:val="auto"/>
          <w:highlight w:val="none"/>
        </w:rPr>
      </w:pPr>
    </w:p>
    <w:p w14:paraId="44DC298D">
      <w:pPr>
        <w:tabs>
          <w:tab w:val="left" w:pos="840"/>
        </w:tabs>
        <w:adjustRightInd w:val="0"/>
        <w:snapToGrid w:val="0"/>
        <w:spacing w:line="360" w:lineRule="auto"/>
        <w:ind w:left="420" w:leftChars="200" w:firstLine="330" w:firstLineChars="150"/>
        <w:rPr>
          <w:rFonts w:ascii="宋体" w:hAnsi="宋体"/>
          <w:color w:val="auto"/>
          <w:sz w:val="22"/>
          <w:szCs w:val="22"/>
          <w:highlight w:val="none"/>
        </w:rPr>
      </w:pPr>
    </w:p>
    <w:p w14:paraId="5ED8C580">
      <w:pPr>
        <w:pStyle w:val="6"/>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附件六  证明文件</w:t>
      </w:r>
      <w:bookmarkEnd w:id="63"/>
      <w:bookmarkEnd w:id="64"/>
      <w:bookmarkEnd w:id="65"/>
    </w:p>
    <w:p w14:paraId="31A5878D">
      <w:pPr>
        <w:pStyle w:val="6"/>
        <w:spacing w:before="0" w:after="0" w:line="600" w:lineRule="exact"/>
        <w:jc w:val="center"/>
        <w:rPr>
          <w:rFonts w:ascii="新宋体" w:hAnsi="新宋体" w:eastAsia="新宋体"/>
          <w:bCs w:val="0"/>
          <w:color w:val="auto"/>
          <w:highlight w:val="none"/>
        </w:rPr>
      </w:pPr>
      <w:bookmarkStart w:id="66" w:name="_Toc63412065"/>
      <w:bookmarkStart w:id="67" w:name="_Toc35186958"/>
      <w:bookmarkStart w:id="68" w:name="_Toc35974577"/>
      <w:bookmarkStart w:id="69" w:name="_Toc35189579"/>
      <w:r>
        <w:rPr>
          <w:rFonts w:hint="eastAsia" w:ascii="新宋体" w:hAnsi="新宋体" w:eastAsia="新宋体"/>
          <w:bCs w:val="0"/>
          <w:color w:val="auto"/>
          <w:highlight w:val="none"/>
        </w:rPr>
        <w:t>（1）法定代表人授权书</w:t>
      </w:r>
      <w:bookmarkEnd w:id="66"/>
      <w:bookmarkEnd w:id="67"/>
      <w:bookmarkEnd w:id="68"/>
      <w:bookmarkEnd w:id="69"/>
    </w:p>
    <w:p w14:paraId="2F8E6474">
      <w:pPr>
        <w:spacing w:line="460" w:lineRule="exact"/>
        <w:rPr>
          <w:rFonts w:ascii="新宋体" w:hAnsi="新宋体" w:eastAsia="新宋体"/>
          <w:color w:val="auto"/>
          <w:sz w:val="22"/>
          <w:szCs w:val="22"/>
          <w:highlight w:val="none"/>
        </w:rPr>
      </w:pPr>
    </w:p>
    <w:p w14:paraId="273693FC">
      <w:pPr>
        <w:spacing w:line="460" w:lineRule="exact"/>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温州市自然资源和规划局龙湾分局</w:t>
      </w:r>
    </w:p>
    <w:p w14:paraId="319B3276">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浙江同信工程项目管理有限公司：</w:t>
      </w:r>
    </w:p>
    <w:p w14:paraId="6C259DBE">
      <w:pPr>
        <w:spacing w:line="460" w:lineRule="exact"/>
        <w:ind w:firstLine="550" w:firstLineChars="250"/>
        <w:rPr>
          <w:rFonts w:ascii="新宋体" w:hAnsi="新宋体" w:eastAsia="新宋体"/>
          <w:color w:val="auto"/>
          <w:sz w:val="22"/>
          <w:szCs w:val="22"/>
          <w:highlight w:val="none"/>
          <w:u w:val="single"/>
        </w:rPr>
      </w:pPr>
    </w:p>
    <w:p w14:paraId="3C8B6734">
      <w:pPr>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u w:val="single"/>
        </w:rPr>
        <w:t xml:space="preserve">        （投标供应商全称）  </w:t>
      </w:r>
      <w:r>
        <w:rPr>
          <w:rFonts w:hint="eastAsia" w:ascii="新宋体" w:hAnsi="新宋体" w:eastAsia="新宋体"/>
          <w:color w:val="auto"/>
          <w:sz w:val="22"/>
          <w:szCs w:val="22"/>
          <w:highlight w:val="none"/>
        </w:rPr>
        <w:t>法定代表人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w:t>
      </w:r>
      <w:r>
        <w:rPr>
          <w:rFonts w:hint="eastAsia" w:ascii="新宋体" w:hAnsi="新宋体" w:eastAsia="新宋体"/>
          <w:color w:val="auto"/>
          <w:sz w:val="22"/>
          <w:szCs w:val="22"/>
          <w:highlight w:val="none"/>
          <w:u w:val="single"/>
        </w:rPr>
        <w:t xml:space="preserve">   （全权代表姓名）  </w:t>
      </w:r>
      <w:r>
        <w:rPr>
          <w:rFonts w:hint="eastAsia" w:ascii="新宋体" w:hAnsi="新宋体" w:eastAsia="新宋体"/>
          <w:color w:val="auto"/>
          <w:sz w:val="22"/>
          <w:szCs w:val="22"/>
          <w:highlight w:val="none"/>
        </w:rPr>
        <w:t>为全权代表，参加贵办组织的</w:t>
      </w:r>
      <w:r>
        <w:rPr>
          <w:rFonts w:hint="eastAsia" w:ascii="新宋体" w:hAnsi="新宋体" w:eastAsia="新宋体"/>
          <w:color w:val="auto"/>
          <w:sz w:val="22"/>
          <w:szCs w:val="22"/>
          <w:highlight w:val="none"/>
          <w:u w:val="single"/>
        </w:rPr>
        <w:t xml:space="preserve">       （招标项目名称、项目编号）    </w:t>
      </w:r>
      <w:r>
        <w:rPr>
          <w:rFonts w:hint="eastAsia" w:ascii="新宋体" w:hAnsi="新宋体" w:eastAsia="新宋体"/>
          <w:color w:val="auto"/>
          <w:sz w:val="22"/>
          <w:szCs w:val="22"/>
          <w:highlight w:val="none"/>
        </w:rPr>
        <w:t>的招投标活动，全权代表我方处理招投标活动中的一切事宜。</w:t>
      </w:r>
    </w:p>
    <w:p w14:paraId="01B2B757">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本授权书于</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年</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月</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日签字盖章生效，本授权无转委托权，特此说明。</w:t>
      </w:r>
    </w:p>
    <w:p w14:paraId="502716D1">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14:paraId="5629AB81">
      <w:pPr>
        <w:spacing w:line="460" w:lineRule="exact"/>
        <w:ind w:firstLine="4191" w:firstLineChars="190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 (签字或盖章)：</w:t>
      </w:r>
    </w:p>
    <w:p w14:paraId="46B22F37">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r>
        <w:rPr>
          <w:rFonts w:hint="eastAsia" w:ascii="新宋体" w:hAnsi="新宋体" w:eastAsia="新宋体"/>
          <w:color w:val="auto"/>
          <w:sz w:val="22"/>
          <w:highlight w:val="none"/>
        </w:rPr>
        <w:t>投标供应商名称</w:t>
      </w:r>
      <w:r>
        <w:rPr>
          <w:rFonts w:hint="eastAsia" w:ascii="新宋体" w:hAnsi="新宋体" w:eastAsia="新宋体"/>
          <w:color w:val="auto"/>
          <w:sz w:val="22"/>
          <w:szCs w:val="22"/>
          <w:highlight w:val="none"/>
        </w:rPr>
        <w:t>（公章）：</w:t>
      </w:r>
    </w:p>
    <w:p w14:paraId="69499190">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日期：     年    月   日</w:t>
      </w:r>
    </w:p>
    <w:p w14:paraId="310C685B">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附：</w:t>
      </w:r>
    </w:p>
    <w:p w14:paraId="1D2F2EB5">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授权代表姓名：</w:t>
      </w:r>
    </w:p>
    <w:p w14:paraId="0C419475">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tbl>
      <w:tblPr>
        <w:tblStyle w:val="24"/>
        <w:tblpPr w:leftFromText="180" w:rightFromText="180" w:vertAnchor="text" w:horzAnchor="margin" w:tblpXSpec="right" w:tblpY="1820"/>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1726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noWrap/>
          </w:tcPr>
          <w:p w14:paraId="209500BC">
            <w:pPr>
              <w:spacing w:line="460" w:lineRule="exact"/>
              <w:rPr>
                <w:rFonts w:ascii="新宋体" w:hAnsi="新宋体" w:eastAsia="新宋体"/>
                <w:color w:val="auto"/>
                <w:sz w:val="22"/>
                <w:szCs w:val="22"/>
                <w:highlight w:val="none"/>
              </w:rPr>
            </w:pPr>
          </w:p>
          <w:p w14:paraId="4BF74885">
            <w:pPr>
              <w:spacing w:line="460" w:lineRule="exact"/>
              <w:rPr>
                <w:rFonts w:ascii="新宋体" w:hAnsi="新宋体" w:eastAsia="新宋体"/>
                <w:color w:val="auto"/>
                <w:sz w:val="22"/>
                <w:szCs w:val="22"/>
                <w:highlight w:val="none"/>
              </w:rPr>
            </w:pPr>
          </w:p>
          <w:p w14:paraId="46C53855">
            <w:pPr>
              <w:spacing w:line="460" w:lineRule="exact"/>
              <w:rPr>
                <w:rFonts w:ascii="新宋体" w:hAnsi="新宋体" w:eastAsia="新宋体"/>
                <w:color w:val="auto"/>
                <w:sz w:val="22"/>
                <w:szCs w:val="22"/>
                <w:highlight w:val="none"/>
              </w:rPr>
            </w:pPr>
          </w:p>
          <w:p w14:paraId="6FD30E28">
            <w:pPr>
              <w:spacing w:line="460" w:lineRule="exact"/>
              <w:ind w:firstLine="1100" w:firstLineChars="5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投标供应商授权代表身份证</w:t>
            </w:r>
          </w:p>
          <w:p w14:paraId="2B416B4B">
            <w:pPr>
              <w:spacing w:line="460" w:lineRule="exact"/>
              <w:ind w:firstLine="1760" w:firstLineChars="8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（粘贴处）</w:t>
            </w:r>
          </w:p>
        </w:tc>
      </w:tr>
    </w:tbl>
    <w:p w14:paraId="4AC97119">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详细通讯地址：  </w:t>
      </w:r>
    </w:p>
    <w:p w14:paraId="3A95F634">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p>
    <w:p w14:paraId="5F40F177">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p>
    <w:p w14:paraId="6879034E">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邮政编码:</w:t>
      </w:r>
    </w:p>
    <w:p w14:paraId="3C642DCE">
      <w:pPr>
        <w:spacing w:line="460" w:lineRule="exact"/>
        <w:rPr>
          <w:rFonts w:ascii="新宋体" w:hAnsi="新宋体" w:eastAsia="新宋体"/>
          <w:color w:val="auto"/>
          <w:sz w:val="22"/>
          <w:szCs w:val="22"/>
          <w:highlight w:val="none"/>
        </w:rPr>
      </w:pPr>
    </w:p>
    <w:p w14:paraId="69CA642D">
      <w:pPr>
        <w:spacing w:line="460" w:lineRule="exact"/>
        <w:rPr>
          <w:rFonts w:ascii="新宋体" w:hAnsi="新宋体" w:eastAsia="新宋体"/>
          <w:b/>
          <w:bCs/>
          <w:color w:val="auto"/>
          <w:sz w:val="22"/>
          <w:szCs w:val="22"/>
          <w:highlight w:val="none"/>
        </w:rPr>
      </w:pPr>
    </w:p>
    <w:p w14:paraId="36493F87">
      <w:pPr>
        <w:spacing w:line="460" w:lineRule="exact"/>
        <w:rPr>
          <w:rFonts w:ascii="新宋体" w:hAnsi="新宋体" w:eastAsia="新宋体"/>
          <w:b/>
          <w:bCs/>
          <w:color w:val="auto"/>
          <w:sz w:val="22"/>
          <w:szCs w:val="22"/>
          <w:highlight w:val="none"/>
        </w:rPr>
      </w:pPr>
    </w:p>
    <w:p w14:paraId="19C5EE3F">
      <w:pPr>
        <w:spacing w:line="380" w:lineRule="exact"/>
        <w:rPr>
          <w:rFonts w:ascii="新宋体" w:hAnsi="新宋体" w:eastAsia="新宋体"/>
          <w:b/>
          <w:bCs/>
          <w:color w:val="auto"/>
          <w:sz w:val="22"/>
          <w:szCs w:val="22"/>
          <w:highlight w:val="none"/>
        </w:rPr>
      </w:pPr>
    </w:p>
    <w:p w14:paraId="66BBEC07">
      <w:pPr>
        <w:spacing w:line="380" w:lineRule="exact"/>
        <w:rPr>
          <w:rFonts w:ascii="新宋体" w:hAnsi="新宋体" w:eastAsia="新宋体"/>
          <w:b/>
          <w:bCs/>
          <w:color w:val="auto"/>
          <w:sz w:val="22"/>
          <w:szCs w:val="22"/>
          <w:highlight w:val="none"/>
        </w:rPr>
      </w:pPr>
    </w:p>
    <w:p w14:paraId="60D99C45">
      <w:pPr>
        <w:spacing w:line="380" w:lineRule="exact"/>
        <w:rPr>
          <w:rFonts w:ascii="新宋体" w:hAnsi="新宋体" w:eastAsia="新宋体"/>
          <w:b/>
          <w:bCs/>
          <w:color w:val="auto"/>
          <w:sz w:val="22"/>
          <w:szCs w:val="22"/>
          <w:highlight w:val="none"/>
        </w:rPr>
      </w:pPr>
    </w:p>
    <w:p w14:paraId="26947222">
      <w:pPr>
        <w:spacing w:line="380" w:lineRule="exact"/>
        <w:rPr>
          <w:rFonts w:ascii="新宋体" w:hAnsi="新宋体" w:eastAsia="新宋体"/>
          <w:b/>
          <w:bCs/>
          <w:color w:val="auto"/>
          <w:sz w:val="22"/>
          <w:szCs w:val="22"/>
          <w:highlight w:val="none"/>
        </w:rPr>
      </w:pPr>
    </w:p>
    <w:p w14:paraId="070685FE">
      <w:pPr>
        <w:spacing w:line="380" w:lineRule="exact"/>
        <w:rPr>
          <w:rFonts w:ascii="新宋体" w:hAnsi="新宋体" w:eastAsia="新宋体"/>
          <w:b/>
          <w:bCs/>
          <w:color w:val="auto"/>
          <w:sz w:val="22"/>
          <w:szCs w:val="22"/>
          <w:highlight w:val="none"/>
        </w:rPr>
      </w:pPr>
    </w:p>
    <w:p w14:paraId="0765A805">
      <w:pPr>
        <w:spacing w:line="380" w:lineRule="exact"/>
        <w:rPr>
          <w:rFonts w:ascii="新宋体" w:hAnsi="新宋体" w:eastAsia="新宋体"/>
          <w:b/>
          <w:bCs/>
          <w:color w:val="auto"/>
          <w:sz w:val="22"/>
          <w:szCs w:val="22"/>
          <w:highlight w:val="none"/>
        </w:rPr>
      </w:pPr>
    </w:p>
    <w:p w14:paraId="395BF2BD">
      <w:pPr>
        <w:pStyle w:val="6"/>
        <w:spacing w:before="0" w:after="0" w:line="600" w:lineRule="exact"/>
        <w:jc w:val="center"/>
        <w:rPr>
          <w:rFonts w:ascii="新宋体" w:hAnsi="新宋体" w:eastAsia="新宋体"/>
          <w:bCs w:val="0"/>
          <w:color w:val="auto"/>
          <w:highlight w:val="none"/>
        </w:rPr>
      </w:pPr>
      <w:bookmarkStart w:id="70" w:name="_Toc35186959"/>
      <w:bookmarkStart w:id="71" w:name="_Toc63412066"/>
      <w:bookmarkStart w:id="72" w:name="_Toc35974578"/>
      <w:bookmarkStart w:id="73" w:name="_Toc35189580"/>
      <w:r>
        <w:rPr>
          <w:rFonts w:hint="eastAsia" w:ascii="新宋体" w:hAnsi="新宋体" w:eastAsia="新宋体"/>
          <w:bCs w:val="0"/>
          <w:color w:val="auto"/>
          <w:highlight w:val="none"/>
        </w:rPr>
        <w:t>（2）</w:t>
      </w:r>
      <w:bookmarkEnd w:id="70"/>
      <w:bookmarkEnd w:id="71"/>
      <w:bookmarkEnd w:id="72"/>
      <w:bookmarkEnd w:id="73"/>
      <w:bookmarkStart w:id="74" w:name="_Toc35186960"/>
      <w:bookmarkStart w:id="75" w:name="_Toc34949246"/>
      <w:bookmarkStart w:id="76" w:name="_Toc63412067"/>
      <w:bookmarkStart w:id="77" w:name="_Toc35189581"/>
      <w:bookmarkStart w:id="78" w:name="_Toc35974579"/>
      <w:r>
        <w:rPr>
          <w:rFonts w:hint="eastAsia" w:ascii="新宋体" w:hAnsi="新宋体" w:eastAsia="新宋体"/>
          <w:bCs w:val="0"/>
          <w:color w:val="auto"/>
          <w:highlight w:val="none"/>
        </w:rPr>
        <w:t>资格条件承诺函</w:t>
      </w:r>
      <w:bookmarkEnd w:id="74"/>
      <w:bookmarkEnd w:id="75"/>
      <w:bookmarkEnd w:id="76"/>
      <w:bookmarkEnd w:id="77"/>
      <w:bookmarkEnd w:id="78"/>
    </w:p>
    <w:p w14:paraId="6DD64656">
      <w:pPr>
        <w:spacing w:line="600" w:lineRule="exact"/>
        <w:ind w:right="-153" w:rightChars="-73"/>
        <w:jc w:val="center"/>
        <w:rPr>
          <w:rFonts w:ascii="新宋体" w:hAnsi="新宋体" w:eastAsia="新宋体"/>
          <w:b/>
          <w:bCs/>
          <w:color w:val="auto"/>
          <w:sz w:val="32"/>
          <w:szCs w:val="32"/>
          <w:highlight w:val="none"/>
        </w:rPr>
      </w:pPr>
    </w:p>
    <w:p w14:paraId="6632E10D">
      <w:pPr>
        <w:shd w:val="clear" w:color="auto" w:fill="FFFFFF"/>
        <w:snapToGrid w:val="0"/>
        <w:spacing w:line="440" w:lineRule="exact"/>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lang w:eastAsia="zh-CN"/>
        </w:rPr>
        <w:t>温州市自然资源和规划局龙湾分局</w:t>
      </w:r>
    </w:p>
    <w:p w14:paraId="242A8A03">
      <w:pPr>
        <w:shd w:val="clear" w:color="auto" w:fill="FFFFFF"/>
        <w:snapToGrid w:val="0"/>
        <w:spacing w:line="440" w:lineRule="exact"/>
        <w:rPr>
          <w:rFonts w:ascii="新宋体" w:hAnsi="新宋体" w:eastAsia="新宋体" w:cs="宋体"/>
          <w:color w:val="auto"/>
          <w:sz w:val="24"/>
          <w:highlight w:val="none"/>
        </w:rPr>
      </w:pPr>
      <w:r>
        <w:rPr>
          <w:rFonts w:hint="eastAsia" w:ascii="新宋体" w:hAnsi="新宋体" w:eastAsia="新宋体"/>
          <w:color w:val="auto"/>
          <w:sz w:val="24"/>
          <w:highlight w:val="none"/>
        </w:rPr>
        <w:t>浙江同信工程项目管理有限公司：</w:t>
      </w:r>
    </w:p>
    <w:p w14:paraId="1E0C48A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我方参与 </w:t>
      </w:r>
      <w:r>
        <w:rPr>
          <w:rFonts w:hint="eastAsia" w:ascii="宋体" w:hAnsi="宋体" w:cs="宋体"/>
          <w:color w:val="auto"/>
          <w:szCs w:val="21"/>
          <w:highlight w:val="none"/>
          <w:u w:val="single"/>
        </w:rPr>
        <w:t xml:space="preserve">                       （采购项目名称、编号）</w:t>
      </w:r>
      <w:r>
        <w:rPr>
          <w:rFonts w:hint="eastAsia" w:ascii="宋体" w:hAnsi="宋体" w:cs="宋体"/>
          <w:color w:val="auto"/>
          <w:szCs w:val="21"/>
          <w:highlight w:val="none"/>
        </w:rPr>
        <w:t>投标，现郑重承诺：</w:t>
      </w:r>
    </w:p>
    <w:p w14:paraId="5B36C22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1.我方满足《中华人民共和国政府采购法》第二十二条规定，即：</w:t>
      </w:r>
    </w:p>
    <w:p w14:paraId="13F834F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（一）具有独立承担民事责任的能力； </w:t>
      </w:r>
    </w:p>
    <w:p w14:paraId="00230A9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（二）具有良好的商业信誉和健全的财务会计制度； </w:t>
      </w:r>
    </w:p>
    <w:p w14:paraId="195C76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（三）具有履行合同所必需的设备和专业技术能力； </w:t>
      </w:r>
    </w:p>
    <w:p w14:paraId="725CCFC3">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（四）有依法缴纳税收和社会保障资金的良好记录； </w:t>
      </w:r>
    </w:p>
    <w:p w14:paraId="3B283D26">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（五）参加政府采购活动前三年内，在经营活动中没有重大违法记录； </w:t>
      </w:r>
    </w:p>
    <w:p w14:paraId="019B9EB6">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（六）法律、行政法规规定的其他条件。 </w:t>
      </w:r>
    </w:p>
    <w:p w14:paraId="5AD2B2B3">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2.我单位符合本项目特定资格条件：</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的要求，并在投标文件中提供了相应的证明材料（招标文件没有要求特定资格条件的，本条款空格处可以空白）</w:t>
      </w:r>
    </w:p>
    <w:p w14:paraId="29040D4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3.到本项目投标截止时间为止，我方未被信用中国（www.creditchina.gov.cn)、中国政府采购网（www.ccgp.gov.cn）列入失信被执行人、重大税收违法失信主体、政府采购严重违法失信行为记录名单。</w:t>
      </w:r>
    </w:p>
    <w:p w14:paraId="6295C875">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4.不存在以下情况：单位负责人为同一人或者存在直接控股、管理关系的不同供应商参加同一合同项下的政府采购活动的。</w:t>
      </w:r>
    </w:p>
    <w:p w14:paraId="44E030A9">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如有虚假，采购人可取消我单位任何资格（投标/中标/签订合同），我单位对此无任何异议。</w:t>
      </w:r>
    </w:p>
    <w:p w14:paraId="4721D4F1">
      <w:pPr>
        <w:snapToGrid w:val="0"/>
        <w:spacing w:line="440" w:lineRule="exact"/>
        <w:ind w:firstLine="422" w:firstLineChars="200"/>
        <w:rPr>
          <w:rFonts w:ascii="宋体" w:hAnsi="宋体" w:cs="宋体"/>
          <w:b/>
          <w:color w:val="auto"/>
          <w:szCs w:val="21"/>
          <w:highlight w:val="none"/>
        </w:rPr>
      </w:pPr>
    </w:p>
    <w:p w14:paraId="235B2568">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特此承诺！</w:t>
      </w:r>
    </w:p>
    <w:p w14:paraId="296619BC">
      <w:pPr>
        <w:tabs>
          <w:tab w:val="left" w:pos="9180"/>
        </w:tabs>
        <w:spacing w:line="440" w:lineRule="exact"/>
        <w:ind w:firstLine="420" w:firstLineChars="200"/>
        <w:rPr>
          <w:rFonts w:ascii="宋体" w:hAnsi="宋体" w:cs="宋体"/>
          <w:snapToGrid w:val="0"/>
          <w:color w:val="auto"/>
          <w:szCs w:val="21"/>
          <w:highlight w:val="none"/>
        </w:rPr>
      </w:pPr>
    </w:p>
    <w:p w14:paraId="1F2A8077">
      <w:pPr>
        <w:tabs>
          <w:tab w:val="left" w:pos="9180"/>
        </w:tabs>
        <w:spacing w:line="440" w:lineRule="exact"/>
        <w:ind w:firstLine="840" w:firstLineChars="400"/>
        <w:rPr>
          <w:rFonts w:ascii="宋体" w:hAnsi="宋体" w:cs="宋体"/>
          <w:snapToGrid w:val="0"/>
          <w:color w:val="auto"/>
          <w:szCs w:val="21"/>
          <w:highlight w:val="none"/>
        </w:rPr>
      </w:pPr>
      <w:r>
        <w:rPr>
          <w:rFonts w:hint="eastAsia" w:ascii="宋体" w:hAnsi="宋体" w:cs="宋体"/>
          <w:snapToGrid w:val="0"/>
          <w:color w:val="auto"/>
          <w:szCs w:val="21"/>
          <w:highlight w:val="none"/>
        </w:rPr>
        <w:t>注：本承诺函必须提供。</w:t>
      </w:r>
    </w:p>
    <w:p w14:paraId="79140E21">
      <w:pPr>
        <w:widowControl/>
        <w:snapToGrid w:val="0"/>
        <w:spacing w:line="440" w:lineRule="exact"/>
        <w:ind w:firstLine="480" w:firstLineChars="200"/>
        <w:jc w:val="left"/>
        <w:rPr>
          <w:rFonts w:ascii="新宋体" w:hAnsi="新宋体" w:eastAsia="新宋体" w:cs="宋体"/>
          <w:color w:val="auto"/>
          <w:kern w:val="0"/>
          <w:sz w:val="24"/>
          <w:highlight w:val="none"/>
        </w:rPr>
      </w:pPr>
    </w:p>
    <w:p w14:paraId="2B03F2B4">
      <w:pPr>
        <w:pStyle w:val="12"/>
        <w:spacing w:line="700" w:lineRule="exact"/>
        <w:ind w:firstLine="5280" w:firstLineChars="2200"/>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投标供应商名称（盖章）：</w:t>
      </w:r>
    </w:p>
    <w:p w14:paraId="5D457608">
      <w:pPr>
        <w:pStyle w:val="12"/>
        <w:spacing w:line="700" w:lineRule="exact"/>
        <w:ind w:left="4605" w:leftChars="2193" w:firstLine="600" w:firstLineChars="250"/>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投标供应商代表（签字或盖章）：</w:t>
      </w:r>
    </w:p>
    <w:p w14:paraId="04FBFEA3">
      <w:pPr>
        <w:pStyle w:val="12"/>
        <w:spacing w:line="700" w:lineRule="exact"/>
        <w:ind w:left="4605" w:leftChars="2193" w:firstLine="600" w:firstLineChars="250"/>
        <w:rPr>
          <w:rFonts w:ascii="新宋体" w:hAnsi="新宋体" w:eastAsia="新宋体"/>
          <w:bCs/>
          <w:color w:val="auto"/>
          <w:sz w:val="22"/>
          <w:szCs w:val="22"/>
          <w:highlight w:val="none"/>
        </w:rPr>
      </w:pPr>
      <w:r>
        <w:rPr>
          <w:rFonts w:hint="eastAsia" w:ascii="新宋体" w:hAnsi="新宋体" w:eastAsia="新宋体"/>
          <w:color w:val="auto"/>
          <w:sz w:val="24"/>
          <w:szCs w:val="24"/>
          <w:highlight w:val="none"/>
        </w:rPr>
        <w:t>日    期：    年   月   日</w:t>
      </w:r>
    </w:p>
    <w:p w14:paraId="4F62607F">
      <w:pPr>
        <w:spacing w:line="380" w:lineRule="exact"/>
        <w:ind w:left="-358" w:leftChars="-171" w:hanging="1"/>
        <w:jc w:val="center"/>
        <w:rPr>
          <w:rFonts w:ascii="新宋体" w:hAnsi="新宋体" w:eastAsia="新宋体"/>
          <w:bCs/>
          <w:color w:val="auto"/>
          <w:sz w:val="22"/>
          <w:szCs w:val="22"/>
          <w:highlight w:val="none"/>
        </w:rPr>
      </w:pPr>
    </w:p>
    <w:p w14:paraId="3F591DF5">
      <w:pPr>
        <w:rPr>
          <w:rFonts w:ascii="新宋体" w:hAnsi="新宋体" w:eastAsia="新宋体"/>
          <w:color w:val="auto"/>
          <w:sz w:val="22"/>
          <w:szCs w:val="22"/>
          <w:highlight w:val="none"/>
        </w:rPr>
      </w:pPr>
      <w:bookmarkStart w:id="79" w:name="_Toc509500509"/>
      <w:bookmarkStart w:id="80" w:name="_Toc63412070"/>
      <w:bookmarkStart w:id="81" w:name="_Toc482309055"/>
      <w:bookmarkStart w:id="82" w:name="_Toc395528093"/>
      <w:r>
        <w:rPr>
          <w:rFonts w:hint="eastAsia" w:ascii="新宋体" w:hAnsi="新宋体" w:eastAsia="新宋体"/>
          <w:color w:val="auto"/>
          <w:sz w:val="22"/>
          <w:szCs w:val="22"/>
          <w:highlight w:val="none"/>
        </w:rPr>
        <w:br w:type="page"/>
      </w:r>
    </w:p>
    <w:p w14:paraId="3864FF13">
      <w:pPr>
        <w:pStyle w:val="6"/>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附件七  项目负责人情况表</w:t>
      </w:r>
      <w:bookmarkEnd w:id="79"/>
      <w:bookmarkEnd w:id="80"/>
      <w:bookmarkEnd w:id="81"/>
      <w:bookmarkEnd w:id="82"/>
    </w:p>
    <w:p w14:paraId="568D6E1D">
      <w:pPr>
        <w:spacing w:after="240" w:line="360" w:lineRule="exact"/>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项目负责人情况表</w:t>
      </w:r>
    </w:p>
    <w:p w14:paraId="52654064">
      <w:pPr>
        <w:spacing w:line="360" w:lineRule="exact"/>
        <w:rPr>
          <w:rFonts w:ascii="新宋体" w:hAnsi="新宋体" w:eastAsia="新宋体"/>
          <w:color w:val="auto"/>
          <w:highlight w:val="none"/>
        </w:rPr>
      </w:pPr>
      <w:r>
        <w:rPr>
          <w:rFonts w:hint="eastAsia" w:ascii="新宋体" w:hAnsi="新宋体" w:eastAsia="新宋体"/>
          <w:color w:val="auto"/>
          <w:highlight w:val="none"/>
        </w:rPr>
        <w:t>项目名称：                                    项目编号：</w:t>
      </w:r>
    </w:p>
    <w:tbl>
      <w:tblPr>
        <w:tblStyle w:val="2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3B8B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noWrap/>
            <w:vAlign w:val="center"/>
          </w:tcPr>
          <w:p w14:paraId="4054BC87">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1、一般情况</w:t>
            </w:r>
          </w:p>
        </w:tc>
      </w:tr>
      <w:tr w14:paraId="5270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ign w:val="center"/>
          </w:tcPr>
          <w:p w14:paraId="28754668">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姓   名</w:t>
            </w:r>
          </w:p>
        </w:tc>
        <w:tc>
          <w:tcPr>
            <w:tcW w:w="1822" w:type="dxa"/>
            <w:tcBorders>
              <w:top w:val="single" w:color="auto" w:sz="4" w:space="0"/>
              <w:left w:val="single" w:color="auto" w:sz="4" w:space="0"/>
              <w:bottom w:val="single" w:color="auto" w:sz="4" w:space="0"/>
              <w:right w:val="single" w:color="auto" w:sz="4" w:space="0"/>
            </w:tcBorders>
            <w:noWrap/>
            <w:vAlign w:val="center"/>
          </w:tcPr>
          <w:p w14:paraId="183DDBA0">
            <w:pPr>
              <w:spacing w:line="360" w:lineRule="exact"/>
              <w:jc w:val="center"/>
              <w:rPr>
                <w:rFonts w:ascii="新宋体" w:hAnsi="新宋体" w:eastAsia="新宋体"/>
                <w:color w:val="auto"/>
                <w:sz w:val="22"/>
                <w:szCs w:val="22"/>
                <w:highlight w:val="none"/>
              </w:rPr>
            </w:pPr>
          </w:p>
        </w:tc>
        <w:tc>
          <w:tcPr>
            <w:tcW w:w="1587" w:type="dxa"/>
            <w:tcBorders>
              <w:top w:val="single" w:color="auto" w:sz="4" w:space="0"/>
              <w:left w:val="single" w:color="auto" w:sz="4" w:space="0"/>
              <w:bottom w:val="single" w:color="auto" w:sz="4" w:space="0"/>
              <w:right w:val="single" w:color="auto" w:sz="4" w:space="0"/>
            </w:tcBorders>
            <w:noWrap/>
            <w:vAlign w:val="center"/>
          </w:tcPr>
          <w:p w14:paraId="49E09B87">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年  龄</w:t>
            </w:r>
          </w:p>
        </w:tc>
        <w:tc>
          <w:tcPr>
            <w:tcW w:w="1726" w:type="dxa"/>
            <w:tcBorders>
              <w:top w:val="single" w:color="auto" w:sz="4" w:space="0"/>
              <w:left w:val="single" w:color="auto" w:sz="4" w:space="0"/>
              <w:bottom w:val="single" w:color="auto" w:sz="4" w:space="0"/>
              <w:right w:val="single" w:color="auto" w:sz="4" w:space="0"/>
            </w:tcBorders>
            <w:noWrap/>
            <w:vAlign w:val="center"/>
          </w:tcPr>
          <w:p w14:paraId="19F819C7">
            <w:pPr>
              <w:spacing w:line="360" w:lineRule="exact"/>
              <w:jc w:val="center"/>
              <w:rPr>
                <w:rFonts w:ascii="新宋体" w:hAnsi="新宋体" w:eastAsia="新宋体"/>
                <w:color w:val="auto"/>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noWrap/>
            <w:vAlign w:val="center"/>
          </w:tcPr>
          <w:p w14:paraId="5E805A6B">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学  历</w:t>
            </w:r>
          </w:p>
        </w:tc>
        <w:tc>
          <w:tcPr>
            <w:tcW w:w="1588" w:type="dxa"/>
            <w:tcBorders>
              <w:top w:val="single" w:color="auto" w:sz="4" w:space="0"/>
              <w:left w:val="single" w:color="auto" w:sz="4" w:space="0"/>
              <w:bottom w:val="single" w:color="auto" w:sz="4" w:space="0"/>
              <w:right w:val="single" w:color="auto" w:sz="12" w:space="0"/>
            </w:tcBorders>
            <w:noWrap/>
            <w:vAlign w:val="center"/>
          </w:tcPr>
          <w:p w14:paraId="045576F9">
            <w:pPr>
              <w:spacing w:line="360" w:lineRule="exact"/>
              <w:jc w:val="center"/>
              <w:rPr>
                <w:rFonts w:ascii="新宋体" w:hAnsi="新宋体" w:eastAsia="新宋体"/>
                <w:color w:val="auto"/>
                <w:sz w:val="22"/>
                <w:szCs w:val="22"/>
                <w:highlight w:val="none"/>
              </w:rPr>
            </w:pPr>
          </w:p>
        </w:tc>
      </w:tr>
      <w:tr w14:paraId="6580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ign w:val="center"/>
          </w:tcPr>
          <w:p w14:paraId="1ACEF01F">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毕业学校</w:t>
            </w:r>
          </w:p>
        </w:tc>
        <w:tc>
          <w:tcPr>
            <w:tcW w:w="1822" w:type="dxa"/>
            <w:tcBorders>
              <w:top w:val="single" w:color="auto" w:sz="4" w:space="0"/>
              <w:left w:val="single" w:color="auto" w:sz="4" w:space="0"/>
              <w:bottom w:val="single" w:color="auto" w:sz="4" w:space="0"/>
              <w:right w:val="single" w:color="auto" w:sz="4" w:space="0"/>
            </w:tcBorders>
            <w:noWrap/>
            <w:vAlign w:val="center"/>
          </w:tcPr>
          <w:p w14:paraId="5AB9465D">
            <w:pPr>
              <w:spacing w:line="360" w:lineRule="exact"/>
              <w:rPr>
                <w:rFonts w:ascii="新宋体" w:hAnsi="新宋体" w:eastAsia="新宋体"/>
                <w:color w:val="auto"/>
                <w:sz w:val="22"/>
                <w:szCs w:val="22"/>
                <w:highlight w:val="none"/>
              </w:rPr>
            </w:pPr>
          </w:p>
        </w:tc>
        <w:tc>
          <w:tcPr>
            <w:tcW w:w="1587" w:type="dxa"/>
            <w:tcBorders>
              <w:top w:val="single" w:color="auto" w:sz="4" w:space="0"/>
              <w:left w:val="single" w:color="auto" w:sz="4" w:space="0"/>
              <w:bottom w:val="single" w:color="auto" w:sz="4" w:space="0"/>
              <w:right w:val="single" w:color="auto" w:sz="4" w:space="0"/>
            </w:tcBorders>
            <w:noWrap/>
            <w:vAlign w:val="center"/>
          </w:tcPr>
          <w:p w14:paraId="425E9257">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专  业</w:t>
            </w:r>
          </w:p>
        </w:tc>
        <w:tc>
          <w:tcPr>
            <w:tcW w:w="1726" w:type="dxa"/>
            <w:tcBorders>
              <w:top w:val="single" w:color="auto" w:sz="4" w:space="0"/>
              <w:left w:val="single" w:color="auto" w:sz="4" w:space="0"/>
              <w:bottom w:val="single" w:color="auto" w:sz="4" w:space="0"/>
              <w:right w:val="single" w:color="auto" w:sz="4" w:space="0"/>
            </w:tcBorders>
            <w:noWrap/>
            <w:vAlign w:val="center"/>
          </w:tcPr>
          <w:p w14:paraId="4BF8EB93">
            <w:pPr>
              <w:spacing w:line="360" w:lineRule="exact"/>
              <w:jc w:val="center"/>
              <w:rPr>
                <w:rFonts w:ascii="新宋体" w:hAnsi="新宋体" w:eastAsia="新宋体"/>
                <w:color w:val="auto"/>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noWrap/>
            <w:vAlign w:val="center"/>
          </w:tcPr>
          <w:p w14:paraId="7B259953">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  务</w:t>
            </w:r>
          </w:p>
        </w:tc>
        <w:tc>
          <w:tcPr>
            <w:tcW w:w="1588" w:type="dxa"/>
            <w:tcBorders>
              <w:top w:val="single" w:color="auto" w:sz="4" w:space="0"/>
              <w:left w:val="single" w:color="auto" w:sz="4" w:space="0"/>
              <w:bottom w:val="single" w:color="auto" w:sz="4" w:space="0"/>
              <w:right w:val="single" w:color="auto" w:sz="12" w:space="0"/>
            </w:tcBorders>
            <w:noWrap/>
            <w:vAlign w:val="center"/>
          </w:tcPr>
          <w:p w14:paraId="1BFB8C24">
            <w:pPr>
              <w:spacing w:line="360" w:lineRule="exact"/>
              <w:jc w:val="center"/>
              <w:rPr>
                <w:rFonts w:ascii="新宋体" w:hAnsi="新宋体" w:eastAsia="新宋体"/>
                <w:color w:val="auto"/>
                <w:sz w:val="22"/>
                <w:szCs w:val="22"/>
                <w:highlight w:val="none"/>
              </w:rPr>
            </w:pPr>
          </w:p>
        </w:tc>
      </w:tr>
      <w:tr w14:paraId="373E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ign w:val="center"/>
          </w:tcPr>
          <w:p w14:paraId="3E4D35C2">
            <w:pPr>
              <w:spacing w:line="2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  称</w:t>
            </w:r>
          </w:p>
        </w:tc>
        <w:tc>
          <w:tcPr>
            <w:tcW w:w="1822" w:type="dxa"/>
            <w:tcBorders>
              <w:top w:val="single" w:color="auto" w:sz="4" w:space="0"/>
              <w:left w:val="single" w:color="auto" w:sz="4" w:space="0"/>
              <w:bottom w:val="single" w:color="auto" w:sz="4" w:space="0"/>
              <w:right w:val="single" w:color="auto" w:sz="4" w:space="0"/>
            </w:tcBorders>
            <w:noWrap/>
            <w:vAlign w:val="center"/>
          </w:tcPr>
          <w:p w14:paraId="52FBB134">
            <w:pPr>
              <w:spacing w:line="360" w:lineRule="exact"/>
              <w:rPr>
                <w:rFonts w:ascii="新宋体" w:hAnsi="新宋体" w:eastAsia="新宋体"/>
                <w:color w:val="auto"/>
                <w:sz w:val="22"/>
                <w:szCs w:val="22"/>
                <w:highlight w:val="none"/>
              </w:rPr>
            </w:pPr>
          </w:p>
        </w:tc>
        <w:tc>
          <w:tcPr>
            <w:tcW w:w="1587" w:type="dxa"/>
            <w:tcBorders>
              <w:top w:val="single" w:color="auto" w:sz="4" w:space="0"/>
              <w:left w:val="single" w:color="auto" w:sz="4" w:space="0"/>
              <w:bottom w:val="single" w:color="auto" w:sz="4" w:space="0"/>
              <w:right w:val="single" w:color="auto" w:sz="4" w:space="0"/>
            </w:tcBorders>
            <w:noWrap/>
            <w:vAlign w:val="center"/>
          </w:tcPr>
          <w:p w14:paraId="2CEABDAC">
            <w:pPr>
              <w:spacing w:line="360" w:lineRule="exact"/>
              <w:jc w:val="center"/>
              <w:rPr>
                <w:rFonts w:ascii="新宋体" w:hAnsi="新宋体" w:eastAsia="新宋体"/>
                <w:color w:val="auto"/>
                <w:sz w:val="22"/>
                <w:szCs w:val="22"/>
                <w:highlight w:val="none"/>
              </w:rPr>
            </w:pPr>
            <w:r>
              <w:rPr>
                <w:rFonts w:ascii="新宋体" w:hAnsi="新宋体" w:eastAsia="新宋体"/>
                <w:color w:val="auto"/>
                <w:sz w:val="22"/>
                <w:szCs w:val="22"/>
                <w:highlight w:val="none"/>
              </w:rPr>
              <w:t>学位</w:t>
            </w:r>
          </w:p>
        </w:tc>
        <w:tc>
          <w:tcPr>
            <w:tcW w:w="1726" w:type="dxa"/>
            <w:tcBorders>
              <w:top w:val="single" w:color="auto" w:sz="4" w:space="0"/>
              <w:left w:val="single" w:color="auto" w:sz="4" w:space="0"/>
              <w:bottom w:val="single" w:color="auto" w:sz="4" w:space="0"/>
              <w:right w:val="single" w:color="auto" w:sz="4" w:space="0"/>
            </w:tcBorders>
            <w:noWrap/>
            <w:vAlign w:val="center"/>
          </w:tcPr>
          <w:p w14:paraId="2F2B7B91">
            <w:pPr>
              <w:spacing w:line="360" w:lineRule="exact"/>
              <w:jc w:val="center"/>
              <w:rPr>
                <w:rFonts w:ascii="新宋体" w:hAnsi="新宋体" w:eastAsia="新宋体"/>
                <w:color w:val="auto"/>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noWrap/>
            <w:vAlign w:val="center"/>
          </w:tcPr>
          <w:p w14:paraId="08FC0D27">
            <w:pPr>
              <w:spacing w:line="2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参加工作</w:t>
            </w:r>
          </w:p>
          <w:p w14:paraId="7BFE31FF">
            <w:pPr>
              <w:spacing w:line="2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时间</w:t>
            </w:r>
          </w:p>
        </w:tc>
        <w:tc>
          <w:tcPr>
            <w:tcW w:w="1588" w:type="dxa"/>
            <w:tcBorders>
              <w:top w:val="single" w:color="auto" w:sz="4" w:space="0"/>
              <w:left w:val="single" w:color="auto" w:sz="4" w:space="0"/>
              <w:bottom w:val="single" w:color="auto" w:sz="4" w:space="0"/>
              <w:right w:val="single" w:color="auto" w:sz="12" w:space="0"/>
            </w:tcBorders>
            <w:noWrap/>
            <w:vAlign w:val="center"/>
          </w:tcPr>
          <w:p w14:paraId="72E9268E">
            <w:pPr>
              <w:spacing w:line="360" w:lineRule="exact"/>
              <w:jc w:val="center"/>
              <w:rPr>
                <w:rFonts w:ascii="新宋体" w:hAnsi="新宋体" w:eastAsia="新宋体"/>
                <w:color w:val="auto"/>
                <w:sz w:val="22"/>
                <w:szCs w:val="22"/>
                <w:highlight w:val="none"/>
              </w:rPr>
            </w:pPr>
          </w:p>
        </w:tc>
      </w:tr>
      <w:tr w14:paraId="6DF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ign w:val="center"/>
          </w:tcPr>
          <w:p w14:paraId="3E29D13F">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2、个人简历</w:t>
            </w:r>
          </w:p>
        </w:tc>
      </w:tr>
      <w:tr w14:paraId="218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ign w:val="center"/>
          </w:tcPr>
          <w:p w14:paraId="453343A7">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noWrap/>
            <w:vAlign w:val="center"/>
          </w:tcPr>
          <w:p w14:paraId="27D2866E">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专业工作经历</w:t>
            </w:r>
          </w:p>
        </w:tc>
      </w:tr>
      <w:tr w14:paraId="335C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ign w:val="center"/>
          </w:tcPr>
          <w:p w14:paraId="5A9DD1C4">
            <w:pPr>
              <w:spacing w:line="360" w:lineRule="exact"/>
              <w:rPr>
                <w:rFonts w:ascii="新宋体" w:hAnsi="新宋体" w:eastAsia="新宋体"/>
                <w:color w:val="auto"/>
                <w:sz w:val="22"/>
                <w:szCs w:val="22"/>
                <w:highlight w:val="none"/>
              </w:rPr>
            </w:pPr>
          </w:p>
        </w:tc>
        <w:tc>
          <w:tcPr>
            <w:tcW w:w="8172" w:type="dxa"/>
            <w:gridSpan w:val="5"/>
            <w:tcBorders>
              <w:top w:val="single" w:color="auto" w:sz="4" w:space="0"/>
              <w:left w:val="single" w:color="auto" w:sz="4" w:space="0"/>
              <w:bottom w:val="single" w:color="auto" w:sz="4" w:space="0"/>
              <w:right w:val="single" w:color="auto" w:sz="12" w:space="0"/>
            </w:tcBorders>
            <w:noWrap/>
            <w:vAlign w:val="center"/>
          </w:tcPr>
          <w:p w14:paraId="2EEF7E37">
            <w:pPr>
              <w:spacing w:line="360" w:lineRule="exact"/>
              <w:rPr>
                <w:rFonts w:ascii="新宋体" w:hAnsi="新宋体" w:eastAsia="新宋体"/>
                <w:color w:val="auto"/>
                <w:sz w:val="22"/>
                <w:szCs w:val="22"/>
                <w:highlight w:val="none"/>
              </w:rPr>
            </w:pPr>
          </w:p>
        </w:tc>
      </w:tr>
      <w:tr w14:paraId="1EB4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ign w:val="center"/>
          </w:tcPr>
          <w:p w14:paraId="2B32959C">
            <w:pPr>
              <w:spacing w:line="360" w:lineRule="exact"/>
              <w:rPr>
                <w:rFonts w:ascii="新宋体" w:hAnsi="新宋体" w:eastAsia="新宋体"/>
                <w:color w:val="auto"/>
                <w:sz w:val="22"/>
                <w:szCs w:val="22"/>
                <w:highlight w:val="none"/>
              </w:rPr>
            </w:pPr>
          </w:p>
        </w:tc>
        <w:tc>
          <w:tcPr>
            <w:tcW w:w="8172" w:type="dxa"/>
            <w:gridSpan w:val="5"/>
            <w:tcBorders>
              <w:top w:val="single" w:color="auto" w:sz="4" w:space="0"/>
              <w:left w:val="single" w:color="auto" w:sz="4" w:space="0"/>
              <w:bottom w:val="single" w:color="auto" w:sz="4" w:space="0"/>
              <w:right w:val="single" w:color="auto" w:sz="12" w:space="0"/>
            </w:tcBorders>
            <w:noWrap/>
            <w:vAlign w:val="center"/>
          </w:tcPr>
          <w:p w14:paraId="1CA0DB5F">
            <w:pPr>
              <w:spacing w:line="360" w:lineRule="exact"/>
              <w:rPr>
                <w:rFonts w:ascii="新宋体" w:hAnsi="新宋体" w:eastAsia="新宋体"/>
                <w:color w:val="auto"/>
                <w:sz w:val="22"/>
                <w:szCs w:val="22"/>
                <w:highlight w:val="none"/>
              </w:rPr>
            </w:pPr>
          </w:p>
        </w:tc>
      </w:tr>
      <w:tr w14:paraId="73FC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ign w:val="center"/>
          </w:tcPr>
          <w:p w14:paraId="73642B9B">
            <w:pPr>
              <w:spacing w:line="360" w:lineRule="exact"/>
              <w:rPr>
                <w:rFonts w:ascii="新宋体" w:hAnsi="新宋体" w:eastAsia="新宋体"/>
                <w:color w:val="auto"/>
                <w:sz w:val="22"/>
                <w:szCs w:val="22"/>
                <w:highlight w:val="none"/>
              </w:rPr>
            </w:pPr>
          </w:p>
        </w:tc>
        <w:tc>
          <w:tcPr>
            <w:tcW w:w="8172" w:type="dxa"/>
            <w:gridSpan w:val="5"/>
            <w:tcBorders>
              <w:top w:val="single" w:color="auto" w:sz="4" w:space="0"/>
              <w:left w:val="single" w:color="auto" w:sz="4" w:space="0"/>
              <w:bottom w:val="single" w:color="auto" w:sz="4" w:space="0"/>
              <w:right w:val="single" w:color="auto" w:sz="12" w:space="0"/>
            </w:tcBorders>
            <w:noWrap/>
            <w:vAlign w:val="center"/>
          </w:tcPr>
          <w:p w14:paraId="5A2F9CE9">
            <w:pPr>
              <w:spacing w:line="360" w:lineRule="exact"/>
              <w:rPr>
                <w:rFonts w:ascii="新宋体" w:hAnsi="新宋体" w:eastAsia="新宋体"/>
                <w:color w:val="auto"/>
                <w:sz w:val="22"/>
                <w:szCs w:val="22"/>
                <w:highlight w:val="none"/>
              </w:rPr>
            </w:pPr>
          </w:p>
        </w:tc>
      </w:tr>
      <w:tr w14:paraId="3B2A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ign w:val="center"/>
          </w:tcPr>
          <w:p w14:paraId="4C160960">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hint="eastAsia" w:ascii="新宋体" w:hAnsi="新宋体" w:eastAsia="新宋体" w:cs="宋体"/>
                <w:bCs/>
                <w:snapToGrid w:val="0"/>
                <w:color w:val="auto"/>
                <w:sz w:val="22"/>
                <w:szCs w:val="22"/>
                <w:highlight w:val="none"/>
              </w:rPr>
              <w:t>类似项目</w:t>
            </w:r>
          </w:p>
        </w:tc>
      </w:tr>
      <w:tr w14:paraId="1101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ign w:val="center"/>
          </w:tcPr>
          <w:p w14:paraId="6A4CA4E4">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noWrap/>
            <w:vAlign w:val="center"/>
          </w:tcPr>
          <w:p w14:paraId="08C72480">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noWrap/>
            <w:vAlign w:val="center"/>
          </w:tcPr>
          <w:p w14:paraId="5F721230">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该项目中任何职</w:t>
            </w:r>
          </w:p>
        </w:tc>
      </w:tr>
      <w:tr w14:paraId="4C20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ign w:val="center"/>
          </w:tcPr>
          <w:p w14:paraId="2A40917B">
            <w:pPr>
              <w:spacing w:line="360" w:lineRule="exact"/>
              <w:rPr>
                <w:rFonts w:ascii="新宋体" w:hAnsi="新宋体" w:eastAsia="新宋体"/>
                <w:color w:val="auto"/>
                <w:sz w:val="22"/>
                <w:szCs w:val="22"/>
                <w:highlight w:val="none"/>
              </w:rPr>
            </w:pPr>
          </w:p>
        </w:tc>
        <w:tc>
          <w:tcPr>
            <w:tcW w:w="5580" w:type="dxa"/>
            <w:gridSpan w:val="4"/>
            <w:tcBorders>
              <w:top w:val="single" w:color="auto" w:sz="4" w:space="0"/>
              <w:left w:val="single" w:color="auto" w:sz="4" w:space="0"/>
              <w:bottom w:val="single" w:color="auto" w:sz="4" w:space="0"/>
              <w:right w:val="single" w:color="auto" w:sz="4" w:space="0"/>
            </w:tcBorders>
            <w:noWrap/>
            <w:vAlign w:val="center"/>
          </w:tcPr>
          <w:p w14:paraId="5351AB57">
            <w:pPr>
              <w:spacing w:line="360" w:lineRule="exact"/>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noWrap/>
            <w:vAlign w:val="center"/>
          </w:tcPr>
          <w:p w14:paraId="2B34F832">
            <w:pPr>
              <w:spacing w:line="360" w:lineRule="exact"/>
              <w:rPr>
                <w:rFonts w:ascii="新宋体" w:hAnsi="新宋体" w:eastAsia="新宋体"/>
                <w:color w:val="auto"/>
                <w:sz w:val="22"/>
                <w:szCs w:val="22"/>
                <w:highlight w:val="none"/>
              </w:rPr>
            </w:pPr>
          </w:p>
        </w:tc>
      </w:tr>
      <w:tr w14:paraId="183C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ign w:val="center"/>
          </w:tcPr>
          <w:p w14:paraId="4D7B4F4E">
            <w:pPr>
              <w:spacing w:line="360" w:lineRule="exact"/>
              <w:rPr>
                <w:rFonts w:ascii="新宋体" w:hAnsi="新宋体" w:eastAsia="新宋体"/>
                <w:color w:val="auto"/>
                <w:sz w:val="22"/>
                <w:szCs w:val="22"/>
                <w:highlight w:val="none"/>
              </w:rPr>
            </w:pPr>
          </w:p>
        </w:tc>
        <w:tc>
          <w:tcPr>
            <w:tcW w:w="5580" w:type="dxa"/>
            <w:gridSpan w:val="4"/>
            <w:tcBorders>
              <w:top w:val="single" w:color="auto" w:sz="4" w:space="0"/>
              <w:left w:val="single" w:color="auto" w:sz="4" w:space="0"/>
              <w:bottom w:val="single" w:color="auto" w:sz="4" w:space="0"/>
              <w:right w:val="single" w:color="auto" w:sz="4" w:space="0"/>
            </w:tcBorders>
            <w:noWrap/>
            <w:vAlign w:val="center"/>
          </w:tcPr>
          <w:p w14:paraId="6DE01B00">
            <w:pPr>
              <w:spacing w:line="360" w:lineRule="exact"/>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noWrap/>
            <w:vAlign w:val="center"/>
          </w:tcPr>
          <w:p w14:paraId="5D89311B">
            <w:pPr>
              <w:spacing w:line="360" w:lineRule="exact"/>
              <w:rPr>
                <w:rFonts w:ascii="新宋体" w:hAnsi="新宋体" w:eastAsia="新宋体"/>
                <w:color w:val="auto"/>
                <w:sz w:val="22"/>
                <w:szCs w:val="22"/>
                <w:highlight w:val="none"/>
              </w:rPr>
            </w:pPr>
          </w:p>
        </w:tc>
      </w:tr>
      <w:tr w14:paraId="59AB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ign w:val="center"/>
          </w:tcPr>
          <w:p w14:paraId="1B9DEC30">
            <w:pPr>
              <w:spacing w:line="360" w:lineRule="exact"/>
              <w:rPr>
                <w:rFonts w:ascii="新宋体" w:hAnsi="新宋体" w:eastAsia="新宋体"/>
                <w:color w:val="auto"/>
                <w:sz w:val="22"/>
                <w:szCs w:val="22"/>
                <w:highlight w:val="none"/>
              </w:rPr>
            </w:pPr>
          </w:p>
        </w:tc>
        <w:tc>
          <w:tcPr>
            <w:tcW w:w="5580" w:type="dxa"/>
            <w:gridSpan w:val="4"/>
            <w:tcBorders>
              <w:top w:val="single" w:color="auto" w:sz="4" w:space="0"/>
              <w:left w:val="single" w:color="auto" w:sz="4" w:space="0"/>
              <w:bottom w:val="single" w:color="auto" w:sz="4" w:space="0"/>
              <w:right w:val="single" w:color="auto" w:sz="4" w:space="0"/>
            </w:tcBorders>
            <w:noWrap/>
            <w:vAlign w:val="center"/>
          </w:tcPr>
          <w:p w14:paraId="2F429507">
            <w:pPr>
              <w:spacing w:line="360" w:lineRule="exact"/>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noWrap/>
            <w:vAlign w:val="center"/>
          </w:tcPr>
          <w:p w14:paraId="2A29FD16">
            <w:pPr>
              <w:spacing w:line="360" w:lineRule="exact"/>
              <w:rPr>
                <w:rFonts w:ascii="新宋体" w:hAnsi="新宋体" w:eastAsia="新宋体"/>
                <w:color w:val="auto"/>
                <w:sz w:val="22"/>
                <w:szCs w:val="22"/>
                <w:highlight w:val="none"/>
              </w:rPr>
            </w:pPr>
          </w:p>
        </w:tc>
      </w:tr>
      <w:tr w14:paraId="7DD7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ign w:val="center"/>
          </w:tcPr>
          <w:p w14:paraId="4DABC4E0">
            <w:pPr>
              <w:spacing w:line="360" w:lineRule="exact"/>
              <w:rPr>
                <w:rFonts w:ascii="新宋体" w:hAnsi="新宋体" w:eastAsia="新宋体"/>
                <w:color w:val="auto"/>
                <w:sz w:val="22"/>
                <w:szCs w:val="22"/>
                <w:highlight w:val="none"/>
              </w:rPr>
            </w:pPr>
          </w:p>
        </w:tc>
        <w:tc>
          <w:tcPr>
            <w:tcW w:w="5580" w:type="dxa"/>
            <w:gridSpan w:val="4"/>
            <w:tcBorders>
              <w:top w:val="single" w:color="auto" w:sz="4" w:space="0"/>
              <w:left w:val="single" w:color="auto" w:sz="4" w:space="0"/>
              <w:bottom w:val="single" w:color="auto" w:sz="4" w:space="0"/>
              <w:right w:val="single" w:color="auto" w:sz="4" w:space="0"/>
            </w:tcBorders>
            <w:noWrap/>
            <w:vAlign w:val="center"/>
          </w:tcPr>
          <w:p w14:paraId="4EDBAC56">
            <w:pPr>
              <w:spacing w:line="360" w:lineRule="exact"/>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noWrap/>
            <w:vAlign w:val="center"/>
          </w:tcPr>
          <w:p w14:paraId="32FACFF2">
            <w:pPr>
              <w:spacing w:line="360" w:lineRule="exact"/>
              <w:rPr>
                <w:rFonts w:ascii="新宋体" w:hAnsi="新宋体" w:eastAsia="新宋体"/>
                <w:color w:val="auto"/>
                <w:sz w:val="22"/>
                <w:szCs w:val="22"/>
                <w:highlight w:val="none"/>
              </w:rPr>
            </w:pPr>
          </w:p>
        </w:tc>
      </w:tr>
      <w:tr w14:paraId="190C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ign w:val="center"/>
          </w:tcPr>
          <w:p w14:paraId="617C96C3">
            <w:pPr>
              <w:spacing w:line="360" w:lineRule="exact"/>
              <w:rPr>
                <w:rFonts w:ascii="新宋体" w:hAnsi="新宋体" w:eastAsia="新宋体"/>
                <w:color w:val="auto"/>
                <w:sz w:val="22"/>
                <w:szCs w:val="22"/>
                <w:highlight w:val="none"/>
              </w:rPr>
            </w:pPr>
          </w:p>
        </w:tc>
        <w:tc>
          <w:tcPr>
            <w:tcW w:w="5580" w:type="dxa"/>
            <w:gridSpan w:val="4"/>
            <w:tcBorders>
              <w:top w:val="single" w:color="auto" w:sz="4" w:space="0"/>
              <w:left w:val="single" w:color="auto" w:sz="4" w:space="0"/>
              <w:bottom w:val="single" w:color="auto" w:sz="4" w:space="0"/>
              <w:right w:val="single" w:color="auto" w:sz="4" w:space="0"/>
            </w:tcBorders>
            <w:noWrap/>
            <w:vAlign w:val="center"/>
          </w:tcPr>
          <w:p w14:paraId="1FA46977">
            <w:pPr>
              <w:spacing w:line="360" w:lineRule="exact"/>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noWrap/>
            <w:vAlign w:val="center"/>
          </w:tcPr>
          <w:p w14:paraId="5CB6F1DA">
            <w:pPr>
              <w:spacing w:line="360" w:lineRule="exact"/>
              <w:rPr>
                <w:rFonts w:ascii="新宋体" w:hAnsi="新宋体" w:eastAsia="新宋体"/>
                <w:color w:val="auto"/>
                <w:sz w:val="22"/>
                <w:szCs w:val="22"/>
                <w:highlight w:val="none"/>
              </w:rPr>
            </w:pPr>
          </w:p>
        </w:tc>
      </w:tr>
      <w:tr w14:paraId="6ACB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noWrap/>
            <w:vAlign w:val="center"/>
          </w:tcPr>
          <w:p w14:paraId="12881149">
            <w:pPr>
              <w:spacing w:line="360" w:lineRule="exact"/>
              <w:rPr>
                <w:rFonts w:ascii="新宋体" w:hAnsi="新宋体" w:eastAsia="新宋体"/>
                <w:color w:val="auto"/>
                <w:sz w:val="22"/>
                <w:szCs w:val="22"/>
                <w:highlight w:val="none"/>
              </w:rPr>
            </w:pPr>
          </w:p>
        </w:tc>
        <w:tc>
          <w:tcPr>
            <w:tcW w:w="5580" w:type="dxa"/>
            <w:gridSpan w:val="4"/>
            <w:tcBorders>
              <w:top w:val="single" w:color="auto" w:sz="4" w:space="0"/>
              <w:left w:val="single" w:color="auto" w:sz="4" w:space="0"/>
              <w:bottom w:val="single" w:color="auto" w:sz="12" w:space="0"/>
              <w:right w:val="single" w:color="auto" w:sz="4" w:space="0"/>
            </w:tcBorders>
            <w:noWrap/>
            <w:vAlign w:val="center"/>
          </w:tcPr>
          <w:p w14:paraId="109BA01E">
            <w:pPr>
              <w:spacing w:line="360" w:lineRule="exact"/>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12" w:space="0"/>
              <w:right w:val="single" w:color="auto" w:sz="12" w:space="0"/>
            </w:tcBorders>
            <w:noWrap/>
            <w:vAlign w:val="center"/>
          </w:tcPr>
          <w:p w14:paraId="5A882ED4">
            <w:pPr>
              <w:spacing w:line="360" w:lineRule="exact"/>
              <w:rPr>
                <w:rFonts w:ascii="新宋体" w:hAnsi="新宋体" w:eastAsia="新宋体"/>
                <w:color w:val="auto"/>
                <w:sz w:val="22"/>
                <w:szCs w:val="22"/>
                <w:highlight w:val="none"/>
              </w:rPr>
            </w:pPr>
          </w:p>
        </w:tc>
      </w:tr>
    </w:tbl>
    <w:p w14:paraId="407DF302">
      <w:pPr>
        <w:spacing w:line="360" w:lineRule="exact"/>
        <w:ind w:left="770" w:hanging="770" w:hangingChars="3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注：1、本表应附相关证书、证明、社保等证明扫描件； </w:t>
      </w:r>
    </w:p>
    <w:p w14:paraId="54F7A72C">
      <w:pPr>
        <w:pStyle w:val="12"/>
        <w:spacing w:line="400" w:lineRule="atLeast"/>
        <w:ind w:left="4618" w:leftChars="156" w:hanging="4290" w:hangingChars="19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2、本表可在不改变格式的情况下根据具体需要自行增减。 </w:t>
      </w:r>
    </w:p>
    <w:p w14:paraId="56D61313">
      <w:pPr>
        <w:pStyle w:val="12"/>
        <w:spacing w:line="400" w:lineRule="atLeast"/>
        <w:ind w:left="4618" w:leftChars="156" w:hanging="4290" w:hangingChars="1950"/>
        <w:rPr>
          <w:rFonts w:ascii="新宋体" w:hAnsi="新宋体" w:eastAsia="新宋体"/>
          <w:color w:val="auto"/>
          <w:sz w:val="22"/>
          <w:szCs w:val="22"/>
          <w:highlight w:val="none"/>
        </w:rPr>
      </w:pPr>
    </w:p>
    <w:p w14:paraId="51B86D4C">
      <w:pPr>
        <w:pStyle w:val="12"/>
        <w:spacing w:line="400" w:lineRule="exact"/>
        <w:ind w:left="4605" w:leftChars="219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投标供应商名称（盖章）：</w:t>
      </w:r>
    </w:p>
    <w:p w14:paraId="1571392F">
      <w:pPr>
        <w:pStyle w:val="12"/>
        <w:spacing w:line="400" w:lineRule="exact"/>
        <w:ind w:left="660" w:hanging="660" w:hangingChars="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投标供应商代表（签字或盖章）：</w:t>
      </w:r>
    </w:p>
    <w:p w14:paraId="73E2B785">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    年   月   日</w:t>
      </w:r>
    </w:p>
    <w:p w14:paraId="4D3D853C">
      <w:pPr>
        <w:pStyle w:val="6"/>
        <w:spacing w:line="400" w:lineRule="exact"/>
        <w:rPr>
          <w:rFonts w:ascii="新宋体" w:hAnsi="新宋体" w:eastAsia="新宋体"/>
          <w:b w:val="0"/>
          <w:color w:val="auto"/>
          <w:sz w:val="24"/>
          <w:szCs w:val="24"/>
          <w:highlight w:val="none"/>
        </w:rPr>
      </w:pPr>
      <w:bookmarkStart w:id="83" w:name="_Toc482309056"/>
      <w:bookmarkStart w:id="84" w:name="_Toc63412071"/>
      <w:bookmarkStart w:id="85" w:name="_Toc395528094"/>
      <w:bookmarkStart w:id="86" w:name="_Toc509500510"/>
      <w:bookmarkStart w:id="87" w:name="_Toc301515381"/>
      <w:r>
        <w:rPr>
          <w:rFonts w:hint="eastAsia" w:ascii="新宋体" w:hAnsi="新宋体" w:eastAsia="新宋体"/>
          <w:color w:val="auto"/>
          <w:sz w:val="22"/>
          <w:szCs w:val="22"/>
          <w:highlight w:val="none"/>
        </w:rPr>
        <w:t xml:space="preserve">附件八  </w:t>
      </w:r>
      <w:bookmarkEnd w:id="83"/>
      <w:bookmarkEnd w:id="84"/>
      <w:bookmarkEnd w:id="85"/>
      <w:bookmarkEnd w:id="86"/>
      <w:r>
        <w:rPr>
          <w:rFonts w:hint="eastAsia" w:ascii="新宋体" w:hAnsi="新宋体" w:eastAsia="新宋体"/>
          <w:color w:val="auto"/>
          <w:sz w:val="22"/>
          <w:szCs w:val="22"/>
          <w:highlight w:val="none"/>
        </w:rPr>
        <w:t>本项目项目管理人员一览表</w:t>
      </w:r>
    </w:p>
    <w:p w14:paraId="1F797554">
      <w:pPr>
        <w:pStyle w:val="12"/>
        <w:spacing w:line="400" w:lineRule="atLeast"/>
        <w:ind w:left="904" w:hanging="904" w:hangingChars="300"/>
        <w:jc w:val="center"/>
        <w:rPr>
          <w:rFonts w:ascii="新宋体" w:hAnsi="新宋体" w:eastAsia="新宋体"/>
          <w:b/>
          <w:color w:val="auto"/>
          <w:kern w:val="2"/>
          <w:sz w:val="28"/>
          <w:szCs w:val="28"/>
          <w:highlight w:val="none"/>
        </w:rPr>
      </w:pPr>
      <w:r>
        <w:rPr>
          <w:rFonts w:hint="eastAsia" w:ascii="新宋体" w:hAnsi="新宋体" w:eastAsia="新宋体"/>
          <w:b/>
          <w:color w:val="auto"/>
          <w:sz w:val="30"/>
          <w:szCs w:val="30"/>
          <w:highlight w:val="none"/>
        </w:rPr>
        <w:t xml:space="preserve"> </w:t>
      </w:r>
      <w:bookmarkEnd w:id="87"/>
      <w:r>
        <w:rPr>
          <w:rFonts w:hint="eastAsia" w:ascii="新宋体" w:hAnsi="新宋体" w:eastAsia="新宋体"/>
          <w:b/>
          <w:color w:val="auto"/>
          <w:sz w:val="30"/>
          <w:szCs w:val="30"/>
          <w:highlight w:val="none"/>
        </w:rPr>
        <w:t>本项目项目管理人员一览表</w:t>
      </w:r>
    </w:p>
    <w:p w14:paraId="29B40CF4">
      <w:pPr>
        <w:rPr>
          <w:color w:val="auto"/>
          <w:highlight w:val="none"/>
        </w:rPr>
      </w:pPr>
    </w:p>
    <w:p w14:paraId="55AD3BD8">
      <w:pPr>
        <w:spacing w:line="360" w:lineRule="exact"/>
        <w:rPr>
          <w:rFonts w:ascii="新宋体" w:hAnsi="新宋体" w:eastAsia="新宋体"/>
          <w:color w:val="auto"/>
          <w:highlight w:val="none"/>
        </w:rPr>
      </w:pPr>
      <w:r>
        <w:rPr>
          <w:rFonts w:hint="eastAsia" w:ascii="新宋体" w:hAnsi="新宋体" w:eastAsia="新宋体"/>
          <w:color w:val="auto"/>
          <w:highlight w:val="none"/>
        </w:rPr>
        <w:t>项目名称：                                       项目编号：</w:t>
      </w:r>
    </w:p>
    <w:tbl>
      <w:tblPr>
        <w:tblStyle w:val="24"/>
        <w:tblW w:w="9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43"/>
        <w:gridCol w:w="843"/>
        <w:gridCol w:w="1115"/>
        <w:gridCol w:w="1095"/>
        <w:gridCol w:w="1157"/>
        <w:gridCol w:w="1540"/>
        <w:gridCol w:w="1194"/>
        <w:gridCol w:w="1194"/>
      </w:tblGrid>
      <w:tr w14:paraId="7F43B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56" w:type="dxa"/>
            <w:tcBorders>
              <w:top w:val="single" w:color="auto" w:sz="12" w:space="0"/>
              <w:left w:val="single" w:color="auto" w:sz="12" w:space="0"/>
              <w:bottom w:val="single" w:color="auto" w:sz="4" w:space="0"/>
              <w:right w:val="single" w:color="auto" w:sz="4" w:space="0"/>
            </w:tcBorders>
            <w:vAlign w:val="center"/>
          </w:tcPr>
          <w:p w14:paraId="2CF3430B">
            <w:pPr>
              <w:spacing w:line="30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姓名</w:t>
            </w:r>
          </w:p>
        </w:tc>
        <w:tc>
          <w:tcPr>
            <w:tcW w:w="843" w:type="dxa"/>
            <w:tcBorders>
              <w:top w:val="single" w:color="auto" w:sz="12" w:space="0"/>
              <w:left w:val="single" w:color="auto" w:sz="4" w:space="0"/>
              <w:bottom w:val="single" w:color="auto" w:sz="4" w:space="0"/>
              <w:right w:val="single" w:color="auto" w:sz="4" w:space="0"/>
            </w:tcBorders>
            <w:vAlign w:val="center"/>
          </w:tcPr>
          <w:p w14:paraId="208A30D7">
            <w:pPr>
              <w:spacing w:line="30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性别</w:t>
            </w:r>
          </w:p>
        </w:tc>
        <w:tc>
          <w:tcPr>
            <w:tcW w:w="843" w:type="dxa"/>
            <w:tcBorders>
              <w:top w:val="single" w:color="auto" w:sz="12" w:space="0"/>
              <w:left w:val="single" w:color="auto" w:sz="4" w:space="0"/>
              <w:bottom w:val="single" w:color="auto" w:sz="4" w:space="0"/>
              <w:right w:val="single" w:color="auto" w:sz="4" w:space="0"/>
            </w:tcBorders>
            <w:vAlign w:val="center"/>
          </w:tcPr>
          <w:p w14:paraId="20B0D940">
            <w:pPr>
              <w:spacing w:line="30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年龄</w:t>
            </w:r>
          </w:p>
        </w:tc>
        <w:tc>
          <w:tcPr>
            <w:tcW w:w="1115" w:type="dxa"/>
            <w:tcBorders>
              <w:top w:val="single" w:color="auto" w:sz="12" w:space="0"/>
              <w:left w:val="single" w:color="auto" w:sz="4" w:space="0"/>
              <w:bottom w:val="single" w:color="auto" w:sz="4" w:space="0"/>
              <w:right w:val="single" w:color="auto" w:sz="4" w:space="0"/>
            </w:tcBorders>
            <w:vAlign w:val="center"/>
          </w:tcPr>
          <w:p w14:paraId="12EA6FE9">
            <w:pPr>
              <w:spacing w:line="30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学历/职称</w:t>
            </w:r>
          </w:p>
        </w:tc>
        <w:tc>
          <w:tcPr>
            <w:tcW w:w="1095" w:type="dxa"/>
            <w:tcBorders>
              <w:top w:val="single" w:color="auto" w:sz="12" w:space="0"/>
              <w:left w:val="single" w:color="auto" w:sz="4" w:space="0"/>
              <w:bottom w:val="single" w:color="auto" w:sz="4" w:space="0"/>
              <w:right w:val="single" w:color="auto" w:sz="4" w:space="0"/>
            </w:tcBorders>
            <w:vAlign w:val="center"/>
          </w:tcPr>
          <w:p w14:paraId="2159C449">
            <w:pPr>
              <w:spacing w:line="30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专业</w:t>
            </w:r>
          </w:p>
        </w:tc>
        <w:tc>
          <w:tcPr>
            <w:tcW w:w="1157" w:type="dxa"/>
            <w:tcBorders>
              <w:top w:val="single" w:color="auto" w:sz="12" w:space="0"/>
              <w:left w:val="single" w:color="auto" w:sz="4" w:space="0"/>
              <w:bottom w:val="single" w:color="auto" w:sz="4" w:space="0"/>
              <w:right w:val="single" w:color="auto" w:sz="4" w:space="0"/>
            </w:tcBorders>
            <w:vAlign w:val="center"/>
          </w:tcPr>
          <w:p w14:paraId="0900291C">
            <w:pPr>
              <w:spacing w:line="30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专业工作年限</w:t>
            </w:r>
          </w:p>
        </w:tc>
        <w:tc>
          <w:tcPr>
            <w:tcW w:w="1540" w:type="dxa"/>
            <w:tcBorders>
              <w:top w:val="single" w:color="auto" w:sz="12" w:space="0"/>
              <w:left w:val="single" w:color="auto" w:sz="4" w:space="0"/>
              <w:bottom w:val="single" w:color="auto" w:sz="4" w:space="0"/>
              <w:right w:val="single" w:color="auto" w:sz="4" w:space="0"/>
            </w:tcBorders>
            <w:vAlign w:val="center"/>
          </w:tcPr>
          <w:p w14:paraId="0412E00B">
            <w:pPr>
              <w:spacing w:line="30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工作经验</w:t>
            </w:r>
          </w:p>
        </w:tc>
        <w:tc>
          <w:tcPr>
            <w:tcW w:w="1194" w:type="dxa"/>
            <w:tcBorders>
              <w:top w:val="single" w:color="auto" w:sz="12" w:space="0"/>
              <w:left w:val="single" w:color="auto" w:sz="4" w:space="0"/>
              <w:bottom w:val="single" w:color="auto" w:sz="4" w:space="0"/>
              <w:right w:val="single" w:color="auto" w:sz="4" w:space="0"/>
            </w:tcBorders>
            <w:vAlign w:val="center"/>
          </w:tcPr>
          <w:p w14:paraId="17E7EFB1">
            <w:pPr>
              <w:spacing w:line="30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拟任何职</w:t>
            </w:r>
          </w:p>
        </w:tc>
        <w:tc>
          <w:tcPr>
            <w:tcW w:w="1194" w:type="dxa"/>
            <w:tcBorders>
              <w:top w:val="single" w:color="auto" w:sz="12" w:space="0"/>
              <w:left w:val="single" w:color="auto" w:sz="4" w:space="0"/>
              <w:bottom w:val="single" w:color="auto" w:sz="4" w:space="0"/>
              <w:right w:val="single" w:color="auto" w:sz="12" w:space="0"/>
            </w:tcBorders>
            <w:vAlign w:val="center"/>
          </w:tcPr>
          <w:p w14:paraId="494C0B1F">
            <w:pPr>
              <w:spacing w:line="30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备注</w:t>
            </w:r>
          </w:p>
        </w:tc>
      </w:tr>
      <w:tr w14:paraId="4C49A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48FEA917">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02D3563D">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6ABA6F1D">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6E376E30">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5B72CC91">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5C1EC801">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29BDDB62">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396DEDF9">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0C9839DD">
            <w:pPr>
              <w:spacing w:line="360" w:lineRule="exact"/>
              <w:jc w:val="center"/>
              <w:rPr>
                <w:rFonts w:ascii="新宋体" w:hAnsi="新宋体" w:eastAsia="新宋体"/>
                <w:color w:val="auto"/>
                <w:sz w:val="22"/>
                <w:szCs w:val="22"/>
                <w:highlight w:val="none"/>
              </w:rPr>
            </w:pPr>
          </w:p>
        </w:tc>
      </w:tr>
      <w:tr w14:paraId="02DD3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4A79DE12">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68C39409">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7E8333CA">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744ADA0C">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77DE34F2">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74082EE6">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1558567B">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35A0CE73">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727292EB">
            <w:pPr>
              <w:spacing w:line="360" w:lineRule="exact"/>
              <w:jc w:val="center"/>
              <w:rPr>
                <w:rFonts w:ascii="新宋体" w:hAnsi="新宋体" w:eastAsia="新宋体"/>
                <w:color w:val="auto"/>
                <w:sz w:val="22"/>
                <w:szCs w:val="22"/>
                <w:highlight w:val="none"/>
              </w:rPr>
            </w:pPr>
          </w:p>
        </w:tc>
      </w:tr>
      <w:tr w14:paraId="3D145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663AF0A4">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1915557D">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18A0827F">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7C59FD54">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A79D444">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6C291C72">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640F4C5C">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72BC20A8">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444714DC">
            <w:pPr>
              <w:spacing w:line="360" w:lineRule="exact"/>
              <w:jc w:val="center"/>
              <w:rPr>
                <w:rFonts w:ascii="新宋体" w:hAnsi="新宋体" w:eastAsia="新宋体"/>
                <w:color w:val="auto"/>
                <w:sz w:val="22"/>
                <w:szCs w:val="22"/>
                <w:highlight w:val="none"/>
              </w:rPr>
            </w:pPr>
          </w:p>
        </w:tc>
      </w:tr>
      <w:tr w14:paraId="49D60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7ED12CC8">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2A02C5B7">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38590898">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407F0CCD">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E6FEF1F">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32050D60">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25B7CE53">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02E8E9C3">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33130A9E">
            <w:pPr>
              <w:spacing w:line="360" w:lineRule="exact"/>
              <w:jc w:val="center"/>
              <w:rPr>
                <w:rFonts w:ascii="新宋体" w:hAnsi="新宋体" w:eastAsia="新宋体"/>
                <w:color w:val="auto"/>
                <w:sz w:val="22"/>
                <w:szCs w:val="22"/>
                <w:highlight w:val="none"/>
              </w:rPr>
            </w:pPr>
          </w:p>
        </w:tc>
      </w:tr>
      <w:tr w14:paraId="357B7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00B3E587">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1F26FDDE">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73425402">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0D54FCD8">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76D29A4">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086570BF">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2C01A109">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5F959F83">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33F0400D">
            <w:pPr>
              <w:spacing w:line="360" w:lineRule="exact"/>
              <w:jc w:val="center"/>
              <w:rPr>
                <w:rFonts w:ascii="新宋体" w:hAnsi="新宋体" w:eastAsia="新宋体"/>
                <w:color w:val="auto"/>
                <w:sz w:val="22"/>
                <w:szCs w:val="22"/>
                <w:highlight w:val="none"/>
              </w:rPr>
            </w:pPr>
          </w:p>
        </w:tc>
      </w:tr>
      <w:tr w14:paraId="203E0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2BED7D2D">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7311A36D">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488995A9">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35C9D0BD">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BF97D0A">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3E23EF8B">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59D81D9E">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34902384">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020E417F">
            <w:pPr>
              <w:spacing w:line="360" w:lineRule="exact"/>
              <w:jc w:val="center"/>
              <w:rPr>
                <w:rFonts w:ascii="新宋体" w:hAnsi="新宋体" w:eastAsia="新宋体"/>
                <w:color w:val="auto"/>
                <w:sz w:val="22"/>
                <w:szCs w:val="22"/>
                <w:highlight w:val="none"/>
              </w:rPr>
            </w:pPr>
          </w:p>
        </w:tc>
      </w:tr>
      <w:tr w14:paraId="4C23B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1A59BF07">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1B6A3A05">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36743526">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13FCFA9E">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14BA0818">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5480DF81">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0EC977F8">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23246202">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56ABC4EA">
            <w:pPr>
              <w:spacing w:line="360" w:lineRule="exact"/>
              <w:jc w:val="center"/>
              <w:rPr>
                <w:rFonts w:ascii="新宋体" w:hAnsi="新宋体" w:eastAsia="新宋体"/>
                <w:color w:val="auto"/>
                <w:sz w:val="22"/>
                <w:szCs w:val="22"/>
                <w:highlight w:val="none"/>
              </w:rPr>
            </w:pPr>
          </w:p>
        </w:tc>
      </w:tr>
      <w:tr w14:paraId="4E307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491DD749">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6DC671B8">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184C617D">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3DC8F352">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5118A563">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29422041">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0EF169D9">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18D12018">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5F434139">
            <w:pPr>
              <w:spacing w:line="360" w:lineRule="exact"/>
              <w:jc w:val="center"/>
              <w:rPr>
                <w:rFonts w:ascii="新宋体" w:hAnsi="新宋体" w:eastAsia="新宋体"/>
                <w:color w:val="auto"/>
                <w:sz w:val="22"/>
                <w:szCs w:val="22"/>
                <w:highlight w:val="none"/>
              </w:rPr>
            </w:pPr>
          </w:p>
        </w:tc>
      </w:tr>
      <w:tr w14:paraId="1A5A1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17773692">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66859F25">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0B898C02">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18F3DE37">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D4DAD32">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14CBA2EB">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2BE584FE">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093B6257">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10846977">
            <w:pPr>
              <w:spacing w:line="360" w:lineRule="exact"/>
              <w:jc w:val="center"/>
              <w:rPr>
                <w:rFonts w:ascii="新宋体" w:hAnsi="新宋体" w:eastAsia="新宋体"/>
                <w:color w:val="auto"/>
                <w:sz w:val="22"/>
                <w:szCs w:val="22"/>
                <w:highlight w:val="none"/>
              </w:rPr>
            </w:pPr>
          </w:p>
        </w:tc>
      </w:tr>
      <w:tr w14:paraId="4ADC1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562D7DCF">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0C677774">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4207A340">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6A92C112">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168982B">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5600CEB4">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5ECA90B3">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23E6819E">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7F19F826">
            <w:pPr>
              <w:spacing w:line="360" w:lineRule="exact"/>
              <w:jc w:val="center"/>
              <w:rPr>
                <w:rFonts w:ascii="新宋体" w:hAnsi="新宋体" w:eastAsia="新宋体"/>
                <w:color w:val="auto"/>
                <w:sz w:val="22"/>
                <w:szCs w:val="22"/>
                <w:highlight w:val="none"/>
              </w:rPr>
            </w:pPr>
          </w:p>
        </w:tc>
      </w:tr>
      <w:tr w14:paraId="270216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42F8DF24">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1D63DCAF">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14:paraId="1E1B67E8">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0BCDBEF9">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668F021">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6F6150AB">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516E6E5D">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4BA21CE6">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14:paraId="0B388147">
            <w:pPr>
              <w:spacing w:line="360" w:lineRule="exact"/>
              <w:jc w:val="center"/>
              <w:rPr>
                <w:rFonts w:ascii="新宋体" w:hAnsi="新宋体" w:eastAsia="新宋体"/>
                <w:color w:val="auto"/>
                <w:sz w:val="22"/>
                <w:szCs w:val="22"/>
                <w:highlight w:val="none"/>
              </w:rPr>
            </w:pPr>
          </w:p>
        </w:tc>
      </w:tr>
      <w:tr w14:paraId="2D0E5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12" w:space="0"/>
              <w:right w:val="single" w:color="auto" w:sz="4" w:space="0"/>
            </w:tcBorders>
            <w:vAlign w:val="center"/>
          </w:tcPr>
          <w:p w14:paraId="1F461D00">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12" w:space="0"/>
              <w:right w:val="single" w:color="auto" w:sz="4" w:space="0"/>
            </w:tcBorders>
            <w:vAlign w:val="center"/>
          </w:tcPr>
          <w:p w14:paraId="5B19E361">
            <w:pPr>
              <w:spacing w:line="360" w:lineRule="exact"/>
              <w:jc w:val="center"/>
              <w:rPr>
                <w:rFonts w:ascii="新宋体" w:hAnsi="新宋体" w:eastAsia="新宋体"/>
                <w:color w:val="auto"/>
                <w:sz w:val="22"/>
                <w:szCs w:val="22"/>
                <w:highlight w:val="none"/>
              </w:rPr>
            </w:pPr>
          </w:p>
        </w:tc>
        <w:tc>
          <w:tcPr>
            <w:tcW w:w="843" w:type="dxa"/>
            <w:tcBorders>
              <w:top w:val="single" w:color="auto" w:sz="4" w:space="0"/>
              <w:left w:val="single" w:color="auto" w:sz="4" w:space="0"/>
              <w:bottom w:val="single" w:color="auto" w:sz="12" w:space="0"/>
              <w:right w:val="single" w:color="auto" w:sz="4" w:space="0"/>
            </w:tcBorders>
            <w:vAlign w:val="center"/>
          </w:tcPr>
          <w:p w14:paraId="32A597D6">
            <w:pPr>
              <w:spacing w:line="360" w:lineRule="exact"/>
              <w:jc w:val="center"/>
              <w:rPr>
                <w:rFonts w:ascii="新宋体" w:hAnsi="新宋体" w:eastAsia="新宋体"/>
                <w:color w:val="auto"/>
                <w:sz w:val="22"/>
                <w:szCs w:val="22"/>
                <w:highlight w:val="none"/>
              </w:rPr>
            </w:pPr>
          </w:p>
        </w:tc>
        <w:tc>
          <w:tcPr>
            <w:tcW w:w="1115" w:type="dxa"/>
            <w:tcBorders>
              <w:top w:val="single" w:color="auto" w:sz="4" w:space="0"/>
              <w:left w:val="single" w:color="auto" w:sz="4" w:space="0"/>
              <w:bottom w:val="single" w:color="auto" w:sz="12" w:space="0"/>
              <w:right w:val="single" w:color="auto" w:sz="4" w:space="0"/>
            </w:tcBorders>
            <w:vAlign w:val="center"/>
          </w:tcPr>
          <w:p w14:paraId="2A88D398">
            <w:pPr>
              <w:spacing w:line="360" w:lineRule="exact"/>
              <w:jc w:val="center"/>
              <w:rPr>
                <w:rFonts w:ascii="新宋体" w:hAnsi="新宋体" w:eastAsia="新宋体"/>
                <w:color w:val="auto"/>
                <w:sz w:val="22"/>
                <w:szCs w:val="22"/>
                <w:highlight w:val="none"/>
              </w:rPr>
            </w:pPr>
          </w:p>
        </w:tc>
        <w:tc>
          <w:tcPr>
            <w:tcW w:w="1095" w:type="dxa"/>
            <w:tcBorders>
              <w:top w:val="single" w:color="auto" w:sz="4" w:space="0"/>
              <w:left w:val="single" w:color="auto" w:sz="4" w:space="0"/>
              <w:bottom w:val="single" w:color="auto" w:sz="12" w:space="0"/>
              <w:right w:val="single" w:color="auto" w:sz="4" w:space="0"/>
            </w:tcBorders>
            <w:vAlign w:val="center"/>
          </w:tcPr>
          <w:p w14:paraId="5C12C15D">
            <w:pPr>
              <w:spacing w:line="360" w:lineRule="exact"/>
              <w:jc w:val="center"/>
              <w:rPr>
                <w:rFonts w:ascii="新宋体" w:hAnsi="新宋体" w:eastAsia="新宋体"/>
                <w:color w:val="auto"/>
                <w:sz w:val="22"/>
                <w:szCs w:val="22"/>
                <w:highlight w:val="none"/>
              </w:rPr>
            </w:pPr>
          </w:p>
        </w:tc>
        <w:tc>
          <w:tcPr>
            <w:tcW w:w="1157" w:type="dxa"/>
            <w:tcBorders>
              <w:top w:val="single" w:color="auto" w:sz="4" w:space="0"/>
              <w:left w:val="single" w:color="auto" w:sz="4" w:space="0"/>
              <w:bottom w:val="single" w:color="auto" w:sz="12" w:space="0"/>
              <w:right w:val="single" w:color="auto" w:sz="4" w:space="0"/>
            </w:tcBorders>
            <w:vAlign w:val="center"/>
          </w:tcPr>
          <w:p w14:paraId="5D1AF78B">
            <w:pPr>
              <w:spacing w:line="360" w:lineRule="exact"/>
              <w:jc w:val="center"/>
              <w:rPr>
                <w:rFonts w:ascii="新宋体" w:hAnsi="新宋体" w:eastAsia="新宋体"/>
                <w:color w:val="auto"/>
                <w:sz w:val="22"/>
                <w:szCs w:val="22"/>
                <w:highlight w:val="none"/>
              </w:rPr>
            </w:pPr>
          </w:p>
        </w:tc>
        <w:tc>
          <w:tcPr>
            <w:tcW w:w="1540" w:type="dxa"/>
            <w:tcBorders>
              <w:top w:val="single" w:color="auto" w:sz="4" w:space="0"/>
              <w:left w:val="single" w:color="auto" w:sz="4" w:space="0"/>
              <w:bottom w:val="single" w:color="auto" w:sz="12" w:space="0"/>
              <w:right w:val="single" w:color="auto" w:sz="4" w:space="0"/>
            </w:tcBorders>
            <w:vAlign w:val="center"/>
          </w:tcPr>
          <w:p w14:paraId="6A83A808">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12" w:space="0"/>
              <w:right w:val="single" w:color="auto" w:sz="4" w:space="0"/>
            </w:tcBorders>
            <w:vAlign w:val="center"/>
          </w:tcPr>
          <w:p w14:paraId="3908FC87">
            <w:pPr>
              <w:spacing w:line="360" w:lineRule="exact"/>
              <w:jc w:val="center"/>
              <w:rPr>
                <w:rFonts w:ascii="新宋体" w:hAnsi="新宋体" w:eastAsia="新宋体"/>
                <w:color w:val="auto"/>
                <w:sz w:val="22"/>
                <w:szCs w:val="22"/>
                <w:highlight w:val="none"/>
              </w:rPr>
            </w:pPr>
          </w:p>
        </w:tc>
        <w:tc>
          <w:tcPr>
            <w:tcW w:w="1194" w:type="dxa"/>
            <w:tcBorders>
              <w:top w:val="single" w:color="auto" w:sz="4" w:space="0"/>
              <w:left w:val="single" w:color="auto" w:sz="4" w:space="0"/>
              <w:bottom w:val="single" w:color="auto" w:sz="12" w:space="0"/>
              <w:right w:val="single" w:color="auto" w:sz="12" w:space="0"/>
            </w:tcBorders>
            <w:vAlign w:val="center"/>
          </w:tcPr>
          <w:p w14:paraId="769734B7">
            <w:pPr>
              <w:spacing w:line="360" w:lineRule="exact"/>
              <w:jc w:val="center"/>
              <w:rPr>
                <w:rFonts w:ascii="新宋体" w:hAnsi="新宋体" w:eastAsia="新宋体"/>
                <w:color w:val="auto"/>
                <w:sz w:val="22"/>
                <w:szCs w:val="22"/>
                <w:highlight w:val="none"/>
              </w:rPr>
            </w:pPr>
          </w:p>
        </w:tc>
      </w:tr>
    </w:tbl>
    <w:p w14:paraId="544E65B5">
      <w:pPr>
        <w:spacing w:line="360" w:lineRule="exact"/>
        <w:rPr>
          <w:rFonts w:eastAsia="仿宋_GB2312"/>
          <w:b/>
          <w:color w:val="auto"/>
          <w:sz w:val="22"/>
          <w:highlight w:val="none"/>
        </w:rPr>
      </w:pPr>
      <w:r>
        <w:rPr>
          <w:rFonts w:hint="eastAsia" w:ascii="新宋体" w:hAnsi="新宋体" w:eastAsia="新宋体"/>
          <w:color w:val="auto"/>
          <w:sz w:val="22"/>
          <w:highlight w:val="none"/>
        </w:rPr>
        <w:t>注：1、本表应附所列项目组成员相关证书、社保等证明扫描件。</w:t>
      </w:r>
    </w:p>
    <w:p w14:paraId="6FF148ED">
      <w:pPr>
        <w:pStyle w:val="12"/>
        <w:tabs>
          <w:tab w:val="left" w:pos="0"/>
          <w:tab w:val="left" w:pos="540"/>
        </w:tabs>
        <w:spacing w:line="300" w:lineRule="auto"/>
        <w:ind w:left="438" w:leftChars="156" w:hanging="110" w:hangingChars="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2、此表仅提供了表格形式，可按此表格复制。</w:t>
      </w:r>
    </w:p>
    <w:p w14:paraId="122A0D6E">
      <w:pPr>
        <w:pStyle w:val="12"/>
        <w:tabs>
          <w:tab w:val="left" w:pos="0"/>
          <w:tab w:val="left" w:pos="540"/>
        </w:tabs>
        <w:spacing w:line="300" w:lineRule="auto"/>
        <w:ind w:left="438" w:leftChars="156" w:hanging="110" w:hangingChars="50"/>
        <w:rPr>
          <w:rFonts w:ascii="新宋体" w:hAnsi="新宋体" w:eastAsia="新宋体"/>
          <w:color w:val="auto"/>
          <w:sz w:val="22"/>
          <w:szCs w:val="22"/>
          <w:highlight w:val="none"/>
        </w:rPr>
      </w:pPr>
    </w:p>
    <w:p w14:paraId="320C9D6D">
      <w:pPr>
        <w:pStyle w:val="12"/>
        <w:spacing w:line="400" w:lineRule="exact"/>
        <w:ind w:left="4605" w:leftChars="2193"/>
        <w:rPr>
          <w:rFonts w:ascii="新宋体" w:hAnsi="新宋体" w:eastAsia="新宋体"/>
          <w:color w:val="auto"/>
          <w:sz w:val="22"/>
          <w:highlight w:val="none"/>
        </w:rPr>
      </w:pPr>
      <w:r>
        <w:rPr>
          <w:rFonts w:hint="eastAsia" w:ascii="新宋体" w:hAnsi="新宋体" w:eastAsia="新宋体"/>
          <w:color w:val="auto"/>
          <w:sz w:val="22"/>
          <w:highlight w:val="none"/>
        </w:rPr>
        <w:t>投标供应商名称（盖章）：</w:t>
      </w:r>
    </w:p>
    <w:p w14:paraId="3C6EDDDA">
      <w:pPr>
        <w:pStyle w:val="12"/>
        <w:spacing w:line="400" w:lineRule="exact"/>
        <w:ind w:left="660" w:hanging="660" w:hangingChars="300"/>
        <w:rPr>
          <w:rFonts w:ascii="新宋体" w:hAnsi="新宋体" w:eastAsia="新宋体"/>
          <w:color w:val="auto"/>
          <w:sz w:val="22"/>
          <w:highlight w:val="none"/>
        </w:rPr>
      </w:pPr>
      <w:r>
        <w:rPr>
          <w:rFonts w:hint="eastAsia" w:ascii="新宋体" w:hAnsi="新宋体" w:eastAsia="新宋体"/>
          <w:color w:val="auto"/>
          <w:sz w:val="22"/>
          <w:highlight w:val="none"/>
        </w:rPr>
        <w:t xml:space="preserve">                                          投标供应商代表（签字或盖章）：</w:t>
      </w:r>
    </w:p>
    <w:p w14:paraId="37CB274B">
      <w:pPr>
        <w:spacing w:line="400" w:lineRule="exact"/>
        <w:rPr>
          <w:rFonts w:ascii="新宋体" w:hAnsi="新宋体" w:eastAsia="新宋体"/>
          <w:b/>
          <w:bCs/>
          <w:color w:val="auto"/>
          <w:sz w:val="28"/>
          <w:szCs w:val="28"/>
          <w:highlight w:val="none"/>
        </w:rPr>
      </w:pPr>
      <w:r>
        <w:rPr>
          <w:rFonts w:hint="eastAsia" w:ascii="新宋体" w:hAnsi="新宋体" w:eastAsia="新宋体"/>
          <w:color w:val="auto"/>
          <w:sz w:val="22"/>
          <w:highlight w:val="none"/>
        </w:rPr>
        <w:t xml:space="preserve">                                          日    期：    年   月   日</w:t>
      </w:r>
    </w:p>
    <w:p w14:paraId="5628F48A">
      <w:pPr>
        <w:spacing w:line="400" w:lineRule="exact"/>
        <w:rPr>
          <w:rFonts w:ascii="新宋体" w:hAnsi="新宋体" w:eastAsia="新宋体"/>
          <w:color w:val="auto"/>
          <w:sz w:val="22"/>
          <w:szCs w:val="22"/>
          <w:highlight w:val="none"/>
        </w:rPr>
      </w:pPr>
    </w:p>
    <w:p w14:paraId="1627D1BD">
      <w:pPr>
        <w:spacing w:line="400" w:lineRule="exact"/>
        <w:jc w:val="left"/>
        <w:rPr>
          <w:rFonts w:ascii="新宋体" w:hAnsi="新宋体" w:eastAsia="新宋体"/>
          <w:color w:val="auto"/>
          <w:sz w:val="22"/>
          <w:szCs w:val="22"/>
          <w:highlight w:val="none"/>
        </w:rPr>
      </w:pPr>
      <w:bookmarkStart w:id="88" w:name="_Toc395528096"/>
      <w:bookmarkStart w:id="89" w:name="_Toc63412072"/>
      <w:bookmarkStart w:id="90" w:name="_Toc341813039"/>
      <w:bookmarkStart w:id="91" w:name="_Toc482309059"/>
      <w:bookmarkStart w:id="92" w:name="_Toc509500512"/>
      <w:r>
        <w:rPr>
          <w:rFonts w:hint="eastAsia" w:ascii="新宋体" w:hAnsi="新宋体" w:eastAsia="新宋体"/>
          <w:color w:val="auto"/>
          <w:sz w:val="22"/>
          <w:szCs w:val="22"/>
          <w:highlight w:val="none"/>
        </w:rPr>
        <w:br w:type="page"/>
      </w:r>
      <w:r>
        <w:rPr>
          <w:rFonts w:hint="eastAsia" w:ascii="新宋体" w:hAnsi="新宋体" w:eastAsia="新宋体"/>
          <w:color w:val="auto"/>
          <w:sz w:val="22"/>
          <w:szCs w:val="22"/>
          <w:highlight w:val="none"/>
        </w:rPr>
        <w:t xml:space="preserve">附件九  </w:t>
      </w:r>
      <w:bookmarkEnd w:id="88"/>
      <w:bookmarkEnd w:id="89"/>
      <w:bookmarkEnd w:id="90"/>
      <w:bookmarkEnd w:id="91"/>
      <w:bookmarkEnd w:id="92"/>
    </w:p>
    <w:p w14:paraId="3B4598DD">
      <w:pPr>
        <w:spacing w:line="520" w:lineRule="exact"/>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投标供应商业绩汇总表</w:t>
      </w:r>
    </w:p>
    <w:p w14:paraId="630408C7">
      <w:pPr>
        <w:spacing w:line="360" w:lineRule="exact"/>
        <w:rPr>
          <w:rFonts w:ascii="新宋体" w:hAnsi="新宋体" w:eastAsia="新宋体"/>
          <w:color w:val="auto"/>
          <w:highlight w:val="none"/>
        </w:rPr>
      </w:pPr>
    </w:p>
    <w:p w14:paraId="63E85FF6">
      <w:pPr>
        <w:spacing w:line="360" w:lineRule="exact"/>
        <w:rPr>
          <w:rFonts w:ascii="新宋体" w:hAnsi="新宋体" w:eastAsia="新宋体"/>
          <w:color w:val="auto"/>
          <w:highlight w:val="none"/>
        </w:rPr>
      </w:pPr>
      <w:r>
        <w:rPr>
          <w:rFonts w:hint="eastAsia" w:ascii="新宋体" w:hAnsi="新宋体" w:eastAsia="新宋体"/>
          <w:color w:val="auto"/>
          <w:highlight w:val="none"/>
        </w:rPr>
        <w:t>项目名称：                                      项目编号：</w:t>
      </w:r>
    </w:p>
    <w:tbl>
      <w:tblPr>
        <w:tblStyle w:val="24"/>
        <w:tblW w:w="9798" w:type="dxa"/>
        <w:jc w:val="center"/>
        <w:tblLayout w:type="fixed"/>
        <w:tblCellMar>
          <w:top w:w="0" w:type="dxa"/>
          <w:left w:w="108" w:type="dxa"/>
          <w:bottom w:w="0" w:type="dxa"/>
          <w:right w:w="108" w:type="dxa"/>
        </w:tblCellMar>
      </w:tblPr>
      <w:tblGrid>
        <w:gridCol w:w="1366"/>
        <w:gridCol w:w="1664"/>
        <w:gridCol w:w="1842"/>
        <w:gridCol w:w="1432"/>
        <w:gridCol w:w="1145"/>
        <w:gridCol w:w="2349"/>
      </w:tblGrid>
      <w:tr w14:paraId="44D60B10">
        <w:tblPrEx>
          <w:tblCellMar>
            <w:top w:w="0" w:type="dxa"/>
            <w:left w:w="108" w:type="dxa"/>
            <w:bottom w:w="0" w:type="dxa"/>
            <w:right w:w="108" w:type="dxa"/>
          </w:tblCellMar>
        </w:tblPrEx>
        <w:trPr>
          <w:trHeight w:val="1177" w:hRule="atLeast"/>
          <w:jc w:val="center"/>
        </w:trPr>
        <w:tc>
          <w:tcPr>
            <w:tcW w:w="1366" w:type="dxa"/>
            <w:tcBorders>
              <w:top w:val="single" w:color="auto" w:sz="6" w:space="0"/>
              <w:left w:val="single" w:color="auto" w:sz="6" w:space="0"/>
              <w:bottom w:val="single" w:color="auto" w:sz="6" w:space="0"/>
              <w:right w:val="single" w:color="auto" w:sz="6" w:space="0"/>
            </w:tcBorders>
            <w:vAlign w:val="center"/>
          </w:tcPr>
          <w:p w14:paraId="74DF8691">
            <w:pPr>
              <w:spacing w:line="380" w:lineRule="exact"/>
              <w:jc w:val="center"/>
              <w:rPr>
                <w:rFonts w:ascii="宋体" w:hAnsi="宋体" w:cs="宋体"/>
                <w:color w:val="auto"/>
                <w:sz w:val="22"/>
                <w:szCs w:val="22"/>
                <w:highlight w:val="none"/>
              </w:rPr>
            </w:pPr>
            <w:r>
              <w:rPr>
                <w:rFonts w:hint="eastAsia" w:ascii="新宋体" w:hAnsi="新宋体" w:eastAsia="新宋体"/>
                <w:color w:val="auto"/>
                <w:sz w:val="22"/>
                <w:szCs w:val="22"/>
                <w:highlight w:val="none"/>
              </w:rPr>
              <w:t>序号</w:t>
            </w:r>
          </w:p>
        </w:tc>
        <w:tc>
          <w:tcPr>
            <w:tcW w:w="1664" w:type="dxa"/>
            <w:tcBorders>
              <w:top w:val="single" w:color="auto" w:sz="6" w:space="0"/>
              <w:left w:val="single" w:color="auto" w:sz="6" w:space="0"/>
              <w:bottom w:val="single" w:color="auto" w:sz="6" w:space="0"/>
              <w:right w:val="single" w:color="auto" w:sz="6" w:space="0"/>
            </w:tcBorders>
            <w:vAlign w:val="center"/>
          </w:tcPr>
          <w:p w14:paraId="12C6F79B">
            <w:pPr>
              <w:spacing w:line="380" w:lineRule="exact"/>
              <w:jc w:val="center"/>
              <w:rPr>
                <w:rFonts w:ascii="宋体" w:hAnsi="宋体" w:cs="宋体"/>
                <w:color w:val="auto"/>
                <w:sz w:val="22"/>
                <w:szCs w:val="22"/>
                <w:highlight w:val="none"/>
              </w:rPr>
            </w:pPr>
            <w:r>
              <w:rPr>
                <w:rFonts w:hint="eastAsia" w:ascii="新宋体" w:hAnsi="新宋体" w:eastAsia="新宋体"/>
                <w:color w:val="auto"/>
                <w:sz w:val="22"/>
                <w:szCs w:val="22"/>
                <w:highlight w:val="none"/>
              </w:rPr>
              <w:t>项目内容</w:t>
            </w:r>
          </w:p>
        </w:tc>
        <w:tc>
          <w:tcPr>
            <w:tcW w:w="1842" w:type="dxa"/>
            <w:tcBorders>
              <w:top w:val="single" w:color="auto" w:sz="6" w:space="0"/>
              <w:left w:val="single" w:color="auto" w:sz="6" w:space="0"/>
              <w:bottom w:val="single" w:color="auto" w:sz="6" w:space="0"/>
              <w:right w:val="single" w:color="auto" w:sz="6" w:space="0"/>
            </w:tcBorders>
            <w:vAlign w:val="center"/>
          </w:tcPr>
          <w:p w14:paraId="0ABDF252">
            <w:pPr>
              <w:spacing w:line="380" w:lineRule="exact"/>
              <w:jc w:val="center"/>
              <w:rPr>
                <w:rFonts w:ascii="宋体" w:hAnsi="宋体" w:cs="宋体"/>
                <w:color w:val="auto"/>
                <w:sz w:val="22"/>
                <w:szCs w:val="22"/>
                <w:highlight w:val="none"/>
              </w:rPr>
            </w:pPr>
            <w:r>
              <w:rPr>
                <w:rFonts w:hint="eastAsia" w:ascii="新宋体" w:hAnsi="新宋体" w:eastAsia="新宋体"/>
                <w:color w:val="auto"/>
                <w:sz w:val="22"/>
                <w:szCs w:val="22"/>
                <w:highlight w:val="none"/>
              </w:rPr>
              <w:t>委托单位</w:t>
            </w:r>
          </w:p>
        </w:tc>
        <w:tc>
          <w:tcPr>
            <w:tcW w:w="1432" w:type="dxa"/>
            <w:tcBorders>
              <w:top w:val="single" w:color="auto" w:sz="6" w:space="0"/>
              <w:left w:val="single" w:color="auto" w:sz="6" w:space="0"/>
              <w:bottom w:val="single" w:color="auto" w:sz="6" w:space="0"/>
              <w:right w:val="single" w:color="auto" w:sz="6" w:space="0"/>
            </w:tcBorders>
            <w:vAlign w:val="center"/>
          </w:tcPr>
          <w:p w14:paraId="526F9637">
            <w:pPr>
              <w:spacing w:line="380" w:lineRule="exact"/>
              <w:jc w:val="center"/>
              <w:rPr>
                <w:rFonts w:ascii="宋体" w:hAnsi="宋体" w:cs="宋体"/>
                <w:color w:val="auto"/>
                <w:sz w:val="22"/>
                <w:szCs w:val="22"/>
                <w:highlight w:val="none"/>
              </w:rPr>
            </w:pPr>
            <w:r>
              <w:rPr>
                <w:rFonts w:hint="eastAsia" w:ascii="新宋体" w:hAnsi="新宋体" w:eastAsia="新宋体"/>
                <w:color w:val="auto"/>
                <w:sz w:val="22"/>
                <w:szCs w:val="22"/>
                <w:highlight w:val="none"/>
              </w:rPr>
              <w:t>合同金额</w:t>
            </w:r>
          </w:p>
        </w:tc>
        <w:tc>
          <w:tcPr>
            <w:tcW w:w="1145" w:type="dxa"/>
            <w:tcBorders>
              <w:top w:val="single" w:color="auto" w:sz="6" w:space="0"/>
              <w:left w:val="single" w:color="auto" w:sz="6" w:space="0"/>
              <w:bottom w:val="single" w:color="auto" w:sz="6" w:space="0"/>
              <w:right w:val="single" w:color="auto" w:sz="6" w:space="0"/>
            </w:tcBorders>
            <w:vAlign w:val="center"/>
          </w:tcPr>
          <w:p w14:paraId="7736F683">
            <w:pPr>
              <w:spacing w:line="380" w:lineRule="exact"/>
              <w:jc w:val="center"/>
              <w:rPr>
                <w:rFonts w:ascii="宋体" w:hAnsi="宋体" w:cs="宋体"/>
                <w:color w:val="auto"/>
                <w:sz w:val="22"/>
                <w:szCs w:val="22"/>
                <w:highlight w:val="none"/>
              </w:rPr>
            </w:pPr>
            <w:r>
              <w:rPr>
                <w:rFonts w:hint="eastAsia" w:ascii="新宋体" w:hAnsi="新宋体" w:eastAsia="新宋体"/>
                <w:color w:val="auto"/>
                <w:sz w:val="22"/>
                <w:szCs w:val="22"/>
                <w:highlight w:val="none"/>
              </w:rPr>
              <w:t>合同</w:t>
            </w:r>
            <w:r>
              <w:rPr>
                <w:rFonts w:hint="eastAsia" w:ascii="新宋体" w:hAnsi="新宋体" w:eastAsia="新宋体"/>
                <w:color w:val="auto"/>
                <w:kern w:val="0"/>
                <w:sz w:val="22"/>
                <w:szCs w:val="22"/>
                <w:highlight w:val="none"/>
              </w:rPr>
              <w:t>日期</w:t>
            </w:r>
          </w:p>
        </w:tc>
        <w:tc>
          <w:tcPr>
            <w:tcW w:w="2349" w:type="dxa"/>
            <w:tcBorders>
              <w:top w:val="single" w:color="auto" w:sz="6" w:space="0"/>
              <w:left w:val="single" w:color="auto" w:sz="6" w:space="0"/>
              <w:bottom w:val="single" w:color="auto" w:sz="6" w:space="0"/>
              <w:right w:val="single" w:color="auto" w:sz="6" w:space="0"/>
            </w:tcBorders>
            <w:vAlign w:val="center"/>
          </w:tcPr>
          <w:p w14:paraId="3170B568">
            <w:pPr>
              <w:spacing w:line="380" w:lineRule="exact"/>
              <w:jc w:val="center"/>
              <w:rPr>
                <w:rFonts w:ascii="宋体" w:hAnsi="宋体" w:cs="宋体"/>
                <w:color w:val="auto"/>
                <w:sz w:val="22"/>
                <w:szCs w:val="22"/>
                <w:highlight w:val="none"/>
              </w:rPr>
            </w:pPr>
            <w:r>
              <w:rPr>
                <w:rFonts w:hint="eastAsia" w:ascii="新宋体" w:hAnsi="新宋体" w:eastAsia="新宋体"/>
                <w:color w:val="auto"/>
                <w:sz w:val="22"/>
                <w:szCs w:val="22"/>
                <w:highlight w:val="none"/>
              </w:rPr>
              <w:t>联系方式</w:t>
            </w:r>
          </w:p>
        </w:tc>
      </w:tr>
      <w:tr w14:paraId="40B8797B">
        <w:tblPrEx>
          <w:tblCellMar>
            <w:top w:w="0" w:type="dxa"/>
            <w:left w:w="108" w:type="dxa"/>
            <w:bottom w:w="0" w:type="dxa"/>
            <w:right w:w="108" w:type="dxa"/>
          </w:tblCellMar>
        </w:tblPrEx>
        <w:trPr>
          <w:trHeight w:val="894" w:hRule="atLeast"/>
          <w:jc w:val="center"/>
        </w:trPr>
        <w:tc>
          <w:tcPr>
            <w:tcW w:w="1366" w:type="dxa"/>
            <w:tcBorders>
              <w:top w:val="single" w:color="auto" w:sz="6" w:space="0"/>
              <w:left w:val="single" w:color="auto" w:sz="6" w:space="0"/>
              <w:bottom w:val="single" w:color="auto" w:sz="6" w:space="0"/>
              <w:right w:val="single" w:color="auto" w:sz="6" w:space="0"/>
            </w:tcBorders>
          </w:tcPr>
          <w:p w14:paraId="3AE0B004">
            <w:pPr>
              <w:autoSpaceDE w:val="0"/>
              <w:autoSpaceDN w:val="0"/>
              <w:adjustRightInd w:val="0"/>
              <w:rPr>
                <w:rFonts w:ascii="宋体" w:hAnsi="宋体" w:cs="宋体"/>
                <w:color w:val="auto"/>
                <w:sz w:val="22"/>
                <w:szCs w:val="22"/>
                <w:highlight w:val="none"/>
              </w:rPr>
            </w:pPr>
          </w:p>
        </w:tc>
        <w:tc>
          <w:tcPr>
            <w:tcW w:w="1664" w:type="dxa"/>
            <w:tcBorders>
              <w:top w:val="single" w:color="auto" w:sz="6" w:space="0"/>
              <w:left w:val="single" w:color="auto" w:sz="6" w:space="0"/>
              <w:bottom w:val="single" w:color="auto" w:sz="6" w:space="0"/>
              <w:right w:val="single" w:color="auto" w:sz="6" w:space="0"/>
            </w:tcBorders>
          </w:tcPr>
          <w:p w14:paraId="2EBC66E3">
            <w:pPr>
              <w:autoSpaceDE w:val="0"/>
              <w:autoSpaceDN w:val="0"/>
              <w:adjustRightInd w:val="0"/>
              <w:rPr>
                <w:rFonts w:ascii="宋体" w:hAnsi="宋体" w:cs="宋体"/>
                <w:color w:val="auto"/>
                <w:sz w:val="22"/>
                <w:szCs w:val="22"/>
                <w:highlight w:val="none"/>
              </w:rPr>
            </w:pPr>
          </w:p>
        </w:tc>
        <w:tc>
          <w:tcPr>
            <w:tcW w:w="1842" w:type="dxa"/>
            <w:tcBorders>
              <w:top w:val="single" w:color="auto" w:sz="6" w:space="0"/>
              <w:left w:val="single" w:color="auto" w:sz="6" w:space="0"/>
              <w:bottom w:val="single" w:color="auto" w:sz="6" w:space="0"/>
              <w:right w:val="single" w:color="auto" w:sz="6" w:space="0"/>
            </w:tcBorders>
          </w:tcPr>
          <w:p w14:paraId="7B94B1FF">
            <w:pPr>
              <w:autoSpaceDE w:val="0"/>
              <w:autoSpaceDN w:val="0"/>
              <w:adjustRightInd w:val="0"/>
              <w:rPr>
                <w:rFonts w:ascii="宋体" w:hAnsi="宋体" w:cs="宋体"/>
                <w:color w:val="auto"/>
                <w:sz w:val="22"/>
                <w:szCs w:val="22"/>
                <w:highlight w:val="none"/>
              </w:rPr>
            </w:pPr>
          </w:p>
        </w:tc>
        <w:tc>
          <w:tcPr>
            <w:tcW w:w="1432" w:type="dxa"/>
            <w:tcBorders>
              <w:top w:val="single" w:color="auto" w:sz="6" w:space="0"/>
              <w:left w:val="single" w:color="auto" w:sz="6" w:space="0"/>
              <w:bottom w:val="single" w:color="auto" w:sz="6" w:space="0"/>
              <w:right w:val="single" w:color="auto" w:sz="6" w:space="0"/>
            </w:tcBorders>
          </w:tcPr>
          <w:p w14:paraId="3239A251">
            <w:pPr>
              <w:autoSpaceDE w:val="0"/>
              <w:autoSpaceDN w:val="0"/>
              <w:adjustRightInd w:val="0"/>
              <w:rPr>
                <w:rFonts w:ascii="宋体" w:hAnsi="宋体" w:cs="宋体"/>
                <w:color w:val="auto"/>
                <w:sz w:val="22"/>
                <w:szCs w:val="22"/>
                <w:highlight w:val="none"/>
              </w:rPr>
            </w:pPr>
          </w:p>
        </w:tc>
        <w:tc>
          <w:tcPr>
            <w:tcW w:w="1145" w:type="dxa"/>
            <w:tcBorders>
              <w:top w:val="single" w:color="auto" w:sz="6" w:space="0"/>
              <w:left w:val="single" w:color="auto" w:sz="6" w:space="0"/>
              <w:bottom w:val="single" w:color="auto" w:sz="6" w:space="0"/>
              <w:right w:val="single" w:color="auto" w:sz="6" w:space="0"/>
            </w:tcBorders>
          </w:tcPr>
          <w:p w14:paraId="07C233A5">
            <w:pPr>
              <w:autoSpaceDE w:val="0"/>
              <w:autoSpaceDN w:val="0"/>
              <w:adjustRightInd w:val="0"/>
              <w:rPr>
                <w:rFonts w:ascii="宋体" w:hAnsi="宋体" w:cs="宋体"/>
                <w:color w:val="auto"/>
                <w:sz w:val="22"/>
                <w:szCs w:val="22"/>
                <w:highlight w:val="none"/>
              </w:rPr>
            </w:pPr>
          </w:p>
        </w:tc>
        <w:tc>
          <w:tcPr>
            <w:tcW w:w="2349" w:type="dxa"/>
            <w:tcBorders>
              <w:top w:val="single" w:color="auto" w:sz="6" w:space="0"/>
              <w:left w:val="single" w:color="auto" w:sz="6" w:space="0"/>
              <w:bottom w:val="single" w:color="auto" w:sz="6" w:space="0"/>
              <w:right w:val="single" w:color="auto" w:sz="6" w:space="0"/>
            </w:tcBorders>
          </w:tcPr>
          <w:p w14:paraId="6BC30DF7">
            <w:pPr>
              <w:autoSpaceDE w:val="0"/>
              <w:autoSpaceDN w:val="0"/>
              <w:adjustRightInd w:val="0"/>
              <w:rPr>
                <w:rFonts w:ascii="宋体" w:hAnsi="宋体" w:cs="宋体"/>
                <w:color w:val="auto"/>
                <w:sz w:val="22"/>
                <w:szCs w:val="22"/>
                <w:highlight w:val="none"/>
              </w:rPr>
            </w:pPr>
          </w:p>
        </w:tc>
      </w:tr>
      <w:tr w14:paraId="0A9AB270">
        <w:tblPrEx>
          <w:tblCellMar>
            <w:top w:w="0" w:type="dxa"/>
            <w:left w:w="108" w:type="dxa"/>
            <w:bottom w:w="0" w:type="dxa"/>
            <w:right w:w="108" w:type="dxa"/>
          </w:tblCellMar>
        </w:tblPrEx>
        <w:trPr>
          <w:trHeight w:val="933" w:hRule="atLeast"/>
          <w:jc w:val="center"/>
        </w:trPr>
        <w:tc>
          <w:tcPr>
            <w:tcW w:w="1366" w:type="dxa"/>
            <w:tcBorders>
              <w:top w:val="single" w:color="auto" w:sz="6" w:space="0"/>
              <w:left w:val="single" w:color="auto" w:sz="6" w:space="0"/>
              <w:bottom w:val="single" w:color="auto" w:sz="6" w:space="0"/>
              <w:right w:val="single" w:color="auto" w:sz="6" w:space="0"/>
            </w:tcBorders>
          </w:tcPr>
          <w:p w14:paraId="78F36A95">
            <w:pPr>
              <w:autoSpaceDE w:val="0"/>
              <w:autoSpaceDN w:val="0"/>
              <w:adjustRightInd w:val="0"/>
              <w:rPr>
                <w:rFonts w:ascii="宋体" w:hAnsi="宋体" w:cs="宋体"/>
                <w:color w:val="auto"/>
                <w:sz w:val="22"/>
                <w:szCs w:val="22"/>
                <w:highlight w:val="none"/>
              </w:rPr>
            </w:pPr>
          </w:p>
        </w:tc>
        <w:tc>
          <w:tcPr>
            <w:tcW w:w="1664" w:type="dxa"/>
            <w:tcBorders>
              <w:top w:val="single" w:color="auto" w:sz="6" w:space="0"/>
              <w:left w:val="single" w:color="auto" w:sz="6" w:space="0"/>
              <w:bottom w:val="single" w:color="auto" w:sz="6" w:space="0"/>
              <w:right w:val="single" w:color="auto" w:sz="6" w:space="0"/>
            </w:tcBorders>
          </w:tcPr>
          <w:p w14:paraId="481721AF">
            <w:pPr>
              <w:autoSpaceDE w:val="0"/>
              <w:autoSpaceDN w:val="0"/>
              <w:adjustRightInd w:val="0"/>
              <w:rPr>
                <w:rFonts w:ascii="宋体" w:hAnsi="宋体" w:cs="宋体"/>
                <w:color w:val="auto"/>
                <w:sz w:val="22"/>
                <w:szCs w:val="22"/>
                <w:highlight w:val="none"/>
              </w:rPr>
            </w:pPr>
          </w:p>
        </w:tc>
        <w:tc>
          <w:tcPr>
            <w:tcW w:w="1842" w:type="dxa"/>
            <w:tcBorders>
              <w:top w:val="single" w:color="auto" w:sz="6" w:space="0"/>
              <w:left w:val="single" w:color="auto" w:sz="6" w:space="0"/>
              <w:bottom w:val="single" w:color="auto" w:sz="6" w:space="0"/>
              <w:right w:val="single" w:color="auto" w:sz="6" w:space="0"/>
            </w:tcBorders>
          </w:tcPr>
          <w:p w14:paraId="73A42965">
            <w:pPr>
              <w:autoSpaceDE w:val="0"/>
              <w:autoSpaceDN w:val="0"/>
              <w:adjustRightInd w:val="0"/>
              <w:rPr>
                <w:rFonts w:ascii="宋体" w:hAnsi="宋体" w:cs="宋体"/>
                <w:color w:val="auto"/>
                <w:sz w:val="22"/>
                <w:szCs w:val="22"/>
                <w:highlight w:val="none"/>
              </w:rPr>
            </w:pPr>
          </w:p>
        </w:tc>
        <w:tc>
          <w:tcPr>
            <w:tcW w:w="1432" w:type="dxa"/>
            <w:tcBorders>
              <w:top w:val="single" w:color="auto" w:sz="6" w:space="0"/>
              <w:left w:val="single" w:color="auto" w:sz="6" w:space="0"/>
              <w:bottom w:val="single" w:color="auto" w:sz="6" w:space="0"/>
              <w:right w:val="single" w:color="auto" w:sz="6" w:space="0"/>
            </w:tcBorders>
          </w:tcPr>
          <w:p w14:paraId="3F2EF065">
            <w:pPr>
              <w:autoSpaceDE w:val="0"/>
              <w:autoSpaceDN w:val="0"/>
              <w:adjustRightInd w:val="0"/>
              <w:rPr>
                <w:rFonts w:ascii="宋体" w:hAnsi="宋体" w:cs="宋体"/>
                <w:color w:val="auto"/>
                <w:sz w:val="22"/>
                <w:szCs w:val="22"/>
                <w:highlight w:val="none"/>
              </w:rPr>
            </w:pPr>
          </w:p>
        </w:tc>
        <w:tc>
          <w:tcPr>
            <w:tcW w:w="1145" w:type="dxa"/>
            <w:tcBorders>
              <w:top w:val="single" w:color="auto" w:sz="6" w:space="0"/>
              <w:left w:val="single" w:color="auto" w:sz="6" w:space="0"/>
              <w:bottom w:val="single" w:color="auto" w:sz="6" w:space="0"/>
              <w:right w:val="single" w:color="auto" w:sz="6" w:space="0"/>
            </w:tcBorders>
          </w:tcPr>
          <w:p w14:paraId="21B722AE">
            <w:pPr>
              <w:autoSpaceDE w:val="0"/>
              <w:autoSpaceDN w:val="0"/>
              <w:adjustRightInd w:val="0"/>
              <w:rPr>
                <w:rFonts w:ascii="宋体" w:hAnsi="宋体" w:cs="宋体"/>
                <w:color w:val="auto"/>
                <w:sz w:val="22"/>
                <w:szCs w:val="22"/>
                <w:highlight w:val="none"/>
              </w:rPr>
            </w:pPr>
          </w:p>
        </w:tc>
        <w:tc>
          <w:tcPr>
            <w:tcW w:w="2349" w:type="dxa"/>
            <w:tcBorders>
              <w:top w:val="single" w:color="auto" w:sz="6" w:space="0"/>
              <w:left w:val="single" w:color="auto" w:sz="6" w:space="0"/>
              <w:bottom w:val="single" w:color="auto" w:sz="6" w:space="0"/>
              <w:right w:val="single" w:color="auto" w:sz="6" w:space="0"/>
            </w:tcBorders>
          </w:tcPr>
          <w:p w14:paraId="599E484C">
            <w:pPr>
              <w:autoSpaceDE w:val="0"/>
              <w:autoSpaceDN w:val="0"/>
              <w:adjustRightInd w:val="0"/>
              <w:rPr>
                <w:rFonts w:ascii="宋体" w:hAnsi="宋体" w:cs="宋体"/>
                <w:color w:val="auto"/>
                <w:sz w:val="22"/>
                <w:szCs w:val="22"/>
                <w:highlight w:val="none"/>
              </w:rPr>
            </w:pPr>
          </w:p>
        </w:tc>
      </w:tr>
      <w:tr w14:paraId="28B42276">
        <w:tblPrEx>
          <w:tblCellMar>
            <w:top w:w="0" w:type="dxa"/>
            <w:left w:w="108" w:type="dxa"/>
            <w:bottom w:w="0" w:type="dxa"/>
            <w:right w:w="108" w:type="dxa"/>
          </w:tblCellMar>
        </w:tblPrEx>
        <w:trPr>
          <w:trHeight w:val="933" w:hRule="atLeast"/>
          <w:jc w:val="center"/>
        </w:trPr>
        <w:tc>
          <w:tcPr>
            <w:tcW w:w="1366" w:type="dxa"/>
            <w:tcBorders>
              <w:top w:val="single" w:color="auto" w:sz="6" w:space="0"/>
              <w:left w:val="single" w:color="auto" w:sz="6" w:space="0"/>
              <w:bottom w:val="single" w:color="auto" w:sz="6" w:space="0"/>
              <w:right w:val="single" w:color="auto" w:sz="6" w:space="0"/>
            </w:tcBorders>
          </w:tcPr>
          <w:p w14:paraId="0227E44A">
            <w:pPr>
              <w:autoSpaceDE w:val="0"/>
              <w:autoSpaceDN w:val="0"/>
              <w:adjustRightInd w:val="0"/>
              <w:rPr>
                <w:rFonts w:ascii="宋体" w:hAnsi="宋体" w:cs="宋体"/>
                <w:color w:val="auto"/>
                <w:sz w:val="22"/>
                <w:szCs w:val="22"/>
                <w:highlight w:val="none"/>
              </w:rPr>
            </w:pPr>
          </w:p>
        </w:tc>
        <w:tc>
          <w:tcPr>
            <w:tcW w:w="1664" w:type="dxa"/>
            <w:tcBorders>
              <w:top w:val="single" w:color="auto" w:sz="6" w:space="0"/>
              <w:left w:val="single" w:color="auto" w:sz="6" w:space="0"/>
              <w:bottom w:val="single" w:color="auto" w:sz="6" w:space="0"/>
              <w:right w:val="single" w:color="auto" w:sz="6" w:space="0"/>
            </w:tcBorders>
          </w:tcPr>
          <w:p w14:paraId="44696610">
            <w:pPr>
              <w:autoSpaceDE w:val="0"/>
              <w:autoSpaceDN w:val="0"/>
              <w:adjustRightInd w:val="0"/>
              <w:rPr>
                <w:rFonts w:ascii="宋体" w:hAnsi="宋体" w:cs="宋体"/>
                <w:color w:val="auto"/>
                <w:sz w:val="22"/>
                <w:szCs w:val="22"/>
                <w:highlight w:val="none"/>
              </w:rPr>
            </w:pPr>
          </w:p>
        </w:tc>
        <w:tc>
          <w:tcPr>
            <w:tcW w:w="1842" w:type="dxa"/>
            <w:tcBorders>
              <w:top w:val="single" w:color="auto" w:sz="6" w:space="0"/>
              <w:left w:val="single" w:color="auto" w:sz="6" w:space="0"/>
              <w:bottom w:val="single" w:color="auto" w:sz="6" w:space="0"/>
              <w:right w:val="single" w:color="auto" w:sz="6" w:space="0"/>
            </w:tcBorders>
          </w:tcPr>
          <w:p w14:paraId="61E0C50D">
            <w:pPr>
              <w:autoSpaceDE w:val="0"/>
              <w:autoSpaceDN w:val="0"/>
              <w:adjustRightInd w:val="0"/>
              <w:rPr>
                <w:rFonts w:ascii="宋体" w:hAnsi="宋体" w:cs="宋体"/>
                <w:color w:val="auto"/>
                <w:sz w:val="22"/>
                <w:szCs w:val="22"/>
                <w:highlight w:val="none"/>
              </w:rPr>
            </w:pPr>
          </w:p>
        </w:tc>
        <w:tc>
          <w:tcPr>
            <w:tcW w:w="1432" w:type="dxa"/>
            <w:tcBorders>
              <w:top w:val="single" w:color="auto" w:sz="6" w:space="0"/>
              <w:left w:val="single" w:color="auto" w:sz="6" w:space="0"/>
              <w:bottom w:val="single" w:color="auto" w:sz="6" w:space="0"/>
              <w:right w:val="single" w:color="auto" w:sz="6" w:space="0"/>
            </w:tcBorders>
          </w:tcPr>
          <w:p w14:paraId="0ABAD634">
            <w:pPr>
              <w:autoSpaceDE w:val="0"/>
              <w:autoSpaceDN w:val="0"/>
              <w:adjustRightInd w:val="0"/>
              <w:rPr>
                <w:rFonts w:ascii="宋体" w:hAnsi="宋体" w:cs="宋体"/>
                <w:color w:val="auto"/>
                <w:sz w:val="22"/>
                <w:szCs w:val="22"/>
                <w:highlight w:val="none"/>
              </w:rPr>
            </w:pPr>
          </w:p>
        </w:tc>
        <w:tc>
          <w:tcPr>
            <w:tcW w:w="1145" w:type="dxa"/>
            <w:tcBorders>
              <w:top w:val="single" w:color="auto" w:sz="6" w:space="0"/>
              <w:left w:val="single" w:color="auto" w:sz="6" w:space="0"/>
              <w:bottom w:val="single" w:color="auto" w:sz="6" w:space="0"/>
              <w:right w:val="single" w:color="auto" w:sz="6" w:space="0"/>
            </w:tcBorders>
          </w:tcPr>
          <w:p w14:paraId="4535C7F7">
            <w:pPr>
              <w:autoSpaceDE w:val="0"/>
              <w:autoSpaceDN w:val="0"/>
              <w:adjustRightInd w:val="0"/>
              <w:rPr>
                <w:rFonts w:ascii="宋体" w:hAnsi="宋体" w:cs="宋体"/>
                <w:color w:val="auto"/>
                <w:sz w:val="22"/>
                <w:szCs w:val="22"/>
                <w:highlight w:val="none"/>
              </w:rPr>
            </w:pPr>
          </w:p>
        </w:tc>
        <w:tc>
          <w:tcPr>
            <w:tcW w:w="2349" w:type="dxa"/>
            <w:tcBorders>
              <w:top w:val="single" w:color="auto" w:sz="6" w:space="0"/>
              <w:left w:val="single" w:color="auto" w:sz="6" w:space="0"/>
              <w:bottom w:val="single" w:color="auto" w:sz="6" w:space="0"/>
              <w:right w:val="single" w:color="auto" w:sz="6" w:space="0"/>
            </w:tcBorders>
          </w:tcPr>
          <w:p w14:paraId="47D1FFAD">
            <w:pPr>
              <w:autoSpaceDE w:val="0"/>
              <w:autoSpaceDN w:val="0"/>
              <w:adjustRightInd w:val="0"/>
              <w:rPr>
                <w:rFonts w:ascii="宋体" w:hAnsi="宋体" w:cs="宋体"/>
                <w:color w:val="auto"/>
                <w:sz w:val="22"/>
                <w:szCs w:val="22"/>
                <w:highlight w:val="none"/>
              </w:rPr>
            </w:pPr>
          </w:p>
        </w:tc>
      </w:tr>
      <w:tr w14:paraId="2B50DC45">
        <w:tblPrEx>
          <w:tblCellMar>
            <w:top w:w="0" w:type="dxa"/>
            <w:left w:w="108" w:type="dxa"/>
            <w:bottom w:w="0" w:type="dxa"/>
            <w:right w:w="108" w:type="dxa"/>
          </w:tblCellMar>
        </w:tblPrEx>
        <w:trPr>
          <w:trHeight w:val="933" w:hRule="atLeast"/>
          <w:jc w:val="center"/>
        </w:trPr>
        <w:tc>
          <w:tcPr>
            <w:tcW w:w="1366" w:type="dxa"/>
            <w:tcBorders>
              <w:top w:val="single" w:color="auto" w:sz="6" w:space="0"/>
              <w:left w:val="single" w:color="auto" w:sz="6" w:space="0"/>
              <w:bottom w:val="single" w:color="auto" w:sz="6" w:space="0"/>
              <w:right w:val="single" w:color="auto" w:sz="6" w:space="0"/>
            </w:tcBorders>
          </w:tcPr>
          <w:p w14:paraId="050E43EF">
            <w:pPr>
              <w:autoSpaceDE w:val="0"/>
              <w:autoSpaceDN w:val="0"/>
              <w:adjustRightInd w:val="0"/>
              <w:rPr>
                <w:rFonts w:ascii="宋体" w:hAnsi="宋体" w:cs="宋体"/>
                <w:color w:val="auto"/>
                <w:sz w:val="22"/>
                <w:szCs w:val="22"/>
                <w:highlight w:val="none"/>
              </w:rPr>
            </w:pPr>
          </w:p>
        </w:tc>
        <w:tc>
          <w:tcPr>
            <w:tcW w:w="1664" w:type="dxa"/>
            <w:tcBorders>
              <w:top w:val="single" w:color="auto" w:sz="6" w:space="0"/>
              <w:left w:val="single" w:color="auto" w:sz="6" w:space="0"/>
              <w:bottom w:val="single" w:color="auto" w:sz="6" w:space="0"/>
              <w:right w:val="single" w:color="auto" w:sz="6" w:space="0"/>
            </w:tcBorders>
          </w:tcPr>
          <w:p w14:paraId="12B5DEA1">
            <w:pPr>
              <w:autoSpaceDE w:val="0"/>
              <w:autoSpaceDN w:val="0"/>
              <w:adjustRightInd w:val="0"/>
              <w:rPr>
                <w:rFonts w:ascii="宋体" w:hAnsi="宋体" w:cs="宋体"/>
                <w:color w:val="auto"/>
                <w:sz w:val="22"/>
                <w:szCs w:val="22"/>
                <w:highlight w:val="none"/>
              </w:rPr>
            </w:pPr>
          </w:p>
        </w:tc>
        <w:tc>
          <w:tcPr>
            <w:tcW w:w="1842" w:type="dxa"/>
            <w:tcBorders>
              <w:top w:val="single" w:color="auto" w:sz="6" w:space="0"/>
              <w:left w:val="single" w:color="auto" w:sz="6" w:space="0"/>
              <w:bottom w:val="single" w:color="auto" w:sz="6" w:space="0"/>
              <w:right w:val="single" w:color="auto" w:sz="6" w:space="0"/>
            </w:tcBorders>
          </w:tcPr>
          <w:p w14:paraId="05E867DF">
            <w:pPr>
              <w:autoSpaceDE w:val="0"/>
              <w:autoSpaceDN w:val="0"/>
              <w:adjustRightInd w:val="0"/>
              <w:rPr>
                <w:rFonts w:ascii="宋体" w:hAnsi="宋体" w:cs="宋体"/>
                <w:color w:val="auto"/>
                <w:sz w:val="22"/>
                <w:szCs w:val="22"/>
                <w:highlight w:val="none"/>
              </w:rPr>
            </w:pPr>
          </w:p>
        </w:tc>
        <w:tc>
          <w:tcPr>
            <w:tcW w:w="1432" w:type="dxa"/>
            <w:tcBorders>
              <w:top w:val="single" w:color="auto" w:sz="6" w:space="0"/>
              <w:left w:val="single" w:color="auto" w:sz="6" w:space="0"/>
              <w:bottom w:val="single" w:color="auto" w:sz="6" w:space="0"/>
              <w:right w:val="single" w:color="auto" w:sz="6" w:space="0"/>
            </w:tcBorders>
          </w:tcPr>
          <w:p w14:paraId="0BF70375">
            <w:pPr>
              <w:autoSpaceDE w:val="0"/>
              <w:autoSpaceDN w:val="0"/>
              <w:adjustRightInd w:val="0"/>
              <w:rPr>
                <w:rFonts w:ascii="宋体" w:hAnsi="宋体" w:cs="宋体"/>
                <w:color w:val="auto"/>
                <w:sz w:val="22"/>
                <w:szCs w:val="22"/>
                <w:highlight w:val="none"/>
              </w:rPr>
            </w:pPr>
          </w:p>
        </w:tc>
        <w:tc>
          <w:tcPr>
            <w:tcW w:w="1145" w:type="dxa"/>
            <w:tcBorders>
              <w:top w:val="single" w:color="auto" w:sz="6" w:space="0"/>
              <w:left w:val="single" w:color="auto" w:sz="6" w:space="0"/>
              <w:bottom w:val="single" w:color="auto" w:sz="6" w:space="0"/>
              <w:right w:val="single" w:color="auto" w:sz="6" w:space="0"/>
            </w:tcBorders>
          </w:tcPr>
          <w:p w14:paraId="60DF6816">
            <w:pPr>
              <w:autoSpaceDE w:val="0"/>
              <w:autoSpaceDN w:val="0"/>
              <w:adjustRightInd w:val="0"/>
              <w:rPr>
                <w:rFonts w:ascii="宋体" w:hAnsi="宋体" w:cs="宋体"/>
                <w:color w:val="auto"/>
                <w:sz w:val="22"/>
                <w:szCs w:val="22"/>
                <w:highlight w:val="none"/>
              </w:rPr>
            </w:pPr>
          </w:p>
        </w:tc>
        <w:tc>
          <w:tcPr>
            <w:tcW w:w="2349" w:type="dxa"/>
            <w:tcBorders>
              <w:top w:val="single" w:color="auto" w:sz="6" w:space="0"/>
              <w:left w:val="single" w:color="auto" w:sz="6" w:space="0"/>
              <w:bottom w:val="single" w:color="auto" w:sz="6" w:space="0"/>
              <w:right w:val="single" w:color="auto" w:sz="6" w:space="0"/>
            </w:tcBorders>
          </w:tcPr>
          <w:p w14:paraId="4359A615">
            <w:pPr>
              <w:autoSpaceDE w:val="0"/>
              <w:autoSpaceDN w:val="0"/>
              <w:adjustRightInd w:val="0"/>
              <w:rPr>
                <w:rFonts w:ascii="宋体" w:hAnsi="宋体" w:cs="宋体"/>
                <w:color w:val="auto"/>
                <w:sz w:val="22"/>
                <w:szCs w:val="22"/>
                <w:highlight w:val="none"/>
              </w:rPr>
            </w:pPr>
          </w:p>
        </w:tc>
      </w:tr>
      <w:tr w14:paraId="0AC12E14">
        <w:tblPrEx>
          <w:tblCellMar>
            <w:top w:w="0" w:type="dxa"/>
            <w:left w:w="108" w:type="dxa"/>
            <w:bottom w:w="0" w:type="dxa"/>
            <w:right w:w="108" w:type="dxa"/>
          </w:tblCellMar>
        </w:tblPrEx>
        <w:trPr>
          <w:trHeight w:val="933" w:hRule="atLeast"/>
          <w:jc w:val="center"/>
        </w:trPr>
        <w:tc>
          <w:tcPr>
            <w:tcW w:w="1366" w:type="dxa"/>
            <w:tcBorders>
              <w:top w:val="single" w:color="auto" w:sz="6" w:space="0"/>
              <w:left w:val="single" w:color="auto" w:sz="6" w:space="0"/>
              <w:bottom w:val="single" w:color="auto" w:sz="6" w:space="0"/>
              <w:right w:val="single" w:color="auto" w:sz="6" w:space="0"/>
            </w:tcBorders>
          </w:tcPr>
          <w:p w14:paraId="2515983F">
            <w:pPr>
              <w:autoSpaceDE w:val="0"/>
              <w:autoSpaceDN w:val="0"/>
              <w:adjustRightInd w:val="0"/>
              <w:rPr>
                <w:rFonts w:ascii="宋体" w:hAnsi="宋体" w:cs="宋体"/>
                <w:color w:val="auto"/>
                <w:sz w:val="22"/>
                <w:szCs w:val="22"/>
                <w:highlight w:val="none"/>
              </w:rPr>
            </w:pPr>
          </w:p>
        </w:tc>
        <w:tc>
          <w:tcPr>
            <w:tcW w:w="1664" w:type="dxa"/>
            <w:tcBorders>
              <w:top w:val="single" w:color="auto" w:sz="6" w:space="0"/>
              <w:left w:val="single" w:color="auto" w:sz="6" w:space="0"/>
              <w:bottom w:val="single" w:color="auto" w:sz="6" w:space="0"/>
              <w:right w:val="single" w:color="auto" w:sz="6" w:space="0"/>
            </w:tcBorders>
          </w:tcPr>
          <w:p w14:paraId="115F13EB">
            <w:pPr>
              <w:autoSpaceDE w:val="0"/>
              <w:autoSpaceDN w:val="0"/>
              <w:adjustRightInd w:val="0"/>
              <w:rPr>
                <w:rFonts w:ascii="宋体" w:hAnsi="宋体" w:cs="宋体"/>
                <w:color w:val="auto"/>
                <w:sz w:val="22"/>
                <w:szCs w:val="22"/>
                <w:highlight w:val="none"/>
              </w:rPr>
            </w:pPr>
          </w:p>
        </w:tc>
        <w:tc>
          <w:tcPr>
            <w:tcW w:w="1842" w:type="dxa"/>
            <w:tcBorders>
              <w:top w:val="single" w:color="auto" w:sz="6" w:space="0"/>
              <w:left w:val="single" w:color="auto" w:sz="6" w:space="0"/>
              <w:bottom w:val="single" w:color="auto" w:sz="6" w:space="0"/>
              <w:right w:val="single" w:color="auto" w:sz="6" w:space="0"/>
            </w:tcBorders>
          </w:tcPr>
          <w:p w14:paraId="56CDA4C3">
            <w:pPr>
              <w:autoSpaceDE w:val="0"/>
              <w:autoSpaceDN w:val="0"/>
              <w:adjustRightInd w:val="0"/>
              <w:rPr>
                <w:rFonts w:ascii="宋体" w:hAnsi="宋体" w:cs="宋体"/>
                <w:color w:val="auto"/>
                <w:sz w:val="22"/>
                <w:szCs w:val="22"/>
                <w:highlight w:val="none"/>
              </w:rPr>
            </w:pPr>
          </w:p>
        </w:tc>
        <w:tc>
          <w:tcPr>
            <w:tcW w:w="1432" w:type="dxa"/>
            <w:tcBorders>
              <w:top w:val="single" w:color="auto" w:sz="6" w:space="0"/>
              <w:left w:val="single" w:color="auto" w:sz="6" w:space="0"/>
              <w:bottom w:val="single" w:color="auto" w:sz="6" w:space="0"/>
              <w:right w:val="single" w:color="auto" w:sz="6" w:space="0"/>
            </w:tcBorders>
          </w:tcPr>
          <w:p w14:paraId="47D85430">
            <w:pPr>
              <w:autoSpaceDE w:val="0"/>
              <w:autoSpaceDN w:val="0"/>
              <w:adjustRightInd w:val="0"/>
              <w:rPr>
                <w:rFonts w:ascii="宋体" w:hAnsi="宋体" w:cs="宋体"/>
                <w:color w:val="auto"/>
                <w:sz w:val="22"/>
                <w:szCs w:val="22"/>
                <w:highlight w:val="none"/>
              </w:rPr>
            </w:pPr>
          </w:p>
        </w:tc>
        <w:tc>
          <w:tcPr>
            <w:tcW w:w="1145" w:type="dxa"/>
            <w:tcBorders>
              <w:top w:val="single" w:color="auto" w:sz="6" w:space="0"/>
              <w:left w:val="single" w:color="auto" w:sz="6" w:space="0"/>
              <w:bottom w:val="single" w:color="auto" w:sz="6" w:space="0"/>
              <w:right w:val="single" w:color="auto" w:sz="6" w:space="0"/>
            </w:tcBorders>
          </w:tcPr>
          <w:p w14:paraId="4E9D0685">
            <w:pPr>
              <w:autoSpaceDE w:val="0"/>
              <w:autoSpaceDN w:val="0"/>
              <w:adjustRightInd w:val="0"/>
              <w:rPr>
                <w:rFonts w:ascii="宋体" w:hAnsi="宋体" w:cs="宋体"/>
                <w:color w:val="auto"/>
                <w:sz w:val="22"/>
                <w:szCs w:val="22"/>
                <w:highlight w:val="none"/>
              </w:rPr>
            </w:pPr>
          </w:p>
        </w:tc>
        <w:tc>
          <w:tcPr>
            <w:tcW w:w="2349" w:type="dxa"/>
            <w:tcBorders>
              <w:top w:val="single" w:color="auto" w:sz="6" w:space="0"/>
              <w:left w:val="single" w:color="auto" w:sz="6" w:space="0"/>
              <w:bottom w:val="single" w:color="auto" w:sz="6" w:space="0"/>
              <w:right w:val="single" w:color="auto" w:sz="6" w:space="0"/>
            </w:tcBorders>
          </w:tcPr>
          <w:p w14:paraId="52C30A6C">
            <w:pPr>
              <w:autoSpaceDE w:val="0"/>
              <w:autoSpaceDN w:val="0"/>
              <w:adjustRightInd w:val="0"/>
              <w:rPr>
                <w:rFonts w:ascii="宋体" w:hAnsi="宋体" w:cs="宋体"/>
                <w:color w:val="auto"/>
                <w:sz w:val="22"/>
                <w:szCs w:val="22"/>
                <w:highlight w:val="none"/>
              </w:rPr>
            </w:pPr>
          </w:p>
        </w:tc>
      </w:tr>
    </w:tbl>
    <w:p w14:paraId="62CCB5A2">
      <w:pPr>
        <w:autoSpaceDE w:val="0"/>
        <w:autoSpaceDN w:val="0"/>
        <w:adjustRightInd w:val="0"/>
        <w:spacing w:line="440" w:lineRule="exact"/>
        <w:rPr>
          <w:rFonts w:ascii="宋体" w:hAnsi="宋体" w:cs="宋体"/>
          <w:color w:val="auto"/>
          <w:kern w:val="0"/>
          <w:highlight w:val="none"/>
          <w:lang w:val="zh-CN"/>
        </w:rPr>
      </w:pPr>
      <w:r>
        <w:rPr>
          <w:rFonts w:hint="eastAsia" w:ascii="宋体" w:hAnsi="宋体" w:cs="宋体"/>
          <w:color w:val="auto"/>
          <w:kern w:val="0"/>
          <w:highlight w:val="none"/>
          <w:lang w:val="zh-CN"/>
        </w:rPr>
        <w:t>注：1、投标供应商可按上述的格式自行编制。</w:t>
      </w:r>
    </w:p>
    <w:p w14:paraId="2D73DB44">
      <w:pPr>
        <w:autoSpaceDE w:val="0"/>
        <w:autoSpaceDN w:val="0"/>
        <w:adjustRightInd w:val="0"/>
        <w:spacing w:line="440" w:lineRule="exact"/>
        <w:rPr>
          <w:rFonts w:ascii="宋体" w:hAnsi="宋体" w:cs="宋体"/>
          <w:color w:val="auto"/>
          <w:kern w:val="0"/>
          <w:highlight w:val="none"/>
          <w:lang w:val="zh-CN"/>
        </w:rPr>
      </w:pPr>
      <w:r>
        <w:rPr>
          <w:rFonts w:hint="eastAsia" w:ascii="宋体" w:hAnsi="宋体" w:cs="宋体"/>
          <w:color w:val="auto"/>
          <w:kern w:val="0"/>
          <w:highlight w:val="none"/>
          <w:lang w:val="zh-CN"/>
        </w:rPr>
        <w:t xml:space="preserve">    2、随此表格须提供：按评分要求提供相应证明材料。</w:t>
      </w:r>
    </w:p>
    <w:p w14:paraId="6F58B11E">
      <w:pPr>
        <w:autoSpaceDE w:val="0"/>
        <w:autoSpaceDN w:val="0"/>
        <w:adjustRightInd w:val="0"/>
        <w:spacing w:line="440" w:lineRule="exact"/>
        <w:ind w:firstLine="420" w:firstLineChars="200"/>
        <w:rPr>
          <w:rFonts w:ascii="宋体" w:hAnsi="宋体" w:cs="宋体"/>
          <w:color w:val="auto"/>
          <w:kern w:val="0"/>
          <w:highlight w:val="none"/>
          <w:lang w:val="zh-CN"/>
        </w:rPr>
      </w:pPr>
      <w:r>
        <w:rPr>
          <w:rFonts w:hint="eastAsia" w:ascii="宋体" w:hAnsi="宋体" w:cs="宋体"/>
          <w:color w:val="auto"/>
          <w:kern w:val="0"/>
          <w:highlight w:val="none"/>
          <w:lang w:val="zh-CN"/>
        </w:rPr>
        <w:t>3、本表可在不改变格式的情况下根据具体需要自行增减。</w:t>
      </w:r>
    </w:p>
    <w:p w14:paraId="74F8B4A2">
      <w:pPr>
        <w:spacing w:line="400" w:lineRule="exact"/>
        <w:ind w:firstLine="4400" w:firstLineChars="2000"/>
        <w:rPr>
          <w:rFonts w:ascii="新宋体" w:hAnsi="新宋体" w:eastAsia="新宋体"/>
          <w:color w:val="auto"/>
          <w:sz w:val="22"/>
          <w:szCs w:val="22"/>
          <w:highlight w:val="none"/>
        </w:rPr>
      </w:pPr>
    </w:p>
    <w:p w14:paraId="112927E6">
      <w:pPr>
        <w:pStyle w:val="3"/>
        <w:rPr>
          <w:rFonts w:ascii="新宋体" w:hAnsi="新宋体" w:eastAsia="新宋体"/>
          <w:color w:val="auto"/>
          <w:sz w:val="22"/>
          <w:szCs w:val="22"/>
          <w:highlight w:val="none"/>
        </w:rPr>
      </w:pPr>
    </w:p>
    <w:p w14:paraId="685464D1">
      <w:pPr>
        <w:pStyle w:val="4"/>
        <w:ind w:firstLine="210"/>
        <w:rPr>
          <w:color w:val="auto"/>
          <w:highlight w:val="none"/>
        </w:rPr>
      </w:pPr>
    </w:p>
    <w:p w14:paraId="4EC68BFB">
      <w:pPr>
        <w:pStyle w:val="12"/>
        <w:spacing w:line="400" w:lineRule="exact"/>
        <w:ind w:left="4605" w:leftChars="2193"/>
        <w:rPr>
          <w:rFonts w:ascii="新宋体" w:hAnsi="新宋体" w:eastAsia="新宋体"/>
          <w:color w:val="auto"/>
          <w:sz w:val="22"/>
          <w:highlight w:val="none"/>
        </w:rPr>
      </w:pPr>
      <w:r>
        <w:rPr>
          <w:rFonts w:hint="eastAsia" w:ascii="新宋体" w:hAnsi="新宋体" w:eastAsia="新宋体"/>
          <w:color w:val="auto"/>
          <w:sz w:val="22"/>
          <w:highlight w:val="none"/>
        </w:rPr>
        <w:t>投标供应商名称（盖章）：</w:t>
      </w:r>
    </w:p>
    <w:p w14:paraId="41CE0D27">
      <w:pPr>
        <w:pStyle w:val="12"/>
        <w:spacing w:line="400" w:lineRule="exact"/>
        <w:ind w:left="660" w:hanging="660" w:hangingChars="300"/>
        <w:rPr>
          <w:rFonts w:ascii="新宋体" w:hAnsi="新宋体" w:eastAsia="新宋体"/>
          <w:color w:val="auto"/>
          <w:sz w:val="22"/>
          <w:highlight w:val="none"/>
        </w:rPr>
      </w:pPr>
      <w:r>
        <w:rPr>
          <w:rFonts w:hint="eastAsia" w:ascii="新宋体" w:hAnsi="新宋体" w:eastAsia="新宋体"/>
          <w:color w:val="auto"/>
          <w:sz w:val="22"/>
          <w:highlight w:val="none"/>
        </w:rPr>
        <w:t xml:space="preserve">                                          投标供应商代表（签字或盖章）：</w:t>
      </w:r>
    </w:p>
    <w:p w14:paraId="1A7418B1">
      <w:pPr>
        <w:spacing w:line="400" w:lineRule="exact"/>
        <w:ind w:left="147" w:leftChars="70" w:firstLine="4261" w:firstLineChars="1937"/>
        <w:rPr>
          <w:rFonts w:ascii="新宋体" w:hAnsi="新宋体" w:eastAsia="新宋体"/>
          <w:color w:val="auto"/>
          <w:sz w:val="22"/>
          <w:szCs w:val="22"/>
          <w:highlight w:val="none"/>
        </w:rPr>
      </w:pPr>
      <w:r>
        <w:rPr>
          <w:rFonts w:hint="eastAsia" w:ascii="新宋体" w:hAnsi="新宋体" w:eastAsia="新宋体"/>
          <w:color w:val="auto"/>
          <w:sz w:val="22"/>
          <w:highlight w:val="none"/>
        </w:rPr>
        <w:t xml:space="preserve">  日    期：    年   月   日</w:t>
      </w:r>
    </w:p>
    <w:p w14:paraId="5A26CD83">
      <w:pPr>
        <w:pStyle w:val="6"/>
        <w:spacing w:line="400" w:lineRule="exact"/>
        <w:rPr>
          <w:rFonts w:ascii="新宋体" w:hAnsi="新宋体" w:eastAsia="新宋体"/>
          <w:color w:val="auto"/>
          <w:sz w:val="22"/>
          <w:szCs w:val="22"/>
          <w:highlight w:val="none"/>
        </w:rPr>
      </w:pPr>
      <w:bookmarkStart w:id="93" w:name="_Toc7173488"/>
      <w:bookmarkStart w:id="94" w:name="_Toc466407240"/>
      <w:bookmarkStart w:id="95" w:name="_Toc476318937"/>
      <w:bookmarkStart w:id="96" w:name="_Toc7425264"/>
      <w:bookmarkStart w:id="97" w:name="_Toc479946339"/>
      <w:bookmarkStart w:id="98" w:name="_Toc63412073"/>
      <w:r>
        <w:rPr>
          <w:rFonts w:hint="eastAsia" w:ascii="新宋体" w:hAnsi="新宋体" w:eastAsia="新宋体"/>
          <w:color w:val="auto"/>
          <w:sz w:val="22"/>
          <w:szCs w:val="22"/>
          <w:highlight w:val="none"/>
        </w:rPr>
        <w:br w:type="page"/>
      </w:r>
      <w:r>
        <w:rPr>
          <w:rFonts w:hint="eastAsia" w:ascii="新宋体" w:hAnsi="新宋体" w:eastAsia="新宋体"/>
          <w:color w:val="auto"/>
          <w:sz w:val="22"/>
          <w:szCs w:val="22"/>
          <w:highlight w:val="none"/>
        </w:rPr>
        <w:t>附件十  诚信投标承诺书</w:t>
      </w:r>
      <w:bookmarkEnd w:id="93"/>
      <w:bookmarkEnd w:id="94"/>
      <w:bookmarkEnd w:id="95"/>
      <w:bookmarkEnd w:id="96"/>
      <w:bookmarkEnd w:id="97"/>
      <w:bookmarkEnd w:id="98"/>
    </w:p>
    <w:p w14:paraId="08410A4A">
      <w:pPr>
        <w:ind w:left="147" w:leftChars="70"/>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诚信投标承诺书</w:t>
      </w:r>
    </w:p>
    <w:p w14:paraId="7D17D110">
      <w:pPr>
        <w:spacing w:line="360" w:lineRule="auto"/>
        <w:ind w:right="-153" w:rightChars="-73"/>
        <w:rPr>
          <w:rFonts w:ascii="新宋体" w:hAnsi="新宋体" w:eastAsia="新宋体"/>
          <w:color w:val="auto"/>
          <w:sz w:val="24"/>
          <w:highlight w:val="none"/>
        </w:rPr>
      </w:pPr>
    </w:p>
    <w:p w14:paraId="19A775CA">
      <w:pPr>
        <w:spacing w:line="360" w:lineRule="auto"/>
        <w:ind w:right="-153" w:rightChars="-73"/>
        <w:rPr>
          <w:rFonts w:ascii="新宋体" w:hAnsi="新宋体" w:eastAsia="新宋体"/>
          <w:color w:val="auto"/>
          <w:sz w:val="24"/>
          <w:highlight w:val="none"/>
        </w:rPr>
      </w:pPr>
      <w:r>
        <w:rPr>
          <w:rFonts w:hint="eastAsia" w:ascii="新宋体" w:hAnsi="新宋体" w:eastAsia="新宋体"/>
          <w:color w:val="auto"/>
          <w:sz w:val="24"/>
          <w:highlight w:val="none"/>
          <w:lang w:eastAsia="zh-CN"/>
        </w:rPr>
        <w:t>温州市自然资源和规划局龙湾分局</w:t>
      </w:r>
      <w:r>
        <w:rPr>
          <w:rFonts w:hint="eastAsia" w:ascii="新宋体" w:hAnsi="新宋体" w:eastAsia="新宋体"/>
          <w:color w:val="auto"/>
          <w:sz w:val="24"/>
          <w:highlight w:val="none"/>
        </w:rPr>
        <w:t>：</w:t>
      </w:r>
    </w:p>
    <w:p w14:paraId="1D61804D">
      <w:pPr>
        <w:spacing w:line="360" w:lineRule="auto"/>
        <w:ind w:right="-153" w:rightChars="-73"/>
        <w:rPr>
          <w:rFonts w:ascii="新宋体" w:hAnsi="新宋体" w:eastAsia="新宋体"/>
          <w:color w:val="auto"/>
          <w:sz w:val="24"/>
          <w:highlight w:val="none"/>
        </w:rPr>
      </w:pPr>
      <w:r>
        <w:rPr>
          <w:rFonts w:hint="eastAsia" w:ascii="新宋体" w:hAnsi="新宋体" w:eastAsia="新宋体"/>
          <w:color w:val="auto"/>
          <w:sz w:val="24"/>
          <w:highlight w:val="none"/>
        </w:rPr>
        <w:t>浙江同信工程项目管理有限公司：</w:t>
      </w:r>
    </w:p>
    <w:p w14:paraId="01B69E2B">
      <w:pPr>
        <w:spacing w:line="360" w:lineRule="auto"/>
        <w:ind w:right="-153" w:rightChars="-73"/>
        <w:rPr>
          <w:rFonts w:ascii="新宋体" w:hAnsi="新宋体" w:eastAsia="新宋体"/>
          <w:color w:val="auto"/>
          <w:sz w:val="24"/>
          <w:highlight w:val="none"/>
        </w:rPr>
      </w:pPr>
    </w:p>
    <w:p w14:paraId="6D441E85">
      <w:pPr>
        <w:spacing w:line="560" w:lineRule="exact"/>
        <w:ind w:right="-153" w:rightChars="-73"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我公司参与</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（采购项目名称、项目编号）投标，本公司郑重承诺：</w:t>
      </w:r>
    </w:p>
    <w:p w14:paraId="50097513">
      <w:pPr>
        <w:numPr>
          <w:ilvl w:val="0"/>
          <w:numId w:val="6"/>
        </w:numPr>
        <w:tabs>
          <w:tab w:val="left" w:pos="851"/>
        </w:tabs>
        <w:spacing w:line="360" w:lineRule="auto"/>
        <w:ind w:left="786"/>
        <w:rPr>
          <w:rFonts w:ascii="新宋体" w:hAnsi="新宋体" w:eastAsia="新宋体"/>
          <w:color w:val="auto"/>
          <w:sz w:val="24"/>
          <w:highlight w:val="none"/>
        </w:rPr>
      </w:pPr>
      <w:r>
        <w:rPr>
          <w:rFonts w:hint="eastAsia" w:ascii="新宋体" w:hAnsi="新宋体" w:eastAsia="新宋体"/>
          <w:color w:val="auto"/>
          <w:sz w:val="24"/>
          <w:highlight w:val="none"/>
        </w:rPr>
        <w:t>自觉遵守</w:t>
      </w:r>
      <w:r>
        <w:rPr>
          <w:rFonts w:hint="eastAsia" w:ascii="新宋体" w:hAnsi="新宋体" w:eastAsia="新宋体" w:cs="Univers LT Std 47 Cn Lt"/>
          <w:color w:val="auto"/>
          <w:sz w:val="24"/>
          <w:highlight w:val="none"/>
        </w:rPr>
        <w:t>《中华人民共和国政府采购法》等法律法规</w:t>
      </w:r>
      <w:r>
        <w:rPr>
          <w:rFonts w:hint="eastAsia" w:ascii="新宋体" w:hAnsi="新宋体" w:eastAsia="新宋体"/>
          <w:color w:val="auto"/>
          <w:sz w:val="24"/>
          <w:highlight w:val="none"/>
        </w:rPr>
        <w:t>的规定；</w:t>
      </w:r>
    </w:p>
    <w:p w14:paraId="315E94E9">
      <w:pPr>
        <w:numPr>
          <w:ilvl w:val="0"/>
          <w:numId w:val="6"/>
        </w:numPr>
        <w:tabs>
          <w:tab w:val="left" w:pos="851"/>
        </w:tabs>
        <w:spacing w:line="360" w:lineRule="auto"/>
        <w:ind w:left="786"/>
        <w:rPr>
          <w:rFonts w:ascii="新宋体" w:hAnsi="新宋体" w:eastAsia="新宋体"/>
          <w:color w:val="auto"/>
          <w:sz w:val="24"/>
          <w:highlight w:val="none"/>
        </w:rPr>
      </w:pPr>
      <w:r>
        <w:rPr>
          <w:rFonts w:hint="eastAsia" w:ascii="新宋体" w:hAnsi="新宋体" w:eastAsia="新宋体"/>
          <w:color w:val="auto"/>
          <w:sz w:val="24"/>
          <w:highlight w:val="none"/>
        </w:rPr>
        <w:t>投标文件中所提供的材料及技术参数真实有效，不存在虚假应标；</w:t>
      </w:r>
    </w:p>
    <w:p w14:paraId="49393A64">
      <w:pPr>
        <w:numPr>
          <w:ilvl w:val="0"/>
          <w:numId w:val="6"/>
        </w:numPr>
        <w:tabs>
          <w:tab w:val="left" w:pos="851"/>
        </w:tabs>
        <w:spacing w:line="360" w:lineRule="auto"/>
        <w:ind w:left="786"/>
        <w:rPr>
          <w:rFonts w:ascii="新宋体" w:hAnsi="新宋体" w:eastAsia="新宋体"/>
          <w:color w:val="auto"/>
          <w:sz w:val="24"/>
          <w:highlight w:val="none"/>
        </w:rPr>
      </w:pPr>
      <w:r>
        <w:rPr>
          <w:rFonts w:hint="eastAsia" w:ascii="新宋体" w:hAnsi="新宋体" w:eastAsia="新宋体"/>
          <w:color w:val="auto"/>
          <w:sz w:val="24"/>
          <w:highlight w:val="none"/>
        </w:rPr>
        <w:t>保证绝不采取不正当手段诋毁排挤其他投标供应商；</w:t>
      </w:r>
    </w:p>
    <w:p w14:paraId="07042185">
      <w:pPr>
        <w:numPr>
          <w:ilvl w:val="0"/>
          <w:numId w:val="6"/>
        </w:numPr>
        <w:tabs>
          <w:tab w:val="left" w:pos="851"/>
        </w:tabs>
        <w:spacing w:line="360" w:lineRule="auto"/>
        <w:ind w:left="786"/>
        <w:rPr>
          <w:rFonts w:ascii="新宋体" w:hAnsi="新宋体" w:eastAsia="新宋体"/>
          <w:color w:val="auto"/>
          <w:sz w:val="24"/>
          <w:highlight w:val="none"/>
        </w:rPr>
      </w:pPr>
      <w:r>
        <w:rPr>
          <w:rFonts w:hint="eastAsia" w:ascii="新宋体" w:hAnsi="新宋体" w:eastAsia="新宋体"/>
          <w:color w:val="auto"/>
          <w:sz w:val="24"/>
          <w:highlight w:val="none"/>
        </w:rPr>
        <w:t>保证绝不向采购人、采购代理机构有关工作人员提供不正当利益,以影响采购结果的公正性。</w:t>
      </w:r>
    </w:p>
    <w:p w14:paraId="64D833DF">
      <w:pPr>
        <w:numPr>
          <w:ilvl w:val="0"/>
          <w:numId w:val="6"/>
        </w:numPr>
        <w:tabs>
          <w:tab w:val="left" w:pos="851"/>
        </w:tabs>
        <w:spacing w:line="360" w:lineRule="auto"/>
        <w:ind w:left="786"/>
        <w:rPr>
          <w:rFonts w:ascii="新宋体" w:hAnsi="新宋体" w:eastAsia="新宋体"/>
          <w:color w:val="auto"/>
          <w:sz w:val="24"/>
          <w:highlight w:val="none"/>
        </w:rPr>
      </w:pPr>
      <w:r>
        <w:rPr>
          <w:rFonts w:hint="eastAsia" w:ascii="新宋体" w:hAnsi="新宋体" w:eastAsia="新宋体"/>
          <w:color w:val="auto"/>
          <w:sz w:val="24"/>
          <w:highlight w:val="none"/>
        </w:rPr>
        <w:t>如中标，将全面忠实的履行投标文件所有响应与承诺，在规定的时间内与采购人签订采购合同。</w:t>
      </w:r>
    </w:p>
    <w:p w14:paraId="006A9CEA">
      <w:pPr>
        <w:snapToGrid w:val="0"/>
        <w:spacing w:line="360" w:lineRule="auto"/>
        <w:ind w:firstLine="480" w:firstLineChars="200"/>
        <w:rPr>
          <w:rFonts w:ascii="新宋体" w:hAnsi="新宋体" w:eastAsia="新宋体"/>
          <w:color w:val="auto"/>
          <w:sz w:val="24"/>
          <w:highlight w:val="none"/>
        </w:rPr>
      </w:pPr>
    </w:p>
    <w:p w14:paraId="0B7A00B5">
      <w:pPr>
        <w:snapToGrid w:val="0"/>
        <w:spacing w:line="40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我公司若违反上述承诺，愿接受取消投标（中标）资格及其他任何形式的处理。</w:t>
      </w:r>
    </w:p>
    <w:p w14:paraId="5BF4FD25">
      <w:pPr>
        <w:snapToGrid w:val="0"/>
        <w:spacing w:line="360" w:lineRule="auto"/>
        <w:ind w:firstLine="480" w:firstLineChars="200"/>
        <w:rPr>
          <w:rFonts w:ascii="新宋体" w:hAnsi="新宋体" w:eastAsia="新宋体"/>
          <w:color w:val="auto"/>
          <w:sz w:val="24"/>
          <w:highlight w:val="none"/>
        </w:rPr>
      </w:pPr>
    </w:p>
    <w:p w14:paraId="2FA8A7D2">
      <w:pPr>
        <w:snapToGrid w:val="0"/>
        <w:spacing w:line="360" w:lineRule="auto"/>
        <w:ind w:firstLine="420" w:firstLineChars="175"/>
        <w:rPr>
          <w:rFonts w:ascii="新宋体" w:hAnsi="新宋体" w:eastAsia="新宋体"/>
          <w:color w:val="auto"/>
          <w:sz w:val="24"/>
          <w:highlight w:val="none"/>
        </w:rPr>
      </w:pPr>
    </w:p>
    <w:p w14:paraId="2399A656">
      <w:pPr>
        <w:spacing w:line="600" w:lineRule="exact"/>
        <w:ind w:firstLine="5611" w:firstLineChars="2338"/>
        <w:textAlignment w:val="baseline"/>
        <w:rPr>
          <w:rFonts w:ascii="新宋体" w:hAnsi="新宋体" w:eastAsia="新宋体"/>
          <w:color w:val="auto"/>
          <w:sz w:val="24"/>
          <w:highlight w:val="none"/>
        </w:rPr>
      </w:pPr>
      <w:r>
        <w:rPr>
          <w:rFonts w:hint="eastAsia" w:ascii="新宋体" w:hAnsi="新宋体" w:eastAsia="新宋体"/>
          <w:color w:val="auto"/>
          <w:sz w:val="24"/>
          <w:highlight w:val="none"/>
        </w:rPr>
        <w:t>投标供应商全称（盖章）：</w:t>
      </w:r>
    </w:p>
    <w:p w14:paraId="6A8AD2AA">
      <w:pPr>
        <w:spacing w:line="600" w:lineRule="exact"/>
        <w:ind w:firstLine="5640" w:firstLineChars="2350"/>
        <w:jc w:val="right"/>
        <w:textAlignment w:val="baseline"/>
        <w:rPr>
          <w:rFonts w:ascii="新宋体" w:hAnsi="新宋体" w:eastAsia="新宋体"/>
          <w:color w:val="auto"/>
          <w:sz w:val="24"/>
          <w:highlight w:val="none"/>
        </w:rPr>
      </w:pPr>
      <w:r>
        <w:rPr>
          <w:rFonts w:hint="eastAsia" w:ascii="新宋体" w:hAnsi="新宋体" w:eastAsia="新宋体"/>
          <w:color w:val="auto"/>
          <w:sz w:val="24"/>
          <w:highlight w:val="none"/>
        </w:rPr>
        <w:t>投标供应商代表（签字或盖章）：日  期：  年  月   日</w:t>
      </w:r>
    </w:p>
    <w:p w14:paraId="2E485CB9">
      <w:pPr>
        <w:spacing w:line="400" w:lineRule="exact"/>
        <w:ind w:firstLine="5640" w:firstLineChars="2350"/>
        <w:textAlignment w:val="baseline"/>
        <w:rPr>
          <w:rFonts w:ascii="新宋体" w:hAnsi="新宋体" w:eastAsia="新宋体"/>
          <w:color w:val="auto"/>
          <w:sz w:val="24"/>
          <w:highlight w:val="none"/>
        </w:rPr>
      </w:pPr>
    </w:p>
    <w:p w14:paraId="79B87B56">
      <w:pPr>
        <w:spacing w:line="400" w:lineRule="exact"/>
        <w:textAlignment w:val="baseline"/>
        <w:rPr>
          <w:rFonts w:ascii="新宋体" w:hAnsi="新宋体" w:eastAsia="新宋体"/>
          <w:bCs/>
          <w:color w:val="auto"/>
          <w:sz w:val="24"/>
          <w:highlight w:val="none"/>
        </w:rPr>
      </w:pPr>
    </w:p>
    <w:p w14:paraId="7054CA07">
      <w:pPr>
        <w:spacing w:line="400" w:lineRule="exact"/>
        <w:textAlignment w:val="baseline"/>
        <w:rPr>
          <w:rFonts w:ascii="新宋体" w:hAnsi="新宋体" w:eastAsia="新宋体"/>
          <w:bCs/>
          <w:color w:val="auto"/>
          <w:sz w:val="24"/>
          <w:highlight w:val="none"/>
        </w:rPr>
      </w:pPr>
    </w:p>
    <w:p w14:paraId="4CE9AE9D">
      <w:pPr>
        <w:spacing w:line="400" w:lineRule="exact"/>
        <w:textAlignment w:val="baseline"/>
        <w:rPr>
          <w:rFonts w:ascii="新宋体" w:hAnsi="新宋体" w:eastAsia="新宋体"/>
          <w:color w:val="auto"/>
          <w:sz w:val="24"/>
          <w:highlight w:val="none"/>
          <w:u w:val="single"/>
        </w:rPr>
      </w:pPr>
      <w:r>
        <w:rPr>
          <w:rFonts w:hint="eastAsia" w:ascii="新宋体" w:hAnsi="新宋体" w:eastAsia="新宋体"/>
          <w:bCs/>
          <w:color w:val="auto"/>
          <w:sz w:val="24"/>
          <w:highlight w:val="none"/>
        </w:rPr>
        <w:t>注</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▲不提交本承诺书按无效标处理。</w:t>
      </w:r>
    </w:p>
    <w:p w14:paraId="3B3041D6">
      <w:pPr>
        <w:spacing w:line="400" w:lineRule="exact"/>
        <w:textAlignment w:val="baseline"/>
        <w:rPr>
          <w:rFonts w:ascii="新宋体" w:hAnsi="新宋体" w:eastAsia="新宋体"/>
          <w:color w:val="auto"/>
          <w:sz w:val="24"/>
          <w:highlight w:val="none"/>
          <w:u w:val="single"/>
        </w:rPr>
      </w:pPr>
    </w:p>
    <w:p w14:paraId="6A46A233">
      <w:pPr>
        <w:rPr>
          <w:rFonts w:ascii="新宋体" w:hAnsi="新宋体" w:eastAsia="新宋体"/>
          <w:color w:val="auto"/>
          <w:sz w:val="32"/>
          <w:szCs w:val="32"/>
          <w:highlight w:val="none"/>
        </w:rPr>
      </w:pPr>
      <w:bookmarkStart w:id="99" w:name="_Toc63412074"/>
      <w:r>
        <w:rPr>
          <w:rFonts w:hint="eastAsia" w:ascii="新宋体" w:hAnsi="新宋体" w:eastAsia="新宋体"/>
          <w:color w:val="auto"/>
          <w:sz w:val="32"/>
          <w:szCs w:val="32"/>
          <w:highlight w:val="none"/>
        </w:rPr>
        <w:br w:type="page"/>
      </w:r>
    </w:p>
    <w:p w14:paraId="2374B377">
      <w:pPr>
        <w:pStyle w:val="5"/>
        <w:numPr>
          <w:ilvl w:val="0"/>
          <w:numId w:val="7"/>
        </w:numPr>
        <w:tabs>
          <w:tab w:val="clear" w:pos="840"/>
        </w:tabs>
        <w:adjustRightInd/>
        <w:snapToGrid/>
        <w:spacing w:before="120" w:after="120" w:line="440" w:lineRule="exact"/>
        <w:jc w:val="center"/>
        <w:rPr>
          <w:rFonts w:ascii="新宋体" w:hAnsi="新宋体" w:eastAsia="新宋体"/>
          <w:color w:val="auto"/>
          <w:sz w:val="32"/>
          <w:szCs w:val="32"/>
          <w:highlight w:val="none"/>
        </w:rPr>
      </w:pPr>
      <w:r>
        <w:rPr>
          <w:rFonts w:hint="eastAsia" w:ascii="新宋体" w:hAnsi="新宋体" w:eastAsia="新宋体"/>
          <w:color w:val="auto"/>
          <w:sz w:val="32"/>
          <w:szCs w:val="32"/>
          <w:highlight w:val="none"/>
        </w:rPr>
        <w:t xml:space="preserve"> 采购内容及要求</w:t>
      </w:r>
      <w:bookmarkEnd w:id="99"/>
      <w:bookmarkStart w:id="100" w:name="_Toc171189364"/>
      <w:bookmarkStart w:id="101" w:name="_Toc188355453"/>
      <w:bookmarkStart w:id="102" w:name="_Toc175826927"/>
    </w:p>
    <w:bookmarkEnd w:id="100"/>
    <w:bookmarkEnd w:id="101"/>
    <w:bookmarkEnd w:id="102"/>
    <w:p w14:paraId="146ECC6D">
      <w:pPr>
        <w:widowControl/>
        <w:autoSpaceDE w:val="0"/>
        <w:autoSpaceDN w:val="0"/>
        <w:snapToGrid w:val="0"/>
        <w:spacing w:line="360" w:lineRule="auto"/>
        <w:jc w:val="left"/>
        <w:rPr>
          <w:b/>
          <w:bCs/>
          <w:color w:val="auto"/>
          <w:sz w:val="24"/>
          <w:szCs w:val="24"/>
          <w:highlight w:val="none"/>
        </w:rPr>
      </w:pPr>
      <w:bookmarkStart w:id="103" w:name="_Toc63412075"/>
      <w:r>
        <w:rPr>
          <w:b/>
          <w:bCs/>
          <w:color w:val="auto"/>
          <w:sz w:val="24"/>
          <w:szCs w:val="24"/>
          <w:highlight w:val="none"/>
        </w:rPr>
        <w:t>一、项目概况</w:t>
      </w:r>
    </w:p>
    <w:p w14:paraId="429D1695">
      <w:pPr>
        <w:autoSpaceDE w:val="0"/>
        <w:autoSpaceDN w:val="0"/>
        <w:adjustRightInd w:val="0"/>
        <w:spacing w:line="360" w:lineRule="auto"/>
        <w:ind w:firstLine="480" w:firstLineChars="200"/>
        <w:textAlignment w:val="bottom"/>
        <w:rPr>
          <w:rFonts w:hint="eastAsia"/>
          <w:bCs/>
          <w:color w:val="auto"/>
          <w:sz w:val="24"/>
          <w:szCs w:val="24"/>
          <w:highlight w:val="none"/>
        </w:rPr>
      </w:pPr>
      <w:r>
        <w:rPr>
          <w:bCs/>
          <w:color w:val="auto"/>
          <w:sz w:val="24"/>
          <w:szCs w:val="24"/>
          <w:highlight w:val="none"/>
        </w:rPr>
        <w:t>根据《浙江省自然资源厅关于开展第一期百镇千村富硒土地地球化学详查工作的通知》文件要求，为进一步贯彻落实习近平总书记关于农业地质调查工作重要指示批示精神和考察浙江时重要讲话精神，充分利用前期农业地质调查成果，进一步圈定全省富硒土地，科学保护并合理利用好富硒土地，推动富硒农业产业发展，支撑服务全省自然资源管理和乡村振兴的重要基础性工作。根据《浙江省自然资源发展</w:t>
      </w:r>
      <w:r>
        <w:rPr>
          <w:rFonts w:hint="eastAsia"/>
          <w:bCs/>
          <w:color w:val="auto"/>
          <w:sz w:val="24"/>
          <w:szCs w:val="24"/>
          <w:highlight w:val="none"/>
        </w:rPr>
        <w:t>“</w:t>
      </w:r>
      <w:r>
        <w:rPr>
          <w:bCs/>
          <w:color w:val="auto"/>
          <w:sz w:val="24"/>
          <w:szCs w:val="24"/>
          <w:highlight w:val="none"/>
        </w:rPr>
        <w:t>十四五</w:t>
      </w:r>
      <w:r>
        <w:rPr>
          <w:rFonts w:hint="eastAsia"/>
          <w:bCs/>
          <w:color w:val="auto"/>
          <w:sz w:val="24"/>
          <w:szCs w:val="24"/>
          <w:highlight w:val="none"/>
        </w:rPr>
        <w:t>”</w:t>
      </w:r>
      <w:r>
        <w:rPr>
          <w:bCs/>
          <w:color w:val="auto"/>
          <w:sz w:val="24"/>
          <w:szCs w:val="24"/>
          <w:highlight w:val="none"/>
        </w:rPr>
        <w:t>规划》（浙发改规划〔2021〕159 号）</w:t>
      </w:r>
      <w:r>
        <w:rPr>
          <w:rFonts w:hint="eastAsia"/>
          <w:bCs/>
          <w:color w:val="auto"/>
          <w:sz w:val="24"/>
          <w:szCs w:val="24"/>
          <w:highlight w:val="none"/>
        </w:rPr>
        <w:t>、《浙江省地质勘查“十四五”规划》(浙自然资函〔2021]37号)</w:t>
      </w:r>
      <w:r>
        <w:rPr>
          <w:bCs/>
          <w:color w:val="auto"/>
          <w:sz w:val="24"/>
          <w:szCs w:val="24"/>
          <w:highlight w:val="none"/>
        </w:rPr>
        <w:t>和《浙江省自然资源厅关于印发地质工作支撑服务共同富裕示范区建设指导意见的通知》（浙自然资厅函〔2023〕103 号）的有关要求，决定开展第一期百镇千村富硒土地地球化学详查工作。根据要求，</w:t>
      </w:r>
      <w:r>
        <w:rPr>
          <w:rFonts w:hint="eastAsia"/>
          <w:bCs/>
          <w:color w:val="auto"/>
          <w:sz w:val="24"/>
          <w:szCs w:val="24"/>
          <w:highlight w:val="none"/>
        </w:rPr>
        <w:t>龙湾区</w:t>
      </w:r>
      <w:r>
        <w:rPr>
          <w:bCs/>
          <w:color w:val="auto"/>
          <w:sz w:val="24"/>
          <w:szCs w:val="24"/>
          <w:highlight w:val="none"/>
        </w:rPr>
        <w:t>需开展2025年富硒土地资源详查0.31万亩。通过开展土地环境背景调查、土壤地球化学调查、土壤垂向剖面测量、灌溉水质量调查、农产品质量调查等，以查明富硒土壤成因背景、土壤养分质量、土壤环境质量、灌溉水环境质量，以及农产品安全质量与富硒情况等，精确圈定富硒土地范围，划分富硒土地类别与成因类型，提出富硒土地资源科学保护和合理利用的建议。</w:t>
      </w:r>
    </w:p>
    <w:p w14:paraId="52C63B08">
      <w:pPr>
        <w:widowControl/>
        <w:autoSpaceDE w:val="0"/>
        <w:autoSpaceDN w:val="0"/>
        <w:snapToGrid w:val="0"/>
        <w:spacing w:line="360" w:lineRule="auto"/>
        <w:jc w:val="left"/>
        <w:rPr>
          <w:b/>
          <w:color w:val="auto"/>
          <w:sz w:val="24"/>
          <w:szCs w:val="24"/>
          <w:highlight w:val="none"/>
        </w:rPr>
      </w:pPr>
      <w:r>
        <w:rPr>
          <w:b/>
          <w:color w:val="auto"/>
          <w:sz w:val="24"/>
          <w:szCs w:val="24"/>
          <w:highlight w:val="none"/>
        </w:rPr>
        <w:t>二、工作内容要求</w:t>
      </w:r>
    </w:p>
    <w:p w14:paraId="09F079AE">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富硒土地资源详查工作流程包含方案编制、野外调查与分析测试、专项评价与成因分析、富硒土地类别划分、成果编制等阶段。</w:t>
      </w:r>
    </w:p>
    <w:p w14:paraId="3967D54A">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（一）方案编制</w:t>
      </w:r>
    </w:p>
    <w:p w14:paraId="6B20D82F">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在资料收集、野外踏勘的基础上编制工作方案。</w:t>
      </w:r>
    </w:p>
    <w:p w14:paraId="4C2318A1">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（二）野外调查与分析测试</w:t>
      </w:r>
    </w:p>
    <w:p w14:paraId="52BE361E">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主要内容包含土壤地球化学调查、灌溉水质量调查、农作物质量调查、土壤垂向剖面测量等。其中野外调查主要工作包含土壤样点布设、采集与加工，灌溉水样点布设与采集，农作物样点布设与采集，以及富硒土壤成因调查。样品分析指标主要有以下内容：</w:t>
      </w:r>
    </w:p>
    <w:p w14:paraId="34666EE7">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1、表层土壤样品：理化性状指标为pH、Eh、有机质、质地；养分指标为全氮、硼、锰、钼、硒、锗、总碳、有效磷、速效钾、有效硒；环境指标为砷、镉、铬、汞、铅、镍、铜、锌。</w:t>
      </w:r>
    </w:p>
    <w:p w14:paraId="0A540C6B">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2、灌溉水样品：灌溉水测试指标为pH、化学需氧量(CODCr)、氟化物、石油类、粪大肠菌群、总汞、总铅、总镉、总砷、六价铬。</w:t>
      </w:r>
    </w:p>
    <w:p w14:paraId="19989E20">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3、农作物样品：农作物测试指标为硒、锗、总砷、镉、铬、汞、铅、锌。</w:t>
      </w:r>
    </w:p>
    <w:p w14:paraId="724F19CD">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4、土壤-母质层样品：pH、有机质、质地、Ag、As、Au、B、Ba、Be、Bi、Br、Cd、Ce、Cl、Co、Cr、Cu、F、Ga、Ge、Hg、I、La、Li、Mn、Mo、N、Nb、Ni、P、Pb、Rb、S、Sb、Sc、Se、Sn、Sr、Th、Ti、Tl、U、V、W、Y、Zn、Zr、SiO2、Al2O3、MgO、CaO、TFe2O3、Na2O、K2O、TC、有效硒、形态硒（七步法）、硒酸盐（Se6+）、亚硒酸盐（Se4+）。</w:t>
      </w:r>
    </w:p>
    <w:p w14:paraId="0DB325BF">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5、基岩样品：Ag、As、Au、B、Ba、Be、Bi、Br、Cd、Ce、Cl、Co、Cr、Cu、F、Ga、Ge、Hg、I、La、Li、Mn、Mo、N、Nb、Ni、P、Pb、Rb、S、Sb、Sc、Se、Sn、Sr、Th、Ti、Tl、U、V、W、Y、Zn、Zr、SiO2、Al2O3、MgO、CaO、TFe2O3、Na2O、K2O、TC。</w:t>
      </w:r>
    </w:p>
    <w:p w14:paraId="05BFD00D">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注：以上样品数量投标人自行估算，具体采样点布设、样品数量需满《浙江省富硒土地地球化学详查技术指南》（试行）与《关于开展百镇千村富硒土地地球化学详查工作的通知》的要求。</w:t>
      </w:r>
    </w:p>
    <w:p w14:paraId="797DADB9">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（三）专项评价与成因分析</w:t>
      </w:r>
    </w:p>
    <w:p w14:paraId="15164330">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主要包含富硒土壤评价、土壤环境质量评价、土壤肥力质量评价、灌溉水水质评价、农作物富硒评价等。</w:t>
      </w:r>
    </w:p>
    <w:p w14:paraId="69650798">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（四）富硒土地类别划分</w:t>
      </w:r>
    </w:p>
    <w:p w14:paraId="4C676561">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富硒土地类型划分参照《DZ/T 0380-2021天然富硒土地划定与标识》执行，根据土壤pH与全量硒含量、土壤环境质量与肥力质量、灌溉水质量、农作物富硒率等，划分为绿色富硒土地、无公害富硒土地和一般富硒土地。</w:t>
      </w:r>
    </w:p>
    <w:p w14:paraId="46C9676B">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（五）成果编制</w:t>
      </w:r>
    </w:p>
    <w:p w14:paraId="712A2F71">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主要包含图件编制（基础底图、实际材料图、评价结果图、应用成果图）、数据库建设和报告编写（富硒土地资源详查报告分技术报告和工作报告）。</w:t>
      </w:r>
    </w:p>
    <w:p w14:paraId="26868A0C">
      <w:pPr>
        <w:widowControl/>
        <w:autoSpaceDE w:val="0"/>
        <w:autoSpaceDN w:val="0"/>
        <w:snapToGrid w:val="0"/>
        <w:spacing w:line="360" w:lineRule="auto"/>
        <w:jc w:val="left"/>
        <w:rPr>
          <w:b/>
          <w:bCs/>
          <w:color w:val="auto"/>
          <w:sz w:val="24"/>
          <w:szCs w:val="24"/>
          <w:highlight w:val="none"/>
        </w:rPr>
      </w:pPr>
      <w:r>
        <w:rPr>
          <w:rFonts w:hint="eastAsia"/>
          <w:b/>
          <w:bCs/>
          <w:color w:val="auto"/>
          <w:sz w:val="24"/>
          <w:szCs w:val="24"/>
          <w:highlight w:val="none"/>
        </w:rPr>
        <w:t>三、</w:t>
      </w:r>
      <w:r>
        <w:rPr>
          <w:b/>
          <w:bCs/>
          <w:color w:val="auto"/>
          <w:sz w:val="24"/>
          <w:szCs w:val="24"/>
          <w:highlight w:val="none"/>
        </w:rPr>
        <w:t>工作范围：</w:t>
      </w:r>
    </w:p>
    <w:p w14:paraId="4AD2FD25">
      <w:pPr>
        <w:autoSpaceDE w:val="0"/>
        <w:autoSpaceDN w:val="0"/>
        <w:adjustRightInd w:val="0"/>
        <w:spacing w:line="360" w:lineRule="auto"/>
        <w:ind w:firstLine="480" w:firstLineChars="200"/>
        <w:textAlignment w:val="bottom"/>
        <w:rPr>
          <w:rFonts w:hint="eastAsia" w:eastAsia="宋体"/>
          <w:bCs/>
          <w:color w:val="auto"/>
          <w:sz w:val="24"/>
          <w:szCs w:val="24"/>
          <w:highlight w:val="none"/>
          <w:lang w:eastAsia="zh-CN"/>
        </w:rPr>
      </w:pPr>
      <w:r>
        <w:rPr>
          <w:bCs/>
          <w:color w:val="auto"/>
          <w:sz w:val="24"/>
          <w:szCs w:val="24"/>
          <w:highlight w:val="none"/>
        </w:rPr>
        <w:t>2025年龙湾区富硒土地详查涉及主要乡镇：</w:t>
      </w:r>
      <w:r>
        <w:rPr>
          <w:rFonts w:hint="eastAsia"/>
          <w:bCs/>
          <w:color w:val="auto"/>
          <w:sz w:val="24"/>
          <w:szCs w:val="24"/>
          <w:highlight w:val="none"/>
        </w:rPr>
        <w:t>海滨街道</w:t>
      </w:r>
      <w:r>
        <w:rPr>
          <w:bCs/>
          <w:color w:val="auto"/>
          <w:sz w:val="24"/>
          <w:szCs w:val="24"/>
          <w:highlight w:val="none"/>
        </w:rPr>
        <w:t>。工作区域在省厅下达详查工作靶区为基础圈定，面积不小于0.31万亩。</w:t>
      </w:r>
      <w:r>
        <w:rPr>
          <w:rFonts w:hint="eastAsia"/>
          <w:bCs/>
          <w:color w:val="auto"/>
          <w:sz w:val="24"/>
          <w:szCs w:val="24"/>
          <w:highlight w:val="none"/>
          <w:lang w:eastAsia="zh-CN"/>
        </w:rPr>
        <w:t>如涉及区块调整，需按流程上报省厅完成调查区块调整后再进行采样分析。</w:t>
      </w:r>
    </w:p>
    <w:p w14:paraId="3B0221E3">
      <w:pPr>
        <w:widowControl/>
        <w:autoSpaceDE w:val="0"/>
        <w:autoSpaceDN w:val="0"/>
        <w:snapToGrid w:val="0"/>
        <w:spacing w:line="360" w:lineRule="auto"/>
        <w:jc w:val="left"/>
        <w:rPr>
          <w:b/>
          <w:bCs/>
          <w:color w:val="auto"/>
          <w:sz w:val="24"/>
          <w:szCs w:val="24"/>
          <w:highlight w:val="none"/>
        </w:rPr>
      </w:pPr>
      <w:r>
        <w:rPr>
          <w:rFonts w:hint="eastAsia"/>
          <w:b/>
          <w:bCs/>
          <w:color w:val="auto"/>
          <w:sz w:val="24"/>
          <w:szCs w:val="24"/>
          <w:highlight w:val="none"/>
        </w:rPr>
        <w:t>四、</w:t>
      </w:r>
      <w:r>
        <w:rPr>
          <w:b/>
          <w:bCs/>
          <w:color w:val="auto"/>
          <w:sz w:val="24"/>
          <w:szCs w:val="24"/>
          <w:highlight w:val="none"/>
        </w:rPr>
        <w:t>工作时间要求</w:t>
      </w:r>
    </w:p>
    <w:p w14:paraId="3802DFD8">
      <w:pPr>
        <w:autoSpaceDE w:val="0"/>
        <w:autoSpaceDN w:val="0"/>
        <w:adjustRightInd w:val="0"/>
        <w:spacing w:line="360" w:lineRule="auto"/>
        <w:ind w:firstLine="480" w:firstLineChars="200"/>
        <w:textAlignment w:val="bottom"/>
        <w:rPr>
          <w:rFonts w:hint="eastAsia"/>
          <w:bCs/>
          <w:color w:val="auto"/>
          <w:sz w:val="24"/>
          <w:szCs w:val="24"/>
          <w:highlight w:val="none"/>
          <w:lang w:eastAsia="zh-CN"/>
        </w:rPr>
      </w:pPr>
      <w:r>
        <w:rPr>
          <w:rFonts w:hint="eastAsia"/>
          <w:bCs/>
          <w:color w:val="auto"/>
          <w:sz w:val="24"/>
          <w:szCs w:val="24"/>
          <w:highlight w:val="none"/>
          <w:lang w:eastAsia="zh-CN"/>
        </w:rPr>
        <w:t>2025年9月30 日前，完成项目设计方案编制与评审，并在绿矿智用平台完成项目入库；2025年12月底前，完成土壤、灌溉水、农产品、土壤垂向剖面等介质野外样品采集、加工与送检，组织完成项目野外验收，</w:t>
      </w:r>
      <w:r>
        <w:rPr>
          <w:rFonts w:hint="eastAsia"/>
          <w:bCs/>
          <w:color w:val="auto"/>
          <w:sz w:val="24"/>
          <w:szCs w:val="24"/>
          <w:highlight w:val="none"/>
          <w:lang w:val="en-US" w:eastAsia="zh-CN"/>
        </w:rPr>
        <w:t>具体验收时间以省市组织为准。</w:t>
      </w:r>
    </w:p>
    <w:p w14:paraId="302F2010">
      <w:pPr>
        <w:widowControl/>
        <w:autoSpaceDE w:val="0"/>
        <w:autoSpaceDN w:val="0"/>
        <w:snapToGrid w:val="0"/>
        <w:spacing w:line="360" w:lineRule="auto"/>
        <w:jc w:val="left"/>
        <w:rPr>
          <w:b/>
          <w:bCs/>
          <w:color w:val="auto"/>
          <w:sz w:val="24"/>
          <w:szCs w:val="24"/>
          <w:highlight w:val="none"/>
        </w:rPr>
      </w:pPr>
      <w:r>
        <w:rPr>
          <w:rFonts w:hint="eastAsia"/>
          <w:b/>
          <w:bCs/>
          <w:color w:val="auto"/>
          <w:sz w:val="24"/>
          <w:szCs w:val="24"/>
          <w:highlight w:val="none"/>
        </w:rPr>
        <w:t>五、</w:t>
      </w:r>
      <w:r>
        <w:rPr>
          <w:b/>
          <w:bCs/>
          <w:color w:val="auto"/>
          <w:sz w:val="24"/>
          <w:szCs w:val="24"/>
          <w:highlight w:val="none"/>
        </w:rPr>
        <w:t>项目质量要求及验收标准</w:t>
      </w:r>
    </w:p>
    <w:p w14:paraId="31BA5551">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1、符合国家、省自然资源厅有关技术规范规程和采购人提出的要求。</w:t>
      </w:r>
    </w:p>
    <w:p w14:paraId="73507A4A">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2、项目整体通过采购人或上级自然资源部门组织的验收（项目验收、评审等相应费用由供应商承担）。</w:t>
      </w:r>
    </w:p>
    <w:p w14:paraId="4EF906B4">
      <w:pPr>
        <w:widowControl/>
        <w:autoSpaceDE w:val="0"/>
        <w:autoSpaceDN w:val="0"/>
        <w:snapToGrid w:val="0"/>
        <w:spacing w:line="360" w:lineRule="auto"/>
        <w:jc w:val="left"/>
        <w:rPr>
          <w:b/>
          <w:bCs/>
          <w:color w:val="auto"/>
          <w:sz w:val="24"/>
          <w:szCs w:val="24"/>
          <w:highlight w:val="none"/>
        </w:rPr>
      </w:pPr>
      <w:r>
        <w:rPr>
          <w:rFonts w:hint="eastAsia"/>
          <w:b/>
          <w:bCs/>
          <w:color w:val="auto"/>
          <w:sz w:val="24"/>
          <w:szCs w:val="24"/>
          <w:highlight w:val="none"/>
        </w:rPr>
        <w:t>六、商务条款</w:t>
      </w:r>
    </w:p>
    <w:p w14:paraId="48DCB497">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1、履约保证金：无。</w:t>
      </w:r>
    </w:p>
    <w:p w14:paraId="01AEC263">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2.</w:t>
      </w:r>
      <w:r>
        <w:rPr>
          <w:bCs/>
          <w:color w:val="auto"/>
          <w:sz w:val="24"/>
          <w:szCs w:val="24"/>
          <w:highlight w:val="none"/>
        </w:rPr>
        <w:t>付款方式：</w:t>
      </w:r>
    </w:p>
    <w:p w14:paraId="1710B37E">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1）（具体按财政资金拨款情况或按实际签订的合同约定（须符合浙江省财政厅关于进一步发挥政府采购政策功能全力推动经济稳进提质的通知(浙财采监〔2022〕3号)相关规定），在合同生效以及具备实施条件后7个工作日内，甲方向乙方支付合同价的20%作为预付款；</w:t>
      </w:r>
    </w:p>
    <w:p w14:paraId="49BF1E1F">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①在签订合同时，中标人明确表示无需预付款或者主动要求降低预付款比例的，采购单位可不适用前述规定。</w:t>
      </w:r>
    </w:p>
    <w:p w14:paraId="0FBCEE0C">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②在签订合同时，中标人要求预付款的。采购单位有权要求中标人提供银行、保险公司等金融机构出具的预付款保函或其他担保措施。</w:t>
      </w:r>
    </w:p>
    <w:p w14:paraId="7BA11F47">
      <w:pPr>
        <w:autoSpaceDE w:val="0"/>
        <w:autoSpaceDN w:val="0"/>
        <w:adjustRightInd w:val="0"/>
        <w:spacing w:line="360" w:lineRule="auto"/>
        <w:ind w:firstLine="480" w:firstLineChars="200"/>
        <w:textAlignment w:val="bottom"/>
        <w:rPr>
          <w:rFonts w:hint="eastAsia"/>
          <w:bCs/>
          <w:color w:val="auto"/>
          <w:sz w:val="24"/>
          <w:szCs w:val="24"/>
          <w:highlight w:val="none"/>
        </w:rPr>
      </w:pPr>
      <w:r>
        <w:rPr>
          <w:rFonts w:hint="eastAsia"/>
          <w:bCs/>
          <w:color w:val="auto"/>
          <w:sz w:val="24"/>
          <w:szCs w:val="24"/>
          <w:highlight w:val="none"/>
        </w:rPr>
        <w:t>（2）2025年9月30 日前，完成项目设计方案编制与评审，并在绿矿智用平台完成项目入库后7个工作日内支付合同价的30%。</w:t>
      </w:r>
    </w:p>
    <w:p w14:paraId="1B6F8CAA">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lang w:eastAsia="zh-CN"/>
        </w:rPr>
        <w:t>（</w:t>
      </w:r>
      <w:r>
        <w:rPr>
          <w:rFonts w:hint="eastAsia"/>
          <w:bCs/>
          <w:color w:val="auto"/>
          <w:sz w:val="24"/>
          <w:szCs w:val="24"/>
          <w:highlight w:val="none"/>
          <w:lang w:val="en-US" w:eastAsia="zh-CN"/>
        </w:rPr>
        <w:t>3</w:t>
      </w:r>
      <w:r>
        <w:rPr>
          <w:rFonts w:hint="eastAsia"/>
          <w:bCs/>
          <w:color w:val="auto"/>
          <w:sz w:val="24"/>
          <w:szCs w:val="24"/>
          <w:highlight w:val="none"/>
          <w:lang w:eastAsia="zh-CN"/>
        </w:rPr>
        <w:t>）</w:t>
      </w:r>
      <w:r>
        <w:rPr>
          <w:rFonts w:hint="eastAsia"/>
          <w:bCs/>
          <w:color w:val="auto"/>
          <w:sz w:val="24"/>
          <w:szCs w:val="24"/>
          <w:highlight w:val="none"/>
        </w:rPr>
        <w:t>完成所有成果验收通过后10个工作日内采购人应一次性付清余款。</w:t>
      </w:r>
    </w:p>
    <w:p w14:paraId="45029F31">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注：本项目的经费由政府拨款，如因政策影响，拨款未能及时到位，中标供应商不得以此为由而不履行本项目规定的义务。如因财政资金拨付原因，拨款可能会延缓支付，供应商报价时充分考虑，自行承担风险。</w:t>
      </w:r>
    </w:p>
    <w:p w14:paraId="385DDA89">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3. 报价要求</w:t>
      </w:r>
    </w:p>
    <w:p w14:paraId="6DBAB5F2">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投标报价是履行合同的最终价格，应包括调研费用、规划编制费、交通、住宿、餐饮、税费、利润、专家评审费、人员工资补贴、评审认定、备案、研究报告与规划报告文本复制及招标代理费、服务质量保证期工作费用及采购人安排的项目其他相关工作的费用等所有涉及本项目所产生的一切费用。项目实施中不能调整变动，其市场风险由供应商承担，供应商在投标报价时应充分考虑，凡供应商漏项、漏报均被视为已包含在投标报价中。</w:t>
      </w:r>
    </w:p>
    <w:p w14:paraId="60C54CA3">
      <w:pPr>
        <w:widowControl/>
        <w:autoSpaceDE w:val="0"/>
        <w:autoSpaceDN w:val="0"/>
        <w:snapToGrid w:val="0"/>
        <w:spacing w:line="360" w:lineRule="auto"/>
        <w:jc w:val="left"/>
        <w:rPr>
          <w:b/>
          <w:bCs/>
          <w:color w:val="auto"/>
          <w:sz w:val="24"/>
          <w:szCs w:val="24"/>
          <w:highlight w:val="none"/>
        </w:rPr>
      </w:pPr>
      <w:r>
        <w:rPr>
          <w:rFonts w:hint="eastAsia"/>
          <w:b/>
          <w:bCs/>
          <w:color w:val="auto"/>
          <w:sz w:val="24"/>
          <w:szCs w:val="24"/>
          <w:highlight w:val="none"/>
        </w:rPr>
        <w:t>七、</w:t>
      </w:r>
      <w:r>
        <w:rPr>
          <w:b/>
          <w:bCs/>
          <w:color w:val="auto"/>
          <w:sz w:val="24"/>
          <w:szCs w:val="24"/>
          <w:highlight w:val="none"/>
        </w:rPr>
        <w:t>技术人员配备要求</w:t>
      </w:r>
    </w:p>
    <w:p w14:paraId="31FC8745">
      <w:pPr>
        <w:autoSpaceDE w:val="0"/>
        <w:autoSpaceDN w:val="0"/>
        <w:adjustRightInd w:val="0"/>
        <w:spacing w:line="360" w:lineRule="auto"/>
        <w:ind w:firstLine="480" w:firstLineChars="200"/>
        <w:textAlignment w:val="bottom"/>
        <w:rPr>
          <w:bCs/>
          <w:color w:val="auto"/>
          <w:sz w:val="24"/>
          <w:szCs w:val="24"/>
          <w:highlight w:val="none"/>
        </w:rPr>
      </w:pPr>
      <w:r>
        <w:rPr>
          <w:bCs/>
          <w:color w:val="auto"/>
          <w:sz w:val="24"/>
          <w:szCs w:val="24"/>
          <w:highlight w:val="none"/>
        </w:rPr>
        <w:t>为了保证该项目的质量，项目承担单位必须配备足够的技术力量，要求技术人员具有多年土地工作经验，熟练土地质量地球化学监测和富硒详查工作过程，精通土地成果编制等。</w:t>
      </w:r>
      <w:r>
        <w:rPr>
          <w:rFonts w:hint="eastAsia"/>
          <w:color w:val="auto"/>
          <w:kern w:val="2"/>
          <w:sz w:val="24"/>
          <w:szCs w:val="24"/>
          <w:highlight w:val="none"/>
          <w:lang w:val="en-US" w:eastAsia="zh-CN"/>
        </w:rPr>
        <w:t>为确保服务时效性，</w:t>
      </w:r>
      <w:r>
        <w:rPr>
          <w:rFonts w:hint="eastAsia"/>
          <w:color w:val="auto"/>
          <w:kern w:val="2"/>
          <w:sz w:val="24"/>
          <w:szCs w:val="24"/>
          <w:highlight w:val="none"/>
        </w:rPr>
        <w:t>投标供应商</w:t>
      </w:r>
      <w:r>
        <w:rPr>
          <w:rFonts w:hint="eastAsia"/>
          <w:color w:val="auto"/>
          <w:kern w:val="2"/>
          <w:sz w:val="24"/>
          <w:szCs w:val="24"/>
          <w:highlight w:val="none"/>
          <w:lang w:val="en-US" w:eastAsia="zh-CN"/>
        </w:rPr>
        <w:t>应在本项目所在地设立常驻服务团队，具备本地化服务能力，须提供驻点人员的劳动关系证明及驻点场所的有效证明文件。</w:t>
      </w:r>
    </w:p>
    <w:p w14:paraId="0DFBB001">
      <w:pPr>
        <w:widowControl/>
        <w:autoSpaceDE w:val="0"/>
        <w:autoSpaceDN w:val="0"/>
        <w:snapToGrid w:val="0"/>
        <w:spacing w:line="360" w:lineRule="auto"/>
        <w:jc w:val="left"/>
        <w:rPr>
          <w:b/>
          <w:bCs/>
          <w:color w:val="auto"/>
          <w:sz w:val="24"/>
          <w:szCs w:val="24"/>
          <w:highlight w:val="none"/>
        </w:rPr>
      </w:pPr>
      <w:r>
        <w:rPr>
          <w:rFonts w:hint="eastAsia"/>
          <w:b/>
          <w:bCs/>
          <w:color w:val="auto"/>
          <w:sz w:val="24"/>
          <w:szCs w:val="24"/>
          <w:highlight w:val="none"/>
        </w:rPr>
        <w:t>八、其他</w:t>
      </w:r>
    </w:p>
    <w:p w14:paraId="438B17FA">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1、完成的成果的权利归属：本次规划成果其所形成的相关知识产权归采购人所有，投标人享有著作权。未经允许，任何单位和个人不得转让和使用本项目的调查成果。</w:t>
      </w:r>
    </w:p>
    <w:p w14:paraId="6D55D02F">
      <w:pPr>
        <w:autoSpaceDE w:val="0"/>
        <w:autoSpaceDN w:val="0"/>
        <w:adjustRightInd w:val="0"/>
        <w:spacing w:line="360" w:lineRule="auto"/>
        <w:ind w:firstLine="480" w:firstLineChars="200"/>
        <w:textAlignment w:val="bottom"/>
        <w:rPr>
          <w:bCs/>
          <w:color w:val="auto"/>
          <w:sz w:val="24"/>
          <w:szCs w:val="24"/>
          <w:highlight w:val="none"/>
        </w:rPr>
      </w:pPr>
      <w:r>
        <w:rPr>
          <w:rFonts w:hint="eastAsia"/>
          <w:bCs/>
          <w:color w:val="auto"/>
          <w:sz w:val="24"/>
          <w:szCs w:val="24"/>
          <w:highlight w:val="none"/>
        </w:rPr>
        <w:t>2、中标人必须按规定程序和有关要求进行实施，服务过程中的各种项目研究质量及人身财产安全意外，其责任由中标人承担，采购人不承担任何责任。</w:t>
      </w:r>
    </w:p>
    <w:p w14:paraId="4112DFC0">
      <w:pPr>
        <w:rPr>
          <w:rFonts w:hint="eastAsia" w:ascii="新宋体" w:hAnsi="新宋体" w:eastAsia="新宋体"/>
          <w:bCs/>
          <w:color w:val="auto"/>
          <w:sz w:val="32"/>
          <w:szCs w:val="32"/>
          <w:highlight w:val="none"/>
        </w:rPr>
      </w:pPr>
      <w:r>
        <w:rPr>
          <w:rFonts w:hint="eastAsia" w:ascii="新宋体" w:hAnsi="新宋体" w:eastAsia="新宋体"/>
          <w:bCs/>
          <w:color w:val="auto"/>
          <w:sz w:val="32"/>
          <w:szCs w:val="32"/>
          <w:highlight w:val="none"/>
        </w:rPr>
        <w:br w:type="page"/>
      </w:r>
    </w:p>
    <w:p w14:paraId="028F405C">
      <w:pPr>
        <w:pStyle w:val="5"/>
        <w:tabs>
          <w:tab w:val="clear" w:pos="840"/>
        </w:tabs>
        <w:adjustRightInd/>
        <w:snapToGrid/>
        <w:spacing w:before="120" w:after="120" w:line="500" w:lineRule="exact"/>
        <w:jc w:val="center"/>
        <w:rPr>
          <w:rFonts w:ascii="新宋体" w:hAnsi="新宋体" w:eastAsia="新宋体"/>
          <w:bCs/>
          <w:color w:val="auto"/>
          <w:sz w:val="32"/>
          <w:szCs w:val="32"/>
          <w:highlight w:val="none"/>
        </w:rPr>
      </w:pPr>
      <w:r>
        <w:rPr>
          <w:rFonts w:hint="eastAsia" w:ascii="新宋体" w:hAnsi="新宋体" w:eastAsia="新宋体"/>
          <w:bCs/>
          <w:color w:val="auto"/>
          <w:sz w:val="32"/>
          <w:szCs w:val="32"/>
          <w:highlight w:val="none"/>
        </w:rPr>
        <w:t>第五部分  评标原则及方法</w:t>
      </w:r>
      <w:bookmarkEnd w:id="103"/>
    </w:p>
    <w:p w14:paraId="3AD3B2D4">
      <w:pPr>
        <w:widowControl/>
        <w:snapToGrid w:val="0"/>
        <w:spacing w:line="240" w:lineRule="exact"/>
        <w:ind w:left="539"/>
        <w:rPr>
          <w:rFonts w:ascii="新宋体" w:hAnsi="新宋体" w:eastAsia="新宋体" w:cs="宋体"/>
          <w:b/>
          <w:bCs/>
          <w:color w:val="auto"/>
          <w:kern w:val="0"/>
          <w:sz w:val="22"/>
          <w:szCs w:val="22"/>
          <w:highlight w:val="none"/>
        </w:rPr>
      </w:pPr>
    </w:p>
    <w:p w14:paraId="031DD893">
      <w:pPr>
        <w:keepNext w:val="0"/>
        <w:keepLines w:val="0"/>
        <w:pageBreakBefore w:val="0"/>
        <w:widowControl/>
        <w:kinsoku/>
        <w:wordWrap/>
        <w:overflowPunct/>
        <w:topLinePunct w:val="0"/>
        <w:autoSpaceDE/>
        <w:autoSpaceDN/>
        <w:bidi w:val="0"/>
        <w:adjustRightInd/>
        <w:snapToGrid w:val="0"/>
        <w:spacing w:line="440" w:lineRule="exact"/>
        <w:ind w:left="538"/>
        <w:textAlignment w:val="auto"/>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根据《中华人民共和国政府采购法》等相关法律、法规特制定以下评标办法。</w:t>
      </w:r>
    </w:p>
    <w:p w14:paraId="2A0AA7C0">
      <w:pPr>
        <w:keepNext w:val="0"/>
        <w:keepLines w:val="0"/>
        <w:pageBreakBefore w:val="0"/>
        <w:widowControl/>
        <w:kinsoku/>
        <w:wordWrap/>
        <w:overflowPunct/>
        <w:topLinePunct w:val="0"/>
        <w:autoSpaceDE/>
        <w:autoSpaceDN/>
        <w:bidi w:val="0"/>
        <w:adjustRightInd/>
        <w:snapToGrid w:val="0"/>
        <w:spacing w:line="440" w:lineRule="exact"/>
        <w:textAlignment w:val="auto"/>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一、 总  则</w:t>
      </w:r>
    </w:p>
    <w:p w14:paraId="5773F249">
      <w:pPr>
        <w:keepNext w:val="0"/>
        <w:keepLines w:val="0"/>
        <w:pageBreakBefore w:val="0"/>
        <w:widowControl/>
        <w:kinsoku/>
        <w:wordWrap/>
        <w:overflowPunct/>
        <w:topLinePunct w:val="0"/>
        <w:autoSpaceDE/>
        <w:autoSpaceDN/>
        <w:bidi w:val="0"/>
        <w:adjustRightInd/>
        <w:spacing w:line="440" w:lineRule="exact"/>
        <w:ind w:left="548"/>
        <w:textAlignment w:val="auto"/>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评标工作应遵循公开、公平、公正、科学、择优原则，科学、严谨的态度，认真进行评标，推进技术进步，确保项目质量，最大限度的保护当事人权益。严格按照采购文件的商务、技术要求，对投标文件进行综合评定，编写评标报告。对落标单位，评委会不作任何落标解释。投标供应商不得以任何方式干扰招投标工作的进行以及开评标现场的正常秩序，一经发现其投标文件将被拒绝。</w:t>
      </w:r>
    </w:p>
    <w:p w14:paraId="14ED4AFA">
      <w:pPr>
        <w:keepNext w:val="0"/>
        <w:keepLines w:val="0"/>
        <w:pageBreakBefore w:val="0"/>
        <w:widowControl/>
        <w:kinsoku/>
        <w:wordWrap/>
        <w:overflowPunct/>
        <w:topLinePunct w:val="0"/>
        <w:autoSpaceDE/>
        <w:autoSpaceDN/>
        <w:bidi w:val="0"/>
        <w:adjustRightInd/>
        <w:snapToGrid w:val="0"/>
        <w:spacing w:line="440" w:lineRule="exact"/>
        <w:textAlignment w:val="auto"/>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二、 评标组织</w:t>
      </w:r>
    </w:p>
    <w:p w14:paraId="7125824C">
      <w:pPr>
        <w:keepNext w:val="0"/>
        <w:keepLines w:val="0"/>
        <w:pageBreakBefore w:val="0"/>
        <w:widowControl/>
        <w:kinsoku/>
        <w:wordWrap/>
        <w:overflowPunct/>
        <w:topLinePunct w:val="0"/>
        <w:autoSpaceDE/>
        <w:autoSpaceDN/>
        <w:bidi w:val="0"/>
        <w:adjustRightInd/>
        <w:spacing w:line="440" w:lineRule="exact"/>
        <w:ind w:left="548"/>
        <w:textAlignment w:val="auto"/>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评标工作由招标采购单位依法组建的评标委员会负责。</w:t>
      </w:r>
    </w:p>
    <w:p w14:paraId="401F349B">
      <w:pPr>
        <w:keepNext w:val="0"/>
        <w:keepLines w:val="0"/>
        <w:pageBreakBefore w:val="0"/>
        <w:widowControl/>
        <w:kinsoku/>
        <w:wordWrap/>
        <w:overflowPunct/>
        <w:topLinePunct w:val="0"/>
        <w:autoSpaceDE/>
        <w:autoSpaceDN/>
        <w:bidi w:val="0"/>
        <w:adjustRightInd/>
        <w:snapToGrid w:val="0"/>
        <w:spacing w:line="440" w:lineRule="exact"/>
        <w:textAlignment w:val="auto"/>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三、 评标程序</w:t>
      </w:r>
    </w:p>
    <w:p w14:paraId="66D654FC">
      <w:pPr>
        <w:keepNext w:val="0"/>
        <w:keepLines w:val="0"/>
        <w:pageBreakBefore w:val="0"/>
        <w:kinsoku/>
        <w:wordWrap/>
        <w:overflowPunct/>
        <w:topLinePunct w:val="0"/>
        <w:autoSpaceDE/>
        <w:autoSpaceDN/>
        <w:bidi w:val="0"/>
        <w:adjustRightInd/>
        <w:spacing w:line="440" w:lineRule="exact"/>
        <w:ind w:left="567" w:leftChars="262" w:hanging="17" w:hangingChars="8"/>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开标后，采购人或采购代理机构对各投标供应商的资格进行审查；然后评标委员会对合格投标供应商进行符合性审查，并按照采购文件中规定的评标方法和标准，对符合性审查合格的投标文件进行商务技术、报价的评估，综合比较与评价。</w:t>
      </w:r>
    </w:p>
    <w:p w14:paraId="4B8D55E8">
      <w:pPr>
        <w:keepNext w:val="0"/>
        <w:keepLines w:val="0"/>
        <w:pageBreakBefore w:val="0"/>
        <w:widowControl/>
        <w:kinsoku/>
        <w:wordWrap/>
        <w:overflowPunct/>
        <w:topLinePunct w:val="0"/>
        <w:autoSpaceDE/>
        <w:autoSpaceDN/>
        <w:bidi w:val="0"/>
        <w:adjustRightInd/>
        <w:snapToGrid w:val="0"/>
        <w:spacing w:line="440" w:lineRule="exact"/>
        <w:textAlignment w:val="auto"/>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四、 评标办法</w:t>
      </w:r>
    </w:p>
    <w:p w14:paraId="26FD3148">
      <w:pPr>
        <w:pStyle w:val="11"/>
        <w:keepNext w:val="0"/>
        <w:keepLines w:val="0"/>
        <w:pageBreakBefore w:val="0"/>
        <w:kinsoku/>
        <w:wordWrap/>
        <w:overflowPunct/>
        <w:topLinePunct w:val="0"/>
        <w:autoSpaceDE/>
        <w:autoSpaceDN/>
        <w:bidi w:val="0"/>
        <w:adjustRightInd/>
        <w:spacing w:line="440" w:lineRule="exact"/>
        <w:ind w:left="579" w:hanging="578" w:hangingChars="263"/>
        <w:textAlignment w:val="auto"/>
        <w:rPr>
          <w:rFonts w:ascii="新宋体" w:hAnsi="新宋体" w:eastAsia="新宋体"/>
          <w:b/>
          <w:color w:val="auto"/>
          <w:sz w:val="22"/>
          <w:szCs w:val="22"/>
          <w:highlight w:val="none"/>
          <w:u w:val="single"/>
        </w:rPr>
      </w:pPr>
      <w:r>
        <w:rPr>
          <w:rFonts w:hint="eastAsia" w:ascii="新宋体" w:hAnsi="新宋体" w:eastAsia="新宋体" w:cs="Arial"/>
          <w:bCs/>
          <w:color w:val="auto"/>
          <w:kern w:val="28"/>
          <w:sz w:val="22"/>
          <w:szCs w:val="22"/>
          <w:highlight w:val="none"/>
        </w:rPr>
        <w:t xml:space="preserve">1、  </w:t>
      </w:r>
      <w:r>
        <w:rPr>
          <w:rFonts w:hint="eastAsia" w:ascii="新宋体" w:hAnsi="新宋体" w:eastAsia="新宋体"/>
          <w:b/>
          <w:color w:val="auto"/>
          <w:sz w:val="22"/>
          <w:highlight w:val="none"/>
        </w:rPr>
        <w:t>本项目评标办法采取百分制综合评分法</w:t>
      </w:r>
      <w:r>
        <w:rPr>
          <w:rFonts w:hint="eastAsia" w:ascii="新宋体" w:hAnsi="新宋体" w:eastAsia="新宋体"/>
          <w:color w:val="auto"/>
          <w:sz w:val="22"/>
          <w:highlight w:val="none"/>
        </w:rPr>
        <w:t>，</w:t>
      </w:r>
      <w:r>
        <w:rPr>
          <w:rFonts w:hint="eastAsia" w:ascii="新宋体" w:hAnsi="新宋体" w:eastAsia="新宋体"/>
          <w:b/>
          <w:color w:val="auto"/>
          <w:sz w:val="22"/>
          <w:highlight w:val="none"/>
        </w:rPr>
        <w:t>其中商务技术文件</w:t>
      </w:r>
      <w:r>
        <w:rPr>
          <w:rFonts w:hint="eastAsia" w:ascii="新宋体" w:hAnsi="新宋体" w:eastAsia="新宋体"/>
          <w:b/>
          <w:color w:val="auto"/>
          <w:sz w:val="22"/>
          <w:highlight w:val="none"/>
          <w:lang w:val="en-US" w:eastAsia="zh-CN"/>
        </w:rPr>
        <w:t>90</w:t>
      </w:r>
      <w:r>
        <w:rPr>
          <w:rFonts w:hint="eastAsia" w:ascii="新宋体" w:hAnsi="新宋体" w:eastAsia="新宋体"/>
          <w:b/>
          <w:color w:val="auto"/>
          <w:sz w:val="22"/>
          <w:highlight w:val="none"/>
        </w:rPr>
        <w:t>（权值</w:t>
      </w:r>
      <w:r>
        <w:rPr>
          <w:rFonts w:hint="eastAsia" w:ascii="新宋体" w:hAnsi="新宋体" w:eastAsia="新宋体"/>
          <w:b/>
          <w:color w:val="auto"/>
          <w:sz w:val="22"/>
          <w:highlight w:val="none"/>
          <w:lang w:val="en-US" w:eastAsia="zh-CN"/>
        </w:rPr>
        <w:t>90</w:t>
      </w:r>
      <w:r>
        <w:rPr>
          <w:rFonts w:hint="eastAsia" w:ascii="新宋体" w:hAnsi="新宋体" w:eastAsia="新宋体"/>
          <w:b/>
          <w:color w:val="auto"/>
          <w:sz w:val="22"/>
          <w:highlight w:val="none"/>
        </w:rPr>
        <w:t>%），报价文件1</w:t>
      </w:r>
      <w:r>
        <w:rPr>
          <w:rFonts w:hint="eastAsia" w:ascii="新宋体" w:hAnsi="新宋体" w:eastAsia="新宋体"/>
          <w:b/>
          <w:color w:val="auto"/>
          <w:sz w:val="22"/>
          <w:highlight w:val="none"/>
          <w:lang w:val="en-US" w:eastAsia="zh-CN"/>
        </w:rPr>
        <w:t>0</w:t>
      </w:r>
      <w:r>
        <w:rPr>
          <w:rFonts w:hint="eastAsia" w:ascii="新宋体" w:hAnsi="新宋体" w:eastAsia="新宋体"/>
          <w:b/>
          <w:color w:val="auto"/>
          <w:sz w:val="22"/>
          <w:highlight w:val="none"/>
        </w:rPr>
        <w:t>分（权值1</w:t>
      </w:r>
      <w:r>
        <w:rPr>
          <w:rFonts w:hint="eastAsia" w:ascii="新宋体" w:hAnsi="新宋体" w:eastAsia="新宋体"/>
          <w:b/>
          <w:color w:val="auto"/>
          <w:sz w:val="22"/>
          <w:highlight w:val="none"/>
          <w:lang w:val="en-US" w:eastAsia="zh-CN"/>
        </w:rPr>
        <w:t>0</w:t>
      </w:r>
      <w:r>
        <w:rPr>
          <w:rFonts w:hint="eastAsia" w:ascii="新宋体" w:hAnsi="新宋体" w:eastAsia="新宋体"/>
          <w:b/>
          <w:color w:val="auto"/>
          <w:sz w:val="22"/>
          <w:highlight w:val="none"/>
        </w:rPr>
        <w:t>%）。</w:t>
      </w:r>
      <w:r>
        <w:rPr>
          <w:rFonts w:hint="eastAsia" w:ascii="新宋体" w:hAnsi="新宋体" w:eastAsia="新宋体"/>
          <w:color w:val="auto"/>
          <w:sz w:val="22"/>
          <w:szCs w:val="22"/>
          <w:highlight w:val="none"/>
        </w:rPr>
        <w:t>即最大限度地满足采购文件实质性要求前提下，按照采购文件中规定的各项评分内容进行综合评审。以综合得分（即商务技术分与报价分之和）高低进行排序，综合得分最高、次高的投标人作为第一、第二中标候选人（综合得分相同投标报价低的优先；综合得分和投标报价均相同的，商务技术得分高的优先；综合得分、报价、商务技术得分均相同的，抽签决定名次）。</w:t>
      </w:r>
    </w:p>
    <w:p w14:paraId="2922595C">
      <w:pPr>
        <w:pStyle w:val="11"/>
        <w:keepNext w:val="0"/>
        <w:keepLines w:val="0"/>
        <w:pageBreakBefore w:val="0"/>
        <w:kinsoku/>
        <w:wordWrap/>
        <w:overflowPunct/>
        <w:topLinePunct w:val="0"/>
        <w:autoSpaceDE/>
        <w:autoSpaceDN/>
        <w:bidi w:val="0"/>
        <w:adjustRightInd/>
        <w:spacing w:line="440" w:lineRule="exact"/>
        <w:ind w:left="657" w:leftChars="9" w:hanging="638" w:hangingChars="290"/>
        <w:textAlignment w:val="auto"/>
        <w:rPr>
          <w:rFonts w:ascii="新宋体" w:hAnsi="新宋体" w:eastAsia="新宋体"/>
          <w:color w:val="auto"/>
          <w:sz w:val="22"/>
          <w:highlight w:val="none"/>
        </w:rPr>
      </w:pPr>
      <w:r>
        <w:rPr>
          <w:rFonts w:hint="eastAsia" w:ascii="新宋体" w:hAnsi="新宋体" w:eastAsia="新宋体"/>
          <w:color w:val="auto"/>
          <w:sz w:val="22"/>
          <w:szCs w:val="22"/>
          <w:highlight w:val="none"/>
        </w:rPr>
        <w:t xml:space="preserve">2、  </w:t>
      </w:r>
      <w:r>
        <w:rPr>
          <w:rFonts w:hint="eastAsia" w:ascii="新宋体" w:hAnsi="新宋体" w:eastAsia="新宋体"/>
          <w:color w:val="auto"/>
          <w:sz w:val="22"/>
          <w:highlight w:val="none"/>
        </w:rPr>
        <w:t>评标过程中遇到特殊情况，由评标委员会遵循公平、公正原则，采取记名投票方式按照少数服从多数原则决定。</w:t>
      </w:r>
    </w:p>
    <w:p w14:paraId="51338E93">
      <w:pPr>
        <w:keepNext w:val="0"/>
        <w:keepLines w:val="0"/>
        <w:pageBreakBefore w:val="0"/>
        <w:kinsoku/>
        <w:wordWrap/>
        <w:overflowPunct/>
        <w:topLinePunct w:val="0"/>
        <w:autoSpaceDE/>
        <w:autoSpaceDN/>
        <w:bidi w:val="0"/>
        <w:adjustRightInd/>
        <w:spacing w:line="440" w:lineRule="exact"/>
        <w:ind w:left="550" w:hanging="550" w:hangingChars="250"/>
        <w:textAlignment w:val="auto"/>
        <w:rPr>
          <w:rFonts w:ascii="新宋体" w:hAnsi="新宋体" w:eastAsia="新宋体"/>
          <w:color w:val="auto"/>
          <w:sz w:val="22"/>
          <w:highlight w:val="none"/>
        </w:rPr>
      </w:pPr>
      <w:r>
        <w:rPr>
          <w:rFonts w:hint="eastAsia" w:ascii="新宋体" w:hAnsi="新宋体" w:eastAsia="新宋体"/>
          <w:color w:val="auto"/>
          <w:sz w:val="22"/>
          <w:highlight w:val="none"/>
        </w:rPr>
        <w:t>3、  投标截止时间止及评审期间，如出现有效供应商＜3家时，该项目废标，并重新组织采购。</w:t>
      </w:r>
    </w:p>
    <w:p w14:paraId="7E528AE0">
      <w:pPr>
        <w:keepNext w:val="0"/>
        <w:keepLines w:val="0"/>
        <w:pageBreakBefore w:val="0"/>
        <w:widowControl/>
        <w:kinsoku/>
        <w:wordWrap/>
        <w:overflowPunct/>
        <w:topLinePunct w:val="0"/>
        <w:autoSpaceDE/>
        <w:autoSpaceDN/>
        <w:bidi w:val="0"/>
        <w:adjustRightInd/>
        <w:snapToGrid w:val="0"/>
        <w:spacing w:line="440" w:lineRule="exact"/>
        <w:textAlignment w:val="auto"/>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五、 评分细则</w:t>
      </w:r>
    </w:p>
    <w:p w14:paraId="0489BF83">
      <w:pPr>
        <w:keepNext w:val="0"/>
        <w:keepLines w:val="0"/>
        <w:pageBreakBefore w:val="0"/>
        <w:kinsoku/>
        <w:wordWrap/>
        <w:overflowPunct/>
        <w:topLinePunct w:val="0"/>
        <w:autoSpaceDE/>
        <w:autoSpaceDN/>
        <w:bidi w:val="0"/>
        <w:adjustRightInd/>
        <w:spacing w:line="440" w:lineRule="exact"/>
        <w:ind w:firstLine="110" w:firstLineChars="50"/>
        <w:textAlignment w:val="auto"/>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b/>
          <w:color w:val="auto"/>
          <w:sz w:val="22"/>
          <w:szCs w:val="22"/>
          <w:highlight w:val="none"/>
        </w:rPr>
        <w:t>商务技术分的评定</w:t>
      </w:r>
    </w:p>
    <w:p w14:paraId="15E451CF">
      <w:pPr>
        <w:keepNext w:val="0"/>
        <w:keepLines w:val="0"/>
        <w:pageBreakBefore w:val="0"/>
        <w:kinsoku/>
        <w:wordWrap/>
        <w:overflowPunct/>
        <w:topLinePunct w:val="0"/>
        <w:autoSpaceDE/>
        <w:autoSpaceDN/>
        <w:bidi w:val="0"/>
        <w:adjustRightInd/>
        <w:spacing w:line="440" w:lineRule="exact"/>
        <w:ind w:firstLine="440" w:firstLineChars="200"/>
        <w:textAlignment w:val="auto"/>
        <w:rPr>
          <w:color w:val="auto"/>
          <w:highlight w:val="none"/>
        </w:rPr>
      </w:pPr>
      <w:r>
        <w:rPr>
          <w:rFonts w:hint="eastAsia" w:ascii="新宋体" w:hAnsi="新宋体" w:eastAsia="新宋体"/>
          <w:bCs/>
          <w:color w:val="auto"/>
          <w:sz w:val="22"/>
          <w:highlight w:val="none"/>
        </w:rPr>
        <w:t>各评委成员按下列评分项目进行评定，每人一张评分表，由评标委员会成员各自评定打分并记实名。</w:t>
      </w:r>
      <w:r>
        <w:rPr>
          <w:rFonts w:hint="eastAsia" w:ascii="新宋体" w:hAnsi="新宋体" w:eastAsia="新宋体"/>
          <w:b/>
          <w:color w:val="auto"/>
          <w:sz w:val="22"/>
          <w:highlight w:val="none"/>
        </w:rPr>
        <w:t>如任何一张表的一项评分内容分值超过规定的范围，则该张表无效。</w:t>
      </w:r>
      <w:r>
        <w:rPr>
          <w:rFonts w:hint="eastAsia" w:ascii="新宋体" w:hAnsi="新宋体" w:eastAsia="新宋体"/>
          <w:bCs/>
          <w:color w:val="auto"/>
          <w:sz w:val="22"/>
          <w:highlight w:val="none"/>
        </w:rPr>
        <w:t>评标委员会成员对各投标人的各项评分内容评分合计值的算术平均值为该投标供应商的商务技术文件最后得分（小数点后按四舍五入保留2位）。</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85"/>
        <w:gridCol w:w="6464"/>
        <w:gridCol w:w="815"/>
      </w:tblGrid>
      <w:tr w14:paraId="50FE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4" w:type="dxa"/>
            <w:noWrap w:val="0"/>
            <w:vAlign w:val="center"/>
          </w:tcPr>
          <w:p w14:paraId="7C74535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5" w:type="dxa"/>
            <w:noWrap w:val="0"/>
            <w:vAlign w:val="center"/>
          </w:tcPr>
          <w:p w14:paraId="35A6287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6464" w:type="dxa"/>
            <w:noWrap w:val="0"/>
            <w:vAlign w:val="center"/>
          </w:tcPr>
          <w:p w14:paraId="5411721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15" w:type="dxa"/>
            <w:noWrap w:val="0"/>
            <w:vAlign w:val="center"/>
          </w:tcPr>
          <w:p w14:paraId="37A0AE0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4447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4" w:type="dxa"/>
            <w:noWrap w:val="0"/>
            <w:vAlign w:val="center"/>
          </w:tcPr>
          <w:p w14:paraId="3D65176B">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85" w:type="dxa"/>
            <w:noWrap w:val="0"/>
            <w:vAlign w:val="center"/>
          </w:tcPr>
          <w:p w14:paraId="6548881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认证体系证书</w:t>
            </w:r>
          </w:p>
        </w:tc>
        <w:tc>
          <w:tcPr>
            <w:tcW w:w="6464" w:type="dxa"/>
            <w:noWrap w:val="0"/>
            <w:vAlign w:val="center"/>
          </w:tcPr>
          <w:p w14:paraId="2499A3F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投标供应商具有质量管理体系认证证书、环境管理体系认证证书、职业健康安全管理体系认证证书、信息安全管理体系认证证书，每项得1分，最高得4分；</w:t>
            </w:r>
          </w:p>
          <w:p w14:paraId="6B24D7C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注：投标文件中提供体系认证证书复印件及全国认证认可信息公共服务平台查询页面截图（</w:t>
            </w:r>
            <w:bookmarkStart w:id="104" w:name="OLE_LINK1"/>
            <w:r>
              <w:rPr>
                <w:rFonts w:hint="eastAsia" w:ascii="宋体" w:hAnsi="宋体" w:eastAsia="宋体" w:cs="宋体"/>
                <w:color w:val="auto"/>
                <w:sz w:val="21"/>
                <w:szCs w:val="21"/>
                <w:highlight w:val="none"/>
              </w:rPr>
              <w:t>http://cx.cnca.cn/</w:t>
            </w:r>
            <w:bookmarkEnd w:id="104"/>
            <w:r>
              <w:rPr>
                <w:rFonts w:hint="eastAsia" w:ascii="宋体" w:hAnsi="宋体" w:eastAsia="宋体" w:cs="宋体"/>
                <w:color w:val="auto"/>
                <w:sz w:val="21"/>
                <w:szCs w:val="21"/>
                <w:highlight w:val="none"/>
              </w:rPr>
              <w:t>），认证状态须为有效，加盖投标供应商公章，否则不得分。</w:t>
            </w:r>
          </w:p>
        </w:tc>
        <w:tc>
          <w:tcPr>
            <w:tcW w:w="815" w:type="dxa"/>
            <w:noWrap w:val="0"/>
            <w:vAlign w:val="center"/>
          </w:tcPr>
          <w:p w14:paraId="6EFFF8C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7095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754" w:type="dxa"/>
            <w:noWrap w:val="0"/>
            <w:vAlign w:val="center"/>
          </w:tcPr>
          <w:p w14:paraId="5403FF94">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85" w:type="dxa"/>
            <w:noWrap w:val="0"/>
            <w:vAlign w:val="center"/>
          </w:tcPr>
          <w:p w14:paraId="4A38CF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企业能力</w:t>
            </w:r>
          </w:p>
        </w:tc>
        <w:tc>
          <w:tcPr>
            <w:tcW w:w="6464" w:type="dxa"/>
            <w:noWrap w:val="0"/>
            <w:vAlign w:val="center"/>
          </w:tcPr>
          <w:p w14:paraId="5F61699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1.投标供应商入围全国土壤普查外业调查采样机构名录得2分，入围全国土壤普查样品测试机构名录的得2分；本小项最高得4分；</w:t>
            </w:r>
          </w:p>
          <w:p w14:paraId="52E0266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2.投标供应商具有土壤类相关国家标准物质证书的，每个标准物质编号得0.5分，本小项最高1分；</w:t>
            </w:r>
          </w:p>
          <w:p w14:paraId="5BCA93D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3.投标供应商自202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年1月1日起至投标截止时间（以荣誉颁发时间为准）获得政府部门组织的土壤类相关荣誉的得1分；</w:t>
            </w:r>
          </w:p>
          <w:p w14:paraId="01A32B7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4.投标供应商具有安全生产许可证的得2分。</w:t>
            </w:r>
          </w:p>
          <w:p w14:paraId="342781A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注：投标文件中需提供证书或证明材料扫描件并加盖投标供应商公章，否则不得分。</w:t>
            </w:r>
          </w:p>
        </w:tc>
        <w:tc>
          <w:tcPr>
            <w:tcW w:w="815" w:type="dxa"/>
            <w:noWrap w:val="0"/>
            <w:vAlign w:val="center"/>
          </w:tcPr>
          <w:p w14:paraId="53E8118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r>
      <w:tr w14:paraId="37BF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4" w:type="dxa"/>
            <w:noWrap w:val="0"/>
            <w:vAlign w:val="center"/>
          </w:tcPr>
          <w:p w14:paraId="71B12B02">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85" w:type="dxa"/>
            <w:noWrap w:val="0"/>
            <w:vAlign w:val="center"/>
          </w:tcPr>
          <w:p w14:paraId="20A1050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业绩</w:t>
            </w:r>
          </w:p>
        </w:tc>
        <w:tc>
          <w:tcPr>
            <w:tcW w:w="6464" w:type="dxa"/>
            <w:noWrap w:val="0"/>
            <w:vAlign w:val="center"/>
          </w:tcPr>
          <w:p w14:paraId="45ACC97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投标供应商自202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年1月1日至今（以合同签订时间为准）承接过土壤普查或土地质量调查等类似工作业绩的，得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分；承接过富硒土地资源调查工作业绩的，得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D8D1E6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val="en-US" w:eastAsia="zh-CN"/>
              </w:rPr>
              <w:t>同一业绩按最高分计一次，</w:t>
            </w:r>
            <w:r>
              <w:rPr>
                <w:rFonts w:hint="eastAsia" w:ascii="宋体" w:hAnsi="宋体" w:eastAsia="宋体" w:cs="宋体"/>
                <w:color w:val="auto"/>
                <w:sz w:val="21"/>
                <w:szCs w:val="21"/>
                <w:highlight w:val="none"/>
              </w:rPr>
              <w:t>投标文件中提供合同扫描件，并加盖投标供应商公章，否则不得分。</w:t>
            </w:r>
          </w:p>
        </w:tc>
        <w:tc>
          <w:tcPr>
            <w:tcW w:w="815" w:type="dxa"/>
            <w:noWrap w:val="0"/>
            <w:vAlign w:val="center"/>
          </w:tcPr>
          <w:p w14:paraId="166B723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r>
      <w:tr w14:paraId="2613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4" w:type="dxa"/>
            <w:noWrap w:val="0"/>
            <w:vAlign w:val="center"/>
          </w:tcPr>
          <w:p w14:paraId="64C73829">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85" w:type="dxa"/>
            <w:noWrap w:val="0"/>
            <w:vAlign w:val="center"/>
          </w:tcPr>
          <w:p w14:paraId="73412B3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6464" w:type="dxa"/>
            <w:noWrap w:val="0"/>
            <w:vAlign w:val="center"/>
          </w:tcPr>
          <w:p w14:paraId="66852CB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1.具有地质类专业高级及以上职称的得2分；具有地质类专业中级职称的得1分。本项最高得2分。</w:t>
            </w:r>
          </w:p>
          <w:p w14:paraId="7CA9C13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项目负责人从事土壤资源调查技术服务相关工作，经验丰富，作为项目技术负责人承担过土壤资源调查项目3个及以上的得3分；经验较丰富，作为项目负责技术人承担过土壤资源调查项目1-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个的得1分；没有作为项目技术负责人承担过土壤资源调查项目的，不得分。</w:t>
            </w:r>
          </w:p>
          <w:p w14:paraId="512FD46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注：上述人员必须为投标供应商在职员工，投标文件中需提供相关人员职称证书扫描件，以及近三个月任一月的社保缴纳证明材料（以社保机构出具的社保证明为准），否则不得分。</w:t>
            </w:r>
          </w:p>
        </w:tc>
        <w:tc>
          <w:tcPr>
            <w:tcW w:w="815" w:type="dxa"/>
            <w:noWrap w:val="0"/>
            <w:vAlign w:val="center"/>
          </w:tcPr>
          <w:p w14:paraId="7B63D4D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1721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8" w:hRule="atLeast"/>
          <w:jc w:val="center"/>
        </w:trPr>
        <w:tc>
          <w:tcPr>
            <w:tcW w:w="754" w:type="dxa"/>
            <w:noWrap w:val="0"/>
            <w:vAlign w:val="center"/>
          </w:tcPr>
          <w:p w14:paraId="05C3F86F">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85" w:type="dxa"/>
            <w:noWrap w:val="0"/>
            <w:vAlign w:val="center"/>
          </w:tcPr>
          <w:p w14:paraId="3B059D9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项目组成员（项目负责人除外）</w:t>
            </w:r>
          </w:p>
        </w:tc>
        <w:tc>
          <w:tcPr>
            <w:tcW w:w="6464" w:type="dxa"/>
            <w:noWrap w:val="0"/>
            <w:vAlign w:val="center"/>
          </w:tcPr>
          <w:p w14:paraId="6F0D4C0D">
            <w:pPr>
              <w:pStyle w:val="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具有地质类或测试、检测类专业</w:t>
            </w:r>
            <w:r>
              <w:rPr>
                <w:rFonts w:hint="eastAsia" w:ascii="宋体" w:hAnsi="宋体" w:cs="宋体"/>
                <w:color w:val="auto"/>
                <w:sz w:val="21"/>
                <w:szCs w:val="21"/>
                <w:highlight w:val="none"/>
                <w:lang w:val="en-US" w:eastAsia="zh-CN"/>
              </w:rPr>
              <w:t>中级</w:t>
            </w:r>
            <w:r>
              <w:rPr>
                <w:rFonts w:hint="eastAsia" w:ascii="宋体" w:hAnsi="宋体" w:eastAsia="宋体" w:cs="宋体"/>
                <w:color w:val="auto"/>
                <w:sz w:val="21"/>
                <w:szCs w:val="21"/>
                <w:highlight w:val="none"/>
              </w:rPr>
              <w:t>及以上职称的，每提供一个得2分，本项最高得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15D809F">
            <w:pPr>
              <w:pStyle w:val="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项目组成员具有政府部门颁发的土壤类采样培训考核合格证书的，每提供1本得1分，本项最高得2分。</w:t>
            </w:r>
          </w:p>
          <w:p w14:paraId="3DA328CE">
            <w:pPr>
              <w:pStyle w:val="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项目组成员具有政府部门颁发的土壤类化验测试培训考核合格证书的，每提供1本得1分，本项最高得2分。</w:t>
            </w:r>
          </w:p>
          <w:p w14:paraId="5D448A93">
            <w:pPr>
              <w:pStyle w:val="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上述人员必须为投标供应商在职员工，投标文件中需提供相关人员职称证书扫描件、培训证书扫描件等，以及近三个月任一月的社保缴纳证明材料（以社保机构出具的社保证明为准）。一人多证可累计计分，单项同类证书以最高等级计分。</w:t>
            </w:r>
          </w:p>
        </w:tc>
        <w:tc>
          <w:tcPr>
            <w:tcW w:w="815" w:type="dxa"/>
            <w:noWrap w:val="0"/>
            <w:vAlign w:val="center"/>
          </w:tcPr>
          <w:p w14:paraId="5BCF20C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3EDC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54" w:type="dxa"/>
            <w:noWrap w:val="0"/>
            <w:vAlign w:val="center"/>
          </w:tcPr>
          <w:p w14:paraId="7C63C56C">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185" w:type="dxa"/>
            <w:noWrap w:val="0"/>
            <w:vAlign w:val="center"/>
          </w:tcPr>
          <w:p w14:paraId="793DDA5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对本项目背景及现状的理解</w:t>
            </w:r>
          </w:p>
        </w:tc>
        <w:tc>
          <w:tcPr>
            <w:tcW w:w="6464" w:type="dxa"/>
            <w:noWrap w:val="0"/>
            <w:vAlign w:val="center"/>
          </w:tcPr>
          <w:p w14:paraId="0F757DD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供应商对项目所在地地质环境条件、成土母质类型、土壤类型、土壤自然形状、土壤养分、环境特点、富硒土地特征等熟悉情况，及对本项目的理解是否准确、认识是否深刻，由评委进行评审。本项最高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分，B档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分，C档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p>
        </w:tc>
        <w:tc>
          <w:tcPr>
            <w:tcW w:w="815" w:type="dxa"/>
            <w:noWrap w:val="0"/>
            <w:vAlign w:val="center"/>
          </w:tcPr>
          <w:p w14:paraId="2901C48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r>
      <w:tr w14:paraId="1ECB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754" w:type="dxa"/>
            <w:noWrap w:val="0"/>
            <w:vAlign w:val="center"/>
          </w:tcPr>
          <w:p w14:paraId="6CA36E19">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85" w:type="dxa"/>
            <w:noWrap w:val="0"/>
            <w:vAlign w:val="center"/>
          </w:tcPr>
          <w:p w14:paraId="43151C8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关键技术难点、解决方案及合理化建议</w:t>
            </w:r>
          </w:p>
        </w:tc>
        <w:tc>
          <w:tcPr>
            <w:tcW w:w="6464" w:type="dxa"/>
            <w:noWrap w:val="0"/>
            <w:vAlign w:val="center"/>
          </w:tcPr>
          <w:p w14:paraId="3039F0EB">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根据供应商提供的对本项目的特点、难点的分析、提供的解决方案及合理化建议等由评委进行评审。</w:t>
            </w: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分，B档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分，C档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p>
        </w:tc>
        <w:tc>
          <w:tcPr>
            <w:tcW w:w="815" w:type="dxa"/>
            <w:noWrap w:val="0"/>
            <w:vAlign w:val="center"/>
          </w:tcPr>
          <w:p w14:paraId="3AD42EF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5176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54" w:type="dxa"/>
            <w:vMerge w:val="restart"/>
            <w:noWrap w:val="0"/>
            <w:vAlign w:val="center"/>
          </w:tcPr>
          <w:p w14:paraId="1AA28E81">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185" w:type="dxa"/>
            <w:vMerge w:val="restart"/>
            <w:noWrap w:val="0"/>
            <w:vAlign w:val="center"/>
          </w:tcPr>
          <w:p w14:paraId="3C35649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项目实施思路</w:t>
            </w:r>
          </w:p>
        </w:tc>
        <w:tc>
          <w:tcPr>
            <w:tcW w:w="6464" w:type="dxa"/>
            <w:noWrap w:val="0"/>
            <w:vAlign w:val="center"/>
          </w:tcPr>
          <w:p w14:paraId="3450566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color w:val="auto"/>
                <w:kern w:val="2"/>
                <w:sz w:val="22"/>
                <w:szCs w:val="22"/>
                <w:highlight w:val="none"/>
              </w:rPr>
              <w:t>根据投标供应商针对本项目提出的富硒土地地球化学详查项目实施工作方案（包括目标任务、工作方法、技术路线、工作内容等）是否科学合理，编写是否规范，内容是否齐全，结构是否完整，条理是否清晰，</w:t>
            </w:r>
            <w:r>
              <w:rPr>
                <w:rFonts w:hint="eastAsia"/>
                <w:color w:val="auto"/>
                <w:kern w:val="2"/>
                <w:sz w:val="22"/>
                <w:szCs w:val="22"/>
                <w:highlight w:val="none"/>
                <w:lang w:val="zh-CN"/>
              </w:rPr>
              <w:t>是否具有针对性和可操作性，</w:t>
            </w:r>
            <w:r>
              <w:rPr>
                <w:rFonts w:hint="eastAsia"/>
                <w:color w:val="auto"/>
                <w:kern w:val="2"/>
                <w:sz w:val="22"/>
                <w:szCs w:val="22"/>
                <w:highlight w:val="none"/>
              </w:rPr>
              <w:t>是否符合项目需求等由评委进行评审。</w:t>
            </w: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分，B档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分，C档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p>
        </w:tc>
        <w:tc>
          <w:tcPr>
            <w:tcW w:w="815" w:type="dxa"/>
            <w:noWrap w:val="0"/>
            <w:vAlign w:val="center"/>
          </w:tcPr>
          <w:p w14:paraId="09A5B91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17B3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754" w:type="dxa"/>
            <w:vMerge w:val="continue"/>
            <w:noWrap w:val="0"/>
            <w:vAlign w:val="center"/>
          </w:tcPr>
          <w:p w14:paraId="3B799691">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rPr>
            </w:pPr>
          </w:p>
        </w:tc>
        <w:tc>
          <w:tcPr>
            <w:tcW w:w="1185" w:type="dxa"/>
            <w:vMerge w:val="continue"/>
            <w:noWrap w:val="0"/>
            <w:vAlign w:val="center"/>
          </w:tcPr>
          <w:p w14:paraId="31A20A3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p>
        </w:tc>
        <w:tc>
          <w:tcPr>
            <w:tcW w:w="6464" w:type="dxa"/>
            <w:noWrap w:val="0"/>
            <w:vAlign w:val="center"/>
          </w:tcPr>
          <w:p w14:paraId="754F938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根据投标供应商对本项目工作量安排投入是否充分，工作部署是否得当，是否科学、合理，具有针对性和可操作性，是否符合项目需求等由评委进行评审。本项最高得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A档5-4分，B档4-2分，C档2-0分。</w:t>
            </w:r>
          </w:p>
        </w:tc>
        <w:tc>
          <w:tcPr>
            <w:tcW w:w="815" w:type="dxa"/>
            <w:noWrap w:val="0"/>
            <w:vAlign w:val="center"/>
          </w:tcPr>
          <w:p w14:paraId="32DBBB9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3561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54" w:type="dxa"/>
            <w:vMerge w:val="continue"/>
            <w:noWrap w:val="0"/>
            <w:vAlign w:val="center"/>
          </w:tcPr>
          <w:p w14:paraId="67008300">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rPr>
            </w:pPr>
          </w:p>
        </w:tc>
        <w:tc>
          <w:tcPr>
            <w:tcW w:w="1185" w:type="dxa"/>
            <w:vMerge w:val="continue"/>
            <w:noWrap w:val="0"/>
            <w:vAlign w:val="center"/>
          </w:tcPr>
          <w:p w14:paraId="3991860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6464" w:type="dxa"/>
            <w:noWrap w:val="0"/>
            <w:vAlign w:val="center"/>
          </w:tcPr>
          <w:p w14:paraId="66AA8A0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项目进度安排：根据投标供应商提供的进度计划、进度控制措施是否详细明确、合理可行等由评委进行评审。本项最高得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A档5-4分，B档4-2分，C档2-0分。</w:t>
            </w:r>
          </w:p>
        </w:tc>
        <w:tc>
          <w:tcPr>
            <w:tcW w:w="815" w:type="dxa"/>
            <w:noWrap w:val="0"/>
            <w:vAlign w:val="center"/>
          </w:tcPr>
          <w:p w14:paraId="6F64F1C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296A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754" w:type="dxa"/>
            <w:vMerge w:val="continue"/>
            <w:noWrap w:val="0"/>
            <w:vAlign w:val="center"/>
          </w:tcPr>
          <w:p w14:paraId="15D22DDD">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rPr>
            </w:pPr>
          </w:p>
        </w:tc>
        <w:tc>
          <w:tcPr>
            <w:tcW w:w="1185" w:type="dxa"/>
            <w:vMerge w:val="continue"/>
            <w:noWrap w:val="0"/>
            <w:vAlign w:val="center"/>
          </w:tcPr>
          <w:p w14:paraId="1D0EF8F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6464" w:type="dxa"/>
            <w:noWrap w:val="0"/>
            <w:vAlign w:val="center"/>
          </w:tcPr>
          <w:p w14:paraId="78EBC80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质量保障措施：根据投标供应商提供的项目质量目标、质量控制措施是否详细明确、合理可行等由评委进行评审。本项最高得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A档5-4分，B档4-2分，C档2-0分。</w:t>
            </w:r>
          </w:p>
        </w:tc>
        <w:tc>
          <w:tcPr>
            <w:tcW w:w="815" w:type="dxa"/>
            <w:noWrap w:val="0"/>
            <w:vAlign w:val="center"/>
          </w:tcPr>
          <w:p w14:paraId="44FA946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74D6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754" w:type="dxa"/>
            <w:vMerge w:val="continue"/>
            <w:noWrap w:val="0"/>
            <w:vAlign w:val="center"/>
          </w:tcPr>
          <w:p w14:paraId="2971BB45">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rPr>
            </w:pPr>
          </w:p>
        </w:tc>
        <w:tc>
          <w:tcPr>
            <w:tcW w:w="1185" w:type="dxa"/>
            <w:vMerge w:val="continue"/>
            <w:noWrap w:val="0"/>
            <w:vAlign w:val="center"/>
          </w:tcPr>
          <w:p w14:paraId="0E3CB5C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6464" w:type="dxa"/>
            <w:noWrap w:val="0"/>
            <w:vAlign w:val="center"/>
          </w:tcPr>
          <w:p w14:paraId="7995605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安全保障措施：根据投标供应商提供的人员、数据与档案的安全管理措施、保密措施是否详细明确、合理可行等由评委进行评审。本项最高得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A档5-4分，B档4-2分，C档2-0分。</w:t>
            </w:r>
          </w:p>
        </w:tc>
        <w:tc>
          <w:tcPr>
            <w:tcW w:w="815" w:type="dxa"/>
            <w:noWrap w:val="0"/>
            <w:vAlign w:val="center"/>
          </w:tcPr>
          <w:p w14:paraId="7AAFD1B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3AED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754" w:type="dxa"/>
            <w:vMerge w:val="continue"/>
            <w:noWrap w:val="0"/>
            <w:vAlign w:val="center"/>
          </w:tcPr>
          <w:p w14:paraId="6A7EED23">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rPr>
            </w:pPr>
          </w:p>
        </w:tc>
        <w:tc>
          <w:tcPr>
            <w:tcW w:w="1185" w:type="dxa"/>
            <w:vMerge w:val="continue"/>
            <w:noWrap w:val="0"/>
            <w:vAlign w:val="center"/>
          </w:tcPr>
          <w:p w14:paraId="78747CA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6464" w:type="dxa"/>
            <w:noWrap w:val="0"/>
            <w:vAlign w:val="center"/>
          </w:tcPr>
          <w:p w14:paraId="38AF91E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根据投标供应商针对本项目后期阶段的服务方案，包括后续服务安排、服务承诺及相应的保障措施等情况由评委进行评审。本项最高得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A档5-4分，B档4-2分，C档2-0分。</w:t>
            </w:r>
          </w:p>
        </w:tc>
        <w:tc>
          <w:tcPr>
            <w:tcW w:w="815" w:type="dxa"/>
            <w:noWrap w:val="0"/>
            <w:vAlign w:val="center"/>
          </w:tcPr>
          <w:p w14:paraId="24BB904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09F7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754" w:type="dxa"/>
            <w:noWrap w:val="0"/>
            <w:vAlign w:val="center"/>
          </w:tcPr>
          <w:p w14:paraId="1C13EACC">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185" w:type="dxa"/>
            <w:noWrap w:val="0"/>
            <w:vAlign w:val="center"/>
          </w:tcPr>
          <w:p w14:paraId="65D4DB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拟投入设备</w:t>
            </w:r>
          </w:p>
        </w:tc>
        <w:tc>
          <w:tcPr>
            <w:tcW w:w="6464" w:type="dxa"/>
            <w:noWrap w:val="0"/>
            <w:vAlign w:val="center"/>
          </w:tcPr>
          <w:p w14:paraId="1C3781B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根据投标供应商拟投入的与本项目相适应的专业仪器设备及施工设备情况由评委进行评分。</w:t>
            </w: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-4分，B档4-2分，C档2-0分。</w:t>
            </w:r>
          </w:p>
        </w:tc>
        <w:tc>
          <w:tcPr>
            <w:tcW w:w="815" w:type="dxa"/>
            <w:noWrap w:val="0"/>
            <w:vAlign w:val="center"/>
          </w:tcPr>
          <w:p w14:paraId="142B40C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r>
      <w:tr w14:paraId="1225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754" w:type="dxa"/>
            <w:noWrap w:val="0"/>
            <w:vAlign w:val="center"/>
          </w:tcPr>
          <w:p w14:paraId="7AEC5309">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185" w:type="dxa"/>
            <w:noWrap w:val="0"/>
            <w:vAlign w:val="center"/>
          </w:tcPr>
          <w:p w14:paraId="6BC5E30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服务保障</w:t>
            </w:r>
          </w:p>
        </w:tc>
        <w:tc>
          <w:tcPr>
            <w:tcW w:w="6464" w:type="dxa"/>
            <w:noWrap w:val="0"/>
            <w:vAlign w:val="center"/>
          </w:tcPr>
          <w:p w14:paraId="670C296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为确保服务时效性及服务便利性</w:t>
            </w:r>
            <w:r>
              <w:rPr>
                <w:rFonts w:hint="eastAsia" w:ascii="宋体" w:hAnsi="宋体" w:cs="宋体"/>
                <w:color w:val="auto"/>
                <w:sz w:val="21"/>
                <w:szCs w:val="21"/>
                <w:highlight w:val="none"/>
                <w:lang w:eastAsia="zh-CN"/>
              </w:rPr>
              <w:t>：根据投标供应商（含其分公司或分支机构；不含其子公司、母公司）设立的场所相对于本项目服务便利性进行打分。</w:t>
            </w: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A档5-4分，B档4-2分，C档2-0分。</w:t>
            </w:r>
          </w:p>
        </w:tc>
        <w:tc>
          <w:tcPr>
            <w:tcW w:w="815" w:type="dxa"/>
            <w:noWrap w:val="0"/>
            <w:vAlign w:val="center"/>
          </w:tcPr>
          <w:p w14:paraId="74D9E52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7158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9218" w:type="dxa"/>
            <w:gridSpan w:val="4"/>
            <w:noWrap w:val="0"/>
            <w:vAlign w:val="center"/>
          </w:tcPr>
          <w:p w14:paraId="05525D8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napToGrid w:val="0"/>
                <w:color w:val="auto"/>
                <w:kern w:val="0"/>
                <w:sz w:val="22"/>
                <w:highlight w:val="none"/>
              </w:rPr>
            </w:pPr>
            <w:r>
              <w:rPr>
                <w:rFonts w:hint="eastAsia" w:ascii="宋体" w:hAnsi="宋体"/>
                <w:snapToGrid w:val="0"/>
                <w:color w:val="auto"/>
                <w:kern w:val="0"/>
                <w:sz w:val="22"/>
                <w:highlight w:val="none"/>
              </w:rPr>
              <w:t>说明：</w:t>
            </w:r>
          </w:p>
          <w:p w14:paraId="2367E55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napToGrid w:val="0"/>
                <w:color w:val="auto"/>
                <w:kern w:val="0"/>
                <w:sz w:val="22"/>
                <w:highlight w:val="none"/>
              </w:rPr>
            </w:pPr>
            <w:r>
              <w:rPr>
                <w:rFonts w:hint="eastAsia" w:ascii="宋体" w:hAnsi="宋体"/>
                <w:snapToGrid w:val="0"/>
                <w:color w:val="auto"/>
                <w:kern w:val="0"/>
                <w:sz w:val="22"/>
                <w:highlight w:val="none"/>
              </w:rPr>
              <w:t>（1）</w:t>
            </w:r>
            <w:r>
              <w:rPr>
                <w:rFonts w:ascii="宋体" w:hAnsi="宋体"/>
                <w:snapToGrid w:val="0"/>
                <w:color w:val="auto"/>
                <w:kern w:val="0"/>
                <w:sz w:val="22"/>
                <w:highlight w:val="none"/>
              </w:rPr>
              <w:t>因落实政府采购政策</w:t>
            </w:r>
            <w:r>
              <w:rPr>
                <w:rFonts w:hint="eastAsia" w:ascii="宋体" w:hAnsi="宋体"/>
                <w:snapToGrid w:val="0"/>
                <w:color w:val="auto"/>
                <w:kern w:val="0"/>
                <w:sz w:val="22"/>
                <w:highlight w:val="none"/>
              </w:rPr>
              <w:t>需进行业绩加分</w:t>
            </w:r>
            <w:r>
              <w:rPr>
                <w:rFonts w:ascii="宋体" w:hAnsi="宋体"/>
                <w:snapToGrid w:val="0"/>
                <w:color w:val="auto"/>
                <w:kern w:val="0"/>
                <w:sz w:val="22"/>
                <w:highlight w:val="none"/>
              </w:rPr>
              <w:t>的，</w:t>
            </w:r>
            <w:r>
              <w:rPr>
                <w:rFonts w:hint="eastAsia" w:ascii="宋体" w:hAnsi="宋体"/>
                <w:snapToGrid w:val="0"/>
                <w:color w:val="auto"/>
                <w:kern w:val="0"/>
                <w:sz w:val="22"/>
                <w:highlight w:val="none"/>
              </w:rPr>
              <w:t>其业绩分按满分计入</w:t>
            </w:r>
            <w:r>
              <w:rPr>
                <w:rFonts w:ascii="宋体" w:hAnsi="宋体"/>
                <w:snapToGrid w:val="0"/>
                <w:color w:val="auto"/>
                <w:kern w:val="0"/>
                <w:sz w:val="22"/>
                <w:highlight w:val="none"/>
              </w:rPr>
              <w:t>。</w:t>
            </w:r>
          </w:p>
          <w:p w14:paraId="29AFCC5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napToGrid w:val="0"/>
                <w:color w:val="auto"/>
                <w:kern w:val="0"/>
                <w:sz w:val="22"/>
                <w:highlight w:val="none"/>
              </w:rPr>
            </w:pPr>
            <w:r>
              <w:rPr>
                <w:rFonts w:hint="eastAsia" w:ascii="宋体" w:hAnsi="宋体"/>
                <w:snapToGrid w:val="0"/>
                <w:color w:val="auto"/>
                <w:kern w:val="0"/>
                <w:sz w:val="22"/>
                <w:highlight w:val="none"/>
              </w:rPr>
              <w:t>（</w:t>
            </w:r>
            <w:r>
              <w:rPr>
                <w:rFonts w:ascii="宋体" w:hAnsi="宋体"/>
                <w:snapToGrid w:val="0"/>
                <w:color w:val="auto"/>
                <w:kern w:val="0"/>
                <w:sz w:val="22"/>
                <w:highlight w:val="none"/>
              </w:rPr>
              <w:t>2</w:t>
            </w:r>
            <w:r>
              <w:rPr>
                <w:rFonts w:hint="eastAsia" w:ascii="宋体" w:hAnsi="宋体"/>
                <w:snapToGrid w:val="0"/>
                <w:color w:val="auto"/>
                <w:kern w:val="0"/>
                <w:sz w:val="22"/>
                <w:highlight w:val="none"/>
              </w:rPr>
              <w:t>）</w:t>
            </w:r>
            <w:r>
              <w:rPr>
                <w:rFonts w:ascii="宋体" w:hAnsi="宋体"/>
                <w:snapToGrid w:val="0"/>
                <w:color w:val="auto"/>
                <w:kern w:val="0"/>
                <w:sz w:val="22"/>
                <w:highlight w:val="none"/>
              </w:rPr>
              <w:t>商务技术</w:t>
            </w:r>
            <w:r>
              <w:rPr>
                <w:rFonts w:hint="eastAsia" w:ascii="宋体" w:hAnsi="宋体"/>
                <w:snapToGrid w:val="0"/>
                <w:color w:val="auto"/>
                <w:kern w:val="0"/>
                <w:sz w:val="22"/>
                <w:highlight w:val="none"/>
              </w:rPr>
              <w:t>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14:paraId="76101BD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napToGrid w:val="0"/>
                <w:color w:val="auto"/>
                <w:kern w:val="0"/>
                <w:sz w:val="22"/>
                <w:highlight w:val="none"/>
              </w:rPr>
            </w:pPr>
            <w:r>
              <w:rPr>
                <w:rFonts w:hint="eastAsia" w:ascii="宋体" w:hAnsi="宋体"/>
                <w:snapToGrid w:val="0"/>
                <w:color w:val="auto"/>
                <w:kern w:val="0"/>
                <w:sz w:val="22"/>
                <w:highlight w:val="none"/>
              </w:rPr>
              <w:t>（</w:t>
            </w:r>
            <w:r>
              <w:rPr>
                <w:rFonts w:ascii="宋体" w:hAnsi="宋体"/>
                <w:snapToGrid w:val="0"/>
                <w:color w:val="auto"/>
                <w:kern w:val="0"/>
                <w:sz w:val="22"/>
                <w:highlight w:val="none"/>
              </w:rPr>
              <w:t>3</w:t>
            </w:r>
            <w:r>
              <w:rPr>
                <w:rFonts w:hint="eastAsia" w:ascii="宋体" w:hAnsi="宋体"/>
                <w:snapToGrid w:val="0"/>
                <w:color w:val="auto"/>
                <w:kern w:val="0"/>
                <w:sz w:val="22"/>
                <w:highlight w:val="none"/>
              </w:rPr>
              <w:t>）商务技术文件未提供评分项目内容的，</w:t>
            </w:r>
            <w:r>
              <w:rPr>
                <w:rFonts w:hint="eastAsia" w:ascii="宋体" w:hAnsi="宋体" w:eastAsia="宋体" w:cs="宋体"/>
                <w:snapToGrid w:val="0"/>
                <w:color w:val="auto"/>
                <w:kern w:val="0"/>
                <w:sz w:val="22"/>
                <w:highlight w:val="none"/>
              </w:rPr>
              <w:t>该项</w:t>
            </w:r>
            <w:r>
              <w:rPr>
                <w:rFonts w:hint="eastAsia" w:ascii="宋体" w:hAnsi="宋体"/>
                <w:snapToGrid w:val="0"/>
                <w:color w:val="auto"/>
                <w:kern w:val="0"/>
                <w:sz w:val="22"/>
                <w:highlight w:val="none"/>
              </w:rPr>
              <w:t>按零分处理，且不受最低分值限制。</w:t>
            </w:r>
          </w:p>
          <w:p w14:paraId="6D586A3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napToGrid w:val="0"/>
                <w:color w:val="auto"/>
                <w:kern w:val="0"/>
                <w:sz w:val="22"/>
                <w:highlight w:val="none"/>
              </w:rPr>
            </w:pPr>
            <w:r>
              <w:rPr>
                <w:rFonts w:hint="eastAsia" w:ascii="宋体" w:hAnsi="宋体"/>
                <w:snapToGrid w:val="0"/>
                <w:color w:val="auto"/>
                <w:kern w:val="0"/>
                <w:sz w:val="22"/>
                <w:highlight w:val="none"/>
              </w:rPr>
              <w:t>（</w:t>
            </w:r>
            <w:r>
              <w:rPr>
                <w:rFonts w:ascii="宋体" w:hAnsi="宋体"/>
                <w:snapToGrid w:val="0"/>
                <w:color w:val="auto"/>
                <w:kern w:val="0"/>
                <w:sz w:val="22"/>
                <w:highlight w:val="none"/>
              </w:rPr>
              <w:t>4</w:t>
            </w:r>
            <w:r>
              <w:rPr>
                <w:rFonts w:hint="eastAsia" w:ascii="宋体" w:hAnsi="宋体"/>
                <w:snapToGrid w:val="0"/>
                <w:color w:val="auto"/>
                <w:kern w:val="0"/>
                <w:sz w:val="22"/>
                <w:highlight w:val="none"/>
              </w:rPr>
              <w:t>）商务技术文件中提供的证明材料无法辨认的，按未提供处理。</w:t>
            </w:r>
          </w:p>
          <w:p w14:paraId="1DA00D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eastAsia="zh-CN"/>
              </w:rPr>
            </w:pPr>
            <w:r>
              <w:rPr>
                <w:rFonts w:hint="eastAsia" w:ascii="宋体" w:hAnsi="宋体"/>
                <w:snapToGrid w:val="0"/>
                <w:color w:val="auto"/>
                <w:kern w:val="0"/>
                <w:sz w:val="22"/>
                <w:highlight w:val="none"/>
              </w:rPr>
              <w:t>（</w:t>
            </w:r>
            <w:r>
              <w:rPr>
                <w:rFonts w:ascii="宋体" w:hAnsi="宋体"/>
                <w:snapToGrid w:val="0"/>
                <w:color w:val="auto"/>
                <w:kern w:val="0"/>
                <w:sz w:val="22"/>
                <w:highlight w:val="none"/>
              </w:rPr>
              <w:t>5</w:t>
            </w:r>
            <w:r>
              <w:rPr>
                <w:rFonts w:hint="eastAsia" w:ascii="宋体" w:hAnsi="宋体"/>
                <w:snapToGrid w:val="0"/>
                <w:color w:val="auto"/>
                <w:kern w:val="0"/>
                <w:sz w:val="22"/>
                <w:highlight w:val="none"/>
              </w:rPr>
              <w:t>）投标人需根据招标文件的要求进行</w:t>
            </w:r>
            <w:r>
              <w:rPr>
                <w:rFonts w:hint="eastAsia" w:ascii="宋体" w:hAnsi="宋体" w:eastAsia="宋体" w:cs="宋体"/>
                <w:snapToGrid w:val="0"/>
                <w:color w:val="auto"/>
                <w:kern w:val="0"/>
                <w:sz w:val="22"/>
                <w:highlight w:val="none"/>
              </w:rPr>
              <w:t>制作</w:t>
            </w:r>
            <w:r>
              <w:rPr>
                <w:rFonts w:hint="eastAsia" w:ascii="宋体" w:hAnsi="宋体"/>
                <w:snapToGrid w:val="0"/>
                <w:color w:val="auto"/>
                <w:kern w:val="0"/>
                <w:sz w:val="22"/>
                <w:highlight w:val="none"/>
              </w:rPr>
              <w:t>，内容简洁明了，编排合理有序，与采购内容</w:t>
            </w:r>
            <w:r>
              <w:rPr>
                <w:rFonts w:hint="eastAsia" w:ascii="宋体" w:hAnsi="宋体" w:eastAsia="宋体" w:cs="宋体"/>
                <w:snapToGrid w:val="0"/>
                <w:color w:val="auto"/>
                <w:kern w:val="0"/>
                <w:sz w:val="22"/>
                <w:highlight w:val="none"/>
              </w:rPr>
              <w:t>无关</w:t>
            </w:r>
            <w:r>
              <w:rPr>
                <w:rFonts w:hint="eastAsia" w:ascii="宋体" w:hAnsi="宋体"/>
                <w:snapToGrid w:val="0"/>
                <w:color w:val="auto"/>
                <w:kern w:val="0"/>
                <w:sz w:val="22"/>
                <w:highlight w:val="none"/>
              </w:rPr>
              <w:t>或不符合招标文件要求的资料不要编入商务技术文件</w:t>
            </w:r>
            <w:r>
              <w:rPr>
                <w:rFonts w:hint="eastAsia" w:ascii="宋体" w:hAnsi="宋体"/>
                <w:snapToGrid w:val="0"/>
                <w:color w:val="auto"/>
                <w:kern w:val="0"/>
                <w:sz w:val="22"/>
                <w:highlight w:val="none"/>
                <w:lang w:eastAsia="zh-CN"/>
              </w:rPr>
              <w:t>。</w:t>
            </w:r>
          </w:p>
        </w:tc>
      </w:tr>
    </w:tbl>
    <w:p w14:paraId="3AFD8729">
      <w:pPr>
        <w:keepNext w:val="0"/>
        <w:keepLines w:val="0"/>
        <w:pageBreakBefore w:val="0"/>
        <w:kinsoku/>
        <w:wordWrap/>
        <w:overflowPunct/>
        <w:topLinePunct w:val="0"/>
        <w:autoSpaceDE/>
        <w:autoSpaceDN/>
        <w:bidi w:val="0"/>
        <w:adjustRightInd/>
        <w:spacing w:line="420" w:lineRule="exact"/>
        <w:textAlignment w:val="auto"/>
        <w:rPr>
          <w:color w:val="auto"/>
          <w:highlight w:val="none"/>
        </w:rPr>
      </w:pPr>
      <w:r>
        <w:rPr>
          <w:rFonts w:hint="eastAsia"/>
          <w:color w:val="auto"/>
          <w:highlight w:val="none"/>
        </w:rPr>
        <w:t>注：①上表涉及相关证书、证明材料，采购人在合同签订前进行核实，如发现弄虚作假，采购人有权取消中标资格，并上报财政监管部门。</w:t>
      </w:r>
      <w:r>
        <w:rPr>
          <w:rFonts w:hint="eastAsia" w:ascii="宋体" w:hAnsi="宋体" w:cs="宋体"/>
          <w:color w:val="auto"/>
          <w:highlight w:val="none"/>
        </w:rPr>
        <w:t>②评标方法中</w:t>
      </w:r>
      <w:r>
        <w:rPr>
          <w:rFonts w:hint="eastAsia" w:asciiTheme="minorEastAsia" w:hAnsiTheme="minorEastAsia" w:eastAsiaTheme="minorEastAsia" w:cstheme="minorEastAsia"/>
          <w:color w:val="auto"/>
          <w:sz w:val="22"/>
          <w:szCs w:val="22"/>
          <w:highlight w:val="none"/>
          <w:lang w:val="en-US" w:eastAsia="zh-CN"/>
        </w:rPr>
        <w:t>扫描件</w:t>
      </w:r>
      <w:r>
        <w:rPr>
          <w:rFonts w:hint="eastAsia"/>
          <w:color w:val="auto"/>
          <w:highlight w:val="none"/>
        </w:rPr>
        <w:t>要求加盖公章为电子签章。</w:t>
      </w:r>
    </w:p>
    <w:p w14:paraId="131EFE96">
      <w:pPr>
        <w:keepNext w:val="0"/>
        <w:keepLines w:val="0"/>
        <w:pageBreakBefore w:val="0"/>
        <w:numPr>
          <w:ilvl w:val="0"/>
          <w:numId w:val="8"/>
        </w:numPr>
        <w:kinsoku/>
        <w:wordWrap/>
        <w:overflowPunct/>
        <w:topLinePunct w:val="0"/>
        <w:autoSpaceDE/>
        <w:autoSpaceDN/>
        <w:bidi w:val="0"/>
        <w:adjustRightInd/>
        <w:spacing w:line="420" w:lineRule="exact"/>
        <w:textAlignment w:val="auto"/>
        <w:rPr>
          <w:rFonts w:hint="eastAsia" w:ascii="新宋体" w:hAnsi="新宋体" w:eastAsia="新宋体"/>
          <w:color w:val="auto"/>
          <w:sz w:val="22"/>
          <w:szCs w:val="22"/>
          <w:highlight w:val="none"/>
        </w:rPr>
      </w:pPr>
      <w:r>
        <w:rPr>
          <w:rFonts w:hint="eastAsia" w:ascii="新宋体" w:hAnsi="新宋体" w:eastAsia="新宋体"/>
          <w:b/>
          <w:color w:val="auto"/>
          <w:sz w:val="22"/>
          <w:szCs w:val="22"/>
          <w:highlight w:val="none"/>
        </w:rPr>
        <w:t>报价文件评分（1</w:t>
      </w:r>
      <w:r>
        <w:rPr>
          <w:rFonts w:hint="eastAsia" w:ascii="新宋体" w:hAnsi="新宋体" w:eastAsia="新宋体"/>
          <w:b/>
          <w:color w:val="auto"/>
          <w:sz w:val="22"/>
          <w:szCs w:val="22"/>
          <w:highlight w:val="none"/>
          <w:lang w:val="en-US" w:eastAsia="zh-CN"/>
        </w:rPr>
        <w:t>0</w:t>
      </w:r>
      <w:r>
        <w:rPr>
          <w:rFonts w:hint="eastAsia" w:ascii="新宋体" w:hAnsi="新宋体" w:eastAsia="新宋体"/>
          <w:b/>
          <w:color w:val="auto"/>
          <w:sz w:val="22"/>
          <w:szCs w:val="22"/>
          <w:highlight w:val="none"/>
        </w:rPr>
        <w:t>分）</w:t>
      </w:r>
      <w:r>
        <w:rPr>
          <w:rFonts w:hint="eastAsia" w:ascii="新宋体" w:hAnsi="新宋体" w:eastAsia="新宋体"/>
          <w:color w:val="auto"/>
          <w:sz w:val="22"/>
          <w:szCs w:val="22"/>
          <w:highlight w:val="none"/>
        </w:rPr>
        <w:t>：</w:t>
      </w:r>
    </w:p>
    <w:p w14:paraId="334561DB">
      <w:pPr>
        <w:keepNext w:val="0"/>
        <w:keepLines w:val="0"/>
        <w:pageBreakBefore w:val="0"/>
        <w:kinsoku/>
        <w:wordWrap/>
        <w:overflowPunct/>
        <w:topLinePunct w:val="0"/>
        <w:autoSpaceDE/>
        <w:autoSpaceDN/>
        <w:bidi w:val="0"/>
        <w:adjustRightInd/>
        <w:spacing w:line="42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政府采购政策说明</w:t>
      </w:r>
      <w:r>
        <w:rPr>
          <w:rFonts w:hint="eastAsia" w:ascii="新宋体" w:hAnsi="新宋体" w:eastAsia="新宋体"/>
          <w:b/>
          <w:bCs/>
          <w:color w:val="auto"/>
          <w:sz w:val="22"/>
          <w:szCs w:val="22"/>
          <w:highlight w:val="none"/>
          <w:lang w:eastAsia="zh-CN"/>
        </w:rPr>
        <w:t>：</w:t>
      </w:r>
      <w:r>
        <w:rPr>
          <w:rFonts w:hint="eastAsia" w:ascii="新宋体" w:hAnsi="新宋体" w:eastAsia="新宋体"/>
          <w:b/>
          <w:bCs/>
          <w:color w:val="auto"/>
          <w:sz w:val="22"/>
          <w:szCs w:val="22"/>
          <w:highlight w:val="none"/>
        </w:rPr>
        <w:t>本项目面向中小企业采购，不进行价格扣除。</w:t>
      </w:r>
    </w:p>
    <w:p w14:paraId="2B04C043">
      <w:pPr>
        <w:keepNext w:val="0"/>
        <w:keepLines w:val="0"/>
        <w:pageBreakBefore w:val="0"/>
        <w:kinsoku/>
        <w:wordWrap/>
        <w:overflowPunct/>
        <w:topLinePunct w:val="0"/>
        <w:autoSpaceDE/>
        <w:autoSpaceDN/>
        <w:bidi w:val="0"/>
        <w:adjustRightInd/>
        <w:spacing w:line="420" w:lineRule="exact"/>
        <w:textAlignment w:val="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（1）满足采购文件要求且</w:t>
      </w:r>
      <w:r>
        <w:rPr>
          <w:rFonts w:hint="eastAsia" w:ascii="宋体" w:hAnsi="宋体" w:cs="Arial"/>
          <w:b/>
          <w:color w:val="auto"/>
          <w:sz w:val="22"/>
          <w:szCs w:val="22"/>
          <w:highlight w:val="none"/>
          <w:u w:val="single"/>
        </w:rPr>
        <w:t>投标报价最低的</w:t>
      </w:r>
      <w:r>
        <w:rPr>
          <w:rFonts w:hint="eastAsia" w:ascii="新宋体" w:hAnsi="新宋体" w:eastAsia="新宋体"/>
          <w:color w:val="auto"/>
          <w:sz w:val="22"/>
          <w:szCs w:val="22"/>
          <w:highlight w:val="none"/>
        </w:rPr>
        <w:t>为评标基准价。</w:t>
      </w:r>
    </w:p>
    <w:p w14:paraId="410F0C9F">
      <w:pPr>
        <w:keepNext w:val="0"/>
        <w:keepLines w:val="0"/>
        <w:pageBreakBefore w:val="0"/>
        <w:kinsoku/>
        <w:wordWrap/>
        <w:overflowPunct/>
        <w:topLinePunct w:val="0"/>
        <w:autoSpaceDE/>
        <w:autoSpaceDN/>
        <w:bidi w:val="0"/>
        <w:adjustRightInd/>
        <w:spacing w:line="420" w:lineRule="exact"/>
        <w:textAlignment w:val="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（2）投标供应商的投标报价等于评标基准价时其价格分为满分；</w:t>
      </w:r>
    </w:p>
    <w:p w14:paraId="430435AF">
      <w:pPr>
        <w:keepNext w:val="0"/>
        <w:keepLines w:val="0"/>
        <w:pageBreakBefore w:val="0"/>
        <w:kinsoku/>
        <w:wordWrap/>
        <w:overflowPunct/>
        <w:topLinePunct w:val="0"/>
        <w:autoSpaceDE/>
        <w:autoSpaceDN/>
        <w:bidi w:val="0"/>
        <w:adjustRightInd/>
        <w:spacing w:line="420" w:lineRule="exact"/>
        <w:textAlignment w:val="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（3）其他投标供应商的价格分按以下公式计算：</w:t>
      </w:r>
    </w:p>
    <w:p w14:paraId="77BD1267">
      <w:pPr>
        <w:keepNext w:val="0"/>
        <w:keepLines w:val="0"/>
        <w:pageBreakBefore w:val="0"/>
        <w:kinsoku/>
        <w:wordWrap/>
        <w:overflowPunct/>
        <w:topLinePunct w:val="0"/>
        <w:autoSpaceDE/>
        <w:autoSpaceDN/>
        <w:bidi w:val="0"/>
        <w:adjustRightInd/>
        <w:spacing w:line="420" w:lineRule="exact"/>
        <w:ind w:firstLine="440" w:firstLineChars="200"/>
        <w:textAlignment w:val="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投标报价得分=（评标基准价/投标供应商投标价）×</w:t>
      </w:r>
      <w:r>
        <w:rPr>
          <w:rFonts w:hint="eastAsia" w:ascii="宋体" w:hAnsi="宋体"/>
          <w:color w:val="auto"/>
          <w:sz w:val="22"/>
          <w:szCs w:val="22"/>
          <w:highlight w:val="none"/>
        </w:rPr>
        <w:t xml:space="preserve"> 价格权值 （</w:t>
      </w: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%）×100</w:t>
      </w:r>
      <w:r>
        <w:rPr>
          <w:rFonts w:hint="eastAsia" w:ascii="新宋体" w:hAnsi="新宋体" w:eastAsia="新宋体"/>
          <w:color w:val="auto"/>
          <w:sz w:val="22"/>
          <w:szCs w:val="22"/>
          <w:highlight w:val="none"/>
        </w:rPr>
        <w:t>（四舍五入，保留小数点后2位）</w:t>
      </w:r>
    </w:p>
    <w:p w14:paraId="02562ABD">
      <w:pPr>
        <w:keepNext w:val="0"/>
        <w:keepLines w:val="0"/>
        <w:pageBreakBefore w:val="0"/>
        <w:kinsoku/>
        <w:wordWrap/>
        <w:overflowPunct/>
        <w:topLinePunct w:val="0"/>
        <w:autoSpaceDE/>
        <w:autoSpaceDN/>
        <w:bidi w:val="0"/>
        <w:adjustRightInd/>
        <w:spacing w:line="420" w:lineRule="exact"/>
        <w:textAlignment w:val="auto"/>
        <w:rPr>
          <w:rFonts w:ascii="新宋体" w:hAnsi="新宋体" w:eastAsia="新宋体"/>
          <w:b/>
          <w:bCs/>
          <w:color w:val="auto"/>
          <w:sz w:val="22"/>
          <w:szCs w:val="22"/>
          <w:highlight w:val="none"/>
          <w:u w:val="single"/>
        </w:rPr>
      </w:pPr>
      <w:r>
        <w:rPr>
          <w:rFonts w:hint="eastAsia" w:ascii="新宋体" w:hAnsi="新宋体" w:eastAsia="新宋体"/>
          <w:b/>
          <w:color w:val="auto"/>
          <w:sz w:val="22"/>
          <w:szCs w:val="22"/>
          <w:highlight w:val="none"/>
        </w:rPr>
        <w:t>（</w:t>
      </w:r>
      <w:r>
        <w:rPr>
          <w:rFonts w:hint="eastAsia" w:ascii="新宋体" w:hAnsi="新宋体" w:eastAsia="新宋体"/>
          <w:b/>
          <w:color w:val="auto"/>
          <w:sz w:val="22"/>
          <w:szCs w:val="22"/>
          <w:highlight w:val="none"/>
          <w:lang w:val="en-US" w:eastAsia="zh-CN"/>
        </w:rPr>
        <w:t>4</w:t>
      </w:r>
      <w:r>
        <w:rPr>
          <w:rFonts w:hint="eastAsia" w:ascii="新宋体" w:hAnsi="新宋体" w:eastAsia="新宋体"/>
          <w:b/>
          <w:color w:val="auto"/>
          <w:sz w:val="22"/>
          <w:szCs w:val="22"/>
          <w:highlight w:val="none"/>
        </w:rPr>
        <w:t>）▲</w:t>
      </w:r>
      <w:r>
        <w:rPr>
          <w:rFonts w:hint="eastAsia" w:ascii="新宋体" w:hAnsi="新宋体" w:eastAsia="新宋体"/>
          <w:b/>
          <w:color w:val="auto"/>
          <w:sz w:val="22"/>
          <w:szCs w:val="22"/>
          <w:highlight w:val="none"/>
          <w:u w:val="single"/>
        </w:rPr>
        <w:t>如投标供应商投标报价超过采购预算或</w:t>
      </w:r>
      <w:r>
        <w:rPr>
          <w:rFonts w:hint="eastAsia" w:ascii="新宋体" w:hAnsi="新宋体" w:eastAsia="新宋体"/>
          <w:b/>
          <w:color w:val="auto"/>
          <w:sz w:val="22"/>
          <w:szCs w:val="22"/>
          <w:highlight w:val="none"/>
          <w:u w:val="single"/>
          <w:lang w:val="en-US" w:eastAsia="zh-CN"/>
        </w:rPr>
        <w:t>最高限价</w:t>
      </w:r>
      <w:r>
        <w:rPr>
          <w:rFonts w:hint="eastAsia" w:ascii="新宋体" w:hAnsi="新宋体" w:eastAsia="新宋体"/>
          <w:b/>
          <w:color w:val="auto"/>
          <w:sz w:val="22"/>
          <w:szCs w:val="22"/>
          <w:highlight w:val="none"/>
          <w:u w:val="single"/>
        </w:rPr>
        <w:t>，其投标文件作无效标处理。</w:t>
      </w:r>
    </w:p>
    <w:p w14:paraId="4BEF2EAE">
      <w:pPr>
        <w:keepNext w:val="0"/>
        <w:keepLines w:val="0"/>
        <w:pageBreakBefore w:val="0"/>
        <w:widowControl/>
        <w:kinsoku/>
        <w:wordWrap/>
        <w:overflowPunct/>
        <w:topLinePunct w:val="0"/>
        <w:autoSpaceDE/>
        <w:autoSpaceDN/>
        <w:bidi w:val="0"/>
        <w:adjustRightInd/>
        <w:spacing w:line="420" w:lineRule="exact"/>
        <w:textAlignment w:val="auto"/>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3、  各有效投标供应商的综合得分为商务技术分和报价分的总和。</w:t>
      </w:r>
    </w:p>
    <w:p w14:paraId="2186671F">
      <w:pPr>
        <w:keepNext w:val="0"/>
        <w:keepLines w:val="0"/>
        <w:pageBreakBefore w:val="0"/>
        <w:widowControl/>
        <w:kinsoku/>
        <w:wordWrap/>
        <w:overflowPunct/>
        <w:topLinePunct w:val="0"/>
        <w:autoSpaceDE/>
        <w:autoSpaceDN/>
        <w:bidi w:val="0"/>
        <w:adjustRightInd/>
        <w:spacing w:line="420" w:lineRule="exact"/>
        <w:ind w:left="550" w:hanging="550"/>
        <w:textAlignment w:val="auto"/>
        <w:rPr>
          <w:rFonts w:ascii="新宋体" w:hAnsi="新宋体" w:eastAsia="新宋体"/>
          <w:color w:val="auto"/>
          <w:sz w:val="22"/>
          <w:szCs w:val="22"/>
          <w:highlight w:val="none"/>
        </w:rPr>
      </w:pPr>
      <w:r>
        <w:rPr>
          <w:rFonts w:hint="eastAsia" w:ascii="新宋体" w:hAnsi="新宋体" w:eastAsia="新宋体" w:cs="宋体"/>
          <w:color w:val="auto"/>
          <w:kern w:val="0"/>
          <w:sz w:val="22"/>
          <w:szCs w:val="22"/>
          <w:highlight w:val="none"/>
        </w:rPr>
        <w:t>4、</w:t>
      </w:r>
      <w:r>
        <w:rPr>
          <w:rFonts w:hint="eastAsia" w:ascii="新宋体" w:hAnsi="新宋体" w:eastAsia="新宋体"/>
          <w:color w:val="auto"/>
          <w:sz w:val="22"/>
          <w:szCs w:val="22"/>
          <w:highlight w:val="none"/>
        </w:rPr>
        <w:t xml:space="preserve">  评标委员会按各有效投标供应商综合得分高低顺序排列，综合得分最高、次高的投标供应商作为第一、第二中标候选供应商向采购人推荐，并提交评标报告</w:t>
      </w:r>
      <w:r>
        <w:rPr>
          <w:rFonts w:ascii="新宋体" w:hAnsi="新宋体" w:eastAsia="新宋体"/>
          <w:color w:val="auto"/>
          <w:sz w:val="22"/>
          <w:szCs w:val="22"/>
          <w:highlight w:val="none"/>
        </w:rPr>
        <w:t>。</w:t>
      </w:r>
    </w:p>
    <w:p w14:paraId="479B7EF0">
      <w:pPr>
        <w:keepNext w:val="0"/>
        <w:keepLines w:val="0"/>
        <w:pageBreakBefore w:val="0"/>
        <w:widowControl/>
        <w:kinsoku/>
        <w:wordWrap/>
        <w:overflowPunct/>
        <w:topLinePunct w:val="0"/>
        <w:autoSpaceDE/>
        <w:autoSpaceDN/>
        <w:bidi w:val="0"/>
        <w:adjustRightInd/>
        <w:snapToGrid w:val="0"/>
        <w:spacing w:line="420" w:lineRule="exact"/>
        <w:textAlignment w:val="auto"/>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 xml:space="preserve">六、 定标办法 </w:t>
      </w:r>
    </w:p>
    <w:p w14:paraId="1C154FBB">
      <w:pPr>
        <w:keepNext w:val="0"/>
        <w:keepLines w:val="0"/>
        <w:pageBreakBefore w:val="0"/>
        <w:widowControl/>
        <w:kinsoku/>
        <w:wordWrap/>
        <w:overflowPunct/>
        <w:topLinePunct w:val="0"/>
        <w:autoSpaceDE/>
        <w:autoSpaceDN/>
        <w:bidi w:val="0"/>
        <w:adjustRightInd/>
        <w:spacing w:line="420" w:lineRule="exact"/>
        <w:ind w:left="548"/>
        <w:textAlignment w:val="auto"/>
        <w:rPr>
          <w:rFonts w:ascii="新宋体" w:hAnsi="新宋体" w:eastAsia="新宋体" w:cs="宋体"/>
          <w:color w:val="auto"/>
          <w:kern w:val="0"/>
          <w:sz w:val="22"/>
          <w:szCs w:val="22"/>
          <w:highlight w:val="none"/>
        </w:rPr>
      </w:pPr>
      <w:r>
        <w:rPr>
          <w:rFonts w:hint="eastAsia" w:ascii="新宋体" w:hAnsi="新宋体" w:eastAsia="新宋体"/>
          <w:color w:val="auto"/>
          <w:sz w:val="22"/>
          <w:szCs w:val="22"/>
          <w:highlight w:val="none"/>
        </w:rPr>
        <w:t>本次招标由评标委员会确定2名中标候选供应商并向采购人推荐，采购人根据评标委员会的推荐结果按排名顺序确定中标供应商。</w:t>
      </w:r>
    </w:p>
    <w:p w14:paraId="2B6E7FAA">
      <w:pPr>
        <w:keepNext w:val="0"/>
        <w:keepLines w:val="0"/>
        <w:pageBreakBefore w:val="0"/>
        <w:widowControl/>
        <w:kinsoku/>
        <w:wordWrap/>
        <w:overflowPunct/>
        <w:topLinePunct w:val="0"/>
        <w:autoSpaceDE/>
        <w:autoSpaceDN/>
        <w:bidi w:val="0"/>
        <w:adjustRightInd/>
        <w:spacing w:line="420" w:lineRule="exact"/>
        <w:textAlignment w:val="auto"/>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七、 中标结果公告</w:t>
      </w:r>
    </w:p>
    <w:p w14:paraId="422FFA92">
      <w:pPr>
        <w:keepNext w:val="0"/>
        <w:keepLines w:val="0"/>
        <w:pageBreakBefore w:val="0"/>
        <w:widowControl/>
        <w:kinsoku/>
        <w:wordWrap/>
        <w:overflowPunct/>
        <w:topLinePunct w:val="0"/>
        <w:autoSpaceDE/>
        <w:autoSpaceDN/>
        <w:bidi w:val="0"/>
        <w:adjustRightInd/>
        <w:spacing w:line="420" w:lineRule="exact"/>
        <w:ind w:left="548"/>
        <w:textAlignment w:val="auto"/>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中标供应商确定后，中标公告在浙江政府采购网上发布，在发布中标公告的同时，采购人将向中标供应商发出中标通知书。中标通知书对采购人和中标供应商具有同等法律效力。</w:t>
      </w:r>
    </w:p>
    <w:p w14:paraId="29D0BC56">
      <w:pPr>
        <w:keepNext w:val="0"/>
        <w:keepLines w:val="0"/>
        <w:pageBreakBefore w:val="0"/>
        <w:widowControl/>
        <w:kinsoku/>
        <w:wordWrap/>
        <w:overflowPunct/>
        <w:topLinePunct w:val="0"/>
        <w:autoSpaceDE/>
        <w:autoSpaceDN/>
        <w:bidi w:val="0"/>
        <w:adjustRightInd/>
        <w:snapToGrid w:val="0"/>
        <w:spacing w:line="420" w:lineRule="exact"/>
        <w:textAlignment w:val="auto"/>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八、 投标供应商义务</w:t>
      </w:r>
    </w:p>
    <w:p w14:paraId="0B7659C4">
      <w:pPr>
        <w:keepNext w:val="0"/>
        <w:keepLines w:val="0"/>
        <w:pageBreakBefore w:val="0"/>
        <w:kinsoku/>
        <w:wordWrap/>
        <w:overflowPunct/>
        <w:topLinePunct w:val="0"/>
        <w:autoSpaceDE/>
        <w:autoSpaceDN/>
        <w:bidi w:val="0"/>
        <w:adjustRightInd/>
        <w:spacing w:line="420" w:lineRule="exact"/>
        <w:ind w:left="548" w:leftChars="261"/>
        <w:textAlignment w:val="auto"/>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投标供应商应随时接受评标委员会的询标，解答包括有关的商务、技术、报价等问题。评标结束，所有评标资料归档备查。</w:t>
      </w:r>
    </w:p>
    <w:p w14:paraId="32CF3354">
      <w:pPr>
        <w:rPr>
          <w:rFonts w:ascii="新宋体" w:hAnsi="新宋体" w:eastAsia="新宋体"/>
          <w:b/>
          <w:bCs/>
          <w:color w:val="auto"/>
          <w:sz w:val="32"/>
          <w:szCs w:val="32"/>
          <w:highlight w:val="none"/>
        </w:rPr>
      </w:pPr>
      <w:bookmarkStart w:id="105" w:name="_Toc14282"/>
      <w:r>
        <w:rPr>
          <w:rFonts w:hint="eastAsia" w:ascii="新宋体" w:hAnsi="新宋体" w:eastAsia="新宋体"/>
          <w:b/>
          <w:bCs/>
          <w:color w:val="auto"/>
          <w:sz w:val="32"/>
          <w:szCs w:val="32"/>
          <w:highlight w:val="none"/>
        </w:rPr>
        <w:br w:type="page"/>
      </w:r>
    </w:p>
    <w:p w14:paraId="75ADEC92">
      <w:pPr>
        <w:pStyle w:val="5"/>
        <w:jc w:val="center"/>
        <w:rPr>
          <w:rFonts w:hAnsi="宋体" w:cs="宋体"/>
          <w:color w:val="auto"/>
          <w:highlight w:val="none"/>
        </w:rPr>
      </w:pPr>
      <w:r>
        <w:rPr>
          <w:rFonts w:hint="eastAsia" w:ascii="新宋体" w:hAnsi="新宋体" w:eastAsia="新宋体"/>
          <w:bCs/>
          <w:color w:val="auto"/>
          <w:sz w:val="32"/>
          <w:szCs w:val="32"/>
          <w:highlight w:val="none"/>
        </w:rPr>
        <w:t>第六部分 政府采购政策功能相关说明</w:t>
      </w:r>
      <w:bookmarkEnd w:id="105"/>
    </w:p>
    <w:p w14:paraId="51C2D827">
      <w:pPr>
        <w:spacing w:line="440" w:lineRule="exact"/>
        <w:jc w:val="left"/>
        <w:rPr>
          <w:rFonts w:ascii="宋体" w:hAnsi="宋体" w:cs="宋体"/>
          <w:b/>
          <w:bCs/>
          <w:color w:val="auto"/>
          <w:szCs w:val="21"/>
          <w:highlight w:val="none"/>
        </w:rPr>
      </w:pPr>
      <w:bookmarkStart w:id="106" w:name="_Toc24164"/>
      <w:r>
        <w:rPr>
          <w:rFonts w:hint="eastAsia" w:ascii="宋体" w:hAnsi="宋体" w:cs="宋体"/>
          <w:b/>
          <w:bCs/>
          <w:color w:val="auto"/>
          <w:szCs w:val="21"/>
          <w:highlight w:val="none"/>
        </w:rPr>
        <w:t>一、小、微企业（含监狱企业、残疾人福利性单位）扶持政策说明</w:t>
      </w:r>
    </w:p>
    <w:p w14:paraId="6701709C">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1、文件依据</w:t>
      </w:r>
    </w:p>
    <w:p w14:paraId="7F98B0C4">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（1）关于《政府采购促进中小企业发展管理办法》（财库﹝2020﹞46 号）</w:t>
      </w:r>
    </w:p>
    <w:p w14:paraId="69487575">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（2）浙江省财政厅转发财政部工业和信息化部关于印发《政府采购促进中小企业发展暂行办法》的通知（浙财采监﹝2012﹞11号）</w:t>
      </w:r>
    </w:p>
    <w:p w14:paraId="5EDCA1C5">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（3）浙江省省财政厅《关于开展政府采购供应商网上注册登记和诚信管理工作的通知》（浙财采监〔2010〕8号)</w:t>
      </w:r>
    </w:p>
    <w:p w14:paraId="294DA017">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（4）《工业和信息化部、国家统计局、国家发展和改革委员会、财政部关于印发中小企业划型标准规定的通知》（工信部联企业﹝2011﹞300号）</w:t>
      </w:r>
    </w:p>
    <w:p w14:paraId="392B869B">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（5）财政部、司法部《关于政府采购支持监狱企业发展有关问题的通知》（财库〔2014〕68号）</w:t>
      </w:r>
    </w:p>
    <w:p w14:paraId="100D3B6B">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（6）《财政部 民政部 中国残疾人联合会关于促进残疾人就业政府采购政策的通知》（财库〔2017〕 141号）</w:t>
      </w:r>
    </w:p>
    <w:p w14:paraId="0D4525B8">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（7）《浙江省财政厅浙江省经济和信息化委员会关于简化中小企业类别确认流程有关事项的通知》（浙财采监〔2018〕2号)</w:t>
      </w:r>
    </w:p>
    <w:p w14:paraId="6D130BFC">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（8）《政府采购促进中小企业发展管理办法》（财库﹝2020﹞46号）</w:t>
      </w:r>
    </w:p>
    <w:p w14:paraId="76F06E12">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（9）《浙江省财政厅关于进一步发挥政府采购政策功能全力推动济稳进提质的通知》（浙财采监〔2022〕3号)</w:t>
      </w:r>
    </w:p>
    <w:p w14:paraId="5084BFEB">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（10）《财政部关于进一步加大政府采购支持中小企业力度的通知》(财库〔2022〕19号）</w:t>
      </w:r>
    </w:p>
    <w:p w14:paraId="17EF2C47">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（11）《浙江省财政厅关于进一步加大政府采购支付中小企业力度 助力扎实稳住经济的通知》（浙财采监〔2022〕8号)</w:t>
      </w:r>
    </w:p>
    <w:p w14:paraId="4ABB4BD5">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2、在政府采购活动中，供应商提供的货物、工程或者服务符合下列情形的，享受中小企业扶持政策：</w:t>
      </w:r>
    </w:p>
    <w:p w14:paraId="4D541337">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（1）在货物采购项目中，货物由中小企业制造，即货物由中小企业生产且使用该中小企业商号或者注册商标； </w:t>
      </w:r>
    </w:p>
    <w:p w14:paraId="2CF722A3">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（2）在工程采购项目中，工程由中小企业承建，即工程施工单位为中小企业； </w:t>
      </w:r>
    </w:p>
    <w:p w14:paraId="7AA4CF61">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（3）在服务采购项目中，服务由中小企业承接，即提供服务的人员为中小企业依照《中华人民共和国劳动合同法》订立劳动合同的从业人员。 </w:t>
      </w:r>
    </w:p>
    <w:p w14:paraId="3395EE81">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在货物采购项目中，供应商提供的货物既有中小企业制造货物，也有大型企业制造货物的，不享受规定的中小企业扶持政策。</w:t>
      </w:r>
    </w:p>
    <w:p w14:paraId="1F34ED1E">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以联合体形式参加政府采购活动，联合体各方均为中小企业的，联合体视为中小企业。其中，联合体各方均为小微企业的，联合体视同小微企业。</w:t>
      </w:r>
    </w:p>
    <w:p w14:paraId="5382811D">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14:paraId="5C59B71B">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符合中小企业划分标准的个体工商户，在政府采购活动中视同中小企业。</w:t>
      </w:r>
    </w:p>
    <w:p w14:paraId="429621EB">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中小企业划分标准：</w:t>
      </w:r>
      <w:r>
        <w:rPr>
          <w:rFonts w:hint="eastAsia" w:ascii="宋体" w:hAnsi="宋体" w:cs="宋体"/>
          <w:bCs/>
          <w:color w:val="auto"/>
          <w:szCs w:val="21"/>
          <w:highlight w:val="none"/>
        </w:rPr>
        <w:t>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14:paraId="2F81F964">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3、享受小微企业（含监狱企业、残疾人福利性单位）价格折扣比例</w:t>
      </w:r>
    </w:p>
    <w:p w14:paraId="4F887D36">
      <w:pPr>
        <w:spacing w:line="440" w:lineRule="exact"/>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（1）在货物或服务项目采购中，对小微企业报价给予10%—20%的扣除，用扣除后的价格参加评审；</w:t>
      </w:r>
    </w:p>
    <w:p w14:paraId="379A7255">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（2）在工程项目采购中，对小微企业报价给予为 3%—5%的扣除，用扣除后的价格参加评审。</w:t>
      </w:r>
    </w:p>
    <w:p w14:paraId="5268FCAD">
      <w:pPr>
        <w:spacing w:line="440" w:lineRule="exact"/>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（3）接受大中型企业与小微企业组成联合体或者允许大中型企业向一家或者多家小微企业分包的采购项目，对于联合协议或者分包意向协议约定小微企业的合同份额占到合同总金额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30%以上的，对联合体或者大中型企业的报价按（货物服务项目为4%—6%）（工程项目为 1%—2%）给予扣除，用扣除后的价格参加评审。组成联合体或者接受分包的小微企业与联合体内其他企业、分包企业之间存在直接控股、管理关系的，不享受价格扣除优惠政策。</w:t>
      </w:r>
    </w:p>
    <w:p w14:paraId="5EF5CEDA">
      <w:pPr>
        <w:spacing w:line="440" w:lineRule="exact"/>
        <w:jc w:val="left"/>
        <w:rPr>
          <w:rFonts w:ascii="宋体" w:hAnsi="宋体" w:cs="宋体"/>
          <w:bCs/>
          <w:color w:val="auto"/>
          <w:szCs w:val="21"/>
          <w:highlight w:val="none"/>
        </w:rPr>
      </w:pPr>
      <w:r>
        <w:rPr>
          <w:rFonts w:hint="eastAsia" w:ascii="宋体" w:hAnsi="宋体" w:cs="宋体"/>
          <w:b/>
          <w:bCs/>
          <w:color w:val="auto"/>
          <w:szCs w:val="21"/>
          <w:highlight w:val="none"/>
          <w:u w:val="single"/>
        </w:rPr>
        <w:t>4、享受小微企业价格折扣应提供以下证明材料（不提供的不享受价格扣除）</w:t>
      </w:r>
      <w:r>
        <w:rPr>
          <w:rFonts w:hint="eastAsia" w:ascii="宋体" w:hAnsi="宋体" w:cs="宋体"/>
          <w:b/>
          <w:bCs/>
          <w:color w:val="auto"/>
          <w:szCs w:val="21"/>
          <w:highlight w:val="none"/>
        </w:rPr>
        <w:t>：</w:t>
      </w:r>
    </w:p>
    <w:p w14:paraId="50EDD389">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（1）《中小企业声明函》（上传后进行电子签章，格式见第三部分附件）</w:t>
      </w:r>
    </w:p>
    <w:p w14:paraId="3ECE365C">
      <w:pPr>
        <w:spacing w:line="440" w:lineRule="exact"/>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5、享受监狱企业价格折扣应提供以下证明材料（电子响应文件中,不提供的不享受价格折扣）：</w:t>
      </w:r>
    </w:p>
    <w:p w14:paraId="7452E8C8">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1）监狱企业参加政府采购活动时，应当提供由省级以上监狱管理局、戒毒管理局(含新疆生产建设兵团)出具的属于监狱企业的证明文件（扫描件上传后进行电子签章）。在政府采购活动中，监狱企业视同小型、微型企业，享受评审中价格扣除政策。</w:t>
      </w:r>
    </w:p>
    <w:p w14:paraId="591C9211">
      <w:pPr>
        <w:adjustRightInd w:val="0"/>
        <w:snapToGrid w:val="0"/>
        <w:spacing w:line="440" w:lineRule="exact"/>
        <w:ind w:firstLine="333" w:firstLineChars="150"/>
        <w:rPr>
          <w:rFonts w:ascii="宋体" w:hAnsi="宋体" w:cs="宋体"/>
          <w:bCs/>
          <w:color w:val="auto"/>
          <w:szCs w:val="21"/>
          <w:highlight w:val="none"/>
        </w:rPr>
      </w:pPr>
      <w:r>
        <w:rPr>
          <w:rFonts w:hint="eastAsia" w:ascii="宋体" w:hAnsi="宋体" w:cs="宋体"/>
          <w:color w:val="auto"/>
          <w:spacing w:val="6"/>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EC6791">
      <w:pPr>
        <w:spacing w:line="440" w:lineRule="exact"/>
        <w:jc w:val="left"/>
        <w:rPr>
          <w:rFonts w:ascii="宋体" w:hAnsi="宋体" w:cs="宋体"/>
          <w:bCs/>
          <w:color w:val="auto"/>
          <w:szCs w:val="21"/>
          <w:highlight w:val="none"/>
        </w:rPr>
      </w:pPr>
      <w:r>
        <w:rPr>
          <w:rFonts w:hint="eastAsia" w:ascii="宋体" w:hAnsi="宋体" w:cs="宋体"/>
          <w:b/>
          <w:bCs/>
          <w:color w:val="auto"/>
          <w:szCs w:val="21"/>
          <w:highlight w:val="none"/>
          <w:u w:val="single"/>
        </w:rPr>
        <w:t>6、享受残疾人福利性单位格折扣应提供以下证明材料（电子响应文件中，不提供的不享受价格折扣）</w:t>
      </w:r>
      <w:r>
        <w:rPr>
          <w:rFonts w:hint="eastAsia" w:ascii="宋体" w:hAnsi="宋体" w:cs="宋体"/>
          <w:bCs/>
          <w:color w:val="auto"/>
          <w:szCs w:val="21"/>
          <w:highlight w:val="none"/>
        </w:rPr>
        <w:t>：</w:t>
      </w:r>
    </w:p>
    <w:p w14:paraId="3FA3854E">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（1）残疾人福利性单位声明函（上传后进行电子签章，格式见第三部分附件）；在政府采购活动中，残疾人福利性单位视同小型、微型企业，享受评审中价格扣除政策。</w:t>
      </w:r>
    </w:p>
    <w:p w14:paraId="180575D0">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7、非单一产品采购，无法核实（按响应文件资料）全部货物均为小微企业（含监狱企业、残疾人福利性单位）制造；或小微企业（含监狱企业、残疾人福利性单位）提供其他制造商制造的货物且无法核实（按响应文件资料）制造商是否为小微企，业（含监狱企业、残疾人福利性单位）的，不享受价格折扣。</w:t>
      </w:r>
      <w:r>
        <w:rPr>
          <w:rFonts w:hint="eastAsia" w:ascii="宋体" w:hAnsi="宋体" w:cs="宋体"/>
          <w:b/>
          <w:color w:val="auto"/>
          <w:szCs w:val="21"/>
          <w:highlight w:val="none"/>
        </w:rPr>
        <w:t>属于小微企业（含监狱企业、残疾人福利性单位）的供应商提供其他制造商制造的货物参与</w:t>
      </w:r>
      <w:r>
        <w:rPr>
          <w:rFonts w:hint="eastAsia" w:ascii="宋体" w:hAnsi="宋体" w:cs="宋体"/>
          <w:bCs/>
          <w:color w:val="auto"/>
          <w:szCs w:val="21"/>
          <w:highlight w:val="none"/>
        </w:rPr>
        <w:t>响应</w:t>
      </w:r>
      <w:r>
        <w:rPr>
          <w:rFonts w:hint="eastAsia" w:ascii="宋体" w:hAnsi="宋体" w:cs="宋体"/>
          <w:b/>
          <w:color w:val="auto"/>
          <w:szCs w:val="21"/>
          <w:highlight w:val="none"/>
        </w:rPr>
        <w:t>的，还应提供所投产品制造商属于小微企业（含监狱企业、残疾人福利性单位）的证明材料并加盖制造商公章，否则不享受价格折扣。</w:t>
      </w:r>
    </w:p>
    <w:p w14:paraId="0E32C421">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8、享受扶持政策获得政府采购合同的，小微企业不得将合同分包给大中型企业，中型企业不得将合同分包给大型企业。</w:t>
      </w:r>
    </w:p>
    <w:p w14:paraId="22E3FE99">
      <w:pPr>
        <w:spacing w:line="440" w:lineRule="exact"/>
        <w:jc w:val="left"/>
        <w:rPr>
          <w:rFonts w:ascii="宋体" w:hAnsi="宋体" w:cs="宋体"/>
          <w:b/>
          <w:bCs/>
          <w:color w:val="auto"/>
          <w:sz w:val="30"/>
          <w:szCs w:val="30"/>
          <w:highlight w:val="none"/>
          <w:u w:val="single"/>
        </w:rPr>
      </w:pPr>
      <w:r>
        <w:rPr>
          <w:rFonts w:hint="eastAsia" w:ascii="宋体" w:hAnsi="宋体" w:cs="宋体"/>
          <w:color w:val="auto"/>
          <w:sz w:val="30"/>
          <w:szCs w:val="30"/>
          <w:highlight w:val="none"/>
        </w:rPr>
        <w:t>▲</w:t>
      </w:r>
      <w:r>
        <w:rPr>
          <w:rFonts w:hint="eastAsia" w:ascii="宋体" w:hAnsi="宋体" w:cs="宋体"/>
          <w:b/>
          <w:bCs/>
          <w:color w:val="auto"/>
          <w:sz w:val="30"/>
          <w:szCs w:val="30"/>
          <w:highlight w:val="none"/>
          <w:u w:val="single"/>
        </w:rPr>
        <w:t>说明：如为专门面向中小企业采购的项目或者标项，不再执行价格评审优惠的扶持政策。</w:t>
      </w:r>
    </w:p>
    <w:p w14:paraId="7DEF5DDF">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二、优化政府采金融服务</w:t>
      </w:r>
    </w:p>
    <w:p w14:paraId="2AF426BF">
      <w:pPr>
        <w:widowControl/>
        <w:shd w:val="clear" w:color="auto" w:fill="FFFFFF"/>
        <w:spacing w:line="440" w:lineRule="exac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476E657C">
      <w:pPr>
        <w:pStyle w:val="3"/>
        <w:spacing w:after="0"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鼓励各金融机构与政府采购云平台合作，利用平台的业务协同和数据集合优势，积极开展政采贷、履约保函等金融服务。政府采购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10EB2A1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lang w:val="zh-CN"/>
        </w:rPr>
        <w:t xml:space="preserve"> 具体参考《浙江省财政厅关于坚决打赢疫情防控阻击战进一步做好政府采购资金支持企业发展工作的通知》（浙财采监〔2020〕3号）优化政府采购金融服务（政采贷、履约保函等政府采购金融服务）</w:t>
      </w:r>
      <w:r>
        <w:rPr>
          <w:rFonts w:hint="eastAsia" w:ascii="宋体" w:hAnsi="宋体" w:cs="宋体"/>
          <w:color w:val="auto"/>
          <w:kern w:val="0"/>
          <w:szCs w:val="21"/>
          <w:highlight w:val="none"/>
        </w:rPr>
        <w:t>。</w:t>
      </w:r>
    </w:p>
    <w:p w14:paraId="5A048C28">
      <w:pPr>
        <w:pStyle w:val="11"/>
        <w:spacing w:line="440" w:lineRule="exact"/>
        <w:rPr>
          <w:rFonts w:ascii="宋体" w:hAnsi="宋体" w:cs="宋体"/>
          <w:color w:val="auto"/>
          <w:highlight w:val="none"/>
        </w:rPr>
        <w:sectPr>
          <w:footerReference r:id="rId5" w:type="default"/>
          <w:pgSz w:w="11906" w:h="16838"/>
          <w:pgMar w:top="1440" w:right="1304" w:bottom="1217" w:left="1531" w:header="851" w:footer="992" w:gutter="0"/>
          <w:pgNumType w:fmt="decimal"/>
          <w:cols w:space="720" w:num="1"/>
          <w:docGrid w:linePitch="312" w:charSpace="0"/>
        </w:sectPr>
      </w:pPr>
    </w:p>
    <w:p w14:paraId="1AFD2E13">
      <w:pPr>
        <w:pStyle w:val="5"/>
        <w:spacing w:before="120" w:after="120"/>
        <w:jc w:val="center"/>
        <w:rPr>
          <w:rFonts w:hAnsi="宋体" w:cs="宋体"/>
          <w:color w:val="auto"/>
          <w:sz w:val="36"/>
          <w:szCs w:val="36"/>
          <w:highlight w:val="none"/>
        </w:rPr>
      </w:pPr>
      <w:r>
        <w:rPr>
          <w:rFonts w:hint="eastAsia" w:hAnsi="宋体" w:cs="宋体"/>
          <w:color w:val="auto"/>
          <w:sz w:val="36"/>
          <w:szCs w:val="36"/>
          <w:highlight w:val="none"/>
        </w:rPr>
        <w:t>政府采购金融服务相关信息告知函</w:t>
      </w:r>
      <w:bookmarkEnd w:id="106"/>
    </w:p>
    <w:p w14:paraId="0C757842">
      <w:pPr>
        <w:spacing w:line="440" w:lineRule="atLeast"/>
        <w:jc w:val="left"/>
        <w:rPr>
          <w:rFonts w:ascii="宋体" w:hAnsi="宋体" w:cs="宋体"/>
          <w:bCs/>
          <w:color w:val="auto"/>
          <w:sz w:val="22"/>
          <w:highlight w:val="none"/>
        </w:rPr>
      </w:pPr>
    </w:p>
    <w:p w14:paraId="77C45EA1">
      <w:pPr>
        <w:spacing w:line="48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1C65551C">
      <w:pPr>
        <w:spacing w:line="48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5760A3A9">
      <w:pPr>
        <w:pStyle w:val="3"/>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23215376">
      <w:pPr>
        <w:pStyle w:val="3"/>
        <w:spacing w:line="480" w:lineRule="auto"/>
        <w:ind w:firstLine="480"/>
        <w:rPr>
          <w:rFonts w:ascii="宋体" w:hAnsi="宋体" w:cs="宋体"/>
          <w:color w:val="auto"/>
          <w:szCs w:val="21"/>
          <w:highlight w:val="none"/>
        </w:rPr>
        <w:sectPr>
          <w:footerReference r:id="rId6" w:type="default"/>
          <w:pgSz w:w="11906" w:h="16838"/>
          <w:pgMar w:top="1134" w:right="1134" w:bottom="1134" w:left="1134" w:header="851" w:footer="992" w:gutter="0"/>
          <w:pgNumType w:fmt="decimal"/>
          <w:cols w:space="720" w:num="1"/>
          <w:docGrid w:linePitch="312" w:charSpace="0"/>
        </w:sectPr>
      </w:pPr>
    </w:p>
    <w:tbl>
      <w:tblPr>
        <w:tblStyle w:val="24"/>
        <w:tblW w:w="15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9660"/>
        <w:gridCol w:w="1245"/>
        <w:gridCol w:w="2325"/>
      </w:tblGrid>
      <w:tr w14:paraId="4135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239" w:type="dxa"/>
            <w:gridSpan w:val="4"/>
            <w:noWrap/>
            <w:vAlign w:val="center"/>
          </w:tcPr>
          <w:p w14:paraId="66227CC7">
            <w:pPr>
              <w:jc w:val="center"/>
              <w:rPr>
                <w:rFonts w:ascii="宋体" w:hAnsi="宋体" w:cs="宋体"/>
                <w:color w:val="auto"/>
                <w:szCs w:val="21"/>
                <w:highlight w:val="none"/>
              </w:rPr>
            </w:pPr>
            <w:r>
              <w:rPr>
                <w:rFonts w:hint="eastAsia" w:ascii="宋体" w:hAnsi="宋体" w:cs="宋体"/>
                <w:color w:val="auto"/>
                <w:szCs w:val="21"/>
                <w:highlight w:val="none"/>
              </w:rPr>
              <w:t>温州市政府采购支持中小企业信用融资合作银行</w:t>
            </w:r>
          </w:p>
        </w:tc>
      </w:tr>
      <w:tr w14:paraId="24B3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09" w:type="dxa"/>
            <w:noWrap/>
            <w:vAlign w:val="center"/>
          </w:tcPr>
          <w:p w14:paraId="796A627F">
            <w:pPr>
              <w:pStyle w:val="30"/>
              <w:spacing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银行名称</w:t>
            </w:r>
          </w:p>
        </w:tc>
        <w:tc>
          <w:tcPr>
            <w:tcW w:w="9660" w:type="dxa"/>
            <w:noWrap/>
            <w:vAlign w:val="center"/>
          </w:tcPr>
          <w:p w14:paraId="58F605F1">
            <w:pPr>
              <w:pStyle w:val="30"/>
              <w:spacing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产品特点（不超过120字）</w:t>
            </w:r>
          </w:p>
        </w:tc>
        <w:tc>
          <w:tcPr>
            <w:tcW w:w="1245" w:type="dxa"/>
            <w:noWrap/>
            <w:vAlign w:val="center"/>
          </w:tcPr>
          <w:p w14:paraId="091B5249">
            <w:pPr>
              <w:pStyle w:val="30"/>
              <w:spacing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经办人</w:t>
            </w:r>
          </w:p>
        </w:tc>
        <w:tc>
          <w:tcPr>
            <w:tcW w:w="2325" w:type="dxa"/>
            <w:noWrap/>
            <w:vAlign w:val="center"/>
          </w:tcPr>
          <w:p w14:paraId="43FCEE10">
            <w:pPr>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r>
      <w:tr w14:paraId="2C8C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noWrap/>
            <w:vAlign w:val="center"/>
          </w:tcPr>
          <w:p w14:paraId="2578069D">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中国工商银行股份有限公司温州分行</w:t>
            </w:r>
          </w:p>
        </w:tc>
        <w:tc>
          <w:tcPr>
            <w:tcW w:w="9660" w:type="dxa"/>
            <w:noWrap/>
            <w:vAlign w:val="center"/>
          </w:tcPr>
          <w:p w14:paraId="0E3600D2">
            <w:pPr>
              <w:rPr>
                <w:rFonts w:ascii="宋体" w:hAnsi="宋体" w:cs="宋体"/>
                <w:color w:val="auto"/>
                <w:szCs w:val="21"/>
                <w:highlight w:val="none"/>
              </w:rPr>
            </w:pPr>
            <w:r>
              <w:rPr>
                <w:rFonts w:hint="eastAsia" w:ascii="宋体" w:hAnsi="宋体" w:cs="宋体"/>
                <w:color w:val="auto"/>
                <w:szCs w:val="21"/>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245" w:type="dxa"/>
            <w:noWrap/>
            <w:vAlign w:val="center"/>
          </w:tcPr>
          <w:p w14:paraId="6DF32D58">
            <w:pPr>
              <w:pStyle w:val="30"/>
              <w:spacing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王经理</w:t>
            </w:r>
          </w:p>
        </w:tc>
        <w:tc>
          <w:tcPr>
            <w:tcW w:w="2325" w:type="dxa"/>
            <w:noWrap/>
            <w:vAlign w:val="center"/>
          </w:tcPr>
          <w:p w14:paraId="4AD0FDE4">
            <w:pPr>
              <w:jc w:val="center"/>
              <w:rPr>
                <w:rFonts w:ascii="宋体" w:hAnsi="宋体" w:cs="宋体"/>
                <w:color w:val="auto"/>
                <w:kern w:val="0"/>
                <w:szCs w:val="21"/>
                <w:highlight w:val="none"/>
              </w:rPr>
            </w:pPr>
            <w:r>
              <w:rPr>
                <w:rFonts w:hint="eastAsia" w:ascii="宋体" w:hAnsi="宋体" w:cs="宋体"/>
                <w:color w:val="auto"/>
                <w:kern w:val="0"/>
                <w:szCs w:val="21"/>
                <w:highlight w:val="none"/>
              </w:rPr>
              <w:t>0577-88186626</w:t>
            </w:r>
          </w:p>
          <w:p w14:paraId="3DFD18E3">
            <w:pPr>
              <w:jc w:val="center"/>
              <w:rPr>
                <w:rFonts w:ascii="宋体" w:hAnsi="宋体" w:cs="宋体"/>
                <w:color w:val="auto"/>
                <w:kern w:val="0"/>
                <w:szCs w:val="21"/>
                <w:highlight w:val="none"/>
              </w:rPr>
            </w:pPr>
          </w:p>
        </w:tc>
      </w:tr>
      <w:tr w14:paraId="24A3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009" w:type="dxa"/>
            <w:noWrap/>
            <w:vAlign w:val="center"/>
          </w:tcPr>
          <w:p w14:paraId="648020DF">
            <w:pPr>
              <w:rPr>
                <w:rFonts w:ascii="宋体" w:hAnsi="宋体" w:cs="宋体"/>
                <w:color w:val="auto"/>
                <w:szCs w:val="21"/>
                <w:highlight w:val="none"/>
              </w:rPr>
            </w:pPr>
            <w:r>
              <w:rPr>
                <w:rFonts w:hint="eastAsia" w:ascii="宋体" w:hAnsi="宋体" w:cs="宋体"/>
                <w:color w:val="auto"/>
                <w:kern w:val="0"/>
                <w:szCs w:val="21"/>
                <w:highlight w:val="none"/>
              </w:rPr>
              <w:t>中国建设银行股份有限公司温州分行</w:t>
            </w:r>
          </w:p>
        </w:tc>
        <w:tc>
          <w:tcPr>
            <w:tcW w:w="9660" w:type="dxa"/>
            <w:noWrap/>
            <w:vAlign w:val="center"/>
          </w:tcPr>
          <w:p w14:paraId="4495C2E2">
            <w:pPr>
              <w:rPr>
                <w:rFonts w:ascii="宋体" w:hAnsi="宋体" w:cs="宋体"/>
                <w:color w:val="auto"/>
                <w:szCs w:val="21"/>
                <w:highlight w:val="none"/>
              </w:rPr>
            </w:pPr>
            <w:r>
              <w:rPr>
                <w:rFonts w:hint="eastAsia" w:ascii="宋体" w:hAnsi="宋体" w:cs="宋体"/>
                <w:color w:val="auto"/>
                <w:szCs w:val="21"/>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245" w:type="dxa"/>
            <w:noWrap/>
            <w:vAlign w:val="center"/>
          </w:tcPr>
          <w:p w14:paraId="2DAAEC4A">
            <w:pPr>
              <w:jc w:val="center"/>
              <w:rPr>
                <w:rFonts w:ascii="宋体" w:hAnsi="宋体" w:cs="宋体"/>
                <w:color w:val="auto"/>
                <w:kern w:val="0"/>
                <w:szCs w:val="21"/>
                <w:highlight w:val="none"/>
              </w:rPr>
            </w:pPr>
            <w:r>
              <w:rPr>
                <w:rFonts w:hint="eastAsia" w:ascii="宋体" w:hAnsi="宋体" w:cs="宋体"/>
                <w:color w:val="auto"/>
                <w:kern w:val="0"/>
                <w:szCs w:val="21"/>
                <w:highlight w:val="none"/>
              </w:rPr>
              <w:t>张经理</w:t>
            </w:r>
          </w:p>
        </w:tc>
        <w:tc>
          <w:tcPr>
            <w:tcW w:w="2325" w:type="dxa"/>
            <w:noWrap/>
            <w:vAlign w:val="center"/>
          </w:tcPr>
          <w:p w14:paraId="6B366D55">
            <w:pPr>
              <w:jc w:val="center"/>
              <w:rPr>
                <w:rFonts w:ascii="宋体" w:hAnsi="宋体" w:cs="宋体"/>
                <w:color w:val="auto"/>
                <w:kern w:val="0"/>
                <w:szCs w:val="21"/>
                <w:highlight w:val="none"/>
              </w:rPr>
            </w:pPr>
            <w:r>
              <w:rPr>
                <w:rFonts w:hint="eastAsia" w:ascii="宋体" w:hAnsi="宋体" w:cs="宋体"/>
                <w:color w:val="auto"/>
                <w:kern w:val="0"/>
                <w:szCs w:val="21"/>
                <w:highlight w:val="none"/>
              </w:rPr>
              <w:t>0577-88093286</w:t>
            </w:r>
          </w:p>
        </w:tc>
      </w:tr>
      <w:tr w14:paraId="58BF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noWrap/>
            <w:vAlign w:val="center"/>
          </w:tcPr>
          <w:p w14:paraId="3B220776">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中国邮政储蓄银行股份有限公司温州市分行</w:t>
            </w:r>
          </w:p>
        </w:tc>
        <w:tc>
          <w:tcPr>
            <w:tcW w:w="9660" w:type="dxa"/>
            <w:noWrap/>
            <w:vAlign w:val="center"/>
          </w:tcPr>
          <w:p w14:paraId="3F4785B1">
            <w:pPr>
              <w:rPr>
                <w:rFonts w:ascii="宋体" w:hAnsi="宋体" w:cs="宋体"/>
                <w:color w:val="auto"/>
                <w:szCs w:val="21"/>
                <w:highlight w:val="none"/>
              </w:rPr>
            </w:pPr>
            <w:r>
              <w:rPr>
                <w:rFonts w:hint="eastAsia" w:ascii="宋体" w:hAnsi="宋体" w:cs="宋体"/>
                <w:color w:val="auto"/>
                <w:szCs w:val="21"/>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245" w:type="dxa"/>
            <w:noWrap/>
            <w:vAlign w:val="center"/>
          </w:tcPr>
          <w:p w14:paraId="40398971">
            <w:pPr>
              <w:jc w:val="center"/>
              <w:rPr>
                <w:rFonts w:ascii="宋体" w:hAnsi="宋体" w:cs="宋体"/>
                <w:color w:val="auto"/>
                <w:szCs w:val="21"/>
                <w:highlight w:val="none"/>
              </w:rPr>
            </w:pPr>
            <w:r>
              <w:rPr>
                <w:rFonts w:hint="eastAsia" w:ascii="宋体" w:hAnsi="宋体" w:cs="宋体"/>
                <w:color w:val="auto"/>
                <w:szCs w:val="21"/>
                <w:highlight w:val="none"/>
              </w:rPr>
              <w:t>郑经理</w:t>
            </w:r>
          </w:p>
        </w:tc>
        <w:tc>
          <w:tcPr>
            <w:tcW w:w="2325" w:type="dxa"/>
            <w:noWrap/>
            <w:vAlign w:val="center"/>
          </w:tcPr>
          <w:p w14:paraId="3D05A5CA">
            <w:pPr>
              <w:jc w:val="center"/>
              <w:rPr>
                <w:rFonts w:ascii="宋体" w:hAnsi="宋体" w:cs="宋体"/>
                <w:color w:val="auto"/>
                <w:kern w:val="0"/>
                <w:szCs w:val="21"/>
                <w:highlight w:val="none"/>
              </w:rPr>
            </w:pPr>
            <w:r>
              <w:rPr>
                <w:rFonts w:hint="eastAsia" w:ascii="宋体" w:hAnsi="宋体" w:cs="宋体"/>
                <w:color w:val="auto"/>
                <w:kern w:val="0"/>
                <w:szCs w:val="21"/>
                <w:highlight w:val="none"/>
              </w:rPr>
              <w:t>0577-88193910</w:t>
            </w:r>
          </w:p>
          <w:p w14:paraId="01AFD343">
            <w:pPr>
              <w:jc w:val="center"/>
              <w:rPr>
                <w:rFonts w:ascii="宋体" w:hAnsi="宋体" w:cs="宋体"/>
                <w:color w:val="auto"/>
                <w:kern w:val="0"/>
                <w:szCs w:val="21"/>
                <w:highlight w:val="none"/>
              </w:rPr>
            </w:pPr>
          </w:p>
        </w:tc>
      </w:tr>
      <w:tr w14:paraId="1401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noWrap/>
            <w:vAlign w:val="center"/>
          </w:tcPr>
          <w:p w14:paraId="1EB78C3C">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中国民生银行股份有限公司温州分行</w:t>
            </w:r>
          </w:p>
        </w:tc>
        <w:tc>
          <w:tcPr>
            <w:tcW w:w="9660" w:type="dxa"/>
            <w:noWrap/>
            <w:vAlign w:val="center"/>
          </w:tcPr>
          <w:p w14:paraId="46014985">
            <w:pPr>
              <w:rPr>
                <w:rFonts w:ascii="宋体" w:hAnsi="宋体" w:cs="宋体"/>
                <w:color w:val="auto"/>
                <w:szCs w:val="21"/>
                <w:highlight w:val="none"/>
              </w:rPr>
            </w:pPr>
            <w:r>
              <w:rPr>
                <w:rFonts w:hint="eastAsia" w:ascii="宋体" w:hAnsi="宋体" w:cs="宋体"/>
                <w:color w:val="auto"/>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245" w:type="dxa"/>
            <w:noWrap/>
            <w:vAlign w:val="center"/>
          </w:tcPr>
          <w:p w14:paraId="7BE288F9">
            <w:pPr>
              <w:jc w:val="center"/>
              <w:rPr>
                <w:rFonts w:ascii="宋体" w:hAnsi="宋体" w:cs="宋体"/>
                <w:color w:val="auto"/>
                <w:szCs w:val="21"/>
                <w:highlight w:val="none"/>
              </w:rPr>
            </w:pPr>
            <w:r>
              <w:rPr>
                <w:rFonts w:hint="eastAsia" w:ascii="宋体" w:hAnsi="宋体" w:cs="宋体"/>
                <w:color w:val="auto"/>
                <w:szCs w:val="21"/>
                <w:highlight w:val="none"/>
              </w:rPr>
              <w:t>项经理</w:t>
            </w:r>
          </w:p>
        </w:tc>
        <w:tc>
          <w:tcPr>
            <w:tcW w:w="2325" w:type="dxa"/>
            <w:noWrap/>
            <w:vAlign w:val="center"/>
          </w:tcPr>
          <w:p w14:paraId="38A871C9">
            <w:pPr>
              <w:jc w:val="center"/>
              <w:rPr>
                <w:rFonts w:ascii="宋体" w:hAnsi="宋体" w:cs="宋体"/>
                <w:color w:val="auto"/>
                <w:kern w:val="0"/>
                <w:szCs w:val="21"/>
                <w:highlight w:val="none"/>
              </w:rPr>
            </w:pPr>
            <w:r>
              <w:rPr>
                <w:rFonts w:hint="eastAsia" w:ascii="宋体" w:hAnsi="宋体" w:cs="宋体"/>
                <w:color w:val="auto"/>
                <w:kern w:val="0"/>
                <w:szCs w:val="21"/>
                <w:highlight w:val="none"/>
              </w:rPr>
              <w:t>18057779630</w:t>
            </w:r>
          </w:p>
        </w:tc>
      </w:tr>
      <w:tr w14:paraId="51D7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noWrap/>
            <w:vAlign w:val="center"/>
          </w:tcPr>
          <w:p w14:paraId="752A6E2C">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宁波银行股份有限公司温州分行</w:t>
            </w:r>
          </w:p>
        </w:tc>
        <w:tc>
          <w:tcPr>
            <w:tcW w:w="9660" w:type="dxa"/>
            <w:noWrap/>
            <w:vAlign w:val="center"/>
          </w:tcPr>
          <w:p w14:paraId="6D84C780">
            <w:pPr>
              <w:rPr>
                <w:rFonts w:ascii="宋体" w:hAnsi="宋体" w:cs="宋体"/>
                <w:color w:val="auto"/>
                <w:szCs w:val="21"/>
                <w:highlight w:val="none"/>
              </w:rPr>
            </w:pPr>
            <w:r>
              <w:rPr>
                <w:rFonts w:hint="eastAsia" w:ascii="宋体" w:hAnsi="宋体" w:cs="宋体"/>
                <w:color w:val="auto"/>
                <w:kern w:val="0"/>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245" w:type="dxa"/>
            <w:noWrap/>
            <w:vAlign w:val="center"/>
          </w:tcPr>
          <w:p w14:paraId="2FCF42E6">
            <w:pPr>
              <w:jc w:val="center"/>
              <w:rPr>
                <w:rFonts w:ascii="宋体" w:hAnsi="宋体" w:cs="宋体"/>
                <w:color w:val="auto"/>
                <w:szCs w:val="21"/>
                <w:highlight w:val="none"/>
              </w:rPr>
            </w:pPr>
            <w:r>
              <w:rPr>
                <w:rFonts w:hint="eastAsia" w:ascii="宋体" w:hAnsi="宋体" w:cs="宋体"/>
                <w:color w:val="auto"/>
                <w:szCs w:val="21"/>
                <w:highlight w:val="none"/>
              </w:rPr>
              <w:t>陈经理</w:t>
            </w:r>
          </w:p>
        </w:tc>
        <w:tc>
          <w:tcPr>
            <w:tcW w:w="2325" w:type="dxa"/>
            <w:noWrap/>
            <w:vAlign w:val="center"/>
          </w:tcPr>
          <w:p w14:paraId="08FF85FA">
            <w:pPr>
              <w:jc w:val="center"/>
              <w:rPr>
                <w:rFonts w:ascii="宋体" w:hAnsi="宋体" w:cs="宋体"/>
                <w:color w:val="auto"/>
                <w:kern w:val="0"/>
                <w:szCs w:val="21"/>
                <w:highlight w:val="none"/>
              </w:rPr>
            </w:pPr>
            <w:r>
              <w:rPr>
                <w:rFonts w:hint="eastAsia" w:ascii="宋体" w:hAnsi="宋体" w:cs="宋体"/>
                <w:color w:val="auto"/>
                <w:kern w:val="0"/>
                <w:szCs w:val="21"/>
                <w:highlight w:val="none"/>
              </w:rPr>
              <w:t>0577－88007377</w:t>
            </w:r>
          </w:p>
          <w:p w14:paraId="736C900C">
            <w:pPr>
              <w:jc w:val="center"/>
              <w:rPr>
                <w:rFonts w:ascii="宋体" w:hAnsi="宋体" w:cs="宋体"/>
                <w:color w:val="auto"/>
                <w:kern w:val="0"/>
                <w:szCs w:val="21"/>
                <w:highlight w:val="none"/>
              </w:rPr>
            </w:pPr>
          </w:p>
        </w:tc>
      </w:tr>
      <w:tr w14:paraId="671B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noWrap/>
            <w:vAlign w:val="center"/>
          </w:tcPr>
          <w:p w14:paraId="3DBC8102">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杭州银行股份有限公司温州分行</w:t>
            </w:r>
          </w:p>
        </w:tc>
        <w:tc>
          <w:tcPr>
            <w:tcW w:w="9660" w:type="dxa"/>
            <w:noWrap/>
            <w:vAlign w:val="center"/>
          </w:tcPr>
          <w:p w14:paraId="0BFF359E">
            <w:pPr>
              <w:rPr>
                <w:rFonts w:ascii="宋体" w:hAnsi="宋体" w:cs="宋体"/>
                <w:bCs/>
                <w:color w:val="auto"/>
                <w:szCs w:val="21"/>
                <w:highlight w:val="none"/>
              </w:rPr>
            </w:pPr>
            <w:r>
              <w:rPr>
                <w:rFonts w:hint="eastAsia" w:ascii="宋体" w:hAnsi="宋体" w:cs="宋体"/>
                <w:bCs/>
                <w:color w:val="auto"/>
                <w:szCs w:val="21"/>
                <w:highlight w:val="none"/>
              </w:rPr>
              <w:t>门槛低：纯信用，平台注册入库并取得采购合同即可申请</w:t>
            </w:r>
          </w:p>
          <w:p w14:paraId="119877F7">
            <w:pPr>
              <w:rPr>
                <w:rFonts w:ascii="宋体" w:hAnsi="宋体" w:cs="宋体"/>
                <w:bCs/>
                <w:color w:val="auto"/>
                <w:szCs w:val="21"/>
                <w:highlight w:val="none"/>
              </w:rPr>
            </w:pPr>
            <w:r>
              <w:rPr>
                <w:rFonts w:hint="eastAsia" w:ascii="宋体" w:hAnsi="宋体" w:cs="宋体"/>
                <w:bCs/>
                <w:color w:val="auto"/>
                <w:szCs w:val="21"/>
                <w:highlight w:val="none"/>
              </w:rPr>
              <w:t>手续简：线上申请+线上签约，足不出户</w:t>
            </w:r>
          </w:p>
          <w:p w14:paraId="385C44A5">
            <w:pPr>
              <w:rPr>
                <w:rFonts w:ascii="宋体" w:hAnsi="宋体" w:cs="宋体"/>
                <w:bCs/>
                <w:color w:val="auto"/>
                <w:szCs w:val="21"/>
                <w:highlight w:val="none"/>
              </w:rPr>
            </w:pPr>
            <w:r>
              <w:rPr>
                <w:rFonts w:hint="eastAsia" w:ascii="宋体" w:hAnsi="宋体" w:cs="宋体"/>
                <w:bCs/>
                <w:color w:val="auto"/>
                <w:szCs w:val="21"/>
                <w:highlight w:val="none"/>
              </w:rPr>
              <w:t>利率优：按优于一般中小企业贷款利率执行</w:t>
            </w:r>
          </w:p>
          <w:p w14:paraId="48321FBC">
            <w:pPr>
              <w:rPr>
                <w:rFonts w:ascii="宋体" w:hAnsi="宋体" w:cs="宋体"/>
                <w:color w:val="auto"/>
                <w:szCs w:val="21"/>
                <w:highlight w:val="none"/>
              </w:rPr>
            </w:pPr>
            <w:r>
              <w:rPr>
                <w:rFonts w:hint="eastAsia" w:ascii="宋体" w:hAnsi="宋体" w:cs="宋体"/>
                <w:bCs/>
                <w:color w:val="auto"/>
                <w:szCs w:val="21"/>
                <w:highlight w:val="none"/>
              </w:rPr>
              <w:t>额度高：最高为合同金额的80%</w:t>
            </w:r>
          </w:p>
        </w:tc>
        <w:tc>
          <w:tcPr>
            <w:tcW w:w="1245" w:type="dxa"/>
            <w:noWrap/>
            <w:vAlign w:val="center"/>
          </w:tcPr>
          <w:p w14:paraId="0922EB26">
            <w:pPr>
              <w:jc w:val="center"/>
              <w:rPr>
                <w:rFonts w:ascii="宋体" w:hAnsi="宋体" w:cs="宋体"/>
                <w:color w:val="auto"/>
                <w:szCs w:val="21"/>
                <w:highlight w:val="none"/>
              </w:rPr>
            </w:pPr>
            <w:r>
              <w:rPr>
                <w:rFonts w:hint="eastAsia" w:ascii="宋体" w:hAnsi="宋体" w:cs="宋体"/>
                <w:color w:val="auto"/>
                <w:szCs w:val="21"/>
                <w:highlight w:val="none"/>
              </w:rPr>
              <w:t>叶经理</w:t>
            </w:r>
          </w:p>
        </w:tc>
        <w:tc>
          <w:tcPr>
            <w:tcW w:w="2325" w:type="dxa"/>
            <w:noWrap/>
            <w:vAlign w:val="center"/>
          </w:tcPr>
          <w:p w14:paraId="118226FB">
            <w:pPr>
              <w:jc w:val="center"/>
              <w:rPr>
                <w:rFonts w:ascii="宋体" w:hAnsi="宋体" w:cs="宋体"/>
                <w:color w:val="auto"/>
                <w:kern w:val="0"/>
                <w:szCs w:val="21"/>
                <w:highlight w:val="none"/>
              </w:rPr>
            </w:pPr>
            <w:r>
              <w:rPr>
                <w:rFonts w:hint="eastAsia" w:ascii="宋体" w:hAnsi="宋体" w:cs="宋体"/>
                <w:color w:val="auto"/>
                <w:kern w:val="0"/>
                <w:szCs w:val="21"/>
                <w:highlight w:val="none"/>
              </w:rPr>
              <w:t>0577-88008933</w:t>
            </w:r>
          </w:p>
        </w:tc>
      </w:tr>
      <w:tr w14:paraId="4CA2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noWrap/>
            <w:vAlign w:val="center"/>
          </w:tcPr>
          <w:p w14:paraId="3F4FB30F">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招商银行股份有限公司温州分行</w:t>
            </w:r>
          </w:p>
        </w:tc>
        <w:tc>
          <w:tcPr>
            <w:tcW w:w="9660" w:type="dxa"/>
            <w:noWrap/>
            <w:vAlign w:val="center"/>
          </w:tcPr>
          <w:p w14:paraId="4F5A1715">
            <w:pPr>
              <w:rPr>
                <w:rFonts w:ascii="宋体" w:hAnsi="宋体" w:cs="宋体"/>
                <w:color w:val="auto"/>
                <w:szCs w:val="21"/>
                <w:highlight w:val="none"/>
              </w:rPr>
            </w:pPr>
            <w:r>
              <w:rPr>
                <w:rFonts w:hint="eastAsia" w:ascii="宋体" w:hAnsi="宋体" w:cs="宋体"/>
                <w:color w:val="auto"/>
                <w:szCs w:val="21"/>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245" w:type="dxa"/>
            <w:noWrap/>
            <w:vAlign w:val="center"/>
          </w:tcPr>
          <w:p w14:paraId="4475BC17">
            <w:pPr>
              <w:jc w:val="center"/>
              <w:rPr>
                <w:rFonts w:ascii="宋体" w:hAnsi="宋体" w:cs="宋体"/>
                <w:color w:val="auto"/>
                <w:szCs w:val="21"/>
                <w:highlight w:val="none"/>
              </w:rPr>
            </w:pPr>
            <w:r>
              <w:rPr>
                <w:rFonts w:hint="eastAsia" w:ascii="宋体" w:hAnsi="宋体" w:cs="宋体"/>
                <w:color w:val="auto"/>
                <w:szCs w:val="21"/>
                <w:highlight w:val="none"/>
              </w:rPr>
              <w:t>陈经理</w:t>
            </w:r>
          </w:p>
        </w:tc>
        <w:tc>
          <w:tcPr>
            <w:tcW w:w="2325" w:type="dxa"/>
            <w:noWrap/>
            <w:vAlign w:val="center"/>
          </w:tcPr>
          <w:p w14:paraId="7A3B3084">
            <w:pPr>
              <w:jc w:val="center"/>
              <w:rPr>
                <w:rFonts w:ascii="宋体" w:hAnsi="宋体" w:cs="宋体"/>
                <w:color w:val="auto"/>
                <w:kern w:val="0"/>
                <w:szCs w:val="21"/>
                <w:highlight w:val="none"/>
              </w:rPr>
            </w:pPr>
            <w:r>
              <w:rPr>
                <w:rFonts w:hint="eastAsia" w:ascii="宋体" w:hAnsi="宋体" w:cs="宋体"/>
                <w:color w:val="auto"/>
                <w:kern w:val="0"/>
                <w:szCs w:val="21"/>
                <w:highlight w:val="none"/>
              </w:rPr>
              <w:t>0577-88056876</w:t>
            </w:r>
          </w:p>
          <w:p w14:paraId="732A0C09">
            <w:pPr>
              <w:jc w:val="center"/>
              <w:rPr>
                <w:rFonts w:ascii="宋体" w:hAnsi="宋体" w:cs="宋体"/>
                <w:color w:val="auto"/>
                <w:kern w:val="0"/>
                <w:szCs w:val="21"/>
                <w:highlight w:val="none"/>
              </w:rPr>
            </w:pPr>
          </w:p>
        </w:tc>
      </w:tr>
      <w:tr w14:paraId="07BD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noWrap/>
            <w:vAlign w:val="center"/>
          </w:tcPr>
          <w:p w14:paraId="753AF378">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兴业银行股份有限公司温州分行</w:t>
            </w:r>
          </w:p>
        </w:tc>
        <w:tc>
          <w:tcPr>
            <w:tcW w:w="9660" w:type="dxa"/>
            <w:noWrap/>
            <w:vAlign w:val="center"/>
          </w:tcPr>
          <w:p w14:paraId="08FDA614">
            <w:pPr>
              <w:pStyle w:val="30"/>
              <w:spacing w:line="240" w:lineRule="auto"/>
              <w:ind w:firstLine="0" w:firstLineChars="0"/>
              <w:jc w:val="both"/>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245" w:type="dxa"/>
            <w:noWrap/>
            <w:vAlign w:val="center"/>
          </w:tcPr>
          <w:p w14:paraId="4601FCB2">
            <w:pPr>
              <w:jc w:val="center"/>
              <w:rPr>
                <w:rFonts w:ascii="宋体" w:hAnsi="宋体" w:cs="宋体"/>
                <w:color w:val="auto"/>
                <w:szCs w:val="21"/>
                <w:highlight w:val="none"/>
              </w:rPr>
            </w:pPr>
            <w:r>
              <w:rPr>
                <w:rFonts w:hint="eastAsia" w:ascii="宋体" w:hAnsi="宋体" w:cs="宋体"/>
                <w:color w:val="auto"/>
                <w:szCs w:val="21"/>
                <w:highlight w:val="none"/>
              </w:rPr>
              <w:t>张经理</w:t>
            </w:r>
          </w:p>
          <w:p w14:paraId="0DDE3B7A">
            <w:pPr>
              <w:jc w:val="center"/>
              <w:rPr>
                <w:rFonts w:ascii="宋体" w:hAnsi="宋体" w:cs="宋体"/>
                <w:color w:val="auto"/>
                <w:szCs w:val="21"/>
                <w:highlight w:val="none"/>
              </w:rPr>
            </w:pPr>
            <w:r>
              <w:rPr>
                <w:rFonts w:hint="eastAsia" w:ascii="宋体" w:hAnsi="宋体" w:cs="宋体"/>
                <w:color w:val="auto"/>
                <w:szCs w:val="21"/>
                <w:highlight w:val="none"/>
              </w:rPr>
              <w:t>陈经理</w:t>
            </w:r>
          </w:p>
        </w:tc>
        <w:tc>
          <w:tcPr>
            <w:tcW w:w="2325" w:type="dxa"/>
            <w:noWrap/>
            <w:vAlign w:val="center"/>
          </w:tcPr>
          <w:p w14:paraId="634855ED">
            <w:pPr>
              <w:pStyle w:val="30"/>
              <w:spacing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0577-88369368/13857713118</w:t>
            </w:r>
          </w:p>
          <w:p w14:paraId="7BECE3A7">
            <w:pPr>
              <w:pStyle w:val="30"/>
              <w:spacing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0577-56969696-526506</w:t>
            </w:r>
          </w:p>
        </w:tc>
      </w:tr>
      <w:tr w14:paraId="725F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noWrap/>
            <w:vAlign w:val="center"/>
          </w:tcPr>
          <w:p w14:paraId="1C7E45C6">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温州银行股份有限公司温州分行</w:t>
            </w:r>
          </w:p>
        </w:tc>
        <w:tc>
          <w:tcPr>
            <w:tcW w:w="9660" w:type="dxa"/>
            <w:noWrap/>
            <w:vAlign w:val="center"/>
          </w:tcPr>
          <w:p w14:paraId="32F9FB24">
            <w:pPr>
              <w:rPr>
                <w:rFonts w:ascii="宋体" w:hAnsi="宋体" w:cs="宋体"/>
                <w:bCs/>
                <w:color w:val="auto"/>
                <w:kern w:val="0"/>
                <w:szCs w:val="21"/>
                <w:highlight w:val="none"/>
              </w:rPr>
            </w:pPr>
            <w:r>
              <w:rPr>
                <w:rFonts w:hint="eastAsia" w:ascii="宋体" w:hAnsi="宋体" w:cs="宋体"/>
                <w:bCs/>
                <w:color w:val="auto"/>
                <w:kern w:val="0"/>
                <w:szCs w:val="21"/>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245" w:type="dxa"/>
            <w:noWrap/>
            <w:vAlign w:val="center"/>
          </w:tcPr>
          <w:p w14:paraId="1DC7E725">
            <w:pPr>
              <w:jc w:val="center"/>
              <w:rPr>
                <w:rFonts w:ascii="宋体" w:hAnsi="宋体" w:cs="宋体"/>
                <w:color w:val="auto"/>
                <w:kern w:val="0"/>
                <w:szCs w:val="21"/>
                <w:highlight w:val="none"/>
              </w:rPr>
            </w:pPr>
            <w:r>
              <w:rPr>
                <w:rFonts w:hint="eastAsia" w:ascii="宋体" w:hAnsi="宋体" w:cs="宋体"/>
                <w:color w:val="auto"/>
                <w:kern w:val="0"/>
                <w:szCs w:val="21"/>
                <w:highlight w:val="none"/>
              </w:rPr>
              <w:t>陈经理</w:t>
            </w:r>
          </w:p>
        </w:tc>
        <w:tc>
          <w:tcPr>
            <w:tcW w:w="2325" w:type="dxa"/>
            <w:noWrap/>
            <w:vAlign w:val="center"/>
          </w:tcPr>
          <w:p w14:paraId="4790F82F">
            <w:pPr>
              <w:jc w:val="center"/>
              <w:rPr>
                <w:rFonts w:ascii="宋体" w:hAnsi="宋体" w:cs="宋体"/>
                <w:color w:val="auto"/>
                <w:kern w:val="0"/>
                <w:szCs w:val="21"/>
                <w:highlight w:val="none"/>
              </w:rPr>
            </w:pPr>
            <w:r>
              <w:rPr>
                <w:rFonts w:hint="eastAsia" w:ascii="宋体" w:hAnsi="宋体" w:cs="宋体"/>
                <w:color w:val="auto"/>
                <w:kern w:val="0"/>
                <w:szCs w:val="21"/>
                <w:highlight w:val="none"/>
              </w:rPr>
              <w:t>13736355866</w:t>
            </w:r>
          </w:p>
        </w:tc>
      </w:tr>
      <w:tr w14:paraId="361C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noWrap/>
            <w:vAlign w:val="center"/>
          </w:tcPr>
          <w:p w14:paraId="035937D3">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温州银行股份有限公司鹿城分行</w:t>
            </w:r>
          </w:p>
        </w:tc>
        <w:tc>
          <w:tcPr>
            <w:tcW w:w="9660" w:type="dxa"/>
            <w:noWrap/>
            <w:vAlign w:val="center"/>
          </w:tcPr>
          <w:p w14:paraId="54E43A67">
            <w:pPr>
              <w:rPr>
                <w:rFonts w:ascii="宋体" w:hAnsi="宋体" w:cs="宋体"/>
                <w:color w:val="auto"/>
                <w:szCs w:val="21"/>
                <w:highlight w:val="none"/>
              </w:rPr>
            </w:pPr>
            <w:r>
              <w:rPr>
                <w:rFonts w:hint="eastAsia" w:ascii="宋体" w:hAnsi="宋体" w:cs="宋体"/>
                <w:color w:val="auto"/>
                <w:szCs w:val="21"/>
                <w:highlight w:val="none"/>
              </w:rPr>
              <w:t>政采订单贷：1、面向政府采购项目供应商，满足供应商资金周转需求，凭中标通知书即可申请，2、秒知额高，最高可贷500万元，单笔业务金额可贷中标金额的80%，</w:t>
            </w:r>
          </w:p>
          <w:p w14:paraId="428D85E4">
            <w:pPr>
              <w:pStyle w:val="31"/>
              <w:ind w:left="5" w:firstLine="0" w:firstLineChars="0"/>
              <w:rPr>
                <w:rFonts w:ascii="宋体" w:hAnsi="宋体" w:cs="宋体"/>
                <w:color w:val="auto"/>
                <w:szCs w:val="21"/>
                <w:highlight w:val="none"/>
              </w:rPr>
            </w:pPr>
            <w:r>
              <w:rPr>
                <w:rFonts w:hint="eastAsia" w:ascii="宋体" w:hAnsi="宋体" w:cs="宋体"/>
                <w:color w:val="auto"/>
                <w:szCs w:val="21"/>
                <w:highlight w:val="none"/>
              </w:rPr>
              <w:t>最长期限可贷1年。信保贷：1、额度最高可达500万元</w:t>
            </w:r>
          </w:p>
          <w:p w14:paraId="264BDA4E">
            <w:pPr>
              <w:rPr>
                <w:rFonts w:ascii="宋体" w:hAnsi="宋体" w:cs="宋体"/>
                <w:color w:val="auto"/>
                <w:szCs w:val="21"/>
                <w:highlight w:val="none"/>
              </w:rPr>
            </w:pPr>
            <w:r>
              <w:rPr>
                <w:rFonts w:hint="eastAsia" w:ascii="宋体" w:hAnsi="宋体" w:cs="宋体"/>
                <w:color w:val="auto"/>
                <w:szCs w:val="21"/>
                <w:highlight w:val="none"/>
              </w:rPr>
              <w:t>2、担保灵活，信用贷款3、贷款年利率至少可享受本单位一般性中小企业信用贷款利率基础上下浮10 %</w:t>
            </w:r>
          </w:p>
        </w:tc>
        <w:tc>
          <w:tcPr>
            <w:tcW w:w="1245" w:type="dxa"/>
            <w:noWrap/>
            <w:vAlign w:val="center"/>
          </w:tcPr>
          <w:p w14:paraId="3BB4091F">
            <w:pPr>
              <w:jc w:val="center"/>
              <w:rPr>
                <w:rFonts w:ascii="宋体" w:hAnsi="宋体" w:cs="宋体"/>
                <w:color w:val="auto"/>
                <w:kern w:val="0"/>
                <w:szCs w:val="21"/>
                <w:highlight w:val="none"/>
              </w:rPr>
            </w:pPr>
            <w:r>
              <w:rPr>
                <w:rFonts w:hint="eastAsia" w:ascii="宋体" w:hAnsi="宋体" w:cs="宋体"/>
                <w:color w:val="auto"/>
                <w:kern w:val="0"/>
                <w:szCs w:val="21"/>
                <w:highlight w:val="none"/>
              </w:rPr>
              <w:t>戴经理</w:t>
            </w:r>
          </w:p>
        </w:tc>
        <w:tc>
          <w:tcPr>
            <w:tcW w:w="2325" w:type="dxa"/>
            <w:noWrap/>
            <w:vAlign w:val="center"/>
          </w:tcPr>
          <w:p w14:paraId="53247812">
            <w:pPr>
              <w:jc w:val="center"/>
              <w:rPr>
                <w:rFonts w:ascii="宋体" w:hAnsi="宋体" w:cs="宋体"/>
                <w:color w:val="auto"/>
                <w:kern w:val="0"/>
                <w:szCs w:val="21"/>
                <w:highlight w:val="none"/>
              </w:rPr>
            </w:pPr>
            <w:r>
              <w:rPr>
                <w:rFonts w:hint="eastAsia" w:ascii="宋体" w:hAnsi="宋体" w:cs="宋体"/>
                <w:color w:val="auto"/>
                <w:kern w:val="0"/>
                <w:szCs w:val="21"/>
                <w:highlight w:val="none"/>
              </w:rPr>
              <w:t>13605772302</w:t>
            </w:r>
          </w:p>
        </w:tc>
      </w:tr>
      <w:tr w14:paraId="7D5D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noWrap/>
            <w:vAlign w:val="center"/>
          </w:tcPr>
          <w:p w14:paraId="0612D9B5">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交通银行股份有限公司温州分行</w:t>
            </w:r>
          </w:p>
        </w:tc>
        <w:tc>
          <w:tcPr>
            <w:tcW w:w="9660" w:type="dxa"/>
            <w:noWrap/>
            <w:vAlign w:val="center"/>
          </w:tcPr>
          <w:p w14:paraId="55B71A20">
            <w:pPr>
              <w:autoSpaceDE w:val="0"/>
              <w:autoSpaceDN w:val="0"/>
              <w:adjustRightInd w:val="0"/>
              <w:rPr>
                <w:rFonts w:ascii="宋体" w:hAnsi="宋体" w:cs="宋体"/>
                <w:color w:val="auto"/>
                <w:kern w:val="0"/>
                <w:szCs w:val="21"/>
                <w:highlight w:val="none"/>
              </w:rPr>
            </w:pPr>
            <w:r>
              <w:rPr>
                <w:rFonts w:hint="eastAsia" w:ascii="宋体" w:hAnsi="宋体" w:cs="宋体"/>
                <w:color w:val="auto"/>
                <w:kern w:val="0"/>
                <w:szCs w:val="21"/>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245" w:type="dxa"/>
            <w:noWrap/>
            <w:vAlign w:val="center"/>
          </w:tcPr>
          <w:p w14:paraId="6108707E">
            <w:pPr>
              <w:jc w:val="center"/>
              <w:rPr>
                <w:rFonts w:ascii="宋体" w:hAnsi="宋体" w:cs="宋体"/>
                <w:color w:val="auto"/>
                <w:szCs w:val="21"/>
                <w:highlight w:val="none"/>
              </w:rPr>
            </w:pPr>
            <w:r>
              <w:rPr>
                <w:rFonts w:hint="eastAsia" w:ascii="宋体" w:hAnsi="宋体" w:cs="宋体"/>
                <w:color w:val="auto"/>
                <w:szCs w:val="21"/>
                <w:highlight w:val="none"/>
              </w:rPr>
              <w:t>缪经理</w:t>
            </w:r>
          </w:p>
        </w:tc>
        <w:tc>
          <w:tcPr>
            <w:tcW w:w="2325" w:type="dxa"/>
            <w:noWrap/>
            <w:vAlign w:val="center"/>
          </w:tcPr>
          <w:p w14:paraId="07C31FFF">
            <w:pPr>
              <w:jc w:val="center"/>
              <w:rPr>
                <w:rFonts w:ascii="宋体" w:hAnsi="宋体" w:cs="宋体"/>
                <w:color w:val="auto"/>
                <w:szCs w:val="21"/>
                <w:highlight w:val="none"/>
              </w:rPr>
            </w:pPr>
            <w:r>
              <w:rPr>
                <w:rFonts w:hint="eastAsia" w:ascii="宋体" w:hAnsi="宋体" w:cs="宋体"/>
                <w:color w:val="auto"/>
                <w:kern w:val="0"/>
                <w:szCs w:val="21"/>
                <w:highlight w:val="none"/>
              </w:rPr>
              <w:t>0577-88248454</w:t>
            </w:r>
          </w:p>
        </w:tc>
      </w:tr>
      <w:tr w14:paraId="5AAA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009" w:type="dxa"/>
            <w:noWrap/>
            <w:vAlign w:val="center"/>
          </w:tcPr>
          <w:p w14:paraId="1533CF72">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上海浦东发展银行股份有限公司温州分行</w:t>
            </w:r>
          </w:p>
        </w:tc>
        <w:tc>
          <w:tcPr>
            <w:tcW w:w="9660" w:type="dxa"/>
            <w:noWrap/>
            <w:vAlign w:val="center"/>
          </w:tcPr>
          <w:p w14:paraId="3351EDAD">
            <w:pPr>
              <w:rPr>
                <w:rFonts w:ascii="宋体" w:hAnsi="宋体" w:cs="宋体"/>
                <w:bCs/>
                <w:color w:val="auto"/>
                <w:kern w:val="0"/>
                <w:szCs w:val="21"/>
                <w:highlight w:val="none"/>
              </w:rPr>
            </w:pPr>
            <w:r>
              <w:rPr>
                <w:rFonts w:hint="eastAsia" w:ascii="宋体" w:hAnsi="宋体" w:cs="宋体"/>
                <w:bCs/>
                <w:color w:val="auto"/>
                <w:kern w:val="0"/>
                <w:szCs w:val="21"/>
                <w:highlight w:val="none"/>
              </w:rPr>
              <w:t>政采e贷：是浦发银行面向温州地区经营状况良好的小微企业政府采购项目供应商所提供的专属政府采购订单融资产品。产品特点：纯信用、免担保、门槛低、授信快、在线贷、秒放款</w:t>
            </w:r>
          </w:p>
          <w:p w14:paraId="6DD1F4DD">
            <w:pPr>
              <w:shd w:val="clear" w:color="auto" w:fill="FFFFFF"/>
              <w:rPr>
                <w:rFonts w:ascii="宋体" w:hAnsi="宋体" w:cs="宋体"/>
                <w:color w:val="auto"/>
                <w:szCs w:val="21"/>
                <w:highlight w:val="none"/>
              </w:rPr>
            </w:pPr>
            <w:r>
              <w:rPr>
                <w:rFonts w:hint="eastAsia" w:ascii="宋体" w:hAnsi="宋体" w:cs="宋体"/>
                <w:bCs/>
                <w:color w:val="auto"/>
                <w:kern w:val="0"/>
                <w:szCs w:val="21"/>
                <w:highlight w:val="none"/>
              </w:rPr>
              <w:t>所需材料：企业基础证件、相关中标文件（中标通知书 、采购合同等）、其他必要文件</w:t>
            </w:r>
          </w:p>
        </w:tc>
        <w:tc>
          <w:tcPr>
            <w:tcW w:w="1245" w:type="dxa"/>
            <w:noWrap/>
            <w:vAlign w:val="center"/>
          </w:tcPr>
          <w:p w14:paraId="03D6EFD5">
            <w:pPr>
              <w:jc w:val="center"/>
              <w:rPr>
                <w:rFonts w:ascii="宋体" w:hAnsi="宋体" w:cs="宋体"/>
                <w:color w:val="auto"/>
                <w:kern w:val="0"/>
                <w:szCs w:val="21"/>
                <w:highlight w:val="none"/>
              </w:rPr>
            </w:pPr>
            <w:r>
              <w:rPr>
                <w:rFonts w:hint="eastAsia" w:ascii="宋体" w:hAnsi="宋体" w:cs="宋体"/>
                <w:color w:val="auto"/>
                <w:kern w:val="0"/>
                <w:szCs w:val="21"/>
                <w:highlight w:val="none"/>
              </w:rPr>
              <w:t>叶经理</w:t>
            </w:r>
          </w:p>
        </w:tc>
        <w:tc>
          <w:tcPr>
            <w:tcW w:w="2325" w:type="dxa"/>
            <w:noWrap/>
            <w:vAlign w:val="center"/>
          </w:tcPr>
          <w:p w14:paraId="178B2CDE">
            <w:pPr>
              <w:jc w:val="center"/>
              <w:rPr>
                <w:rFonts w:ascii="宋体" w:hAnsi="宋体" w:cs="宋体"/>
                <w:color w:val="auto"/>
                <w:kern w:val="0"/>
                <w:szCs w:val="21"/>
                <w:highlight w:val="none"/>
              </w:rPr>
            </w:pPr>
            <w:r>
              <w:rPr>
                <w:rFonts w:hint="eastAsia" w:ascii="宋体" w:hAnsi="宋体" w:cs="宋体"/>
                <w:color w:val="auto"/>
                <w:kern w:val="0"/>
                <w:szCs w:val="21"/>
                <w:highlight w:val="none"/>
              </w:rPr>
              <w:t>0577-55570829</w:t>
            </w:r>
          </w:p>
          <w:p w14:paraId="58DDA69C">
            <w:pPr>
              <w:jc w:val="center"/>
              <w:rPr>
                <w:rFonts w:ascii="宋体" w:hAnsi="宋体" w:cs="宋体"/>
                <w:color w:val="auto"/>
                <w:kern w:val="0"/>
                <w:szCs w:val="21"/>
                <w:highlight w:val="none"/>
              </w:rPr>
            </w:pPr>
          </w:p>
        </w:tc>
      </w:tr>
    </w:tbl>
    <w:p w14:paraId="40F80EE5">
      <w:pPr>
        <w:pStyle w:val="11"/>
        <w:ind w:left="420" w:hanging="420"/>
        <w:rPr>
          <w:rFonts w:ascii="宋体" w:hAnsi="宋体" w:cs="宋体"/>
          <w:color w:val="auto"/>
          <w:sz w:val="21"/>
          <w:szCs w:val="21"/>
          <w:highlight w:val="none"/>
        </w:rPr>
        <w:sectPr>
          <w:pgSz w:w="16838" w:h="11906" w:orient="landscape"/>
          <w:pgMar w:top="1531" w:right="1440" w:bottom="1304" w:left="1089" w:header="851" w:footer="992" w:gutter="0"/>
          <w:pgNumType w:fmt="decimal"/>
          <w:cols w:space="720" w:num="1"/>
          <w:docGrid w:linePitch="312" w:charSpace="0"/>
        </w:sectPr>
      </w:pPr>
    </w:p>
    <w:p w14:paraId="668EFB06">
      <w:pPr>
        <w:jc w:val="center"/>
        <w:rPr>
          <w:rFonts w:ascii="宋体" w:hAnsi="宋体" w:cs="宋体"/>
          <w:color w:val="auto"/>
          <w:szCs w:val="21"/>
          <w:highlight w:val="none"/>
        </w:rPr>
      </w:pPr>
      <w:r>
        <w:rPr>
          <w:rFonts w:hint="eastAsia" w:ascii="宋体" w:hAnsi="宋体" w:cs="宋体"/>
          <w:color w:val="auto"/>
          <w:szCs w:val="21"/>
          <w:highlight w:val="none"/>
        </w:rPr>
        <w:t>温州市政府采购信用融资意向银行选择表</w:t>
      </w:r>
    </w:p>
    <w:p w14:paraId="35CEBF4D">
      <w:pPr>
        <w:jc w:val="center"/>
        <w:rPr>
          <w:rFonts w:ascii="宋体" w:hAnsi="宋体" w:cs="宋体"/>
          <w:color w:val="auto"/>
          <w:szCs w:val="21"/>
          <w:highlight w:val="none"/>
        </w:rPr>
      </w:pPr>
      <w:r>
        <w:rPr>
          <w:rFonts w:hint="eastAsia" w:ascii="宋体" w:hAnsi="宋体" w:cs="宋体"/>
          <w:color w:val="auto"/>
          <w:szCs w:val="21"/>
          <w:highlight w:val="none"/>
        </w:rPr>
        <w:t>（温州市供应商填写）</w:t>
      </w:r>
    </w:p>
    <w:tbl>
      <w:tblPr>
        <w:tblStyle w:val="2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570"/>
        <w:gridCol w:w="1607"/>
        <w:gridCol w:w="963"/>
        <w:gridCol w:w="1768"/>
        <w:gridCol w:w="861"/>
      </w:tblGrid>
      <w:tr w14:paraId="1176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90" w:type="dxa"/>
            <w:noWrap/>
            <w:vAlign w:val="center"/>
          </w:tcPr>
          <w:p w14:paraId="7F2028CD">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企业名称</w:t>
            </w:r>
          </w:p>
        </w:tc>
        <w:tc>
          <w:tcPr>
            <w:tcW w:w="7769" w:type="dxa"/>
            <w:gridSpan w:val="5"/>
            <w:noWrap/>
            <w:vAlign w:val="center"/>
          </w:tcPr>
          <w:p w14:paraId="4DCB37F2">
            <w:pPr>
              <w:pStyle w:val="30"/>
              <w:spacing w:line="360" w:lineRule="auto"/>
              <w:ind w:firstLine="0" w:firstLineChars="0"/>
              <w:jc w:val="both"/>
              <w:rPr>
                <w:rFonts w:ascii="宋体" w:hAnsi="宋体" w:eastAsia="宋体" w:cs="宋体"/>
                <w:color w:val="auto"/>
                <w:kern w:val="0"/>
                <w:sz w:val="21"/>
                <w:szCs w:val="21"/>
                <w:highlight w:val="none"/>
              </w:rPr>
            </w:pPr>
          </w:p>
        </w:tc>
      </w:tr>
      <w:tr w14:paraId="29C1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90" w:type="dxa"/>
            <w:noWrap/>
            <w:vAlign w:val="center"/>
          </w:tcPr>
          <w:p w14:paraId="5293ABDA">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企业注册地</w:t>
            </w:r>
          </w:p>
        </w:tc>
        <w:tc>
          <w:tcPr>
            <w:tcW w:w="4177" w:type="dxa"/>
            <w:gridSpan w:val="2"/>
            <w:noWrap/>
            <w:vAlign w:val="center"/>
          </w:tcPr>
          <w:p w14:paraId="287F7B51">
            <w:pPr>
              <w:pStyle w:val="30"/>
              <w:spacing w:line="360" w:lineRule="auto"/>
              <w:ind w:firstLine="0" w:firstLineChars="0"/>
              <w:jc w:val="both"/>
              <w:rPr>
                <w:rFonts w:ascii="宋体" w:hAnsi="宋体" w:eastAsia="宋体" w:cs="宋体"/>
                <w:color w:val="auto"/>
                <w:kern w:val="0"/>
                <w:sz w:val="21"/>
                <w:szCs w:val="21"/>
                <w:highlight w:val="none"/>
              </w:rPr>
            </w:pPr>
          </w:p>
        </w:tc>
        <w:tc>
          <w:tcPr>
            <w:tcW w:w="2731" w:type="dxa"/>
            <w:gridSpan w:val="2"/>
            <w:noWrap/>
            <w:vAlign w:val="center"/>
          </w:tcPr>
          <w:p w14:paraId="3C7F9B08">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是否有融资意向</w:t>
            </w:r>
          </w:p>
        </w:tc>
        <w:tc>
          <w:tcPr>
            <w:tcW w:w="861" w:type="dxa"/>
            <w:noWrap/>
            <w:vAlign w:val="center"/>
          </w:tcPr>
          <w:p w14:paraId="08D2733C">
            <w:pPr>
              <w:pStyle w:val="30"/>
              <w:spacing w:line="360" w:lineRule="auto"/>
              <w:ind w:firstLine="0" w:firstLineChars="0"/>
              <w:jc w:val="both"/>
              <w:rPr>
                <w:rFonts w:ascii="宋体" w:hAnsi="宋体" w:eastAsia="宋体" w:cs="宋体"/>
                <w:color w:val="auto"/>
                <w:kern w:val="0"/>
                <w:sz w:val="21"/>
                <w:szCs w:val="21"/>
                <w:highlight w:val="none"/>
              </w:rPr>
            </w:pPr>
          </w:p>
        </w:tc>
      </w:tr>
      <w:tr w14:paraId="3FB3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90" w:type="dxa"/>
            <w:noWrap/>
            <w:vAlign w:val="center"/>
          </w:tcPr>
          <w:p w14:paraId="7992D716">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融资联系人</w:t>
            </w:r>
          </w:p>
        </w:tc>
        <w:tc>
          <w:tcPr>
            <w:tcW w:w="2570" w:type="dxa"/>
            <w:noWrap/>
            <w:vAlign w:val="center"/>
          </w:tcPr>
          <w:p w14:paraId="2510DA8F">
            <w:pPr>
              <w:pStyle w:val="30"/>
              <w:spacing w:line="360" w:lineRule="auto"/>
              <w:ind w:firstLine="0" w:firstLineChars="0"/>
              <w:jc w:val="both"/>
              <w:rPr>
                <w:rFonts w:ascii="宋体" w:hAnsi="宋体" w:eastAsia="宋体" w:cs="宋体"/>
                <w:color w:val="auto"/>
                <w:kern w:val="0"/>
                <w:sz w:val="21"/>
                <w:szCs w:val="21"/>
                <w:highlight w:val="none"/>
              </w:rPr>
            </w:pPr>
          </w:p>
        </w:tc>
        <w:tc>
          <w:tcPr>
            <w:tcW w:w="2570" w:type="dxa"/>
            <w:gridSpan w:val="2"/>
            <w:noWrap/>
            <w:vAlign w:val="center"/>
          </w:tcPr>
          <w:p w14:paraId="7A7CDFAC">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tc>
        <w:tc>
          <w:tcPr>
            <w:tcW w:w="2629" w:type="dxa"/>
            <w:gridSpan w:val="2"/>
            <w:noWrap/>
            <w:vAlign w:val="center"/>
          </w:tcPr>
          <w:p w14:paraId="3771AE1B">
            <w:pPr>
              <w:pStyle w:val="30"/>
              <w:spacing w:line="360" w:lineRule="auto"/>
              <w:ind w:firstLine="0" w:firstLineChars="0"/>
              <w:jc w:val="both"/>
              <w:rPr>
                <w:rFonts w:ascii="宋体" w:hAnsi="宋体" w:eastAsia="宋体" w:cs="宋体"/>
                <w:color w:val="auto"/>
                <w:kern w:val="0"/>
                <w:sz w:val="21"/>
                <w:szCs w:val="21"/>
                <w:highlight w:val="none"/>
              </w:rPr>
            </w:pPr>
          </w:p>
        </w:tc>
      </w:tr>
      <w:tr w14:paraId="130B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030" w:type="dxa"/>
            <w:gridSpan w:val="4"/>
            <w:noWrap/>
            <w:vAlign w:val="center"/>
          </w:tcPr>
          <w:p w14:paraId="3451EFDE">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温州市政府采购信用融资合作银行</w:t>
            </w:r>
          </w:p>
        </w:tc>
        <w:tc>
          <w:tcPr>
            <w:tcW w:w="2629" w:type="dxa"/>
            <w:gridSpan w:val="2"/>
            <w:noWrap/>
            <w:vAlign w:val="center"/>
          </w:tcPr>
          <w:p w14:paraId="0E2704AE">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选择作为意向融资银行（可多选）</w:t>
            </w:r>
          </w:p>
        </w:tc>
      </w:tr>
      <w:tr w14:paraId="27F7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noWrap/>
            <w:vAlign w:val="center"/>
          </w:tcPr>
          <w:p w14:paraId="21514336">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温州银行股份有限公司温州分行</w:t>
            </w:r>
          </w:p>
        </w:tc>
        <w:tc>
          <w:tcPr>
            <w:tcW w:w="2629" w:type="dxa"/>
            <w:gridSpan w:val="2"/>
            <w:noWrap/>
            <w:vAlign w:val="center"/>
          </w:tcPr>
          <w:p w14:paraId="7AD0E632">
            <w:pPr>
              <w:pStyle w:val="30"/>
              <w:spacing w:line="360" w:lineRule="auto"/>
              <w:ind w:firstLine="0" w:firstLineChars="0"/>
              <w:jc w:val="both"/>
              <w:rPr>
                <w:rFonts w:ascii="宋体" w:hAnsi="宋体" w:eastAsia="宋体" w:cs="宋体"/>
                <w:color w:val="auto"/>
                <w:kern w:val="0"/>
                <w:sz w:val="21"/>
                <w:szCs w:val="21"/>
                <w:highlight w:val="none"/>
              </w:rPr>
            </w:pPr>
          </w:p>
        </w:tc>
      </w:tr>
      <w:tr w14:paraId="58AD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noWrap/>
            <w:vAlign w:val="center"/>
          </w:tcPr>
          <w:p w14:paraId="0686D5A0">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温州银行股份有限公司鹿城分行</w:t>
            </w:r>
          </w:p>
        </w:tc>
        <w:tc>
          <w:tcPr>
            <w:tcW w:w="2629" w:type="dxa"/>
            <w:gridSpan w:val="2"/>
            <w:noWrap/>
            <w:vAlign w:val="center"/>
          </w:tcPr>
          <w:p w14:paraId="33B4C631">
            <w:pPr>
              <w:pStyle w:val="30"/>
              <w:spacing w:line="360" w:lineRule="auto"/>
              <w:ind w:firstLine="0" w:firstLineChars="0"/>
              <w:jc w:val="both"/>
              <w:rPr>
                <w:rFonts w:ascii="宋体" w:hAnsi="宋体" w:eastAsia="宋体" w:cs="宋体"/>
                <w:color w:val="auto"/>
                <w:kern w:val="0"/>
                <w:sz w:val="21"/>
                <w:szCs w:val="21"/>
                <w:highlight w:val="none"/>
              </w:rPr>
            </w:pPr>
          </w:p>
        </w:tc>
      </w:tr>
      <w:tr w14:paraId="356A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noWrap/>
            <w:vAlign w:val="center"/>
          </w:tcPr>
          <w:p w14:paraId="777F0D9A">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中国工商银行股份有限公司温州分行</w:t>
            </w:r>
          </w:p>
        </w:tc>
        <w:tc>
          <w:tcPr>
            <w:tcW w:w="2629" w:type="dxa"/>
            <w:gridSpan w:val="2"/>
            <w:noWrap/>
            <w:vAlign w:val="center"/>
          </w:tcPr>
          <w:p w14:paraId="1FDCE4D1">
            <w:pPr>
              <w:pStyle w:val="30"/>
              <w:spacing w:line="360" w:lineRule="auto"/>
              <w:ind w:firstLine="0" w:firstLineChars="0"/>
              <w:jc w:val="both"/>
              <w:rPr>
                <w:rFonts w:ascii="宋体" w:hAnsi="宋体" w:eastAsia="宋体" w:cs="宋体"/>
                <w:color w:val="auto"/>
                <w:kern w:val="0"/>
                <w:sz w:val="21"/>
                <w:szCs w:val="21"/>
                <w:highlight w:val="none"/>
              </w:rPr>
            </w:pPr>
          </w:p>
        </w:tc>
      </w:tr>
      <w:tr w14:paraId="234B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030" w:type="dxa"/>
            <w:gridSpan w:val="4"/>
            <w:noWrap/>
            <w:vAlign w:val="center"/>
          </w:tcPr>
          <w:p w14:paraId="18ECEB8B">
            <w:pPr>
              <w:rPr>
                <w:rFonts w:ascii="宋体" w:hAnsi="宋体" w:cs="宋体"/>
                <w:color w:val="auto"/>
                <w:kern w:val="0"/>
                <w:szCs w:val="21"/>
                <w:highlight w:val="none"/>
              </w:rPr>
            </w:pPr>
            <w:r>
              <w:rPr>
                <w:rFonts w:hint="eastAsia" w:ascii="宋体" w:hAnsi="宋体" w:cs="宋体"/>
                <w:color w:val="auto"/>
                <w:kern w:val="0"/>
                <w:szCs w:val="21"/>
                <w:highlight w:val="none"/>
              </w:rPr>
              <w:t>中国建设银行股份有限公6司温州分行</w:t>
            </w:r>
          </w:p>
        </w:tc>
        <w:tc>
          <w:tcPr>
            <w:tcW w:w="2629" w:type="dxa"/>
            <w:gridSpan w:val="2"/>
            <w:noWrap/>
            <w:vAlign w:val="center"/>
          </w:tcPr>
          <w:p w14:paraId="74F6DC36">
            <w:pPr>
              <w:rPr>
                <w:rFonts w:ascii="宋体" w:hAnsi="宋体" w:cs="宋体"/>
                <w:color w:val="auto"/>
                <w:kern w:val="0"/>
                <w:szCs w:val="21"/>
                <w:highlight w:val="none"/>
              </w:rPr>
            </w:pPr>
          </w:p>
        </w:tc>
      </w:tr>
      <w:tr w14:paraId="6BE6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noWrap/>
            <w:vAlign w:val="center"/>
          </w:tcPr>
          <w:p w14:paraId="3C55ED14">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中国邮政储蓄银行股份有限公司温州市分行</w:t>
            </w:r>
          </w:p>
        </w:tc>
        <w:tc>
          <w:tcPr>
            <w:tcW w:w="2629" w:type="dxa"/>
            <w:gridSpan w:val="2"/>
            <w:noWrap/>
            <w:vAlign w:val="center"/>
          </w:tcPr>
          <w:p w14:paraId="37F9C7A4">
            <w:pPr>
              <w:pStyle w:val="30"/>
              <w:spacing w:line="360" w:lineRule="auto"/>
              <w:ind w:firstLine="0" w:firstLineChars="0"/>
              <w:jc w:val="both"/>
              <w:rPr>
                <w:rFonts w:ascii="宋体" w:hAnsi="宋体" w:eastAsia="宋体" w:cs="宋体"/>
                <w:color w:val="auto"/>
                <w:kern w:val="0"/>
                <w:sz w:val="21"/>
                <w:szCs w:val="21"/>
                <w:highlight w:val="none"/>
              </w:rPr>
            </w:pPr>
          </w:p>
        </w:tc>
      </w:tr>
      <w:tr w14:paraId="0591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noWrap/>
            <w:vAlign w:val="center"/>
          </w:tcPr>
          <w:p w14:paraId="3B439578">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中国民生银行股份有限公司温州分行</w:t>
            </w:r>
          </w:p>
        </w:tc>
        <w:tc>
          <w:tcPr>
            <w:tcW w:w="2629" w:type="dxa"/>
            <w:gridSpan w:val="2"/>
            <w:noWrap/>
            <w:vAlign w:val="center"/>
          </w:tcPr>
          <w:p w14:paraId="11307AB1">
            <w:pPr>
              <w:pStyle w:val="30"/>
              <w:spacing w:line="360" w:lineRule="auto"/>
              <w:ind w:firstLine="0" w:firstLineChars="0"/>
              <w:jc w:val="both"/>
              <w:rPr>
                <w:rFonts w:ascii="宋体" w:hAnsi="宋体" w:eastAsia="宋体" w:cs="宋体"/>
                <w:color w:val="auto"/>
                <w:kern w:val="0"/>
                <w:sz w:val="21"/>
                <w:szCs w:val="21"/>
                <w:highlight w:val="none"/>
              </w:rPr>
            </w:pPr>
          </w:p>
        </w:tc>
      </w:tr>
      <w:tr w14:paraId="36F6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noWrap/>
            <w:vAlign w:val="center"/>
          </w:tcPr>
          <w:p w14:paraId="40F85822">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宁波银行股份有限公司温州分行</w:t>
            </w:r>
          </w:p>
        </w:tc>
        <w:tc>
          <w:tcPr>
            <w:tcW w:w="2629" w:type="dxa"/>
            <w:gridSpan w:val="2"/>
            <w:noWrap/>
            <w:vAlign w:val="center"/>
          </w:tcPr>
          <w:p w14:paraId="73B053B1">
            <w:pPr>
              <w:pStyle w:val="30"/>
              <w:spacing w:line="360" w:lineRule="auto"/>
              <w:ind w:firstLine="0" w:firstLineChars="0"/>
              <w:jc w:val="both"/>
              <w:rPr>
                <w:rFonts w:ascii="宋体" w:hAnsi="宋体" w:eastAsia="宋体" w:cs="宋体"/>
                <w:color w:val="auto"/>
                <w:kern w:val="0"/>
                <w:sz w:val="21"/>
                <w:szCs w:val="21"/>
                <w:highlight w:val="none"/>
              </w:rPr>
            </w:pPr>
          </w:p>
        </w:tc>
      </w:tr>
      <w:tr w14:paraId="218A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noWrap/>
            <w:vAlign w:val="center"/>
          </w:tcPr>
          <w:p w14:paraId="2D81B687">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杭州银行股份有限公司温州分行</w:t>
            </w:r>
          </w:p>
        </w:tc>
        <w:tc>
          <w:tcPr>
            <w:tcW w:w="2629" w:type="dxa"/>
            <w:gridSpan w:val="2"/>
            <w:noWrap/>
            <w:vAlign w:val="center"/>
          </w:tcPr>
          <w:p w14:paraId="3B22CF29">
            <w:pPr>
              <w:pStyle w:val="30"/>
              <w:spacing w:line="360" w:lineRule="auto"/>
              <w:ind w:firstLine="0" w:firstLineChars="0"/>
              <w:jc w:val="both"/>
              <w:rPr>
                <w:rFonts w:ascii="宋体" w:hAnsi="宋体" w:eastAsia="宋体" w:cs="宋体"/>
                <w:color w:val="auto"/>
                <w:kern w:val="0"/>
                <w:sz w:val="21"/>
                <w:szCs w:val="21"/>
                <w:highlight w:val="none"/>
              </w:rPr>
            </w:pPr>
          </w:p>
        </w:tc>
      </w:tr>
      <w:tr w14:paraId="3FB2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noWrap/>
            <w:vAlign w:val="center"/>
          </w:tcPr>
          <w:p w14:paraId="2782AD36">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招商银行股份有限公司温州分行</w:t>
            </w:r>
          </w:p>
        </w:tc>
        <w:tc>
          <w:tcPr>
            <w:tcW w:w="2629" w:type="dxa"/>
            <w:gridSpan w:val="2"/>
            <w:noWrap/>
            <w:vAlign w:val="center"/>
          </w:tcPr>
          <w:p w14:paraId="4FE6DA73">
            <w:pPr>
              <w:pStyle w:val="30"/>
              <w:spacing w:line="360" w:lineRule="auto"/>
              <w:ind w:firstLine="0" w:firstLineChars="0"/>
              <w:jc w:val="both"/>
              <w:rPr>
                <w:rFonts w:ascii="宋体" w:hAnsi="宋体" w:eastAsia="宋体" w:cs="宋体"/>
                <w:color w:val="auto"/>
                <w:kern w:val="0"/>
                <w:sz w:val="21"/>
                <w:szCs w:val="21"/>
                <w:highlight w:val="none"/>
              </w:rPr>
            </w:pPr>
          </w:p>
        </w:tc>
      </w:tr>
      <w:tr w14:paraId="7F72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noWrap/>
            <w:vAlign w:val="center"/>
          </w:tcPr>
          <w:p w14:paraId="6C26ED3F">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兴业银行股份有限公司温州分行</w:t>
            </w:r>
          </w:p>
        </w:tc>
        <w:tc>
          <w:tcPr>
            <w:tcW w:w="2629" w:type="dxa"/>
            <w:gridSpan w:val="2"/>
            <w:noWrap/>
            <w:vAlign w:val="center"/>
          </w:tcPr>
          <w:p w14:paraId="46C03A2D">
            <w:pPr>
              <w:pStyle w:val="30"/>
              <w:spacing w:line="360" w:lineRule="auto"/>
              <w:ind w:firstLine="0" w:firstLineChars="0"/>
              <w:jc w:val="both"/>
              <w:rPr>
                <w:rFonts w:ascii="宋体" w:hAnsi="宋体" w:eastAsia="宋体" w:cs="宋体"/>
                <w:color w:val="auto"/>
                <w:kern w:val="0"/>
                <w:sz w:val="21"/>
                <w:szCs w:val="21"/>
                <w:highlight w:val="none"/>
              </w:rPr>
            </w:pPr>
          </w:p>
        </w:tc>
      </w:tr>
      <w:tr w14:paraId="3870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30" w:type="dxa"/>
            <w:gridSpan w:val="4"/>
            <w:noWrap/>
            <w:vAlign w:val="center"/>
          </w:tcPr>
          <w:p w14:paraId="5F27F3BE">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交通银行股份有限公司温州分行</w:t>
            </w:r>
          </w:p>
        </w:tc>
        <w:tc>
          <w:tcPr>
            <w:tcW w:w="2629" w:type="dxa"/>
            <w:gridSpan w:val="2"/>
            <w:noWrap/>
            <w:vAlign w:val="center"/>
          </w:tcPr>
          <w:p w14:paraId="43B7C709">
            <w:pPr>
              <w:pStyle w:val="30"/>
              <w:spacing w:line="360" w:lineRule="auto"/>
              <w:ind w:firstLine="0" w:firstLineChars="0"/>
              <w:jc w:val="both"/>
              <w:rPr>
                <w:rFonts w:ascii="宋体" w:hAnsi="宋体" w:eastAsia="宋体" w:cs="宋体"/>
                <w:color w:val="auto"/>
                <w:kern w:val="0"/>
                <w:sz w:val="21"/>
                <w:szCs w:val="21"/>
                <w:highlight w:val="none"/>
              </w:rPr>
            </w:pPr>
          </w:p>
        </w:tc>
      </w:tr>
      <w:tr w14:paraId="76CE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30" w:type="dxa"/>
            <w:gridSpan w:val="4"/>
            <w:noWrap/>
            <w:vAlign w:val="center"/>
          </w:tcPr>
          <w:p w14:paraId="0CDBB2EF">
            <w:pPr>
              <w:pStyle w:val="30"/>
              <w:spacing w:line="360" w:lineRule="auto"/>
              <w:ind w:firstLine="0" w:firstLineChars="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上海浦东发展银行股份有限公司温州分行</w:t>
            </w:r>
          </w:p>
        </w:tc>
        <w:tc>
          <w:tcPr>
            <w:tcW w:w="2629" w:type="dxa"/>
            <w:gridSpan w:val="2"/>
            <w:noWrap/>
            <w:vAlign w:val="center"/>
          </w:tcPr>
          <w:p w14:paraId="563E64C9">
            <w:pPr>
              <w:pStyle w:val="30"/>
              <w:spacing w:line="360" w:lineRule="auto"/>
              <w:ind w:firstLine="0" w:firstLineChars="0"/>
              <w:jc w:val="both"/>
              <w:rPr>
                <w:rFonts w:ascii="宋体" w:hAnsi="宋体" w:eastAsia="宋体" w:cs="宋体"/>
                <w:color w:val="auto"/>
                <w:kern w:val="0"/>
                <w:sz w:val="21"/>
                <w:szCs w:val="21"/>
                <w:highlight w:val="none"/>
              </w:rPr>
            </w:pPr>
          </w:p>
        </w:tc>
      </w:tr>
    </w:tbl>
    <w:p w14:paraId="6BB4C38A">
      <w:pPr>
        <w:rPr>
          <w:rFonts w:ascii="宋体" w:hAnsi="宋体" w:cs="宋体"/>
          <w:color w:val="auto"/>
          <w:szCs w:val="21"/>
          <w:highlight w:val="none"/>
        </w:rPr>
      </w:pPr>
      <w:r>
        <w:rPr>
          <w:rFonts w:hint="eastAsia" w:ascii="宋体" w:hAnsi="宋体" w:cs="宋体"/>
          <w:color w:val="auto"/>
          <w:szCs w:val="21"/>
          <w:highlight w:val="none"/>
        </w:rPr>
        <w:t>注：1、本表填写对象为注册地在温州市域内的供应商。</w:t>
      </w:r>
    </w:p>
    <w:p w14:paraId="29740646">
      <w:pPr>
        <w:ind w:firstLine="420" w:firstLineChars="200"/>
        <w:rPr>
          <w:rFonts w:ascii="宋体" w:hAnsi="宋体" w:cs="宋体"/>
          <w:color w:val="auto"/>
          <w:szCs w:val="21"/>
          <w:highlight w:val="none"/>
        </w:rPr>
      </w:pPr>
      <w:r>
        <w:rPr>
          <w:rFonts w:hint="eastAsia" w:ascii="宋体" w:hAnsi="宋体" w:cs="宋体"/>
          <w:color w:val="auto"/>
          <w:szCs w:val="21"/>
          <w:highlight w:val="none"/>
        </w:rPr>
        <w:t>2、财政部门根据企业自行选择，将本表及企业相关信息推送至相对应的融资意向银行经办人。</w:t>
      </w:r>
    </w:p>
    <w:p w14:paraId="60AB8ABA">
      <w:pPr>
        <w:widowControl/>
        <w:snapToGrid w:val="0"/>
        <w:spacing w:before="120" w:after="120" w:line="500" w:lineRule="atLeast"/>
        <w:jc w:val="center"/>
        <w:outlineLvl w:val="0"/>
        <w:rPr>
          <w:rFonts w:ascii="宋体" w:hAnsi="宋体" w:cs="宋体"/>
          <w:color w:val="auto"/>
          <w:szCs w:val="21"/>
          <w:highlight w:val="none"/>
        </w:rPr>
      </w:pPr>
    </w:p>
    <w:p w14:paraId="3AD2ABE3">
      <w:pPr>
        <w:jc w:val="center"/>
        <w:rPr>
          <w:rFonts w:ascii="新宋体" w:hAnsi="新宋体" w:eastAsia="新宋体"/>
          <w:b/>
          <w:color w:val="auto"/>
          <w:sz w:val="44"/>
          <w:szCs w:val="44"/>
          <w:highlight w:val="none"/>
        </w:rPr>
      </w:pPr>
      <w:r>
        <w:rPr>
          <w:rFonts w:hint="eastAsia" w:ascii="宋体" w:hAnsi="宋体" w:cs="宋体"/>
          <w:color w:val="auto"/>
          <w:szCs w:val="21"/>
          <w:highlight w:val="none"/>
        </w:rPr>
        <w:br w:type="page"/>
      </w:r>
      <w:r>
        <w:rPr>
          <w:rFonts w:hint="eastAsia" w:ascii="新宋体" w:hAnsi="新宋体" w:eastAsia="新宋体"/>
          <w:b/>
          <w:color w:val="auto"/>
          <w:sz w:val="44"/>
          <w:szCs w:val="44"/>
          <w:highlight w:val="none"/>
        </w:rPr>
        <w:t>政府采购活动现场确认声明书</w:t>
      </w:r>
    </w:p>
    <w:p w14:paraId="02D6D92F">
      <w:pPr>
        <w:spacing w:line="440" w:lineRule="exact"/>
        <w:rPr>
          <w:rFonts w:ascii="新宋体" w:hAnsi="新宋体" w:eastAsia="新宋体"/>
          <w:color w:val="auto"/>
          <w:sz w:val="24"/>
          <w:highlight w:val="none"/>
        </w:rPr>
      </w:pPr>
    </w:p>
    <w:p w14:paraId="718C92E7">
      <w:pPr>
        <w:spacing w:afterLines="100" w:line="440" w:lineRule="exact"/>
        <w:rPr>
          <w:rFonts w:ascii="新宋体" w:hAnsi="新宋体" w:eastAsia="新宋体"/>
          <w:color w:val="auto"/>
          <w:sz w:val="24"/>
          <w:highlight w:val="none"/>
        </w:rPr>
      </w:pPr>
      <w:r>
        <w:rPr>
          <w:rFonts w:hint="eastAsia" w:ascii="新宋体" w:hAnsi="新宋体" w:eastAsia="新宋体"/>
          <w:color w:val="auto"/>
          <w:sz w:val="24"/>
          <w:highlight w:val="none"/>
        </w:rPr>
        <w:t>浙江同信工程项目管理有限公司：</w:t>
      </w:r>
    </w:p>
    <w:p w14:paraId="55F5D67B">
      <w:pPr>
        <w:spacing w:line="40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本人经由</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（供应商名称）负责人</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（姓名）合法授权参加</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 xml:space="preserve">项目（编号： </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）政府采购活动，经与本单位法人代表（负责人）联系确认，现就有关公平竞争事项郑重声明如下：</w:t>
      </w:r>
    </w:p>
    <w:p w14:paraId="19C8BE1D">
      <w:pPr>
        <w:numPr>
          <w:ilvl w:val="0"/>
          <w:numId w:val="9"/>
        </w:numPr>
        <w:spacing w:line="400" w:lineRule="exact"/>
        <w:ind w:firstLine="453" w:firstLineChars="189"/>
        <w:rPr>
          <w:rFonts w:ascii="新宋体" w:hAnsi="新宋体" w:eastAsia="新宋体"/>
          <w:color w:val="auto"/>
          <w:sz w:val="24"/>
          <w:highlight w:val="none"/>
        </w:rPr>
      </w:pPr>
      <w:r>
        <w:rPr>
          <w:rFonts w:hint="eastAsia" w:ascii="新宋体" w:hAnsi="新宋体" w:eastAsia="新宋体"/>
          <w:color w:val="auto"/>
          <w:sz w:val="24"/>
          <w:highlight w:val="none"/>
        </w:rPr>
        <w:t>本单位与采购人之间 □不存在利害关系 □存在下列利害关系</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w:t>
      </w:r>
    </w:p>
    <w:p w14:paraId="63323AF0">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A.投资关系    B.行政隶属关系    C.业务指导关系</w:t>
      </w:r>
    </w:p>
    <w:p w14:paraId="4AB7B2C7">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D.其他可能影响采购公正的利害关系</w:t>
      </w:r>
      <w:r>
        <w:rPr>
          <w:rFonts w:hint="eastAsia" w:ascii="新宋体" w:hAnsi="新宋体" w:eastAsia="新宋体"/>
          <w:color w:val="auto"/>
          <w:sz w:val="24"/>
          <w:highlight w:val="none"/>
          <w:u w:val="single"/>
        </w:rPr>
        <w:t xml:space="preserve">（如有，请如实说明）                 </w:t>
      </w:r>
      <w:r>
        <w:rPr>
          <w:rFonts w:hint="eastAsia" w:ascii="新宋体" w:hAnsi="新宋体" w:eastAsia="新宋体"/>
          <w:color w:val="auto"/>
          <w:sz w:val="24"/>
          <w:highlight w:val="none"/>
        </w:rPr>
        <w:t>。</w:t>
      </w:r>
    </w:p>
    <w:p w14:paraId="1925F2A3">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二、现已清楚知道参加本项目采购活动的其他所有供应商名称，本单位 □与其他所有供应商之间均不存在利害关系 □与</w:t>
      </w:r>
      <w:r>
        <w:rPr>
          <w:rFonts w:hint="eastAsia" w:ascii="新宋体" w:hAnsi="新宋体" w:eastAsia="新宋体"/>
          <w:color w:val="auto"/>
          <w:sz w:val="24"/>
          <w:highlight w:val="none"/>
          <w:u w:val="single"/>
        </w:rPr>
        <w:t xml:space="preserve">           （供应商名称）</w:t>
      </w:r>
      <w:r>
        <w:rPr>
          <w:rFonts w:hint="eastAsia" w:ascii="新宋体" w:hAnsi="新宋体" w:eastAsia="新宋体"/>
          <w:color w:val="auto"/>
          <w:sz w:val="24"/>
          <w:highlight w:val="none"/>
        </w:rPr>
        <w:t>之间存在下列利害关系</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w:t>
      </w:r>
    </w:p>
    <w:p w14:paraId="2233241F">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A.法定代表人或负责人或实际控制人是同一人</w:t>
      </w:r>
    </w:p>
    <w:p w14:paraId="1712A6F5">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B.法定代表人或负责人或实际控制人是夫妻关系</w:t>
      </w:r>
    </w:p>
    <w:p w14:paraId="38217AAE">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C.法定代表人或负责人或实际控制人是直系血亲关系</w:t>
      </w:r>
    </w:p>
    <w:p w14:paraId="72B0F0EB">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D.法定代表人或负责人或实际控制人存在三代以内旁系血亲关系</w:t>
      </w:r>
    </w:p>
    <w:p w14:paraId="769CB2EF">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E.法定代表人或负责人或实际控制人存在近姻亲关系</w:t>
      </w:r>
    </w:p>
    <w:p w14:paraId="2CF7A48C">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F.法定代表人或负责人或实际控制人存在股份控制或实际控制关系</w:t>
      </w:r>
    </w:p>
    <w:p w14:paraId="5E0D2FA7">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G.存在共同直接或间接投资设立子公司、联营企业和合营企业情况</w:t>
      </w:r>
    </w:p>
    <w:p w14:paraId="227D2494">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H.存在分级代理或代销关系、同一生产制造商关系、管理关系、重要业务（占主营业务收入50%以上）或重要财务往来关系（如融资）等其他实质性控制关系</w:t>
      </w:r>
    </w:p>
    <w:p w14:paraId="48EDDA16">
      <w:pPr>
        <w:spacing w:line="40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I.其他利害关系情况</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w:t>
      </w:r>
    </w:p>
    <w:p w14:paraId="0382392E">
      <w:pPr>
        <w:numPr>
          <w:ilvl w:val="0"/>
          <w:numId w:val="10"/>
        </w:numPr>
        <w:spacing w:line="400" w:lineRule="exact"/>
        <w:ind w:firstLine="453" w:firstLineChars="189"/>
        <w:rPr>
          <w:rFonts w:ascii="新宋体" w:hAnsi="新宋体" w:eastAsia="新宋体"/>
          <w:color w:val="auto"/>
          <w:sz w:val="24"/>
          <w:highlight w:val="none"/>
        </w:rPr>
      </w:pPr>
      <w:r>
        <w:rPr>
          <w:rFonts w:hint="eastAsia" w:ascii="新宋体" w:hAnsi="新宋体" w:eastAsia="新宋体"/>
          <w:color w:val="auto"/>
          <w:sz w:val="24"/>
          <w:highlight w:val="none"/>
        </w:rPr>
        <w:t>现已清楚知道并严格遵守政府采购法律法规和现场纪律。</w:t>
      </w:r>
    </w:p>
    <w:p w14:paraId="1D6E05B0">
      <w:pPr>
        <w:numPr>
          <w:ilvl w:val="0"/>
          <w:numId w:val="10"/>
        </w:numPr>
        <w:spacing w:line="400" w:lineRule="exact"/>
        <w:ind w:firstLine="453" w:firstLineChars="189"/>
        <w:rPr>
          <w:rFonts w:ascii="新宋体" w:hAnsi="新宋体" w:eastAsia="新宋体"/>
          <w:color w:val="auto"/>
          <w:sz w:val="24"/>
          <w:highlight w:val="none"/>
        </w:rPr>
      </w:pPr>
      <w:r>
        <w:rPr>
          <w:rFonts w:hint="eastAsia" w:ascii="新宋体" w:hAnsi="新宋体" w:eastAsia="新宋体"/>
          <w:color w:val="auto"/>
          <w:sz w:val="24"/>
          <w:highlight w:val="none"/>
        </w:rPr>
        <w:t>我发现</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 xml:space="preserve"> 和</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供应商之间存在或可能存在上述第二条第</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项利害关系。</w:t>
      </w:r>
    </w:p>
    <w:p w14:paraId="6335EB7C">
      <w:pPr>
        <w:spacing w:line="440" w:lineRule="exact"/>
        <w:ind w:firstLine="5280" w:firstLineChars="2200"/>
        <w:rPr>
          <w:rFonts w:ascii="新宋体" w:hAnsi="新宋体" w:eastAsia="新宋体"/>
          <w:color w:val="auto"/>
          <w:sz w:val="24"/>
          <w:highlight w:val="none"/>
        </w:rPr>
      </w:pPr>
      <w:r>
        <w:rPr>
          <w:rFonts w:hint="eastAsia" w:ascii="新宋体" w:hAnsi="新宋体" w:eastAsia="新宋体"/>
          <w:color w:val="auto"/>
          <w:sz w:val="24"/>
          <w:highlight w:val="none"/>
        </w:rPr>
        <w:t>投标供应商代表签名：</w:t>
      </w:r>
    </w:p>
    <w:p w14:paraId="5817B633">
      <w:pPr>
        <w:tabs>
          <w:tab w:val="left" w:pos="4962"/>
          <w:tab w:val="left" w:pos="5103"/>
        </w:tabs>
        <w:spacing w:line="440" w:lineRule="exact"/>
        <w:ind w:right="1200"/>
        <w:jc w:val="right"/>
        <w:rPr>
          <w:rFonts w:ascii="新宋体" w:hAnsi="新宋体" w:eastAsia="新宋体"/>
          <w:color w:val="auto"/>
          <w:sz w:val="24"/>
          <w:highlight w:val="none"/>
        </w:rPr>
      </w:pPr>
    </w:p>
    <w:p w14:paraId="60A7F4CA">
      <w:pPr>
        <w:spacing w:line="440" w:lineRule="exact"/>
        <w:ind w:firstLine="5280" w:firstLineChars="2200"/>
        <w:rPr>
          <w:rFonts w:ascii="新宋体" w:hAnsi="新宋体" w:eastAsia="新宋体"/>
          <w:color w:val="auto"/>
          <w:sz w:val="24"/>
          <w:highlight w:val="none"/>
        </w:rPr>
      </w:pPr>
      <w:r>
        <w:rPr>
          <w:rFonts w:hint="eastAsia" w:ascii="新宋体" w:hAnsi="新宋体" w:eastAsia="新宋体"/>
          <w:color w:val="auto"/>
          <w:sz w:val="24"/>
          <w:highlight w:val="none"/>
        </w:rPr>
        <w:t>日期:    年   月   日</w:t>
      </w:r>
    </w:p>
    <w:p w14:paraId="3689AA7B">
      <w:pPr>
        <w:pStyle w:val="7"/>
        <w:numPr>
          <w:ilvl w:val="0"/>
          <w:numId w:val="0"/>
        </w:numPr>
        <w:rPr>
          <w:rFonts w:ascii="新宋体" w:hAnsi="新宋体" w:eastAsia="新宋体" w:cs="Arial"/>
          <w:b w:val="0"/>
          <w:bCs/>
          <w:color w:val="auto"/>
          <w:kern w:val="0"/>
          <w:sz w:val="22"/>
          <w:szCs w:val="22"/>
          <w:highlight w:val="none"/>
        </w:rPr>
      </w:pPr>
    </w:p>
    <w:p w14:paraId="58CE6C6F">
      <w:pPr>
        <w:pStyle w:val="7"/>
        <w:numPr>
          <w:ilvl w:val="0"/>
          <w:numId w:val="0"/>
        </w:numPr>
        <w:rPr>
          <w:rFonts w:eastAsia="新宋体"/>
          <w:b w:val="0"/>
          <w:bCs/>
          <w:color w:val="auto"/>
          <w:highlight w:val="none"/>
        </w:rPr>
      </w:pPr>
      <w:r>
        <w:rPr>
          <w:rFonts w:hint="eastAsia" w:ascii="新宋体" w:hAnsi="新宋体" w:eastAsia="新宋体" w:cs="Arial"/>
          <w:b w:val="0"/>
          <w:bCs/>
          <w:color w:val="auto"/>
          <w:kern w:val="0"/>
          <w:sz w:val="22"/>
          <w:szCs w:val="22"/>
          <w:highlight w:val="none"/>
        </w:rPr>
        <w:t>注：各投标供应商需签署《政府采购活动现场确认声明书》，扫描回传邮箱（895900692@qq.com）。</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Univers LT Std 47 Cn Lt">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39A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5669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5669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AB1B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D55E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5FBAF5B">
                          <w:pPr>
                            <w:pStyle w:val="16"/>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65FBAF5B">
                    <w:pPr>
                      <w:pStyle w:val="1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243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008448">
                          <w:pPr>
                            <w:pStyle w:val="16"/>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2A008448">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CA61C"/>
    <w:multiLevelType w:val="singleLevel"/>
    <w:tmpl w:val="9B8CA61C"/>
    <w:lvl w:ilvl="0" w:tentative="0">
      <w:start w:val="1"/>
      <w:numFmt w:val="decimal"/>
      <w:suff w:val="nothing"/>
      <w:lvlText w:val="（%1）"/>
      <w:lvlJc w:val="left"/>
    </w:lvl>
  </w:abstractNum>
  <w:abstractNum w:abstractNumId="1">
    <w:nsid w:val="C1860803"/>
    <w:multiLevelType w:val="singleLevel"/>
    <w:tmpl w:val="C1860803"/>
    <w:lvl w:ilvl="0" w:tentative="0">
      <w:start w:val="4"/>
      <w:numFmt w:val="chineseCounting"/>
      <w:suff w:val="space"/>
      <w:lvlText w:val="第%1部分"/>
      <w:lvlJc w:val="left"/>
      <w:rPr>
        <w:rFonts w:hint="eastAsia"/>
      </w:rPr>
    </w:lvl>
  </w:abstractNum>
  <w:abstractNum w:abstractNumId="2">
    <w:nsid w:val="0000000F"/>
    <w:multiLevelType w:val="multilevel"/>
    <w:tmpl w:val="0000000F"/>
    <w:lvl w:ilvl="0" w:tentative="0">
      <w:start w:val="1"/>
      <w:numFmt w:val="decimal"/>
      <w:lvlText w:val="（%1）"/>
      <w:lvlJc w:val="left"/>
      <w:pPr>
        <w:tabs>
          <w:tab w:val="left" w:pos="1140"/>
        </w:tabs>
        <w:ind w:left="1140" w:hanging="720"/>
      </w:pPr>
      <w:rPr>
        <w:rFonts w:cs="Cambria Math"/>
      </w:rPr>
    </w:lvl>
    <w:lvl w:ilvl="1" w:tentative="0">
      <w:start w:val="1"/>
      <w:numFmt w:val="lowerLetter"/>
      <w:lvlText w:val="%2)"/>
      <w:lvlJc w:val="left"/>
      <w:pPr>
        <w:tabs>
          <w:tab w:val="left" w:pos="1258"/>
        </w:tabs>
        <w:ind w:left="1258" w:hanging="420"/>
      </w:pPr>
      <w:rPr>
        <w:rFonts w:cs="Cambria Math"/>
      </w:rPr>
    </w:lvl>
    <w:lvl w:ilvl="2" w:tentative="0">
      <w:start w:val="1"/>
      <w:numFmt w:val="lowerRoman"/>
      <w:lvlText w:val="%3."/>
      <w:lvlJc w:val="right"/>
      <w:pPr>
        <w:tabs>
          <w:tab w:val="left" w:pos="1678"/>
        </w:tabs>
        <w:ind w:left="1678" w:hanging="420"/>
      </w:pPr>
      <w:rPr>
        <w:rFonts w:cs="Cambria Math"/>
      </w:rPr>
    </w:lvl>
    <w:lvl w:ilvl="3" w:tentative="0">
      <w:start w:val="1"/>
      <w:numFmt w:val="decimal"/>
      <w:lvlText w:val="%4."/>
      <w:lvlJc w:val="left"/>
      <w:pPr>
        <w:tabs>
          <w:tab w:val="left" w:pos="2098"/>
        </w:tabs>
        <w:ind w:left="2098" w:hanging="420"/>
      </w:pPr>
      <w:rPr>
        <w:rFonts w:cs="Cambria Math"/>
      </w:rPr>
    </w:lvl>
    <w:lvl w:ilvl="4" w:tentative="0">
      <w:start w:val="1"/>
      <w:numFmt w:val="lowerLetter"/>
      <w:lvlText w:val="%5)"/>
      <w:lvlJc w:val="left"/>
      <w:pPr>
        <w:tabs>
          <w:tab w:val="left" w:pos="2518"/>
        </w:tabs>
        <w:ind w:left="2518" w:hanging="420"/>
      </w:pPr>
      <w:rPr>
        <w:rFonts w:cs="Cambria Math"/>
      </w:rPr>
    </w:lvl>
    <w:lvl w:ilvl="5" w:tentative="0">
      <w:start w:val="1"/>
      <w:numFmt w:val="lowerRoman"/>
      <w:lvlText w:val="%6."/>
      <w:lvlJc w:val="right"/>
      <w:pPr>
        <w:tabs>
          <w:tab w:val="left" w:pos="2938"/>
        </w:tabs>
        <w:ind w:left="2938" w:hanging="420"/>
      </w:pPr>
      <w:rPr>
        <w:rFonts w:cs="Cambria Math"/>
      </w:rPr>
    </w:lvl>
    <w:lvl w:ilvl="6" w:tentative="0">
      <w:start w:val="1"/>
      <w:numFmt w:val="decimal"/>
      <w:lvlText w:val="%7."/>
      <w:lvlJc w:val="left"/>
      <w:pPr>
        <w:tabs>
          <w:tab w:val="left" w:pos="3358"/>
        </w:tabs>
        <w:ind w:left="3358" w:hanging="420"/>
      </w:pPr>
      <w:rPr>
        <w:rFonts w:cs="Cambria Math"/>
      </w:rPr>
    </w:lvl>
    <w:lvl w:ilvl="7" w:tentative="0">
      <w:start w:val="1"/>
      <w:numFmt w:val="lowerLetter"/>
      <w:lvlText w:val="%8)"/>
      <w:lvlJc w:val="left"/>
      <w:pPr>
        <w:tabs>
          <w:tab w:val="left" w:pos="3778"/>
        </w:tabs>
        <w:ind w:left="3778" w:hanging="420"/>
      </w:pPr>
      <w:rPr>
        <w:rFonts w:cs="Cambria Math"/>
      </w:rPr>
    </w:lvl>
    <w:lvl w:ilvl="8" w:tentative="0">
      <w:start w:val="1"/>
      <w:numFmt w:val="lowerRoman"/>
      <w:lvlText w:val="%9."/>
      <w:lvlJc w:val="right"/>
      <w:pPr>
        <w:tabs>
          <w:tab w:val="left" w:pos="4198"/>
        </w:tabs>
        <w:ind w:left="4198" w:hanging="420"/>
      </w:pPr>
      <w:rPr>
        <w:rFonts w:cs="Cambria Math"/>
      </w:rPr>
    </w:lvl>
  </w:abstractNum>
  <w:abstractNum w:abstractNumId="3">
    <w:nsid w:val="0FBE2A3E"/>
    <w:multiLevelType w:val="multilevel"/>
    <w:tmpl w:val="0FBE2A3E"/>
    <w:lvl w:ilvl="0" w:tentative="0">
      <w:start w:val="1"/>
      <w:numFmt w:val="decimal"/>
      <w:lvlText w:val="(%1)"/>
      <w:lvlJc w:val="left"/>
      <w:pPr>
        <w:ind w:left="1290" w:hanging="435"/>
      </w:pPr>
      <w:rPr>
        <w:rFonts w:hint="default"/>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4">
    <w:nsid w:val="115372B1"/>
    <w:multiLevelType w:val="singleLevel"/>
    <w:tmpl w:val="115372B1"/>
    <w:lvl w:ilvl="0" w:tentative="0">
      <w:start w:val="2"/>
      <w:numFmt w:val="decimal"/>
      <w:suff w:val="space"/>
      <w:lvlText w:val="%1、"/>
      <w:lvlJc w:val="left"/>
    </w:lvl>
  </w:abstractNum>
  <w:abstractNum w:abstractNumId="5">
    <w:nsid w:val="54F403B5"/>
    <w:multiLevelType w:val="singleLevel"/>
    <w:tmpl w:val="54F403B5"/>
    <w:lvl w:ilvl="0" w:tentative="0">
      <w:start w:val="1"/>
      <w:numFmt w:val="chineseCounting"/>
      <w:suff w:val="nothing"/>
      <w:lvlText w:val="%1、"/>
      <w:lvlJc w:val="left"/>
      <w:pPr>
        <w:ind w:left="0" w:firstLine="0"/>
      </w:pPr>
    </w:lvl>
  </w:abstractNum>
  <w:abstractNum w:abstractNumId="6">
    <w:nsid w:val="557FD3DA"/>
    <w:multiLevelType w:val="singleLevel"/>
    <w:tmpl w:val="557FD3DA"/>
    <w:lvl w:ilvl="0" w:tentative="0">
      <w:start w:val="3"/>
      <w:numFmt w:val="chineseCounting"/>
      <w:suff w:val="nothing"/>
      <w:lvlText w:val="%1、"/>
      <w:lvlJc w:val="left"/>
      <w:pPr>
        <w:ind w:left="0" w:firstLine="0"/>
      </w:pPr>
    </w:lvl>
  </w:abstractNum>
  <w:abstractNum w:abstractNumId="7">
    <w:nsid w:val="56826E59"/>
    <w:multiLevelType w:val="multilevel"/>
    <w:tmpl w:val="56826E5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9">
    <w:nsid w:val="63557B35"/>
    <w:multiLevelType w:val="singleLevel"/>
    <w:tmpl w:val="63557B35"/>
    <w:lvl w:ilvl="0" w:tentative="0">
      <w:start w:val="1"/>
      <w:numFmt w:val="upperLetter"/>
      <w:pStyle w:val="7"/>
      <w:lvlText w:val="%1、"/>
      <w:lvlJc w:val="left"/>
      <w:pPr>
        <w:tabs>
          <w:tab w:val="left" w:pos="1035"/>
        </w:tabs>
        <w:ind w:left="1470" w:hanging="420"/>
      </w:pPr>
      <w:rPr>
        <w:rFonts w:hint="eastAsia"/>
      </w:rPr>
    </w:lvl>
  </w:abstractNum>
  <w:num w:numId="1">
    <w:abstractNumId w:val="9"/>
  </w:num>
  <w:num w:numId="2">
    <w:abstractNumId w:val="0"/>
  </w:num>
  <w:num w:numId="3">
    <w:abstractNumId w:val="3"/>
  </w:num>
  <w:num w:numId="4">
    <w:abstractNumId w:val="2"/>
  </w:num>
  <w:num w:numId="5">
    <w:abstractNumId w:val="8"/>
  </w:num>
  <w:num w:numId="6">
    <w:abstractNumId w:val="7"/>
  </w:num>
  <w:num w:numId="7">
    <w:abstractNumId w:val="1"/>
  </w:num>
  <w:num w:numId="8">
    <w:abstractNumId w:val="4"/>
  </w:num>
  <w:num w:numId="9">
    <w:abstractNumId w:val="5"/>
    <w:lvlOverride w:ilvl="0">
      <w:startOverride w:val="1"/>
    </w:lvlOverride>
  </w:num>
  <w:num w:numId="10">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TY0NjQ0NDdmMjA3ZTI1NTJkMzczZDg5MDBlN2QifQ=="/>
  </w:docVars>
  <w:rsids>
    <w:rsidRoot w:val="24BA6B18"/>
    <w:rsid w:val="00096AC8"/>
    <w:rsid w:val="000D78A4"/>
    <w:rsid w:val="00170A01"/>
    <w:rsid w:val="00183E93"/>
    <w:rsid w:val="001C47D7"/>
    <w:rsid w:val="001D136E"/>
    <w:rsid w:val="001D7D62"/>
    <w:rsid w:val="002D08E1"/>
    <w:rsid w:val="002D36DD"/>
    <w:rsid w:val="00313632"/>
    <w:rsid w:val="0040621E"/>
    <w:rsid w:val="004849C0"/>
    <w:rsid w:val="00487318"/>
    <w:rsid w:val="004F0A13"/>
    <w:rsid w:val="004F5F54"/>
    <w:rsid w:val="00695614"/>
    <w:rsid w:val="006B28B9"/>
    <w:rsid w:val="00725B89"/>
    <w:rsid w:val="008F2FB4"/>
    <w:rsid w:val="009058F2"/>
    <w:rsid w:val="009A50CD"/>
    <w:rsid w:val="009B2BE4"/>
    <w:rsid w:val="00A17C50"/>
    <w:rsid w:val="00A52BCA"/>
    <w:rsid w:val="00B96F84"/>
    <w:rsid w:val="00C3447D"/>
    <w:rsid w:val="00C6651E"/>
    <w:rsid w:val="00D972C2"/>
    <w:rsid w:val="00DF23D8"/>
    <w:rsid w:val="00EA456A"/>
    <w:rsid w:val="00F77B77"/>
    <w:rsid w:val="01137F8F"/>
    <w:rsid w:val="012215E6"/>
    <w:rsid w:val="01233A9E"/>
    <w:rsid w:val="012D5B98"/>
    <w:rsid w:val="01352CD2"/>
    <w:rsid w:val="01564FF0"/>
    <w:rsid w:val="017037E3"/>
    <w:rsid w:val="018D0AE9"/>
    <w:rsid w:val="02267249"/>
    <w:rsid w:val="022D2C3B"/>
    <w:rsid w:val="023A5D4F"/>
    <w:rsid w:val="02497534"/>
    <w:rsid w:val="025A59E9"/>
    <w:rsid w:val="0270424A"/>
    <w:rsid w:val="02785270"/>
    <w:rsid w:val="02936349"/>
    <w:rsid w:val="02A53FA4"/>
    <w:rsid w:val="02BB5F41"/>
    <w:rsid w:val="02C4618C"/>
    <w:rsid w:val="02CD1C3E"/>
    <w:rsid w:val="0312145F"/>
    <w:rsid w:val="037C72EC"/>
    <w:rsid w:val="03833A38"/>
    <w:rsid w:val="03A46726"/>
    <w:rsid w:val="03BB6210"/>
    <w:rsid w:val="04194309"/>
    <w:rsid w:val="042E253E"/>
    <w:rsid w:val="04312739"/>
    <w:rsid w:val="0448715B"/>
    <w:rsid w:val="0487071A"/>
    <w:rsid w:val="04A66AFF"/>
    <w:rsid w:val="04B24093"/>
    <w:rsid w:val="04CF74FA"/>
    <w:rsid w:val="04D51C40"/>
    <w:rsid w:val="04E154E4"/>
    <w:rsid w:val="04F5401B"/>
    <w:rsid w:val="04F56050"/>
    <w:rsid w:val="050E257E"/>
    <w:rsid w:val="051F0999"/>
    <w:rsid w:val="054004FC"/>
    <w:rsid w:val="05452701"/>
    <w:rsid w:val="054935EC"/>
    <w:rsid w:val="056A57F8"/>
    <w:rsid w:val="057E61A1"/>
    <w:rsid w:val="059A06D5"/>
    <w:rsid w:val="05A755EA"/>
    <w:rsid w:val="05FD7AB2"/>
    <w:rsid w:val="061008B7"/>
    <w:rsid w:val="062F6A41"/>
    <w:rsid w:val="065A358D"/>
    <w:rsid w:val="06801843"/>
    <w:rsid w:val="068043BF"/>
    <w:rsid w:val="069012B3"/>
    <w:rsid w:val="06C52CEA"/>
    <w:rsid w:val="073D6ECE"/>
    <w:rsid w:val="078D1C71"/>
    <w:rsid w:val="078D3A65"/>
    <w:rsid w:val="079A1597"/>
    <w:rsid w:val="079B5CA8"/>
    <w:rsid w:val="079B680F"/>
    <w:rsid w:val="07C573E5"/>
    <w:rsid w:val="07EA49A8"/>
    <w:rsid w:val="07FD7BFD"/>
    <w:rsid w:val="0802489E"/>
    <w:rsid w:val="08033319"/>
    <w:rsid w:val="081C6CD9"/>
    <w:rsid w:val="081E31E5"/>
    <w:rsid w:val="085706E0"/>
    <w:rsid w:val="08610919"/>
    <w:rsid w:val="086365FB"/>
    <w:rsid w:val="087168F1"/>
    <w:rsid w:val="087516B5"/>
    <w:rsid w:val="08755561"/>
    <w:rsid w:val="088F3679"/>
    <w:rsid w:val="089C0A55"/>
    <w:rsid w:val="08B2315A"/>
    <w:rsid w:val="08B77191"/>
    <w:rsid w:val="08C622D9"/>
    <w:rsid w:val="08FF4B4A"/>
    <w:rsid w:val="090A63D1"/>
    <w:rsid w:val="096C77E3"/>
    <w:rsid w:val="09C000DC"/>
    <w:rsid w:val="0A0053B7"/>
    <w:rsid w:val="0A256191"/>
    <w:rsid w:val="0A554502"/>
    <w:rsid w:val="0A8643B4"/>
    <w:rsid w:val="0AB74137"/>
    <w:rsid w:val="0ACF2353"/>
    <w:rsid w:val="0B002E68"/>
    <w:rsid w:val="0B537E6D"/>
    <w:rsid w:val="0B667FDA"/>
    <w:rsid w:val="0B892115"/>
    <w:rsid w:val="0B9D2896"/>
    <w:rsid w:val="0BFF2670"/>
    <w:rsid w:val="0C144DA0"/>
    <w:rsid w:val="0C3841E3"/>
    <w:rsid w:val="0C3D3B7C"/>
    <w:rsid w:val="0C5141E6"/>
    <w:rsid w:val="0C715FC6"/>
    <w:rsid w:val="0C764F07"/>
    <w:rsid w:val="0C7C7A78"/>
    <w:rsid w:val="0C965124"/>
    <w:rsid w:val="0C992E66"/>
    <w:rsid w:val="0C9A31E7"/>
    <w:rsid w:val="0CA334D3"/>
    <w:rsid w:val="0CAA0EE6"/>
    <w:rsid w:val="0CC22160"/>
    <w:rsid w:val="0CCB63EE"/>
    <w:rsid w:val="0CDB2626"/>
    <w:rsid w:val="0CF22382"/>
    <w:rsid w:val="0CF3153F"/>
    <w:rsid w:val="0D4B2387"/>
    <w:rsid w:val="0D6D2EB4"/>
    <w:rsid w:val="0D7B7E36"/>
    <w:rsid w:val="0D8A3E44"/>
    <w:rsid w:val="0DAF6B00"/>
    <w:rsid w:val="0DB4319F"/>
    <w:rsid w:val="0DDE3020"/>
    <w:rsid w:val="0DEC1B32"/>
    <w:rsid w:val="0DF27122"/>
    <w:rsid w:val="0E202704"/>
    <w:rsid w:val="0E393AD1"/>
    <w:rsid w:val="0E65059E"/>
    <w:rsid w:val="0E6A0AD1"/>
    <w:rsid w:val="0E9D2978"/>
    <w:rsid w:val="0F746BD8"/>
    <w:rsid w:val="0F8E5652"/>
    <w:rsid w:val="0F985B10"/>
    <w:rsid w:val="0FCF5127"/>
    <w:rsid w:val="0FE40BDE"/>
    <w:rsid w:val="10142F30"/>
    <w:rsid w:val="103362B0"/>
    <w:rsid w:val="103A085F"/>
    <w:rsid w:val="1059713A"/>
    <w:rsid w:val="105B50D7"/>
    <w:rsid w:val="10A323C5"/>
    <w:rsid w:val="10E04DB7"/>
    <w:rsid w:val="112758F4"/>
    <w:rsid w:val="113F68DF"/>
    <w:rsid w:val="119019AD"/>
    <w:rsid w:val="11B74ED6"/>
    <w:rsid w:val="11B91666"/>
    <w:rsid w:val="1204213A"/>
    <w:rsid w:val="121C0361"/>
    <w:rsid w:val="122136E2"/>
    <w:rsid w:val="123F4757"/>
    <w:rsid w:val="126F4D73"/>
    <w:rsid w:val="129B3555"/>
    <w:rsid w:val="129D77C3"/>
    <w:rsid w:val="12B6097C"/>
    <w:rsid w:val="12CD36B4"/>
    <w:rsid w:val="12CD410A"/>
    <w:rsid w:val="12D36A8E"/>
    <w:rsid w:val="12DF7646"/>
    <w:rsid w:val="12E81D55"/>
    <w:rsid w:val="12E92544"/>
    <w:rsid w:val="12EC203D"/>
    <w:rsid w:val="12EC3479"/>
    <w:rsid w:val="131A5379"/>
    <w:rsid w:val="131D51F6"/>
    <w:rsid w:val="13245DBE"/>
    <w:rsid w:val="13383C85"/>
    <w:rsid w:val="13477BDB"/>
    <w:rsid w:val="135C6121"/>
    <w:rsid w:val="13A81433"/>
    <w:rsid w:val="13B9083E"/>
    <w:rsid w:val="13B94182"/>
    <w:rsid w:val="13C62793"/>
    <w:rsid w:val="13DB502F"/>
    <w:rsid w:val="13F82027"/>
    <w:rsid w:val="14015974"/>
    <w:rsid w:val="143254CD"/>
    <w:rsid w:val="147F3232"/>
    <w:rsid w:val="14EE7DDF"/>
    <w:rsid w:val="14F02D87"/>
    <w:rsid w:val="151255DC"/>
    <w:rsid w:val="1528387C"/>
    <w:rsid w:val="15477FC0"/>
    <w:rsid w:val="15617CA4"/>
    <w:rsid w:val="158124F3"/>
    <w:rsid w:val="15D66983"/>
    <w:rsid w:val="15E90F96"/>
    <w:rsid w:val="161001DD"/>
    <w:rsid w:val="16105F78"/>
    <w:rsid w:val="16244DD5"/>
    <w:rsid w:val="1641128B"/>
    <w:rsid w:val="165F362F"/>
    <w:rsid w:val="167B124B"/>
    <w:rsid w:val="16862E02"/>
    <w:rsid w:val="16E40F10"/>
    <w:rsid w:val="16EB0E8E"/>
    <w:rsid w:val="172B220C"/>
    <w:rsid w:val="17633622"/>
    <w:rsid w:val="1794496F"/>
    <w:rsid w:val="17BC364D"/>
    <w:rsid w:val="17D26ED5"/>
    <w:rsid w:val="17D32E24"/>
    <w:rsid w:val="17F15F96"/>
    <w:rsid w:val="180669B0"/>
    <w:rsid w:val="183A3884"/>
    <w:rsid w:val="183C018F"/>
    <w:rsid w:val="184D5726"/>
    <w:rsid w:val="186B244A"/>
    <w:rsid w:val="186C0BAD"/>
    <w:rsid w:val="18784D87"/>
    <w:rsid w:val="1885001A"/>
    <w:rsid w:val="188A52A8"/>
    <w:rsid w:val="18B34275"/>
    <w:rsid w:val="18C523AD"/>
    <w:rsid w:val="18C716F6"/>
    <w:rsid w:val="18C85F52"/>
    <w:rsid w:val="18FD671D"/>
    <w:rsid w:val="18FF0A5B"/>
    <w:rsid w:val="19494754"/>
    <w:rsid w:val="195503A3"/>
    <w:rsid w:val="19744FF1"/>
    <w:rsid w:val="19B0026C"/>
    <w:rsid w:val="19D3081B"/>
    <w:rsid w:val="19E22C74"/>
    <w:rsid w:val="19E77FC8"/>
    <w:rsid w:val="19F0246F"/>
    <w:rsid w:val="19F278A8"/>
    <w:rsid w:val="1A0C14B0"/>
    <w:rsid w:val="1AA721C7"/>
    <w:rsid w:val="1AC0660E"/>
    <w:rsid w:val="1ACA5D1C"/>
    <w:rsid w:val="1B0203F9"/>
    <w:rsid w:val="1B330821"/>
    <w:rsid w:val="1B5C6EC0"/>
    <w:rsid w:val="1B6F3A52"/>
    <w:rsid w:val="1B70113A"/>
    <w:rsid w:val="1B767316"/>
    <w:rsid w:val="1B842BE9"/>
    <w:rsid w:val="1B937848"/>
    <w:rsid w:val="1BE24DBC"/>
    <w:rsid w:val="1BE67886"/>
    <w:rsid w:val="1BE803A7"/>
    <w:rsid w:val="1BF83891"/>
    <w:rsid w:val="1C006756"/>
    <w:rsid w:val="1C11075E"/>
    <w:rsid w:val="1C4D3F1C"/>
    <w:rsid w:val="1C61003E"/>
    <w:rsid w:val="1C6F14EE"/>
    <w:rsid w:val="1C8524E8"/>
    <w:rsid w:val="1C9E4008"/>
    <w:rsid w:val="1CC14E5A"/>
    <w:rsid w:val="1D1D4CB1"/>
    <w:rsid w:val="1D442BB3"/>
    <w:rsid w:val="1D886C91"/>
    <w:rsid w:val="1DAF6ADF"/>
    <w:rsid w:val="1DB01C2A"/>
    <w:rsid w:val="1DE620B4"/>
    <w:rsid w:val="1DF91CE9"/>
    <w:rsid w:val="1DFD5237"/>
    <w:rsid w:val="1E0E5161"/>
    <w:rsid w:val="1E1544F2"/>
    <w:rsid w:val="1E3273A9"/>
    <w:rsid w:val="1E327889"/>
    <w:rsid w:val="1E461402"/>
    <w:rsid w:val="1E7F3C7C"/>
    <w:rsid w:val="1EB06DAE"/>
    <w:rsid w:val="1EC30786"/>
    <w:rsid w:val="1ED418F4"/>
    <w:rsid w:val="1EF00B01"/>
    <w:rsid w:val="1EF3596F"/>
    <w:rsid w:val="1FBA5F47"/>
    <w:rsid w:val="1FCD2891"/>
    <w:rsid w:val="1FE45C9A"/>
    <w:rsid w:val="202D296B"/>
    <w:rsid w:val="20594DE9"/>
    <w:rsid w:val="205B27D3"/>
    <w:rsid w:val="20650EC0"/>
    <w:rsid w:val="206749C5"/>
    <w:rsid w:val="20951BE0"/>
    <w:rsid w:val="20AB556B"/>
    <w:rsid w:val="20CA53A5"/>
    <w:rsid w:val="21126DD1"/>
    <w:rsid w:val="211D65ED"/>
    <w:rsid w:val="21354AB4"/>
    <w:rsid w:val="214967B1"/>
    <w:rsid w:val="214C259E"/>
    <w:rsid w:val="21514168"/>
    <w:rsid w:val="21824D0F"/>
    <w:rsid w:val="21A026D2"/>
    <w:rsid w:val="21A206E2"/>
    <w:rsid w:val="21C62B12"/>
    <w:rsid w:val="21CF2F85"/>
    <w:rsid w:val="21DA7C38"/>
    <w:rsid w:val="22350AE4"/>
    <w:rsid w:val="22383A9A"/>
    <w:rsid w:val="2250782F"/>
    <w:rsid w:val="225D19C2"/>
    <w:rsid w:val="227D65EB"/>
    <w:rsid w:val="22E1220C"/>
    <w:rsid w:val="23155062"/>
    <w:rsid w:val="231B1C15"/>
    <w:rsid w:val="23586B89"/>
    <w:rsid w:val="2375661E"/>
    <w:rsid w:val="23860955"/>
    <w:rsid w:val="238C12C6"/>
    <w:rsid w:val="23B757B7"/>
    <w:rsid w:val="23D5189E"/>
    <w:rsid w:val="23D97C30"/>
    <w:rsid w:val="23E87267"/>
    <w:rsid w:val="23EC5E3E"/>
    <w:rsid w:val="23FE7410"/>
    <w:rsid w:val="240C6DC7"/>
    <w:rsid w:val="241C1F5B"/>
    <w:rsid w:val="24212D64"/>
    <w:rsid w:val="24266496"/>
    <w:rsid w:val="2449680E"/>
    <w:rsid w:val="246968D9"/>
    <w:rsid w:val="247A6F37"/>
    <w:rsid w:val="24972151"/>
    <w:rsid w:val="24985C2F"/>
    <w:rsid w:val="24A27CF6"/>
    <w:rsid w:val="24BA6B18"/>
    <w:rsid w:val="24C058C1"/>
    <w:rsid w:val="24CF3629"/>
    <w:rsid w:val="24E23DCB"/>
    <w:rsid w:val="24F26611"/>
    <w:rsid w:val="24FE78B3"/>
    <w:rsid w:val="251025E2"/>
    <w:rsid w:val="2518395F"/>
    <w:rsid w:val="251B7D01"/>
    <w:rsid w:val="2531164C"/>
    <w:rsid w:val="253F698A"/>
    <w:rsid w:val="254B04A3"/>
    <w:rsid w:val="25802464"/>
    <w:rsid w:val="259C1295"/>
    <w:rsid w:val="25A41A5B"/>
    <w:rsid w:val="25AB41A7"/>
    <w:rsid w:val="25D542B8"/>
    <w:rsid w:val="25EF2AEA"/>
    <w:rsid w:val="25F747AF"/>
    <w:rsid w:val="26061F79"/>
    <w:rsid w:val="26062A56"/>
    <w:rsid w:val="26236525"/>
    <w:rsid w:val="26290D9A"/>
    <w:rsid w:val="2639344B"/>
    <w:rsid w:val="265145F7"/>
    <w:rsid w:val="268A60AA"/>
    <w:rsid w:val="26A56628"/>
    <w:rsid w:val="26C471B5"/>
    <w:rsid w:val="26D556D1"/>
    <w:rsid w:val="26DD1E9D"/>
    <w:rsid w:val="27095652"/>
    <w:rsid w:val="27285F02"/>
    <w:rsid w:val="27323236"/>
    <w:rsid w:val="274D5481"/>
    <w:rsid w:val="27547C5E"/>
    <w:rsid w:val="277125BE"/>
    <w:rsid w:val="2791259C"/>
    <w:rsid w:val="27931101"/>
    <w:rsid w:val="27DA26B4"/>
    <w:rsid w:val="27F05E53"/>
    <w:rsid w:val="27FC155E"/>
    <w:rsid w:val="281D7DCF"/>
    <w:rsid w:val="28353194"/>
    <w:rsid w:val="284C5141"/>
    <w:rsid w:val="284E16A4"/>
    <w:rsid w:val="286B5AF5"/>
    <w:rsid w:val="287C23EA"/>
    <w:rsid w:val="289925D0"/>
    <w:rsid w:val="28AA19EA"/>
    <w:rsid w:val="28BE080B"/>
    <w:rsid w:val="28C22C96"/>
    <w:rsid w:val="28CC15F2"/>
    <w:rsid w:val="291121D7"/>
    <w:rsid w:val="29223D32"/>
    <w:rsid w:val="295152CF"/>
    <w:rsid w:val="296B2458"/>
    <w:rsid w:val="29947F56"/>
    <w:rsid w:val="29CF3F21"/>
    <w:rsid w:val="29EC30A7"/>
    <w:rsid w:val="2A047FF8"/>
    <w:rsid w:val="2A1B1338"/>
    <w:rsid w:val="2A3A5394"/>
    <w:rsid w:val="2A3E5C40"/>
    <w:rsid w:val="2A891C61"/>
    <w:rsid w:val="2B09358C"/>
    <w:rsid w:val="2B271956"/>
    <w:rsid w:val="2B326D89"/>
    <w:rsid w:val="2B353D52"/>
    <w:rsid w:val="2B42039B"/>
    <w:rsid w:val="2B4F1E86"/>
    <w:rsid w:val="2B505F79"/>
    <w:rsid w:val="2B5626D5"/>
    <w:rsid w:val="2B5D5F1F"/>
    <w:rsid w:val="2B6D3084"/>
    <w:rsid w:val="2B6F26A4"/>
    <w:rsid w:val="2B7A3236"/>
    <w:rsid w:val="2BA01609"/>
    <w:rsid w:val="2BA20AB4"/>
    <w:rsid w:val="2BA939D9"/>
    <w:rsid w:val="2BBE723E"/>
    <w:rsid w:val="2BD47761"/>
    <w:rsid w:val="2C127DBC"/>
    <w:rsid w:val="2C346BAB"/>
    <w:rsid w:val="2C516BF3"/>
    <w:rsid w:val="2C606A0E"/>
    <w:rsid w:val="2C8B2818"/>
    <w:rsid w:val="2D1A3414"/>
    <w:rsid w:val="2D2F3E3F"/>
    <w:rsid w:val="2D5030C2"/>
    <w:rsid w:val="2DB86106"/>
    <w:rsid w:val="2DBE36C0"/>
    <w:rsid w:val="2DC94999"/>
    <w:rsid w:val="2DE04ADE"/>
    <w:rsid w:val="2DE72BA6"/>
    <w:rsid w:val="2E03143D"/>
    <w:rsid w:val="2E492CC2"/>
    <w:rsid w:val="2E4B77EA"/>
    <w:rsid w:val="2E561404"/>
    <w:rsid w:val="2EB16EC9"/>
    <w:rsid w:val="2EB511FF"/>
    <w:rsid w:val="2EC1468C"/>
    <w:rsid w:val="2EC9399E"/>
    <w:rsid w:val="2EE64A6A"/>
    <w:rsid w:val="2F073293"/>
    <w:rsid w:val="2F1877C3"/>
    <w:rsid w:val="2F510DCA"/>
    <w:rsid w:val="2F5A2A96"/>
    <w:rsid w:val="2F620308"/>
    <w:rsid w:val="2F73303D"/>
    <w:rsid w:val="2F880872"/>
    <w:rsid w:val="2F8F2F8B"/>
    <w:rsid w:val="301C3414"/>
    <w:rsid w:val="306B4D61"/>
    <w:rsid w:val="30AC6882"/>
    <w:rsid w:val="30B310D2"/>
    <w:rsid w:val="30B64BF7"/>
    <w:rsid w:val="30DA11D4"/>
    <w:rsid w:val="30E274A2"/>
    <w:rsid w:val="30EE0E5C"/>
    <w:rsid w:val="30F5220B"/>
    <w:rsid w:val="314531E7"/>
    <w:rsid w:val="31532D34"/>
    <w:rsid w:val="316D2048"/>
    <w:rsid w:val="32191A19"/>
    <w:rsid w:val="321B38AD"/>
    <w:rsid w:val="32284A16"/>
    <w:rsid w:val="32621481"/>
    <w:rsid w:val="32691929"/>
    <w:rsid w:val="326F1917"/>
    <w:rsid w:val="32C8152B"/>
    <w:rsid w:val="32F01661"/>
    <w:rsid w:val="330811E7"/>
    <w:rsid w:val="330C22AD"/>
    <w:rsid w:val="3322732B"/>
    <w:rsid w:val="332D2DB3"/>
    <w:rsid w:val="336368F8"/>
    <w:rsid w:val="3385299B"/>
    <w:rsid w:val="33A83BA2"/>
    <w:rsid w:val="33AD4A8D"/>
    <w:rsid w:val="33C1667B"/>
    <w:rsid w:val="33E75EFD"/>
    <w:rsid w:val="33EA53C6"/>
    <w:rsid w:val="33F77D35"/>
    <w:rsid w:val="33FB7A6D"/>
    <w:rsid w:val="344270B5"/>
    <w:rsid w:val="345F6EBD"/>
    <w:rsid w:val="346643CE"/>
    <w:rsid w:val="34740B8D"/>
    <w:rsid w:val="34A0272E"/>
    <w:rsid w:val="34AF22B3"/>
    <w:rsid w:val="34C80A23"/>
    <w:rsid w:val="34F34D37"/>
    <w:rsid w:val="34FE75BE"/>
    <w:rsid w:val="34FF4FF6"/>
    <w:rsid w:val="350F2CD7"/>
    <w:rsid w:val="35222189"/>
    <w:rsid w:val="35412238"/>
    <w:rsid w:val="35524F09"/>
    <w:rsid w:val="35541D6E"/>
    <w:rsid w:val="356A68A2"/>
    <w:rsid w:val="357331A8"/>
    <w:rsid w:val="35801B58"/>
    <w:rsid w:val="35A32A20"/>
    <w:rsid w:val="35AA5B4B"/>
    <w:rsid w:val="35BB2FA1"/>
    <w:rsid w:val="35BB759C"/>
    <w:rsid w:val="35BC0B2C"/>
    <w:rsid w:val="35C572AF"/>
    <w:rsid w:val="36144A13"/>
    <w:rsid w:val="363B6CF1"/>
    <w:rsid w:val="36DC4E7C"/>
    <w:rsid w:val="370D06B1"/>
    <w:rsid w:val="37A20426"/>
    <w:rsid w:val="37F50C92"/>
    <w:rsid w:val="38000FCF"/>
    <w:rsid w:val="380746DE"/>
    <w:rsid w:val="38083409"/>
    <w:rsid w:val="38142BFC"/>
    <w:rsid w:val="381A7ACB"/>
    <w:rsid w:val="382311A8"/>
    <w:rsid w:val="38813D4B"/>
    <w:rsid w:val="388D5744"/>
    <w:rsid w:val="38F973F0"/>
    <w:rsid w:val="39160202"/>
    <w:rsid w:val="39300F62"/>
    <w:rsid w:val="39306B78"/>
    <w:rsid w:val="395B2F5B"/>
    <w:rsid w:val="395B53C5"/>
    <w:rsid w:val="39651DF0"/>
    <w:rsid w:val="397C415A"/>
    <w:rsid w:val="39935F76"/>
    <w:rsid w:val="39961770"/>
    <w:rsid w:val="39A36843"/>
    <w:rsid w:val="39B20BA2"/>
    <w:rsid w:val="39FD728D"/>
    <w:rsid w:val="3A4D7B60"/>
    <w:rsid w:val="3A63793D"/>
    <w:rsid w:val="3A964606"/>
    <w:rsid w:val="3ADD1198"/>
    <w:rsid w:val="3AE30941"/>
    <w:rsid w:val="3AF25721"/>
    <w:rsid w:val="3AFC1E6B"/>
    <w:rsid w:val="3AFD17A0"/>
    <w:rsid w:val="3AFD387B"/>
    <w:rsid w:val="3B287C2A"/>
    <w:rsid w:val="3B2B786E"/>
    <w:rsid w:val="3B333C93"/>
    <w:rsid w:val="3B7B40D2"/>
    <w:rsid w:val="3B826C05"/>
    <w:rsid w:val="3B892174"/>
    <w:rsid w:val="3BBF7D3F"/>
    <w:rsid w:val="3BE355F3"/>
    <w:rsid w:val="3BEF55D0"/>
    <w:rsid w:val="3C08229A"/>
    <w:rsid w:val="3C1E5FC5"/>
    <w:rsid w:val="3C7B6580"/>
    <w:rsid w:val="3C7F79D7"/>
    <w:rsid w:val="3C843F2E"/>
    <w:rsid w:val="3CE439A2"/>
    <w:rsid w:val="3D0A291F"/>
    <w:rsid w:val="3D38483E"/>
    <w:rsid w:val="3D400DE3"/>
    <w:rsid w:val="3D4D2D2E"/>
    <w:rsid w:val="3D5039CA"/>
    <w:rsid w:val="3D557903"/>
    <w:rsid w:val="3D74414E"/>
    <w:rsid w:val="3D7A1124"/>
    <w:rsid w:val="3D8425A2"/>
    <w:rsid w:val="3D8A6929"/>
    <w:rsid w:val="3D937F1E"/>
    <w:rsid w:val="3D94095C"/>
    <w:rsid w:val="3DDD694B"/>
    <w:rsid w:val="3E4F5ED7"/>
    <w:rsid w:val="3E57654C"/>
    <w:rsid w:val="3E8721EF"/>
    <w:rsid w:val="3E87337F"/>
    <w:rsid w:val="3E8B7FB1"/>
    <w:rsid w:val="3E986153"/>
    <w:rsid w:val="3EA3437E"/>
    <w:rsid w:val="3EEA58DF"/>
    <w:rsid w:val="3EFC0A14"/>
    <w:rsid w:val="3F425526"/>
    <w:rsid w:val="3F5D42C9"/>
    <w:rsid w:val="3F6251B6"/>
    <w:rsid w:val="3F740A45"/>
    <w:rsid w:val="3F774BBF"/>
    <w:rsid w:val="3F891A10"/>
    <w:rsid w:val="3F9A7A82"/>
    <w:rsid w:val="3FA25015"/>
    <w:rsid w:val="3FD959FC"/>
    <w:rsid w:val="3FE52944"/>
    <w:rsid w:val="3FEB7529"/>
    <w:rsid w:val="400B629E"/>
    <w:rsid w:val="403D352D"/>
    <w:rsid w:val="406A70EA"/>
    <w:rsid w:val="40A671A2"/>
    <w:rsid w:val="40BB18E0"/>
    <w:rsid w:val="40E04EE6"/>
    <w:rsid w:val="410839BD"/>
    <w:rsid w:val="41717F45"/>
    <w:rsid w:val="418B4543"/>
    <w:rsid w:val="41D42AD3"/>
    <w:rsid w:val="420C0740"/>
    <w:rsid w:val="42167036"/>
    <w:rsid w:val="42964BE0"/>
    <w:rsid w:val="42AF413D"/>
    <w:rsid w:val="42C057BA"/>
    <w:rsid w:val="42C56A6B"/>
    <w:rsid w:val="42D120A0"/>
    <w:rsid w:val="42FE5135"/>
    <w:rsid w:val="431B5D2E"/>
    <w:rsid w:val="43610922"/>
    <w:rsid w:val="438B56EE"/>
    <w:rsid w:val="438F19DD"/>
    <w:rsid w:val="43A73E1E"/>
    <w:rsid w:val="43C93039"/>
    <w:rsid w:val="43F6252A"/>
    <w:rsid w:val="44676E29"/>
    <w:rsid w:val="44765D7F"/>
    <w:rsid w:val="44880F54"/>
    <w:rsid w:val="4496280D"/>
    <w:rsid w:val="44B05B9E"/>
    <w:rsid w:val="44CD0EA1"/>
    <w:rsid w:val="44F11518"/>
    <w:rsid w:val="44F6042B"/>
    <w:rsid w:val="44F66980"/>
    <w:rsid w:val="452A55A8"/>
    <w:rsid w:val="452C3067"/>
    <w:rsid w:val="453306B3"/>
    <w:rsid w:val="453F59E1"/>
    <w:rsid w:val="454748DB"/>
    <w:rsid w:val="45690822"/>
    <w:rsid w:val="45AF6F49"/>
    <w:rsid w:val="45F34DBA"/>
    <w:rsid w:val="46620DC2"/>
    <w:rsid w:val="46942889"/>
    <w:rsid w:val="471274C2"/>
    <w:rsid w:val="472F7628"/>
    <w:rsid w:val="476F4F18"/>
    <w:rsid w:val="477E24AA"/>
    <w:rsid w:val="47802533"/>
    <w:rsid w:val="47F303B1"/>
    <w:rsid w:val="480F3A01"/>
    <w:rsid w:val="484470AA"/>
    <w:rsid w:val="48522157"/>
    <w:rsid w:val="48885232"/>
    <w:rsid w:val="48B37F4D"/>
    <w:rsid w:val="48D64482"/>
    <w:rsid w:val="48FD7BB7"/>
    <w:rsid w:val="49146143"/>
    <w:rsid w:val="492178A6"/>
    <w:rsid w:val="49425E15"/>
    <w:rsid w:val="4949635D"/>
    <w:rsid w:val="494A506A"/>
    <w:rsid w:val="49577084"/>
    <w:rsid w:val="495D50C5"/>
    <w:rsid w:val="49703BF3"/>
    <w:rsid w:val="49B67B52"/>
    <w:rsid w:val="49F24879"/>
    <w:rsid w:val="49F67F4E"/>
    <w:rsid w:val="4A015A94"/>
    <w:rsid w:val="4A0F317C"/>
    <w:rsid w:val="4A4071DE"/>
    <w:rsid w:val="4A477482"/>
    <w:rsid w:val="4A5659DE"/>
    <w:rsid w:val="4A7470EE"/>
    <w:rsid w:val="4A874EEF"/>
    <w:rsid w:val="4A87600D"/>
    <w:rsid w:val="4AAC7001"/>
    <w:rsid w:val="4AB76EE7"/>
    <w:rsid w:val="4AD827D0"/>
    <w:rsid w:val="4AF173EE"/>
    <w:rsid w:val="4B03231E"/>
    <w:rsid w:val="4B1550A5"/>
    <w:rsid w:val="4B18273E"/>
    <w:rsid w:val="4B4348B6"/>
    <w:rsid w:val="4B447A16"/>
    <w:rsid w:val="4BA26724"/>
    <w:rsid w:val="4BA347E7"/>
    <w:rsid w:val="4BA93BE7"/>
    <w:rsid w:val="4BEF00B4"/>
    <w:rsid w:val="4C3405CE"/>
    <w:rsid w:val="4C377795"/>
    <w:rsid w:val="4C5C0507"/>
    <w:rsid w:val="4CA20082"/>
    <w:rsid w:val="4CA53891"/>
    <w:rsid w:val="4D04404A"/>
    <w:rsid w:val="4D214139"/>
    <w:rsid w:val="4D241A6A"/>
    <w:rsid w:val="4D345E12"/>
    <w:rsid w:val="4D4245AF"/>
    <w:rsid w:val="4D42654E"/>
    <w:rsid w:val="4D6C0BAC"/>
    <w:rsid w:val="4DA3294D"/>
    <w:rsid w:val="4E066715"/>
    <w:rsid w:val="4E2058BA"/>
    <w:rsid w:val="4E2A4AE0"/>
    <w:rsid w:val="4E575A65"/>
    <w:rsid w:val="4E5934FF"/>
    <w:rsid w:val="4E6E699C"/>
    <w:rsid w:val="4E846F67"/>
    <w:rsid w:val="4E9F5096"/>
    <w:rsid w:val="4EA0026C"/>
    <w:rsid w:val="4EA37AB3"/>
    <w:rsid w:val="4ED55C14"/>
    <w:rsid w:val="4F04775E"/>
    <w:rsid w:val="4F0C11A3"/>
    <w:rsid w:val="4F191E31"/>
    <w:rsid w:val="4F351FFC"/>
    <w:rsid w:val="4F4D5478"/>
    <w:rsid w:val="4F697E9B"/>
    <w:rsid w:val="4FA33483"/>
    <w:rsid w:val="4FE5643C"/>
    <w:rsid w:val="4FF47DBB"/>
    <w:rsid w:val="4FFB1E0B"/>
    <w:rsid w:val="501A2DBC"/>
    <w:rsid w:val="505428F9"/>
    <w:rsid w:val="5054476F"/>
    <w:rsid w:val="50660016"/>
    <w:rsid w:val="508876D4"/>
    <w:rsid w:val="508C3C9A"/>
    <w:rsid w:val="50930065"/>
    <w:rsid w:val="50C667E3"/>
    <w:rsid w:val="5106662D"/>
    <w:rsid w:val="51196F82"/>
    <w:rsid w:val="5126580A"/>
    <w:rsid w:val="51307BB4"/>
    <w:rsid w:val="514260B6"/>
    <w:rsid w:val="515B5D0A"/>
    <w:rsid w:val="5170186D"/>
    <w:rsid w:val="51C23767"/>
    <w:rsid w:val="51C55131"/>
    <w:rsid w:val="51D07948"/>
    <w:rsid w:val="51D23787"/>
    <w:rsid w:val="51D57796"/>
    <w:rsid w:val="51E41D39"/>
    <w:rsid w:val="521B4E18"/>
    <w:rsid w:val="52701D78"/>
    <w:rsid w:val="5281586C"/>
    <w:rsid w:val="52815D19"/>
    <w:rsid w:val="52B84381"/>
    <w:rsid w:val="52BF4296"/>
    <w:rsid w:val="530F2B25"/>
    <w:rsid w:val="53124646"/>
    <w:rsid w:val="531437A9"/>
    <w:rsid w:val="533024F5"/>
    <w:rsid w:val="53424C8B"/>
    <w:rsid w:val="534A5C05"/>
    <w:rsid w:val="534E07A2"/>
    <w:rsid w:val="5377306B"/>
    <w:rsid w:val="53781FA6"/>
    <w:rsid w:val="5389410F"/>
    <w:rsid w:val="53CC19E7"/>
    <w:rsid w:val="53D37FD9"/>
    <w:rsid w:val="53DA4EC3"/>
    <w:rsid w:val="54200AA8"/>
    <w:rsid w:val="54315242"/>
    <w:rsid w:val="54413DF2"/>
    <w:rsid w:val="54870E30"/>
    <w:rsid w:val="54CB4D3C"/>
    <w:rsid w:val="54EB554D"/>
    <w:rsid w:val="54F63A23"/>
    <w:rsid w:val="55296580"/>
    <w:rsid w:val="553368D4"/>
    <w:rsid w:val="55C50E79"/>
    <w:rsid w:val="55C64094"/>
    <w:rsid w:val="55DA6307"/>
    <w:rsid w:val="56025017"/>
    <w:rsid w:val="560B710C"/>
    <w:rsid w:val="564115FF"/>
    <w:rsid w:val="56856478"/>
    <w:rsid w:val="56A96600"/>
    <w:rsid w:val="570A51ED"/>
    <w:rsid w:val="571401DB"/>
    <w:rsid w:val="572A5078"/>
    <w:rsid w:val="5740064C"/>
    <w:rsid w:val="5743433F"/>
    <w:rsid w:val="57656867"/>
    <w:rsid w:val="57BA22B3"/>
    <w:rsid w:val="57F32F51"/>
    <w:rsid w:val="57F50F1A"/>
    <w:rsid w:val="581314B8"/>
    <w:rsid w:val="58261FFD"/>
    <w:rsid w:val="58381E92"/>
    <w:rsid w:val="58B7599A"/>
    <w:rsid w:val="5911544F"/>
    <w:rsid w:val="5932798A"/>
    <w:rsid w:val="59333087"/>
    <w:rsid w:val="598931E6"/>
    <w:rsid w:val="59A312F7"/>
    <w:rsid w:val="59BE4D82"/>
    <w:rsid w:val="59D27568"/>
    <w:rsid w:val="5A1E3792"/>
    <w:rsid w:val="5A212D3F"/>
    <w:rsid w:val="5A3D43FE"/>
    <w:rsid w:val="5A7D277F"/>
    <w:rsid w:val="5A8147B4"/>
    <w:rsid w:val="5A8B4B01"/>
    <w:rsid w:val="5AA52896"/>
    <w:rsid w:val="5ABB6A51"/>
    <w:rsid w:val="5AD16135"/>
    <w:rsid w:val="5AD55E54"/>
    <w:rsid w:val="5AF47486"/>
    <w:rsid w:val="5AFA7489"/>
    <w:rsid w:val="5B001120"/>
    <w:rsid w:val="5B3661E2"/>
    <w:rsid w:val="5B525485"/>
    <w:rsid w:val="5B567AD7"/>
    <w:rsid w:val="5B7200D7"/>
    <w:rsid w:val="5BBD4AD1"/>
    <w:rsid w:val="5BC617F4"/>
    <w:rsid w:val="5BEC0CF4"/>
    <w:rsid w:val="5BFD1D60"/>
    <w:rsid w:val="5BFD6AFE"/>
    <w:rsid w:val="5C06248C"/>
    <w:rsid w:val="5C9456B1"/>
    <w:rsid w:val="5CF644A3"/>
    <w:rsid w:val="5D3E7A2D"/>
    <w:rsid w:val="5D6E3270"/>
    <w:rsid w:val="5D73366F"/>
    <w:rsid w:val="5D9C602A"/>
    <w:rsid w:val="5DD94D1B"/>
    <w:rsid w:val="5E111FE2"/>
    <w:rsid w:val="5E36545B"/>
    <w:rsid w:val="5E7C6083"/>
    <w:rsid w:val="5EB837BE"/>
    <w:rsid w:val="5EE365DE"/>
    <w:rsid w:val="5EE7093F"/>
    <w:rsid w:val="5EFE106B"/>
    <w:rsid w:val="5F030E81"/>
    <w:rsid w:val="5F134150"/>
    <w:rsid w:val="5F2873EC"/>
    <w:rsid w:val="5FA54692"/>
    <w:rsid w:val="5FB76B77"/>
    <w:rsid w:val="5FEA7BB7"/>
    <w:rsid w:val="603B3D53"/>
    <w:rsid w:val="604D00B6"/>
    <w:rsid w:val="6051122F"/>
    <w:rsid w:val="605B0E10"/>
    <w:rsid w:val="60767FE4"/>
    <w:rsid w:val="607F642D"/>
    <w:rsid w:val="60E83F66"/>
    <w:rsid w:val="611A7B89"/>
    <w:rsid w:val="611F0A58"/>
    <w:rsid w:val="61800618"/>
    <w:rsid w:val="618F5D6F"/>
    <w:rsid w:val="61CF7282"/>
    <w:rsid w:val="61DC20DF"/>
    <w:rsid w:val="62085F01"/>
    <w:rsid w:val="620D0E27"/>
    <w:rsid w:val="6212172A"/>
    <w:rsid w:val="621E75D4"/>
    <w:rsid w:val="62301663"/>
    <w:rsid w:val="623E55E2"/>
    <w:rsid w:val="62512E37"/>
    <w:rsid w:val="62663BA7"/>
    <w:rsid w:val="628A0F69"/>
    <w:rsid w:val="629E2DC2"/>
    <w:rsid w:val="62AB4A7B"/>
    <w:rsid w:val="62CA329C"/>
    <w:rsid w:val="62E844C4"/>
    <w:rsid w:val="630A598B"/>
    <w:rsid w:val="63334652"/>
    <w:rsid w:val="633D23BF"/>
    <w:rsid w:val="637646CC"/>
    <w:rsid w:val="637E6645"/>
    <w:rsid w:val="63923EF8"/>
    <w:rsid w:val="63947B26"/>
    <w:rsid w:val="63B311D6"/>
    <w:rsid w:val="63EA42E3"/>
    <w:rsid w:val="63ED4F4B"/>
    <w:rsid w:val="640D4E41"/>
    <w:rsid w:val="646249D6"/>
    <w:rsid w:val="64794B49"/>
    <w:rsid w:val="6486294B"/>
    <w:rsid w:val="64934F81"/>
    <w:rsid w:val="6515350E"/>
    <w:rsid w:val="651D23C1"/>
    <w:rsid w:val="6534541F"/>
    <w:rsid w:val="654B5678"/>
    <w:rsid w:val="65B574C0"/>
    <w:rsid w:val="65B839FC"/>
    <w:rsid w:val="65F9470D"/>
    <w:rsid w:val="66406856"/>
    <w:rsid w:val="66456ECA"/>
    <w:rsid w:val="665F27D8"/>
    <w:rsid w:val="667A7A61"/>
    <w:rsid w:val="66C45400"/>
    <w:rsid w:val="67101959"/>
    <w:rsid w:val="672B0A01"/>
    <w:rsid w:val="67470427"/>
    <w:rsid w:val="675E215B"/>
    <w:rsid w:val="677E2956"/>
    <w:rsid w:val="67A61638"/>
    <w:rsid w:val="67BA1F5F"/>
    <w:rsid w:val="67C06EAC"/>
    <w:rsid w:val="67EA0148"/>
    <w:rsid w:val="68292B6A"/>
    <w:rsid w:val="68311505"/>
    <w:rsid w:val="68343E00"/>
    <w:rsid w:val="68395D68"/>
    <w:rsid w:val="6844146A"/>
    <w:rsid w:val="68446002"/>
    <w:rsid w:val="685A04CB"/>
    <w:rsid w:val="685B00A5"/>
    <w:rsid w:val="687A07D5"/>
    <w:rsid w:val="689538B0"/>
    <w:rsid w:val="68B7323C"/>
    <w:rsid w:val="68BB38EA"/>
    <w:rsid w:val="68C76DD5"/>
    <w:rsid w:val="68DF1B19"/>
    <w:rsid w:val="68E16F37"/>
    <w:rsid w:val="690F6F08"/>
    <w:rsid w:val="6918410D"/>
    <w:rsid w:val="693A5C66"/>
    <w:rsid w:val="695B6F0E"/>
    <w:rsid w:val="69D552E1"/>
    <w:rsid w:val="6A04559A"/>
    <w:rsid w:val="6A065F14"/>
    <w:rsid w:val="6A0F0C4F"/>
    <w:rsid w:val="6A327F7A"/>
    <w:rsid w:val="6A5D1F52"/>
    <w:rsid w:val="6A7D0A19"/>
    <w:rsid w:val="6A7E0847"/>
    <w:rsid w:val="6A832ADF"/>
    <w:rsid w:val="6A972BA3"/>
    <w:rsid w:val="6A9C7BD0"/>
    <w:rsid w:val="6AB24972"/>
    <w:rsid w:val="6AFE023A"/>
    <w:rsid w:val="6B3014A2"/>
    <w:rsid w:val="6B3233DF"/>
    <w:rsid w:val="6B342F65"/>
    <w:rsid w:val="6B4B43CB"/>
    <w:rsid w:val="6B942F54"/>
    <w:rsid w:val="6B9A0849"/>
    <w:rsid w:val="6BB90FAB"/>
    <w:rsid w:val="6BBA6DDD"/>
    <w:rsid w:val="6BC629CC"/>
    <w:rsid w:val="6BCE698F"/>
    <w:rsid w:val="6BDA68B5"/>
    <w:rsid w:val="6C0978F9"/>
    <w:rsid w:val="6C0D3D58"/>
    <w:rsid w:val="6C663626"/>
    <w:rsid w:val="6C7F79FA"/>
    <w:rsid w:val="6C9213E3"/>
    <w:rsid w:val="6C931878"/>
    <w:rsid w:val="6CA30AA2"/>
    <w:rsid w:val="6CE66B6E"/>
    <w:rsid w:val="6D0137F7"/>
    <w:rsid w:val="6D0665D9"/>
    <w:rsid w:val="6D233E90"/>
    <w:rsid w:val="6D4759B6"/>
    <w:rsid w:val="6D702959"/>
    <w:rsid w:val="6D9502DB"/>
    <w:rsid w:val="6D982106"/>
    <w:rsid w:val="6DA254B0"/>
    <w:rsid w:val="6DA97D61"/>
    <w:rsid w:val="6DBC1642"/>
    <w:rsid w:val="6DE53CAC"/>
    <w:rsid w:val="6DFF4911"/>
    <w:rsid w:val="6E0C5977"/>
    <w:rsid w:val="6E4D3A0B"/>
    <w:rsid w:val="6E833818"/>
    <w:rsid w:val="6E882E18"/>
    <w:rsid w:val="6E8D76BD"/>
    <w:rsid w:val="6EA82D5C"/>
    <w:rsid w:val="6EBF0C6B"/>
    <w:rsid w:val="6F084581"/>
    <w:rsid w:val="6F255B20"/>
    <w:rsid w:val="6F657FD2"/>
    <w:rsid w:val="6F7C7DA5"/>
    <w:rsid w:val="6F7D76AD"/>
    <w:rsid w:val="6F9A2CC8"/>
    <w:rsid w:val="6FCF378F"/>
    <w:rsid w:val="6FEB69E7"/>
    <w:rsid w:val="70345F05"/>
    <w:rsid w:val="70421E4A"/>
    <w:rsid w:val="70B21FFC"/>
    <w:rsid w:val="70BC7AE4"/>
    <w:rsid w:val="70C242EB"/>
    <w:rsid w:val="70F412CF"/>
    <w:rsid w:val="7103129C"/>
    <w:rsid w:val="710500FC"/>
    <w:rsid w:val="71132EA5"/>
    <w:rsid w:val="714B31D9"/>
    <w:rsid w:val="719F1DC8"/>
    <w:rsid w:val="71A51F9F"/>
    <w:rsid w:val="71B97F93"/>
    <w:rsid w:val="71EB08C4"/>
    <w:rsid w:val="720A0DDC"/>
    <w:rsid w:val="723B4CE0"/>
    <w:rsid w:val="72456972"/>
    <w:rsid w:val="72556492"/>
    <w:rsid w:val="72624C37"/>
    <w:rsid w:val="728D70E6"/>
    <w:rsid w:val="729164E8"/>
    <w:rsid w:val="729270E5"/>
    <w:rsid w:val="72E160DB"/>
    <w:rsid w:val="72F571CC"/>
    <w:rsid w:val="72FB455C"/>
    <w:rsid w:val="73375A36"/>
    <w:rsid w:val="736C58DF"/>
    <w:rsid w:val="738913E9"/>
    <w:rsid w:val="73BE25FA"/>
    <w:rsid w:val="73CD7CC6"/>
    <w:rsid w:val="73DF3641"/>
    <w:rsid w:val="73E30283"/>
    <w:rsid w:val="73FE0DE1"/>
    <w:rsid w:val="74206C49"/>
    <w:rsid w:val="74643227"/>
    <w:rsid w:val="746F1E20"/>
    <w:rsid w:val="74934C9E"/>
    <w:rsid w:val="749D6816"/>
    <w:rsid w:val="74AA43AC"/>
    <w:rsid w:val="74AA53F9"/>
    <w:rsid w:val="74EC15A1"/>
    <w:rsid w:val="74FF17A9"/>
    <w:rsid w:val="7542643F"/>
    <w:rsid w:val="75641C36"/>
    <w:rsid w:val="758E7FE7"/>
    <w:rsid w:val="75BF2B4D"/>
    <w:rsid w:val="75D5330C"/>
    <w:rsid w:val="7613281D"/>
    <w:rsid w:val="76143AC9"/>
    <w:rsid w:val="764D50C3"/>
    <w:rsid w:val="769E2E03"/>
    <w:rsid w:val="76AE78E1"/>
    <w:rsid w:val="76B7764C"/>
    <w:rsid w:val="76BE528D"/>
    <w:rsid w:val="76C31EFB"/>
    <w:rsid w:val="76CA40F3"/>
    <w:rsid w:val="76DB391E"/>
    <w:rsid w:val="76DC3F25"/>
    <w:rsid w:val="76FD383D"/>
    <w:rsid w:val="77152BA1"/>
    <w:rsid w:val="772C6A8A"/>
    <w:rsid w:val="7731739D"/>
    <w:rsid w:val="77852C2D"/>
    <w:rsid w:val="77980A6E"/>
    <w:rsid w:val="77C61F6C"/>
    <w:rsid w:val="77D016D3"/>
    <w:rsid w:val="77D04A9C"/>
    <w:rsid w:val="77D57F1E"/>
    <w:rsid w:val="78052CF5"/>
    <w:rsid w:val="780E02AE"/>
    <w:rsid w:val="78132BAC"/>
    <w:rsid w:val="78267ABA"/>
    <w:rsid w:val="7832407F"/>
    <w:rsid w:val="783E2079"/>
    <w:rsid w:val="789E473B"/>
    <w:rsid w:val="78A11550"/>
    <w:rsid w:val="78A607E3"/>
    <w:rsid w:val="78C25DA2"/>
    <w:rsid w:val="78E5501F"/>
    <w:rsid w:val="79940DB7"/>
    <w:rsid w:val="79AD74E0"/>
    <w:rsid w:val="79B7676C"/>
    <w:rsid w:val="79BE0194"/>
    <w:rsid w:val="79BE5C65"/>
    <w:rsid w:val="79C831B8"/>
    <w:rsid w:val="7A0F563F"/>
    <w:rsid w:val="7A1A39BC"/>
    <w:rsid w:val="7A2210AD"/>
    <w:rsid w:val="7A3C4C19"/>
    <w:rsid w:val="7A4B4F1B"/>
    <w:rsid w:val="7A9650EC"/>
    <w:rsid w:val="7A9E5404"/>
    <w:rsid w:val="7AA85B2C"/>
    <w:rsid w:val="7AF200EB"/>
    <w:rsid w:val="7B37033E"/>
    <w:rsid w:val="7B37044A"/>
    <w:rsid w:val="7B375C7F"/>
    <w:rsid w:val="7B3E1F1D"/>
    <w:rsid w:val="7B5C4D4D"/>
    <w:rsid w:val="7B763493"/>
    <w:rsid w:val="7B810197"/>
    <w:rsid w:val="7B9463F7"/>
    <w:rsid w:val="7BA360FC"/>
    <w:rsid w:val="7BC938EC"/>
    <w:rsid w:val="7BCF3E99"/>
    <w:rsid w:val="7BEB0B57"/>
    <w:rsid w:val="7C6B2941"/>
    <w:rsid w:val="7C8F5F97"/>
    <w:rsid w:val="7C902B2C"/>
    <w:rsid w:val="7C9F7F7A"/>
    <w:rsid w:val="7CAC4EED"/>
    <w:rsid w:val="7CB66F66"/>
    <w:rsid w:val="7CC010F1"/>
    <w:rsid w:val="7CC6245C"/>
    <w:rsid w:val="7D1B3EE3"/>
    <w:rsid w:val="7D284202"/>
    <w:rsid w:val="7D2F59D0"/>
    <w:rsid w:val="7D5977E0"/>
    <w:rsid w:val="7D6A53ED"/>
    <w:rsid w:val="7D83379C"/>
    <w:rsid w:val="7DA90A93"/>
    <w:rsid w:val="7DE16347"/>
    <w:rsid w:val="7DFE75B6"/>
    <w:rsid w:val="7E2445C9"/>
    <w:rsid w:val="7E3C78BF"/>
    <w:rsid w:val="7E404B7E"/>
    <w:rsid w:val="7E682758"/>
    <w:rsid w:val="7EC52568"/>
    <w:rsid w:val="7ECA2FEF"/>
    <w:rsid w:val="7EE24B7F"/>
    <w:rsid w:val="7F03138A"/>
    <w:rsid w:val="7F0A6346"/>
    <w:rsid w:val="7F660A57"/>
    <w:rsid w:val="7F8A17B9"/>
    <w:rsid w:val="7F9F59AB"/>
    <w:rsid w:val="7FB3248C"/>
    <w:rsid w:val="7FCC54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4"/>
    <w:basedOn w:val="1"/>
    <w:next w:val="1"/>
    <w:qFormat/>
    <w:uiPriority w:val="0"/>
    <w:pPr>
      <w:keepNext/>
      <w:numPr>
        <w:ilvl w:val="0"/>
        <w:numId w:val="1"/>
      </w:numPr>
      <w:spacing w:line="216" w:lineRule="auto"/>
      <w:outlineLvl w:val="3"/>
    </w:pPr>
    <w:rPr>
      <w:rFonts w:ascii="黑体" w:eastAsia="黑体"/>
      <w:b/>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spacing w:after="0" w:line="500" w:lineRule="exact"/>
      <w:ind w:firstLine="420"/>
    </w:pPr>
    <w:rPr>
      <w:rFonts w:ascii="仿宋_GB2312" w:hAnsi="Times New Roman" w:eastAsia="仿宋_GB2312"/>
      <w:sz w:val="28"/>
    </w:rPr>
  </w:style>
  <w:style w:type="paragraph" w:styleId="3">
    <w:name w:val="Body Text"/>
    <w:basedOn w:val="1"/>
    <w:next w:val="4"/>
    <w:qFormat/>
    <w:uiPriority w:val="0"/>
    <w:pPr>
      <w:spacing w:after="120"/>
    </w:pPr>
  </w:style>
  <w:style w:type="paragraph" w:styleId="4">
    <w:name w:val="Body Text First Indent"/>
    <w:basedOn w:val="3"/>
    <w:next w:val="3"/>
    <w:qFormat/>
    <w:uiPriority w:val="0"/>
    <w:pPr>
      <w:ind w:firstLine="420" w:firstLineChars="100"/>
    </w:pPr>
  </w:style>
  <w:style w:type="paragraph" w:styleId="8">
    <w:name w:val="Normal Indent"/>
    <w:basedOn w:val="1"/>
    <w:qFormat/>
    <w:uiPriority w:val="0"/>
    <w:pPr>
      <w:adjustRightInd w:val="0"/>
      <w:spacing w:line="312" w:lineRule="atLeast"/>
      <w:ind w:firstLine="420"/>
      <w:textAlignment w:val="baseline"/>
    </w:pPr>
    <w:rPr>
      <w:kern w:val="0"/>
      <w:szCs w:val="20"/>
    </w:rPr>
  </w:style>
  <w:style w:type="paragraph" w:styleId="9">
    <w:name w:val="Document Map"/>
    <w:basedOn w:val="1"/>
    <w:link w:val="36"/>
    <w:qFormat/>
    <w:uiPriority w:val="0"/>
    <w:rPr>
      <w:rFonts w:ascii="宋体"/>
      <w:sz w:val="18"/>
      <w:szCs w:val="18"/>
    </w:rPr>
  </w:style>
  <w:style w:type="paragraph" w:styleId="10">
    <w:name w:val="annotation text"/>
    <w:basedOn w:val="1"/>
    <w:link w:val="37"/>
    <w:qFormat/>
    <w:uiPriority w:val="0"/>
    <w:pPr>
      <w:jc w:val="left"/>
    </w:pPr>
  </w:style>
  <w:style w:type="paragraph" w:styleId="11">
    <w:name w:val="Body Text Indent"/>
    <w:basedOn w:val="1"/>
    <w:next w:val="1"/>
    <w:qFormat/>
    <w:uiPriority w:val="0"/>
    <w:pPr>
      <w:ind w:left="480" w:hanging="480" w:hangingChars="200"/>
    </w:pPr>
    <w:rPr>
      <w:sz w:val="24"/>
    </w:rPr>
  </w:style>
  <w:style w:type="paragraph" w:styleId="12">
    <w:name w:val="Plain Text"/>
    <w:basedOn w:val="1"/>
    <w:next w:val="13"/>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3">
    <w:name w:val="toc 2"/>
    <w:basedOn w:val="1"/>
    <w:next w:val="1"/>
    <w:qFormat/>
    <w:uiPriority w:val="39"/>
    <w:pPr>
      <w:ind w:left="210"/>
      <w:jc w:val="left"/>
    </w:pPr>
    <w:rPr>
      <w:smallCaps/>
      <w:sz w:val="20"/>
      <w:szCs w:val="20"/>
    </w:rPr>
  </w:style>
  <w:style w:type="paragraph" w:styleId="14">
    <w:name w:val="Body Text Indent 2"/>
    <w:basedOn w:val="1"/>
    <w:qFormat/>
    <w:uiPriority w:val="0"/>
    <w:pPr>
      <w:spacing w:line="500" w:lineRule="exact"/>
      <w:ind w:firstLine="511" w:firstLineChars="213"/>
    </w:pPr>
    <w:rPr>
      <w:sz w:val="24"/>
    </w:rPr>
  </w:style>
  <w:style w:type="paragraph" w:styleId="15">
    <w:name w:val="Balloon Text"/>
    <w:basedOn w:val="1"/>
    <w:link w:val="39"/>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sz w:val="20"/>
      <w:szCs w:val="20"/>
    </w:rPr>
  </w:style>
  <w:style w:type="paragraph" w:styleId="19">
    <w:name w:val="toc 6"/>
    <w:basedOn w:val="1"/>
    <w:next w:val="1"/>
    <w:qFormat/>
    <w:uiPriority w:val="0"/>
    <w:pPr>
      <w:autoSpaceDE w:val="0"/>
      <w:autoSpaceDN w:val="0"/>
      <w:adjustRightInd w:val="0"/>
      <w:ind w:left="2100" w:leftChars="1000"/>
      <w:jc w:val="left"/>
    </w:pPr>
    <w:rPr>
      <w:kern w:val="0"/>
      <w:sz w:val="20"/>
      <w:szCs w:val="20"/>
    </w:rPr>
  </w:style>
  <w:style w:type="paragraph" w:styleId="20">
    <w:name w:val="Normal (Web)"/>
    <w:basedOn w:val="1"/>
    <w:qFormat/>
    <w:uiPriority w:val="0"/>
    <w:rPr>
      <w:sz w:val="24"/>
    </w:rPr>
  </w:style>
  <w:style w:type="paragraph" w:styleId="21">
    <w:name w:val="Title"/>
    <w:basedOn w:val="1"/>
    <w:next w:val="1"/>
    <w:qFormat/>
    <w:uiPriority w:val="0"/>
    <w:pPr>
      <w:spacing w:before="240" w:after="60"/>
      <w:jc w:val="center"/>
      <w:outlineLvl w:val="0"/>
    </w:pPr>
    <w:rPr>
      <w:rFonts w:ascii="Arial" w:hAnsi="Arial" w:cs="Times New Roman"/>
      <w:sz w:val="32"/>
      <w:szCs w:val="32"/>
    </w:rPr>
  </w:style>
  <w:style w:type="paragraph" w:styleId="22">
    <w:name w:val="annotation subject"/>
    <w:basedOn w:val="10"/>
    <w:next w:val="10"/>
    <w:link w:val="38"/>
    <w:qFormat/>
    <w:uiPriority w:val="0"/>
    <w:rPr>
      <w:b/>
      <w:bCs/>
    </w:rPr>
  </w:style>
  <w:style w:type="paragraph" w:styleId="23">
    <w:name w:val="Body Text First Indent 2"/>
    <w:basedOn w:val="11"/>
    <w:next w:val="1"/>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qFormat/>
    <w:uiPriority w:val="99"/>
    <w:rPr>
      <w:color w:val="0000FF"/>
      <w:u w:val="single"/>
    </w:rPr>
  </w:style>
  <w:style w:type="character" w:styleId="28">
    <w:name w:val="annotation reference"/>
    <w:basedOn w:val="26"/>
    <w:qFormat/>
    <w:uiPriority w:val="0"/>
    <w:rPr>
      <w:sz w:val="21"/>
      <w:szCs w:val="21"/>
    </w:rPr>
  </w:style>
  <w:style w:type="paragraph" w:customStyle="1" w:styleId="29">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30">
    <w:name w:val="l正文"/>
    <w:basedOn w:val="1"/>
    <w:qFormat/>
    <w:uiPriority w:val="0"/>
    <w:pPr>
      <w:spacing w:line="300" w:lineRule="auto"/>
      <w:ind w:firstLine="200" w:firstLineChars="200"/>
      <w:jc w:val="left"/>
    </w:pPr>
    <w:rPr>
      <w:rFonts w:ascii="楷体_GB2312" w:hAnsi="Times" w:eastAsia="楷体_GB2312" w:cs="等线"/>
      <w:sz w:val="24"/>
    </w:rPr>
  </w:style>
  <w:style w:type="paragraph" w:styleId="31">
    <w:name w:val="List Paragraph"/>
    <w:basedOn w:val="1"/>
    <w:qFormat/>
    <w:uiPriority w:val="34"/>
    <w:pPr>
      <w:ind w:firstLine="420" w:firstLineChars="200"/>
    </w:pPr>
    <w:rPr>
      <w:szCs w:val="22"/>
    </w:rPr>
  </w:style>
  <w:style w:type="character" w:customStyle="1" w:styleId="32">
    <w:name w:val="页眉 Char"/>
    <w:basedOn w:val="26"/>
    <w:link w:val="17"/>
    <w:qFormat/>
    <w:uiPriority w:val="0"/>
    <w:rPr>
      <w:rFonts w:ascii="Calibri" w:hAnsi="Calibri" w:eastAsia="宋体" w:cs="Times New Roman"/>
      <w:kern w:val="2"/>
      <w:sz w:val="18"/>
      <w:szCs w:val="18"/>
    </w:rPr>
  </w:style>
  <w:style w:type="paragraph" w:customStyle="1" w:styleId="33">
    <w:name w:val="正文2"/>
    <w:basedOn w:val="1"/>
    <w:qFormat/>
    <w:uiPriority w:val="0"/>
    <w:pPr>
      <w:adjustRightInd w:val="0"/>
      <w:spacing w:before="156" w:line="360" w:lineRule="auto"/>
      <w:ind w:firstLine="510" w:firstLineChars="200"/>
    </w:pPr>
    <w:rPr>
      <w:sz w:val="24"/>
      <w:szCs w:val="20"/>
    </w:rPr>
  </w:style>
  <w:style w:type="character" w:customStyle="1" w:styleId="34">
    <w:name w:val="保留正文 Char Char"/>
    <w:link w:val="35"/>
    <w:qFormat/>
    <w:uiPriority w:val="0"/>
    <w:rPr>
      <w:rFonts w:eastAsia="宋体"/>
      <w:sz w:val="21"/>
      <w:szCs w:val="24"/>
    </w:rPr>
  </w:style>
  <w:style w:type="paragraph" w:customStyle="1" w:styleId="35">
    <w:name w:val="保留正文"/>
    <w:basedOn w:val="3"/>
    <w:link w:val="34"/>
    <w:qFormat/>
    <w:uiPriority w:val="0"/>
    <w:pPr>
      <w:keepNext/>
      <w:spacing w:after="160"/>
    </w:pPr>
  </w:style>
  <w:style w:type="character" w:customStyle="1" w:styleId="36">
    <w:name w:val="文档结构图 Char"/>
    <w:basedOn w:val="26"/>
    <w:link w:val="9"/>
    <w:qFormat/>
    <w:uiPriority w:val="0"/>
    <w:rPr>
      <w:rFonts w:ascii="宋体" w:hAnsi="Calibri"/>
      <w:kern w:val="2"/>
      <w:sz w:val="18"/>
      <w:szCs w:val="18"/>
    </w:rPr>
  </w:style>
  <w:style w:type="character" w:customStyle="1" w:styleId="37">
    <w:name w:val="批注文字 Char"/>
    <w:basedOn w:val="26"/>
    <w:link w:val="10"/>
    <w:qFormat/>
    <w:uiPriority w:val="0"/>
    <w:rPr>
      <w:rFonts w:ascii="Calibri" w:hAnsi="Calibri"/>
      <w:kern w:val="2"/>
      <w:sz w:val="21"/>
      <w:szCs w:val="24"/>
    </w:rPr>
  </w:style>
  <w:style w:type="character" w:customStyle="1" w:styleId="38">
    <w:name w:val="批注主题 Char"/>
    <w:basedOn w:val="37"/>
    <w:link w:val="22"/>
    <w:qFormat/>
    <w:uiPriority w:val="0"/>
  </w:style>
  <w:style w:type="character" w:customStyle="1" w:styleId="39">
    <w:name w:val="批注框文本 Char"/>
    <w:basedOn w:val="26"/>
    <w:link w:val="15"/>
    <w:qFormat/>
    <w:uiPriority w:val="0"/>
    <w:rPr>
      <w:rFonts w:ascii="Calibri" w:hAnsi="Calibri"/>
      <w:kern w:val="2"/>
      <w:sz w:val="18"/>
      <w:szCs w:val="18"/>
    </w:rPr>
  </w:style>
  <w:style w:type="paragraph" w:customStyle="1" w:styleId="40">
    <w:name w:val="表格文字"/>
    <w:basedOn w:val="1"/>
    <w:next w:val="3"/>
    <w:qFormat/>
    <w:uiPriority w:val="0"/>
    <w:pPr>
      <w:adjustRightInd w:val="0"/>
      <w:spacing w:line="420" w:lineRule="atLeast"/>
      <w:jc w:val="left"/>
      <w:textAlignment w:val="baseline"/>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5161</Words>
  <Characters>5653</Characters>
  <Lines>248</Lines>
  <Paragraphs>69</Paragraphs>
  <TotalTime>68</TotalTime>
  <ScaleCrop>false</ScaleCrop>
  <LinksUpToDate>false</LinksUpToDate>
  <CharactersWithSpaces>5921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2021-09-30T12:14:00Z</dcterms:created>
  <dc:creator>遇见</dc:creator>
  <cp:lastModifiedBy>遇安</cp:lastModifiedBy>
  <cp:lastPrinted>2024-10-24T02:11:00Z</cp:lastPrinted>
  <dcterms:modified xsi:type="dcterms:W3CDTF">2025-07-02T09:33:50Z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C6B81F8DF6CB4C43BACE4EFB031DF276_13</vt:lpwstr>
  </property>
  <property fmtid="{D5CDD505-2E9C-101B-9397-08002B2CF9AE}" pid="4" name="KSOTemplateDocerSaveRecord">
    <vt:lpwstr>eyJoZGlkIjoiYTA1NTY0NjQ0NDdmMjA3ZTI1NTJkMzczZDg5MDBlN2QiLCJ1c2VySWQiOiIxMDE5Nzk0OTc3In0=</vt:lpwstr>
  </property>
</Properties>
</file>