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val="0"/>
        <w:autoSpaceDN w:val="0"/>
        <w:bidi w:val="0"/>
        <w:adjustRightInd/>
        <w:snapToGrid/>
        <w:spacing w:line="240" w:lineRule="exact"/>
        <w:textAlignment w:val="bottom"/>
        <w:rPr>
          <w:rFonts w:ascii="宋体" w:hAnsi="宋体" w:cs="Courier New"/>
          <w:b/>
          <w:bCs/>
          <w:color w:val="auto"/>
          <w:spacing w:val="120"/>
          <w:sz w:val="72"/>
          <w:szCs w:val="72"/>
          <w:highlight w:val="none"/>
        </w:rPr>
      </w:pPr>
    </w:p>
    <w:p>
      <w:pPr>
        <w:autoSpaceDE w:val="0"/>
        <w:autoSpaceDN w:val="0"/>
        <w:spacing w:line="500" w:lineRule="atLeast"/>
        <w:jc w:val="center"/>
        <w:textAlignment w:val="bottom"/>
        <w:rPr>
          <w:rFonts w:ascii="宋体" w:hAnsi="宋体" w:cs="Courier New"/>
          <w:bCs/>
          <w:color w:val="auto"/>
          <w:sz w:val="72"/>
          <w:szCs w:val="72"/>
          <w:highlight w:val="none"/>
        </w:rPr>
      </w:pPr>
      <w:sdt>
        <w:sdtPr>
          <w:rPr>
            <w:rFonts w:hint="eastAsia" w:ascii="宋体" w:hAnsi="宋体" w:cs="Courier New"/>
            <w:b/>
            <w:bCs/>
            <w:color w:val="auto"/>
            <w:spacing w:val="120"/>
            <w:sz w:val="72"/>
            <w:szCs w:val="72"/>
            <w:highlight w:val="none"/>
          </w:rPr>
          <w:alias w:val="区域选择"/>
          <w:tag w:val="区域选择"/>
          <w:id w:val="-692767285"/>
          <w:placeholder>
            <w:docPart w:val="DefaultPlaceholder_1081868575"/>
          </w:placeholder>
          <w:dropDownList>
            <w:listItem w:value="选择一项。"/>
            <w:listItem w:displayText="温州市" w:value="温州市"/>
            <w:listItem w:displayText="瓯海区" w:value="瓯海区"/>
            <w:listItem w:displayText="鹿城区" w:value="鹿城区"/>
            <w:listItem w:displayText="龙湾区" w:value="龙湾区"/>
          </w:dropDownList>
        </w:sdtPr>
        <w:sdtEndPr>
          <w:rPr>
            <w:rFonts w:hint="eastAsia" w:ascii="宋体" w:hAnsi="宋体" w:cs="Courier New"/>
            <w:b/>
            <w:bCs/>
            <w:color w:val="auto"/>
            <w:spacing w:val="120"/>
            <w:sz w:val="72"/>
            <w:szCs w:val="72"/>
            <w:highlight w:val="none"/>
          </w:rPr>
        </w:sdtEndPr>
        <w:sdtContent>
          <w:r>
            <w:rPr>
              <w:rFonts w:hint="eastAsia" w:ascii="宋体" w:hAnsi="宋体" w:cs="Courier New"/>
              <w:b/>
              <w:bCs/>
              <w:color w:val="auto"/>
              <w:spacing w:val="120"/>
              <w:sz w:val="72"/>
              <w:szCs w:val="72"/>
              <w:highlight w:val="none"/>
            </w:rPr>
            <w:t>瓯海区</w:t>
          </w:r>
        </w:sdtContent>
      </w:sdt>
      <w:r>
        <w:rPr>
          <w:rFonts w:hint="eastAsia" w:ascii="宋体" w:hAnsi="宋体" w:cs="Courier New"/>
          <w:b/>
          <w:bCs/>
          <w:color w:val="auto"/>
          <w:spacing w:val="120"/>
          <w:sz w:val="72"/>
          <w:szCs w:val="72"/>
          <w:highlight w:val="none"/>
        </w:rPr>
        <w:t>国有企业</w:t>
      </w:r>
      <w:r>
        <w:rPr>
          <w:rFonts w:ascii="宋体" w:hAnsi="宋体" w:cs="Courier New"/>
          <w:b/>
          <w:bCs/>
          <w:color w:val="auto"/>
          <w:spacing w:val="120"/>
          <w:sz w:val="72"/>
          <w:szCs w:val="72"/>
          <w:highlight w:val="none"/>
        </w:rPr>
        <w:t>采购</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cs="Courier New"/>
          <w:b/>
          <w:color w:val="auto"/>
          <w:sz w:val="52"/>
          <w:highlight w:val="none"/>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ascii="宋体" w:hAnsi="宋体" w:cs="Courier New"/>
          <w:b/>
          <w:color w:val="auto"/>
          <w:sz w:val="52"/>
          <w:highlight w:val="none"/>
        </w:rPr>
      </w:pPr>
    </w:p>
    <w:p>
      <w:pPr>
        <w:spacing w:line="400" w:lineRule="atLeast"/>
        <w:jc w:val="center"/>
        <w:rPr>
          <w:rFonts w:ascii="宋体" w:hAnsi="宋体" w:cs="Courier New"/>
          <w:b/>
          <w:color w:val="auto"/>
          <w:sz w:val="52"/>
          <w:highlight w:val="none"/>
        </w:rPr>
      </w:pPr>
    </w:p>
    <w:p>
      <w:pPr>
        <w:autoSpaceDE w:val="0"/>
        <w:autoSpaceDN w:val="0"/>
        <w:spacing w:line="276" w:lineRule="auto"/>
        <w:jc w:val="center"/>
        <w:textAlignment w:val="bottom"/>
        <w:rPr>
          <w:rFonts w:ascii="宋体" w:hAnsi="宋体"/>
          <w:color w:val="auto"/>
          <w:sz w:val="72"/>
          <w:szCs w:val="72"/>
          <w:highlight w:val="none"/>
        </w:rPr>
      </w:pPr>
      <w:r>
        <w:rPr>
          <w:rFonts w:hint="eastAsia" w:ascii="宋体" w:hAnsi="宋体"/>
          <w:bCs/>
          <w:color w:val="auto"/>
          <w:sz w:val="72"/>
          <w:szCs w:val="72"/>
          <w:highlight w:val="none"/>
        </w:rPr>
        <w:t xml:space="preserve">磋 </w:t>
      </w:r>
      <w:r>
        <w:rPr>
          <w:rFonts w:ascii="宋体" w:hAnsi="宋体"/>
          <w:bCs/>
          <w:color w:val="auto"/>
          <w:sz w:val="72"/>
          <w:szCs w:val="72"/>
          <w:highlight w:val="none"/>
        </w:rPr>
        <w:t xml:space="preserve"> </w:t>
      </w:r>
      <w:r>
        <w:rPr>
          <w:rFonts w:hint="eastAsia" w:ascii="宋体" w:hAnsi="宋体"/>
          <w:bCs/>
          <w:color w:val="auto"/>
          <w:sz w:val="72"/>
          <w:szCs w:val="72"/>
          <w:highlight w:val="none"/>
        </w:rPr>
        <w:t xml:space="preserve">商  文 </w:t>
      </w:r>
      <w:r>
        <w:rPr>
          <w:rFonts w:ascii="宋体" w:hAnsi="宋体"/>
          <w:bCs/>
          <w:color w:val="auto"/>
          <w:sz w:val="72"/>
          <w:szCs w:val="72"/>
          <w:highlight w:val="none"/>
        </w:rPr>
        <w:t xml:space="preserve"> </w:t>
      </w:r>
      <w:r>
        <w:rPr>
          <w:rFonts w:hint="eastAsia" w:ascii="宋体" w:hAnsi="宋体"/>
          <w:bCs/>
          <w:color w:val="auto"/>
          <w:sz w:val="72"/>
          <w:szCs w:val="72"/>
          <w:highlight w:val="none"/>
        </w:rPr>
        <w:t>件</w:t>
      </w:r>
    </w:p>
    <w:p>
      <w:pPr>
        <w:autoSpaceDE w:val="0"/>
        <w:autoSpaceDN w:val="0"/>
        <w:spacing w:line="276" w:lineRule="auto"/>
        <w:jc w:val="center"/>
        <w:textAlignment w:val="bottom"/>
        <w:rPr>
          <w:rFonts w:ascii="宋体" w:hAnsi="宋体" w:cs="Courier New"/>
          <w:color w:val="auto"/>
          <w:sz w:val="42"/>
          <w:szCs w:val="72"/>
          <w:highlight w:val="none"/>
        </w:rPr>
      </w:pPr>
      <w:r>
        <w:rPr>
          <w:rFonts w:ascii="宋体" w:hAnsi="宋体" w:cs="Courier New"/>
          <w:color w:val="auto"/>
          <w:sz w:val="42"/>
          <w:szCs w:val="72"/>
          <w:highlight w:val="none"/>
        </w:rPr>
        <w:t>(</w:t>
      </w:r>
      <w:r>
        <w:rPr>
          <w:rFonts w:hint="eastAsia" w:ascii="宋体" w:hAnsi="宋体" w:cs="Courier New"/>
          <w:color w:val="auto"/>
          <w:sz w:val="42"/>
          <w:szCs w:val="72"/>
          <w:highlight w:val="none"/>
        </w:rPr>
        <w:t>线上电子招投标</w:t>
      </w:r>
      <w:r>
        <w:rPr>
          <w:rFonts w:ascii="宋体" w:hAnsi="宋体" w:cs="Courier New"/>
          <w:color w:val="auto"/>
          <w:sz w:val="42"/>
          <w:szCs w:val="72"/>
          <w:highlight w:val="none"/>
        </w:rPr>
        <w:t>)</w:t>
      </w:r>
    </w:p>
    <w:p>
      <w:pPr>
        <w:spacing w:line="400" w:lineRule="exact"/>
        <w:jc w:val="center"/>
        <w:rPr>
          <w:rFonts w:ascii="宋体" w:hAnsi="宋体"/>
          <w:b/>
          <w:color w:val="auto"/>
          <w:sz w:val="32"/>
          <w:highlight w:val="none"/>
        </w:rPr>
      </w:pPr>
    </w:p>
    <w:p>
      <w:pPr>
        <w:spacing w:line="400" w:lineRule="exact"/>
        <w:jc w:val="center"/>
        <w:rPr>
          <w:rFonts w:ascii="宋体" w:hAnsi="宋体"/>
          <w:b/>
          <w:color w:val="auto"/>
          <w:sz w:val="32"/>
          <w:highlight w:val="none"/>
        </w:rPr>
      </w:pPr>
    </w:p>
    <w:p>
      <w:pPr>
        <w:spacing w:line="400" w:lineRule="exact"/>
        <w:jc w:val="center"/>
        <w:rPr>
          <w:rFonts w:ascii="宋体" w:hAnsi="宋体"/>
          <w:b/>
          <w:color w:val="auto"/>
          <w:sz w:val="32"/>
          <w:highlight w:val="none"/>
        </w:rPr>
      </w:pPr>
    </w:p>
    <w:p>
      <w:pPr>
        <w:spacing w:line="400" w:lineRule="exact"/>
        <w:jc w:val="center"/>
        <w:rPr>
          <w:rFonts w:ascii="宋体" w:hAnsi="宋体"/>
          <w:b/>
          <w:color w:val="auto"/>
          <w:sz w:val="32"/>
          <w:highlight w:val="none"/>
        </w:rPr>
      </w:pPr>
    </w:p>
    <w:p>
      <w:pPr>
        <w:spacing w:line="400" w:lineRule="exact"/>
        <w:jc w:val="center"/>
        <w:rPr>
          <w:rFonts w:ascii="宋体" w:hAnsi="宋体"/>
          <w:b/>
          <w:color w:val="auto"/>
          <w:sz w:val="32"/>
          <w:highlight w:val="none"/>
        </w:rPr>
      </w:pPr>
    </w:p>
    <w:tbl>
      <w:tblPr>
        <w:tblStyle w:val="32"/>
        <w:tblW w:w="8555" w:type="dxa"/>
        <w:jc w:val="center"/>
        <w:tblLayout w:type="fixed"/>
        <w:tblCellMar>
          <w:top w:w="0" w:type="dxa"/>
          <w:left w:w="108" w:type="dxa"/>
          <w:bottom w:w="0" w:type="dxa"/>
          <w:right w:w="108" w:type="dxa"/>
        </w:tblCellMar>
      </w:tblPr>
      <w:tblGrid>
        <w:gridCol w:w="2340"/>
        <w:gridCol w:w="360"/>
        <w:gridCol w:w="5855"/>
      </w:tblGrid>
      <w:tr>
        <w:tblPrEx>
          <w:tblCellMar>
            <w:top w:w="0" w:type="dxa"/>
            <w:left w:w="108" w:type="dxa"/>
            <w:bottom w:w="0" w:type="dxa"/>
            <w:right w:w="108" w:type="dxa"/>
          </w:tblCellMar>
        </w:tblPrEx>
        <w:trPr>
          <w:trHeight w:val="659" w:hRule="atLeast"/>
          <w:jc w:val="center"/>
        </w:trPr>
        <w:tc>
          <w:tcPr>
            <w:tcW w:w="2340" w:type="dxa"/>
            <w:vAlign w:val="center"/>
          </w:tcPr>
          <w:p>
            <w:pPr>
              <w:adjustRightInd w:val="0"/>
              <w:snapToGrid w:val="0"/>
              <w:spacing w:line="440" w:lineRule="exact"/>
              <w:jc w:val="distribute"/>
              <w:rPr>
                <w:rFonts w:ascii="宋体" w:hAnsi="宋体"/>
                <w:color w:val="auto"/>
                <w:sz w:val="30"/>
                <w:szCs w:val="30"/>
                <w:highlight w:val="none"/>
              </w:rPr>
            </w:pPr>
            <w:r>
              <w:rPr>
                <w:rFonts w:ascii="宋体" w:hAnsi="宋体"/>
                <w:color w:val="auto"/>
                <w:spacing w:val="40"/>
                <w:sz w:val="30"/>
                <w:szCs w:val="30"/>
                <w:highlight w:val="none"/>
              </w:rPr>
              <w:t>项目编号</w:t>
            </w:r>
          </w:p>
        </w:tc>
        <w:tc>
          <w:tcPr>
            <w:tcW w:w="360" w:type="dxa"/>
            <w:vAlign w:val="center"/>
          </w:tcPr>
          <w:p>
            <w:pPr>
              <w:adjustRightInd w:val="0"/>
              <w:snapToGrid w:val="0"/>
              <w:spacing w:line="440" w:lineRule="exact"/>
              <w:jc w:val="distribute"/>
              <w:rPr>
                <w:rFonts w:ascii="宋体" w:hAnsi="宋体"/>
                <w:color w:val="auto"/>
                <w:sz w:val="30"/>
                <w:szCs w:val="30"/>
                <w:highlight w:val="none"/>
              </w:rPr>
            </w:pPr>
            <w:r>
              <w:rPr>
                <w:rFonts w:ascii="宋体" w:hAnsi="宋体"/>
                <w:color w:val="auto"/>
                <w:sz w:val="30"/>
                <w:szCs w:val="30"/>
                <w:highlight w:val="none"/>
              </w:rPr>
              <w:t>：</w:t>
            </w:r>
          </w:p>
        </w:tc>
        <w:tc>
          <w:tcPr>
            <w:tcW w:w="5855" w:type="dxa"/>
            <w:vAlign w:val="center"/>
          </w:tcPr>
          <w:p>
            <w:pPr>
              <w:adjustRightInd w:val="0"/>
              <w:snapToGrid w:val="0"/>
              <w:spacing w:line="440" w:lineRule="exact"/>
              <w:rPr>
                <w:rFonts w:hint="eastAsia" w:ascii="宋体" w:hAnsi="宋体" w:eastAsia="宋体"/>
                <w:color w:val="auto"/>
                <w:spacing w:val="-20"/>
                <w:sz w:val="30"/>
                <w:szCs w:val="30"/>
                <w:highlight w:val="none"/>
                <w:lang w:eastAsia="zh-CN"/>
              </w:rPr>
            </w:pPr>
            <w:r>
              <w:rPr>
                <w:rFonts w:hint="eastAsia" w:ascii="宋体" w:hAnsi="宋体"/>
                <w:color w:val="auto"/>
                <w:spacing w:val="40"/>
                <w:sz w:val="30"/>
                <w:szCs w:val="30"/>
                <w:highlight w:val="none"/>
                <w:lang w:eastAsia="zh-CN"/>
              </w:rPr>
              <w:t>ZJTX2024013</w:t>
            </w:r>
          </w:p>
        </w:tc>
      </w:tr>
      <w:tr>
        <w:tblPrEx>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distribute"/>
              <w:rPr>
                <w:rFonts w:ascii="宋体" w:hAnsi="宋体"/>
                <w:color w:val="auto"/>
                <w:sz w:val="30"/>
                <w:szCs w:val="30"/>
                <w:highlight w:val="none"/>
              </w:rPr>
            </w:pPr>
            <w:r>
              <w:rPr>
                <w:rFonts w:hint="eastAsia" w:ascii="宋体" w:hAnsi="宋体"/>
                <w:color w:val="auto"/>
                <w:sz w:val="30"/>
                <w:szCs w:val="30"/>
                <w:highlight w:val="none"/>
              </w:rPr>
              <w:t>项目名称</w:t>
            </w:r>
          </w:p>
        </w:tc>
        <w:tc>
          <w:tcPr>
            <w:tcW w:w="360" w:type="dxa"/>
            <w:vAlign w:val="center"/>
          </w:tcPr>
          <w:p>
            <w:pPr>
              <w:adjustRightInd w:val="0"/>
              <w:snapToGrid w:val="0"/>
              <w:spacing w:line="440" w:lineRule="exact"/>
              <w:jc w:val="distribute"/>
              <w:rPr>
                <w:rFonts w:ascii="宋体" w:hAnsi="宋体"/>
                <w:color w:val="auto"/>
                <w:sz w:val="30"/>
                <w:szCs w:val="30"/>
                <w:highlight w:val="none"/>
              </w:rPr>
            </w:pPr>
            <w:r>
              <w:rPr>
                <w:rFonts w:ascii="宋体" w:hAnsi="宋体"/>
                <w:color w:val="auto"/>
                <w:sz w:val="30"/>
                <w:szCs w:val="30"/>
                <w:highlight w:val="none"/>
              </w:rPr>
              <w:t>：</w:t>
            </w:r>
          </w:p>
        </w:tc>
        <w:tc>
          <w:tcPr>
            <w:tcW w:w="5855" w:type="dxa"/>
            <w:vAlign w:val="center"/>
          </w:tcPr>
          <w:p>
            <w:pPr>
              <w:adjustRightInd w:val="0"/>
              <w:snapToGrid w:val="0"/>
              <w:spacing w:line="440" w:lineRule="exact"/>
              <w:rPr>
                <w:rFonts w:hint="eastAsia" w:ascii="宋体" w:hAnsi="宋体" w:eastAsia="宋体"/>
                <w:color w:val="auto"/>
                <w:sz w:val="30"/>
                <w:szCs w:val="30"/>
                <w:highlight w:val="none"/>
                <w:lang w:eastAsia="zh-CN"/>
              </w:rPr>
            </w:pPr>
            <w:r>
              <w:rPr>
                <w:rFonts w:hint="eastAsia" w:ascii="宋体" w:hAnsi="宋体"/>
                <w:color w:val="auto"/>
                <w:sz w:val="30"/>
                <w:szCs w:val="30"/>
                <w:highlight w:val="none"/>
                <w:lang w:eastAsia="zh-CN"/>
              </w:rPr>
              <w:t>细胞生长因子药物和蛋白制剂国家工程研究中心配套大分子cdmo公共服务平台研发中心（一期）装修工程超滤系统+中空纤维过滤系统采购项目</w:t>
            </w:r>
          </w:p>
        </w:tc>
      </w:tr>
      <w:tr>
        <w:tblPrEx>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distribute"/>
              <w:rPr>
                <w:rFonts w:ascii="宋体" w:hAnsi="宋体"/>
                <w:color w:val="auto"/>
                <w:sz w:val="30"/>
                <w:szCs w:val="30"/>
                <w:highlight w:val="none"/>
              </w:rPr>
            </w:pPr>
            <w:r>
              <w:rPr>
                <w:rFonts w:hint="eastAsia" w:ascii="宋体" w:hAnsi="宋体"/>
                <w:color w:val="auto"/>
                <w:spacing w:val="40"/>
                <w:sz w:val="30"/>
                <w:szCs w:val="30"/>
                <w:highlight w:val="none"/>
              </w:rPr>
              <w:t>采购</w:t>
            </w:r>
            <w:r>
              <w:rPr>
                <w:rFonts w:ascii="宋体" w:hAnsi="宋体"/>
                <w:color w:val="auto"/>
                <w:spacing w:val="40"/>
                <w:sz w:val="30"/>
                <w:szCs w:val="30"/>
                <w:highlight w:val="none"/>
              </w:rPr>
              <w:t>方式</w:t>
            </w:r>
          </w:p>
        </w:tc>
        <w:tc>
          <w:tcPr>
            <w:tcW w:w="360" w:type="dxa"/>
            <w:vAlign w:val="center"/>
          </w:tcPr>
          <w:p>
            <w:pPr>
              <w:adjustRightInd w:val="0"/>
              <w:snapToGrid w:val="0"/>
              <w:spacing w:line="440" w:lineRule="exact"/>
              <w:jc w:val="distribute"/>
              <w:rPr>
                <w:rFonts w:ascii="宋体" w:hAnsi="宋体"/>
                <w:color w:val="auto"/>
                <w:sz w:val="30"/>
                <w:szCs w:val="30"/>
                <w:highlight w:val="none"/>
              </w:rPr>
            </w:pPr>
            <w:r>
              <w:rPr>
                <w:rFonts w:ascii="宋体" w:hAnsi="宋体"/>
                <w:color w:val="auto"/>
                <w:sz w:val="30"/>
                <w:szCs w:val="30"/>
                <w:highlight w:val="none"/>
              </w:rPr>
              <w:t>：</w:t>
            </w:r>
          </w:p>
        </w:tc>
        <w:tc>
          <w:tcPr>
            <w:tcW w:w="5855" w:type="dxa"/>
            <w:vAlign w:val="center"/>
          </w:tcPr>
          <w:p>
            <w:pPr>
              <w:adjustRightInd w:val="0"/>
              <w:snapToGrid w:val="0"/>
              <w:spacing w:line="440" w:lineRule="exact"/>
              <w:rPr>
                <w:rFonts w:ascii="宋体" w:hAnsi="宋体"/>
                <w:color w:val="auto"/>
                <w:sz w:val="30"/>
                <w:szCs w:val="30"/>
                <w:highlight w:val="none"/>
              </w:rPr>
            </w:pPr>
            <w:r>
              <w:rPr>
                <w:rFonts w:hint="eastAsia" w:ascii="宋体" w:hAnsi="宋体"/>
                <w:color w:val="auto"/>
                <w:spacing w:val="40"/>
                <w:sz w:val="30"/>
                <w:szCs w:val="30"/>
                <w:highlight w:val="none"/>
              </w:rPr>
              <w:t>竞争性磋商</w:t>
            </w:r>
          </w:p>
        </w:tc>
      </w:tr>
    </w:tbl>
    <w:p>
      <w:pPr>
        <w:jc w:val="cente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jc w:val="center"/>
        <w:rPr>
          <w:rFonts w:ascii="宋体" w:hAnsi="宋体"/>
          <w:b/>
          <w:color w:val="auto"/>
          <w:sz w:val="24"/>
          <w:highlight w:val="none"/>
        </w:rPr>
      </w:pPr>
    </w:p>
    <w:p>
      <w:pPr>
        <w:jc w:val="center"/>
        <w:rPr>
          <w:rFonts w:ascii="宋体" w:hAnsi="宋体"/>
          <w:b/>
          <w:color w:val="auto"/>
          <w:sz w:val="24"/>
          <w:highlight w:val="none"/>
        </w:rPr>
      </w:pPr>
    </w:p>
    <w:tbl>
      <w:tblPr>
        <w:tblStyle w:val="32"/>
        <w:tblpPr w:leftFromText="180" w:rightFromText="180" w:vertAnchor="text" w:horzAnchor="page" w:tblpX="1700" w:tblpY="39"/>
        <w:tblOverlap w:val="never"/>
        <w:tblW w:w="8688" w:type="dxa"/>
        <w:tblInd w:w="0" w:type="dxa"/>
        <w:tblLayout w:type="fixed"/>
        <w:tblCellMar>
          <w:top w:w="0" w:type="dxa"/>
          <w:left w:w="108" w:type="dxa"/>
          <w:bottom w:w="0" w:type="dxa"/>
          <w:right w:w="108" w:type="dxa"/>
        </w:tblCellMar>
      </w:tblPr>
      <w:tblGrid>
        <w:gridCol w:w="2340"/>
        <w:gridCol w:w="360"/>
        <w:gridCol w:w="5988"/>
      </w:tblGrid>
      <w:tr>
        <w:tblPrEx>
          <w:tblCellMar>
            <w:top w:w="0" w:type="dxa"/>
            <w:left w:w="108" w:type="dxa"/>
            <w:bottom w:w="0" w:type="dxa"/>
            <w:right w:w="108" w:type="dxa"/>
          </w:tblCellMar>
        </w:tblPrEx>
        <w:trPr>
          <w:trHeight w:val="614" w:hRule="atLeast"/>
        </w:trPr>
        <w:tc>
          <w:tcPr>
            <w:tcW w:w="2340" w:type="dxa"/>
            <w:vAlign w:val="center"/>
          </w:tcPr>
          <w:p>
            <w:pPr>
              <w:adjustRightInd w:val="0"/>
              <w:snapToGrid w:val="0"/>
              <w:spacing w:line="440" w:lineRule="exact"/>
              <w:jc w:val="distribute"/>
              <w:rPr>
                <w:rFonts w:ascii="宋体" w:hAnsi="宋体"/>
                <w:color w:val="auto"/>
                <w:sz w:val="30"/>
                <w:szCs w:val="30"/>
                <w:highlight w:val="none"/>
              </w:rPr>
            </w:pPr>
            <w:r>
              <w:rPr>
                <w:rFonts w:hint="eastAsia" w:ascii="宋体" w:hAnsi="宋体"/>
                <w:color w:val="auto"/>
                <w:sz w:val="30"/>
                <w:szCs w:val="30"/>
                <w:highlight w:val="none"/>
              </w:rPr>
              <w:t>采购人</w:t>
            </w:r>
          </w:p>
        </w:tc>
        <w:tc>
          <w:tcPr>
            <w:tcW w:w="360" w:type="dxa"/>
            <w:tcBorders>
              <w:left w:val="nil"/>
            </w:tcBorders>
            <w:vAlign w:val="center"/>
          </w:tcPr>
          <w:p>
            <w:pPr>
              <w:adjustRightInd w:val="0"/>
              <w:snapToGrid w:val="0"/>
              <w:spacing w:line="440" w:lineRule="exact"/>
              <w:jc w:val="distribute"/>
              <w:rPr>
                <w:rFonts w:ascii="宋体" w:hAnsi="宋体"/>
                <w:color w:val="auto"/>
                <w:sz w:val="30"/>
                <w:szCs w:val="30"/>
                <w:highlight w:val="none"/>
              </w:rPr>
            </w:pPr>
            <w:r>
              <w:rPr>
                <w:rFonts w:hint="eastAsia" w:ascii="宋体" w:hAnsi="宋体"/>
                <w:color w:val="auto"/>
                <w:sz w:val="30"/>
                <w:szCs w:val="30"/>
                <w:highlight w:val="none"/>
              </w:rPr>
              <w:t>：</w:t>
            </w:r>
          </w:p>
        </w:tc>
        <w:tc>
          <w:tcPr>
            <w:tcW w:w="5988" w:type="dxa"/>
            <w:vAlign w:val="center"/>
          </w:tcPr>
          <w:p>
            <w:pPr>
              <w:adjustRightInd w:val="0"/>
              <w:snapToGrid w:val="0"/>
              <w:spacing w:line="440" w:lineRule="exact"/>
              <w:jc w:val="distribute"/>
              <w:rPr>
                <w:rFonts w:ascii="宋体" w:hAnsi="宋体"/>
                <w:color w:val="auto"/>
                <w:sz w:val="30"/>
                <w:szCs w:val="30"/>
                <w:highlight w:val="none"/>
              </w:rPr>
            </w:pPr>
            <w:r>
              <w:rPr>
                <w:rFonts w:hint="eastAsia" w:ascii="宋体" w:hAnsi="宋体"/>
                <w:color w:val="auto"/>
                <w:sz w:val="30"/>
                <w:szCs w:val="30"/>
                <w:highlight w:val="none"/>
              </w:rPr>
              <w:t>温州市华睿生物医药有限公司</w:t>
            </w:r>
          </w:p>
        </w:tc>
      </w:tr>
      <w:tr>
        <w:tblPrEx>
          <w:tblCellMar>
            <w:top w:w="0" w:type="dxa"/>
            <w:left w:w="108" w:type="dxa"/>
            <w:bottom w:w="0" w:type="dxa"/>
            <w:right w:w="108" w:type="dxa"/>
          </w:tblCellMar>
        </w:tblPrEx>
        <w:trPr>
          <w:trHeight w:val="614" w:hRule="atLeast"/>
        </w:trPr>
        <w:tc>
          <w:tcPr>
            <w:tcW w:w="2340" w:type="dxa"/>
            <w:vAlign w:val="center"/>
          </w:tcPr>
          <w:p>
            <w:pPr>
              <w:adjustRightInd w:val="0"/>
              <w:snapToGrid w:val="0"/>
              <w:spacing w:line="440" w:lineRule="exact"/>
              <w:jc w:val="distribute"/>
              <w:rPr>
                <w:rFonts w:ascii="宋体" w:hAnsi="宋体"/>
                <w:color w:val="auto"/>
                <w:sz w:val="30"/>
                <w:szCs w:val="30"/>
                <w:highlight w:val="none"/>
              </w:rPr>
            </w:pPr>
            <w:r>
              <w:rPr>
                <w:rFonts w:hint="eastAsia" w:ascii="宋体" w:hAnsi="宋体"/>
                <w:color w:val="auto"/>
                <w:sz w:val="30"/>
                <w:szCs w:val="30"/>
                <w:highlight w:val="none"/>
              </w:rPr>
              <w:t>采购代理机构</w:t>
            </w:r>
          </w:p>
        </w:tc>
        <w:tc>
          <w:tcPr>
            <w:tcW w:w="360" w:type="dxa"/>
            <w:tcBorders>
              <w:left w:val="nil"/>
            </w:tcBorders>
            <w:vAlign w:val="center"/>
          </w:tcPr>
          <w:p>
            <w:pPr>
              <w:adjustRightInd w:val="0"/>
              <w:snapToGrid w:val="0"/>
              <w:spacing w:line="440" w:lineRule="exact"/>
              <w:jc w:val="distribute"/>
              <w:rPr>
                <w:rFonts w:ascii="宋体" w:hAnsi="宋体"/>
                <w:color w:val="auto"/>
                <w:sz w:val="30"/>
                <w:szCs w:val="30"/>
                <w:highlight w:val="none"/>
              </w:rPr>
            </w:pPr>
            <w:r>
              <w:rPr>
                <w:rFonts w:hint="eastAsia" w:ascii="宋体" w:hAnsi="宋体"/>
                <w:color w:val="auto"/>
                <w:sz w:val="30"/>
                <w:szCs w:val="30"/>
                <w:highlight w:val="none"/>
              </w:rPr>
              <w:t>：</w:t>
            </w:r>
          </w:p>
        </w:tc>
        <w:tc>
          <w:tcPr>
            <w:tcW w:w="5988" w:type="dxa"/>
            <w:vAlign w:val="center"/>
          </w:tcPr>
          <w:p>
            <w:pPr>
              <w:adjustRightInd w:val="0"/>
              <w:snapToGrid w:val="0"/>
              <w:spacing w:line="440" w:lineRule="exact"/>
              <w:jc w:val="distribute"/>
              <w:rPr>
                <w:rFonts w:hint="eastAsia" w:ascii="宋体" w:hAnsi="宋体" w:eastAsia="宋体"/>
                <w:color w:val="auto"/>
                <w:sz w:val="30"/>
                <w:szCs w:val="30"/>
                <w:highlight w:val="none"/>
                <w:lang w:eastAsia="zh-CN"/>
              </w:rPr>
            </w:pPr>
            <w:r>
              <w:rPr>
                <w:rFonts w:hint="eastAsia" w:ascii="宋体" w:hAnsi="宋体" w:eastAsia="宋体"/>
                <w:color w:val="auto"/>
                <w:sz w:val="30"/>
                <w:szCs w:val="30"/>
                <w:highlight w:val="none"/>
                <w:lang w:eastAsia="zh-CN"/>
              </w:rPr>
              <w:t>浙江同信工程项目管理有限公司</w:t>
            </w:r>
          </w:p>
        </w:tc>
      </w:tr>
    </w:tbl>
    <w:p>
      <w:pPr>
        <w:spacing w:before="120" w:beforeLines="50" w:line="360" w:lineRule="auto"/>
        <w:jc w:val="center"/>
        <w:rPr>
          <w:rFonts w:ascii="宋体" w:hAnsi="宋体"/>
          <w:color w:val="auto"/>
          <w:spacing w:val="40"/>
          <w:sz w:val="30"/>
          <w:szCs w:val="30"/>
          <w:highlight w:val="none"/>
        </w:rPr>
      </w:pPr>
      <w:r>
        <w:rPr>
          <w:rFonts w:ascii="宋体" w:hAnsi="宋体"/>
          <w:color w:val="auto"/>
          <w:spacing w:val="40"/>
          <w:sz w:val="30"/>
          <w:szCs w:val="30"/>
          <w:highlight w:val="none"/>
        </w:rPr>
        <w:t>二〇二</w:t>
      </w:r>
      <w:r>
        <w:rPr>
          <w:rFonts w:hint="eastAsia" w:ascii="宋体" w:hAnsi="宋体"/>
          <w:color w:val="auto"/>
          <w:spacing w:val="40"/>
          <w:sz w:val="30"/>
          <w:szCs w:val="30"/>
          <w:highlight w:val="none"/>
          <w:lang w:val="en-US" w:eastAsia="zh-CN"/>
        </w:rPr>
        <w:t>四</w:t>
      </w:r>
      <w:r>
        <w:rPr>
          <w:rFonts w:ascii="宋体" w:hAnsi="宋体"/>
          <w:color w:val="auto"/>
          <w:spacing w:val="40"/>
          <w:sz w:val="30"/>
          <w:szCs w:val="30"/>
          <w:highlight w:val="none"/>
        </w:rPr>
        <w:t>年</w:t>
      </w:r>
    </w:p>
    <w:p>
      <w:pPr>
        <w:jc w:val="center"/>
        <w:rPr>
          <w:rFonts w:ascii="宋体" w:hAnsi="宋体"/>
          <w:b/>
          <w:bCs/>
          <w:color w:val="auto"/>
          <w:sz w:val="32"/>
          <w:szCs w:val="32"/>
          <w:highlight w:val="none"/>
        </w:rPr>
        <w:sectPr>
          <w:footerReference r:id="rId3" w:type="first"/>
          <w:pgSz w:w="11906" w:h="16838"/>
          <w:pgMar w:top="1134" w:right="1134" w:bottom="1134" w:left="1134" w:header="851" w:footer="851" w:gutter="0"/>
          <w:pgNumType w:start="0"/>
          <w:cols w:space="720" w:num="1"/>
          <w:titlePg/>
          <w:docGrid w:linePitch="312" w:charSpace="0"/>
        </w:sectPr>
      </w:pPr>
    </w:p>
    <w:p>
      <w:pPr>
        <w:spacing w:line="600" w:lineRule="exact"/>
        <w:jc w:val="center"/>
        <w:rPr>
          <w:rFonts w:ascii="宋体" w:hAnsi="宋体"/>
          <w:b/>
          <w:bCs/>
          <w:color w:val="auto"/>
          <w:sz w:val="34"/>
          <w:szCs w:val="32"/>
          <w:highlight w:val="none"/>
        </w:rPr>
      </w:pPr>
      <w:bookmarkStart w:id="0" w:name="_Toc218041724"/>
      <w:bookmarkStart w:id="1" w:name="_Toc25208"/>
      <w:bookmarkStart w:id="2" w:name="_Toc223717602"/>
      <w:bookmarkStart w:id="3" w:name="_Toc18756"/>
      <w:bookmarkStart w:id="4" w:name="_Toc215415528"/>
      <w:bookmarkStart w:id="5" w:name="_Toc216667818"/>
      <w:bookmarkStart w:id="6" w:name="_Toc217460683"/>
      <w:bookmarkStart w:id="7" w:name="_Toc227057031"/>
      <w:bookmarkStart w:id="8" w:name="_Toc227056844"/>
      <w:bookmarkStart w:id="9" w:name="_Toc219538611"/>
      <w:bookmarkStart w:id="10" w:name="_Toc223933219"/>
      <w:bookmarkStart w:id="11" w:name="_Toc227489885"/>
    </w:p>
    <w:bookmarkEnd w:id="0"/>
    <w:bookmarkEnd w:id="1"/>
    <w:bookmarkEnd w:id="2"/>
    <w:bookmarkEnd w:id="3"/>
    <w:bookmarkEnd w:id="4"/>
    <w:bookmarkEnd w:id="5"/>
    <w:bookmarkEnd w:id="6"/>
    <w:bookmarkEnd w:id="7"/>
    <w:bookmarkEnd w:id="8"/>
    <w:bookmarkEnd w:id="9"/>
    <w:bookmarkEnd w:id="10"/>
    <w:bookmarkEnd w:id="11"/>
    <w:p>
      <w:pPr>
        <w:spacing w:line="600" w:lineRule="exact"/>
        <w:jc w:val="center"/>
        <w:rPr>
          <w:rFonts w:ascii="宋体" w:hAnsi="宋体"/>
          <w:b/>
          <w:bCs/>
          <w:color w:val="auto"/>
          <w:sz w:val="34"/>
          <w:szCs w:val="32"/>
          <w:highlight w:val="none"/>
        </w:rPr>
      </w:pPr>
      <w:bookmarkStart w:id="12" w:name="_Hlk536622209"/>
      <w:r>
        <w:rPr>
          <w:rFonts w:ascii="宋体" w:hAnsi="宋体"/>
          <w:b/>
          <w:bCs/>
          <w:color w:val="auto"/>
          <w:sz w:val="34"/>
          <w:szCs w:val="32"/>
          <w:highlight w:val="none"/>
        </w:rPr>
        <w:t>目</w:t>
      </w:r>
      <w:r>
        <w:rPr>
          <w:rFonts w:hint="eastAsia" w:ascii="宋体" w:hAnsi="宋体"/>
          <w:b/>
          <w:bCs/>
          <w:color w:val="auto"/>
          <w:sz w:val="34"/>
          <w:szCs w:val="32"/>
          <w:highlight w:val="none"/>
        </w:rPr>
        <w:t xml:space="preserve">   </w:t>
      </w:r>
      <w:r>
        <w:rPr>
          <w:rFonts w:ascii="宋体" w:hAnsi="宋体"/>
          <w:b/>
          <w:bCs/>
          <w:color w:val="auto"/>
          <w:sz w:val="34"/>
          <w:szCs w:val="32"/>
          <w:highlight w:val="none"/>
        </w:rPr>
        <w:t>录</w:t>
      </w:r>
    </w:p>
    <w:p>
      <w:pPr>
        <w:pStyle w:val="22"/>
        <w:keepNext w:val="0"/>
        <w:keepLines w:val="0"/>
        <w:pageBreakBefore w:val="0"/>
        <w:widowControl w:val="0"/>
        <w:tabs>
          <w:tab w:val="right" w:leader="dot" w:pos="9638"/>
          <w:tab w:val="clear" w:pos="9660"/>
        </w:tabs>
        <w:kinsoku/>
        <w:wordWrap/>
        <w:overflowPunct/>
        <w:topLinePunct w:val="0"/>
        <w:autoSpaceDE/>
        <w:autoSpaceDN/>
        <w:bidi w:val="0"/>
        <w:adjustRightInd/>
        <w:snapToGrid/>
        <w:spacing w:line="400" w:lineRule="exact"/>
        <w:textAlignment w:val="auto"/>
        <w:rPr>
          <w:color w:val="auto"/>
          <w:sz w:val="24"/>
          <w:highlight w:val="none"/>
        </w:rPr>
      </w:pPr>
      <w:r>
        <w:rPr>
          <w:rFonts w:hint="eastAsia" w:ascii="宋体" w:hAnsi="宋体" w:cs="Times New Roman"/>
          <w:color w:val="auto"/>
          <w:highlight w:val="none"/>
        </w:rPr>
        <w:fldChar w:fldCharType="begin"/>
      </w:r>
      <w:r>
        <w:rPr>
          <w:rFonts w:hint="eastAsia" w:ascii="宋体" w:hAnsi="宋体" w:cs="Times New Roman"/>
          <w:color w:val="auto"/>
          <w:highlight w:val="none"/>
        </w:rPr>
        <w:instrText xml:space="preserve"> TOC \o "1-3" \h \z \u </w:instrText>
      </w:r>
      <w:r>
        <w:rPr>
          <w:rFonts w:hint="eastAsia" w:ascii="宋体" w:hAnsi="宋体" w:cs="Times New Roman"/>
          <w:color w:val="auto"/>
          <w:highlight w:val="none"/>
        </w:rPr>
        <w:fldChar w:fldCharType="separate"/>
      </w:r>
      <w:r>
        <w:rPr>
          <w:color w:val="auto"/>
          <w:highlight w:val="none"/>
        </w:rPr>
        <w:fldChar w:fldCharType="begin"/>
      </w:r>
      <w:r>
        <w:rPr>
          <w:color w:val="auto"/>
          <w:highlight w:val="none"/>
        </w:rPr>
        <w:instrText xml:space="preserve"> HYPERLINK \l "_Toc21311" </w:instrText>
      </w:r>
      <w:r>
        <w:rPr>
          <w:color w:val="auto"/>
          <w:highlight w:val="none"/>
        </w:rPr>
        <w:fldChar w:fldCharType="separate"/>
      </w:r>
      <w:r>
        <w:rPr>
          <w:rFonts w:hint="eastAsia" w:ascii="宋体" w:hAnsi="宋体"/>
          <w:color w:val="auto"/>
          <w:sz w:val="24"/>
          <w:highlight w:val="none"/>
        </w:rPr>
        <w:t>采购</w:t>
      </w:r>
      <w:r>
        <w:rPr>
          <w:rFonts w:ascii="宋体" w:hAnsi="宋体"/>
          <w:color w:val="auto"/>
          <w:sz w:val="24"/>
          <w:highlight w:val="none"/>
        </w:rPr>
        <w:t>邀请函</w:t>
      </w:r>
      <w:r>
        <w:rPr>
          <w:color w:val="auto"/>
          <w:sz w:val="24"/>
          <w:highlight w:val="none"/>
        </w:rPr>
        <w:tab/>
      </w:r>
      <w:r>
        <w:rPr>
          <w:color w:val="auto"/>
          <w:sz w:val="24"/>
          <w:highlight w:val="none"/>
        </w:rPr>
        <w:fldChar w:fldCharType="begin"/>
      </w:r>
      <w:r>
        <w:rPr>
          <w:color w:val="auto"/>
          <w:sz w:val="24"/>
          <w:highlight w:val="none"/>
        </w:rPr>
        <w:instrText xml:space="preserve"> PAGEREF _Toc21311 \h </w:instrText>
      </w:r>
      <w:r>
        <w:rPr>
          <w:color w:val="auto"/>
          <w:sz w:val="24"/>
          <w:highlight w:val="none"/>
        </w:rPr>
        <w:fldChar w:fldCharType="separate"/>
      </w:r>
      <w:r>
        <w:rPr>
          <w:color w:val="auto"/>
          <w:sz w:val="24"/>
          <w:highlight w:val="none"/>
        </w:rPr>
        <w:t>2</w:t>
      </w:r>
      <w:r>
        <w:rPr>
          <w:color w:val="auto"/>
          <w:sz w:val="24"/>
          <w:highlight w:val="none"/>
        </w:rPr>
        <w:fldChar w:fldCharType="end"/>
      </w:r>
      <w:r>
        <w:rPr>
          <w:color w:val="auto"/>
          <w:sz w:val="24"/>
          <w:highlight w:val="none"/>
        </w:rPr>
        <w:fldChar w:fldCharType="end"/>
      </w:r>
    </w:p>
    <w:p>
      <w:pPr>
        <w:pStyle w:val="22"/>
        <w:keepNext w:val="0"/>
        <w:keepLines w:val="0"/>
        <w:pageBreakBefore w:val="0"/>
        <w:widowControl w:val="0"/>
        <w:tabs>
          <w:tab w:val="right" w:leader="dot" w:pos="9638"/>
          <w:tab w:val="clear" w:pos="9660"/>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"_Toc21046" </w:instrText>
      </w:r>
      <w:r>
        <w:rPr>
          <w:color w:val="auto"/>
          <w:highlight w:val="none"/>
        </w:rPr>
        <w:fldChar w:fldCharType="separate"/>
      </w:r>
      <w:r>
        <w:rPr>
          <w:rFonts w:ascii="宋体" w:hAnsi="宋体"/>
          <w:color w:val="auto"/>
          <w:sz w:val="24"/>
          <w:highlight w:val="none"/>
        </w:rPr>
        <w:t>第一部分</w:t>
      </w:r>
      <w:r>
        <w:rPr>
          <w:rFonts w:hint="eastAsia" w:ascii="宋体" w:hAnsi="宋体"/>
          <w:color w:val="auto"/>
          <w:sz w:val="24"/>
          <w:highlight w:val="none"/>
        </w:rPr>
        <w:t xml:space="preserve"> </w:t>
      </w:r>
      <w:r>
        <w:rPr>
          <w:rFonts w:ascii="宋体" w:hAnsi="宋体"/>
          <w:color w:val="auto"/>
          <w:sz w:val="24"/>
          <w:highlight w:val="none"/>
        </w:rPr>
        <w:t xml:space="preserve"> 供应商须知</w:t>
      </w:r>
      <w:r>
        <w:rPr>
          <w:color w:val="auto"/>
          <w:sz w:val="24"/>
          <w:highlight w:val="none"/>
        </w:rPr>
        <w:tab/>
      </w:r>
      <w:r>
        <w:rPr>
          <w:color w:val="auto"/>
          <w:sz w:val="24"/>
          <w:highlight w:val="none"/>
        </w:rPr>
        <w:fldChar w:fldCharType="begin"/>
      </w:r>
      <w:r>
        <w:rPr>
          <w:color w:val="auto"/>
          <w:sz w:val="24"/>
          <w:highlight w:val="none"/>
        </w:rPr>
        <w:instrText xml:space="preserve"> PAGEREF _Toc21046 \h </w:instrText>
      </w:r>
      <w:r>
        <w:rPr>
          <w:color w:val="auto"/>
          <w:sz w:val="24"/>
          <w:highlight w:val="none"/>
        </w:rPr>
        <w:fldChar w:fldCharType="separate"/>
      </w:r>
      <w:r>
        <w:rPr>
          <w:color w:val="auto"/>
          <w:sz w:val="24"/>
          <w:highlight w:val="none"/>
        </w:rPr>
        <w:t>4</w:t>
      </w:r>
      <w:r>
        <w:rPr>
          <w:color w:val="auto"/>
          <w:sz w:val="24"/>
          <w:highlight w:val="none"/>
        </w:rPr>
        <w:fldChar w:fldCharType="end"/>
      </w:r>
      <w:r>
        <w:rPr>
          <w:color w:val="auto"/>
          <w:sz w:val="24"/>
          <w:highlight w:val="none"/>
        </w:rPr>
        <w:fldChar w:fldCharType="end"/>
      </w:r>
    </w:p>
    <w:p>
      <w:pPr>
        <w:pStyle w:val="2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"_Toc32543" </w:instrText>
      </w:r>
      <w:r>
        <w:rPr>
          <w:color w:val="auto"/>
          <w:highlight w:val="none"/>
        </w:rPr>
        <w:fldChar w:fldCharType="separate"/>
      </w:r>
      <w:r>
        <w:rPr>
          <w:rFonts w:hint="eastAsia" w:ascii="宋体" w:hAnsi="宋体" w:cs="Courier New"/>
          <w:color w:val="auto"/>
          <w:sz w:val="24"/>
          <w:highlight w:val="none"/>
        </w:rPr>
        <w:t>供应商须知前附表</w:t>
      </w:r>
      <w:r>
        <w:rPr>
          <w:color w:val="auto"/>
          <w:sz w:val="24"/>
          <w:highlight w:val="none"/>
        </w:rPr>
        <w:tab/>
      </w:r>
      <w:r>
        <w:rPr>
          <w:color w:val="auto"/>
          <w:sz w:val="24"/>
          <w:highlight w:val="none"/>
        </w:rPr>
        <w:fldChar w:fldCharType="begin"/>
      </w:r>
      <w:r>
        <w:rPr>
          <w:color w:val="auto"/>
          <w:sz w:val="24"/>
          <w:highlight w:val="none"/>
        </w:rPr>
        <w:instrText xml:space="preserve"> PAGEREF _Toc32543 \h </w:instrText>
      </w:r>
      <w:r>
        <w:rPr>
          <w:color w:val="auto"/>
          <w:sz w:val="24"/>
          <w:highlight w:val="none"/>
        </w:rPr>
        <w:fldChar w:fldCharType="separate"/>
      </w:r>
      <w:r>
        <w:rPr>
          <w:color w:val="auto"/>
          <w:sz w:val="24"/>
          <w:highlight w:val="none"/>
        </w:rPr>
        <w:t>4</w:t>
      </w:r>
      <w:r>
        <w:rPr>
          <w:color w:val="auto"/>
          <w:sz w:val="24"/>
          <w:highlight w:val="none"/>
        </w:rPr>
        <w:fldChar w:fldCharType="end"/>
      </w:r>
      <w:r>
        <w:rPr>
          <w:color w:val="auto"/>
          <w:sz w:val="24"/>
          <w:highlight w:val="none"/>
        </w:rPr>
        <w:fldChar w:fldCharType="end"/>
      </w:r>
    </w:p>
    <w:p>
      <w:pPr>
        <w:pStyle w:val="2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"_Toc15078" </w:instrText>
      </w:r>
      <w:r>
        <w:rPr>
          <w:color w:val="auto"/>
          <w:highlight w:val="none"/>
        </w:rPr>
        <w:fldChar w:fldCharType="separate"/>
      </w:r>
      <w:r>
        <w:rPr>
          <w:rFonts w:hint="eastAsia" w:ascii="宋体" w:hAnsi="宋体" w:cs="Courier New"/>
          <w:color w:val="auto"/>
          <w:sz w:val="24"/>
          <w:highlight w:val="none"/>
        </w:rPr>
        <w:t>一、 说明</w:t>
      </w:r>
      <w:r>
        <w:rPr>
          <w:color w:val="auto"/>
          <w:sz w:val="24"/>
          <w:highlight w:val="none"/>
        </w:rPr>
        <w:tab/>
      </w:r>
      <w:r>
        <w:rPr>
          <w:color w:val="auto"/>
          <w:sz w:val="24"/>
          <w:highlight w:val="none"/>
        </w:rPr>
        <w:fldChar w:fldCharType="begin"/>
      </w:r>
      <w:r>
        <w:rPr>
          <w:color w:val="auto"/>
          <w:sz w:val="24"/>
          <w:highlight w:val="none"/>
        </w:rPr>
        <w:instrText xml:space="preserve"> PAGEREF _Toc15078 \h </w:instrText>
      </w:r>
      <w:r>
        <w:rPr>
          <w:color w:val="auto"/>
          <w:sz w:val="24"/>
          <w:highlight w:val="none"/>
        </w:rPr>
        <w:fldChar w:fldCharType="separate"/>
      </w:r>
      <w:r>
        <w:rPr>
          <w:color w:val="auto"/>
          <w:sz w:val="24"/>
          <w:highlight w:val="none"/>
        </w:rPr>
        <w:t>7</w:t>
      </w:r>
      <w:r>
        <w:rPr>
          <w:color w:val="auto"/>
          <w:sz w:val="24"/>
          <w:highlight w:val="none"/>
        </w:rPr>
        <w:fldChar w:fldCharType="end"/>
      </w:r>
      <w:r>
        <w:rPr>
          <w:color w:val="auto"/>
          <w:sz w:val="24"/>
          <w:highlight w:val="none"/>
        </w:rPr>
        <w:fldChar w:fldCharType="end"/>
      </w:r>
    </w:p>
    <w:p>
      <w:pPr>
        <w:pStyle w:val="2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"_Toc16443" </w:instrText>
      </w:r>
      <w:r>
        <w:rPr>
          <w:color w:val="auto"/>
          <w:highlight w:val="none"/>
        </w:rPr>
        <w:fldChar w:fldCharType="separate"/>
      </w:r>
      <w:r>
        <w:rPr>
          <w:rFonts w:ascii="宋体" w:hAnsi="宋体" w:cs="Courier New"/>
          <w:color w:val="auto"/>
          <w:sz w:val="24"/>
          <w:highlight w:val="none"/>
        </w:rPr>
        <w:t>二、磋商文件</w:t>
      </w:r>
      <w:r>
        <w:rPr>
          <w:color w:val="auto"/>
          <w:sz w:val="24"/>
          <w:highlight w:val="none"/>
        </w:rPr>
        <w:tab/>
      </w:r>
      <w:r>
        <w:rPr>
          <w:color w:val="auto"/>
          <w:sz w:val="24"/>
          <w:highlight w:val="none"/>
        </w:rPr>
        <w:fldChar w:fldCharType="begin"/>
      </w:r>
      <w:r>
        <w:rPr>
          <w:color w:val="auto"/>
          <w:sz w:val="24"/>
          <w:highlight w:val="none"/>
        </w:rPr>
        <w:instrText xml:space="preserve"> PAGEREF _Toc16443 \h </w:instrText>
      </w:r>
      <w:r>
        <w:rPr>
          <w:color w:val="auto"/>
          <w:sz w:val="24"/>
          <w:highlight w:val="none"/>
        </w:rPr>
        <w:fldChar w:fldCharType="separate"/>
      </w:r>
      <w:r>
        <w:rPr>
          <w:color w:val="auto"/>
          <w:sz w:val="24"/>
          <w:highlight w:val="none"/>
        </w:rPr>
        <w:t>7</w:t>
      </w:r>
      <w:r>
        <w:rPr>
          <w:color w:val="auto"/>
          <w:sz w:val="24"/>
          <w:highlight w:val="none"/>
        </w:rPr>
        <w:fldChar w:fldCharType="end"/>
      </w:r>
      <w:r>
        <w:rPr>
          <w:color w:val="auto"/>
          <w:sz w:val="24"/>
          <w:highlight w:val="none"/>
        </w:rPr>
        <w:fldChar w:fldCharType="end"/>
      </w:r>
    </w:p>
    <w:p>
      <w:pPr>
        <w:pStyle w:val="2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"_Toc17839" </w:instrText>
      </w:r>
      <w:r>
        <w:rPr>
          <w:color w:val="auto"/>
          <w:highlight w:val="none"/>
        </w:rPr>
        <w:fldChar w:fldCharType="separate"/>
      </w:r>
      <w:r>
        <w:rPr>
          <w:rFonts w:ascii="宋体" w:hAnsi="宋体" w:cs="Courier New"/>
          <w:color w:val="auto"/>
          <w:sz w:val="24"/>
          <w:highlight w:val="none"/>
        </w:rPr>
        <w:t>三、响应文件</w:t>
      </w:r>
      <w:r>
        <w:rPr>
          <w:color w:val="auto"/>
          <w:sz w:val="24"/>
          <w:highlight w:val="none"/>
        </w:rPr>
        <w:tab/>
      </w:r>
      <w:r>
        <w:rPr>
          <w:color w:val="auto"/>
          <w:sz w:val="24"/>
          <w:highlight w:val="none"/>
        </w:rPr>
        <w:fldChar w:fldCharType="begin"/>
      </w:r>
      <w:r>
        <w:rPr>
          <w:color w:val="auto"/>
          <w:sz w:val="24"/>
          <w:highlight w:val="none"/>
        </w:rPr>
        <w:instrText xml:space="preserve"> PAGEREF _Toc17839 \h </w:instrText>
      </w:r>
      <w:r>
        <w:rPr>
          <w:color w:val="auto"/>
          <w:sz w:val="24"/>
          <w:highlight w:val="none"/>
        </w:rPr>
        <w:fldChar w:fldCharType="separate"/>
      </w:r>
      <w:r>
        <w:rPr>
          <w:color w:val="auto"/>
          <w:sz w:val="24"/>
          <w:highlight w:val="none"/>
        </w:rPr>
        <w:t>8</w:t>
      </w:r>
      <w:r>
        <w:rPr>
          <w:color w:val="auto"/>
          <w:sz w:val="24"/>
          <w:highlight w:val="none"/>
        </w:rPr>
        <w:fldChar w:fldCharType="end"/>
      </w:r>
      <w:r>
        <w:rPr>
          <w:color w:val="auto"/>
          <w:sz w:val="24"/>
          <w:highlight w:val="none"/>
        </w:rPr>
        <w:fldChar w:fldCharType="end"/>
      </w:r>
    </w:p>
    <w:p>
      <w:pPr>
        <w:pStyle w:val="2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"_Toc30374" </w:instrText>
      </w:r>
      <w:r>
        <w:rPr>
          <w:color w:val="auto"/>
          <w:highlight w:val="none"/>
        </w:rPr>
        <w:fldChar w:fldCharType="separate"/>
      </w:r>
      <w:r>
        <w:rPr>
          <w:rFonts w:ascii="宋体" w:hAnsi="宋体" w:cs="Courier New"/>
          <w:color w:val="auto"/>
          <w:sz w:val="24"/>
          <w:highlight w:val="none"/>
        </w:rPr>
        <w:t>四、响应文件的递交</w:t>
      </w:r>
      <w:r>
        <w:rPr>
          <w:color w:val="auto"/>
          <w:sz w:val="24"/>
          <w:highlight w:val="none"/>
        </w:rPr>
        <w:tab/>
      </w:r>
      <w:r>
        <w:rPr>
          <w:color w:val="auto"/>
          <w:sz w:val="24"/>
          <w:highlight w:val="none"/>
        </w:rPr>
        <w:fldChar w:fldCharType="begin"/>
      </w:r>
      <w:r>
        <w:rPr>
          <w:color w:val="auto"/>
          <w:sz w:val="24"/>
          <w:highlight w:val="none"/>
        </w:rPr>
        <w:instrText xml:space="preserve"> PAGEREF _Toc30374 \h </w:instrText>
      </w:r>
      <w:r>
        <w:rPr>
          <w:color w:val="auto"/>
          <w:sz w:val="24"/>
          <w:highlight w:val="none"/>
        </w:rPr>
        <w:fldChar w:fldCharType="separate"/>
      </w:r>
      <w:r>
        <w:rPr>
          <w:color w:val="auto"/>
          <w:sz w:val="24"/>
          <w:highlight w:val="none"/>
        </w:rPr>
        <w:t>10</w:t>
      </w:r>
      <w:r>
        <w:rPr>
          <w:color w:val="auto"/>
          <w:sz w:val="24"/>
          <w:highlight w:val="none"/>
        </w:rPr>
        <w:fldChar w:fldCharType="end"/>
      </w:r>
      <w:r>
        <w:rPr>
          <w:color w:val="auto"/>
          <w:sz w:val="24"/>
          <w:highlight w:val="none"/>
        </w:rPr>
        <w:fldChar w:fldCharType="end"/>
      </w:r>
    </w:p>
    <w:p>
      <w:pPr>
        <w:pStyle w:val="2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"_Toc23228" </w:instrText>
      </w:r>
      <w:r>
        <w:rPr>
          <w:color w:val="auto"/>
          <w:highlight w:val="none"/>
        </w:rPr>
        <w:fldChar w:fldCharType="separate"/>
      </w:r>
      <w:r>
        <w:rPr>
          <w:rFonts w:hint="eastAsia" w:ascii="宋体" w:hAnsi="宋体" w:cs="Courier New"/>
          <w:color w:val="auto"/>
          <w:sz w:val="24"/>
          <w:highlight w:val="none"/>
        </w:rPr>
        <w:t>五、电子化开启</w:t>
      </w:r>
      <w:r>
        <w:rPr>
          <w:color w:val="auto"/>
          <w:sz w:val="24"/>
          <w:highlight w:val="none"/>
        </w:rPr>
        <w:tab/>
      </w:r>
      <w:r>
        <w:rPr>
          <w:color w:val="auto"/>
          <w:sz w:val="24"/>
          <w:highlight w:val="none"/>
        </w:rPr>
        <w:fldChar w:fldCharType="begin"/>
      </w:r>
      <w:r>
        <w:rPr>
          <w:color w:val="auto"/>
          <w:sz w:val="24"/>
          <w:highlight w:val="none"/>
        </w:rPr>
        <w:instrText xml:space="preserve"> PAGEREF _Toc23228 \h </w:instrText>
      </w:r>
      <w:r>
        <w:rPr>
          <w:color w:val="auto"/>
          <w:sz w:val="24"/>
          <w:highlight w:val="none"/>
        </w:rPr>
        <w:fldChar w:fldCharType="separate"/>
      </w:r>
      <w:r>
        <w:rPr>
          <w:color w:val="auto"/>
          <w:sz w:val="24"/>
          <w:highlight w:val="none"/>
        </w:rPr>
        <w:t>11</w:t>
      </w:r>
      <w:r>
        <w:rPr>
          <w:color w:val="auto"/>
          <w:sz w:val="24"/>
          <w:highlight w:val="none"/>
        </w:rPr>
        <w:fldChar w:fldCharType="end"/>
      </w:r>
      <w:r>
        <w:rPr>
          <w:color w:val="auto"/>
          <w:sz w:val="24"/>
          <w:highlight w:val="none"/>
        </w:rPr>
        <w:fldChar w:fldCharType="end"/>
      </w:r>
    </w:p>
    <w:p>
      <w:pPr>
        <w:pStyle w:val="2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"_Toc22714" </w:instrText>
      </w:r>
      <w:r>
        <w:rPr>
          <w:color w:val="auto"/>
          <w:highlight w:val="none"/>
        </w:rPr>
        <w:fldChar w:fldCharType="separate"/>
      </w:r>
      <w:r>
        <w:rPr>
          <w:rFonts w:hint="eastAsia" w:ascii="宋体" w:hAnsi="宋体" w:cs="Courier New"/>
          <w:color w:val="auto"/>
          <w:sz w:val="24"/>
          <w:highlight w:val="none"/>
        </w:rPr>
        <w:t>六</w:t>
      </w:r>
      <w:r>
        <w:rPr>
          <w:rFonts w:ascii="宋体" w:hAnsi="宋体" w:cs="Courier New"/>
          <w:color w:val="auto"/>
          <w:sz w:val="24"/>
          <w:highlight w:val="none"/>
        </w:rPr>
        <w:t>、</w:t>
      </w:r>
      <w:r>
        <w:rPr>
          <w:rFonts w:hint="eastAsia" w:ascii="宋体" w:hAnsi="宋体" w:cs="Courier New"/>
          <w:color w:val="auto"/>
          <w:sz w:val="24"/>
          <w:highlight w:val="none"/>
        </w:rPr>
        <w:t>评审</w:t>
      </w:r>
      <w:r>
        <w:rPr>
          <w:color w:val="auto"/>
          <w:sz w:val="24"/>
          <w:highlight w:val="none"/>
        </w:rPr>
        <w:tab/>
      </w:r>
      <w:r>
        <w:rPr>
          <w:color w:val="auto"/>
          <w:sz w:val="24"/>
          <w:highlight w:val="none"/>
        </w:rPr>
        <w:fldChar w:fldCharType="begin"/>
      </w:r>
      <w:r>
        <w:rPr>
          <w:color w:val="auto"/>
          <w:sz w:val="24"/>
          <w:highlight w:val="none"/>
        </w:rPr>
        <w:instrText xml:space="preserve"> PAGEREF _Toc22714 \h </w:instrText>
      </w:r>
      <w:r>
        <w:rPr>
          <w:color w:val="auto"/>
          <w:sz w:val="24"/>
          <w:highlight w:val="none"/>
        </w:rPr>
        <w:fldChar w:fldCharType="separate"/>
      </w:r>
      <w:r>
        <w:rPr>
          <w:color w:val="auto"/>
          <w:sz w:val="24"/>
          <w:highlight w:val="none"/>
        </w:rPr>
        <w:t>11</w:t>
      </w:r>
      <w:r>
        <w:rPr>
          <w:color w:val="auto"/>
          <w:sz w:val="24"/>
          <w:highlight w:val="none"/>
        </w:rPr>
        <w:fldChar w:fldCharType="end"/>
      </w:r>
      <w:r>
        <w:rPr>
          <w:color w:val="auto"/>
          <w:sz w:val="24"/>
          <w:highlight w:val="none"/>
        </w:rPr>
        <w:fldChar w:fldCharType="end"/>
      </w:r>
    </w:p>
    <w:p>
      <w:pPr>
        <w:pStyle w:val="2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"_Toc29290" </w:instrText>
      </w:r>
      <w:r>
        <w:rPr>
          <w:color w:val="auto"/>
          <w:highlight w:val="none"/>
        </w:rPr>
        <w:fldChar w:fldCharType="separate"/>
      </w:r>
      <w:r>
        <w:rPr>
          <w:rFonts w:hint="eastAsia" w:ascii="宋体" w:hAnsi="宋体" w:cs="Courier New"/>
          <w:color w:val="auto"/>
          <w:sz w:val="24"/>
          <w:highlight w:val="none"/>
        </w:rPr>
        <w:t>七</w:t>
      </w:r>
      <w:r>
        <w:rPr>
          <w:rFonts w:ascii="宋体" w:hAnsi="宋体" w:cs="Courier New"/>
          <w:color w:val="auto"/>
          <w:sz w:val="24"/>
          <w:highlight w:val="none"/>
        </w:rPr>
        <w:t>、</w:t>
      </w:r>
      <w:r>
        <w:rPr>
          <w:rFonts w:hint="eastAsia" w:ascii="宋体" w:hAnsi="宋体" w:cs="Courier New"/>
          <w:color w:val="auto"/>
          <w:sz w:val="24"/>
          <w:highlight w:val="none"/>
        </w:rPr>
        <w:t>定标及</w:t>
      </w:r>
      <w:r>
        <w:rPr>
          <w:rFonts w:ascii="宋体" w:hAnsi="宋体" w:cs="Courier New"/>
          <w:color w:val="auto"/>
          <w:sz w:val="24"/>
          <w:highlight w:val="none"/>
        </w:rPr>
        <w:t>合同授予</w:t>
      </w:r>
      <w:r>
        <w:rPr>
          <w:color w:val="auto"/>
          <w:sz w:val="24"/>
          <w:highlight w:val="none"/>
        </w:rPr>
        <w:tab/>
      </w:r>
      <w:r>
        <w:rPr>
          <w:color w:val="auto"/>
          <w:sz w:val="24"/>
          <w:highlight w:val="none"/>
        </w:rPr>
        <w:fldChar w:fldCharType="begin"/>
      </w:r>
      <w:r>
        <w:rPr>
          <w:color w:val="auto"/>
          <w:sz w:val="24"/>
          <w:highlight w:val="none"/>
        </w:rPr>
        <w:instrText xml:space="preserve"> PAGEREF _Toc29290 \h </w:instrText>
      </w:r>
      <w:r>
        <w:rPr>
          <w:color w:val="auto"/>
          <w:sz w:val="24"/>
          <w:highlight w:val="none"/>
        </w:rPr>
        <w:fldChar w:fldCharType="separate"/>
      </w:r>
      <w:r>
        <w:rPr>
          <w:color w:val="auto"/>
          <w:sz w:val="24"/>
          <w:highlight w:val="none"/>
        </w:rPr>
        <w:t>15</w:t>
      </w:r>
      <w:r>
        <w:rPr>
          <w:color w:val="auto"/>
          <w:sz w:val="24"/>
          <w:highlight w:val="none"/>
        </w:rPr>
        <w:fldChar w:fldCharType="end"/>
      </w:r>
      <w:r>
        <w:rPr>
          <w:color w:val="auto"/>
          <w:sz w:val="24"/>
          <w:highlight w:val="none"/>
        </w:rPr>
        <w:fldChar w:fldCharType="end"/>
      </w:r>
    </w:p>
    <w:p>
      <w:pPr>
        <w:pStyle w:val="2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"_Toc29451" </w:instrText>
      </w:r>
      <w:r>
        <w:rPr>
          <w:color w:val="auto"/>
          <w:highlight w:val="none"/>
        </w:rPr>
        <w:fldChar w:fldCharType="separate"/>
      </w:r>
      <w:r>
        <w:rPr>
          <w:rFonts w:hint="eastAsia" w:ascii="宋体" w:hAnsi="宋体" w:cs="Courier New"/>
          <w:color w:val="auto"/>
          <w:sz w:val="24"/>
          <w:highlight w:val="none"/>
        </w:rPr>
        <w:t>八</w:t>
      </w:r>
      <w:r>
        <w:rPr>
          <w:rFonts w:ascii="宋体" w:hAnsi="宋体" w:cs="Courier New"/>
          <w:color w:val="auto"/>
          <w:sz w:val="24"/>
          <w:highlight w:val="none"/>
        </w:rPr>
        <w:t>、</w:t>
      </w:r>
      <w:r>
        <w:rPr>
          <w:rFonts w:hint="eastAsia" w:ascii="宋体" w:hAnsi="宋体" w:cs="Courier New"/>
          <w:color w:val="auto"/>
          <w:sz w:val="24"/>
          <w:highlight w:val="none"/>
        </w:rPr>
        <w:t>询问、质疑、投诉</w:t>
      </w:r>
      <w:r>
        <w:rPr>
          <w:color w:val="auto"/>
          <w:sz w:val="24"/>
          <w:highlight w:val="none"/>
        </w:rPr>
        <w:tab/>
      </w:r>
      <w:r>
        <w:rPr>
          <w:color w:val="auto"/>
          <w:sz w:val="24"/>
          <w:highlight w:val="none"/>
        </w:rPr>
        <w:fldChar w:fldCharType="begin"/>
      </w:r>
      <w:r>
        <w:rPr>
          <w:color w:val="auto"/>
          <w:sz w:val="24"/>
          <w:highlight w:val="none"/>
        </w:rPr>
        <w:instrText xml:space="preserve"> PAGEREF _Toc29451 \h </w:instrText>
      </w:r>
      <w:r>
        <w:rPr>
          <w:color w:val="auto"/>
          <w:sz w:val="24"/>
          <w:highlight w:val="none"/>
        </w:rPr>
        <w:fldChar w:fldCharType="separate"/>
      </w:r>
      <w:r>
        <w:rPr>
          <w:color w:val="auto"/>
          <w:sz w:val="24"/>
          <w:highlight w:val="none"/>
        </w:rPr>
        <w:t>15</w:t>
      </w:r>
      <w:r>
        <w:rPr>
          <w:color w:val="auto"/>
          <w:sz w:val="24"/>
          <w:highlight w:val="none"/>
        </w:rPr>
        <w:fldChar w:fldCharType="end"/>
      </w:r>
      <w:r>
        <w:rPr>
          <w:color w:val="auto"/>
          <w:sz w:val="24"/>
          <w:highlight w:val="none"/>
        </w:rPr>
        <w:fldChar w:fldCharType="end"/>
      </w:r>
    </w:p>
    <w:p>
      <w:pPr>
        <w:pStyle w:val="2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"_Toc11782" </w:instrText>
      </w:r>
      <w:r>
        <w:rPr>
          <w:color w:val="auto"/>
          <w:highlight w:val="none"/>
        </w:rPr>
        <w:fldChar w:fldCharType="separate"/>
      </w:r>
      <w:r>
        <w:rPr>
          <w:rFonts w:hint="eastAsia" w:ascii="宋体" w:hAnsi="宋体" w:cs="Courier New"/>
          <w:color w:val="auto"/>
          <w:sz w:val="24"/>
          <w:highlight w:val="none"/>
        </w:rPr>
        <w:t>九、其他</w:t>
      </w:r>
      <w:r>
        <w:rPr>
          <w:color w:val="auto"/>
          <w:sz w:val="24"/>
          <w:highlight w:val="none"/>
        </w:rPr>
        <w:tab/>
      </w:r>
      <w:r>
        <w:rPr>
          <w:color w:val="auto"/>
          <w:sz w:val="24"/>
          <w:highlight w:val="none"/>
        </w:rPr>
        <w:fldChar w:fldCharType="begin"/>
      </w:r>
      <w:r>
        <w:rPr>
          <w:color w:val="auto"/>
          <w:sz w:val="24"/>
          <w:highlight w:val="none"/>
        </w:rPr>
        <w:instrText xml:space="preserve"> PAGEREF _Toc11782 \h </w:instrText>
      </w:r>
      <w:r>
        <w:rPr>
          <w:color w:val="auto"/>
          <w:sz w:val="24"/>
          <w:highlight w:val="none"/>
        </w:rPr>
        <w:fldChar w:fldCharType="separate"/>
      </w:r>
      <w:r>
        <w:rPr>
          <w:color w:val="auto"/>
          <w:sz w:val="24"/>
          <w:highlight w:val="none"/>
        </w:rPr>
        <w:t>16</w:t>
      </w:r>
      <w:r>
        <w:rPr>
          <w:color w:val="auto"/>
          <w:sz w:val="24"/>
          <w:highlight w:val="none"/>
        </w:rPr>
        <w:fldChar w:fldCharType="end"/>
      </w:r>
      <w:r>
        <w:rPr>
          <w:color w:val="auto"/>
          <w:sz w:val="24"/>
          <w:highlight w:val="none"/>
        </w:rPr>
        <w:fldChar w:fldCharType="end"/>
      </w:r>
    </w:p>
    <w:p>
      <w:pPr>
        <w:pStyle w:val="22"/>
        <w:keepNext w:val="0"/>
        <w:keepLines w:val="0"/>
        <w:pageBreakBefore w:val="0"/>
        <w:widowControl w:val="0"/>
        <w:tabs>
          <w:tab w:val="right" w:leader="dot" w:pos="9638"/>
          <w:tab w:val="clear" w:pos="9660"/>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"_Toc5293" </w:instrText>
      </w:r>
      <w:r>
        <w:rPr>
          <w:color w:val="auto"/>
          <w:highlight w:val="none"/>
        </w:rPr>
        <w:fldChar w:fldCharType="separate"/>
      </w:r>
      <w:r>
        <w:rPr>
          <w:rFonts w:hint="eastAsia" w:ascii="宋体" w:hAnsi="宋体" w:cs="Courier New"/>
          <w:color w:val="auto"/>
          <w:sz w:val="24"/>
          <w:highlight w:val="none"/>
        </w:rPr>
        <w:t>第二部分   合同条款</w:t>
      </w:r>
      <w:r>
        <w:rPr>
          <w:color w:val="auto"/>
          <w:sz w:val="24"/>
          <w:highlight w:val="none"/>
        </w:rPr>
        <w:tab/>
      </w:r>
      <w:r>
        <w:rPr>
          <w:color w:val="auto"/>
          <w:sz w:val="24"/>
          <w:highlight w:val="none"/>
        </w:rPr>
        <w:fldChar w:fldCharType="begin"/>
      </w:r>
      <w:r>
        <w:rPr>
          <w:color w:val="auto"/>
          <w:sz w:val="24"/>
          <w:highlight w:val="none"/>
        </w:rPr>
        <w:instrText xml:space="preserve"> PAGEREF _Toc5293 \h </w:instrText>
      </w:r>
      <w:r>
        <w:rPr>
          <w:color w:val="auto"/>
          <w:sz w:val="24"/>
          <w:highlight w:val="none"/>
        </w:rPr>
        <w:fldChar w:fldCharType="separate"/>
      </w:r>
      <w:r>
        <w:rPr>
          <w:color w:val="auto"/>
          <w:sz w:val="24"/>
          <w:highlight w:val="none"/>
        </w:rPr>
        <w:t>18</w:t>
      </w:r>
      <w:r>
        <w:rPr>
          <w:color w:val="auto"/>
          <w:sz w:val="24"/>
          <w:highlight w:val="none"/>
        </w:rPr>
        <w:fldChar w:fldCharType="end"/>
      </w:r>
      <w:r>
        <w:rPr>
          <w:color w:val="auto"/>
          <w:sz w:val="24"/>
          <w:highlight w:val="none"/>
        </w:rPr>
        <w:fldChar w:fldCharType="end"/>
      </w:r>
    </w:p>
    <w:p>
      <w:pPr>
        <w:pStyle w:val="22"/>
        <w:keepNext w:val="0"/>
        <w:keepLines w:val="0"/>
        <w:pageBreakBefore w:val="0"/>
        <w:widowControl w:val="0"/>
        <w:tabs>
          <w:tab w:val="right" w:leader="dot" w:pos="9638"/>
          <w:tab w:val="clear" w:pos="9660"/>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"_Toc28515" </w:instrText>
      </w:r>
      <w:r>
        <w:rPr>
          <w:color w:val="auto"/>
          <w:highlight w:val="none"/>
        </w:rPr>
        <w:fldChar w:fldCharType="separate"/>
      </w:r>
      <w:r>
        <w:rPr>
          <w:rFonts w:ascii="宋体" w:hAnsi="宋体"/>
          <w:color w:val="auto"/>
          <w:sz w:val="24"/>
          <w:highlight w:val="none"/>
        </w:rPr>
        <w:t>第三部分 应提交的有关格式范例</w:t>
      </w:r>
      <w:r>
        <w:rPr>
          <w:color w:val="auto"/>
          <w:sz w:val="24"/>
          <w:highlight w:val="none"/>
        </w:rPr>
        <w:tab/>
      </w:r>
      <w:r>
        <w:rPr>
          <w:color w:val="auto"/>
          <w:sz w:val="24"/>
          <w:highlight w:val="none"/>
        </w:rPr>
        <w:fldChar w:fldCharType="begin"/>
      </w:r>
      <w:r>
        <w:rPr>
          <w:color w:val="auto"/>
          <w:sz w:val="24"/>
          <w:highlight w:val="none"/>
        </w:rPr>
        <w:instrText xml:space="preserve"> PAGEREF _Toc28515 \h </w:instrText>
      </w:r>
      <w:r>
        <w:rPr>
          <w:color w:val="auto"/>
          <w:sz w:val="24"/>
          <w:highlight w:val="none"/>
        </w:rPr>
        <w:fldChar w:fldCharType="separate"/>
      </w:r>
      <w:r>
        <w:rPr>
          <w:color w:val="auto"/>
          <w:sz w:val="24"/>
          <w:highlight w:val="none"/>
        </w:rPr>
        <w:t>23</w:t>
      </w:r>
      <w:r>
        <w:rPr>
          <w:color w:val="auto"/>
          <w:sz w:val="24"/>
          <w:highlight w:val="none"/>
        </w:rPr>
        <w:fldChar w:fldCharType="end"/>
      </w:r>
      <w:r>
        <w:rPr>
          <w:color w:val="auto"/>
          <w:sz w:val="24"/>
          <w:highlight w:val="none"/>
        </w:rPr>
        <w:fldChar w:fldCharType="end"/>
      </w:r>
    </w:p>
    <w:p>
      <w:pPr>
        <w:pStyle w:val="1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"_Toc29422" </w:instrText>
      </w:r>
      <w:r>
        <w:rPr>
          <w:color w:val="auto"/>
          <w:highlight w:val="none"/>
        </w:rPr>
        <w:fldChar w:fldCharType="separate"/>
      </w:r>
      <w:r>
        <w:rPr>
          <w:rFonts w:hint="eastAsia"/>
          <w:bCs/>
          <w:color w:val="auto"/>
          <w:kern w:val="0"/>
          <w:sz w:val="24"/>
          <w:highlight w:val="none"/>
        </w:rPr>
        <w:t>资格文件</w:t>
      </w:r>
      <w:r>
        <w:rPr>
          <w:color w:val="auto"/>
          <w:sz w:val="24"/>
          <w:highlight w:val="none"/>
        </w:rPr>
        <w:tab/>
      </w:r>
      <w:r>
        <w:rPr>
          <w:color w:val="auto"/>
          <w:sz w:val="24"/>
          <w:highlight w:val="none"/>
        </w:rPr>
        <w:fldChar w:fldCharType="begin"/>
      </w:r>
      <w:r>
        <w:rPr>
          <w:color w:val="auto"/>
          <w:sz w:val="24"/>
          <w:highlight w:val="none"/>
        </w:rPr>
        <w:instrText xml:space="preserve"> PAGEREF _Toc29422 \h </w:instrText>
      </w:r>
      <w:r>
        <w:rPr>
          <w:color w:val="auto"/>
          <w:sz w:val="24"/>
          <w:highlight w:val="none"/>
        </w:rPr>
        <w:fldChar w:fldCharType="separate"/>
      </w:r>
      <w:r>
        <w:rPr>
          <w:color w:val="auto"/>
          <w:sz w:val="24"/>
          <w:highlight w:val="none"/>
        </w:rPr>
        <w:t>24</w:t>
      </w:r>
      <w:r>
        <w:rPr>
          <w:color w:val="auto"/>
          <w:sz w:val="24"/>
          <w:highlight w:val="none"/>
        </w:rPr>
        <w:fldChar w:fldCharType="end"/>
      </w:r>
      <w:r>
        <w:rPr>
          <w:color w:val="auto"/>
          <w:sz w:val="24"/>
          <w:highlight w:val="none"/>
        </w:rPr>
        <w:fldChar w:fldCharType="end"/>
      </w:r>
    </w:p>
    <w:p>
      <w:pPr>
        <w:pStyle w:val="1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"_Toc11835" </w:instrText>
      </w:r>
      <w:r>
        <w:rPr>
          <w:color w:val="auto"/>
          <w:highlight w:val="none"/>
        </w:rPr>
        <w:fldChar w:fldCharType="separate"/>
      </w:r>
      <w:r>
        <w:rPr>
          <w:rFonts w:hint="eastAsia"/>
          <w:bCs/>
          <w:color w:val="auto"/>
          <w:kern w:val="0"/>
          <w:sz w:val="24"/>
          <w:highlight w:val="none"/>
        </w:rPr>
        <w:t>报价文件</w:t>
      </w:r>
      <w:r>
        <w:rPr>
          <w:color w:val="auto"/>
          <w:sz w:val="24"/>
          <w:highlight w:val="none"/>
        </w:rPr>
        <w:tab/>
      </w:r>
      <w:r>
        <w:rPr>
          <w:color w:val="auto"/>
          <w:sz w:val="24"/>
          <w:highlight w:val="none"/>
        </w:rPr>
        <w:fldChar w:fldCharType="begin"/>
      </w:r>
      <w:r>
        <w:rPr>
          <w:color w:val="auto"/>
          <w:sz w:val="24"/>
          <w:highlight w:val="none"/>
        </w:rPr>
        <w:instrText xml:space="preserve"> PAGEREF _Toc11835 \h </w:instrText>
      </w:r>
      <w:r>
        <w:rPr>
          <w:color w:val="auto"/>
          <w:sz w:val="24"/>
          <w:highlight w:val="none"/>
        </w:rPr>
        <w:fldChar w:fldCharType="separate"/>
      </w:r>
      <w:r>
        <w:rPr>
          <w:color w:val="auto"/>
          <w:sz w:val="24"/>
          <w:highlight w:val="none"/>
        </w:rPr>
        <w:t>2</w:t>
      </w:r>
      <w:r>
        <w:rPr>
          <w:rFonts w:hint="eastAsia"/>
          <w:color w:val="auto"/>
          <w:sz w:val="24"/>
          <w:highlight w:val="none"/>
          <w:lang w:val="en-US" w:eastAsia="zh-CN"/>
        </w:rPr>
        <w:t>8</w:t>
      </w:r>
      <w:r>
        <w:rPr>
          <w:color w:val="auto"/>
          <w:sz w:val="24"/>
          <w:highlight w:val="none"/>
        </w:rPr>
        <w:fldChar w:fldCharType="end"/>
      </w:r>
      <w:r>
        <w:rPr>
          <w:color w:val="auto"/>
          <w:sz w:val="24"/>
          <w:highlight w:val="none"/>
        </w:rPr>
        <w:fldChar w:fldCharType="end"/>
      </w:r>
    </w:p>
    <w:p>
      <w:pPr>
        <w:pStyle w:val="1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rFonts w:hint="eastAsia" w:eastAsia="宋体"/>
          <w:color w:val="auto"/>
          <w:sz w:val="24"/>
          <w:highlight w:val="none"/>
          <w:lang w:val="en-US" w:eastAsia="zh-CN"/>
        </w:rPr>
      </w:pPr>
      <w:r>
        <w:rPr>
          <w:color w:val="auto"/>
          <w:highlight w:val="none"/>
        </w:rPr>
        <w:fldChar w:fldCharType="begin"/>
      </w:r>
      <w:r>
        <w:rPr>
          <w:color w:val="auto"/>
          <w:highlight w:val="none"/>
        </w:rPr>
        <w:instrText xml:space="preserve"> HYPERLINK \l "_Toc26554" </w:instrText>
      </w:r>
      <w:r>
        <w:rPr>
          <w:color w:val="auto"/>
          <w:highlight w:val="none"/>
        </w:rPr>
        <w:fldChar w:fldCharType="separate"/>
      </w:r>
      <w:r>
        <w:rPr>
          <w:rFonts w:hint="eastAsia"/>
          <w:bCs/>
          <w:color w:val="auto"/>
          <w:kern w:val="0"/>
          <w:sz w:val="24"/>
          <w:highlight w:val="none"/>
        </w:rPr>
        <w:t>商务技术文件</w:t>
      </w:r>
      <w:r>
        <w:rPr>
          <w:color w:val="auto"/>
          <w:sz w:val="24"/>
          <w:highlight w:val="none"/>
        </w:rPr>
        <w:tab/>
      </w:r>
      <w:r>
        <w:rPr>
          <w:rFonts w:hint="eastAsia"/>
          <w:color w:val="auto"/>
          <w:sz w:val="24"/>
          <w:highlight w:val="none"/>
          <w:lang w:val="en-US" w:eastAsia="zh-CN"/>
        </w:rPr>
        <w:t>3</w:t>
      </w:r>
      <w:r>
        <w:rPr>
          <w:color w:val="auto"/>
          <w:sz w:val="24"/>
          <w:highlight w:val="none"/>
        </w:rPr>
        <w:fldChar w:fldCharType="end"/>
      </w:r>
      <w:r>
        <w:rPr>
          <w:rFonts w:hint="eastAsia"/>
          <w:color w:val="auto"/>
          <w:sz w:val="24"/>
          <w:highlight w:val="none"/>
          <w:lang w:val="en-US" w:eastAsia="zh-CN"/>
        </w:rPr>
        <w:t>0</w:t>
      </w:r>
    </w:p>
    <w:p>
      <w:pPr>
        <w:pStyle w:val="1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"_Toc376" </w:instrText>
      </w:r>
      <w:r>
        <w:rPr>
          <w:color w:val="auto"/>
          <w:highlight w:val="none"/>
        </w:rPr>
        <w:fldChar w:fldCharType="separate"/>
      </w:r>
      <w:r>
        <w:rPr>
          <w:rFonts w:hint="eastAsia" w:ascii="宋体" w:hAnsi="宋体"/>
          <w:bCs/>
          <w:color w:val="auto"/>
          <w:sz w:val="24"/>
          <w:highlight w:val="none"/>
        </w:rPr>
        <w:t>封面</w:t>
      </w:r>
      <w:r>
        <w:rPr>
          <w:color w:val="auto"/>
          <w:sz w:val="24"/>
          <w:highlight w:val="none"/>
        </w:rPr>
        <w:tab/>
      </w:r>
      <w:r>
        <w:rPr>
          <w:color w:val="auto"/>
          <w:sz w:val="24"/>
          <w:highlight w:val="none"/>
        </w:rPr>
        <w:fldChar w:fldCharType="begin"/>
      </w:r>
      <w:r>
        <w:rPr>
          <w:color w:val="auto"/>
          <w:sz w:val="24"/>
          <w:highlight w:val="none"/>
        </w:rPr>
        <w:instrText xml:space="preserve"> PAGEREF _Toc376 \h </w:instrText>
      </w:r>
      <w:r>
        <w:rPr>
          <w:color w:val="auto"/>
          <w:sz w:val="24"/>
          <w:highlight w:val="none"/>
        </w:rPr>
        <w:fldChar w:fldCharType="separate"/>
      </w:r>
      <w:r>
        <w:rPr>
          <w:color w:val="auto"/>
          <w:sz w:val="24"/>
          <w:highlight w:val="none"/>
        </w:rPr>
        <w:t>3</w:t>
      </w:r>
      <w:r>
        <w:rPr>
          <w:rFonts w:hint="eastAsia"/>
          <w:color w:val="auto"/>
          <w:sz w:val="24"/>
          <w:highlight w:val="none"/>
          <w:lang w:val="en-US" w:eastAsia="zh-CN"/>
        </w:rPr>
        <w:t>6</w:t>
      </w:r>
      <w:r>
        <w:rPr>
          <w:color w:val="auto"/>
          <w:sz w:val="24"/>
          <w:highlight w:val="none"/>
        </w:rPr>
        <w:fldChar w:fldCharType="end"/>
      </w:r>
      <w:r>
        <w:rPr>
          <w:color w:val="auto"/>
          <w:sz w:val="24"/>
          <w:highlight w:val="none"/>
        </w:rPr>
        <w:fldChar w:fldCharType="end"/>
      </w:r>
    </w:p>
    <w:p>
      <w:pPr>
        <w:pStyle w:val="22"/>
        <w:keepNext w:val="0"/>
        <w:keepLines w:val="0"/>
        <w:pageBreakBefore w:val="0"/>
        <w:widowControl w:val="0"/>
        <w:tabs>
          <w:tab w:val="right" w:leader="dot" w:pos="9638"/>
          <w:tab w:val="clear" w:pos="9660"/>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"_Toc2111" </w:instrText>
      </w:r>
      <w:r>
        <w:rPr>
          <w:color w:val="auto"/>
          <w:highlight w:val="none"/>
        </w:rPr>
        <w:fldChar w:fldCharType="separate"/>
      </w:r>
      <w:r>
        <w:rPr>
          <w:rFonts w:hint="eastAsia" w:ascii="宋体" w:hAnsi="宋体"/>
          <w:color w:val="auto"/>
          <w:sz w:val="24"/>
          <w:highlight w:val="none"/>
        </w:rPr>
        <w:t>第四部分   采购内容及要求</w:t>
      </w:r>
      <w:r>
        <w:rPr>
          <w:color w:val="auto"/>
          <w:sz w:val="24"/>
          <w:highlight w:val="none"/>
        </w:rPr>
        <w:tab/>
      </w:r>
      <w:r>
        <w:rPr>
          <w:color w:val="auto"/>
          <w:sz w:val="24"/>
          <w:highlight w:val="none"/>
        </w:rPr>
        <w:fldChar w:fldCharType="begin"/>
      </w:r>
      <w:r>
        <w:rPr>
          <w:color w:val="auto"/>
          <w:sz w:val="24"/>
          <w:highlight w:val="none"/>
        </w:rPr>
        <w:instrText xml:space="preserve"> PAGEREF _Toc2111 \h </w:instrText>
      </w:r>
      <w:r>
        <w:rPr>
          <w:color w:val="auto"/>
          <w:sz w:val="24"/>
          <w:highlight w:val="none"/>
        </w:rPr>
        <w:fldChar w:fldCharType="separate"/>
      </w:r>
      <w:r>
        <w:rPr>
          <w:color w:val="auto"/>
          <w:sz w:val="24"/>
          <w:highlight w:val="none"/>
        </w:rPr>
        <w:t>3</w:t>
      </w:r>
      <w:r>
        <w:rPr>
          <w:rFonts w:hint="eastAsia"/>
          <w:color w:val="auto"/>
          <w:sz w:val="24"/>
          <w:highlight w:val="none"/>
          <w:lang w:val="en-US" w:eastAsia="zh-CN"/>
        </w:rPr>
        <w:t>7</w:t>
      </w:r>
      <w:r>
        <w:rPr>
          <w:color w:val="auto"/>
          <w:sz w:val="24"/>
          <w:highlight w:val="none"/>
        </w:rPr>
        <w:fldChar w:fldCharType="end"/>
      </w:r>
      <w:r>
        <w:rPr>
          <w:color w:val="auto"/>
          <w:sz w:val="24"/>
          <w:highlight w:val="none"/>
        </w:rPr>
        <w:fldChar w:fldCharType="end"/>
      </w:r>
    </w:p>
    <w:p>
      <w:pPr>
        <w:pStyle w:val="2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"_Toc17362" </w:instrText>
      </w:r>
      <w:r>
        <w:rPr>
          <w:color w:val="auto"/>
          <w:highlight w:val="none"/>
        </w:rPr>
        <w:fldChar w:fldCharType="separate"/>
      </w:r>
      <w:r>
        <w:rPr>
          <w:rFonts w:hint="eastAsia" w:ascii="宋体" w:hAnsi="宋体"/>
          <w:color w:val="auto"/>
          <w:sz w:val="24"/>
          <w:highlight w:val="none"/>
        </w:rPr>
        <w:t>（一） 、总则</w:t>
      </w:r>
      <w:r>
        <w:rPr>
          <w:color w:val="auto"/>
          <w:sz w:val="24"/>
          <w:highlight w:val="none"/>
        </w:rPr>
        <w:tab/>
      </w:r>
      <w:r>
        <w:rPr>
          <w:color w:val="auto"/>
          <w:sz w:val="24"/>
          <w:highlight w:val="none"/>
        </w:rPr>
        <w:fldChar w:fldCharType="begin"/>
      </w:r>
      <w:r>
        <w:rPr>
          <w:color w:val="auto"/>
          <w:sz w:val="24"/>
          <w:highlight w:val="none"/>
        </w:rPr>
        <w:instrText xml:space="preserve"> PAGEREF _Toc17362 \h </w:instrText>
      </w:r>
      <w:r>
        <w:rPr>
          <w:color w:val="auto"/>
          <w:sz w:val="24"/>
          <w:highlight w:val="none"/>
        </w:rPr>
        <w:fldChar w:fldCharType="separate"/>
      </w:r>
      <w:r>
        <w:rPr>
          <w:color w:val="auto"/>
          <w:sz w:val="24"/>
          <w:highlight w:val="none"/>
        </w:rPr>
        <w:t>3</w:t>
      </w:r>
      <w:r>
        <w:rPr>
          <w:rFonts w:hint="eastAsia"/>
          <w:color w:val="auto"/>
          <w:sz w:val="24"/>
          <w:highlight w:val="none"/>
          <w:lang w:val="en-US" w:eastAsia="zh-CN"/>
        </w:rPr>
        <w:t>7</w:t>
      </w:r>
      <w:r>
        <w:rPr>
          <w:color w:val="auto"/>
          <w:sz w:val="24"/>
          <w:highlight w:val="none"/>
        </w:rPr>
        <w:fldChar w:fldCharType="end"/>
      </w:r>
      <w:r>
        <w:rPr>
          <w:color w:val="auto"/>
          <w:sz w:val="24"/>
          <w:highlight w:val="none"/>
        </w:rPr>
        <w:fldChar w:fldCharType="end"/>
      </w:r>
    </w:p>
    <w:p>
      <w:pPr>
        <w:pStyle w:val="1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"_Toc32142" </w:instrText>
      </w:r>
      <w:r>
        <w:rPr>
          <w:color w:val="auto"/>
          <w:highlight w:val="none"/>
        </w:rPr>
        <w:fldChar w:fldCharType="separate"/>
      </w:r>
      <w:r>
        <w:rPr>
          <w:rFonts w:hint="eastAsia" w:ascii="宋体" w:hAnsi="宋体"/>
          <w:color w:val="auto"/>
          <w:sz w:val="24"/>
          <w:highlight w:val="none"/>
        </w:rPr>
        <w:t>一、总体说明</w:t>
      </w:r>
      <w:r>
        <w:rPr>
          <w:color w:val="auto"/>
          <w:sz w:val="24"/>
          <w:highlight w:val="none"/>
        </w:rPr>
        <w:tab/>
      </w:r>
      <w:r>
        <w:rPr>
          <w:color w:val="auto"/>
          <w:sz w:val="24"/>
          <w:highlight w:val="none"/>
        </w:rPr>
        <w:fldChar w:fldCharType="begin"/>
      </w:r>
      <w:r>
        <w:rPr>
          <w:color w:val="auto"/>
          <w:sz w:val="24"/>
          <w:highlight w:val="none"/>
        </w:rPr>
        <w:instrText xml:space="preserve"> PAGEREF _Toc32142 \h </w:instrText>
      </w:r>
      <w:r>
        <w:rPr>
          <w:color w:val="auto"/>
          <w:sz w:val="24"/>
          <w:highlight w:val="none"/>
        </w:rPr>
        <w:fldChar w:fldCharType="separate"/>
      </w:r>
      <w:r>
        <w:rPr>
          <w:color w:val="auto"/>
          <w:sz w:val="24"/>
          <w:highlight w:val="none"/>
        </w:rPr>
        <w:t>3</w:t>
      </w:r>
      <w:r>
        <w:rPr>
          <w:rFonts w:hint="eastAsia"/>
          <w:color w:val="auto"/>
          <w:sz w:val="24"/>
          <w:highlight w:val="none"/>
          <w:lang w:val="en-US" w:eastAsia="zh-CN"/>
        </w:rPr>
        <w:t>7</w:t>
      </w:r>
      <w:r>
        <w:rPr>
          <w:color w:val="auto"/>
          <w:sz w:val="24"/>
          <w:highlight w:val="none"/>
        </w:rPr>
        <w:fldChar w:fldCharType="end"/>
      </w:r>
      <w:r>
        <w:rPr>
          <w:color w:val="auto"/>
          <w:sz w:val="24"/>
          <w:highlight w:val="none"/>
        </w:rPr>
        <w:fldChar w:fldCharType="end"/>
      </w:r>
    </w:p>
    <w:p>
      <w:pPr>
        <w:pStyle w:val="1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"_Toc13936" </w:instrText>
      </w:r>
      <w:r>
        <w:rPr>
          <w:color w:val="auto"/>
          <w:highlight w:val="none"/>
        </w:rPr>
        <w:fldChar w:fldCharType="separate"/>
      </w:r>
      <w:r>
        <w:rPr>
          <w:rFonts w:hint="eastAsia" w:ascii="宋体" w:hAnsi="宋体"/>
          <w:color w:val="auto"/>
          <w:sz w:val="24"/>
          <w:highlight w:val="none"/>
        </w:rPr>
        <w:t>二、质量保证</w:t>
      </w:r>
      <w:r>
        <w:rPr>
          <w:color w:val="auto"/>
          <w:sz w:val="24"/>
          <w:highlight w:val="none"/>
        </w:rPr>
        <w:tab/>
      </w:r>
      <w:r>
        <w:rPr>
          <w:color w:val="auto"/>
          <w:sz w:val="24"/>
          <w:highlight w:val="none"/>
        </w:rPr>
        <w:fldChar w:fldCharType="begin"/>
      </w:r>
      <w:r>
        <w:rPr>
          <w:color w:val="auto"/>
          <w:sz w:val="24"/>
          <w:highlight w:val="none"/>
        </w:rPr>
        <w:instrText xml:space="preserve"> PAGEREF _Toc32142 \h </w:instrText>
      </w:r>
      <w:r>
        <w:rPr>
          <w:color w:val="auto"/>
          <w:sz w:val="24"/>
          <w:highlight w:val="none"/>
        </w:rPr>
        <w:fldChar w:fldCharType="separate"/>
      </w:r>
      <w:r>
        <w:rPr>
          <w:color w:val="auto"/>
          <w:sz w:val="24"/>
          <w:highlight w:val="none"/>
        </w:rPr>
        <w:t>3</w:t>
      </w:r>
      <w:r>
        <w:rPr>
          <w:rFonts w:hint="eastAsia"/>
          <w:color w:val="auto"/>
          <w:sz w:val="24"/>
          <w:highlight w:val="none"/>
          <w:lang w:val="en-US" w:eastAsia="zh-CN"/>
        </w:rPr>
        <w:t>8</w:t>
      </w:r>
      <w:r>
        <w:rPr>
          <w:color w:val="auto"/>
          <w:sz w:val="24"/>
          <w:highlight w:val="none"/>
        </w:rPr>
        <w:fldChar w:fldCharType="end"/>
      </w:r>
      <w:r>
        <w:rPr>
          <w:color w:val="auto"/>
          <w:sz w:val="24"/>
          <w:highlight w:val="none"/>
        </w:rPr>
        <w:fldChar w:fldCharType="end"/>
      </w:r>
    </w:p>
    <w:p>
      <w:pPr>
        <w:pStyle w:val="1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"_Toc5951" </w:instrText>
      </w:r>
      <w:r>
        <w:rPr>
          <w:color w:val="auto"/>
          <w:highlight w:val="none"/>
        </w:rPr>
        <w:fldChar w:fldCharType="separate"/>
      </w:r>
      <w:r>
        <w:rPr>
          <w:rFonts w:hint="eastAsia" w:ascii="宋体" w:hAnsi="宋体"/>
          <w:color w:val="auto"/>
          <w:sz w:val="24"/>
          <w:highlight w:val="none"/>
        </w:rPr>
        <w:t>三、产品售后服务要求</w:t>
      </w:r>
      <w:r>
        <w:rPr>
          <w:color w:val="auto"/>
          <w:sz w:val="24"/>
          <w:highlight w:val="none"/>
        </w:rPr>
        <w:tab/>
      </w:r>
      <w:r>
        <w:rPr>
          <w:color w:val="auto"/>
          <w:sz w:val="24"/>
          <w:highlight w:val="none"/>
        </w:rPr>
        <w:fldChar w:fldCharType="begin"/>
      </w:r>
      <w:r>
        <w:rPr>
          <w:color w:val="auto"/>
          <w:sz w:val="24"/>
          <w:highlight w:val="none"/>
        </w:rPr>
        <w:instrText xml:space="preserve"> PAGEREF _Toc5951 \h </w:instrText>
      </w:r>
      <w:r>
        <w:rPr>
          <w:color w:val="auto"/>
          <w:sz w:val="24"/>
          <w:highlight w:val="none"/>
        </w:rPr>
        <w:fldChar w:fldCharType="separate"/>
      </w:r>
      <w:r>
        <w:rPr>
          <w:color w:val="auto"/>
          <w:sz w:val="24"/>
          <w:highlight w:val="none"/>
        </w:rPr>
        <w:t>3</w:t>
      </w:r>
      <w:r>
        <w:rPr>
          <w:rFonts w:hint="eastAsia"/>
          <w:color w:val="auto"/>
          <w:sz w:val="24"/>
          <w:highlight w:val="none"/>
          <w:lang w:val="en-US" w:eastAsia="zh-CN"/>
        </w:rPr>
        <w:t>8</w:t>
      </w:r>
      <w:r>
        <w:rPr>
          <w:color w:val="auto"/>
          <w:sz w:val="24"/>
          <w:highlight w:val="none"/>
        </w:rPr>
        <w:fldChar w:fldCharType="end"/>
      </w:r>
      <w:r>
        <w:rPr>
          <w:color w:val="auto"/>
          <w:sz w:val="24"/>
          <w:highlight w:val="none"/>
        </w:rPr>
        <w:fldChar w:fldCharType="end"/>
      </w:r>
    </w:p>
    <w:p>
      <w:pPr>
        <w:pStyle w:val="1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"_Toc22883" </w:instrText>
      </w:r>
      <w:r>
        <w:rPr>
          <w:color w:val="auto"/>
          <w:highlight w:val="none"/>
        </w:rPr>
        <w:fldChar w:fldCharType="separate"/>
      </w:r>
      <w:r>
        <w:rPr>
          <w:rFonts w:hint="eastAsia" w:ascii="宋体" w:hAnsi="宋体"/>
          <w:color w:val="auto"/>
          <w:sz w:val="24"/>
          <w:highlight w:val="none"/>
        </w:rPr>
        <w:t>四、交货时间</w:t>
      </w:r>
      <w:r>
        <w:rPr>
          <w:color w:val="auto"/>
          <w:sz w:val="24"/>
          <w:highlight w:val="none"/>
        </w:rPr>
        <w:tab/>
      </w:r>
      <w:r>
        <w:rPr>
          <w:color w:val="auto"/>
          <w:sz w:val="24"/>
          <w:highlight w:val="none"/>
        </w:rPr>
        <w:fldChar w:fldCharType="begin"/>
      </w:r>
      <w:r>
        <w:rPr>
          <w:color w:val="auto"/>
          <w:sz w:val="24"/>
          <w:highlight w:val="none"/>
        </w:rPr>
        <w:instrText xml:space="preserve"> PAGEREF _Toc22883 \h </w:instrText>
      </w:r>
      <w:r>
        <w:rPr>
          <w:color w:val="auto"/>
          <w:sz w:val="24"/>
          <w:highlight w:val="none"/>
        </w:rPr>
        <w:fldChar w:fldCharType="separate"/>
      </w:r>
      <w:r>
        <w:rPr>
          <w:color w:val="auto"/>
          <w:sz w:val="24"/>
          <w:highlight w:val="none"/>
        </w:rPr>
        <w:t>3</w:t>
      </w:r>
      <w:r>
        <w:rPr>
          <w:rFonts w:hint="eastAsia"/>
          <w:color w:val="auto"/>
          <w:sz w:val="24"/>
          <w:highlight w:val="none"/>
          <w:lang w:val="en-US" w:eastAsia="zh-CN"/>
        </w:rPr>
        <w:t>8</w:t>
      </w:r>
      <w:r>
        <w:rPr>
          <w:color w:val="auto"/>
          <w:sz w:val="24"/>
          <w:highlight w:val="none"/>
        </w:rPr>
        <w:fldChar w:fldCharType="end"/>
      </w:r>
      <w:r>
        <w:rPr>
          <w:color w:val="auto"/>
          <w:sz w:val="24"/>
          <w:highlight w:val="none"/>
        </w:rPr>
        <w:fldChar w:fldCharType="end"/>
      </w:r>
    </w:p>
    <w:p>
      <w:pPr>
        <w:pStyle w:val="1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color w:val="auto"/>
          <w:sz w:val="24"/>
          <w:highlight w:val="none"/>
        </w:rPr>
      </w:pPr>
      <w:r>
        <w:rPr>
          <w:color w:val="auto"/>
          <w:highlight w:val="none"/>
        </w:rPr>
        <w:fldChar w:fldCharType="begin"/>
      </w:r>
      <w:r>
        <w:rPr>
          <w:color w:val="auto"/>
          <w:highlight w:val="none"/>
        </w:rPr>
        <w:instrText xml:space="preserve"> HYPERLINK \l "_Toc4211" </w:instrText>
      </w:r>
      <w:r>
        <w:rPr>
          <w:color w:val="auto"/>
          <w:highlight w:val="none"/>
        </w:rPr>
        <w:fldChar w:fldCharType="separate"/>
      </w:r>
      <w:r>
        <w:rPr>
          <w:rFonts w:hint="eastAsia" w:ascii="宋体" w:hAnsi="宋体"/>
          <w:color w:val="auto"/>
          <w:sz w:val="24"/>
          <w:highlight w:val="none"/>
        </w:rPr>
        <w:t>五、测试及项目验收</w:t>
      </w:r>
      <w:r>
        <w:rPr>
          <w:color w:val="auto"/>
          <w:sz w:val="24"/>
          <w:highlight w:val="none"/>
        </w:rPr>
        <w:tab/>
      </w:r>
      <w:r>
        <w:rPr>
          <w:color w:val="auto"/>
          <w:sz w:val="24"/>
          <w:highlight w:val="none"/>
        </w:rPr>
        <w:fldChar w:fldCharType="begin"/>
      </w:r>
      <w:r>
        <w:rPr>
          <w:color w:val="auto"/>
          <w:sz w:val="24"/>
          <w:highlight w:val="none"/>
        </w:rPr>
        <w:instrText xml:space="preserve"> PAGEREF _Toc4211 \h </w:instrText>
      </w:r>
      <w:r>
        <w:rPr>
          <w:color w:val="auto"/>
          <w:sz w:val="24"/>
          <w:highlight w:val="none"/>
        </w:rPr>
        <w:fldChar w:fldCharType="separate"/>
      </w:r>
      <w:r>
        <w:rPr>
          <w:color w:val="auto"/>
          <w:sz w:val="24"/>
          <w:highlight w:val="none"/>
        </w:rPr>
        <w:t>3</w:t>
      </w:r>
      <w:r>
        <w:rPr>
          <w:rFonts w:hint="eastAsia"/>
          <w:color w:val="auto"/>
          <w:sz w:val="24"/>
          <w:highlight w:val="none"/>
          <w:lang w:val="en-US" w:eastAsia="zh-CN"/>
        </w:rPr>
        <w:t>8</w:t>
      </w:r>
      <w:r>
        <w:rPr>
          <w:color w:val="auto"/>
          <w:sz w:val="24"/>
          <w:highlight w:val="none"/>
        </w:rPr>
        <w:fldChar w:fldCharType="end"/>
      </w:r>
      <w:r>
        <w:rPr>
          <w:color w:val="auto"/>
          <w:sz w:val="24"/>
          <w:highlight w:val="none"/>
        </w:rPr>
        <w:fldChar w:fldCharType="end"/>
      </w:r>
    </w:p>
    <w:p>
      <w:pPr>
        <w:pStyle w:val="25"/>
        <w:keepNext w:val="0"/>
        <w:keepLines w:val="0"/>
        <w:pageBreakBefore w:val="0"/>
        <w:widowControl w:val="0"/>
        <w:tabs>
          <w:tab w:val="right" w:leader="dot" w:pos="9638"/>
        </w:tabs>
        <w:kinsoku/>
        <w:wordWrap/>
        <w:overflowPunct/>
        <w:topLinePunct w:val="0"/>
        <w:autoSpaceDE/>
        <w:autoSpaceDN/>
        <w:bidi w:val="0"/>
        <w:adjustRightInd/>
        <w:snapToGrid/>
        <w:spacing w:line="400" w:lineRule="exact"/>
        <w:textAlignment w:val="auto"/>
        <w:rPr>
          <w:rFonts w:hint="eastAsia" w:eastAsia="宋体"/>
          <w:color w:val="auto"/>
          <w:sz w:val="24"/>
          <w:highlight w:val="none"/>
          <w:lang w:val="en-US" w:eastAsia="zh-CN"/>
        </w:rPr>
      </w:pPr>
      <w:r>
        <w:rPr>
          <w:color w:val="auto"/>
          <w:highlight w:val="none"/>
        </w:rPr>
        <w:fldChar w:fldCharType="begin"/>
      </w:r>
      <w:r>
        <w:rPr>
          <w:color w:val="auto"/>
          <w:highlight w:val="none"/>
        </w:rPr>
        <w:instrText xml:space="preserve"> HYPERLINK \l "_Toc12603" </w:instrText>
      </w:r>
      <w:r>
        <w:rPr>
          <w:color w:val="auto"/>
          <w:highlight w:val="none"/>
        </w:rPr>
        <w:fldChar w:fldCharType="separate"/>
      </w:r>
      <w:r>
        <w:rPr>
          <w:rFonts w:hint="eastAsia" w:ascii="宋体" w:hAnsi="宋体"/>
          <w:color w:val="auto"/>
          <w:sz w:val="24"/>
          <w:highlight w:val="none"/>
        </w:rPr>
        <w:t>（二）、采购内容及技术要求</w:t>
      </w:r>
      <w:r>
        <w:rPr>
          <w:color w:val="auto"/>
          <w:sz w:val="24"/>
          <w:highlight w:val="none"/>
        </w:rPr>
        <w:tab/>
      </w:r>
      <w:r>
        <w:rPr>
          <w:rFonts w:hint="eastAsia"/>
          <w:color w:val="auto"/>
          <w:sz w:val="24"/>
          <w:highlight w:val="none"/>
          <w:lang w:val="en-US" w:eastAsia="zh-CN"/>
        </w:rPr>
        <w:t>3</w:t>
      </w:r>
      <w:r>
        <w:rPr>
          <w:color w:val="auto"/>
          <w:sz w:val="24"/>
          <w:highlight w:val="none"/>
        </w:rPr>
        <w:fldChar w:fldCharType="end"/>
      </w:r>
      <w:r>
        <w:rPr>
          <w:rFonts w:hint="eastAsia"/>
          <w:color w:val="auto"/>
          <w:sz w:val="24"/>
          <w:highlight w:val="none"/>
          <w:lang w:val="en-US" w:eastAsia="zh-CN"/>
        </w:rPr>
        <w:t>8</w:t>
      </w:r>
    </w:p>
    <w:p>
      <w:pPr>
        <w:pStyle w:val="22"/>
        <w:keepNext w:val="0"/>
        <w:keepLines w:val="0"/>
        <w:pageBreakBefore w:val="0"/>
        <w:widowControl w:val="0"/>
        <w:tabs>
          <w:tab w:val="right" w:leader="dot" w:pos="9638"/>
          <w:tab w:val="clear" w:pos="9660"/>
        </w:tabs>
        <w:kinsoku/>
        <w:wordWrap/>
        <w:overflowPunct/>
        <w:topLinePunct w:val="0"/>
        <w:autoSpaceDE/>
        <w:autoSpaceDN/>
        <w:bidi w:val="0"/>
        <w:adjustRightInd/>
        <w:snapToGrid/>
        <w:spacing w:line="400" w:lineRule="exact"/>
        <w:textAlignment w:val="auto"/>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"_Toc423" </w:instrText>
      </w:r>
      <w:r>
        <w:rPr>
          <w:color w:val="auto"/>
          <w:highlight w:val="none"/>
        </w:rPr>
        <w:fldChar w:fldCharType="separate"/>
      </w:r>
      <w:r>
        <w:rPr>
          <w:rFonts w:hint="eastAsia" w:ascii="宋体" w:hAnsi="宋体" w:cs="Arial Unicode MS"/>
          <w:color w:val="auto"/>
          <w:sz w:val="24"/>
          <w:highlight w:val="none"/>
        </w:rPr>
        <w:t xml:space="preserve">第五部分   </w:t>
      </w:r>
      <w:r>
        <w:rPr>
          <w:rFonts w:hint="eastAsia" w:ascii="宋体" w:hAnsi="宋体"/>
          <w:color w:val="auto"/>
          <w:sz w:val="24"/>
          <w:highlight w:val="none"/>
        </w:rPr>
        <w:t>评审原则及办法</w:t>
      </w:r>
      <w:r>
        <w:rPr>
          <w:color w:val="auto"/>
          <w:sz w:val="24"/>
          <w:highlight w:val="none"/>
        </w:rPr>
        <w:tab/>
      </w:r>
      <w:r>
        <w:rPr>
          <w:rFonts w:hint="eastAsia"/>
          <w:color w:val="auto"/>
          <w:sz w:val="24"/>
          <w:highlight w:val="none"/>
          <w:lang w:val="en-US" w:eastAsia="zh-CN"/>
        </w:rPr>
        <w:t>4</w:t>
      </w:r>
      <w:r>
        <w:rPr>
          <w:color w:val="auto"/>
          <w:sz w:val="24"/>
          <w:highlight w:val="none"/>
        </w:rPr>
        <w:fldChar w:fldCharType="end"/>
      </w:r>
      <w:r>
        <w:rPr>
          <w:rFonts w:hint="eastAsia"/>
          <w:color w:val="auto"/>
          <w:sz w:val="24"/>
          <w:highlight w:val="none"/>
          <w:lang w:val="en-US" w:eastAsia="zh-CN"/>
        </w:rPr>
        <w:t>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bCs/>
          <w:color w:val="auto"/>
          <w:sz w:val="26"/>
          <w:szCs w:val="22"/>
          <w:highlight w:val="none"/>
          <w:u w:val="single"/>
        </w:rPr>
      </w:pPr>
      <w:r>
        <w:rPr>
          <w:rFonts w:hint="eastAsia" w:ascii="宋体" w:hAnsi="宋体"/>
          <w:color w:val="auto"/>
          <w:highlight w:val="none"/>
        </w:rPr>
        <w:fldChar w:fldCharType="end"/>
      </w:r>
      <w:r>
        <w:rPr>
          <w:rFonts w:hint="eastAsia" w:ascii="宋体" w:hAnsi="宋体"/>
          <w:color w:val="auto"/>
          <w:highlight w:val="none"/>
          <w:lang w:val="en-US" w:eastAsia="zh-CN"/>
        </w:rPr>
        <w:t xml:space="preserve">  </w:t>
      </w:r>
      <w:r>
        <w:rPr>
          <w:rFonts w:ascii="宋体" w:hAnsi="宋体"/>
          <w:b/>
          <w:bCs/>
          <w:color w:val="auto"/>
          <w:sz w:val="26"/>
          <w:szCs w:val="22"/>
          <w:highlight w:val="none"/>
          <w:u w:val="single"/>
        </w:rPr>
        <w:t>注：着重提醒各供应商注意，并认真查看磋商文件中的每一个条款及要求，因误读磋商文件而造成的后果，采购人概不负责。</w:t>
      </w:r>
    </w:p>
    <w:p>
      <w:pPr>
        <w:pStyle w:val="2"/>
        <w:rPr>
          <w:rFonts w:ascii="宋体" w:hAnsi="宋体"/>
          <w:bCs/>
          <w:color w:val="auto"/>
          <w:sz w:val="26"/>
          <w:szCs w:val="22"/>
          <w:highlight w:val="none"/>
          <w:u w:val="single"/>
        </w:rPr>
      </w:pPr>
    </w:p>
    <w:p>
      <w:pPr>
        <w:pStyle w:val="3"/>
        <w:ind w:firstLine="260"/>
        <w:rPr>
          <w:rFonts w:ascii="宋体" w:hAnsi="宋体"/>
          <w:bCs/>
          <w:color w:val="auto"/>
          <w:sz w:val="26"/>
          <w:szCs w:val="22"/>
          <w:highlight w:val="none"/>
          <w:u w:val="single"/>
        </w:rPr>
      </w:pPr>
      <w:bookmarkStart w:id="13" w:name="_Toc21311"/>
      <w:bookmarkStart w:id="14" w:name="B05_采购代理机构名称"/>
    </w:p>
    <w:p>
      <w:pPr>
        <w:pStyle w:val="3"/>
        <w:ind w:firstLine="260"/>
        <w:rPr>
          <w:rFonts w:ascii="宋体" w:hAnsi="宋体"/>
          <w:bCs/>
          <w:color w:val="auto"/>
          <w:sz w:val="26"/>
          <w:szCs w:val="22"/>
          <w:highlight w:val="none"/>
          <w:u w:val="single"/>
        </w:rPr>
      </w:pPr>
    </w:p>
    <w:p>
      <w:pPr>
        <w:pStyle w:val="3"/>
        <w:ind w:firstLine="260"/>
        <w:rPr>
          <w:rFonts w:ascii="宋体" w:hAnsi="宋体"/>
          <w:bCs/>
          <w:color w:val="auto"/>
          <w:sz w:val="26"/>
          <w:szCs w:val="22"/>
          <w:highlight w:val="none"/>
          <w:u w:val="single"/>
        </w:rPr>
      </w:pPr>
    </w:p>
    <w:p>
      <w:pPr>
        <w:pStyle w:val="5"/>
        <w:rPr>
          <w:rFonts w:ascii="宋体" w:hAnsi="宋体" w:eastAsia="宋体"/>
          <w:b w:val="0"/>
          <w:color w:val="auto"/>
          <w:sz w:val="36"/>
          <w:szCs w:val="36"/>
          <w:highlight w:val="none"/>
        </w:rPr>
      </w:pPr>
      <w:r>
        <w:rPr>
          <w:rFonts w:hint="eastAsia" w:ascii="宋体" w:hAnsi="宋体" w:eastAsia="宋体"/>
          <w:b w:val="0"/>
          <w:color w:val="auto"/>
          <w:sz w:val="36"/>
          <w:szCs w:val="36"/>
          <w:highlight w:val="none"/>
        </w:rPr>
        <w:t>采购</w:t>
      </w:r>
      <w:bookmarkEnd w:id="13"/>
      <w:bookmarkEnd w:id="14"/>
      <w:r>
        <w:rPr>
          <w:rFonts w:ascii="宋体" w:hAnsi="宋体" w:eastAsia="宋体"/>
          <w:b w:val="0"/>
          <w:color w:val="auto"/>
          <w:sz w:val="36"/>
          <w:szCs w:val="36"/>
          <w:highlight w:val="none"/>
        </w:rPr>
        <w:t>邀请函</w:t>
      </w:r>
    </w:p>
    <w:p>
      <w:pPr>
        <w:rPr>
          <w:color w:val="auto"/>
          <w:highlight w:val="none"/>
        </w:rPr>
      </w:pPr>
    </w:p>
    <w:p>
      <w:pPr>
        <w:keepNext w:val="0"/>
        <w:keepLines w:val="0"/>
        <w:pageBreakBefore w:val="0"/>
        <w:kinsoku/>
        <w:overflowPunct/>
        <w:topLinePunct w:val="0"/>
        <w:autoSpaceDE/>
        <w:autoSpaceDN/>
        <w:bidi w:val="0"/>
        <w:adjustRightInd/>
        <w:snapToGrid/>
        <w:spacing w:line="440" w:lineRule="exact"/>
        <w:ind w:firstLine="495" w:firstLineChars="225"/>
        <w:textAlignment w:val="auto"/>
        <w:rPr>
          <w:rFonts w:ascii="宋体" w:hAnsi="宋体"/>
          <w:color w:val="auto"/>
          <w:sz w:val="22"/>
          <w:szCs w:val="22"/>
          <w:highlight w:val="none"/>
        </w:rPr>
      </w:pPr>
      <w:r>
        <w:rPr>
          <w:rFonts w:hint="eastAsia" w:ascii="宋体" w:hAnsi="宋体"/>
          <w:color w:val="auto"/>
          <w:sz w:val="22"/>
          <w:szCs w:val="22"/>
          <w:highlight w:val="none"/>
          <w:lang w:eastAsia="zh-CN"/>
        </w:rPr>
        <w:t>浙江同信工程项目管理有限公司</w:t>
      </w:r>
      <w:r>
        <w:rPr>
          <w:rFonts w:hint="eastAsia" w:ascii="宋体" w:hAnsi="宋体"/>
          <w:color w:val="auto"/>
          <w:sz w:val="22"/>
          <w:szCs w:val="22"/>
          <w:highlight w:val="none"/>
        </w:rPr>
        <w:t>受</w:t>
      </w:r>
      <w:r>
        <w:rPr>
          <w:rFonts w:hint="eastAsia" w:ascii="宋体" w:hAnsi="宋体" w:cs="宋体"/>
          <w:color w:val="auto"/>
          <w:kern w:val="0"/>
          <w:sz w:val="22"/>
          <w:szCs w:val="22"/>
          <w:highlight w:val="none"/>
        </w:rPr>
        <w:t>温州市华睿生物医药有限公司</w:t>
      </w:r>
      <w:r>
        <w:rPr>
          <w:rFonts w:hint="eastAsia" w:ascii="宋体" w:hAnsi="宋体"/>
          <w:color w:val="auto"/>
          <w:sz w:val="22"/>
          <w:szCs w:val="22"/>
          <w:highlight w:val="none"/>
        </w:rPr>
        <w:t>委托</w:t>
      </w:r>
      <w:r>
        <w:rPr>
          <w:rFonts w:hint="eastAsia" w:ascii="宋体" w:hAnsi="宋体"/>
          <w:color w:val="auto"/>
          <w:sz w:val="22"/>
          <w:szCs w:val="22"/>
          <w:highlight w:val="none"/>
          <w:lang w:eastAsia="zh-CN"/>
        </w:rPr>
        <w:t>，</w:t>
      </w:r>
      <w:r>
        <w:rPr>
          <w:rFonts w:hint="eastAsia" w:ascii="宋体" w:hAnsi="宋体"/>
          <w:color w:val="auto"/>
          <w:sz w:val="22"/>
          <w:szCs w:val="22"/>
          <w:highlight w:val="none"/>
        </w:rPr>
        <w:t>就</w:t>
      </w:r>
      <w:r>
        <w:rPr>
          <w:rFonts w:hint="eastAsia" w:ascii="宋体" w:hAnsi="宋体" w:cs="宋体"/>
          <w:color w:val="auto"/>
          <w:kern w:val="0"/>
          <w:sz w:val="22"/>
          <w:szCs w:val="22"/>
          <w:highlight w:val="none"/>
          <w:lang w:eastAsia="zh-CN"/>
        </w:rPr>
        <w:t>细胞生长因子药物和蛋白制剂国家工程研究中心配套大分子cdmo公共服务平台研发中心（一期）装</w:t>
      </w:r>
      <w:bookmarkStart w:id="274" w:name="_GoBack"/>
      <w:bookmarkEnd w:id="274"/>
      <w:r>
        <w:rPr>
          <w:rFonts w:hint="eastAsia" w:ascii="宋体" w:hAnsi="宋体" w:cs="宋体"/>
          <w:color w:val="auto"/>
          <w:kern w:val="0"/>
          <w:sz w:val="22"/>
          <w:szCs w:val="22"/>
          <w:highlight w:val="none"/>
          <w:lang w:eastAsia="zh-CN"/>
        </w:rPr>
        <w:t>修工程超滤系统+中空纤维过滤系统采购项目</w:t>
      </w:r>
      <w:r>
        <w:rPr>
          <w:rFonts w:hint="eastAsia" w:ascii="宋体" w:hAnsi="宋体"/>
          <w:color w:val="auto"/>
          <w:sz w:val="22"/>
          <w:szCs w:val="22"/>
          <w:highlight w:val="none"/>
        </w:rPr>
        <w:t>以竞争性磋商方式进行采购，欢迎国内合格的供应商前来参与。</w:t>
      </w:r>
    </w:p>
    <w:p>
      <w:pPr>
        <w:pStyle w:val="231"/>
        <w:keepNext w:val="0"/>
        <w:keepLines w:val="0"/>
        <w:pageBreakBefore w:val="0"/>
        <w:numPr>
          <w:ilvl w:val="0"/>
          <w:numId w:val="1"/>
        </w:numPr>
        <w:kinsoku/>
        <w:overflowPunct/>
        <w:topLinePunct w:val="0"/>
        <w:autoSpaceDE/>
        <w:autoSpaceDN/>
        <w:bidi w:val="0"/>
        <w:adjustRightInd/>
        <w:snapToGrid/>
        <w:spacing w:line="440" w:lineRule="exact"/>
        <w:ind w:firstLineChars="0"/>
        <w:textAlignment w:val="auto"/>
        <w:rPr>
          <w:rFonts w:ascii="宋体" w:hAnsi="宋体" w:cs="宋体"/>
          <w:color w:val="auto"/>
          <w:kern w:val="0"/>
          <w:sz w:val="22"/>
          <w:szCs w:val="22"/>
          <w:highlight w:val="none"/>
        </w:rPr>
      </w:pPr>
      <w:r>
        <w:rPr>
          <w:rFonts w:hint="eastAsia" w:ascii="宋体" w:hAnsi="宋体"/>
          <w:color w:val="auto"/>
          <w:sz w:val="22"/>
          <w:szCs w:val="22"/>
          <w:highlight w:val="none"/>
        </w:rPr>
        <w:t>项目</w:t>
      </w:r>
      <w:r>
        <w:rPr>
          <w:rFonts w:hint="eastAsia" w:ascii="宋体" w:hAnsi="宋体" w:cs="宋体"/>
          <w:color w:val="auto"/>
          <w:kern w:val="0"/>
          <w:sz w:val="22"/>
          <w:szCs w:val="22"/>
          <w:highlight w:val="none"/>
        </w:rPr>
        <w:t>概况</w:t>
      </w:r>
      <w:r>
        <w:rPr>
          <w:rFonts w:hint="eastAsia" w:ascii="宋体" w:hAnsi="宋体"/>
          <w:color w:val="auto"/>
          <w:sz w:val="22"/>
          <w:szCs w:val="22"/>
          <w:highlight w:val="none"/>
        </w:rPr>
        <w:t>（具体采购内容及要求详见磋商文件）：</w:t>
      </w:r>
    </w:p>
    <w:p>
      <w:pPr>
        <w:keepNext w:val="0"/>
        <w:keepLines w:val="0"/>
        <w:pageBreakBefore w:val="0"/>
        <w:kinsoku/>
        <w:overflowPunct/>
        <w:topLinePunct w:val="0"/>
        <w:autoSpaceDE/>
        <w:autoSpaceDN/>
        <w:bidi w:val="0"/>
        <w:adjustRightInd/>
        <w:snapToGrid/>
        <w:spacing w:line="440" w:lineRule="exact"/>
        <w:ind w:firstLine="440" w:firstLineChars="200"/>
        <w:textAlignment w:val="auto"/>
        <w:rPr>
          <w:rFonts w:ascii="宋体" w:hAnsi="宋体" w:cs="宋体"/>
          <w:color w:val="auto"/>
          <w:kern w:val="0"/>
          <w:sz w:val="22"/>
          <w:szCs w:val="22"/>
          <w:highlight w:val="none"/>
        </w:rPr>
      </w:pPr>
      <w:r>
        <w:rPr>
          <w:rFonts w:hint="eastAsia" w:ascii="宋体" w:hAnsi="宋体" w:cs="宋体"/>
          <w:color w:val="auto"/>
          <w:kern w:val="0"/>
          <w:sz w:val="22"/>
          <w:szCs w:val="22"/>
          <w:highlight w:val="none"/>
          <w:lang w:eastAsia="zh-CN"/>
        </w:rPr>
        <w:t>细胞生长因子药物和蛋白制剂国家工程研究中心配套大分子cdmo公共服务平台研发中心（一期）装修工程超滤系统+中空纤维过滤系统采购项目</w:t>
      </w:r>
      <w:r>
        <w:rPr>
          <w:rFonts w:hint="eastAsia" w:ascii="宋体" w:hAnsi="宋体" w:cs="宋体"/>
          <w:color w:val="auto"/>
          <w:kern w:val="0"/>
          <w:sz w:val="22"/>
          <w:szCs w:val="22"/>
          <w:highlight w:val="none"/>
        </w:rPr>
        <w:t>，采购预算为</w:t>
      </w:r>
      <w:r>
        <w:rPr>
          <w:rFonts w:hint="eastAsia" w:ascii="宋体" w:hAnsi="宋体" w:cs="宋体"/>
          <w:color w:val="auto"/>
          <w:kern w:val="0"/>
          <w:sz w:val="22"/>
          <w:szCs w:val="22"/>
          <w:highlight w:val="none"/>
          <w:u w:val="single"/>
          <w:lang w:val="en-US" w:eastAsia="zh-CN"/>
        </w:rPr>
        <w:t>98</w:t>
      </w:r>
      <w:r>
        <w:rPr>
          <w:rFonts w:hint="eastAsia" w:ascii="宋体" w:hAnsi="宋体" w:cs="宋体"/>
          <w:color w:val="auto"/>
          <w:kern w:val="0"/>
          <w:sz w:val="22"/>
          <w:szCs w:val="22"/>
          <w:highlight w:val="none"/>
        </w:rPr>
        <w:t>万元。</w:t>
      </w:r>
    </w:p>
    <w:p>
      <w:pPr>
        <w:pStyle w:val="231"/>
        <w:keepNext w:val="0"/>
        <w:keepLines w:val="0"/>
        <w:pageBreakBefore w:val="0"/>
        <w:numPr>
          <w:ilvl w:val="0"/>
          <w:numId w:val="1"/>
        </w:numPr>
        <w:kinsoku/>
        <w:overflowPunct/>
        <w:topLinePunct w:val="0"/>
        <w:autoSpaceDE/>
        <w:autoSpaceDN/>
        <w:bidi w:val="0"/>
        <w:adjustRightInd/>
        <w:snapToGrid/>
        <w:spacing w:line="440" w:lineRule="exact"/>
        <w:ind w:firstLineChars="0"/>
        <w:textAlignment w:val="auto"/>
        <w:rPr>
          <w:rFonts w:ascii="宋体" w:hAnsi="宋体"/>
          <w:color w:val="auto"/>
          <w:sz w:val="22"/>
          <w:szCs w:val="22"/>
          <w:highlight w:val="none"/>
        </w:rPr>
      </w:pPr>
      <w:bookmarkStart w:id="15" w:name="_Hlk533617654"/>
      <w:bookmarkStart w:id="16" w:name="_Hlk46155055"/>
      <w:r>
        <w:rPr>
          <w:rFonts w:hint="eastAsia" w:ascii="宋体" w:hAnsi="宋体" w:cs="宋体"/>
          <w:color w:val="auto"/>
          <w:kern w:val="0"/>
          <w:sz w:val="22"/>
          <w:szCs w:val="22"/>
          <w:highlight w:val="none"/>
        </w:rPr>
        <w:t>供应</w:t>
      </w:r>
      <w:r>
        <w:rPr>
          <w:rFonts w:hint="eastAsia" w:ascii="宋体" w:hAnsi="宋体"/>
          <w:color w:val="auto"/>
          <w:sz w:val="22"/>
          <w:szCs w:val="22"/>
          <w:highlight w:val="none"/>
        </w:rPr>
        <w:t>商资格要求</w:t>
      </w:r>
    </w:p>
    <w:p>
      <w:pPr>
        <w:keepNext w:val="0"/>
        <w:keepLines w:val="0"/>
        <w:pageBreakBefore w:val="0"/>
        <w:numPr>
          <w:ilvl w:val="0"/>
          <w:numId w:val="2"/>
        </w:numPr>
        <w:kinsoku/>
        <w:wordWrap w:val="0"/>
        <w:overflowPunct/>
        <w:topLinePunct w:val="0"/>
        <w:autoSpaceDE/>
        <w:autoSpaceDN/>
        <w:bidi w:val="0"/>
        <w:adjustRightInd/>
        <w:snapToGrid/>
        <w:spacing w:line="440" w:lineRule="exact"/>
        <w:ind w:left="850" w:hanging="357"/>
        <w:textAlignment w:val="auto"/>
        <w:rPr>
          <w:rFonts w:ascii="宋体" w:hAnsi="宋体"/>
          <w:color w:val="auto"/>
          <w:sz w:val="22"/>
          <w:szCs w:val="22"/>
          <w:highlight w:val="none"/>
        </w:rPr>
      </w:pPr>
      <w:r>
        <w:rPr>
          <w:rFonts w:hint="eastAsia" w:ascii="宋体" w:hAnsi="宋体"/>
          <w:color w:val="auto"/>
          <w:sz w:val="22"/>
          <w:szCs w:val="22"/>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numPr>
          <w:ilvl w:val="0"/>
          <w:numId w:val="2"/>
        </w:numPr>
        <w:kinsoku/>
        <w:wordWrap w:val="0"/>
        <w:overflowPunct/>
        <w:topLinePunct w:val="0"/>
        <w:autoSpaceDE/>
        <w:autoSpaceDN/>
        <w:bidi w:val="0"/>
        <w:adjustRightInd/>
        <w:snapToGrid/>
        <w:spacing w:line="440" w:lineRule="exact"/>
        <w:ind w:left="850" w:hanging="357"/>
        <w:textAlignment w:val="auto"/>
        <w:rPr>
          <w:rFonts w:ascii="宋体" w:hAnsi="宋体"/>
          <w:color w:val="auto"/>
          <w:sz w:val="22"/>
          <w:szCs w:val="22"/>
          <w:highlight w:val="none"/>
        </w:rPr>
      </w:pPr>
      <w:r>
        <w:rPr>
          <w:rFonts w:hint="eastAsia" w:ascii="宋体" w:hAnsi="宋体"/>
          <w:color w:val="auto"/>
          <w:sz w:val="22"/>
          <w:szCs w:val="22"/>
          <w:highlight w:val="none"/>
        </w:rPr>
        <w:t>落实政府采购政策需满足的资格要求：无。</w:t>
      </w:r>
    </w:p>
    <w:p>
      <w:pPr>
        <w:keepNext w:val="0"/>
        <w:keepLines w:val="0"/>
        <w:pageBreakBefore w:val="0"/>
        <w:numPr>
          <w:ilvl w:val="0"/>
          <w:numId w:val="2"/>
        </w:numPr>
        <w:kinsoku/>
        <w:wordWrap w:val="0"/>
        <w:overflowPunct/>
        <w:topLinePunct w:val="0"/>
        <w:autoSpaceDE/>
        <w:autoSpaceDN/>
        <w:bidi w:val="0"/>
        <w:adjustRightInd/>
        <w:snapToGrid/>
        <w:spacing w:line="440" w:lineRule="exact"/>
        <w:ind w:left="850" w:hanging="357"/>
        <w:textAlignment w:val="auto"/>
        <w:rPr>
          <w:rFonts w:ascii="宋体" w:hAnsi="宋体"/>
          <w:color w:val="auto"/>
          <w:sz w:val="22"/>
          <w:szCs w:val="22"/>
          <w:highlight w:val="none"/>
        </w:rPr>
      </w:pPr>
      <w:r>
        <w:rPr>
          <w:rFonts w:hint="eastAsia" w:ascii="宋体" w:hAnsi="宋体"/>
          <w:color w:val="auto"/>
          <w:sz w:val="22"/>
          <w:szCs w:val="22"/>
          <w:highlight w:val="none"/>
        </w:rPr>
        <w:t>本项目的特定资格要求：无。</w:t>
      </w:r>
    </w:p>
    <w:bookmarkEnd w:id="15"/>
    <w:p>
      <w:pPr>
        <w:pStyle w:val="231"/>
        <w:keepNext w:val="0"/>
        <w:keepLines w:val="0"/>
        <w:pageBreakBefore w:val="0"/>
        <w:numPr>
          <w:ilvl w:val="0"/>
          <w:numId w:val="1"/>
        </w:numPr>
        <w:kinsoku/>
        <w:overflowPunct/>
        <w:topLinePunct w:val="0"/>
        <w:autoSpaceDE/>
        <w:autoSpaceDN/>
        <w:bidi w:val="0"/>
        <w:adjustRightInd/>
        <w:snapToGrid/>
        <w:spacing w:line="440" w:lineRule="exact"/>
        <w:ind w:firstLineChars="0"/>
        <w:textAlignment w:val="auto"/>
        <w:rPr>
          <w:rFonts w:ascii="宋体" w:hAnsi="宋体"/>
          <w:color w:val="auto"/>
          <w:sz w:val="22"/>
          <w:szCs w:val="22"/>
          <w:highlight w:val="none"/>
        </w:rPr>
      </w:pPr>
      <w:r>
        <w:rPr>
          <w:rFonts w:hint="eastAsia" w:ascii="宋体" w:hAnsi="宋体"/>
          <w:color w:val="auto"/>
          <w:sz w:val="22"/>
          <w:szCs w:val="22"/>
          <w:highlight w:val="none"/>
        </w:rPr>
        <w:t>磋商文件的获取</w:t>
      </w:r>
    </w:p>
    <w:p>
      <w:pPr>
        <w:widowControl/>
        <w:wordWrap w:val="0"/>
        <w:spacing w:line="44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1、获取时间期限：采购公告发布之日起至响应文件递交截止时间前；</w:t>
      </w:r>
    </w:p>
    <w:p>
      <w:pPr>
        <w:widowControl/>
        <w:wordWrap w:val="0"/>
        <w:spacing w:line="440" w:lineRule="exact"/>
        <w:ind w:firstLine="440" w:firstLineChars="200"/>
        <w:jc w:val="left"/>
        <w:rPr>
          <w:rFonts w:ascii="宋体" w:hAnsi="宋体" w:cs="宋体"/>
          <w:color w:val="auto"/>
          <w:kern w:val="0"/>
          <w:sz w:val="22"/>
          <w:szCs w:val="22"/>
          <w:highlight w:val="none"/>
        </w:rPr>
      </w:pPr>
      <w:r>
        <w:rPr>
          <w:rFonts w:ascii="宋体" w:hAnsi="宋体" w:cs="宋体"/>
          <w:color w:val="auto"/>
          <w:kern w:val="0"/>
          <w:sz w:val="22"/>
          <w:szCs w:val="22"/>
          <w:highlight w:val="none"/>
        </w:rPr>
        <w:t>2、</w:t>
      </w:r>
      <w:r>
        <w:rPr>
          <w:rFonts w:hint="eastAsia" w:ascii="宋体" w:hAnsi="宋体" w:cs="宋体"/>
          <w:color w:val="auto"/>
          <w:kern w:val="0"/>
          <w:sz w:val="22"/>
          <w:szCs w:val="22"/>
          <w:highlight w:val="none"/>
        </w:rPr>
        <w:t>获取地址：</w:t>
      </w:r>
      <w:r>
        <w:rPr>
          <w:rFonts w:hint="eastAsia" w:ascii="宋体" w:hAnsi="宋体"/>
          <w:color w:val="auto"/>
          <w:sz w:val="22"/>
          <w:szCs w:val="22"/>
          <w:highlight w:val="none"/>
        </w:rPr>
        <w:t>政府采购云平台（www.zcygov.cn）</w:t>
      </w:r>
    </w:p>
    <w:p>
      <w:pPr>
        <w:spacing w:line="460" w:lineRule="exact"/>
        <w:ind w:firstLine="495" w:firstLineChars="225"/>
        <w:rPr>
          <w:rFonts w:ascii="宋体" w:hAnsi="宋体" w:cs="宋体"/>
          <w:color w:val="auto"/>
          <w:kern w:val="0"/>
          <w:sz w:val="22"/>
          <w:szCs w:val="22"/>
          <w:highlight w:val="none"/>
        </w:rPr>
      </w:pPr>
      <w:r>
        <w:rPr>
          <w:rFonts w:ascii="宋体" w:hAnsi="宋体" w:cs="宋体"/>
          <w:color w:val="auto"/>
          <w:kern w:val="0"/>
          <w:sz w:val="22"/>
          <w:szCs w:val="22"/>
          <w:highlight w:val="none"/>
        </w:rPr>
        <w:t>3、</w:t>
      </w:r>
      <w:r>
        <w:rPr>
          <w:rFonts w:hint="eastAsia" w:ascii="宋体" w:hAnsi="宋体" w:cs="宋体"/>
          <w:color w:val="auto"/>
          <w:kern w:val="0"/>
          <w:sz w:val="22"/>
          <w:szCs w:val="22"/>
          <w:highlight w:val="none"/>
        </w:rPr>
        <w:t>磋商文件</w:t>
      </w:r>
      <w:r>
        <w:rPr>
          <w:rFonts w:ascii="宋体" w:hAnsi="宋体" w:cs="宋体"/>
          <w:color w:val="auto"/>
          <w:kern w:val="0"/>
          <w:sz w:val="22"/>
          <w:szCs w:val="22"/>
          <w:highlight w:val="none"/>
        </w:rPr>
        <w:t>售价：</w:t>
      </w:r>
      <w:r>
        <w:rPr>
          <w:rFonts w:hint="eastAsia" w:ascii="宋体" w:hAnsi="宋体" w:cs="宋体"/>
          <w:color w:val="auto"/>
          <w:kern w:val="0"/>
          <w:sz w:val="22"/>
          <w:szCs w:val="22"/>
          <w:highlight w:val="none"/>
        </w:rPr>
        <w:t>人民币</w:t>
      </w: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00</w:t>
      </w:r>
      <w:r>
        <w:rPr>
          <w:rFonts w:hint="eastAsia" w:ascii="宋体" w:hAnsi="宋体"/>
          <w:color w:val="auto"/>
          <w:sz w:val="22"/>
          <w:szCs w:val="22"/>
          <w:highlight w:val="none"/>
          <w:lang w:val="en-US" w:eastAsia="zh-CN"/>
        </w:rPr>
        <w:t>元整</w:t>
      </w:r>
      <w:r>
        <w:rPr>
          <w:rFonts w:hint="eastAsia" w:ascii="宋体" w:hAnsi="宋体"/>
          <w:color w:val="auto"/>
          <w:sz w:val="22"/>
          <w:szCs w:val="22"/>
          <w:highlight w:val="none"/>
        </w:rPr>
        <w:t>(售后不退)</w:t>
      </w:r>
      <w:r>
        <w:rPr>
          <w:rFonts w:hint="eastAsia" w:ascii="宋体" w:hAnsi="宋体"/>
          <w:color w:val="auto"/>
          <w:sz w:val="22"/>
          <w:szCs w:val="22"/>
          <w:highlight w:val="none"/>
          <w:lang w:eastAsia="zh-CN"/>
        </w:rPr>
        <w:t>；</w:t>
      </w:r>
    </w:p>
    <w:p>
      <w:pPr>
        <w:widowControl/>
        <w:wordWrap w:val="0"/>
        <w:spacing w:line="440" w:lineRule="exact"/>
        <w:ind w:firstLine="440" w:firstLineChars="200"/>
        <w:jc w:val="left"/>
        <w:rPr>
          <w:rFonts w:hint="eastAsia" w:ascii="宋体" w:hAnsi="宋体"/>
          <w:color w:val="auto"/>
          <w:sz w:val="22"/>
          <w:szCs w:val="22"/>
          <w:highlight w:val="none"/>
          <w:lang w:val="en-US" w:eastAsia="zh-CN"/>
        </w:rPr>
      </w:pPr>
      <w:r>
        <w:rPr>
          <w:rFonts w:hint="eastAsia" w:ascii="宋体" w:hAnsi="宋体"/>
          <w:color w:val="auto"/>
          <w:sz w:val="22"/>
          <w:szCs w:val="22"/>
          <w:highlight w:val="none"/>
          <w:lang w:val="en-US" w:eastAsia="zh-CN"/>
        </w:rPr>
        <w:t>4、报名方式、购买标书及注意事项：</w:t>
      </w:r>
    </w:p>
    <w:p>
      <w:pPr>
        <w:widowControl/>
        <w:wordWrap w:val="0"/>
        <w:spacing w:line="440" w:lineRule="exact"/>
        <w:ind w:firstLine="440" w:firstLineChars="200"/>
        <w:jc w:val="left"/>
        <w:rPr>
          <w:rFonts w:hint="eastAsia" w:ascii="宋体" w:hAnsi="宋体" w:eastAsia="宋体" w:cs="宋体"/>
          <w:color w:val="auto"/>
          <w:kern w:val="0"/>
          <w:sz w:val="22"/>
          <w:szCs w:val="22"/>
          <w:highlight w:val="none"/>
          <w:lang w:eastAsia="zh-CN"/>
        </w:rPr>
      </w:pPr>
      <w:r>
        <w:rPr>
          <w:rFonts w:hint="eastAsia" w:ascii="宋体" w:hAnsi="宋体"/>
          <w:color w:val="auto"/>
          <w:sz w:val="22"/>
          <w:szCs w:val="22"/>
          <w:highlight w:val="none"/>
          <w:lang w:val="en-US" w:eastAsia="zh-CN"/>
        </w:rPr>
        <w:t>网上报名（政采云报名）：请供应商登录浙江政府采购网（http://zfcg.czt.zj.gov.cn），进入“政采云”平台进行注册并报名（未注册的供应商请尽早注册，客服电话：400-881-7190），（操作路径：浙江政府采购网-供应商注册-项目采购-获取采购文件-申请获取采购文件）。</w:t>
      </w:r>
      <w:r>
        <w:rPr>
          <w:rFonts w:hint="eastAsia" w:ascii="宋体" w:hAnsi="宋体" w:eastAsia="宋体" w:cs="宋体"/>
          <w:i w:val="0"/>
          <w:iCs w:val="0"/>
          <w:caps w:val="0"/>
          <w:color w:val="auto"/>
          <w:spacing w:val="0"/>
          <w:sz w:val="22"/>
          <w:szCs w:val="22"/>
          <w:highlight w:val="none"/>
        </w:rPr>
        <w:t>网上获取采购文件成功后</w:t>
      </w:r>
      <w:r>
        <w:rPr>
          <w:rFonts w:hint="eastAsia" w:ascii="宋体" w:hAnsi="宋体"/>
          <w:color w:val="auto"/>
          <w:sz w:val="22"/>
          <w:szCs w:val="22"/>
          <w:highlight w:val="none"/>
          <w:lang w:val="en-US" w:eastAsia="zh-CN"/>
        </w:rPr>
        <w:t>，请将标书购买费汇入代理公司账户（缴纳报名费后将缴费截图等资料发代理机构电子邮箱895900692@qq.com，并马上联系采购代理公司审核（联系电话：13868321239 许先生），标书款汇入账户信息：（</w:t>
      </w:r>
      <w:r>
        <w:rPr>
          <w:rFonts w:hint="eastAsia" w:ascii="宋体" w:hAnsi="宋体" w:cs="宋体"/>
          <w:color w:val="auto"/>
          <w:kern w:val="0"/>
          <w:sz w:val="22"/>
          <w:szCs w:val="22"/>
          <w:highlight w:val="none"/>
        </w:rPr>
        <w:t>户名:浙江同信工程项目管理有限公司；帐号:726000120190066666；开户银行:温州银行瓯海支行</w:t>
      </w:r>
      <w:r>
        <w:rPr>
          <w:rFonts w:hint="eastAsia" w:ascii="宋体" w:hAnsi="宋体" w:cs="宋体"/>
          <w:color w:val="auto"/>
          <w:kern w:val="0"/>
          <w:sz w:val="22"/>
          <w:szCs w:val="22"/>
          <w:highlight w:val="none"/>
          <w:lang w:eastAsia="zh-CN"/>
        </w:rPr>
        <w:t>）</w:t>
      </w:r>
    </w:p>
    <w:p>
      <w:pPr>
        <w:keepNext w:val="0"/>
        <w:keepLines w:val="0"/>
        <w:pageBreakBefore w:val="0"/>
        <w:kinsoku/>
        <w:overflowPunct/>
        <w:topLinePunct w:val="0"/>
        <w:autoSpaceDE/>
        <w:autoSpaceDN/>
        <w:bidi w:val="0"/>
        <w:adjustRightInd/>
        <w:snapToGrid/>
        <w:spacing w:line="440" w:lineRule="exact"/>
        <w:ind w:firstLine="497" w:firstLineChars="225"/>
        <w:textAlignment w:val="auto"/>
        <w:rPr>
          <w:rFonts w:ascii="宋体" w:hAnsi="宋体"/>
          <w:b/>
          <w:bCs/>
          <w:color w:val="auto"/>
          <w:sz w:val="22"/>
          <w:szCs w:val="22"/>
          <w:highlight w:val="none"/>
        </w:rPr>
      </w:pPr>
      <w:r>
        <w:rPr>
          <w:rFonts w:hint="eastAsia" w:ascii="宋体" w:hAnsi="宋体"/>
          <w:b/>
          <w:bCs/>
          <w:color w:val="auto"/>
          <w:sz w:val="22"/>
          <w:szCs w:val="22"/>
          <w:highlight w:val="none"/>
        </w:rPr>
        <w:t>注：请供应商按上述要求获取磋商文件，如未在“政府采购云平台”系统内完成相关流程，导致的响应无效责任自负。</w:t>
      </w:r>
    </w:p>
    <w:p>
      <w:pPr>
        <w:pStyle w:val="231"/>
        <w:keepNext w:val="0"/>
        <w:keepLines w:val="0"/>
        <w:pageBreakBefore w:val="0"/>
        <w:numPr>
          <w:ilvl w:val="0"/>
          <w:numId w:val="1"/>
        </w:numPr>
        <w:kinsoku/>
        <w:overflowPunct/>
        <w:topLinePunct w:val="0"/>
        <w:autoSpaceDE/>
        <w:autoSpaceDN/>
        <w:bidi w:val="0"/>
        <w:adjustRightInd/>
        <w:snapToGrid/>
        <w:spacing w:line="440" w:lineRule="exact"/>
        <w:ind w:firstLineChars="0"/>
        <w:textAlignment w:val="auto"/>
        <w:rPr>
          <w:rFonts w:ascii="宋体" w:hAnsi="宋体"/>
          <w:color w:val="auto"/>
          <w:sz w:val="22"/>
          <w:szCs w:val="22"/>
          <w:highlight w:val="none"/>
        </w:rPr>
      </w:pPr>
      <w:r>
        <w:rPr>
          <w:rFonts w:hint="eastAsia" w:ascii="宋体" w:hAnsi="宋体"/>
          <w:color w:val="auto"/>
          <w:sz w:val="22"/>
          <w:szCs w:val="22"/>
          <w:highlight w:val="none"/>
        </w:rPr>
        <w:t>响应文件递交截止时间</w:t>
      </w:r>
      <w:r>
        <w:rPr>
          <w:rFonts w:ascii="宋体" w:hAnsi="宋体"/>
          <w:color w:val="auto"/>
          <w:sz w:val="22"/>
          <w:szCs w:val="22"/>
          <w:highlight w:val="none"/>
        </w:rPr>
        <w:t>、开启时间及地点</w:t>
      </w:r>
    </w:p>
    <w:p>
      <w:pPr>
        <w:keepNext w:val="0"/>
        <w:keepLines w:val="0"/>
        <w:pageBreakBefore w:val="0"/>
        <w:kinsoku/>
        <w:overflowPunct/>
        <w:topLinePunct w:val="0"/>
        <w:autoSpaceDE/>
        <w:autoSpaceDN/>
        <w:bidi w:val="0"/>
        <w:adjustRightInd/>
        <w:snapToGrid/>
        <w:spacing w:line="440" w:lineRule="exact"/>
        <w:ind w:firstLine="495" w:firstLineChars="225"/>
        <w:textAlignment w:val="auto"/>
        <w:rPr>
          <w:rFonts w:hint="eastAsia" w:ascii="宋体" w:hAnsi="宋体" w:eastAsia="宋体"/>
          <w:color w:val="auto"/>
          <w:sz w:val="22"/>
          <w:szCs w:val="22"/>
          <w:highlight w:val="none"/>
          <w:lang w:eastAsia="zh-CN"/>
        </w:rPr>
      </w:pPr>
      <w:r>
        <w:rPr>
          <w:rFonts w:hint="eastAsia" w:ascii="宋体" w:hAnsi="宋体"/>
          <w:color w:val="auto"/>
          <w:sz w:val="22"/>
          <w:szCs w:val="22"/>
          <w:highlight w:val="none"/>
        </w:rPr>
        <w:t>1、响应文件递交截止时间：</w:t>
      </w:r>
      <w:r>
        <w:rPr>
          <w:rFonts w:hint="eastAsia" w:ascii="宋体" w:hAnsi="宋体"/>
          <w:color w:val="auto"/>
          <w:sz w:val="22"/>
          <w:szCs w:val="22"/>
          <w:highlight w:val="none"/>
        </w:rPr>
        <w:t>2024年</w:t>
      </w: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月</w:t>
      </w:r>
      <w:r>
        <w:rPr>
          <w:rFonts w:hint="eastAsia" w:ascii="宋体" w:hAnsi="宋体"/>
          <w:color w:val="auto"/>
          <w:sz w:val="22"/>
          <w:szCs w:val="22"/>
          <w:highlight w:val="none"/>
          <w:lang w:val="en-US" w:eastAsia="zh-CN"/>
        </w:rPr>
        <w:t>9</w:t>
      </w:r>
      <w:r>
        <w:rPr>
          <w:rFonts w:hint="eastAsia" w:ascii="宋体" w:hAnsi="宋体"/>
          <w:color w:val="auto"/>
          <w:sz w:val="22"/>
          <w:szCs w:val="22"/>
          <w:highlight w:val="none"/>
        </w:rPr>
        <w:t>日</w:t>
      </w:r>
      <w:r>
        <w:rPr>
          <w:rFonts w:hint="eastAsia" w:ascii="宋体" w:hAnsi="宋体"/>
          <w:color w:val="auto"/>
          <w:sz w:val="22"/>
          <w:szCs w:val="22"/>
          <w:highlight w:val="none"/>
          <w:lang w:eastAsia="zh-CN"/>
        </w:rPr>
        <w:t>09:30</w:t>
      </w:r>
    </w:p>
    <w:p>
      <w:pPr>
        <w:keepNext w:val="0"/>
        <w:keepLines w:val="0"/>
        <w:pageBreakBefore w:val="0"/>
        <w:kinsoku/>
        <w:overflowPunct/>
        <w:topLinePunct w:val="0"/>
        <w:autoSpaceDE/>
        <w:autoSpaceDN/>
        <w:bidi w:val="0"/>
        <w:adjustRightInd/>
        <w:snapToGrid/>
        <w:spacing w:line="440" w:lineRule="exact"/>
        <w:ind w:firstLine="708" w:firstLineChars="322"/>
        <w:textAlignment w:val="auto"/>
        <w:rPr>
          <w:rFonts w:ascii="宋体" w:hAnsi="宋体"/>
          <w:color w:val="auto"/>
          <w:sz w:val="22"/>
          <w:szCs w:val="22"/>
          <w:highlight w:val="none"/>
        </w:rPr>
      </w:pPr>
      <w:r>
        <w:rPr>
          <w:rFonts w:hint="eastAsia" w:ascii="宋体" w:hAnsi="宋体"/>
          <w:color w:val="auto"/>
          <w:sz w:val="22"/>
          <w:szCs w:val="22"/>
          <w:highlight w:val="none"/>
        </w:rPr>
        <w:t>提交地点：通过“政府采购云平台（www.zcygov.cn）”在线递交。</w:t>
      </w:r>
    </w:p>
    <w:p>
      <w:pPr>
        <w:keepNext w:val="0"/>
        <w:keepLines w:val="0"/>
        <w:pageBreakBefore w:val="0"/>
        <w:numPr>
          <w:ilvl w:val="0"/>
          <w:numId w:val="3"/>
        </w:numPr>
        <w:kinsoku/>
        <w:overflowPunct/>
        <w:topLinePunct w:val="0"/>
        <w:autoSpaceDE/>
        <w:autoSpaceDN/>
        <w:bidi w:val="0"/>
        <w:adjustRightInd/>
        <w:snapToGrid/>
        <w:spacing w:line="440" w:lineRule="exact"/>
        <w:textAlignment w:val="auto"/>
        <w:rPr>
          <w:rFonts w:ascii="宋体" w:hAnsi="宋体"/>
          <w:color w:val="auto"/>
          <w:sz w:val="22"/>
          <w:szCs w:val="22"/>
          <w:highlight w:val="none"/>
        </w:rPr>
      </w:pPr>
      <w:r>
        <w:rPr>
          <w:rFonts w:hint="eastAsia" w:ascii="宋体" w:hAnsi="宋体"/>
          <w:color w:val="auto"/>
          <w:sz w:val="22"/>
          <w:szCs w:val="22"/>
          <w:highlight w:val="none"/>
        </w:rPr>
        <w:t>响应文件开启时间：</w:t>
      </w:r>
      <w:r>
        <w:rPr>
          <w:rFonts w:hint="eastAsia" w:ascii="宋体" w:hAnsi="宋体"/>
          <w:color w:val="auto"/>
          <w:sz w:val="22"/>
          <w:szCs w:val="22"/>
          <w:highlight w:val="none"/>
        </w:rPr>
        <w:t>2024年</w:t>
      </w: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月</w:t>
      </w:r>
      <w:r>
        <w:rPr>
          <w:rFonts w:hint="eastAsia" w:ascii="宋体" w:hAnsi="宋体"/>
          <w:color w:val="auto"/>
          <w:sz w:val="22"/>
          <w:szCs w:val="22"/>
          <w:highlight w:val="none"/>
          <w:lang w:val="en-US" w:eastAsia="zh-CN"/>
        </w:rPr>
        <w:t>9</w:t>
      </w:r>
      <w:r>
        <w:rPr>
          <w:rFonts w:hint="eastAsia" w:ascii="宋体" w:hAnsi="宋体"/>
          <w:color w:val="auto"/>
          <w:sz w:val="22"/>
          <w:szCs w:val="22"/>
          <w:highlight w:val="none"/>
        </w:rPr>
        <w:t>日</w:t>
      </w:r>
      <w:r>
        <w:rPr>
          <w:rFonts w:hint="eastAsia" w:ascii="宋体" w:hAnsi="宋体"/>
          <w:color w:val="auto"/>
          <w:sz w:val="22"/>
          <w:szCs w:val="22"/>
          <w:highlight w:val="none"/>
          <w:lang w:eastAsia="zh-CN"/>
        </w:rPr>
        <w:t>09:30</w:t>
      </w:r>
    </w:p>
    <w:p>
      <w:pPr>
        <w:keepNext w:val="0"/>
        <w:keepLines w:val="0"/>
        <w:pageBreakBefore w:val="0"/>
        <w:kinsoku/>
        <w:overflowPunct/>
        <w:topLinePunct w:val="0"/>
        <w:autoSpaceDE/>
        <w:autoSpaceDN/>
        <w:bidi w:val="0"/>
        <w:adjustRightInd/>
        <w:snapToGrid/>
        <w:spacing w:line="440" w:lineRule="exact"/>
        <w:ind w:firstLine="708" w:firstLineChars="322"/>
        <w:textAlignment w:val="auto"/>
        <w:rPr>
          <w:rFonts w:ascii="宋体" w:hAnsi="宋体"/>
          <w:color w:val="auto"/>
          <w:sz w:val="22"/>
          <w:szCs w:val="22"/>
          <w:highlight w:val="none"/>
        </w:rPr>
      </w:pPr>
      <w:r>
        <w:rPr>
          <w:rFonts w:hint="eastAsia" w:ascii="宋体" w:hAnsi="宋体"/>
          <w:color w:val="auto"/>
          <w:sz w:val="22"/>
          <w:szCs w:val="22"/>
          <w:highlight w:val="none"/>
        </w:rPr>
        <w:t>地点：</w:t>
      </w:r>
      <w:r>
        <w:rPr>
          <w:rFonts w:hint="eastAsia" w:ascii="宋体" w:hAnsi="宋体" w:cs="楷体"/>
          <w:color w:val="auto"/>
          <w:kern w:val="0"/>
          <w:sz w:val="22"/>
          <w:szCs w:val="22"/>
          <w:highlight w:val="none"/>
          <w:lang w:eastAsia="zh-CN"/>
        </w:rPr>
        <w:t>浙江同信工程项目管理有限公司</w:t>
      </w:r>
      <w:r>
        <w:rPr>
          <w:rFonts w:hint="eastAsia" w:ascii="宋体" w:hAnsi="宋体" w:cs="楷体"/>
          <w:color w:val="auto"/>
          <w:kern w:val="0"/>
          <w:sz w:val="22"/>
          <w:szCs w:val="22"/>
          <w:highlight w:val="none"/>
        </w:rPr>
        <w:t>会议室（</w:t>
      </w:r>
      <w:r>
        <w:rPr>
          <w:rFonts w:hint="eastAsia" w:ascii="宋体" w:hAnsi="宋体" w:cs="楷体"/>
          <w:color w:val="auto"/>
          <w:kern w:val="0"/>
          <w:sz w:val="22"/>
          <w:szCs w:val="22"/>
          <w:highlight w:val="none"/>
          <w:lang w:eastAsia="zh-CN"/>
        </w:rPr>
        <w:t xml:space="preserve">温州市瓯海区娄桥街道中汇路81号瓯海总部经济园C2幢7楼 </w:t>
      </w:r>
      <w:r>
        <w:rPr>
          <w:rFonts w:hint="eastAsia" w:ascii="宋体" w:hAnsi="宋体" w:cs="楷体"/>
          <w:color w:val="auto"/>
          <w:kern w:val="0"/>
          <w:sz w:val="22"/>
          <w:szCs w:val="22"/>
          <w:highlight w:val="none"/>
        </w:rPr>
        <w:t>），通过“政府采购云平台（www.zcygov.cn）”线上开启。</w:t>
      </w:r>
    </w:p>
    <w:p>
      <w:pPr>
        <w:pStyle w:val="231"/>
        <w:keepNext w:val="0"/>
        <w:keepLines w:val="0"/>
        <w:pageBreakBefore w:val="0"/>
        <w:numPr>
          <w:ilvl w:val="0"/>
          <w:numId w:val="1"/>
        </w:numPr>
        <w:kinsoku/>
        <w:overflowPunct/>
        <w:topLinePunct w:val="0"/>
        <w:autoSpaceDE/>
        <w:autoSpaceDN/>
        <w:bidi w:val="0"/>
        <w:adjustRightInd/>
        <w:snapToGrid/>
        <w:spacing w:line="440" w:lineRule="exact"/>
        <w:ind w:left="709" w:hanging="709" w:firstLineChars="0"/>
        <w:textAlignment w:val="auto"/>
        <w:rPr>
          <w:rFonts w:ascii="宋体" w:hAnsi="宋体"/>
          <w:color w:val="auto"/>
          <w:sz w:val="22"/>
          <w:szCs w:val="22"/>
          <w:highlight w:val="none"/>
        </w:rPr>
      </w:pPr>
      <w:r>
        <w:rPr>
          <w:rFonts w:hint="eastAsia" w:ascii="宋体" w:hAnsi="宋体"/>
          <w:color w:val="auto"/>
          <w:sz w:val="22"/>
          <w:szCs w:val="22"/>
          <w:highlight w:val="none"/>
        </w:rPr>
        <w:t>在线投标响应（电子投标）说明</w:t>
      </w:r>
    </w:p>
    <w:p>
      <w:pPr>
        <w:keepNext w:val="0"/>
        <w:keepLines w:val="0"/>
        <w:pageBreakBefore w:val="0"/>
        <w:kinsoku/>
        <w:overflowPunct/>
        <w:topLinePunct w:val="0"/>
        <w:autoSpaceDE/>
        <w:autoSpaceDN/>
        <w:bidi w:val="0"/>
        <w:adjustRightInd/>
        <w:snapToGrid/>
        <w:spacing w:line="440" w:lineRule="exact"/>
        <w:ind w:firstLine="495" w:firstLineChars="225"/>
        <w:textAlignment w:val="auto"/>
        <w:rPr>
          <w:rFonts w:ascii="宋体" w:hAnsi="宋体"/>
          <w:color w:val="auto"/>
          <w:sz w:val="22"/>
          <w:szCs w:val="22"/>
          <w:highlight w:val="none"/>
        </w:rPr>
      </w:pPr>
      <w:r>
        <w:rPr>
          <w:rFonts w:hint="eastAsia" w:ascii="宋体" w:hAnsi="宋体"/>
          <w:color w:val="auto"/>
          <w:sz w:val="22"/>
          <w:szCs w:val="22"/>
          <w:highlight w:val="none"/>
        </w:rPr>
        <w:t>本项目通过“政府采购云平台（www.zcygov.cn）”实行在线投标响应（电子投标）。潜在供应商在参与本项目投标前应当完成“政府采购云平台”的账号注册、身份认证（CA数字证书申领）、“政采云电子交易客户端”下载安装，相关操作流程提示如下：</w:t>
      </w:r>
    </w:p>
    <w:p>
      <w:pPr>
        <w:keepNext w:val="0"/>
        <w:keepLines w:val="0"/>
        <w:pageBreakBefore w:val="0"/>
        <w:kinsoku/>
        <w:overflowPunct/>
        <w:topLinePunct w:val="0"/>
        <w:autoSpaceDE/>
        <w:autoSpaceDN/>
        <w:bidi w:val="0"/>
        <w:adjustRightInd/>
        <w:snapToGrid/>
        <w:spacing w:line="440" w:lineRule="exact"/>
        <w:ind w:firstLine="495" w:firstLineChars="225"/>
        <w:textAlignment w:val="auto"/>
        <w:rPr>
          <w:rFonts w:ascii="宋体" w:hAnsi="宋体"/>
          <w:color w:val="auto"/>
          <w:sz w:val="22"/>
          <w:szCs w:val="22"/>
          <w:highlight w:val="none"/>
        </w:rPr>
      </w:pPr>
      <w:r>
        <w:rPr>
          <w:rFonts w:hint="eastAsia" w:ascii="宋体" w:hAnsi="宋体"/>
          <w:color w:val="auto"/>
          <w:sz w:val="22"/>
          <w:szCs w:val="22"/>
          <w:highlight w:val="none"/>
        </w:rPr>
        <w:t>（1）供应商注册（入驻）：https://middle.zcygov.cn/v-settle-front/registry；</w:t>
      </w:r>
    </w:p>
    <w:p>
      <w:pPr>
        <w:keepNext w:val="0"/>
        <w:keepLines w:val="0"/>
        <w:pageBreakBefore w:val="0"/>
        <w:kinsoku/>
        <w:overflowPunct/>
        <w:topLinePunct w:val="0"/>
        <w:autoSpaceDE/>
        <w:autoSpaceDN/>
        <w:bidi w:val="0"/>
        <w:adjustRightInd/>
        <w:snapToGrid/>
        <w:spacing w:line="440" w:lineRule="exact"/>
        <w:ind w:firstLine="495" w:firstLineChars="225"/>
        <w:textAlignment w:val="auto"/>
        <w:rPr>
          <w:rFonts w:ascii="宋体" w:hAnsi="宋体"/>
          <w:color w:val="auto"/>
          <w:sz w:val="22"/>
          <w:szCs w:val="22"/>
          <w:highlight w:val="none"/>
        </w:rPr>
      </w:pPr>
      <w:r>
        <w:rPr>
          <w:rFonts w:hint="eastAsia" w:ascii="宋体" w:hAnsi="宋体"/>
          <w:color w:val="auto"/>
          <w:sz w:val="22"/>
          <w:szCs w:val="22"/>
          <w:highlight w:val="none"/>
        </w:rPr>
        <w:t>（2）电子交易客户端下载：前往“浙江政府采购网-下载专区-电子交易客户端”进行下载；</w:t>
      </w:r>
    </w:p>
    <w:p>
      <w:pPr>
        <w:keepNext w:val="0"/>
        <w:keepLines w:val="0"/>
        <w:pageBreakBefore w:val="0"/>
        <w:kinsoku/>
        <w:overflowPunct/>
        <w:topLinePunct w:val="0"/>
        <w:autoSpaceDE/>
        <w:autoSpaceDN/>
        <w:bidi w:val="0"/>
        <w:adjustRightInd/>
        <w:snapToGrid/>
        <w:spacing w:line="440" w:lineRule="exact"/>
        <w:ind w:firstLine="495" w:firstLineChars="225"/>
        <w:textAlignment w:val="auto"/>
        <w:rPr>
          <w:rFonts w:ascii="宋体" w:hAnsi="宋体"/>
          <w:color w:val="auto"/>
          <w:sz w:val="22"/>
          <w:szCs w:val="22"/>
          <w:highlight w:val="none"/>
        </w:rPr>
      </w:pPr>
      <w:r>
        <w:rPr>
          <w:rFonts w:hint="eastAsia" w:ascii="宋体" w:hAnsi="宋体"/>
          <w:color w:val="auto"/>
          <w:sz w:val="22"/>
          <w:szCs w:val="22"/>
          <w:highlight w:val="none"/>
        </w:rPr>
        <w:t>（3）CA数字证书申领流程：前往“浙江政府采购网-下载专区-电子交易客户端-CA驱动和申领流程”进行查阅；</w:t>
      </w:r>
    </w:p>
    <w:p>
      <w:pPr>
        <w:keepNext w:val="0"/>
        <w:keepLines w:val="0"/>
        <w:pageBreakBefore w:val="0"/>
        <w:kinsoku/>
        <w:overflowPunct/>
        <w:topLinePunct w:val="0"/>
        <w:autoSpaceDE/>
        <w:autoSpaceDN/>
        <w:bidi w:val="0"/>
        <w:adjustRightInd/>
        <w:snapToGrid/>
        <w:spacing w:line="440" w:lineRule="exact"/>
        <w:ind w:firstLine="495" w:firstLineChars="225"/>
        <w:textAlignment w:val="auto"/>
        <w:rPr>
          <w:rFonts w:ascii="宋体" w:hAnsi="宋体"/>
          <w:color w:val="auto"/>
          <w:sz w:val="22"/>
          <w:szCs w:val="22"/>
          <w:highlight w:val="none"/>
        </w:rPr>
      </w:pPr>
      <w:r>
        <w:rPr>
          <w:rFonts w:hint="eastAsia" w:ascii="宋体" w:hAnsi="宋体"/>
          <w:color w:val="auto"/>
          <w:sz w:val="22"/>
          <w:szCs w:val="22"/>
          <w:highlight w:val="none"/>
        </w:rPr>
        <w:t>（4）电子交易具体流程详见操作指南：登录政府采购云平台，从首页-服务中心-帮助文档-项目采购-电子招投标，查看文档和视频；</w:t>
      </w:r>
    </w:p>
    <w:p>
      <w:pPr>
        <w:keepNext w:val="0"/>
        <w:keepLines w:val="0"/>
        <w:pageBreakBefore w:val="0"/>
        <w:kinsoku/>
        <w:overflowPunct/>
        <w:topLinePunct w:val="0"/>
        <w:autoSpaceDE/>
        <w:autoSpaceDN/>
        <w:bidi w:val="0"/>
        <w:adjustRightInd/>
        <w:snapToGrid/>
        <w:spacing w:line="440" w:lineRule="exact"/>
        <w:ind w:firstLine="495" w:firstLineChars="225"/>
        <w:textAlignment w:val="auto"/>
        <w:rPr>
          <w:rFonts w:ascii="宋体" w:hAnsi="宋体"/>
          <w:color w:val="auto"/>
          <w:sz w:val="22"/>
          <w:szCs w:val="22"/>
          <w:highlight w:val="none"/>
        </w:rPr>
      </w:pPr>
      <w:r>
        <w:rPr>
          <w:rFonts w:hint="eastAsia" w:ascii="宋体" w:hAnsi="宋体"/>
          <w:color w:val="auto"/>
          <w:sz w:val="22"/>
          <w:szCs w:val="22"/>
          <w:highlight w:val="none"/>
        </w:rPr>
        <w:t>（5）浙江省“电子交易/不见面开评标”学习专题（https://edu.zcygov.cn/luban/e-biding）；</w:t>
      </w:r>
    </w:p>
    <w:p>
      <w:pPr>
        <w:keepNext w:val="0"/>
        <w:keepLines w:val="0"/>
        <w:pageBreakBefore w:val="0"/>
        <w:kinsoku/>
        <w:overflowPunct/>
        <w:topLinePunct w:val="0"/>
        <w:autoSpaceDE/>
        <w:autoSpaceDN/>
        <w:bidi w:val="0"/>
        <w:adjustRightInd/>
        <w:snapToGrid/>
        <w:spacing w:line="440" w:lineRule="exact"/>
        <w:ind w:firstLine="495" w:firstLineChars="225"/>
        <w:textAlignment w:val="auto"/>
        <w:rPr>
          <w:rFonts w:ascii="宋体" w:hAnsi="宋体"/>
          <w:color w:val="auto"/>
          <w:sz w:val="22"/>
          <w:szCs w:val="22"/>
          <w:highlight w:val="none"/>
        </w:rPr>
      </w:pPr>
      <w:bookmarkStart w:id="17" w:name="_Hlk39133387"/>
      <w:r>
        <w:rPr>
          <w:rFonts w:hint="eastAsia" w:ascii="宋体" w:hAnsi="宋体"/>
          <w:color w:val="auto"/>
          <w:sz w:val="22"/>
          <w:szCs w:val="22"/>
          <w:highlight w:val="none"/>
        </w:rPr>
        <w:t>（6）如有疑问，可登录政采云（www.zcygov.cn），点击右侧咨询小采，获取采小蜜智能服务管家帮助，或拨打政采云服务热线400-881-7190获取热线服务帮助。CA问题联系电话（人工）：汇信CA 400-888-4636；天谷CA 400-087-8198。</w:t>
      </w:r>
    </w:p>
    <w:bookmarkEnd w:id="17"/>
    <w:p>
      <w:pPr>
        <w:pStyle w:val="219"/>
        <w:keepNext w:val="0"/>
        <w:keepLines w:val="0"/>
        <w:pageBreakBefore w:val="0"/>
        <w:widowControl/>
        <w:numPr>
          <w:ilvl w:val="0"/>
          <w:numId w:val="4"/>
        </w:numPr>
        <w:kinsoku/>
        <w:overflowPunct/>
        <w:topLinePunct w:val="0"/>
        <w:autoSpaceDE/>
        <w:autoSpaceDN/>
        <w:bidi w:val="0"/>
        <w:adjustRightInd/>
        <w:snapToGrid/>
        <w:spacing w:line="440" w:lineRule="exact"/>
        <w:ind w:firstLineChars="0"/>
        <w:jc w:val="left"/>
        <w:textAlignment w:val="auto"/>
        <w:rPr>
          <w:rFonts w:ascii="宋体" w:hAnsi="宋体" w:cs="宋体"/>
          <w:color w:val="auto"/>
          <w:kern w:val="0"/>
          <w:sz w:val="22"/>
          <w:szCs w:val="22"/>
          <w:highlight w:val="none"/>
        </w:rPr>
      </w:pPr>
      <w:r>
        <w:rPr>
          <w:rFonts w:ascii="宋体" w:hAnsi="宋体" w:cs="宋体"/>
          <w:bCs/>
          <w:color w:val="auto"/>
          <w:kern w:val="0"/>
          <w:sz w:val="22"/>
          <w:szCs w:val="22"/>
          <w:highlight w:val="none"/>
        </w:rPr>
        <w:t>联系人及联系</w:t>
      </w:r>
      <w:r>
        <w:rPr>
          <w:rFonts w:hint="eastAsia" w:ascii="宋体" w:hAnsi="宋体" w:cs="宋体"/>
          <w:bCs/>
          <w:color w:val="auto"/>
          <w:kern w:val="0"/>
          <w:sz w:val="22"/>
          <w:szCs w:val="22"/>
          <w:highlight w:val="none"/>
        </w:rPr>
        <w:t>方式</w:t>
      </w:r>
    </w:p>
    <w:p>
      <w:pPr>
        <w:keepNext w:val="0"/>
        <w:keepLines w:val="0"/>
        <w:pageBreakBefore w:val="0"/>
        <w:widowControl/>
        <w:kinsoku/>
        <w:overflowPunct/>
        <w:topLinePunct w:val="0"/>
        <w:autoSpaceDE/>
        <w:autoSpaceDN/>
        <w:bidi w:val="0"/>
        <w:adjustRightInd/>
        <w:snapToGrid/>
        <w:spacing w:line="440" w:lineRule="exact"/>
        <w:ind w:firstLine="440" w:firstLineChars="200"/>
        <w:jc w:val="left"/>
        <w:textAlignment w:val="auto"/>
        <w:rPr>
          <w:rFonts w:ascii="宋体" w:hAnsi="宋体" w:cs="宋体"/>
          <w:color w:val="auto"/>
          <w:kern w:val="0"/>
          <w:sz w:val="22"/>
          <w:szCs w:val="22"/>
          <w:highlight w:val="none"/>
        </w:rPr>
      </w:pPr>
      <w:r>
        <w:rPr>
          <w:rFonts w:ascii="宋体" w:hAnsi="宋体" w:cs="宋体"/>
          <w:color w:val="auto"/>
          <w:kern w:val="0"/>
          <w:sz w:val="22"/>
          <w:szCs w:val="22"/>
          <w:highlight w:val="none"/>
        </w:rPr>
        <w:t>1</w:t>
      </w:r>
      <w:r>
        <w:rPr>
          <w:rFonts w:hint="eastAsia" w:ascii="宋体" w:hAnsi="宋体" w:cs="宋体"/>
          <w:color w:val="auto"/>
          <w:kern w:val="0"/>
          <w:sz w:val="22"/>
          <w:szCs w:val="22"/>
          <w:highlight w:val="none"/>
        </w:rPr>
        <w:t>、采购人</w:t>
      </w:r>
      <w:r>
        <w:rPr>
          <w:rFonts w:ascii="宋体" w:hAnsi="宋体" w:cs="宋体"/>
          <w:color w:val="auto"/>
          <w:kern w:val="0"/>
          <w:sz w:val="22"/>
          <w:szCs w:val="22"/>
          <w:highlight w:val="none"/>
        </w:rPr>
        <w:t>：</w:t>
      </w:r>
      <w:r>
        <w:rPr>
          <w:rFonts w:hint="eastAsia" w:ascii="宋体" w:hAnsi="宋体" w:cs="宋体"/>
          <w:color w:val="auto"/>
          <w:kern w:val="0"/>
          <w:sz w:val="22"/>
          <w:szCs w:val="22"/>
          <w:highlight w:val="none"/>
        </w:rPr>
        <w:t>温州市华睿生物医药有限公司</w:t>
      </w:r>
    </w:p>
    <w:p>
      <w:pPr>
        <w:keepNext w:val="0"/>
        <w:keepLines w:val="0"/>
        <w:pageBreakBefore w:val="0"/>
        <w:widowControl/>
        <w:kinsoku/>
        <w:overflowPunct/>
        <w:topLinePunct w:val="0"/>
        <w:autoSpaceDE/>
        <w:autoSpaceDN/>
        <w:bidi w:val="0"/>
        <w:adjustRightInd/>
        <w:snapToGrid/>
        <w:spacing w:line="440" w:lineRule="exact"/>
        <w:ind w:firstLine="440" w:firstLineChars="200"/>
        <w:jc w:val="left"/>
        <w:textAlignment w:val="auto"/>
        <w:rPr>
          <w:rFonts w:ascii="宋体" w:hAnsi="宋体" w:cs="宋体"/>
          <w:color w:val="auto"/>
          <w:kern w:val="0"/>
          <w:sz w:val="22"/>
          <w:szCs w:val="22"/>
          <w:highlight w:val="none"/>
        </w:rPr>
      </w:pPr>
      <w:r>
        <w:rPr>
          <w:rFonts w:hint="eastAsia" w:ascii="宋体" w:hAnsi="宋体" w:cs="宋体"/>
          <w:color w:val="auto"/>
          <w:kern w:val="0"/>
          <w:sz w:val="22"/>
          <w:szCs w:val="22"/>
          <w:highlight w:val="none"/>
        </w:rPr>
        <w:t>采购人地址：温州市瓯海区经济开发区东方南路50号温州市国家大学科技园1号楼4楼</w:t>
      </w:r>
    </w:p>
    <w:p>
      <w:pPr>
        <w:keepNext w:val="0"/>
        <w:keepLines w:val="0"/>
        <w:pageBreakBefore w:val="0"/>
        <w:widowControl/>
        <w:kinsoku/>
        <w:overflowPunct/>
        <w:topLinePunct w:val="0"/>
        <w:autoSpaceDE/>
        <w:autoSpaceDN/>
        <w:bidi w:val="0"/>
        <w:adjustRightInd/>
        <w:snapToGrid/>
        <w:spacing w:line="440" w:lineRule="exact"/>
        <w:ind w:firstLine="440" w:firstLineChars="200"/>
        <w:jc w:val="left"/>
        <w:textAlignment w:val="auto"/>
        <w:rPr>
          <w:rFonts w:ascii="宋体" w:hAnsi="宋体" w:cs="宋体"/>
          <w:color w:val="auto"/>
          <w:kern w:val="0"/>
          <w:sz w:val="22"/>
          <w:szCs w:val="22"/>
          <w:highlight w:val="none"/>
        </w:rPr>
      </w:pPr>
      <w:r>
        <w:rPr>
          <w:rFonts w:hint="eastAsia" w:ascii="宋体" w:hAnsi="宋体" w:cs="宋体"/>
          <w:color w:val="auto"/>
          <w:kern w:val="0"/>
          <w:sz w:val="22"/>
          <w:szCs w:val="22"/>
          <w:highlight w:val="none"/>
        </w:rPr>
        <w:t>联系人：张先生</w:t>
      </w:r>
    </w:p>
    <w:p>
      <w:pPr>
        <w:keepNext w:val="0"/>
        <w:keepLines w:val="0"/>
        <w:pageBreakBefore w:val="0"/>
        <w:widowControl/>
        <w:kinsoku/>
        <w:overflowPunct/>
        <w:topLinePunct w:val="0"/>
        <w:autoSpaceDE/>
        <w:autoSpaceDN/>
        <w:bidi w:val="0"/>
        <w:adjustRightInd/>
        <w:snapToGrid/>
        <w:spacing w:line="440" w:lineRule="exact"/>
        <w:ind w:firstLine="440" w:firstLineChars="200"/>
        <w:jc w:val="left"/>
        <w:textAlignment w:val="auto"/>
        <w:rPr>
          <w:rFonts w:ascii="宋体" w:hAnsi="宋体" w:cs="宋体"/>
          <w:color w:val="auto"/>
          <w:kern w:val="0"/>
          <w:sz w:val="22"/>
          <w:szCs w:val="22"/>
          <w:highlight w:val="none"/>
        </w:rPr>
      </w:pPr>
      <w:r>
        <w:rPr>
          <w:rFonts w:hint="eastAsia" w:ascii="宋体" w:hAnsi="宋体" w:cs="宋体"/>
          <w:color w:val="auto"/>
          <w:kern w:val="0"/>
          <w:sz w:val="22"/>
          <w:szCs w:val="22"/>
          <w:highlight w:val="none"/>
        </w:rPr>
        <w:t>联系方式：0577-85780129</w:t>
      </w:r>
    </w:p>
    <w:p>
      <w:pPr>
        <w:keepNext w:val="0"/>
        <w:keepLines w:val="0"/>
        <w:pageBreakBefore w:val="0"/>
        <w:widowControl/>
        <w:kinsoku/>
        <w:overflowPunct/>
        <w:topLinePunct w:val="0"/>
        <w:autoSpaceDE/>
        <w:autoSpaceDN/>
        <w:bidi w:val="0"/>
        <w:adjustRightInd/>
        <w:snapToGrid/>
        <w:spacing w:line="440" w:lineRule="exact"/>
        <w:ind w:firstLine="440" w:firstLineChars="200"/>
        <w:jc w:val="left"/>
        <w:textAlignment w:val="auto"/>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2、采购代理机构</w:t>
      </w:r>
      <w:r>
        <w:rPr>
          <w:rFonts w:ascii="宋体" w:hAnsi="宋体" w:cs="宋体"/>
          <w:color w:val="auto"/>
          <w:kern w:val="0"/>
          <w:sz w:val="22"/>
          <w:szCs w:val="22"/>
          <w:highlight w:val="none"/>
        </w:rPr>
        <w:t>：</w:t>
      </w:r>
      <w:r>
        <w:rPr>
          <w:rFonts w:hint="eastAsia" w:ascii="宋体" w:hAnsi="宋体" w:cs="宋体"/>
          <w:color w:val="auto"/>
          <w:kern w:val="0"/>
          <w:sz w:val="22"/>
          <w:szCs w:val="22"/>
          <w:highlight w:val="none"/>
          <w:lang w:eastAsia="zh-CN"/>
        </w:rPr>
        <w:t>浙江同信工程项目管理有限公司</w:t>
      </w:r>
    </w:p>
    <w:p>
      <w:pPr>
        <w:keepNext w:val="0"/>
        <w:keepLines w:val="0"/>
        <w:pageBreakBefore w:val="0"/>
        <w:widowControl/>
        <w:kinsoku/>
        <w:overflowPunct/>
        <w:topLinePunct w:val="0"/>
        <w:autoSpaceDE/>
        <w:autoSpaceDN/>
        <w:bidi w:val="0"/>
        <w:adjustRightInd/>
        <w:snapToGrid/>
        <w:spacing w:line="440" w:lineRule="exact"/>
        <w:ind w:firstLine="440" w:firstLineChars="200"/>
        <w:jc w:val="left"/>
        <w:textAlignment w:val="auto"/>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采购代理机构地址：</w:t>
      </w:r>
      <w:r>
        <w:rPr>
          <w:rFonts w:hint="eastAsia" w:ascii="宋体" w:hAnsi="宋体" w:cs="宋体"/>
          <w:color w:val="auto"/>
          <w:kern w:val="0"/>
          <w:sz w:val="22"/>
          <w:szCs w:val="22"/>
          <w:highlight w:val="none"/>
          <w:lang w:eastAsia="zh-CN"/>
        </w:rPr>
        <w:t xml:space="preserve">温州市瓯海区娄桥街道中汇路81号瓯海总部经济园C2幢7楼 </w:t>
      </w:r>
    </w:p>
    <w:p>
      <w:pPr>
        <w:keepNext w:val="0"/>
        <w:keepLines w:val="0"/>
        <w:pageBreakBefore w:val="0"/>
        <w:widowControl/>
        <w:kinsoku/>
        <w:overflowPunct/>
        <w:topLinePunct w:val="0"/>
        <w:autoSpaceDE/>
        <w:autoSpaceDN/>
        <w:bidi w:val="0"/>
        <w:adjustRightInd/>
        <w:snapToGrid/>
        <w:spacing w:line="440" w:lineRule="exact"/>
        <w:ind w:firstLine="440" w:firstLineChars="200"/>
        <w:jc w:val="left"/>
        <w:textAlignment w:val="auto"/>
        <w:rPr>
          <w:rFonts w:hint="eastAsia" w:ascii="宋体" w:hAnsi="宋体" w:eastAsia="宋体" w:cs="宋体"/>
          <w:color w:val="auto"/>
          <w:kern w:val="0"/>
          <w:sz w:val="22"/>
          <w:szCs w:val="22"/>
          <w:highlight w:val="none"/>
          <w:lang w:val="en-US" w:eastAsia="zh-CN"/>
        </w:rPr>
      </w:pPr>
      <w:r>
        <w:rPr>
          <w:rFonts w:ascii="宋体" w:hAnsi="宋体" w:cs="宋体"/>
          <w:color w:val="auto"/>
          <w:kern w:val="0"/>
          <w:sz w:val="22"/>
          <w:szCs w:val="22"/>
          <w:highlight w:val="none"/>
        </w:rPr>
        <w:t>联系人：</w:t>
      </w:r>
      <w:r>
        <w:rPr>
          <w:rFonts w:hint="eastAsia" w:ascii="宋体" w:hAnsi="宋体" w:cs="宋体"/>
          <w:color w:val="auto"/>
          <w:kern w:val="0"/>
          <w:sz w:val="22"/>
          <w:szCs w:val="22"/>
          <w:highlight w:val="none"/>
          <w:lang w:eastAsia="zh-CN"/>
        </w:rPr>
        <w:t xml:space="preserve">许博文 </w:t>
      </w:r>
    </w:p>
    <w:p>
      <w:pPr>
        <w:keepNext w:val="0"/>
        <w:keepLines w:val="0"/>
        <w:pageBreakBefore w:val="0"/>
        <w:widowControl/>
        <w:kinsoku/>
        <w:overflowPunct/>
        <w:topLinePunct w:val="0"/>
        <w:autoSpaceDE/>
        <w:autoSpaceDN/>
        <w:bidi w:val="0"/>
        <w:adjustRightInd/>
        <w:snapToGrid/>
        <w:spacing w:line="440" w:lineRule="exact"/>
        <w:ind w:firstLine="440" w:firstLineChars="200"/>
        <w:jc w:val="left"/>
        <w:textAlignment w:val="auto"/>
        <w:rPr>
          <w:rFonts w:hint="eastAsia" w:ascii="宋体" w:hAnsi="宋体" w:eastAsia="宋体" w:cs="宋体"/>
          <w:color w:val="auto"/>
          <w:kern w:val="0"/>
          <w:sz w:val="22"/>
          <w:szCs w:val="22"/>
          <w:highlight w:val="none"/>
          <w:lang w:val="en-US" w:eastAsia="zh-CN"/>
        </w:rPr>
      </w:pPr>
      <w:r>
        <w:rPr>
          <w:rFonts w:ascii="宋体" w:hAnsi="宋体" w:cs="宋体"/>
          <w:color w:val="auto"/>
          <w:kern w:val="0"/>
          <w:sz w:val="22"/>
          <w:szCs w:val="22"/>
          <w:highlight w:val="none"/>
        </w:rPr>
        <w:t>联系</w:t>
      </w:r>
      <w:r>
        <w:rPr>
          <w:rFonts w:hint="eastAsia" w:ascii="宋体" w:hAnsi="宋体" w:cs="宋体"/>
          <w:color w:val="auto"/>
          <w:kern w:val="0"/>
          <w:sz w:val="22"/>
          <w:szCs w:val="22"/>
          <w:highlight w:val="none"/>
        </w:rPr>
        <w:t>方式</w:t>
      </w:r>
      <w:r>
        <w:rPr>
          <w:rFonts w:ascii="宋体" w:hAnsi="宋体" w:cs="宋体"/>
          <w:color w:val="auto"/>
          <w:kern w:val="0"/>
          <w:sz w:val="22"/>
          <w:szCs w:val="22"/>
          <w:highlight w:val="none"/>
        </w:rPr>
        <w:t>：</w:t>
      </w:r>
      <w:r>
        <w:rPr>
          <w:rFonts w:hint="eastAsia" w:ascii="宋体" w:hAnsi="宋体" w:cs="宋体"/>
          <w:color w:val="auto"/>
          <w:kern w:val="0"/>
          <w:sz w:val="22"/>
          <w:szCs w:val="22"/>
          <w:highlight w:val="none"/>
          <w:lang w:eastAsia="zh-CN"/>
        </w:rPr>
        <w:t>0577-88757888、13868321239</w:t>
      </w:r>
    </w:p>
    <w:bookmarkEnd w:id="12"/>
    <w:p>
      <w:pPr>
        <w:widowControl/>
        <w:spacing w:line="440" w:lineRule="exact"/>
        <w:ind w:firstLine="440" w:firstLineChars="200"/>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3、采购监管管理部门：温州市瓯海经济开发区建设投资集团有限公司监察室</w:t>
      </w:r>
    </w:p>
    <w:p>
      <w:pPr>
        <w:widowControl/>
        <w:spacing w:line="440" w:lineRule="exact"/>
        <w:ind w:firstLine="880" w:firstLineChars="400"/>
        <w:jc w:val="left"/>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联系方式：</w:t>
      </w:r>
      <w:r>
        <w:rPr>
          <w:rFonts w:hint="eastAsia" w:ascii="宋体" w:hAnsi="宋体" w:cs="宋体"/>
          <w:color w:val="auto"/>
          <w:kern w:val="0"/>
          <w:sz w:val="22"/>
          <w:szCs w:val="22"/>
          <w:highlight w:val="none"/>
          <w:lang w:eastAsia="zh-CN"/>
        </w:rPr>
        <w:t>0577-85699259</w:t>
      </w:r>
    </w:p>
    <w:p>
      <w:pPr>
        <w:keepNext w:val="0"/>
        <w:keepLines w:val="0"/>
        <w:pageBreakBefore w:val="0"/>
        <w:widowControl/>
        <w:kinsoku/>
        <w:wordWrap/>
        <w:overflowPunct/>
        <w:topLinePunct w:val="0"/>
        <w:autoSpaceDE/>
        <w:autoSpaceDN/>
        <w:bidi w:val="0"/>
        <w:adjustRightInd/>
        <w:snapToGrid/>
        <w:spacing w:line="440" w:lineRule="exact"/>
        <w:jc w:val="right"/>
        <w:textAlignment w:val="auto"/>
        <w:rPr>
          <w:rFonts w:ascii="宋体" w:hAnsi="宋体" w:cs="宋体"/>
          <w:color w:val="auto"/>
          <w:kern w:val="0"/>
          <w:sz w:val="22"/>
          <w:szCs w:val="22"/>
          <w:highlight w:val="none"/>
        </w:rPr>
      </w:pPr>
      <w:r>
        <w:rPr>
          <w:rFonts w:hint="eastAsia" w:ascii="宋体" w:hAnsi="宋体" w:cs="宋体"/>
          <w:color w:val="auto"/>
          <w:kern w:val="0"/>
          <w:sz w:val="22"/>
          <w:szCs w:val="22"/>
          <w:highlight w:val="none"/>
        </w:rPr>
        <w:t>温州市华睿生物医药有限公司</w:t>
      </w:r>
    </w:p>
    <w:p>
      <w:pPr>
        <w:keepNext w:val="0"/>
        <w:keepLines w:val="0"/>
        <w:pageBreakBefore w:val="0"/>
        <w:widowControl/>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eastAsia="zh-CN"/>
        </w:rPr>
        <w:t>浙江同信工程项目管理有限公司</w:t>
      </w:r>
    </w:p>
    <w:bookmarkEnd w:id="16"/>
    <w:p>
      <w:pPr>
        <w:keepNext w:val="0"/>
        <w:keepLines w:val="0"/>
        <w:pageBreakBefore w:val="0"/>
        <w:widowControl/>
        <w:kinsoku/>
        <w:wordWrap/>
        <w:overflowPunct/>
        <w:topLinePunct w:val="0"/>
        <w:autoSpaceDE/>
        <w:autoSpaceDN/>
        <w:bidi w:val="0"/>
        <w:adjustRightInd/>
        <w:snapToGrid/>
        <w:spacing w:line="440" w:lineRule="exact"/>
        <w:ind w:firstLine="440" w:firstLineChars="200"/>
        <w:jc w:val="right"/>
        <w:textAlignment w:val="auto"/>
        <w:rPr>
          <w:rFonts w:ascii="宋体" w:hAnsi="宋体"/>
          <w:color w:val="auto"/>
          <w:kern w:val="0"/>
          <w:sz w:val="22"/>
          <w:szCs w:val="22"/>
          <w:highlight w:val="none"/>
        </w:rPr>
      </w:pPr>
      <w:r>
        <w:rPr>
          <w:rFonts w:hint="eastAsia" w:ascii="宋体" w:hAnsi="宋体"/>
          <w:color w:val="auto"/>
          <w:sz w:val="22"/>
          <w:szCs w:val="22"/>
          <w:highlight w:val="none"/>
        </w:rPr>
        <w:t>2024年</w:t>
      </w:r>
      <w:r>
        <w:rPr>
          <w:rFonts w:hint="eastAsia" w:ascii="宋体" w:hAnsi="宋体"/>
          <w:color w:val="auto"/>
          <w:sz w:val="22"/>
          <w:szCs w:val="22"/>
          <w:highlight w:val="none"/>
          <w:lang w:val="en-US" w:eastAsia="zh-CN"/>
        </w:rPr>
        <w:t>4</w:t>
      </w:r>
      <w:r>
        <w:rPr>
          <w:rFonts w:hint="eastAsia" w:ascii="宋体" w:hAnsi="宋体"/>
          <w:color w:val="auto"/>
          <w:sz w:val="22"/>
          <w:szCs w:val="22"/>
          <w:highlight w:val="none"/>
        </w:rPr>
        <w:t>月</w:t>
      </w:r>
      <w:r>
        <w:rPr>
          <w:rFonts w:hint="eastAsia" w:ascii="宋体" w:hAnsi="宋体"/>
          <w:color w:val="auto"/>
          <w:sz w:val="22"/>
          <w:szCs w:val="22"/>
          <w:highlight w:val="none"/>
          <w:lang w:val="en-US" w:eastAsia="zh-CN"/>
        </w:rPr>
        <w:t>23</w:t>
      </w:r>
      <w:r>
        <w:rPr>
          <w:rFonts w:hint="eastAsia" w:ascii="宋体" w:hAnsi="宋体"/>
          <w:color w:val="auto"/>
          <w:sz w:val="22"/>
          <w:szCs w:val="22"/>
          <w:highlight w:val="none"/>
        </w:rPr>
        <w:t>日</w:t>
      </w:r>
    </w:p>
    <w:p>
      <w:pPr>
        <w:pStyle w:val="5"/>
        <w:rPr>
          <w:rFonts w:ascii="宋体" w:hAnsi="宋体" w:eastAsia="宋体"/>
          <w:b w:val="0"/>
          <w:color w:val="auto"/>
          <w:sz w:val="36"/>
          <w:szCs w:val="36"/>
          <w:highlight w:val="none"/>
        </w:rPr>
      </w:pPr>
      <w:r>
        <w:rPr>
          <w:rFonts w:hint="eastAsia" w:ascii="宋体" w:hAnsi="宋体" w:eastAsia="宋体"/>
          <w:color w:val="auto"/>
          <w:sz w:val="22"/>
          <w:szCs w:val="22"/>
          <w:highlight w:val="none"/>
        </w:rPr>
        <w:br w:type="page"/>
      </w:r>
      <w:bookmarkStart w:id="18" w:name="_Toc315"/>
      <w:bookmarkStart w:id="19" w:name="_Toc21046"/>
      <w:bookmarkStart w:id="20" w:name="_Toc223717604"/>
      <w:bookmarkStart w:id="21" w:name="_Toc227056846"/>
      <w:bookmarkStart w:id="22" w:name="_Toc215415530"/>
      <w:bookmarkStart w:id="23" w:name="_Toc217460685"/>
      <w:bookmarkStart w:id="24" w:name="_Toc227489887"/>
      <w:bookmarkStart w:id="25" w:name="_Toc223933221"/>
      <w:bookmarkStart w:id="26" w:name="_Toc216667820"/>
      <w:bookmarkStart w:id="27" w:name="_Toc218041726"/>
      <w:bookmarkStart w:id="28" w:name="_Toc219538613"/>
      <w:bookmarkStart w:id="29" w:name="_Toc227057033"/>
      <w:r>
        <w:rPr>
          <w:rFonts w:ascii="宋体" w:hAnsi="宋体" w:eastAsia="宋体"/>
          <w:b w:val="0"/>
          <w:color w:val="auto"/>
          <w:sz w:val="36"/>
          <w:szCs w:val="36"/>
          <w:highlight w:val="none"/>
        </w:rPr>
        <w:t>第一部分</w:t>
      </w:r>
      <w:r>
        <w:rPr>
          <w:rFonts w:hint="eastAsia" w:ascii="宋体" w:hAnsi="宋体" w:eastAsia="宋体"/>
          <w:b w:val="0"/>
          <w:color w:val="auto"/>
          <w:sz w:val="36"/>
          <w:szCs w:val="36"/>
          <w:highlight w:val="none"/>
        </w:rPr>
        <w:t xml:space="preserve"> </w:t>
      </w:r>
      <w:r>
        <w:rPr>
          <w:rFonts w:ascii="宋体" w:hAnsi="宋体" w:eastAsia="宋体"/>
          <w:b w:val="0"/>
          <w:color w:val="auto"/>
          <w:sz w:val="36"/>
          <w:szCs w:val="36"/>
          <w:highlight w:val="none"/>
        </w:rPr>
        <w:t xml:space="preserve"> 供应商须知</w:t>
      </w:r>
      <w:bookmarkEnd w:id="18"/>
      <w:bookmarkEnd w:id="19"/>
    </w:p>
    <w:p>
      <w:pPr>
        <w:pStyle w:val="6"/>
        <w:spacing w:line="400" w:lineRule="exact"/>
        <w:jc w:val="center"/>
        <w:rPr>
          <w:rFonts w:ascii="宋体" w:hAnsi="宋体" w:eastAsia="宋体" w:cs="Courier New"/>
          <w:color w:val="auto"/>
          <w:highlight w:val="none"/>
        </w:rPr>
      </w:pPr>
      <w:bookmarkStart w:id="30" w:name="_Toc29206"/>
      <w:bookmarkStart w:id="31" w:name="_Toc32543"/>
      <w:r>
        <w:rPr>
          <w:rFonts w:hint="eastAsia" w:ascii="宋体" w:hAnsi="宋体" w:eastAsia="宋体" w:cs="Courier New"/>
          <w:color w:val="auto"/>
          <w:highlight w:val="none"/>
        </w:rPr>
        <w:t>供应商须知前附表</w:t>
      </w:r>
      <w:bookmarkEnd w:id="30"/>
      <w:bookmarkEnd w:id="31"/>
    </w:p>
    <w:tbl>
      <w:tblPr>
        <w:tblStyle w:val="32"/>
        <w:tblW w:w="10380" w:type="dxa"/>
        <w:jc w:val="center"/>
        <w:tblLayout w:type="fixed"/>
        <w:tblCellMar>
          <w:top w:w="0" w:type="dxa"/>
          <w:left w:w="108" w:type="dxa"/>
          <w:bottom w:w="0" w:type="dxa"/>
          <w:right w:w="108" w:type="dxa"/>
        </w:tblCellMar>
      </w:tblPr>
      <w:tblGrid>
        <w:gridCol w:w="752"/>
        <w:gridCol w:w="1695"/>
        <w:gridCol w:w="7933"/>
      </w:tblGrid>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序号</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条款名称</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编列内容</w:t>
            </w:r>
          </w:p>
        </w:tc>
      </w:tr>
      <w:tr>
        <w:tblPrEx>
          <w:tblCellMar>
            <w:top w:w="0" w:type="dxa"/>
            <w:left w:w="108" w:type="dxa"/>
            <w:bottom w:w="0" w:type="dxa"/>
            <w:right w:w="108" w:type="dxa"/>
          </w:tblCellMar>
        </w:tblPrEx>
        <w:trPr>
          <w:trHeight w:val="72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5"/>
              </w:numPr>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项目名称</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lang w:eastAsia="zh-CN"/>
              </w:rPr>
              <w:t>细胞生长因子药物和蛋白制剂国家工程研究中心配套大分子cdmo公共服务平台研发中心（一期）装修工程超滤系统+中空纤维过滤系统采购项目</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5"/>
              </w:numPr>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项目编号</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default" w:ascii="宋体" w:hAnsi="宋体" w:eastAsia="宋体" w:cs="楷体"/>
                <w:color w:val="auto"/>
                <w:kern w:val="0"/>
                <w:sz w:val="22"/>
                <w:szCs w:val="22"/>
                <w:highlight w:val="none"/>
                <w:lang w:val="en-US" w:eastAsia="zh-CN"/>
              </w:rPr>
            </w:pPr>
            <w:r>
              <w:rPr>
                <w:rFonts w:hint="eastAsia" w:ascii="宋体" w:hAnsi="宋体" w:cs="楷体"/>
                <w:color w:val="auto"/>
                <w:sz w:val="22"/>
                <w:szCs w:val="22"/>
                <w:highlight w:val="none"/>
                <w:lang w:eastAsia="zh-CN"/>
              </w:rPr>
              <w:t>ZJTX2024013</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5"/>
              </w:numPr>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项目性质</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sz w:val="22"/>
                <w:szCs w:val="22"/>
                <w:highlight w:val="none"/>
              </w:rPr>
            </w:pPr>
            <w:r>
              <w:rPr>
                <w:rFonts w:hint="eastAsia" w:ascii="宋体" w:hAnsi="宋体" w:cs="楷体"/>
                <w:color w:val="auto"/>
                <w:sz w:val="22"/>
                <w:szCs w:val="22"/>
                <w:highlight w:val="none"/>
              </w:rPr>
              <w:t>国企采购（货物类）</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5"/>
              </w:numPr>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宋体"/>
                <w:color w:val="auto"/>
                <w:kern w:val="0"/>
                <w:sz w:val="22"/>
                <w:szCs w:val="22"/>
                <w:highlight w:val="none"/>
              </w:rPr>
              <w:t>采购组织类型</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sz w:val="22"/>
                <w:szCs w:val="22"/>
                <w:highlight w:val="none"/>
              </w:rPr>
            </w:pPr>
            <w:r>
              <w:rPr>
                <w:rFonts w:hint="eastAsia" w:ascii="宋体" w:hAnsi="宋体" w:cs="宋体"/>
                <w:color w:val="auto"/>
                <w:kern w:val="0"/>
                <w:sz w:val="22"/>
                <w:szCs w:val="22"/>
                <w:highlight w:val="none"/>
              </w:rPr>
              <w:t>分散采购-委托中介</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5"/>
              </w:numPr>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采购方式</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sz w:val="22"/>
                <w:szCs w:val="22"/>
                <w:highlight w:val="none"/>
              </w:rPr>
            </w:pPr>
            <w:r>
              <w:rPr>
                <w:rFonts w:hint="eastAsia" w:ascii="宋体" w:hAnsi="宋体"/>
                <w:color w:val="auto"/>
                <w:sz w:val="22"/>
                <w:szCs w:val="22"/>
                <w:highlight w:val="none"/>
                <w:lang w:val="zh-CN"/>
              </w:rPr>
              <w:t>竞争性磋商</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5"/>
              </w:numPr>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采购人</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采购人名称：温州市华睿生物医药有限公司</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采购人地址：温州市瓯海区经济开发区东方南路50号温州市国家大学科技园1号楼4楼</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联系人：张先生</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联系方式：0577-85780129</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5"/>
              </w:numPr>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采购代理机构</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代理机构名称：</w:t>
            </w:r>
            <w:r>
              <w:rPr>
                <w:rFonts w:hint="eastAsia" w:ascii="宋体" w:hAnsi="宋体" w:cs="楷体"/>
                <w:color w:val="auto"/>
                <w:kern w:val="0"/>
                <w:sz w:val="22"/>
                <w:szCs w:val="22"/>
                <w:highlight w:val="none"/>
                <w:lang w:eastAsia="zh-CN"/>
              </w:rPr>
              <w:t>浙江同信工程项目管理有限公司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代理机构地址：</w:t>
            </w:r>
            <w:r>
              <w:rPr>
                <w:rFonts w:hint="eastAsia" w:ascii="宋体" w:hAnsi="宋体" w:cs="楷体"/>
                <w:color w:val="auto"/>
                <w:kern w:val="0"/>
                <w:sz w:val="22"/>
                <w:szCs w:val="22"/>
                <w:highlight w:val="none"/>
                <w:lang w:eastAsia="zh-CN"/>
              </w:rPr>
              <w:t xml:space="preserve">温州市瓯海区娄桥街道中汇路81号瓯海总部经济园C2幢7楼 </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2"/>
                <w:szCs w:val="22"/>
                <w:highlight w:val="none"/>
                <w:lang w:val="en-US" w:eastAsia="zh-CN"/>
              </w:rPr>
            </w:pPr>
            <w:r>
              <w:rPr>
                <w:rFonts w:ascii="宋体" w:hAnsi="宋体" w:cs="宋体"/>
                <w:color w:val="auto"/>
                <w:kern w:val="0"/>
                <w:sz w:val="22"/>
                <w:szCs w:val="22"/>
                <w:highlight w:val="none"/>
              </w:rPr>
              <w:t>联系人：</w:t>
            </w:r>
            <w:r>
              <w:rPr>
                <w:rFonts w:hint="eastAsia" w:ascii="宋体" w:hAnsi="宋体" w:cs="宋体"/>
                <w:color w:val="auto"/>
                <w:kern w:val="0"/>
                <w:sz w:val="22"/>
                <w:szCs w:val="22"/>
                <w:highlight w:val="none"/>
                <w:lang w:eastAsia="zh-CN"/>
              </w:rPr>
              <w:t xml:space="preserve">许博文 </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olor w:val="auto"/>
                <w:highlight w:val="none"/>
                <w:lang w:eastAsia="zh-CN"/>
              </w:rPr>
            </w:pPr>
            <w:r>
              <w:rPr>
                <w:rFonts w:ascii="宋体" w:hAnsi="宋体" w:cs="宋体"/>
                <w:color w:val="auto"/>
                <w:kern w:val="0"/>
                <w:sz w:val="22"/>
                <w:szCs w:val="22"/>
                <w:highlight w:val="none"/>
              </w:rPr>
              <w:t>联系</w:t>
            </w:r>
            <w:r>
              <w:rPr>
                <w:rFonts w:hint="eastAsia" w:ascii="宋体" w:hAnsi="宋体" w:cs="宋体"/>
                <w:color w:val="auto"/>
                <w:kern w:val="0"/>
                <w:sz w:val="22"/>
                <w:szCs w:val="22"/>
                <w:highlight w:val="none"/>
              </w:rPr>
              <w:t>方式</w:t>
            </w:r>
            <w:r>
              <w:rPr>
                <w:rFonts w:ascii="宋体" w:hAnsi="宋体" w:cs="宋体"/>
                <w:color w:val="auto"/>
                <w:kern w:val="0"/>
                <w:sz w:val="22"/>
                <w:szCs w:val="22"/>
                <w:highlight w:val="none"/>
              </w:rPr>
              <w:t>：</w:t>
            </w:r>
            <w:r>
              <w:rPr>
                <w:rFonts w:hint="eastAsia" w:ascii="宋体" w:hAnsi="宋体" w:cs="宋体"/>
                <w:color w:val="auto"/>
                <w:kern w:val="0"/>
                <w:sz w:val="22"/>
                <w:szCs w:val="22"/>
                <w:highlight w:val="none"/>
                <w:lang w:eastAsia="zh-CN"/>
              </w:rPr>
              <w:t>0577-88757888、13868321239</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5"/>
              </w:numPr>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ascii="宋体" w:hAnsi="宋体"/>
                <w:color w:val="auto"/>
                <w:sz w:val="22"/>
                <w:szCs w:val="22"/>
                <w:highlight w:val="none"/>
                <w:lang w:val="zh-CN"/>
              </w:rPr>
              <w:t>供应商资格要求</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6"/>
              </w:numPr>
              <w:kinsoku/>
              <w:wordWrap/>
              <w:overflowPunct/>
              <w:topLinePunct w:val="0"/>
              <w:autoSpaceDE/>
              <w:autoSpaceDN/>
              <w:bidi w:val="0"/>
              <w:adjustRightInd/>
              <w:snapToGrid/>
              <w:spacing w:line="380" w:lineRule="exact"/>
              <w:ind w:left="357" w:hanging="357"/>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numPr>
                <w:ilvl w:val="0"/>
                <w:numId w:val="6"/>
              </w:numPr>
              <w:kinsoku/>
              <w:wordWrap/>
              <w:overflowPunct/>
              <w:topLinePunct w:val="0"/>
              <w:autoSpaceDE/>
              <w:autoSpaceDN/>
              <w:bidi w:val="0"/>
              <w:adjustRightInd/>
              <w:snapToGrid/>
              <w:spacing w:line="380" w:lineRule="exact"/>
              <w:ind w:left="357" w:hanging="357"/>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落实政府采购政策需满足的资格要求：无。</w:t>
            </w:r>
          </w:p>
          <w:p>
            <w:pPr>
              <w:keepNext w:val="0"/>
              <w:keepLines w:val="0"/>
              <w:pageBreakBefore w:val="0"/>
              <w:numPr>
                <w:ilvl w:val="0"/>
                <w:numId w:val="6"/>
              </w:numPr>
              <w:kinsoku/>
              <w:wordWrap/>
              <w:overflowPunct/>
              <w:topLinePunct w:val="0"/>
              <w:autoSpaceDE/>
              <w:autoSpaceDN/>
              <w:bidi w:val="0"/>
              <w:adjustRightInd/>
              <w:snapToGrid/>
              <w:spacing w:line="380" w:lineRule="exact"/>
              <w:ind w:left="357" w:hanging="357"/>
              <w:textAlignment w:val="auto"/>
              <w:rPr>
                <w:rFonts w:ascii="宋体" w:hAnsi="宋体" w:cs="宋体"/>
                <w:color w:val="auto"/>
                <w:kern w:val="0"/>
                <w:sz w:val="22"/>
                <w:szCs w:val="22"/>
                <w:highlight w:val="none"/>
              </w:rPr>
            </w:pPr>
            <w:r>
              <w:rPr>
                <w:rFonts w:hint="eastAsia" w:ascii="宋体" w:hAnsi="宋体" w:cs="楷体"/>
                <w:color w:val="auto"/>
                <w:kern w:val="0"/>
                <w:sz w:val="22"/>
                <w:szCs w:val="22"/>
                <w:highlight w:val="none"/>
              </w:rPr>
              <w:t>本项目的特定资格要求：无。</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5"/>
              </w:numPr>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是否接受联合体</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b/>
                <w:color w:val="auto"/>
                <w:kern w:val="0"/>
                <w:sz w:val="22"/>
                <w:szCs w:val="22"/>
                <w:highlight w:val="none"/>
              </w:rPr>
              <w:sym w:font="Wingdings" w:char="F0FE"/>
            </w:r>
            <w:r>
              <w:rPr>
                <w:rFonts w:hint="eastAsia" w:ascii="宋体" w:hAnsi="宋体" w:cs="楷体"/>
                <w:color w:val="auto"/>
                <w:kern w:val="0"/>
                <w:sz w:val="22"/>
                <w:szCs w:val="22"/>
                <w:highlight w:val="none"/>
              </w:rPr>
              <w:t>不接受</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5"/>
              </w:numPr>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Times New Roman"/>
                <w:color w:val="auto"/>
                <w:sz w:val="22"/>
                <w:szCs w:val="22"/>
                <w:highlight w:val="none"/>
                <w:lang w:val="zh-CN"/>
              </w:rPr>
              <w:t>限制</w:t>
            </w:r>
            <w:r>
              <w:rPr>
                <w:rFonts w:hint="eastAsia" w:ascii="宋体" w:hAnsi="宋体"/>
                <w:color w:val="auto"/>
                <w:sz w:val="22"/>
                <w:szCs w:val="22"/>
                <w:highlight w:val="none"/>
                <w:lang w:val="zh-CN"/>
              </w:rPr>
              <w:t>参加</w:t>
            </w:r>
            <w:r>
              <w:rPr>
                <w:rFonts w:hint="eastAsia" w:ascii="宋体" w:hAnsi="宋体" w:cs="Times New Roman"/>
                <w:color w:val="auto"/>
                <w:sz w:val="22"/>
                <w:szCs w:val="22"/>
                <w:highlight w:val="none"/>
                <w:lang w:val="zh-CN"/>
              </w:rPr>
              <w:t>说明</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ascii="宋体" w:hAnsi="宋体" w:cs="楷体"/>
                <w:color w:val="auto"/>
                <w:kern w:val="0"/>
                <w:sz w:val="22"/>
                <w:szCs w:val="22"/>
                <w:highlight w:val="none"/>
              </w:rPr>
              <w:t>1</w:t>
            </w:r>
            <w:r>
              <w:rPr>
                <w:rFonts w:hint="eastAsia" w:ascii="宋体" w:hAnsi="宋体" w:cs="楷体"/>
                <w:color w:val="auto"/>
                <w:kern w:val="0"/>
                <w:sz w:val="22"/>
                <w:szCs w:val="22"/>
                <w:highlight w:val="none"/>
              </w:rPr>
              <w:t>、为采购项目提供整体设计、规范编制或者项目管理、监理、检测等服务的供应商，不得再参加该采购项目的其他采购活动。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adjustRightInd/>
              <w:snapToGrid/>
              <w:spacing w:line="380" w:lineRule="exact"/>
              <w:textAlignment w:val="auto"/>
              <w:rPr>
                <w:color w:val="auto"/>
                <w:highlight w:val="none"/>
              </w:rPr>
            </w:pPr>
            <w:r>
              <w:rPr>
                <w:rFonts w:ascii="宋体" w:hAnsi="宋体" w:cs="楷体"/>
                <w:color w:val="auto"/>
                <w:kern w:val="0"/>
                <w:sz w:val="22"/>
                <w:szCs w:val="22"/>
                <w:highlight w:val="none"/>
              </w:rPr>
              <w:t>2</w:t>
            </w:r>
            <w:r>
              <w:rPr>
                <w:rFonts w:hint="eastAsia" w:ascii="宋体" w:hAnsi="宋体" w:cs="楷体"/>
                <w:color w:val="auto"/>
                <w:kern w:val="0"/>
                <w:sz w:val="22"/>
                <w:szCs w:val="22"/>
                <w:highlight w:val="none"/>
              </w:rPr>
              <w:t>、单位负责人为同一人或者存在直接控股、管理关系的不同供应商，不得参加同一合同项下的采购活动。</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cs="楷体"/>
                <w:color w:val="auto"/>
                <w:kern w:val="0"/>
                <w:sz w:val="22"/>
                <w:szCs w:val="22"/>
                <w:highlight w:val="none"/>
                <w:lang w:val="en-US" w:eastAsia="zh-CN"/>
              </w:rPr>
            </w:pPr>
            <w:r>
              <w:rPr>
                <w:rFonts w:hint="eastAsia" w:ascii="宋体" w:hAnsi="宋体" w:cs="楷体"/>
                <w:color w:val="auto"/>
                <w:kern w:val="0"/>
                <w:sz w:val="22"/>
                <w:szCs w:val="22"/>
                <w:highlight w:val="none"/>
                <w:lang w:val="en-US" w:eastAsia="zh-CN"/>
              </w:rPr>
              <w:t>11</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现场勘察</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ascii="宋体" w:hAnsi="宋体" w:cs="宋体"/>
                <w:color w:val="auto"/>
                <w:kern w:val="0"/>
                <w:sz w:val="22"/>
                <w:szCs w:val="22"/>
                <w:highlight w:val="none"/>
              </w:rPr>
            </w:pPr>
            <w:r>
              <w:rPr>
                <w:rFonts w:hint="eastAsia" w:ascii="宋体" w:hAnsi="宋体" w:cs="楷体"/>
                <w:b/>
                <w:bCs/>
                <w:color w:val="auto"/>
                <w:kern w:val="0"/>
                <w:sz w:val="22"/>
                <w:szCs w:val="22"/>
                <w:highlight w:val="none"/>
              </w:rPr>
              <w:sym w:font="Wingdings" w:char="F0FE"/>
            </w:r>
            <w:r>
              <w:rPr>
                <w:rFonts w:hint="eastAsia" w:ascii="宋体" w:hAnsi="宋体" w:cs="楷体"/>
                <w:color w:val="auto"/>
                <w:kern w:val="0"/>
                <w:sz w:val="22"/>
                <w:szCs w:val="22"/>
                <w:highlight w:val="none"/>
              </w:rPr>
              <w:t>不组织</w:t>
            </w:r>
            <w:r>
              <w:rPr>
                <w:rFonts w:ascii="宋体" w:hAnsi="宋体" w:cs="楷体"/>
                <w:color w:val="auto"/>
                <w:kern w:val="0"/>
                <w:sz w:val="22"/>
                <w:szCs w:val="22"/>
                <w:highlight w:val="none"/>
              </w:rPr>
              <w:t>，</w:t>
            </w:r>
            <w:r>
              <w:rPr>
                <w:rFonts w:hint="eastAsia" w:ascii="宋体" w:hAnsi="宋体" w:cs="楷体"/>
                <w:color w:val="auto"/>
                <w:kern w:val="0"/>
                <w:sz w:val="22"/>
                <w:szCs w:val="22"/>
                <w:highlight w:val="none"/>
              </w:rPr>
              <w:t>供应商如需进行现场勘察，可自行前往。</w:t>
            </w:r>
          </w:p>
        </w:tc>
      </w:tr>
      <w:tr>
        <w:tblPrEx>
          <w:tblCellMar>
            <w:top w:w="0" w:type="dxa"/>
            <w:left w:w="108" w:type="dxa"/>
            <w:bottom w:w="0" w:type="dxa"/>
            <w:right w:w="108" w:type="dxa"/>
          </w:tblCellMar>
        </w:tblPrEx>
        <w:trPr>
          <w:trHeight w:val="416"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12</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标前答疑会</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olor w:val="auto"/>
                <w:kern w:val="0"/>
                <w:szCs w:val="21"/>
                <w:highlight w:val="none"/>
              </w:rPr>
            </w:pPr>
            <w:r>
              <w:rPr>
                <w:rFonts w:hint="eastAsia" w:ascii="宋体" w:hAnsi="宋体" w:cs="楷体"/>
                <w:b/>
                <w:bCs/>
                <w:color w:val="auto"/>
                <w:kern w:val="0"/>
                <w:sz w:val="22"/>
                <w:szCs w:val="22"/>
                <w:highlight w:val="none"/>
              </w:rPr>
              <w:sym w:font="Wingdings" w:char="F0FE"/>
            </w:r>
            <w:r>
              <w:rPr>
                <w:rFonts w:hint="eastAsia" w:ascii="宋体" w:hAnsi="宋体" w:cs="楷体"/>
                <w:color w:val="auto"/>
                <w:kern w:val="0"/>
                <w:sz w:val="22"/>
                <w:szCs w:val="22"/>
                <w:highlight w:val="none"/>
              </w:rPr>
              <w:t>不召开</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13</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磋商保证金</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cs="楷体"/>
                <w:color w:val="auto"/>
                <w:kern w:val="0"/>
                <w:sz w:val="22"/>
                <w:szCs w:val="22"/>
                <w:highlight w:val="none"/>
              </w:rPr>
            </w:pPr>
            <w:r>
              <w:rPr>
                <w:rFonts w:hint="eastAsia" w:ascii="宋体" w:hAnsi="宋体" w:cs="楷体"/>
                <w:b/>
                <w:color w:val="auto"/>
                <w:kern w:val="0"/>
                <w:sz w:val="22"/>
                <w:szCs w:val="22"/>
                <w:highlight w:val="none"/>
              </w:rPr>
              <w:sym w:font="Wingdings" w:char="F0FE"/>
            </w:r>
            <w:r>
              <w:rPr>
                <w:rFonts w:hint="eastAsia" w:ascii="宋体" w:hAnsi="宋体" w:cs="楷体"/>
                <w:color w:val="auto"/>
                <w:kern w:val="0"/>
                <w:sz w:val="22"/>
                <w:szCs w:val="22"/>
                <w:highlight w:val="none"/>
              </w:rPr>
              <w:t>不收取</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14</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ascii="宋体" w:hAnsi="宋体" w:cs="楷体"/>
                <w:color w:val="auto"/>
                <w:kern w:val="0"/>
                <w:sz w:val="22"/>
                <w:szCs w:val="22"/>
                <w:highlight w:val="none"/>
              </w:rPr>
              <w:t>是否退还响应文件</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b/>
                <w:color w:val="auto"/>
                <w:kern w:val="0"/>
                <w:sz w:val="22"/>
                <w:szCs w:val="22"/>
                <w:highlight w:val="none"/>
              </w:rPr>
            </w:pPr>
            <w:r>
              <w:rPr>
                <w:rFonts w:hint="eastAsia" w:ascii="宋体" w:hAnsi="宋体" w:cs="楷体"/>
                <w:color w:val="auto"/>
                <w:kern w:val="0"/>
                <w:sz w:val="22"/>
                <w:szCs w:val="22"/>
                <w:highlight w:val="none"/>
              </w:rPr>
              <w:sym w:font="Wingdings" w:char="F0FE"/>
            </w:r>
            <w:r>
              <w:rPr>
                <w:rFonts w:hint="eastAsia" w:ascii="宋体" w:hAnsi="宋体" w:cs="楷体"/>
                <w:color w:val="auto"/>
                <w:kern w:val="0"/>
                <w:sz w:val="22"/>
                <w:szCs w:val="22"/>
                <w:highlight w:val="none"/>
              </w:rPr>
              <w:t>否，证书原件除外</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15</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磋商有效期</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响应文件自</w:t>
            </w:r>
            <w:r>
              <w:rPr>
                <w:rFonts w:ascii="宋体" w:hAnsi="宋体" w:cs="楷体"/>
                <w:color w:val="auto"/>
                <w:kern w:val="0"/>
                <w:sz w:val="22"/>
                <w:szCs w:val="22"/>
                <w:highlight w:val="none"/>
              </w:rPr>
              <w:t>响应文件递交截止时间</w:t>
            </w:r>
            <w:r>
              <w:rPr>
                <w:rFonts w:hint="eastAsia" w:ascii="宋体" w:hAnsi="宋体" w:cs="楷体"/>
                <w:color w:val="auto"/>
                <w:kern w:val="0"/>
                <w:sz w:val="22"/>
                <w:szCs w:val="22"/>
                <w:highlight w:val="none"/>
              </w:rPr>
              <w:t>起生效，有效期90天。</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16</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响应文件签章</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sym w:font="Wingdings" w:char="F0FE"/>
            </w:r>
            <w:r>
              <w:rPr>
                <w:rFonts w:hint="eastAsia" w:ascii="宋体" w:hAnsi="宋体" w:cs="楷体"/>
                <w:color w:val="auto"/>
                <w:kern w:val="0"/>
                <w:sz w:val="22"/>
                <w:szCs w:val="22"/>
                <w:highlight w:val="none"/>
              </w:rPr>
              <w:t>以下方式均可，下同。</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（1）电子签章</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（2）实体</w:t>
            </w:r>
            <w:r>
              <w:rPr>
                <w:rFonts w:ascii="宋体" w:hAnsi="宋体"/>
                <w:bCs/>
                <w:color w:val="auto"/>
                <w:sz w:val="22"/>
                <w:szCs w:val="22"/>
                <w:highlight w:val="none"/>
              </w:rPr>
              <w:t>签</w:t>
            </w:r>
            <w:r>
              <w:rPr>
                <w:rFonts w:hint="eastAsia" w:ascii="宋体" w:hAnsi="宋体" w:cs="楷体"/>
                <w:color w:val="auto"/>
                <w:kern w:val="0"/>
                <w:sz w:val="22"/>
                <w:szCs w:val="22"/>
                <w:highlight w:val="none"/>
              </w:rPr>
              <w:t>章，书面签署/盖章后扫描至电子响应文件中上传。</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17</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响应文件的形式</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b/>
                <w:snapToGrid w:val="0"/>
                <w:color w:val="auto"/>
                <w:sz w:val="22"/>
                <w:szCs w:val="22"/>
                <w:highlight w:val="none"/>
              </w:rPr>
              <w:sym w:font="Wingdings" w:char="F0FE"/>
            </w:r>
            <w:r>
              <w:rPr>
                <w:rFonts w:hint="eastAsia" w:ascii="宋体" w:hAnsi="宋体" w:cs="楷体"/>
                <w:color w:val="auto"/>
                <w:kern w:val="0"/>
                <w:sz w:val="22"/>
                <w:szCs w:val="22"/>
                <w:highlight w:val="none"/>
              </w:rPr>
              <w:t>电子响应文件（包括“电子加密响应文件”和“备份响应文件”，在响应文件编制完成后同时生成）；</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（1）“电子加密响应文件”是指通过“政采云电子交易客户端”完成响应文件编制后生成并加密的数据电文形式的响应文件。</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（2）“备份响应文件”是指与“电子加密响应文件”同时生成的数据电文形式的电子文件（备份标书），其他方式编制的备份响应文件视为无效备份响应文件。</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cs="楷体"/>
                <w:color w:val="auto"/>
                <w:kern w:val="0"/>
                <w:sz w:val="22"/>
                <w:szCs w:val="22"/>
                <w:highlight w:val="none"/>
                <w:lang w:val="en-US" w:eastAsia="zh-CN"/>
              </w:rPr>
            </w:pPr>
            <w:r>
              <w:rPr>
                <w:rFonts w:hint="eastAsia" w:ascii="宋体" w:hAnsi="宋体" w:cs="楷体"/>
                <w:color w:val="auto"/>
                <w:kern w:val="0"/>
                <w:sz w:val="22"/>
                <w:szCs w:val="22"/>
                <w:highlight w:val="none"/>
              </w:rPr>
              <w:t>18</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ascii="宋体" w:hAnsi="宋体" w:cs="楷体"/>
                <w:color w:val="auto"/>
                <w:kern w:val="0"/>
                <w:sz w:val="22"/>
                <w:szCs w:val="22"/>
                <w:highlight w:val="none"/>
              </w:rPr>
              <w:t>响应文件的份数</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（1）“电子加密响应文件”：在线上传递交、一份。</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（2）“备份响应文件”：自愿提交、一份。</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（3）</w:t>
            </w:r>
            <w:r>
              <w:rPr>
                <w:rFonts w:hint="eastAsia" w:ascii="宋体" w:hAnsi="宋体" w:cs="楷体"/>
                <w:b/>
                <w:color w:val="auto"/>
                <w:kern w:val="0"/>
                <w:sz w:val="22"/>
                <w:szCs w:val="22"/>
                <w:highlight w:val="none"/>
              </w:rPr>
              <w:t>供应商中标后提供以下资料给采购代理机构留底以作项目存档使用：①三套完整的纸质响应文件；②电子响应文件与纸质响应文件内容一致的承诺书。</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19</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响应文件的上传、递交</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（1）“电子加密响应文件”的上传、递交：</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a.供应商应在响应文件递交截止时间前将“电子加密响应文件”成功上传递交至“政府采购云平台”，否则</w:t>
            </w:r>
            <w:r>
              <w:rPr>
                <w:rFonts w:hint="eastAsia" w:ascii="宋体" w:hAnsi="宋体" w:cs="楷体"/>
                <w:b/>
                <w:bCs/>
                <w:color w:val="auto"/>
                <w:kern w:val="0"/>
                <w:sz w:val="22"/>
                <w:szCs w:val="22"/>
                <w:highlight w:val="none"/>
              </w:rPr>
              <w:t>视为撤回响应文件。</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b.“电子加密响应文件”成功上传递交后，供应商可自行打印响应文件接收回执。</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（2）“备份响应文件”的密封包装、递交：</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a.供应商在“政府采购云平台”完成“电子加密响应文件”的上传递交后，还可以（建议EMS或顺丰邮寄形式）在响应文件递交截止时间前递交以介质（U盘）存储的 “备份响应文件”（一份），递交至采购代理机构地址（地址详见磋商文件）；</w:t>
            </w:r>
            <w:r>
              <w:rPr>
                <w:rFonts w:hint="eastAsia" w:ascii="宋体" w:hAnsi="宋体" w:cs="楷体"/>
                <w:b/>
                <w:bCs/>
                <w:color w:val="auto"/>
                <w:kern w:val="0"/>
                <w:sz w:val="22"/>
                <w:szCs w:val="22"/>
                <w:highlight w:val="none"/>
              </w:rPr>
              <w:t>“备份响应文件”由供应商自愿提交，磋商文件不作强制性要求，但供应商仅递交了“备份响应文件”的，响应无效。</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b/>
                <w:color w:val="auto"/>
                <w:kern w:val="0"/>
                <w:sz w:val="22"/>
                <w:szCs w:val="22"/>
                <w:highlight w:val="none"/>
              </w:rPr>
            </w:pPr>
            <w:r>
              <w:rPr>
                <w:rFonts w:hint="eastAsia" w:ascii="宋体" w:hAnsi="宋体" w:cs="楷体"/>
                <w:color w:val="auto"/>
                <w:kern w:val="0"/>
                <w:sz w:val="22"/>
                <w:szCs w:val="22"/>
                <w:highlight w:val="none"/>
              </w:rPr>
              <w:t>b.“备份响应文件”应当密封包装，并在包装上标注项目名称、供应商名称并加盖公章。</w:t>
            </w:r>
            <w:r>
              <w:rPr>
                <w:rFonts w:hint="eastAsia" w:ascii="宋体" w:hAnsi="宋体" w:cs="楷体"/>
                <w:b/>
                <w:color w:val="auto"/>
                <w:kern w:val="0"/>
                <w:sz w:val="22"/>
                <w:szCs w:val="22"/>
                <w:highlight w:val="none"/>
              </w:rPr>
              <w:t>没有密封包装或者逾期送达的“备份响应文件”将不予接收，邮寄的以收到时间为准。</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c.通过“政府采购云平台”成功上传递交的“电子加密响应文件”已按时解密的，“备份响应文件”自动失效。</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20</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电子加密响应文件的解密和异常情况处理</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b/>
                <w:color w:val="auto"/>
                <w:kern w:val="0"/>
                <w:sz w:val="22"/>
                <w:szCs w:val="22"/>
                <w:highlight w:val="none"/>
              </w:rPr>
            </w:pPr>
            <w:r>
              <w:rPr>
                <w:rFonts w:hint="eastAsia" w:ascii="宋体" w:hAnsi="宋体" w:cs="楷体"/>
                <w:color w:val="auto"/>
                <w:kern w:val="0"/>
                <w:sz w:val="22"/>
                <w:szCs w:val="22"/>
                <w:highlight w:val="none"/>
              </w:rPr>
              <w:t>（1）</w:t>
            </w:r>
            <w:r>
              <w:rPr>
                <w:rFonts w:hint="eastAsia" w:ascii="宋体" w:hAnsi="宋体"/>
                <w:color w:val="auto"/>
                <w:sz w:val="22"/>
                <w:szCs w:val="22"/>
                <w:highlight w:val="none"/>
              </w:rPr>
              <w:t>响应文件递交截止时间后</w:t>
            </w:r>
            <w:r>
              <w:rPr>
                <w:rFonts w:hint="eastAsia" w:ascii="宋体" w:hAnsi="宋体" w:cs="楷体"/>
                <w:color w:val="auto"/>
                <w:kern w:val="0"/>
                <w:sz w:val="22"/>
                <w:szCs w:val="22"/>
                <w:highlight w:val="none"/>
              </w:rPr>
              <w:t>，采购代理机构将向各供应商发出“电子加密响应文件”的解密通知，</w:t>
            </w:r>
            <w:r>
              <w:rPr>
                <w:rFonts w:hint="eastAsia" w:ascii="宋体" w:hAnsi="宋体" w:cs="楷体"/>
                <w:b/>
                <w:color w:val="auto"/>
                <w:kern w:val="0"/>
                <w:sz w:val="22"/>
                <w:szCs w:val="22"/>
                <w:highlight w:val="none"/>
              </w:rPr>
              <w:t>各供应商代表应当在接到解密通知后</w:t>
            </w:r>
            <w:r>
              <w:rPr>
                <w:rFonts w:ascii="宋体" w:hAnsi="宋体" w:cs="楷体"/>
                <w:b/>
                <w:color w:val="auto"/>
                <w:kern w:val="0"/>
                <w:sz w:val="22"/>
                <w:szCs w:val="22"/>
                <w:highlight w:val="none"/>
              </w:rPr>
              <w:t>30分钟内</w:t>
            </w:r>
            <w:r>
              <w:rPr>
                <w:rFonts w:hint="eastAsia" w:ascii="宋体" w:hAnsi="宋体" w:cs="楷体"/>
                <w:b/>
                <w:color w:val="auto"/>
                <w:kern w:val="0"/>
                <w:sz w:val="22"/>
                <w:szCs w:val="22"/>
                <w:highlight w:val="none"/>
              </w:rPr>
              <w:t>自行完成“电子加密响应文件”的在线解密（解密电子响应文件必须插入CA，</w:t>
            </w:r>
            <w:r>
              <w:rPr>
                <w:rFonts w:hint="eastAsia" w:ascii="宋体" w:hAnsi="宋体" w:cs="楷体"/>
                <w:b/>
                <w:bCs/>
                <w:color w:val="auto"/>
                <w:kern w:val="0"/>
                <w:sz w:val="22"/>
                <w:szCs w:val="22"/>
                <w:highlight w:val="none"/>
              </w:rPr>
              <w:t>解密CA必须是上传并制作电子响应文件CA锁</w:t>
            </w:r>
            <w:r>
              <w:rPr>
                <w:rFonts w:hint="eastAsia" w:ascii="宋体" w:hAnsi="宋体" w:cs="楷体"/>
                <w:b/>
                <w:color w:val="auto"/>
                <w:kern w:val="0"/>
                <w:sz w:val="22"/>
                <w:szCs w:val="22"/>
                <w:highlight w:val="none"/>
              </w:rPr>
              <w:t>），如“政府采购云平台”中调整解密时间，按调整后的解密时间。</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b/>
                <w:color w:val="auto"/>
                <w:kern w:val="0"/>
                <w:sz w:val="22"/>
                <w:szCs w:val="22"/>
                <w:highlight w:val="none"/>
              </w:rPr>
            </w:pPr>
            <w:r>
              <w:rPr>
                <w:rFonts w:hint="eastAsia" w:ascii="宋体" w:hAnsi="宋体" w:cs="楷体"/>
                <w:color w:val="auto"/>
                <w:kern w:val="0"/>
                <w:sz w:val="22"/>
                <w:szCs w:val="22"/>
                <w:highlight w:val="none"/>
              </w:rPr>
              <w:t>（2）通过“政府采购云平台”成功上传递交的“电子加密响应文件”无法按时解密，供应商如按规定递交了“备份响应文件”的，以“备份响应文件”为依据（由采购代理机构按“政府采购云平台”操作规范将“备份响应文件”上传至“政府采购云平台”，上传成功后，“电子加密响应文件”自动失效），</w:t>
            </w:r>
            <w:r>
              <w:rPr>
                <w:rFonts w:hint="eastAsia" w:ascii="宋体" w:hAnsi="宋体" w:cs="楷体"/>
                <w:b/>
                <w:color w:val="auto"/>
                <w:kern w:val="0"/>
                <w:sz w:val="22"/>
                <w:szCs w:val="22"/>
                <w:highlight w:val="none"/>
              </w:rPr>
              <w:t>否则视为撤回响应文件。</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b/>
                <w:bCs/>
                <w:color w:val="auto"/>
                <w:kern w:val="0"/>
                <w:sz w:val="22"/>
                <w:szCs w:val="22"/>
                <w:highlight w:val="none"/>
              </w:rPr>
            </w:pPr>
            <w:r>
              <w:rPr>
                <w:rFonts w:hint="eastAsia" w:ascii="宋体" w:hAnsi="宋体" w:cs="楷体"/>
                <w:b/>
                <w:bCs/>
                <w:color w:val="auto"/>
                <w:kern w:val="0"/>
                <w:sz w:val="22"/>
                <w:szCs w:val="22"/>
                <w:highlight w:val="none"/>
              </w:rPr>
              <w:t>（3）未按规定递交合格“备份响应文件”的或递交的“备份响应文件”无法成功上传的，视为撤回响应文件。</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b/>
                <w:bCs/>
                <w:color w:val="auto"/>
                <w:kern w:val="0"/>
                <w:sz w:val="22"/>
                <w:szCs w:val="22"/>
                <w:highlight w:val="none"/>
              </w:rPr>
              <w:t>（4）在解密期限内供应商电子响应文件解密失败，且经异常处理后政采云电子交易系统仍未能解决的，政采云系统会默认供应商自动放弃，视为撤回响应文件。</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21</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ascii="宋体" w:hAnsi="宋体" w:cs="楷体"/>
                <w:color w:val="auto"/>
                <w:kern w:val="0"/>
                <w:sz w:val="22"/>
                <w:szCs w:val="22"/>
                <w:highlight w:val="none"/>
              </w:rPr>
              <w:t>响应文件递交截止时间及地点</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响应文件递交截止时间</w:t>
            </w:r>
            <w:r>
              <w:rPr>
                <w:rFonts w:ascii="宋体" w:hAnsi="宋体" w:cs="楷体"/>
                <w:color w:val="auto"/>
                <w:kern w:val="0"/>
                <w:sz w:val="22"/>
                <w:szCs w:val="22"/>
                <w:highlight w:val="none"/>
              </w:rPr>
              <w:t>：</w:t>
            </w:r>
            <w:r>
              <w:rPr>
                <w:rFonts w:hint="eastAsia" w:ascii="宋体" w:hAnsi="宋体"/>
                <w:color w:val="auto"/>
                <w:sz w:val="22"/>
                <w:szCs w:val="22"/>
                <w:highlight w:val="none"/>
              </w:rPr>
              <w:t>2024年</w:t>
            </w: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月</w:t>
            </w:r>
            <w:r>
              <w:rPr>
                <w:rFonts w:hint="eastAsia" w:ascii="宋体" w:hAnsi="宋体"/>
                <w:color w:val="auto"/>
                <w:sz w:val="22"/>
                <w:szCs w:val="22"/>
                <w:highlight w:val="none"/>
                <w:lang w:val="en-US" w:eastAsia="zh-CN"/>
              </w:rPr>
              <w:t>9</w:t>
            </w:r>
            <w:r>
              <w:rPr>
                <w:rFonts w:hint="eastAsia" w:ascii="宋体" w:hAnsi="宋体"/>
                <w:color w:val="auto"/>
                <w:sz w:val="22"/>
                <w:szCs w:val="22"/>
                <w:highlight w:val="none"/>
              </w:rPr>
              <w:t>日</w:t>
            </w:r>
            <w:r>
              <w:rPr>
                <w:rFonts w:hint="eastAsia" w:ascii="宋体" w:hAnsi="宋体"/>
                <w:color w:val="auto"/>
                <w:sz w:val="22"/>
                <w:szCs w:val="22"/>
                <w:highlight w:val="none"/>
                <w:lang w:eastAsia="zh-CN"/>
              </w:rPr>
              <w:t xml:space="preserve"> </w:t>
            </w:r>
            <w:r>
              <w:rPr>
                <w:rFonts w:hint="eastAsia" w:ascii="宋体" w:hAnsi="宋体"/>
                <w:color w:val="auto"/>
                <w:sz w:val="22"/>
                <w:szCs w:val="22"/>
                <w:highlight w:val="none"/>
                <w:lang w:eastAsia="zh-CN"/>
              </w:rPr>
              <w:t>09:30</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递交地点：</w:t>
            </w:r>
            <w:r>
              <w:rPr>
                <w:rFonts w:hint="eastAsia" w:ascii="宋体" w:hAnsi="宋体"/>
                <w:color w:val="auto"/>
                <w:sz w:val="22"/>
                <w:szCs w:val="22"/>
                <w:highlight w:val="none"/>
              </w:rPr>
              <w:t>通过“政府采购云平台（www.zcygov.cn）”在线递交。</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22</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olor w:val="auto"/>
                <w:sz w:val="22"/>
                <w:szCs w:val="22"/>
                <w:highlight w:val="none"/>
              </w:rPr>
              <w:t>响应文件</w:t>
            </w:r>
            <w:r>
              <w:rPr>
                <w:rFonts w:hint="eastAsia" w:ascii="宋体" w:hAnsi="宋体" w:cs="楷体"/>
                <w:color w:val="auto"/>
                <w:kern w:val="0"/>
                <w:sz w:val="22"/>
                <w:szCs w:val="22"/>
                <w:highlight w:val="none"/>
              </w:rPr>
              <w:t>开启时间</w:t>
            </w:r>
            <w:r>
              <w:rPr>
                <w:rFonts w:ascii="宋体" w:hAnsi="宋体" w:cs="楷体"/>
                <w:color w:val="auto"/>
                <w:kern w:val="0"/>
                <w:sz w:val="22"/>
                <w:szCs w:val="22"/>
                <w:highlight w:val="none"/>
              </w:rPr>
              <w:t>及地点</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olor w:val="auto"/>
                <w:sz w:val="22"/>
                <w:szCs w:val="22"/>
                <w:highlight w:val="none"/>
              </w:rPr>
              <w:t>响应文件</w:t>
            </w:r>
            <w:r>
              <w:rPr>
                <w:rFonts w:hint="eastAsia" w:ascii="宋体" w:hAnsi="宋体" w:cs="楷体"/>
                <w:color w:val="auto"/>
                <w:kern w:val="0"/>
                <w:sz w:val="22"/>
                <w:szCs w:val="22"/>
                <w:highlight w:val="none"/>
              </w:rPr>
              <w:t>开启时间：同响应文件递交截止时间</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地点：</w:t>
            </w:r>
            <w:r>
              <w:rPr>
                <w:rFonts w:hint="eastAsia" w:ascii="宋体" w:hAnsi="宋体" w:cs="楷体"/>
                <w:color w:val="auto"/>
                <w:kern w:val="0"/>
                <w:sz w:val="22"/>
                <w:szCs w:val="22"/>
                <w:highlight w:val="none"/>
                <w:lang w:eastAsia="zh-CN"/>
              </w:rPr>
              <w:t>浙江同信工程项目管理有限公司</w:t>
            </w:r>
            <w:r>
              <w:rPr>
                <w:rFonts w:hint="eastAsia" w:ascii="宋体" w:hAnsi="宋体" w:cs="楷体"/>
                <w:color w:val="auto"/>
                <w:kern w:val="0"/>
                <w:sz w:val="22"/>
                <w:szCs w:val="22"/>
                <w:highlight w:val="none"/>
              </w:rPr>
              <w:t>会议室（</w:t>
            </w:r>
            <w:r>
              <w:rPr>
                <w:rFonts w:hint="eastAsia" w:ascii="宋体" w:hAnsi="宋体" w:cs="楷体"/>
                <w:color w:val="auto"/>
                <w:kern w:val="0"/>
                <w:sz w:val="22"/>
                <w:szCs w:val="22"/>
                <w:highlight w:val="none"/>
                <w:lang w:eastAsia="zh-CN"/>
              </w:rPr>
              <w:t xml:space="preserve">温州市瓯海区娄桥街道中汇路81号瓯海总部经济园C2幢7楼 </w:t>
            </w:r>
            <w:r>
              <w:rPr>
                <w:rFonts w:hint="eastAsia" w:ascii="宋体" w:hAnsi="宋体" w:cs="楷体"/>
                <w:color w:val="auto"/>
                <w:kern w:val="0"/>
                <w:sz w:val="22"/>
                <w:szCs w:val="22"/>
                <w:highlight w:val="none"/>
              </w:rPr>
              <w:t>），通过“政府采购云平台（www.zcygov.cn）”线上开启。</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楷体"/>
                <w:color w:val="auto"/>
                <w:kern w:val="0"/>
                <w:sz w:val="22"/>
                <w:szCs w:val="22"/>
                <w:highlight w:val="none"/>
                <w:lang w:eastAsia="zh-CN"/>
              </w:rPr>
            </w:pPr>
            <w:r>
              <w:rPr>
                <w:rFonts w:hint="eastAsia" w:ascii="宋体" w:hAnsi="宋体" w:cs="楷体"/>
                <w:color w:val="auto"/>
                <w:kern w:val="0"/>
                <w:sz w:val="22"/>
                <w:szCs w:val="22"/>
                <w:highlight w:val="none"/>
              </w:rPr>
              <w:t>23</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磋商小组的组建</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ascii="宋体" w:hAnsi="宋体" w:cs="楷体"/>
                <w:color w:val="auto"/>
                <w:kern w:val="0"/>
                <w:sz w:val="22"/>
                <w:szCs w:val="22"/>
                <w:highlight w:val="none"/>
              </w:rPr>
              <w:t>磋商小组</w:t>
            </w:r>
            <w:r>
              <w:rPr>
                <w:rFonts w:hint="eastAsia" w:ascii="宋体" w:hAnsi="宋体" w:cs="楷体"/>
                <w:color w:val="auto"/>
                <w:kern w:val="0"/>
                <w:sz w:val="22"/>
                <w:szCs w:val="22"/>
                <w:highlight w:val="none"/>
              </w:rPr>
              <w:t>构成：3人及3人以上单数。</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olor w:val="auto"/>
                <w:sz w:val="22"/>
                <w:szCs w:val="22"/>
                <w:highlight w:val="none"/>
              </w:rPr>
            </w:pPr>
            <w:r>
              <w:rPr>
                <w:rFonts w:hint="eastAsia" w:ascii="宋体" w:hAnsi="宋体" w:cs="楷体"/>
                <w:color w:val="auto"/>
                <w:kern w:val="0"/>
                <w:sz w:val="22"/>
                <w:szCs w:val="22"/>
                <w:highlight w:val="none"/>
              </w:rPr>
              <w:t>评审</w:t>
            </w:r>
            <w:r>
              <w:rPr>
                <w:rFonts w:ascii="宋体" w:hAnsi="宋体" w:cs="楷体"/>
                <w:color w:val="auto"/>
                <w:kern w:val="0"/>
                <w:sz w:val="22"/>
                <w:szCs w:val="22"/>
                <w:highlight w:val="none"/>
              </w:rPr>
              <w:t>专家确定方式</w:t>
            </w:r>
            <w:r>
              <w:rPr>
                <w:rFonts w:hint="eastAsia" w:ascii="宋体" w:hAnsi="宋体" w:cs="楷体"/>
                <w:color w:val="auto"/>
                <w:kern w:val="0"/>
                <w:sz w:val="22"/>
                <w:szCs w:val="22"/>
                <w:highlight w:val="none"/>
              </w:rPr>
              <w:t>：按规定组建。</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olor w:val="auto"/>
                <w:sz w:val="22"/>
                <w:szCs w:val="22"/>
                <w:highlight w:val="none"/>
                <w:lang w:eastAsia="zh-CN"/>
              </w:rPr>
            </w:pPr>
            <w:r>
              <w:rPr>
                <w:rFonts w:hint="eastAsia" w:ascii="宋体" w:hAnsi="宋体" w:cs="楷体"/>
                <w:color w:val="auto"/>
                <w:kern w:val="0"/>
                <w:sz w:val="22"/>
                <w:szCs w:val="22"/>
                <w:highlight w:val="none"/>
              </w:rPr>
              <w:t>24</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采购信息发布媒体（以下简称为：“指定媒体”）</w:t>
            </w:r>
          </w:p>
        </w:tc>
        <w:tc>
          <w:tcPr>
            <w:tcW w:w="793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ascii="宋体" w:hAnsi="宋体" w:cs="楷体"/>
                <w:color w:val="auto"/>
                <w:kern w:val="0"/>
                <w:sz w:val="22"/>
                <w:szCs w:val="22"/>
                <w:highlight w:val="none"/>
              </w:rPr>
              <w:t>1</w:t>
            </w:r>
            <w:r>
              <w:rPr>
                <w:rFonts w:hint="eastAsia" w:ascii="宋体" w:hAnsi="宋体" w:cs="楷体"/>
                <w:color w:val="auto"/>
                <w:kern w:val="0"/>
                <w:sz w:val="22"/>
                <w:szCs w:val="22"/>
                <w:highlight w:val="none"/>
              </w:rPr>
              <w:t>、本项目的有关信息，包括但不限于：采购公告、更正公告（若有）、磋商文件、磋商文件的澄清（修改）（若有）、中标（或成交）公告、终止公告（若有）、废标公告（若有）等都将在磋商文件载明的指定媒体发布。</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b/>
                <w:color w:val="auto"/>
                <w:sz w:val="22"/>
                <w:szCs w:val="22"/>
                <w:highlight w:val="none"/>
              </w:rPr>
            </w:pPr>
            <w:r>
              <w:rPr>
                <w:rFonts w:ascii="宋体" w:hAnsi="宋体" w:cs="楷体"/>
                <w:color w:val="auto"/>
                <w:kern w:val="0"/>
                <w:sz w:val="22"/>
                <w:szCs w:val="22"/>
                <w:highlight w:val="none"/>
              </w:rPr>
              <w:t>2</w:t>
            </w:r>
            <w:r>
              <w:rPr>
                <w:rFonts w:hint="eastAsia" w:ascii="宋体" w:hAnsi="宋体" w:cs="楷体"/>
                <w:color w:val="auto"/>
                <w:kern w:val="0"/>
                <w:sz w:val="22"/>
                <w:szCs w:val="22"/>
                <w:highlight w:val="none"/>
              </w:rPr>
              <w:t>、指定媒体：浙江政府采购网，网址</w:t>
            </w:r>
            <w:r>
              <w:rPr>
                <w:color w:val="auto"/>
                <w:highlight w:val="none"/>
              </w:rPr>
              <w:fldChar w:fldCharType="begin"/>
            </w:r>
            <w:r>
              <w:rPr>
                <w:color w:val="auto"/>
                <w:highlight w:val="none"/>
              </w:rPr>
              <w:instrText xml:space="preserve"> HYPERLINK "http://zfcg.czt.zj.gov.cn/" </w:instrText>
            </w:r>
            <w:r>
              <w:rPr>
                <w:color w:val="auto"/>
                <w:highlight w:val="none"/>
              </w:rPr>
              <w:fldChar w:fldCharType="separate"/>
            </w:r>
            <w:r>
              <w:rPr>
                <w:rFonts w:ascii="宋体" w:hAnsi="宋体" w:cs="楷体"/>
                <w:color w:val="auto"/>
                <w:kern w:val="0"/>
                <w:sz w:val="22"/>
                <w:szCs w:val="22"/>
                <w:highlight w:val="none"/>
              </w:rPr>
              <w:t>zfcg.czt.zj.gov.cn</w:t>
            </w:r>
            <w:r>
              <w:rPr>
                <w:rFonts w:ascii="宋体" w:hAnsi="宋体" w:cs="楷体"/>
                <w:color w:val="auto"/>
                <w:kern w:val="0"/>
                <w:sz w:val="22"/>
                <w:szCs w:val="22"/>
                <w:highlight w:val="none"/>
              </w:rPr>
              <w:fldChar w:fldCharType="end"/>
            </w:r>
            <w:r>
              <w:rPr>
                <w:rFonts w:hint="eastAsia" w:ascii="宋体" w:hAnsi="宋体" w:cs="楷体"/>
                <w:color w:val="auto"/>
                <w:kern w:val="0"/>
                <w:sz w:val="22"/>
                <w:szCs w:val="22"/>
                <w:highlight w:val="none"/>
              </w:rPr>
              <w:t>。</w:t>
            </w:r>
          </w:p>
        </w:tc>
      </w:tr>
      <w:tr>
        <w:tblPrEx>
          <w:tblCellMar>
            <w:top w:w="0" w:type="dxa"/>
            <w:left w:w="108" w:type="dxa"/>
            <w:bottom w:w="0" w:type="dxa"/>
            <w:right w:w="108" w:type="dxa"/>
          </w:tblCellMar>
        </w:tblPrEx>
        <w:trPr>
          <w:trHeight w:val="54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cs="Arial"/>
                <w:color w:val="auto"/>
                <w:kern w:val="2"/>
                <w:sz w:val="22"/>
                <w:szCs w:val="22"/>
                <w:highlight w:val="none"/>
                <w:lang w:val="en-US" w:eastAsia="zh-CN" w:bidi="ar-SA"/>
              </w:rPr>
            </w:pPr>
            <w:r>
              <w:rPr>
                <w:rFonts w:hint="eastAsia" w:ascii="宋体" w:hAnsi="宋体" w:cs="楷体"/>
                <w:color w:val="auto"/>
                <w:kern w:val="0"/>
                <w:sz w:val="22"/>
                <w:szCs w:val="22"/>
                <w:highlight w:val="none"/>
              </w:rPr>
              <w:t>25</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楷体"/>
                <w:color w:val="auto"/>
                <w:kern w:val="0"/>
                <w:sz w:val="22"/>
                <w:szCs w:val="22"/>
                <w:highlight w:val="none"/>
                <w:lang w:val="en-US" w:eastAsia="zh-CN" w:bidi="ar-SA"/>
              </w:rPr>
            </w:pPr>
            <w:r>
              <w:rPr>
                <w:rFonts w:hint="eastAsia" w:ascii="宋体" w:hAnsi="宋体" w:cs="楷体"/>
                <w:color w:val="auto"/>
                <w:kern w:val="0"/>
                <w:sz w:val="22"/>
                <w:szCs w:val="22"/>
                <w:highlight w:val="none"/>
              </w:rPr>
              <w:t>其他说明</w:t>
            </w:r>
          </w:p>
        </w:tc>
        <w:tc>
          <w:tcPr>
            <w:tcW w:w="7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1、采购公告、磋商文件中如有前后不一致的，一律以本“供应商须知前附表”为准。</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2、本磋商文件涉及的时间为“北京时间”。</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3、本磋商文件涉及的货币为“人民币”。</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4、本磋商文件的解释权属于采购人及采购代理机构。</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b/>
                <w:color w:val="auto"/>
                <w:sz w:val="22"/>
                <w:szCs w:val="22"/>
                <w:highlight w:val="none"/>
              </w:rPr>
            </w:pPr>
            <w:r>
              <w:rPr>
                <w:rFonts w:hint="eastAsia" w:ascii="宋体" w:hAnsi="宋体" w:cs="楷体"/>
                <w:color w:val="auto"/>
                <w:kern w:val="0"/>
                <w:sz w:val="22"/>
                <w:szCs w:val="22"/>
                <w:highlight w:val="none"/>
              </w:rPr>
              <w:t>5、</w:t>
            </w:r>
            <w:r>
              <w:rPr>
                <w:rFonts w:ascii="宋体" w:hAnsi="宋体"/>
                <w:b/>
                <w:color w:val="auto"/>
                <w:sz w:val="22"/>
                <w:szCs w:val="22"/>
                <w:highlight w:val="none"/>
              </w:rPr>
              <w:t>中标</w:t>
            </w:r>
            <w:r>
              <w:rPr>
                <w:rFonts w:hint="eastAsia" w:ascii="宋体" w:hAnsi="宋体"/>
                <w:b/>
                <w:color w:val="auto"/>
                <w:sz w:val="22"/>
                <w:szCs w:val="22"/>
                <w:highlight w:val="none"/>
              </w:rPr>
              <w:t>（</w:t>
            </w:r>
            <w:r>
              <w:rPr>
                <w:rFonts w:ascii="宋体" w:hAnsi="宋体"/>
                <w:b/>
                <w:color w:val="auto"/>
                <w:sz w:val="22"/>
                <w:szCs w:val="22"/>
                <w:highlight w:val="none"/>
              </w:rPr>
              <w:t>成交</w:t>
            </w:r>
            <w:r>
              <w:rPr>
                <w:rFonts w:hint="eastAsia" w:ascii="宋体" w:hAnsi="宋体"/>
                <w:b/>
                <w:color w:val="auto"/>
                <w:sz w:val="22"/>
                <w:szCs w:val="22"/>
                <w:highlight w:val="none"/>
              </w:rPr>
              <w:t>）</w:t>
            </w:r>
            <w:r>
              <w:rPr>
                <w:rFonts w:ascii="宋体" w:hAnsi="宋体"/>
                <w:b/>
                <w:color w:val="auto"/>
                <w:sz w:val="22"/>
                <w:szCs w:val="22"/>
                <w:highlight w:val="none"/>
              </w:rPr>
              <w:t>供应商</w:t>
            </w:r>
            <w:r>
              <w:rPr>
                <w:rFonts w:hint="eastAsia" w:ascii="宋体" w:hAnsi="宋体"/>
                <w:b/>
                <w:color w:val="auto"/>
                <w:sz w:val="22"/>
                <w:szCs w:val="22"/>
                <w:highlight w:val="none"/>
              </w:rPr>
              <w:t>须在合同签订后两个工作日内将合同扫描件电子版发给采购代理机构备案（邮箱：895900692@qq.com），否则会影响合同款的支付；</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b/>
                <w:color w:val="auto"/>
                <w:sz w:val="22"/>
                <w:szCs w:val="22"/>
                <w:highlight w:val="none"/>
              </w:rPr>
            </w:pPr>
            <w:r>
              <w:rPr>
                <w:rFonts w:hint="eastAsia" w:ascii="宋体" w:hAnsi="宋体"/>
                <w:color w:val="auto"/>
                <w:sz w:val="22"/>
                <w:szCs w:val="22"/>
                <w:highlight w:val="none"/>
              </w:rPr>
              <w:t>6、</w:t>
            </w:r>
            <w:r>
              <w:rPr>
                <w:rFonts w:hint="eastAsia" w:ascii="宋体" w:hAnsi="宋体"/>
                <w:b/>
                <w:color w:val="auto"/>
                <w:sz w:val="22"/>
                <w:szCs w:val="22"/>
                <w:highlight w:val="none"/>
              </w:rPr>
              <w:t>政采云公司如对“政府采购项目电子交易管理操作”有调整的，按调整后的说明操作。</w:t>
            </w:r>
          </w:p>
          <w:p>
            <w:pPr>
              <w:keepNext w:val="0"/>
              <w:keepLines w:val="0"/>
              <w:pageBreakBefore w:val="0"/>
              <w:kinsoku/>
              <w:wordWrap/>
              <w:overflowPunct/>
              <w:topLinePunct w:val="0"/>
              <w:autoSpaceDE/>
              <w:autoSpaceDN/>
              <w:bidi w:val="0"/>
              <w:adjustRightInd/>
              <w:snapToGrid/>
              <w:spacing w:line="380" w:lineRule="exact"/>
              <w:textAlignment w:val="auto"/>
              <w:rPr>
                <w:rFonts w:ascii="宋体" w:hAnsi="宋体" w:eastAsia="宋体" w:cs="Arial"/>
                <w:b/>
                <w:color w:val="auto"/>
                <w:kern w:val="2"/>
                <w:sz w:val="22"/>
                <w:szCs w:val="22"/>
                <w:highlight w:val="none"/>
                <w:lang w:val="en-US" w:eastAsia="zh-CN" w:bidi="ar-SA"/>
              </w:rPr>
            </w:pPr>
            <w:r>
              <w:rPr>
                <w:rFonts w:hint="eastAsia" w:ascii="宋体" w:hAnsi="宋体"/>
                <w:b/>
                <w:color w:val="auto"/>
                <w:sz w:val="22"/>
                <w:szCs w:val="22"/>
                <w:highlight w:val="none"/>
              </w:rPr>
              <w:t>7、本项目仅提供电子版磋商文件，电子版磋商文件</w:t>
            </w:r>
            <w:r>
              <w:rPr>
                <w:rFonts w:ascii="宋体" w:hAnsi="宋体"/>
                <w:b/>
                <w:color w:val="auto"/>
                <w:sz w:val="22"/>
                <w:szCs w:val="22"/>
                <w:highlight w:val="none"/>
              </w:rPr>
              <w:t>与纸质版</w:t>
            </w:r>
            <w:r>
              <w:rPr>
                <w:rFonts w:hint="eastAsia" w:ascii="宋体" w:hAnsi="宋体"/>
                <w:b/>
                <w:color w:val="auto"/>
                <w:sz w:val="22"/>
                <w:szCs w:val="22"/>
                <w:highlight w:val="none"/>
              </w:rPr>
              <w:t>磋商文件</w:t>
            </w:r>
            <w:r>
              <w:rPr>
                <w:rFonts w:ascii="宋体" w:hAnsi="宋体"/>
                <w:b/>
                <w:color w:val="auto"/>
                <w:sz w:val="22"/>
                <w:szCs w:val="22"/>
                <w:highlight w:val="none"/>
              </w:rPr>
              <w:t>具有同等效力</w:t>
            </w:r>
            <w:r>
              <w:rPr>
                <w:rFonts w:hint="eastAsia" w:ascii="宋体" w:hAnsi="宋体"/>
                <w:b/>
                <w:color w:val="auto"/>
                <w:sz w:val="22"/>
                <w:szCs w:val="22"/>
                <w:highlight w:val="none"/>
              </w:rPr>
              <w:t>。</w:t>
            </w:r>
          </w:p>
        </w:tc>
      </w:tr>
    </w:tbl>
    <w:p>
      <w:pPr>
        <w:pStyle w:val="6"/>
        <w:spacing w:line="400" w:lineRule="exact"/>
        <w:jc w:val="center"/>
        <w:rPr>
          <w:rFonts w:ascii="宋体" w:hAnsi="宋体" w:eastAsia="宋体" w:cs="Courier New"/>
          <w:color w:val="auto"/>
          <w:highlight w:val="none"/>
        </w:rPr>
      </w:pPr>
      <w:r>
        <w:rPr>
          <w:rFonts w:ascii="宋体" w:hAnsi="宋体" w:eastAsia="宋体" w:cs="Courier New"/>
          <w:color w:val="auto"/>
          <w:highlight w:val="none"/>
          <w:lang w:val="en-US"/>
        </w:rPr>
        <w:br w:type="page"/>
      </w:r>
      <w:bookmarkStart w:id="32" w:name="_Toc18484"/>
      <w:bookmarkStart w:id="33" w:name="_Toc26114"/>
      <w:bookmarkStart w:id="34" w:name="_Toc15078"/>
      <w:r>
        <w:rPr>
          <w:rFonts w:hint="eastAsia" w:ascii="宋体" w:hAnsi="宋体" w:eastAsia="宋体" w:cs="Courier New"/>
          <w:color w:val="auto"/>
          <w:highlight w:val="none"/>
        </w:rPr>
        <w:t>一、 说明</w:t>
      </w:r>
      <w:bookmarkEnd w:id="20"/>
      <w:bookmarkEnd w:id="21"/>
      <w:bookmarkEnd w:id="22"/>
      <w:bookmarkEnd w:id="23"/>
      <w:bookmarkEnd w:id="24"/>
      <w:bookmarkEnd w:id="25"/>
      <w:bookmarkEnd w:id="26"/>
      <w:bookmarkEnd w:id="27"/>
      <w:bookmarkEnd w:id="28"/>
      <w:bookmarkEnd w:id="29"/>
      <w:bookmarkEnd w:id="32"/>
      <w:bookmarkEnd w:id="33"/>
      <w:bookmarkEnd w:id="34"/>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适用范围：适用于磋商文件载明项目的国企采购活动（以下简称：“本次采购活动”）。</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采购人、采购代理机构：见供应商须知前附表。</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ascii="宋体" w:hAnsi="宋体" w:cs="Courier New"/>
          <w:color w:val="auto"/>
          <w:sz w:val="22"/>
          <w:szCs w:val="22"/>
          <w:highlight w:val="none"/>
        </w:rPr>
        <w:t>潜在供应商</w:t>
      </w:r>
      <w:r>
        <w:rPr>
          <w:rFonts w:hint="eastAsia" w:ascii="宋体" w:hAnsi="宋体" w:cs="Courier New"/>
          <w:color w:val="auto"/>
          <w:sz w:val="22"/>
          <w:szCs w:val="22"/>
          <w:highlight w:val="none"/>
        </w:rPr>
        <w:t>：</w:t>
      </w:r>
      <w:r>
        <w:rPr>
          <w:rFonts w:ascii="宋体" w:hAnsi="宋体" w:cs="Courier New"/>
          <w:color w:val="auto"/>
          <w:sz w:val="22"/>
          <w:szCs w:val="22"/>
          <w:highlight w:val="none"/>
        </w:rPr>
        <w:t>有意向参加本项目响应磋商的供应商。</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供应商：是从采购代理机构处按规定获取磋商文件，并按照磋商文件提交响应文件</w:t>
      </w:r>
      <w:r>
        <w:rPr>
          <w:rFonts w:ascii="宋体" w:hAnsi="宋体" w:cs="Courier New"/>
          <w:color w:val="auto"/>
          <w:sz w:val="22"/>
          <w:szCs w:val="22"/>
          <w:highlight w:val="none"/>
        </w:rPr>
        <w:t>的法人、其他组织</w:t>
      </w:r>
      <w:r>
        <w:rPr>
          <w:rFonts w:hint="eastAsia" w:ascii="宋体" w:hAnsi="宋体" w:cs="Courier New"/>
          <w:color w:val="auto"/>
          <w:sz w:val="22"/>
          <w:szCs w:val="22"/>
          <w:highlight w:val="none"/>
        </w:rPr>
        <w:t>。</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ascii="宋体" w:hAnsi="宋体" w:cs="Courier New"/>
          <w:color w:val="auto"/>
          <w:sz w:val="22"/>
          <w:szCs w:val="22"/>
          <w:highlight w:val="none"/>
        </w:rPr>
        <w:t>供应商代表</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cs="Courier New"/>
          <w:color w:val="auto"/>
          <w:sz w:val="22"/>
          <w:szCs w:val="22"/>
          <w:highlight w:val="none"/>
        </w:rPr>
      </w:pPr>
      <w:r>
        <w:rPr>
          <w:rFonts w:ascii="宋体" w:hAnsi="宋体" w:cs="Courier New"/>
          <w:color w:val="auto"/>
          <w:sz w:val="22"/>
          <w:szCs w:val="22"/>
          <w:highlight w:val="none"/>
        </w:rPr>
        <w:t>指全权代表供应商参加</w:t>
      </w:r>
      <w:r>
        <w:rPr>
          <w:rFonts w:hint="eastAsia" w:ascii="宋体" w:hAnsi="宋体" w:cs="Courier New"/>
          <w:color w:val="auto"/>
          <w:sz w:val="22"/>
          <w:szCs w:val="22"/>
          <w:highlight w:val="none"/>
        </w:rPr>
        <w:t>本次采购</w:t>
      </w:r>
      <w:r>
        <w:rPr>
          <w:rFonts w:ascii="宋体" w:hAnsi="宋体" w:cs="Courier New"/>
          <w:color w:val="auto"/>
          <w:sz w:val="22"/>
          <w:szCs w:val="22"/>
          <w:highlight w:val="none"/>
        </w:rPr>
        <w:t>活动并签署响应文件的人。如果供应商代表不是单位负责人，须持有《单位负责人授权书》。</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“单位负责人”指单位</w:t>
      </w:r>
      <w:bookmarkStart w:id="35" w:name="_Hlk9192993"/>
      <w:r>
        <w:rPr>
          <w:rFonts w:hint="eastAsia" w:ascii="宋体" w:hAnsi="宋体" w:cs="Courier New"/>
          <w:color w:val="auto"/>
          <w:sz w:val="22"/>
          <w:szCs w:val="22"/>
          <w:highlight w:val="none"/>
        </w:rPr>
        <w:t>法定代表人</w:t>
      </w:r>
      <w:bookmarkEnd w:id="35"/>
      <w:r>
        <w:rPr>
          <w:rFonts w:hint="eastAsia" w:ascii="宋体" w:hAnsi="宋体" w:cs="Courier New"/>
          <w:color w:val="auto"/>
          <w:sz w:val="22"/>
          <w:szCs w:val="22"/>
          <w:highlight w:val="none"/>
        </w:rPr>
        <w:t>或法律、法规规定代表单位行使职权的主要负责人。</w:t>
      </w:r>
    </w:p>
    <w:p>
      <w:pPr>
        <w:keepNext w:val="0"/>
        <w:keepLines w:val="0"/>
        <w:pageBreakBefore w:val="0"/>
        <w:widowControl w:val="0"/>
        <w:kinsoku/>
        <w:wordWrap/>
        <w:overflowPunct/>
        <w:topLinePunct w:val="0"/>
        <w:autoSpaceDE/>
        <w:autoSpaceDN/>
        <w:bidi w:val="0"/>
        <w:adjustRightInd/>
        <w:snapToGrid/>
        <w:spacing w:line="440" w:lineRule="exact"/>
        <w:ind w:left="630" w:leftChars="300"/>
        <w:textAlignment w:val="auto"/>
        <w:rPr>
          <w:rFonts w:ascii="宋体" w:hAnsi="宋体"/>
          <w:color w:val="auto"/>
          <w:sz w:val="22"/>
          <w:szCs w:val="22"/>
          <w:highlight w:val="none"/>
        </w:rPr>
      </w:pPr>
      <w:r>
        <w:rPr>
          <w:rFonts w:hint="eastAsia" w:ascii="宋体" w:hAnsi="宋体"/>
          <w:color w:val="auto"/>
          <w:sz w:val="22"/>
          <w:szCs w:val="22"/>
          <w:highlight w:val="none"/>
        </w:rPr>
        <w:t>①</w:t>
      </w:r>
      <w:r>
        <w:rPr>
          <w:rFonts w:hint="eastAsia" w:ascii="宋体" w:hAnsi="宋体"/>
          <w:color w:val="auto"/>
          <w:sz w:val="22"/>
          <w:szCs w:val="22"/>
          <w:highlight w:val="none"/>
          <w:u w:val="single"/>
        </w:rPr>
        <w:t>企业（银行、保险、石油石化、电力、电信等行业除外）、事业单位和社会团体法人的“单位负责人”指法定代表人</w:t>
      </w:r>
      <w:r>
        <w:rPr>
          <w:rFonts w:hint="eastAsia" w:ascii="宋体" w:hAnsi="宋体"/>
          <w:color w:val="auto"/>
          <w:sz w:val="22"/>
          <w:szCs w:val="22"/>
          <w:highlight w:val="none"/>
        </w:rPr>
        <w:t xml:space="preserve">，即与实际提交的“营业执照等证明文件”载明的一致。 </w:t>
      </w:r>
    </w:p>
    <w:p>
      <w:pPr>
        <w:keepNext w:val="0"/>
        <w:keepLines w:val="0"/>
        <w:pageBreakBefore w:val="0"/>
        <w:widowControl w:val="0"/>
        <w:kinsoku/>
        <w:wordWrap/>
        <w:overflowPunct/>
        <w:topLinePunct w:val="0"/>
        <w:autoSpaceDE/>
        <w:autoSpaceDN/>
        <w:bidi w:val="0"/>
        <w:adjustRightInd/>
        <w:snapToGrid/>
        <w:spacing w:line="440" w:lineRule="exact"/>
        <w:ind w:left="630" w:leftChars="300"/>
        <w:textAlignment w:val="auto"/>
        <w:rPr>
          <w:rFonts w:ascii="宋体" w:hAnsi="宋体"/>
          <w:color w:val="auto"/>
          <w:sz w:val="22"/>
          <w:szCs w:val="22"/>
          <w:highlight w:val="none"/>
        </w:rPr>
      </w:pPr>
      <w:r>
        <w:rPr>
          <w:rFonts w:hint="eastAsia" w:ascii="宋体" w:hAnsi="宋体"/>
          <w:color w:val="auto"/>
          <w:sz w:val="22"/>
          <w:szCs w:val="22"/>
          <w:highlight w:val="none"/>
        </w:rPr>
        <w:t>②银行、保险、石油石化、电力、电信等行业：以法人身份参加采购活动的，“单位负责人”指法定代表人，即与实际提交的“营业执照等证明文件”载明的一致；以非法人身份参加采购活动的，“单位负责人”指代表单位行使职权的主要负责人，即与实际提交的“营业执照等证明文件”载明的一致。</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bookmarkStart w:id="36" w:name="_Toc227056847"/>
      <w:bookmarkStart w:id="37" w:name="_Toc215415531"/>
      <w:bookmarkStart w:id="38" w:name="_Toc207609182"/>
      <w:bookmarkStart w:id="39" w:name="_Toc227057034"/>
      <w:bookmarkStart w:id="40" w:name="_Toc209261433"/>
      <w:bookmarkStart w:id="41" w:name="_Toc218041727"/>
      <w:bookmarkStart w:id="42" w:name="_Toc210879709"/>
      <w:bookmarkStart w:id="43" w:name="_Toc227489888"/>
      <w:bookmarkStart w:id="44" w:name="_Toc209251128"/>
      <w:bookmarkStart w:id="45" w:name="_Toc205005287"/>
      <w:bookmarkStart w:id="46" w:name="_Toc214365791"/>
      <w:bookmarkStart w:id="47" w:name="_Toc204491318"/>
      <w:bookmarkStart w:id="48" w:name="_Toc209261366"/>
      <w:bookmarkStart w:id="49" w:name="_Toc223933222"/>
      <w:bookmarkStart w:id="50" w:name="_Toc209332634"/>
      <w:bookmarkStart w:id="51" w:name="_Toc205004969"/>
      <w:bookmarkStart w:id="52" w:name="_Toc209250720"/>
      <w:bookmarkStart w:id="53" w:name="_Toc205877453"/>
      <w:bookmarkStart w:id="54" w:name="_Toc205703103"/>
      <w:bookmarkStart w:id="55" w:name="_Toc216667821"/>
      <w:bookmarkStart w:id="56" w:name="_Toc19900"/>
      <w:bookmarkStart w:id="57" w:name="_Toc217460686"/>
      <w:bookmarkStart w:id="58" w:name="_Toc219538614"/>
      <w:bookmarkStart w:id="59" w:name="_Toc205877558"/>
      <w:bookmarkStart w:id="60" w:name="_Toc204578576"/>
      <w:bookmarkStart w:id="61" w:name="_Toc223717605"/>
      <w:r>
        <w:rPr>
          <w:rFonts w:hint="eastAsia" w:ascii="宋体" w:hAnsi="宋体" w:cs="Courier New"/>
          <w:color w:val="auto"/>
          <w:sz w:val="22"/>
          <w:szCs w:val="22"/>
          <w:highlight w:val="none"/>
        </w:rPr>
        <w:t>磋商</w:t>
      </w:r>
      <w:r>
        <w:rPr>
          <w:rFonts w:ascii="宋体" w:hAnsi="宋体" w:cs="Courier New"/>
          <w:color w:val="auto"/>
          <w:sz w:val="22"/>
          <w:szCs w:val="22"/>
          <w:highlight w:val="none"/>
        </w:rPr>
        <w:t>费用</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color w:val="auto"/>
          <w:sz w:val="22"/>
          <w:szCs w:val="22"/>
          <w:highlight w:val="none"/>
        </w:rPr>
      </w:pPr>
      <w:r>
        <w:rPr>
          <w:rFonts w:hint="eastAsia" w:ascii="宋体" w:hAnsi="宋体"/>
          <w:color w:val="auto"/>
          <w:sz w:val="22"/>
          <w:szCs w:val="22"/>
          <w:highlight w:val="none"/>
        </w:rPr>
        <w:t>供应商应自行承担所有与准备和参加本次采购活动有关费用，不论采购的结果如何，采购人和采购代理机构（以下统称“采购组织单位”）均无义务和责任承担这些费用。</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现场勘察或召开标前答疑会</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color w:val="auto"/>
          <w:sz w:val="22"/>
          <w:szCs w:val="22"/>
          <w:highlight w:val="none"/>
        </w:rPr>
      </w:pPr>
      <w:r>
        <w:rPr>
          <w:rFonts w:ascii="宋体" w:hAnsi="宋体" w:cs="Courier New"/>
          <w:color w:val="auto"/>
          <w:sz w:val="22"/>
          <w:szCs w:val="22"/>
          <w:highlight w:val="none"/>
        </w:rPr>
        <w:t>是否组织</w:t>
      </w:r>
      <w:r>
        <w:rPr>
          <w:rFonts w:hint="eastAsia" w:ascii="宋体" w:hAnsi="宋体" w:cs="Courier New"/>
          <w:color w:val="auto"/>
          <w:sz w:val="22"/>
          <w:szCs w:val="22"/>
          <w:highlight w:val="none"/>
        </w:rPr>
        <w:t>现场踏勘或召开标前答疑会：见供应商须知前附表。</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Pr>
        <w:pStyle w:val="6"/>
        <w:spacing w:line="440" w:lineRule="exact"/>
        <w:jc w:val="center"/>
        <w:rPr>
          <w:rFonts w:ascii="宋体" w:hAnsi="宋体" w:eastAsia="宋体" w:cs="Courier New"/>
          <w:color w:val="auto"/>
          <w:highlight w:val="none"/>
        </w:rPr>
      </w:pPr>
      <w:bookmarkStart w:id="62" w:name="_Toc262049416"/>
      <w:bookmarkStart w:id="63" w:name="_Toc241404200"/>
      <w:bookmarkStart w:id="64" w:name="_Toc245722279"/>
      <w:bookmarkStart w:id="65" w:name="_Toc239145352"/>
      <w:bookmarkStart w:id="66" w:name="_Toc16443"/>
      <w:bookmarkStart w:id="67" w:name="_Toc249758862"/>
      <w:bookmarkStart w:id="68" w:name="_Toc221374624"/>
      <w:bookmarkStart w:id="69" w:name="_Toc222114877"/>
      <w:bookmarkStart w:id="70" w:name="_Toc223715996"/>
      <w:bookmarkStart w:id="71" w:name="_Toc246261263"/>
      <w:bookmarkStart w:id="72" w:name="_Toc221356949"/>
      <w:bookmarkStart w:id="73" w:name="_Toc245191312"/>
      <w:bookmarkStart w:id="74" w:name="_Toc13051"/>
      <w:bookmarkStart w:id="75" w:name="_Toc262105501"/>
      <w:bookmarkStart w:id="76" w:name="_Toc221423617"/>
      <w:bookmarkStart w:id="77" w:name="_Toc249758710"/>
      <w:bookmarkStart w:id="78" w:name="_Toc221356884"/>
      <w:r>
        <w:rPr>
          <w:rFonts w:ascii="宋体" w:hAnsi="宋体" w:eastAsia="宋体" w:cs="Courier New"/>
          <w:color w:val="auto"/>
          <w:highlight w:val="none"/>
        </w:rPr>
        <w:t>二、磋商文件</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numPr>
          <w:ilvl w:val="0"/>
          <w:numId w:val="7"/>
        </w:numPr>
        <w:spacing w:line="440" w:lineRule="exact"/>
        <w:ind w:left="567" w:hanging="567"/>
        <w:rPr>
          <w:rFonts w:ascii="宋体" w:hAnsi="宋体" w:cs="Courier New"/>
          <w:color w:val="auto"/>
          <w:sz w:val="22"/>
          <w:szCs w:val="22"/>
          <w:highlight w:val="none"/>
        </w:rPr>
      </w:pPr>
      <w:r>
        <w:rPr>
          <w:rFonts w:ascii="宋体" w:hAnsi="宋体" w:cs="Courier New"/>
          <w:color w:val="auto"/>
          <w:sz w:val="22"/>
          <w:szCs w:val="22"/>
          <w:highlight w:val="none"/>
        </w:rPr>
        <w:t>磋商文件由磋商文件目录所列内容及相关资料组成。</w:t>
      </w:r>
    </w:p>
    <w:p>
      <w:pPr>
        <w:numPr>
          <w:ilvl w:val="0"/>
          <w:numId w:val="7"/>
        </w:numPr>
        <w:spacing w:line="440" w:lineRule="exact"/>
        <w:ind w:left="567" w:hanging="567"/>
        <w:rPr>
          <w:rFonts w:ascii="宋体" w:hAnsi="宋体" w:cs="Courier New"/>
          <w:color w:val="auto"/>
          <w:sz w:val="22"/>
          <w:szCs w:val="22"/>
          <w:highlight w:val="none"/>
        </w:rPr>
      </w:pPr>
      <w:r>
        <w:rPr>
          <w:rFonts w:ascii="宋体" w:hAnsi="宋体" w:cs="Courier New"/>
          <w:color w:val="auto"/>
          <w:sz w:val="22"/>
          <w:szCs w:val="22"/>
          <w:highlight w:val="none"/>
        </w:rPr>
        <w:t>磋商文件的澄清</w:t>
      </w:r>
      <w:r>
        <w:rPr>
          <w:rFonts w:hint="eastAsia" w:ascii="宋体" w:hAnsi="宋体" w:cs="Courier New"/>
          <w:color w:val="auto"/>
          <w:sz w:val="22"/>
          <w:szCs w:val="22"/>
          <w:highlight w:val="none"/>
        </w:rPr>
        <w:t>或修改</w:t>
      </w:r>
    </w:p>
    <w:p>
      <w:pPr>
        <w:numPr>
          <w:ilvl w:val="1"/>
          <w:numId w:val="7"/>
        </w:numPr>
        <w:spacing w:line="440" w:lineRule="exact"/>
        <w:ind w:left="567"/>
        <w:rPr>
          <w:rFonts w:ascii="宋体" w:hAnsi="宋体" w:cs="Courier New"/>
          <w:color w:val="auto"/>
          <w:sz w:val="22"/>
          <w:szCs w:val="22"/>
          <w:highlight w:val="none"/>
        </w:rPr>
      </w:pPr>
      <w:r>
        <w:rPr>
          <w:rFonts w:hint="eastAsia" w:ascii="宋体" w:hAnsi="宋体" w:cs="Courier New"/>
          <w:color w:val="auto"/>
          <w:sz w:val="22"/>
          <w:szCs w:val="22"/>
          <w:highlight w:val="none"/>
        </w:rPr>
        <w:t>在响应文件递交截止时间前，采购人、采购代理机构或磋商小组需要对磋商文件进行澄清或修改的，将会</w:t>
      </w:r>
      <w:r>
        <w:rPr>
          <w:rFonts w:ascii="宋体" w:hAnsi="宋体" w:cs="Courier New"/>
          <w:color w:val="auto"/>
          <w:sz w:val="22"/>
          <w:szCs w:val="22"/>
          <w:highlight w:val="none"/>
        </w:rPr>
        <w:t>在磋商文件载明的指定媒体</w:t>
      </w:r>
      <w:r>
        <w:rPr>
          <w:rFonts w:hint="eastAsia" w:ascii="宋体" w:hAnsi="宋体" w:cs="Courier New"/>
          <w:color w:val="auto"/>
          <w:sz w:val="22"/>
          <w:szCs w:val="22"/>
          <w:highlight w:val="none"/>
        </w:rPr>
        <w:t>上发布澄清（更正）公告。如果澄清或修改的内容可能影响响应文件编制的，且澄清或更正公告发布时间距响应文件递交截止时间不足</w:t>
      </w:r>
      <w:r>
        <w:rPr>
          <w:rFonts w:ascii="宋体" w:hAnsi="宋体" w:cs="Courier New"/>
          <w:color w:val="auto"/>
          <w:sz w:val="22"/>
          <w:szCs w:val="22"/>
          <w:highlight w:val="none"/>
        </w:rPr>
        <w:t>5</w:t>
      </w:r>
      <w:r>
        <w:rPr>
          <w:rFonts w:hint="eastAsia" w:ascii="宋体" w:hAnsi="宋体" w:cs="Courier New"/>
          <w:color w:val="auto"/>
          <w:sz w:val="22"/>
          <w:szCs w:val="22"/>
          <w:highlight w:val="none"/>
        </w:rPr>
        <w:t>天的，则相应延长响应文件递交截止时间。延长后的具体响应文件递交截止时间以最后发布的澄清或更正公告中的规定为准。</w:t>
      </w:r>
    </w:p>
    <w:p>
      <w:pPr>
        <w:numPr>
          <w:ilvl w:val="1"/>
          <w:numId w:val="7"/>
        </w:numPr>
        <w:spacing w:line="440" w:lineRule="exact"/>
        <w:ind w:left="567"/>
        <w:rPr>
          <w:rFonts w:ascii="宋体" w:hAnsi="宋体" w:cs="Courier New"/>
          <w:color w:val="auto"/>
          <w:sz w:val="22"/>
          <w:szCs w:val="22"/>
          <w:highlight w:val="none"/>
        </w:rPr>
      </w:pPr>
      <w:r>
        <w:rPr>
          <w:rFonts w:hint="eastAsia" w:ascii="宋体" w:hAnsi="宋体" w:cs="Courier New"/>
          <w:color w:val="auto"/>
          <w:sz w:val="22"/>
          <w:szCs w:val="22"/>
          <w:highlight w:val="none"/>
        </w:rPr>
        <w:t>澄清或修改的内容作为磋商文件的组成部分。当磋商文件与澄清或更正公告就同一内容的表述不一致时，以最后发出的文件内容为准。任何口头答复均不属于磋商文件的组成部分。</w:t>
      </w:r>
    </w:p>
    <w:p>
      <w:pPr>
        <w:numPr>
          <w:ilvl w:val="1"/>
          <w:numId w:val="7"/>
        </w:numPr>
        <w:spacing w:line="440" w:lineRule="exact"/>
        <w:ind w:left="567"/>
        <w:rPr>
          <w:rFonts w:ascii="宋体" w:hAnsi="宋体" w:cs="Courier New"/>
          <w:color w:val="auto"/>
          <w:sz w:val="22"/>
          <w:szCs w:val="22"/>
          <w:highlight w:val="none"/>
        </w:rPr>
      </w:pPr>
      <w:r>
        <w:rPr>
          <w:rFonts w:hint="eastAsia" w:ascii="宋体" w:hAnsi="宋体" w:cs="Courier New"/>
          <w:color w:val="auto"/>
          <w:sz w:val="22"/>
          <w:szCs w:val="22"/>
          <w:highlight w:val="none"/>
        </w:rPr>
        <w:t>澄清（更正）公告作为采购人、采购代理机构或磋商小组通知所有潜在供应商的书面形式。潜在供应商或供应商在参与本项目采购活动过程中，应及时关注磋商文件载明的指定媒体上的相关信息，否则产生不利由其自行承担。</w:t>
      </w:r>
    </w:p>
    <w:p>
      <w:pPr>
        <w:pStyle w:val="6"/>
        <w:spacing w:line="440" w:lineRule="exact"/>
        <w:jc w:val="center"/>
        <w:rPr>
          <w:rFonts w:ascii="宋体" w:hAnsi="宋体" w:eastAsia="宋体" w:cs="Courier New"/>
          <w:color w:val="auto"/>
          <w:highlight w:val="none"/>
        </w:rPr>
      </w:pPr>
      <w:bookmarkStart w:id="79" w:name="_Toc221356950"/>
      <w:bookmarkStart w:id="80" w:name="_Toc223715997"/>
      <w:bookmarkStart w:id="81" w:name="_Toc221356885"/>
      <w:bookmarkStart w:id="82" w:name="_Toc221423618"/>
      <w:bookmarkStart w:id="83" w:name="_Toc239145353"/>
      <w:bookmarkStart w:id="84" w:name="_Toc245191313"/>
      <w:bookmarkStart w:id="85" w:name="_Toc17839"/>
      <w:bookmarkStart w:id="86" w:name="_Toc246261264"/>
      <w:bookmarkStart w:id="87" w:name="_Toc262105502"/>
      <w:bookmarkStart w:id="88" w:name="_Toc13751"/>
      <w:bookmarkStart w:id="89" w:name="_Toc245722280"/>
      <w:bookmarkStart w:id="90" w:name="_Toc222114878"/>
      <w:bookmarkStart w:id="91" w:name="_Toc221374625"/>
      <w:bookmarkStart w:id="92" w:name="_Toc249758711"/>
      <w:bookmarkStart w:id="93" w:name="_Toc241404201"/>
      <w:bookmarkStart w:id="94" w:name="_Toc249758863"/>
      <w:bookmarkStart w:id="95" w:name="_Toc262049417"/>
      <w:r>
        <w:rPr>
          <w:rFonts w:ascii="宋体" w:hAnsi="宋体" w:eastAsia="宋体" w:cs="Courier New"/>
          <w:color w:val="auto"/>
          <w:highlight w:val="none"/>
        </w:rPr>
        <w:t>三、响应文件</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供应商应认真阅读磋商文件的全部内容。供应商应按照磋商文件要求提交响应文件并保证所提供的全部资料的真实性，并对磋商文件做出实质性响应，否则响应无效。</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ascii="宋体" w:hAnsi="宋体" w:cs="Courier New"/>
          <w:color w:val="auto"/>
          <w:sz w:val="22"/>
          <w:szCs w:val="22"/>
          <w:highlight w:val="none"/>
        </w:rPr>
        <w:t>响应文件</w:t>
      </w:r>
      <w:r>
        <w:rPr>
          <w:rFonts w:hint="eastAsia" w:ascii="宋体" w:hAnsi="宋体" w:cs="Courier New"/>
          <w:color w:val="auto"/>
          <w:sz w:val="22"/>
          <w:szCs w:val="22"/>
          <w:highlight w:val="none"/>
        </w:rPr>
        <w:t>的组成</w:t>
      </w:r>
      <w:r>
        <w:rPr>
          <w:rFonts w:ascii="宋体" w:hAnsi="宋体" w:cs="Courier New"/>
          <w:color w:val="auto"/>
          <w:sz w:val="22"/>
          <w:szCs w:val="22"/>
          <w:highlight w:val="none"/>
        </w:rPr>
        <w:t>：</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上传的响应文件应当包括以下主要内容：资格文件、报价文件、商务技术文件。部分格式详见“第三部分 应提交的有关格式范例”。</w:t>
      </w:r>
    </w:p>
    <w:p>
      <w:pPr>
        <w:keepNext w:val="0"/>
        <w:keepLines w:val="0"/>
        <w:pageBreakBefore w:val="0"/>
        <w:widowControl w:val="0"/>
        <w:kinsoku/>
        <w:wordWrap/>
        <w:overflowPunct/>
        <w:topLinePunct w:val="0"/>
        <w:autoSpaceDE/>
        <w:autoSpaceDN/>
        <w:bidi w:val="0"/>
        <w:adjustRightInd/>
        <w:snapToGrid/>
        <w:spacing w:line="440" w:lineRule="exact"/>
        <w:ind w:left="187" w:leftChars="85" w:hanging="9" w:hangingChars="4"/>
        <w:jc w:val="left"/>
        <w:textAlignment w:val="auto"/>
        <w:rPr>
          <w:rFonts w:ascii="宋体" w:hAnsi="宋体"/>
          <w:b/>
          <w:color w:val="auto"/>
          <w:sz w:val="22"/>
          <w:szCs w:val="22"/>
          <w:highlight w:val="none"/>
        </w:rPr>
      </w:pPr>
      <w:r>
        <w:rPr>
          <w:rFonts w:hint="eastAsia" w:ascii="宋体" w:hAnsi="宋体"/>
          <w:b/>
          <w:color w:val="auto"/>
          <w:sz w:val="22"/>
          <w:szCs w:val="22"/>
          <w:highlight w:val="none"/>
        </w:rPr>
        <w:t>（1）供应商的资格</w:t>
      </w:r>
      <w:bookmarkStart w:id="96" w:name="_Toc500208478"/>
      <w:r>
        <w:rPr>
          <w:rFonts w:hint="eastAsia" w:ascii="宋体" w:hAnsi="宋体"/>
          <w:b/>
          <w:color w:val="auto"/>
          <w:sz w:val="22"/>
          <w:szCs w:val="22"/>
          <w:highlight w:val="none"/>
        </w:rPr>
        <w:t xml:space="preserve">文件包括以下内容： </w:t>
      </w:r>
    </w:p>
    <w:tbl>
      <w:tblPr>
        <w:tblStyle w:val="32"/>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197"/>
        <w:gridCol w:w="4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序号</w:t>
            </w: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内容</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ascii="宋体" w:hAnsi="宋体"/>
                <w:color w:val="auto"/>
                <w:sz w:val="22"/>
                <w:szCs w:val="22"/>
                <w:highlight w:val="none"/>
              </w:rPr>
              <w:t>1</w:t>
            </w: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资格声明书</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b/>
                <w:color w:val="auto"/>
                <w:sz w:val="22"/>
                <w:szCs w:val="22"/>
                <w:highlight w:val="none"/>
              </w:rPr>
            </w:pPr>
            <w:r>
              <w:rPr>
                <w:rFonts w:ascii="宋体" w:hAnsi="宋体" w:cs="楷体"/>
                <w:color w:val="auto"/>
                <w:kern w:val="0"/>
                <w:sz w:val="22"/>
                <w:szCs w:val="22"/>
                <w:highlight w:val="none"/>
              </w:rPr>
              <w:t>供应商应按照磋商文件规定格式及内容</w:t>
            </w:r>
            <w:r>
              <w:rPr>
                <w:rFonts w:hint="eastAsia" w:ascii="宋体" w:hAnsi="宋体" w:cs="楷体"/>
                <w:color w:val="auto"/>
                <w:kern w:val="0"/>
                <w:sz w:val="22"/>
                <w:szCs w:val="22"/>
                <w:highlight w:val="none"/>
              </w:rPr>
              <w:t>提</w:t>
            </w:r>
            <w:r>
              <w:rPr>
                <w:rFonts w:ascii="宋体" w:hAnsi="宋体" w:cs="楷体"/>
                <w:color w:val="auto"/>
                <w:kern w:val="0"/>
                <w:sz w:val="22"/>
                <w:szCs w:val="22"/>
                <w:highlight w:val="none"/>
              </w:rPr>
              <w:t>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ascii="宋体" w:hAnsi="宋体"/>
                <w:color w:val="auto"/>
                <w:sz w:val="22"/>
                <w:szCs w:val="22"/>
                <w:highlight w:val="none"/>
              </w:rPr>
              <w:t>2</w:t>
            </w: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供应商有效的</w:t>
            </w:r>
            <w:r>
              <w:rPr>
                <w:rFonts w:ascii="宋体" w:hAnsi="宋体" w:cs="楷体"/>
                <w:color w:val="auto"/>
                <w:kern w:val="0"/>
                <w:sz w:val="22"/>
                <w:szCs w:val="22"/>
                <w:highlight w:val="none"/>
              </w:rPr>
              <w:t>营业执照等证明文件</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b/>
                <w:color w:val="auto"/>
                <w:sz w:val="22"/>
                <w:szCs w:val="22"/>
                <w:highlight w:val="none"/>
              </w:rPr>
            </w:pPr>
            <w:r>
              <w:rPr>
                <w:rFonts w:ascii="宋体" w:hAnsi="宋体" w:cs="楷体"/>
                <w:color w:val="auto"/>
                <w:kern w:val="0"/>
                <w:sz w:val="22"/>
                <w:szCs w:val="22"/>
                <w:highlight w:val="none"/>
              </w:rPr>
              <w:t>供应商应按照磋商文件规定及</w:t>
            </w:r>
            <w:r>
              <w:rPr>
                <w:rFonts w:hint="eastAsia" w:ascii="宋体" w:hAnsi="宋体" w:cs="楷体"/>
                <w:color w:val="auto"/>
                <w:kern w:val="0"/>
                <w:sz w:val="22"/>
                <w:szCs w:val="22"/>
                <w:highlight w:val="none"/>
              </w:rPr>
              <w:t>要求</w:t>
            </w:r>
            <w:r>
              <w:rPr>
                <w:rFonts w:ascii="宋体" w:hAnsi="宋体" w:cs="楷体"/>
                <w:color w:val="auto"/>
                <w:kern w:val="0"/>
                <w:sz w:val="22"/>
                <w:szCs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ascii="宋体" w:hAnsi="宋体"/>
                <w:color w:val="auto"/>
                <w:sz w:val="22"/>
                <w:szCs w:val="22"/>
                <w:highlight w:val="none"/>
              </w:rPr>
              <w:t>3</w:t>
            </w: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财务状况报告（财务报告、或资信证明、或磋商担保函）</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auto"/>
                <w:sz w:val="22"/>
                <w:szCs w:val="22"/>
                <w:highlight w:val="none"/>
              </w:rPr>
            </w:pPr>
            <w:r>
              <w:rPr>
                <w:rFonts w:ascii="宋体" w:hAnsi="宋体" w:cs="楷体"/>
                <w:color w:val="auto"/>
                <w:kern w:val="0"/>
                <w:sz w:val="22"/>
                <w:szCs w:val="22"/>
                <w:highlight w:val="none"/>
              </w:rPr>
              <w:t>供应商应按照磋商文件规定及</w:t>
            </w:r>
            <w:r>
              <w:rPr>
                <w:rFonts w:hint="eastAsia" w:ascii="宋体" w:hAnsi="宋体" w:cs="楷体"/>
                <w:color w:val="auto"/>
                <w:kern w:val="0"/>
                <w:sz w:val="22"/>
                <w:szCs w:val="22"/>
                <w:highlight w:val="none"/>
              </w:rPr>
              <w:t>要求</w:t>
            </w:r>
            <w:r>
              <w:rPr>
                <w:rFonts w:ascii="宋体" w:hAnsi="宋体" w:cs="楷体"/>
                <w:color w:val="auto"/>
                <w:kern w:val="0"/>
                <w:sz w:val="22"/>
                <w:szCs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ascii="宋体" w:hAnsi="宋体"/>
                <w:color w:val="auto"/>
                <w:sz w:val="22"/>
                <w:szCs w:val="22"/>
                <w:highlight w:val="none"/>
              </w:rPr>
              <w:t>4</w:t>
            </w: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ascii="宋体" w:hAnsi="宋体" w:cs="楷体"/>
                <w:color w:val="auto"/>
                <w:kern w:val="0"/>
                <w:sz w:val="22"/>
                <w:szCs w:val="22"/>
                <w:highlight w:val="none"/>
              </w:rPr>
              <w:t>依法缴纳税收证明材料</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auto"/>
                <w:sz w:val="22"/>
                <w:szCs w:val="22"/>
                <w:highlight w:val="none"/>
              </w:rPr>
            </w:pPr>
            <w:r>
              <w:rPr>
                <w:rFonts w:ascii="宋体" w:hAnsi="宋体" w:cs="楷体"/>
                <w:color w:val="auto"/>
                <w:kern w:val="0"/>
                <w:sz w:val="22"/>
                <w:szCs w:val="22"/>
                <w:highlight w:val="none"/>
              </w:rPr>
              <w:t>供应商应按照磋商文件规定及</w:t>
            </w:r>
            <w:r>
              <w:rPr>
                <w:rFonts w:hint="eastAsia" w:ascii="宋体" w:hAnsi="宋体" w:cs="楷体"/>
                <w:color w:val="auto"/>
                <w:kern w:val="0"/>
                <w:sz w:val="22"/>
                <w:szCs w:val="22"/>
                <w:highlight w:val="none"/>
              </w:rPr>
              <w:t>要求</w:t>
            </w:r>
            <w:r>
              <w:rPr>
                <w:rFonts w:ascii="宋体" w:hAnsi="宋体" w:cs="楷体"/>
                <w:color w:val="auto"/>
                <w:kern w:val="0"/>
                <w:sz w:val="22"/>
                <w:szCs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ascii="宋体" w:hAnsi="宋体"/>
                <w:color w:val="auto"/>
                <w:sz w:val="22"/>
                <w:szCs w:val="22"/>
                <w:highlight w:val="none"/>
              </w:rPr>
              <w:t>5</w:t>
            </w: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ascii="宋体" w:hAnsi="宋体" w:cs="楷体"/>
                <w:color w:val="auto"/>
                <w:kern w:val="0"/>
                <w:sz w:val="22"/>
                <w:szCs w:val="22"/>
                <w:highlight w:val="none"/>
              </w:rPr>
              <w:t>依法缴纳社会保障资金证明材料</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auto"/>
                <w:sz w:val="22"/>
                <w:szCs w:val="22"/>
                <w:highlight w:val="none"/>
              </w:rPr>
            </w:pPr>
            <w:r>
              <w:rPr>
                <w:rFonts w:ascii="宋体" w:hAnsi="宋体" w:cs="楷体"/>
                <w:color w:val="auto"/>
                <w:kern w:val="0"/>
                <w:sz w:val="22"/>
                <w:szCs w:val="22"/>
                <w:highlight w:val="none"/>
              </w:rPr>
              <w:t>供应商应按照磋商文件规定及</w:t>
            </w:r>
            <w:r>
              <w:rPr>
                <w:rFonts w:hint="eastAsia" w:ascii="宋体" w:hAnsi="宋体" w:cs="楷体"/>
                <w:color w:val="auto"/>
                <w:kern w:val="0"/>
                <w:sz w:val="22"/>
                <w:szCs w:val="22"/>
                <w:highlight w:val="none"/>
              </w:rPr>
              <w:t>要求</w:t>
            </w:r>
            <w:r>
              <w:rPr>
                <w:rFonts w:ascii="宋体" w:hAnsi="宋体" w:cs="楷体"/>
                <w:color w:val="auto"/>
                <w:kern w:val="0"/>
                <w:sz w:val="22"/>
                <w:szCs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ascii="宋体" w:hAnsi="宋体"/>
                <w:color w:val="auto"/>
                <w:sz w:val="22"/>
                <w:szCs w:val="22"/>
                <w:highlight w:val="none"/>
              </w:rPr>
              <w:t>6</w:t>
            </w: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落实政府采购政策需满足的资格要求</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未要求。</w:t>
            </w:r>
            <w:r>
              <w:rPr>
                <w:rFonts w:hint="eastAsia" w:ascii="宋体" w:hAnsi="宋体"/>
                <w:color w:val="auto"/>
                <w:sz w:val="22"/>
                <w:szCs w:val="22"/>
                <w:highlight w:val="none"/>
              </w:rPr>
              <w:t>因“政府采购云平台”中为“引用本区划配置的基本资格要求，不可修改”，即该内容不能删除，特此说明。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7</w:t>
            </w: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本项目的特定资格要求</w:t>
            </w:r>
          </w:p>
        </w:tc>
        <w:tc>
          <w:tcPr>
            <w:tcW w:w="495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未要求。</w:t>
            </w:r>
          </w:p>
        </w:tc>
      </w:tr>
    </w:tbl>
    <w:p>
      <w:pPr>
        <w:spacing w:line="360" w:lineRule="auto"/>
        <w:ind w:left="187" w:leftChars="85" w:hanging="9" w:hangingChars="4"/>
        <w:jc w:val="left"/>
        <w:rPr>
          <w:rFonts w:ascii="宋体" w:hAnsi="宋体"/>
          <w:b/>
          <w:color w:val="auto"/>
          <w:sz w:val="22"/>
          <w:szCs w:val="22"/>
          <w:highlight w:val="none"/>
        </w:rPr>
      </w:pPr>
      <w:r>
        <w:rPr>
          <w:rFonts w:hint="eastAsia" w:ascii="宋体" w:hAnsi="宋体"/>
          <w:b/>
          <w:color w:val="auto"/>
          <w:sz w:val="22"/>
          <w:szCs w:val="22"/>
          <w:highlight w:val="none"/>
        </w:rPr>
        <w:t xml:space="preserve">（2）供应商的报价文件包括以下内容： </w:t>
      </w:r>
    </w:p>
    <w:tbl>
      <w:tblPr>
        <w:tblStyle w:val="32"/>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79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序号</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内容</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1</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b/>
                <w:bCs/>
                <w:color w:val="auto"/>
                <w:kern w:val="0"/>
                <w:sz w:val="22"/>
                <w:szCs w:val="22"/>
                <w:highlight w:val="none"/>
              </w:rPr>
            </w:pPr>
            <w:r>
              <w:rPr>
                <w:rFonts w:hint="eastAsia" w:ascii="宋体" w:hAnsi="宋体" w:cs="楷体"/>
                <w:color w:val="auto"/>
                <w:kern w:val="0"/>
                <w:sz w:val="22"/>
                <w:szCs w:val="22"/>
                <w:highlight w:val="none"/>
              </w:rPr>
              <w:t>开标一览表</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ascii="宋体" w:hAnsi="宋体"/>
                <w:color w:val="auto"/>
                <w:sz w:val="22"/>
                <w:szCs w:val="22"/>
                <w:highlight w:val="none"/>
              </w:rPr>
              <w:t>2</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报价构成明细表</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p>
        </w:tc>
      </w:tr>
    </w:tbl>
    <w:p>
      <w:pPr>
        <w:spacing w:line="360" w:lineRule="auto"/>
        <w:ind w:left="187" w:leftChars="85" w:hanging="9" w:hangingChars="4"/>
        <w:jc w:val="left"/>
        <w:rPr>
          <w:rFonts w:hint="eastAsia" w:ascii="宋体" w:hAnsi="宋体"/>
          <w:b/>
          <w:color w:val="auto"/>
          <w:sz w:val="22"/>
          <w:szCs w:val="22"/>
          <w:highlight w:val="none"/>
        </w:rPr>
      </w:pPr>
      <w:r>
        <w:rPr>
          <w:rFonts w:hint="eastAsia" w:ascii="宋体" w:hAnsi="宋体"/>
          <w:b/>
          <w:color w:val="auto"/>
          <w:sz w:val="22"/>
          <w:szCs w:val="22"/>
          <w:highlight w:val="none"/>
        </w:rPr>
        <w:t xml:space="preserve">（3）供应商的商务技术文件包括以下内容： </w:t>
      </w:r>
    </w:p>
    <w:bookmarkEnd w:id="96"/>
    <w:tbl>
      <w:tblPr>
        <w:tblStyle w:val="32"/>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79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color w:val="auto"/>
                <w:sz w:val="22"/>
                <w:szCs w:val="22"/>
                <w:highlight w:val="none"/>
              </w:rPr>
            </w:pPr>
            <w:r>
              <w:rPr>
                <w:rFonts w:hint="eastAsia" w:ascii="宋体" w:hAnsi="宋体"/>
                <w:b/>
                <w:color w:val="auto"/>
                <w:sz w:val="22"/>
                <w:szCs w:val="22"/>
                <w:highlight w:val="none"/>
              </w:rPr>
              <w:t>序号</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color w:val="auto"/>
                <w:sz w:val="22"/>
                <w:szCs w:val="22"/>
                <w:highlight w:val="none"/>
              </w:rPr>
            </w:pPr>
            <w:r>
              <w:rPr>
                <w:rFonts w:hint="eastAsia" w:ascii="宋体" w:hAnsi="宋体"/>
                <w:b/>
                <w:color w:val="auto"/>
                <w:sz w:val="22"/>
                <w:szCs w:val="22"/>
                <w:highlight w:val="none"/>
              </w:rPr>
              <w:t>内容</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1</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磋商响应函</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ascii="宋体" w:hAnsi="宋体"/>
                <w:color w:val="auto"/>
                <w:sz w:val="22"/>
                <w:szCs w:val="22"/>
                <w:highlight w:val="none"/>
              </w:rPr>
              <w:t>2</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单位负责人授权书</w:t>
            </w:r>
          </w:p>
        </w:tc>
        <w:tc>
          <w:tcPr>
            <w:tcW w:w="141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3</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供应商联系表</w:t>
            </w:r>
          </w:p>
        </w:tc>
        <w:tc>
          <w:tcPr>
            <w:tcW w:w="1418" w:type="dxa"/>
            <w:vAlign w:val="center"/>
          </w:tcPr>
          <w:p>
            <w:pPr>
              <w:pStyle w:val="10"/>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ascii="宋体" w:hAnsi="宋体"/>
                <w:color w:val="auto"/>
                <w:sz w:val="22"/>
                <w:szCs w:val="22"/>
                <w:highlight w:val="none"/>
              </w:rPr>
              <w:t>4</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采购需求偏离表</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ascii="宋体" w:hAnsi="宋体"/>
                <w:color w:val="auto"/>
                <w:sz w:val="22"/>
                <w:szCs w:val="22"/>
                <w:highlight w:val="none"/>
              </w:rPr>
              <w:t>5</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hint="eastAsia" w:ascii="宋体" w:hAnsi="宋体" w:cs="楷体"/>
                <w:color w:val="auto"/>
                <w:kern w:val="0"/>
                <w:sz w:val="22"/>
                <w:szCs w:val="22"/>
                <w:highlight w:val="none"/>
              </w:rPr>
              <w:t>供货范围详细清单</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ascii="宋体" w:hAnsi="宋体"/>
                <w:color w:val="auto"/>
                <w:sz w:val="22"/>
                <w:szCs w:val="22"/>
                <w:highlight w:val="none"/>
              </w:rPr>
              <w:t>6</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ascii="宋体" w:hAnsi="宋体" w:cs="楷体"/>
                <w:color w:val="auto"/>
                <w:kern w:val="0"/>
                <w:sz w:val="22"/>
                <w:szCs w:val="22"/>
                <w:highlight w:val="none"/>
              </w:rPr>
              <w:t>根据本项目采购内容及要求以及商务技术评分项目，需要提供的文件和资料</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7</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color w:val="auto"/>
                <w:kern w:val="0"/>
                <w:sz w:val="22"/>
                <w:szCs w:val="22"/>
                <w:highlight w:val="none"/>
              </w:rPr>
            </w:pPr>
            <w:r>
              <w:rPr>
                <w:rFonts w:ascii="宋体" w:hAnsi="宋体" w:cs="楷体"/>
                <w:color w:val="auto"/>
                <w:kern w:val="0"/>
                <w:sz w:val="22"/>
                <w:szCs w:val="22"/>
                <w:highlight w:val="none"/>
              </w:rPr>
              <w:t>供应商需要说明的其他文件和说明</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auto"/>
                <w:sz w:val="22"/>
                <w:szCs w:val="22"/>
                <w:highlight w:val="none"/>
              </w:rPr>
            </w:pPr>
          </w:p>
        </w:tc>
      </w:tr>
    </w:tbl>
    <w:p>
      <w:pPr>
        <w:numPr>
          <w:ilvl w:val="0"/>
          <w:numId w:val="7"/>
        </w:numPr>
        <w:spacing w:line="440" w:lineRule="exact"/>
        <w:ind w:left="567" w:hanging="567"/>
        <w:rPr>
          <w:rFonts w:ascii="宋体" w:hAnsi="宋体" w:cs="Courier New"/>
          <w:color w:val="auto"/>
          <w:sz w:val="22"/>
          <w:szCs w:val="22"/>
          <w:highlight w:val="none"/>
        </w:rPr>
      </w:pPr>
      <w:bookmarkStart w:id="97" w:name="_Hlk36489029"/>
      <w:bookmarkStart w:id="98" w:name="_Toc223717610"/>
      <w:bookmarkStart w:id="99" w:name="_Toc223933227"/>
      <w:bookmarkStart w:id="100" w:name="_Toc227056852"/>
      <w:bookmarkStart w:id="101" w:name="_Toc218041732"/>
      <w:bookmarkStart w:id="102" w:name="_Toc219538619"/>
      <w:bookmarkStart w:id="103" w:name="_Toc215415536"/>
      <w:bookmarkStart w:id="104" w:name="_Toc217460691"/>
      <w:bookmarkStart w:id="105" w:name="_Toc216667826"/>
      <w:bookmarkStart w:id="106" w:name="_Toc227489893"/>
      <w:bookmarkStart w:id="107" w:name="_Toc227057039"/>
      <w:r>
        <w:rPr>
          <w:rFonts w:ascii="宋体" w:hAnsi="宋体" w:cs="Courier New"/>
          <w:color w:val="auto"/>
          <w:sz w:val="22"/>
          <w:szCs w:val="22"/>
          <w:highlight w:val="none"/>
        </w:rPr>
        <w:t>响应文件</w:t>
      </w:r>
      <w:r>
        <w:rPr>
          <w:rFonts w:hint="eastAsia" w:ascii="宋体" w:hAnsi="宋体" w:cs="Courier New"/>
          <w:color w:val="auto"/>
          <w:sz w:val="22"/>
          <w:szCs w:val="22"/>
          <w:highlight w:val="none"/>
        </w:rPr>
        <w:t>的语言及度量衡单位</w:t>
      </w:r>
    </w:p>
    <w:p>
      <w:pPr>
        <w:numPr>
          <w:ilvl w:val="0"/>
          <w:numId w:val="8"/>
        </w:numPr>
        <w:tabs>
          <w:tab w:val="left" w:pos="5355"/>
        </w:tabs>
        <w:spacing w:line="440" w:lineRule="exact"/>
        <w:rPr>
          <w:rFonts w:ascii="宋体" w:hAnsi="宋体"/>
          <w:color w:val="auto"/>
          <w:sz w:val="22"/>
          <w:szCs w:val="22"/>
          <w:highlight w:val="none"/>
        </w:rPr>
      </w:pPr>
      <w:r>
        <w:rPr>
          <w:rFonts w:hint="eastAsia" w:ascii="宋体" w:hAnsi="宋体"/>
          <w:color w:val="auto"/>
          <w:sz w:val="22"/>
          <w:szCs w:val="22"/>
          <w:highlight w:val="none"/>
        </w:rPr>
        <w:t>除磋商文件另有规定外，响应文件应使用中文文本，若有不同文本，以中文文本为准。</w:t>
      </w:r>
    </w:p>
    <w:p>
      <w:pPr>
        <w:numPr>
          <w:ilvl w:val="0"/>
          <w:numId w:val="8"/>
        </w:numPr>
        <w:tabs>
          <w:tab w:val="left" w:pos="5355"/>
        </w:tabs>
        <w:spacing w:line="440" w:lineRule="exact"/>
        <w:rPr>
          <w:rFonts w:ascii="宋体" w:hAnsi="宋体"/>
          <w:color w:val="auto"/>
          <w:sz w:val="22"/>
          <w:szCs w:val="22"/>
          <w:highlight w:val="none"/>
        </w:rPr>
      </w:pPr>
      <w:r>
        <w:rPr>
          <w:rFonts w:ascii="宋体" w:hAnsi="宋体"/>
          <w:color w:val="auto"/>
          <w:sz w:val="22"/>
          <w:szCs w:val="22"/>
          <w:highlight w:val="none"/>
        </w:rPr>
        <w:t>除磋商文件另有规定外，响应文件</w:t>
      </w:r>
      <w:r>
        <w:rPr>
          <w:rFonts w:hint="eastAsia" w:ascii="宋体" w:hAnsi="宋体"/>
          <w:color w:val="auto"/>
          <w:sz w:val="22"/>
          <w:szCs w:val="22"/>
          <w:highlight w:val="none"/>
        </w:rPr>
        <w:t>使用的度量衡单位，均采用中华人民共和国法定计量单位。</w:t>
      </w:r>
    </w:p>
    <w:p>
      <w:pPr>
        <w:numPr>
          <w:ilvl w:val="0"/>
          <w:numId w:val="7"/>
        </w:numPr>
        <w:spacing w:line="440" w:lineRule="exact"/>
        <w:ind w:left="567" w:hanging="567"/>
        <w:rPr>
          <w:rFonts w:ascii="宋体" w:hAnsi="宋体" w:cs="Courier New"/>
          <w:color w:val="auto"/>
          <w:sz w:val="22"/>
          <w:szCs w:val="22"/>
          <w:highlight w:val="none"/>
        </w:rPr>
      </w:pPr>
      <w:r>
        <w:rPr>
          <w:rFonts w:ascii="宋体" w:hAnsi="宋体" w:cs="Courier New"/>
          <w:color w:val="auto"/>
          <w:sz w:val="22"/>
          <w:szCs w:val="22"/>
          <w:highlight w:val="none"/>
        </w:rPr>
        <w:t>报价</w:t>
      </w:r>
    </w:p>
    <w:p>
      <w:pPr>
        <w:numPr>
          <w:ilvl w:val="1"/>
          <w:numId w:val="7"/>
        </w:numPr>
        <w:spacing w:line="440" w:lineRule="exact"/>
        <w:ind w:left="567"/>
        <w:rPr>
          <w:rFonts w:ascii="宋体" w:hAnsi="宋体"/>
          <w:color w:val="auto"/>
          <w:sz w:val="22"/>
          <w:highlight w:val="none"/>
        </w:rPr>
      </w:pPr>
      <w:r>
        <w:rPr>
          <w:rFonts w:hint="eastAsia" w:ascii="宋体" w:hAnsi="宋体"/>
          <w:color w:val="auto"/>
          <w:sz w:val="22"/>
          <w:highlight w:val="none"/>
        </w:rPr>
        <w:t>本次磋商非一次性报价，在磋商后根据磋商情况（包括细化采购方案和要求，增补部分采购内容等），供应商须进行最后报价，</w:t>
      </w:r>
      <w:r>
        <w:rPr>
          <w:rFonts w:hint="eastAsia" w:ascii="宋体" w:hAnsi="宋体" w:cs="Courier New"/>
          <w:b/>
          <w:color w:val="auto"/>
          <w:sz w:val="22"/>
          <w:szCs w:val="22"/>
          <w:highlight w:val="none"/>
        </w:rPr>
        <w:t>若成交，除项目中规定的不可竞争费用外，报价产品的单价同比例调整。</w:t>
      </w:r>
    </w:p>
    <w:p>
      <w:pPr>
        <w:numPr>
          <w:ilvl w:val="1"/>
          <w:numId w:val="7"/>
        </w:numPr>
        <w:tabs>
          <w:tab w:val="left" w:pos="567"/>
        </w:tabs>
        <w:spacing w:line="440" w:lineRule="exact"/>
        <w:ind w:left="567"/>
        <w:rPr>
          <w:rFonts w:ascii="宋体" w:hAnsi="宋体"/>
          <w:color w:val="auto"/>
          <w:sz w:val="22"/>
          <w:highlight w:val="none"/>
        </w:rPr>
      </w:pPr>
      <w:r>
        <w:rPr>
          <w:rFonts w:hint="eastAsia" w:ascii="宋体" w:hAnsi="宋体"/>
          <w:color w:val="auto"/>
          <w:sz w:val="22"/>
          <w:highlight w:val="none"/>
        </w:rPr>
        <w:t>供应商的报价为含税报价，包含但不仅限于以下内容（以下费用未单列的视为包含在报价中）：</w:t>
      </w:r>
    </w:p>
    <w:p>
      <w:pPr>
        <w:spacing w:line="440" w:lineRule="exact"/>
        <w:ind w:left="567"/>
        <w:rPr>
          <w:rFonts w:ascii="宋体" w:hAnsi="宋体"/>
          <w:bCs/>
          <w:color w:val="auto"/>
          <w:sz w:val="22"/>
          <w:szCs w:val="22"/>
          <w:highlight w:val="none"/>
        </w:rPr>
      </w:pPr>
      <w:r>
        <w:rPr>
          <w:rFonts w:hint="eastAsia" w:ascii="宋体" w:hAnsi="宋体"/>
          <w:bCs/>
          <w:color w:val="auto"/>
          <w:sz w:val="22"/>
          <w:szCs w:val="22"/>
          <w:highlight w:val="none"/>
        </w:rPr>
        <w:t>1）产品费用(包括货物中所需零配件和原材料已交及未交的产品税、销售税和其它税费等所有相关费用)，以上产品须按照第四部分采购内容及要求。</w:t>
      </w:r>
    </w:p>
    <w:p>
      <w:pPr>
        <w:spacing w:line="440" w:lineRule="exact"/>
        <w:ind w:left="567"/>
        <w:rPr>
          <w:rFonts w:ascii="宋体" w:hAnsi="宋体"/>
          <w:bCs/>
          <w:color w:val="auto"/>
          <w:sz w:val="22"/>
          <w:szCs w:val="22"/>
          <w:highlight w:val="none"/>
        </w:rPr>
      </w:pPr>
      <w:r>
        <w:rPr>
          <w:rFonts w:hint="eastAsia" w:ascii="宋体" w:hAnsi="宋体"/>
          <w:bCs/>
          <w:color w:val="auto"/>
          <w:sz w:val="22"/>
          <w:szCs w:val="22"/>
          <w:highlight w:val="none"/>
        </w:rPr>
        <w:t>2）产品随机备品备件费、随机工具、运输及保险费、安装、调试、验收（含第三方）、人工费用等其他所有交付采购人可能产生的相关费用。</w:t>
      </w:r>
    </w:p>
    <w:p>
      <w:pPr>
        <w:spacing w:line="440" w:lineRule="exact"/>
        <w:ind w:left="567"/>
        <w:rPr>
          <w:rFonts w:ascii="宋体" w:hAnsi="宋体"/>
          <w:bCs/>
          <w:color w:val="auto"/>
          <w:sz w:val="22"/>
          <w:szCs w:val="22"/>
          <w:highlight w:val="none"/>
        </w:rPr>
      </w:pPr>
      <w:r>
        <w:rPr>
          <w:rFonts w:hint="eastAsia" w:ascii="宋体" w:hAnsi="宋体"/>
          <w:bCs/>
          <w:color w:val="auto"/>
          <w:sz w:val="22"/>
          <w:szCs w:val="22"/>
          <w:highlight w:val="none"/>
        </w:rPr>
        <w:t>3）产品的售后服务费用及磋商文件中规定的其它服务费用。</w:t>
      </w:r>
    </w:p>
    <w:p>
      <w:pPr>
        <w:numPr>
          <w:ilvl w:val="1"/>
          <w:numId w:val="7"/>
        </w:numPr>
        <w:spacing w:line="440" w:lineRule="exact"/>
        <w:ind w:left="567"/>
        <w:rPr>
          <w:rFonts w:ascii="宋体" w:hAnsi="宋体"/>
          <w:bCs/>
          <w:color w:val="auto"/>
          <w:sz w:val="22"/>
          <w:szCs w:val="22"/>
          <w:highlight w:val="none"/>
        </w:rPr>
      </w:pPr>
      <w:r>
        <w:rPr>
          <w:rFonts w:hint="eastAsia" w:ascii="宋体" w:hAnsi="宋体" w:cs="Courier New"/>
          <w:color w:val="auto"/>
          <w:sz w:val="22"/>
          <w:szCs w:val="22"/>
          <w:highlight w:val="none"/>
        </w:rPr>
        <w:t>所有</w:t>
      </w:r>
      <w:r>
        <w:rPr>
          <w:rFonts w:hint="eastAsia" w:ascii="宋体" w:hAnsi="宋体"/>
          <w:bCs/>
          <w:color w:val="auto"/>
          <w:sz w:val="22"/>
          <w:szCs w:val="22"/>
          <w:highlight w:val="none"/>
        </w:rPr>
        <w:t>报价均以人民币报价。</w:t>
      </w:r>
    </w:p>
    <w:p>
      <w:pPr>
        <w:numPr>
          <w:ilvl w:val="1"/>
          <w:numId w:val="7"/>
        </w:numPr>
        <w:spacing w:line="440" w:lineRule="exact"/>
        <w:ind w:left="567"/>
        <w:rPr>
          <w:rFonts w:ascii="宋体" w:hAnsi="宋体"/>
          <w:bCs/>
          <w:color w:val="auto"/>
          <w:sz w:val="22"/>
          <w:szCs w:val="22"/>
          <w:highlight w:val="none"/>
        </w:rPr>
      </w:pPr>
      <w:r>
        <w:rPr>
          <w:rFonts w:hint="eastAsia" w:ascii="宋体" w:hAnsi="宋体"/>
          <w:bCs/>
          <w:color w:val="auto"/>
          <w:sz w:val="22"/>
          <w:szCs w:val="22"/>
          <w:highlight w:val="none"/>
        </w:rPr>
        <w:t>采购人要求分类报价是为了方便评审，但在任何情况下不限制采购人以其认为最合适的条款、条件签订合同的权利。</w:t>
      </w:r>
    </w:p>
    <w:p>
      <w:pPr>
        <w:numPr>
          <w:ilvl w:val="1"/>
          <w:numId w:val="7"/>
        </w:numPr>
        <w:spacing w:line="440" w:lineRule="exact"/>
        <w:ind w:left="567"/>
        <w:rPr>
          <w:rFonts w:ascii="宋体" w:hAnsi="宋体"/>
          <w:bCs/>
          <w:color w:val="auto"/>
          <w:sz w:val="22"/>
          <w:szCs w:val="22"/>
          <w:highlight w:val="none"/>
        </w:rPr>
      </w:pPr>
      <w:r>
        <w:rPr>
          <w:rFonts w:hint="eastAsia" w:ascii="宋体" w:hAnsi="宋体"/>
          <w:bCs/>
          <w:color w:val="auto"/>
          <w:sz w:val="22"/>
          <w:szCs w:val="22"/>
          <w:highlight w:val="none"/>
        </w:rPr>
        <w:t>除磋商文件另有规定外，响应文件不能出现任何选择性的报价，即每一个合同包和品目号的采购标的都只能有一个报价，</w:t>
      </w:r>
      <w:r>
        <w:rPr>
          <w:rFonts w:hint="eastAsia" w:ascii="宋体" w:hAnsi="宋体"/>
          <w:b/>
          <w:bCs/>
          <w:color w:val="auto"/>
          <w:sz w:val="22"/>
          <w:szCs w:val="22"/>
          <w:highlight w:val="none"/>
        </w:rPr>
        <w:t>否则响应无效。</w:t>
      </w:r>
      <w:r>
        <w:rPr>
          <w:rFonts w:hint="eastAsia" w:ascii="宋体" w:hAnsi="宋体"/>
          <w:bCs/>
          <w:color w:val="auto"/>
          <w:sz w:val="22"/>
          <w:szCs w:val="22"/>
          <w:highlight w:val="none"/>
        </w:rPr>
        <w:t>“采购标的”指磋商文件载明的需要采购的货物或服务。</w:t>
      </w:r>
    </w:p>
    <w:p>
      <w:pPr>
        <w:numPr>
          <w:ilvl w:val="1"/>
          <w:numId w:val="7"/>
        </w:numPr>
        <w:spacing w:line="440" w:lineRule="exact"/>
        <w:ind w:left="567"/>
        <w:rPr>
          <w:rFonts w:ascii="宋体" w:hAnsi="宋体"/>
          <w:bCs/>
          <w:color w:val="auto"/>
          <w:sz w:val="22"/>
          <w:szCs w:val="22"/>
          <w:highlight w:val="none"/>
        </w:rPr>
      </w:pPr>
      <w:r>
        <w:rPr>
          <w:rFonts w:hint="eastAsia" w:ascii="宋体" w:hAnsi="宋体"/>
          <w:bCs/>
          <w:color w:val="auto"/>
          <w:sz w:val="22"/>
          <w:szCs w:val="22"/>
          <w:highlight w:val="none"/>
        </w:rPr>
        <w:t>供应商对在合同执行中，除上述费用及磋商文件规定的由中标（成交）供应商负责的工作范围以外需要采购人协调或提供便利的工作应当在响应文件中说明。</w:t>
      </w:r>
    </w:p>
    <w:p>
      <w:pPr>
        <w:numPr>
          <w:ilvl w:val="0"/>
          <w:numId w:val="7"/>
        </w:numPr>
        <w:spacing w:line="440" w:lineRule="exact"/>
        <w:ind w:left="567" w:hanging="567"/>
        <w:rPr>
          <w:rFonts w:ascii="宋体" w:hAnsi="宋体" w:cs="Courier New"/>
          <w:color w:val="auto"/>
          <w:sz w:val="22"/>
          <w:szCs w:val="22"/>
          <w:highlight w:val="none"/>
        </w:rPr>
      </w:pPr>
      <w:r>
        <w:rPr>
          <w:rFonts w:hint="eastAsia" w:ascii="宋体" w:hAnsi="宋体" w:cs="Courier New"/>
          <w:color w:val="auto"/>
          <w:sz w:val="22"/>
          <w:szCs w:val="22"/>
          <w:highlight w:val="none"/>
        </w:rPr>
        <w:t>磋商保证金及赔偿损失金</w:t>
      </w:r>
    </w:p>
    <w:p>
      <w:pPr>
        <w:numPr>
          <w:ilvl w:val="1"/>
          <w:numId w:val="7"/>
        </w:numPr>
        <w:spacing w:line="440" w:lineRule="exact"/>
        <w:ind w:left="567"/>
        <w:rPr>
          <w:rFonts w:ascii="宋体" w:hAnsi="宋体"/>
          <w:color w:val="auto"/>
          <w:sz w:val="22"/>
          <w:szCs w:val="22"/>
          <w:highlight w:val="none"/>
        </w:rPr>
      </w:pPr>
      <w:bookmarkStart w:id="108" w:name="_Hlk10100474"/>
      <w:r>
        <w:rPr>
          <w:rFonts w:hint="eastAsia" w:ascii="宋体" w:hAnsi="宋体"/>
          <w:color w:val="auto"/>
          <w:sz w:val="22"/>
          <w:szCs w:val="22"/>
          <w:highlight w:val="none"/>
        </w:rPr>
        <w:t>本项目不收取磋商保证金，但不免除供应商相应的赔偿责任。</w:t>
      </w:r>
    </w:p>
    <w:bookmarkEnd w:id="108"/>
    <w:p>
      <w:pPr>
        <w:numPr>
          <w:ilvl w:val="1"/>
          <w:numId w:val="7"/>
        </w:numPr>
        <w:spacing w:line="440" w:lineRule="exact"/>
        <w:ind w:left="567"/>
        <w:rPr>
          <w:rFonts w:ascii="宋体" w:hAnsi="宋体"/>
          <w:color w:val="auto"/>
          <w:sz w:val="22"/>
          <w:szCs w:val="22"/>
          <w:highlight w:val="none"/>
        </w:rPr>
      </w:pPr>
      <w:r>
        <w:rPr>
          <w:rFonts w:hint="eastAsia" w:ascii="宋体" w:hAnsi="宋体"/>
          <w:bCs/>
          <w:color w:val="auto"/>
          <w:sz w:val="22"/>
          <w:szCs w:val="22"/>
          <w:highlight w:val="none"/>
        </w:rPr>
        <w:t>赔偿</w:t>
      </w:r>
      <w:r>
        <w:rPr>
          <w:rFonts w:hint="eastAsia" w:ascii="宋体" w:hAnsi="宋体"/>
          <w:color w:val="auto"/>
          <w:sz w:val="22"/>
          <w:szCs w:val="22"/>
          <w:highlight w:val="none"/>
        </w:rPr>
        <w:t>损失金为人民币伍万元整。</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如发生下列情况之一，将有权向其收取赔偿损失金：</w:t>
      </w:r>
    </w:p>
    <w:p>
      <w:pPr>
        <w:numPr>
          <w:ilvl w:val="0"/>
          <w:numId w:val="9"/>
        </w:numPr>
        <w:tabs>
          <w:tab w:val="left" w:pos="360"/>
          <w:tab w:val="clear" w:pos="420"/>
        </w:tabs>
        <w:spacing w:line="440" w:lineRule="exact"/>
        <w:ind w:left="720" w:hanging="720"/>
        <w:rPr>
          <w:rFonts w:ascii="宋体" w:hAnsi="宋体"/>
          <w:color w:val="auto"/>
          <w:sz w:val="22"/>
          <w:szCs w:val="22"/>
          <w:highlight w:val="none"/>
        </w:rPr>
      </w:pPr>
      <w:bookmarkStart w:id="109" w:name="_Hlk9436940"/>
      <w:r>
        <w:rPr>
          <w:rFonts w:hint="eastAsia" w:ascii="宋体" w:hAnsi="宋体"/>
          <w:color w:val="auto"/>
          <w:sz w:val="22"/>
          <w:szCs w:val="22"/>
          <w:highlight w:val="none"/>
        </w:rPr>
        <w:t>供应商在磋商文件规定的磋商有效期内撤回响应；</w:t>
      </w:r>
    </w:p>
    <w:p>
      <w:pPr>
        <w:numPr>
          <w:ilvl w:val="0"/>
          <w:numId w:val="9"/>
        </w:numPr>
        <w:tabs>
          <w:tab w:val="left" w:pos="360"/>
          <w:tab w:val="clear" w:pos="420"/>
        </w:tabs>
        <w:spacing w:line="440" w:lineRule="exact"/>
        <w:ind w:left="720" w:hanging="720"/>
        <w:rPr>
          <w:rFonts w:ascii="宋体" w:hAnsi="宋体"/>
          <w:color w:val="auto"/>
          <w:sz w:val="22"/>
          <w:szCs w:val="22"/>
          <w:highlight w:val="none"/>
        </w:rPr>
      </w:pPr>
      <w:r>
        <w:rPr>
          <w:rFonts w:hint="eastAsia" w:ascii="宋体" w:hAnsi="宋体"/>
          <w:color w:val="auto"/>
          <w:sz w:val="22"/>
          <w:szCs w:val="22"/>
          <w:highlight w:val="none"/>
        </w:rPr>
        <w:t>中标（成交）供应商未按中标（成交）通知书中规定的时间与采购人签订合同；</w:t>
      </w:r>
    </w:p>
    <w:p>
      <w:pPr>
        <w:numPr>
          <w:ilvl w:val="0"/>
          <w:numId w:val="9"/>
        </w:numPr>
        <w:tabs>
          <w:tab w:val="left" w:pos="360"/>
          <w:tab w:val="clear" w:pos="420"/>
        </w:tabs>
        <w:spacing w:line="440" w:lineRule="exact"/>
        <w:ind w:left="720" w:hanging="720"/>
        <w:rPr>
          <w:rFonts w:ascii="宋体" w:hAnsi="宋体"/>
          <w:color w:val="auto"/>
          <w:sz w:val="22"/>
          <w:szCs w:val="22"/>
          <w:highlight w:val="none"/>
        </w:rPr>
      </w:pPr>
      <w:r>
        <w:rPr>
          <w:rFonts w:hint="eastAsia" w:ascii="宋体" w:hAnsi="宋体"/>
          <w:color w:val="auto"/>
          <w:sz w:val="22"/>
          <w:szCs w:val="22"/>
          <w:highlight w:val="none"/>
        </w:rPr>
        <w:t>中标（成交）供应商在规定期限内未能根据磋商文件要求提供履约保证金；</w:t>
      </w:r>
    </w:p>
    <w:p>
      <w:pPr>
        <w:numPr>
          <w:ilvl w:val="0"/>
          <w:numId w:val="9"/>
        </w:numPr>
        <w:tabs>
          <w:tab w:val="left" w:pos="360"/>
          <w:tab w:val="clear" w:pos="420"/>
        </w:tabs>
        <w:spacing w:line="440" w:lineRule="exact"/>
        <w:ind w:left="720" w:hanging="720"/>
        <w:rPr>
          <w:rFonts w:ascii="宋体" w:hAnsi="宋体"/>
          <w:color w:val="auto"/>
          <w:sz w:val="22"/>
          <w:szCs w:val="22"/>
          <w:highlight w:val="none"/>
        </w:rPr>
      </w:pPr>
      <w:r>
        <w:rPr>
          <w:rFonts w:hint="eastAsia" w:ascii="宋体" w:hAnsi="宋体"/>
          <w:color w:val="auto"/>
          <w:sz w:val="22"/>
          <w:szCs w:val="22"/>
          <w:highlight w:val="none"/>
        </w:rPr>
        <w:t>供应商提供虚假材料或通过虚假响应、虚假陈述、虚假承诺谋取中标（成交）资格的；</w:t>
      </w:r>
    </w:p>
    <w:p>
      <w:pPr>
        <w:numPr>
          <w:ilvl w:val="0"/>
          <w:numId w:val="9"/>
        </w:numPr>
        <w:tabs>
          <w:tab w:val="left" w:pos="360"/>
          <w:tab w:val="clear" w:pos="420"/>
        </w:tabs>
        <w:spacing w:line="440" w:lineRule="exact"/>
        <w:ind w:left="720" w:hanging="720"/>
        <w:rPr>
          <w:rFonts w:ascii="宋体" w:hAnsi="宋体"/>
          <w:color w:val="auto"/>
          <w:sz w:val="22"/>
          <w:szCs w:val="22"/>
          <w:highlight w:val="none"/>
        </w:rPr>
      </w:pPr>
      <w:r>
        <w:rPr>
          <w:rFonts w:ascii="宋体" w:hAnsi="宋体"/>
          <w:color w:val="auto"/>
          <w:sz w:val="22"/>
          <w:szCs w:val="22"/>
          <w:highlight w:val="none"/>
        </w:rPr>
        <w:t>供应商在提交最后报价后要求退出磋商的；</w:t>
      </w:r>
    </w:p>
    <w:p>
      <w:pPr>
        <w:numPr>
          <w:ilvl w:val="0"/>
          <w:numId w:val="9"/>
        </w:numPr>
        <w:tabs>
          <w:tab w:val="left" w:pos="360"/>
          <w:tab w:val="clear" w:pos="420"/>
        </w:tabs>
        <w:spacing w:line="440" w:lineRule="exact"/>
        <w:ind w:left="720" w:hanging="720"/>
        <w:rPr>
          <w:rFonts w:ascii="宋体" w:hAnsi="宋体"/>
          <w:color w:val="auto"/>
          <w:sz w:val="22"/>
          <w:szCs w:val="22"/>
          <w:highlight w:val="none"/>
        </w:rPr>
      </w:pPr>
      <w:r>
        <w:rPr>
          <w:rFonts w:hint="eastAsia" w:ascii="宋体" w:hAnsi="宋体"/>
          <w:color w:val="auto"/>
          <w:sz w:val="22"/>
          <w:szCs w:val="22"/>
          <w:highlight w:val="none"/>
        </w:rPr>
        <w:t>经监督部门审查认定供应商有违反</w:t>
      </w:r>
      <w:r>
        <w:rPr>
          <w:rFonts w:ascii="宋体" w:hAnsi="宋体"/>
          <w:color w:val="auto"/>
          <w:sz w:val="22"/>
          <w:szCs w:val="22"/>
          <w:highlight w:val="none"/>
        </w:rPr>
        <w:t>有关</w:t>
      </w:r>
      <w:r>
        <w:rPr>
          <w:rFonts w:hint="eastAsia" w:ascii="宋体" w:hAnsi="宋体"/>
          <w:color w:val="auto"/>
          <w:sz w:val="22"/>
          <w:szCs w:val="22"/>
          <w:highlight w:val="none"/>
        </w:rPr>
        <w:t>法律、法规的行为。</w:t>
      </w:r>
    </w:p>
    <w:bookmarkEnd w:id="109"/>
    <w:p>
      <w:pPr>
        <w:tabs>
          <w:tab w:val="left" w:pos="525"/>
        </w:tabs>
        <w:spacing w:line="440" w:lineRule="exact"/>
        <w:rPr>
          <w:rFonts w:ascii="宋体" w:hAnsi="宋体"/>
          <w:b/>
          <w:color w:val="auto"/>
          <w:sz w:val="22"/>
          <w:szCs w:val="22"/>
          <w:highlight w:val="none"/>
        </w:rPr>
      </w:pPr>
      <w:r>
        <w:rPr>
          <w:rFonts w:hint="eastAsia" w:ascii="宋体" w:hAnsi="宋体"/>
          <w:b/>
          <w:color w:val="auto"/>
          <w:sz w:val="22"/>
          <w:szCs w:val="22"/>
          <w:highlight w:val="none"/>
        </w:rPr>
        <w:t>※</w:t>
      </w:r>
      <w:r>
        <w:rPr>
          <w:rFonts w:ascii="宋体" w:hAnsi="宋体"/>
          <w:b/>
          <w:color w:val="auto"/>
          <w:sz w:val="22"/>
          <w:szCs w:val="22"/>
          <w:highlight w:val="none"/>
        </w:rPr>
        <w:t>上述</w:t>
      </w:r>
      <w:r>
        <w:rPr>
          <w:rFonts w:hint="eastAsia" w:ascii="宋体" w:hAnsi="宋体"/>
          <w:b/>
          <w:color w:val="auto"/>
          <w:sz w:val="22"/>
          <w:szCs w:val="22"/>
          <w:highlight w:val="none"/>
        </w:rPr>
        <w:t>赔偿损失金</w:t>
      </w:r>
      <w:r>
        <w:rPr>
          <w:rFonts w:ascii="宋体" w:hAnsi="宋体"/>
          <w:b/>
          <w:color w:val="auto"/>
          <w:sz w:val="22"/>
          <w:szCs w:val="22"/>
          <w:highlight w:val="none"/>
        </w:rPr>
        <w:t>不能抵偿给采购人或采购代理机构造成损失的，供应商还要承担赔偿责任。</w:t>
      </w:r>
    </w:p>
    <w:p>
      <w:pPr>
        <w:numPr>
          <w:ilvl w:val="0"/>
          <w:numId w:val="7"/>
        </w:numPr>
        <w:spacing w:line="440" w:lineRule="exact"/>
        <w:ind w:left="567" w:hanging="567"/>
        <w:rPr>
          <w:rFonts w:ascii="宋体" w:hAnsi="宋体" w:cs="Courier New"/>
          <w:color w:val="auto"/>
          <w:sz w:val="22"/>
          <w:szCs w:val="22"/>
          <w:highlight w:val="none"/>
        </w:rPr>
      </w:pPr>
      <w:r>
        <w:rPr>
          <w:rFonts w:ascii="宋体" w:hAnsi="宋体" w:cs="Courier New"/>
          <w:color w:val="auto"/>
          <w:sz w:val="22"/>
          <w:szCs w:val="22"/>
          <w:highlight w:val="none"/>
        </w:rPr>
        <w:t>磋商有效期</w:t>
      </w:r>
    </w:p>
    <w:p>
      <w:pPr>
        <w:numPr>
          <w:ilvl w:val="1"/>
          <w:numId w:val="7"/>
        </w:numPr>
        <w:spacing w:line="440" w:lineRule="exact"/>
        <w:ind w:left="567"/>
        <w:rPr>
          <w:rFonts w:ascii="宋体" w:hAnsi="宋体"/>
          <w:bCs/>
          <w:color w:val="auto"/>
          <w:sz w:val="22"/>
          <w:szCs w:val="22"/>
          <w:highlight w:val="none"/>
          <w:u w:val="single"/>
        </w:rPr>
      </w:pPr>
      <w:r>
        <w:rPr>
          <w:rFonts w:hint="eastAsia" w:ascii="宋体" w:hAnsi="宋体" w:cs="Courier New"/>
          <w:bCs/>
          <w:color w:val="auto"/>
          <w:sz w:val="22"/>
          <w:szCs w:val="22"/>
          <w:highlight w:val="none"/>
        </w:rPr>
        <w:t>磋商有效期见供应商</w:t>
      </w:r>
      <w:r>
        <w:rPr>
          <w:rFonts w:ascii="宋体" w:hAnsi="宋体" w:cs="Courier New"/>
          <w:bCs/>
          <w:color w:val="auto"/>
          <w:sz w:val="22"/>
          <w:szCs w:val="22"/>
          <w:highlight w:val="none"/>
        </w:rPr>
        <w:t>须知前附表</w:t>
      </w:r>
      <w:r>
        <w:rPr>
          <w:rFonts w:hint="eastAsia" w:ascii="宋体" w:hAnsi="宋体" w:cs="Courier New"/>
          <w:bCs/>
          <w:color w:val="auto"/>
          <w:sz w:val="22"/>
          <w:szCs w:val="22"/>
          <w:highlight w:val="none"/>
        </w:rPr>
        <w:t>，响应文件有效期短于这个规定期限的将被拒绝，其</w:t>
      </w:r>
      <w:r>
        <w:rPr>
          <w:rFonts w:hint="eastAsia" w:ascii="宋体" w:hAnsi="宋体" w:cs="Courier New"/>
          <w:b/>
          <w:color w:val="auto"/>
          <w:sz w:val="22"/>
          <w:szCs w:val="22"/>
          <w:highlight w:val="none"/>
        </w:rPr>
        <w:t>响应无效。</w:t>
      </w:r>
    </w:p>
    <w:p>
      <w:pPr>
        <w:numPr>
          <w:ilvl w:val="1"/>
          <w:numId w:val="7"/>
        </w:numPr>
        <w:spacing w:line="440" w:lineRule="exact"/>
        <w:ind w:left="567"/>
        <w:rPr>
          <w:rFonts w:ascii="宋体" w:hAnsi="宋体"/>
          <w:color w:val="auto"/>
          <w:sz w:val="22"/>
          <w:szCs w:val="22"/>
          <w:highlight w:val="none"/>
          <w:u w:val="single"/>
        </w:rPr>
      </w:pPr>
      <w:r>
        <w:rPr>
          <w:rFonts w:hint="eastAsia" w:ascii="宋体" w:hAnsi="宋体" w:cs="Courier New"/>
          <w:color w:val="auto"/>
          <w:sz w:val="22"/>
          <w:szCs w:val="22"/>
          <w:highlight w:val="none"/>
        </w:rPr>
        <w:t>在供应商须知前附表规定的磋商有效期内，供应商不得要求撤销或修改其响应文件。</w:t>
      </w:r>
    </w:p>
    <w:p>
      <w:pPr>
        <w:numPr>
          <w:ilvl w:val="1"/>
          <w:numId w:val="7"/>
        </w:numPr>
        <w:spacing w:line="440" w:lineRule="exact"/>
        <w:ind w:left="567"/>
        <w:rPr>
          <w:rFonts w:ascii="宋体" w:hAnsi="宋体" w:cs="Courier New"/>
          <w:color w:val="auto"/>
          <w:sz w:val="22"/>
          <w:szCs w:val="22"/>
          <w:highlight w:val="none"/>
        </w:rPr>
      </w:pPr>
      <w:r>
        <w:rPr>
          <w:rFonts w:hint="eastAsia" w:ascii="宋体" w:hAnsi="宋体" w:cs="Courier New"/>
          <w:color w:val="auto"/>
          <w:sz w:val="22"/>
          <w:szCs w:val="22"/>
          <w:highlight w:val="none"/>
        </w:rPr>
        <w:t>特殊情况下，采购人可于响应文件有效期满之前要求供应商同意延长有效期，要求与答复均应为书面形式。同意延长有效期的供应商，不需要也不允许修改其响应文件及磋商承诺。</w:t>
      </w:r>
    </w:p>
    <w:p>
      <w:pPr>
        <w:numPr>
          <w:ilvl w:val="0"/>
          <w:numId w:val="7"/>
        </w:numPr>
        <w:spacing w:line="440" w:lineRule="exact"/>
        <w:ind w:left="567" w:hanging="567"/>
        <w:rPr>
          <w:rFonts w:ascii="宋体" w:hAnsi="宋体" w:cs="Courier New"/>
          <w:color w:val="auto"/>
          <w:sz w:val="22"/>
          <w:szCs w:val="22"/>
          <w:highlight w:val="none"/>
        </w:rPr>
      </w:pPr>
      <w:r>
        <w:rPr>
          <w:rFonts w:hint="eastAsia" w:ascii="宋体" w:hAnsi="宋体" w:cs="Courier New"/>
          <w:color w:val="auto"/>
          <w:sz w:val="22"/>
          <w:szCs w:val="22"/>
          <w:highlight w:val="none"/>
        </w:rPr>
        <w:t>响应文件的编制</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本项目通过“政府采购云平台（www.zcygov.cn）”实行在线投标响应（电子投标）。</w:t>
      </w:r>
    </w:p>
    <w:p>
      <w:pPr>
        <w:numPr>
          <w:ilvl w:val="1"/>
          <w:numId w:val="7"/>
        </w:numPr>
        <w:spacing w:line="440" w:lineRule="exact"/>
        <w:ind w:left="567"/>
        <w:rPr>
          <w:rFonts w:ascii="宋体" w:hAnsi="宋体"/>
          <w:b/>
          <w:bCs/>
          <w:color w:val="auto"/>
          <w:sz w:val="22"/>
          <w:szCs w:val="22"/>
          <w:highlight w:val="none"/>
        </w:rPr>
      </w:pPr>
      <w:r>
        <w:rPr>
          <w:rFonts w:hint="eastAsia" w:ascii="宋体" w:hAnsi="宋体"/>
          <w:color w:val="auto"/>
          <w:sz w:val="22"/>
          <w:szCs w:val="22"/>
          <w:highlight w:val="none"/>
        </w:rPr>
        <w:t>供应商应先安装“政采云电子交易客户端”，并按照本磋商文件和“政府采购云平台”的要求，通过“政采云电子交易客户端”编制并加密响应文件。</w:t>
      </w:r>
      <w:r>
        <w:rPr>
          <w:rFonts w:hint="eastAsia" w:ascii="宋体" w:hAnsi="宋体"/>
          <w:b/>
          <w:bCs/>
          <w:color w:val="auto"/>
          <w:sz w:val="22"/>
          <w:szCs w:val="22"/>
          <w:highlight w:val="none"/>
        </w:rPr>
        <w:t>供应商未按规定加密的响应文件，“政府采购云平台”将予以拒收。</w:t>
      </w:r>
    </w:p>
    <w:p>
      <w:pPr>
        <w:numPr>
          <w:ilvl w:val="1"/>
          <w:numId w:val="7"/>
        </w:numPr>
        <w:spacing w:line="440" w:lineRule="exact"/>
        <w:ind w:left="567"/>
        <w:rPr>
          <w:rFonts w:ascii="宋体" w:hAnsi="宋体"/>
          <w:b/>
          <w:color w:val="auto"/>
          <w:sz w:val="22"/>
          <w:szCs w:val="22"/>
          <w:highlight w:val="none"/>
        </w:rPr>
      </w:pPr>
      <w:r>
        <w:rPr>
          <w:rFonts w:hint="eastAsia" w:ascii="宋体" w:hAnsi="宋体"/>
          <w:bCs/>
          <w:color w:val="auto"/>
          <w:sz w:val="22"/>
          <w:szCs w:val="22"/>
          <w:highlight w:val="none"/>
        </w:rPr>
        <w:t>本文件《第三部分 应提交的有关格式范例》中有提供格式的，供应商须参照格式进行编制（格式中要求提供相关证明材料的还需后附相关证明材料），</w:t>
      </w:r>
      <w:r>
        <w:rPr>
          <w:rFonts w:hint="eastAsia" w:ascii="宋体" w:hAnsi="宋体"/>
          <w:b/>
          <w:color w:val="auto"/>
          <w:sz w:val="22"/>
          <w:szCs w:val="22"/>
          <w:highlight w:val="none"/>
        </w:rPr>
        <w:t>并按格式要求在指定位置根据要求进行</w:t>
      </w:r>
      <w:r>
        <w:rPr>
          <w:rFonts w:ascii="宋体" w:hAnsi="宋体"/>
          <w:b/>
          <w:color w:val="auto"/>
          <w:sz w:val="22"/>
          <w:szCs w:val="22"/>
          <w:highlight w:val="none"/>
        </w:rPr>
        <w:t>签署</w:t>
      </w:r>
      <w:r>
        <w:rPr>
          <w:rFonts w:hint="eastAsia" w:ascii="宋体" w:hAnsi="宋体"/>
          <w:b/>
          <w:color w:val="auto"/>
          <w:sz w:val="22"/>
          <w:szCs w:val="22"/>
          <w:highlight w:val="none"/>
        </w:rPr>
        <w:t>、盖章，否则视为未提供；</w:t>
      </w:r>
      <w:r>
        <w:rPr>
          <w:rFonts w:hint="eastAsia" w:ascii="宋体" w:hAnsi="宋体"/>
          <w:bCs/>
          <w:color w:val="auto"/>
          <w:sz w:val="22"/>
          <w:szCs w:val="22"/>
          <w:highlight w:val="none"/>
        </w:rPr>
        <w:t>磋商文件未提供格式的，请各供应商自行编写。</w:t>
      </w:r>
    </w:p>
    <w:p>
      <w:pPr>
        <w:numPr>
          <w:ilvl w:val="0"/>
          <w:numId w:val="7"/>
        </w:numPr>
        <w:spacing w:line="440" w:lineRule="exact"/>
        <w:ind w:left="567" w:hanging="567"/>
        <w:rPr>
          <w:rFonts w:ascii="宋体" w:hAnsi="宋体" w:cs="Courier New"/>
          <w:color w:val="auto"/>
          <w:sz w:val="22"/>
          <w:szCs w:val="22"/>
          <w:highlight w:val="none"/>
        </w:rPr>
      </w:pPr>
      <w:r>
        <w:rPr>
          <w:rFonts w:hint="eastAsia" w:ascii="宋体" w:hAnsi="宋体" w:cs="Courier New"/>
          <w:color w:val="auto"/>
          <w:sz w:val="22"/>
          <w:szCs w:val="22"/>
          <w:highlight w:val="none"/>
        </w:rPr>
        <w:t>响应文件的签章</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响应文件</w:t>
      </w:r>
      <w:r>
        <w:rPr>
          <w:rFonts w:ascii="宋体" w:hAnsi="宋体"/>
          <w:bCs/>
          <w:color w:val="auto"/>
          <w:sz w:val="22"/>
          <w:szCs w:val="22"/>
          <w:highlight w:val="none"/>
        </w:rPr>
        <w:t>签</w:t>
      </w:r>
      <w:r>
        <w:rPr>
          <w:rFonts w:hint="eastAsia" w:ascii="宋体" w:hAnsi="宋体" w:cs="楷体"/>
          <w:color w:val="auto"/>
          <w:kern w:val="0"/>
          <w:sz w:val="22"/>
          <w:szCs w:val="22"/>
          <w:highlight w:val="none"/>
        </w:rPr>
        <w:t>章</w:t>
      </w:r>
      <w:r>
        <w:rPr>
          <w:rFonts w:hint="eastAsia" w:ascii="宋体" w:hAnsi="宋体"/>
          <w:color w:val="auto"/>
          <w:sz w:val="22"/>
          <w:szCs w:val="22"/>
          <w:highlight w:val="none"/>
        </w:rPr>
        <w:t>：见供应商须知前附表。</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电子签章操作指南详见“政府采购云平台（www.zcygov.cn）”中供应商项目采购-电子招投标操作指南。</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响应文件如有修改和增删必须由供应商代表在修改和增删处旁签署或加盖供应商的单位公章，方才有效。</w:t>
      </w:r>
    </w:p>
    <w:p>
      <w:pPr>
        <w:numPr>
          <w:ilvl w:val="0"/>
          <w:numId w:val="7"/>
        </w:numPr>
        <w:spacing w:line="440" w:lineRule="exact"/>
        <w:ind w:left="567" w:hanging="567"/>
        <w:rPr>
          <w:rFonts w:ascii="宋体" w:hAnsi="宋体" w:cs="Courier New"/>
          <w:color w:val="auto"/>
          <w:sz w:val="22"/>
          <w:szCs w:val="22"/>
          <w:highlight w:val="none"/>
        </w:rPr>
      </w:pPr>
      <w:r>
        <w:rPr>
          <w:rFonts w:hint="eastAsia" w:ascii="宋体" w:hAnsi="宋体" w:cs="Courier New"/>
          <w:color w:val="auto"/>
          <w:sz w:val="22"/>
          <w:szCs w:val="22"/>
          <w:highlight w:val="none"/>
        </w:rPr>
        <w:t>响应文件的形式</w:t>
      </w:r>
      <w:r>
        <w:rPr>
          <w:rFonts w:hint="eastAsia" w:ascii="宋体" w:hAnsi="宋体"/>
          <w:color w:val="auto"/>
          <w:sz w:val="22"/>
          <w:szCs w:val="22"/>
          <w:highlight w:val="none"/>
        </w:rPr>
        <w:t>：见供应商须知前附表。</w:t>
      </w:r>
    </w:p>
    <w:p>
      <w:pPr>
        <w:numPr>
          <w:ilvl w:val="0"/>
          <w:numId w:val="7"/>
        </w:numPr>
        <w:spacing w:line="440" w:lineRule="exact"/>
        <w:ind w:left="567" w:hanging="567"/>
        <w:rPr>
          <w:rFonts w:ascii="宋体" w:hAnsi="宋体" w:cs="Courier New"/>
          <w:color w:val="auto"/>
          <w:sz w:val="22"/>
          <w:szCs w:val="22"/>
          <w:highlight w:val="none"/>
        </w:rPr>
      </w:pPr>
      <w:r>
        <w:rPr>
          <w:rFonts w:hint="eastAsia" w:ascii="宋体" w:hAnsi="宋体" w:cs="Courier New"/>
          <w:color w:val="auto"/>
          <w:sz w:val="22"/>
          <w:szCs w:val="22"/>
          <w:highlight w:val="none"/>
        </w:rPr>
        <w:t>响应文件的份数</w:t>
      </w:r>
      <w:r>
        <w:rPr>
          <w:rFonts w:hint="eastAsia" w:ascii="宋体" w:hAnsi="宋体"/>
          <w:color w:val="auto"/>
          <w:sz w:val="22"/>
          <w:szCs w:val="22"/>
          <w:highlight w:val="none"/>
        </w:rPr>
        <w:t>：见供应商须知前附表。</w:t>
      </w:r>
    </w:p>
    <w:p>
      <w:pPr>
        <w:pStyle w:val="6"/>
        <w:spacing w:line="440" w:lineRule="exact"/>
        <w:jc w:val="center"/>
        <w:rPr>
          <w:rFonts w:ascii="宋体" w:hAnsi="宋体" w:eastAsia="宋体" w:cs="Courier New"/>
          <w:color w:val="auto"/>
          <w:highlight w:val="none"/>
        </w:rPr>
      </w:pPr>
      <w:bookmarkStart w:id="110" w:name="_Toc223715998"/>
      <w:bookmarkStart w:id="111" w:name="_Toc246261265"/>
      <w:bookmarkStart w:id="112" w:name="_Toc239145354"/>
      <w:bookmarkStart w:id="113" w:name="_Toc222114879"/>
      <w:bookmarkStart w:id="114" w:name="_Toc221356887"/>
      <w:bookmarkStart w:id="115" w:name="_Toc30374"/>
      <w:bookmarkStart w:id="116" w:name="_Toc221374626"/>
      <w:bookmarkStart w:id="117" w:name="_Toc241404202"/>
      <w:bookmarkStart w:id="118" w:name="_Toc221423619"/>
      <w:bookmarkStart w:id="119" w:name="_Toc249758712"/>
      <w:bookmarkStart w:id="120" w:name="_Toc262049418"/>
      <w:bookmarkStart w:id="121" w:name="_Toc221356951"/>
      <w:bookmarkStart w:id="122" w:name="_Toc245191314"/>
      <w:bookmarkStart w:id="123" w:name="_Toc245722281"/>
      <w:bookmarkStart w:id="124" w:name="_Toc262105503"/>
      <w:bookmarkStart w:id="125" w:name="_Toc1281"/>
      <w:bookmarkStart w:id="126" w:name="_Toc249758864"/>
      <w:r>
        <w:rPr>
          <w:rFonts w:ascii="宋体" w:hAnsi="宋体" w:eastAsia="宋体" w:cs="Courier New"/>
          <w:color w:val="auto"/>
          <w:highlight w:val="none"/>
        </w:rPr>
        <w:t>四</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ascii="宋体" w:hAnsi="宋体" w:eastAsia="宋体" w:cs="Courier New"/>
          <w:color w:val="auto"/>
          <w:highlight w:val="none"/>
        </w:rPr>
        <w:t>、响应文件的递交</w:t>
      </w:r>
    </w:p>
    <w:p>
      <w:pPr>
        <w:numPr>
          <w:ilvl w:val="0"/>
          <w:numId w:val="7"/>
        </w:numPr>
        <w:spacing w:line="440" w:lineRule="exact"/>
        <w:ind w:left="567" w:hanging="567"/>
        <w:rPr>
          <w:rFonts w:ascii="宋体" w:hAnsi="宋体" w:cs="Courier New"/>
          <w:color w:val="auto"/>
          <w:sz w:val="22"/>
          <w:szCs w:val="22"/>
          <w:highlight w:val="none"/>
        </w:rPr>
      </w:pPr>
      <w:r>
        <w:rPr>
          <w:rFonts w:hint="eastAsia" w:ascii="宋体" w:hAnsi="宋体" w:cs="Courier New"/>
          <w:color w:val="auto"/>
          <w:sz w:val="22"/>
          <w:szCs w:val="22"/>
          <w:highlight w:val="none"/>
        </w:rPr>
        <w:t>响应文件的上传、递交</w:t>
      </w:r>
      <w:r>
        <w:rPr>
          <w:rFonts w:hint="eastAsia" w:ascii="宋体" w:hAnsi="宋体"/>
          <w:bCs/>
          <w:color w:val="auto"/>
          <w:sz w:val="22"/>
          <w:szCs w:val="22"/>
          <w:highlight w:val="none"/>
        </w:rPr>
        <w:t>：见供应商须知前附表。</w:t>
      </w:r>
    </w:p>
    <w:p>
      <w:pPr>
        <w:numPr>
          <w:ilvl w:val="0"/>
          <w:numId w:val="7"/>
        </w:numPr>
        <w:spacing w:line="440" w:lineRule="exact"/>
        <w:ind w:left="567" w:hanging="567"/>
        <w:rPr>
          <w:rFonts w:ascii="宋体" w:hAnsi="宋体"/>
          <w:bCs/>
          <w:color w:val="auto"/>
          <w:sz w:val="22"/>
          <w:szCs w:val="22"/>
          <w:highlight w:val="none"/>
        </w:rPr>
      </w:pPr>
      <w:r>
        <w:rPr>
          <w:rFonts w:hint="eastAsia" w:ascii="宋体" w:hAnsi="宋体"/>
          <w:bCs/>
          <w:color w:val="auto"/>
          <w:sz w:val="22"/>
          <w:szCs w:val="22"/>
          <w:highlight w:val="none"/>
        </w:rPr>
        <w:t>电子加密响应文件解密和异常情况处理：见供应商须知前附表。</w:t>
      </w:r>
    </w:p>
    <w:p>
      <w:pPr>
        <w:numPr>
          <w:ilvl w:val="0"/>
          <w:numId w:val="7"/>
        </w:numPr>
        <w:spacing w:line="440" w:lineRule="exact"/>
        <w:ind w:left="567" w:hanging="567"/>
        <w:rPr>
          <w:rFonts w:ascii="宋体" w:hAnsi="宋体"/>
          <w:bCs/>
          <w:color w:val="auto"/>
          <w:sz w:val="22"/>
          <w:szCs w:val="22"/>
          <w:highlight w:val="none"/>
        </w:rPr>
      </w:pPr>
      <w:r>
        <w:rPr>
          <w:rFonts w:hint="eastAsia" w:ascii="宋体" w:hAnsi="宋体"/>
          <w:bCs/>
          <w:color w:val="auto"/>
          <w:sz w:val="22"/>
          <w:szCs w:val="22"/>
          <w:highlight w:val="none"/>
        </w:rPr>
        <w:t>响应文件的补充、修改或撤回</w:t>
      </w:r>
    </w:p>
    <w:p>
      <w:pPr>
        <w:numPr>
          <w:ilvl w:val="1"/>
          <w:numId w:val="7"/>
        </w:numPr>
        <w:spacing w:line="440" w:lineRule="exact"/>
        <w:ind w:left="567"/>
        <w:rPr>
          <w:rFonts w:ascii="宋体" w:hAnsi="宋体"/>
          <w:b/>
          <w:color w:val="auto"/>
          <w:sz w:val="22"/>
          <w:szCs w:val="22"/>
          <w:highlight w:val="none"/>
        </w:rPr>
      </w:pPr>
      <w:r>
        <w:rPr>
          <w:rFonts w:hint="eastAsia" w:ascii="宋体" w:hAnsi="宋体"/>
          <w:bCs/>
          <w:color w:val="auto"/>
          <w:sz w:val="22"/>
          <w:szCs w:val="22"/>
          <w:highlight w:val="none"/>
        </w:rPr>
        <w:t>供应商应当在响应文件递交截止时间前完成响应文件的上传、递交，并可以补充、修改或者撤回响应文件。补充或者修改响应文件的，应当先行撤回原文件，补充、修改后重新上传、递交。响应文件递交截止时间前未完成上传、递交的，视为撤回响应文件。</w:t>
      </w:r>
    </w:p>
    <w:p>
      <w:pPr>
        <w:numPr>
          <w:ilvl w:val="1"/>
          <w:numId w:val="7"/>
        </w:numPr>
        <w:spacing w:line="440" w:lineRule="exact"/>
        <w:ind w:left="567"/>
        <w:rPr>
          <w:rFonts w:ascii="宋体" w:hAnsi="宋体"/>
          <w:b/>
          <w:color w:val="auto"/>
          <w:sz w:val="22"/>
          <w:szCs w:val="22"/>
          <w:highlight w:val="none"/>
        </w:rPr>
      </w:pPr>
      <w:r>
        <w:rPr>
          <w:rFonts w:hint="eastAsia" w:ascii="宋体" w:hAnsi="宋体"/>
          <w:b/>
          <w:color w:val="auto"/>
          <w:sz w:val="22"/>
          <w:szCs w:val="22"/>
          <w:highlight w:val="none"/>
        </w:rPr>
        <w:t>响应文件递交截止时间后递交的响应文件，“政府采购云平台”将予以拒收。</w:t>
      </w:r>
    </w:p>
    <w:p>
      <w:pPr>
        <w:numPr>
          <w:ilvl w:val="1"/>
          <w:numId w:val="7"/>
        </w:numPr>
        <w:spacing w:line="440" w:lineRule="exact"/>
        <w:ind w:left="567"/>
        <w:rPr>
          <w:rFonts w:ascii="宋体" w:hAnsi="宋体"/>
          <w:bCs/>
          <w:color w:val="auto"/>
          <w:sz w:val="22"/>
          <w:szCs w:val="22"/>
          <w:highlight w:val="none"/>
        </w:rPr>
      </w:pPr>
      <w:r>
        <w:rPr>
          <w:rFonts w:hint="eastAsia" w:ascii="宋体" w:hAnsi="宋体"/>
          <w:bCs/>
          <w:color w:val="auto"/>
          <w:sz w:val="22"/>
          <w:szCs w:val="22"/>
          <w:highlight w:val="none"/>
        </w:rPr>
        <w:t>响应文件递交截止时间后，供应商不得撤回、修改响应文件。</w:t>
      </w:r>
    </w:p>
    <w:p>
      <w:pPr>
        <w:numPr>
          <w:ilvl w:val="0"/>
          <w:numId w:val="7"/>
        </w:numPr>
        <w:spacing w:line="440" w:lineRule="exact"/>
        <w:ind w:left="567" w:hanging="567"/>
        <w:rPr>
          <w:rFonts w:ascii="宋体" w:hAnsi="宋体"/>
          <w:bCs/>
          <w:color w:val="auto"/>
          <w:sz w:val="22"/>
          <w:szCs w:val="22"/>
          <w:highlight w:val="none"/>
        </w:rPr>
      </w:pPr>
      <w:r>
        <w:rPr>
          <w:rFonts w:hint="eastAsia" w:ascii="宋体" w:hAnsi="宋体"/>
          <w:bCs/>
          <w:color w:val="auto"/>
          <w:sz w:val="22"/>
          <w:szCs w:val="22"/>
          <w:highlight w:val="none"/>
        </w:rPr>
        <w:t>响应文件的备选方案</w:t>
      </w:r>
    </w:p>
    <w:p>
      <w:pPr>
        <w:numPr>
          <w:ilvl w:val="1"/>
          <w:numId w:val="7"/>
        </w:numPr>
        <w:spacing w:line="440" w:lineRule="exact"/>
        <w:ind w:left="567"/>
        <w:rPr>
          <w:rFonts w:ascii="宋体" w:hAnsi="宋体" w:cs="Courier New"/>
          <w:color w:val="auto"/>
          <w:sz w:val="22"/>
          <w:szCs w:val="22"/>
          <w:highlight w:val="none"/>
        </w:rPr>
      </w:pPr>
      <w:r>
        <w:rPr>
          <w:rFonts w:hint="eastAsia" w:ascii="宋体" w:hAnsi="宋体" w:cs="Courier New"/>
          <w:color w:val="auto"/>
          <w:sz w:val="22"/>
          <w:szCs w:val="22"/>
          <w:highlight w:val="none"/>
        </w:rPr>
        <w:t>供应商不得递交任何的响应备选（替代）方案，否则其响应文件将作无效响应处理。与“电子加密响应文件”同时生成的</w:t>
      </w:r>
      <w:r>
        <w:rPr>
          <w:rFonts w:hint="eastAsia" w:ascii="宋体" w:hAnsi="宋体"/>
          <w:bCs/>
          <w:color w:val="auto"/>
          <w:sz w:val="22"/>
          <w:szCs w:val="22"/>
          <w:highlight w:val="none"/>
        </w:rPr>
        <w:t>“备份响应文件”</w:t>
      </w:r>
      <w:r>
        <w:rPr>
          <w:rFonts w:hint="eastAsia" w:ascii="宋体" w:hAnsi="宋体" w:cs="Courier New"/>
          <w:color w:val="auto"/>
          <w:sz w:val="22"/>
          <w:szCs w:val="22"/>
          <w:highlight w:val="none"/>
        </w:rPr>
        <w:t>不是响应备选（替代）方案。</w:t>
      </w:r>
    </w:p>
    <w:p>
      <w:pPr>
        <w:pStyle w:val="6"/>
        <w:spacing w:line="400" w:lineRule="exact"/>
        <w:jc w:val="center"/>
        <w:rPr>
          <w:rFonts w:ascii="宋体" w:hAnsi="宋体" w:eastAsia="宋体" w:cs="Courier New"/>
          <w:color w:val="auto"/>
          <w:highlight w:val="none"/>
        </w:rPr>
      </w:pPr>
      <w:bookmarkStart w:id="127" w:name="_Toc205005290"/>
      <w:bookmarkStart w:id="128" w:name="_Toc207609185"/>
      <w:bookmarkStart w:id="129" w:name="_Toc204578579"/>
      <w:bookmarkStart w:id="130" w:name="_Toc223933225"/>
      <w:bookmarkStart w:id="131" w:name="_Toc205877456"/>
      <w:bookmarkStart w:id="132" w:name="_Toc209261369"/>
      <w:bookmarkStart w:id="133" w:name="_Toc457249657"/>
      <w:bookmarkStart w:id="134" w:name="_Toc219538617"/>
      <w:bookmarkStart w:id="135" w:name="_Toc214365794"/>
      <w:bookmarkStart w:id="136" w:name="_Toc205877561"/>
      <w:bookmarkStart w:id="137" w:name="_Toc227057037"/>
      <w:bookmarkStart w:id="138" w:name="_Toc217460689"/>
      <w:bookmarkStart w:id="139" w:name="_Toc223717608"/>
      <w:bookmarkStart w:id="140" w:name="_Toc215415534"/>
      <w:bookmarkStart w:id="141" w:name="_Toc209251131"/>
      <w:bookmarkStart w:id="142" w:name="_Toc227056850"/>
      <w:bookmarkStart w:id="143" w:name="_Toc209332637"/>
      <w:bookmarkStart w:id="144" w:name="_Toc216667824"/>
      <w:bookmarkStart w:id="145" w:name="_Toc210879712"/>
      <w:bookmarkStart w:id="146" w:name="_Toc204491321"/>
      <w:bookmarkStart w:id="147" w:name="_Toc209261436"/>
      <w:bookmarkStart w:id="148" w:name="_Toc205004972"/>
      <w:bookmarkStart w:id="149" w:name="_Toc227489891"/>
      <w:bookmarkStart w:id="150" w:name="_Toc205703106"/>
      <w:bookmarkStart w:id="151" w:name="_Toc209250723"/>
      <w:bookmarkStart w:id="152" w:name="_Toc218041730"/>
      <w:bookmarkStart w:id="153" w:name="_Toc23228"/>
      <w:bookmarkStart w:id="154" w:name="_Toc28309"/>
      <w:r>
        <w:rPr>
          <w:rFonts w:hint="eastAsia" w:ascii="宋体" w:hAnsi="宋体" w:eastAsia="宋体" w:cs="Courier New"/>
          <w:color w:val="auto"/>
          <w:highlight w:val="none"/>
        </w:rPr>
        <w:t>五</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Fonts w:hint="eastAsia" w:ascii="宋体" w:hAnsi="宋体" w:eastAsia="宋体" w:cs="Courier New"/>
          <w:color w:val="auto"/>
          <w:highlight w:val="none"/>
        </w:rPr>
        <w:t>、电子化</w:t>
      </w:r>
      <w:bookmarkEnd w:id="153"/>
      <w:bookmarkEnd w:id="154"/>
      <w:r>
        <w:rPr>
          <w:rFonts w:hint="eastAsia" w:ascii="宋体" w:hAnsi="宋体" w:eastAsia="宋体" w:cs="Courier New"/>
          <w:color w:val="auto"/>
          <w:highlight w:val="none"/>
        </w:rPr>
        <w:t>开启</w:t>
      </w:r>
    </w:p>
    <w:p>
      <w:pPr>
        <w:numPr>
          <w:ilvl w:val="0"/>
          <w:numId w:val="7"/>
        </w:numPr>
        <w:spacing w:line="440" w:lineRule="exact"/>
        <w:ind w:left="567" w:hanging="567"/>
        <w:rPr>
          <w:rFonts w:ascii="宋体" w:hAnsi="宋体" w:cs="Courier New"/>
          <w:color w:val="auto"/>
          <w:sz w:val="22"/>
          <w:szCs w:val="22"/>
          <w:highlight w:val="none"/>
        </w:rPr>
      </w:pPr>
      <w:r>
        <w:rPr>
          <w:rFonts w:hint="eastAsia" w:ascii="宋体" w:hAnsi="宋体" w:cs="Courier New"/>
          <w:color w:val="auto"/>
          <w:sz w:val="22"/>
          <w:szCs w:val="22"/>
          <w:highlight w:val="none"/>
        </w:rPr>
        <w:t>电子化开启及评审程序</w:t>
      </w:r>
    </w:p>
    <w:p>
      <w:pPr>
        <w:numPr>
          <w:ilvl w:val="0"/>
          <w:numId w:val="10"/>
        </w:numPr>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采购组织单位将按照磋商文件规定的时间通过“政府采购云平台”组织开标、开启响应文件，供应商应准时在线参加。供应商如不参加开标的，视同认可开标结果，事后不得对采购相关人员、开标过程和开标结果提出异议，</w:t>
      </w:r>
      <w:r>
        <w:rPr>
          <w:rFonts w:hint="eastAsia" w:ascii="宋体" w:hAnsi="宋体"/>
          <w:bCs/>
          <w:color w:val="auto"/>
          <w:sz w:val="22"/>
          <w:szCs w:val="22"/>
          <w:highlight w:val="none"/>
        </w:rPr>
        <w:t>同时供应商因未在线参加开标而导致响应文件无法按时解密等一切后果由供应商自己承担。</w:t>
      </w:r>
    </w:p>
    <w:p>
      <w:pPr>
        <w:numPr>
          <w:ilvl w:val="0"/>
          <w:numId w:val="10"/>
        </w:numPr>
        <w:tabs>
          <w:tab w:val="clear" w:pos="420"/>
        </w:tabs>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响应文件递交截止时间后，向各供应商发出电子加密响应文件【开始解密】通知，由供应商按磋商文件规定的时间内自行进行响应文件解密。供应商在规定的时间内无法完成已递交的“电子加密响应文件”解密的，如已按规定递交了备份响应文件的，将由采购代理机构按“政府采购云平台”操作规范将备份响应文件上传至“政府采购云平台”，上传成功后，“电子加密响应文件”自动失效。</w:t>
      </w:r>
    </w:p>
    <w:p>
      <w:pPr>
        <w:numPr>
          <w:ilvl w:val="0"/>
          <w:numId w:val="10"/>
        </w:numPr>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对供应商的资格进行审查。</w:t>
      </w:r>
    </w:p>
    <w:p>
      <w:pPr>
        <w:numPr>
          <w:ilvl w:val="0"/>
          <w:numId w:val="10"/>
        </w:numPr>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对商务技术文件进行评审。</w:t>
      </w:r>
    </w:p>
    <w:p>
      <w:pPr>
        <w:numPr>
          <w:ilvl w:val="0"/>
          <w:numId w:val="10"/>
        </w:numPr>
        <w:tabs>
          <w:tab w:val="clear" w:pos="420"/>
        </w:tabs>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就价格、服务等认为需要磋商的内容进行磋商，供应商逐家回答磋商小组的提问，供应商作出最终承诺和最后报价。</w:t>
      </w:r>
      <w:r>
        <w:rPr>
          <w:rFonts w:hint="eastAsia" w:ascii="宋体" w:hAnsi="宋体"/>
          <w:b/>
          <w:color w:val="auto"/>
          <w:sz w:val="22"/>
          <w:szCs w:val="22"/>
          <w:highlight w:val="none"/>
        </w:rPr>
        <w:t>所有二次（或最后）报价、询标</w:t>
      </w:r>
      <w:r>
        <w:rPr>
          <w:rFonts w:ascii="宋体" w:hAnsi="宋体"/>
          <w:b/>
          <w:color w:val="auto"/>
          <w:sz w:val="22"/>
          <w:szCs w:val="22"/>
          <w:highlight w:val="none"/>
        </w:rPr>
        <w:t>流程</w:t>
      </w:r>
      <w:r>
        <w:rPr>
          <w:rFonts w:hint="eastAsia" w:ascii="宋体" w:hAnsi="宋体"/>
          <w:b/>
          <w:color w:val="auto"/>
          <w:sz w:val="22"/>
          <w:szCs w:val="22"/>
          <w:highlight w:val="none"/>
        </w:rPr>
        <w:t>，均在线上完成，请各供应商务必不要离开电脑太久，并留意手机短信。</w:t>
      </w:r>
      <w:r>
        <w:rPr>
          <w:rFonts w:ascii="宋体" w:hAnsi="宋体"/>
          <w:color w:val="auto"/>
          <w:sz w:val="22"/>
          <w:szCs w:val="22"/>
          <w:highlight w:val="none"/>
        </w:rPr>
        <w:t>（请提前检查“政采云”内，关于‘项目采购’的岗位权限是否已勾选上。如有问题，请致电400-881-7190）</w:t>
      </w:r>
      <w:r>
        <w:rPr>
          <w:rFonts w:hint="eastAsia" w:ascii="宋体" w:hAnsi="宋体"/>
          <w:color w:val="auto"/>
          <w:sz w:val="22"/>
          <w:szCs w:val="22"/>
          <w:highlight w:val="none"/>
        </w:rPr>
        <w:t>。</w:t>
      </w:r>
    </w:p>
    <w:p>
      <w:pPr>
        <w:numPr>
          <w:ilvl w:val="0"/>
          <w:numId w:val="10"/>
        </w:numPr>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在系统上录入最后报价情况。</w:t>
      </w:r>
    </w:p>
    <w:p>
      <w:pPr>
        <w:numPr>
          <w:ilvl w:val="0"/>
          <w:numId w:val="10"/>
        </w:numPr>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对报价情况进行评审。</w:t>
      </w:r>
    </w:p>
    <w:p>
      <w:pPr>
        <w:numPr>
          <w:ilvl w:val="0"/>
          <w:numId w:val="10"/>
        </w:numPr>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在系统上公布评审结果。</w:t>
      </w:r>
    </w:p>
    <w:p>
      <w:pPr>
        <w:tabs>
          <w:tab w:val="left" w:pos="525"/>
        </w:tabs>
        <w:spacing w:line="440" w:lineRule="exact"/>
        <w:rPr>
          <w:rFonts w:ascii="宋体" w:hAnsi="宋体"/>
          <w:b/>
          <w:bCs/>
          <w:color w:val="auto"/>
          <w:sz w:val="22"/>
          <w:szCs w:val="22"/>
          <w:highlight w:val="none"/>
        </w:rPr>
      </w:pPr>
      <w:r>
        <w:rPr>
          <w:rFonts w:hint="eastAsia" w:ascii="宋体" w:hAnsi="宋体"/>
          <w:b/>
          <w:bCs/>
          <w:color w:val="auto"/>
          <w:sz w:val="22"/>
          <w:szCs w:val="22"/>
          <w:highlight w:val="none"/>
        </w:rPr>
        <w:t>※政采云公司如对电子化开启（或开标）或评审程序有调整的，按调整后的程序操作。</w:t>
      </w:r>
    </w:p>
    <w:p>
      <w:pPr>
        <w:pStyle w:val="6"/>
        <w:spacing w:line="440" w:lineRule="exact"/>
        <w:jc w:val="center"/>
        <w:rPr>
          <w:rFonts w:ascii="宋体" w:hAnsi="宋体" w:eastAsia="宋体" w:cs="Courier New"/>
          <w:color w:val="auto"/>
          <w:highlight w:val="none"/>
        </w:rPr>
      </w:pPr>
      <w:bookmarkStart w:id="155" w:name="_Toc20911"/>
      <w:bookmarkStart w:id="156" w:name="_Toc22714"/>
      <w:r>
        <w:rPr>
          <w:rFonts w:hint="eastAsia" w:ascii="宋体" w:hAnsi="宋体" w:eastAsia="宋体" w:cs="Courier New"/>
          <w:color w:val="auto"/>
          <w:highlight w:val="none"/>
          <w:lang w:val="en-US" w:eastAsia="zh-CN"/>
        </w:rPr>
        <w:t>六、</w:t>
      </w:r>
      <w:r>
        <w:rPr>
          <w:rFonts w:hint="eastAsia" w:ascii="宋体" w:hAnsi="宋体" w:eastAsia="宋体" w:cs="Courier New"/>
          <w:color w:val="auto"/>
          <w:highlight w:val="none"/>
        </w:rPr>
        <w:t>评审</w:t>
      </w:r>
      <w:bookmarkEnd w:id="155"/>
      <w:bookmarkEnd w:id="156"/>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bCs/>
          <w:color w:val="auto"/>
          <w:sz w:val="22"/>
          <w:szCs w:val="22"/>
          <w:highlight w:val="none"/>
        </w:rPr>
      </w:pPr>
      <w:r>
        <w:rPr>
          <w:rFonts w:ascii="宋体" w:hAnsi="宋体"/>
          <w:bCs/>
          <w:color w:val="auto"/>
          <w:sz w:val="22"/>
          <w:szCs w:val="22"/>
          <w:highlight w:val="none"/>
        </w:rPr>
        <w:t>磋商</w:t>
      </w:r>
      <w:r>
        <w:rPr>
          <w:rFonts w:ascii="宋体" w:hAnsi="宋体" w:cs="Courier New"/>
          <w:color w:val="auto"/>
          <w:sz w:val="22"/>
          <w:szCs w:val="22"/>
          <w:highlight w:val="none"/>
        </w:rPr>
        <w:t>小组</w:t>
      </w:r>
    </w:p>
    <w:p>
      <w:pPr>
        <w:keepNext w:val="0"/>
        <w:keepLines w:val="0"/>
        <w:pageBreakBefore w:val="0"/>
        <w:widowControl w:val="0"/>
        <w:kinsoku/>
        <w:wordWrap/>
        <w:overflowPunct/>
        <w:topLinePunct w:val="0"/>
        <w:autoSpaceDE/>
        <w:autoSpaceDN/>
        <w:bidi w:val="0"/>
        <w:adjustRightInd/>
        <w:snapToGrid/>
        <w:spacing w:line="440" w:lineRule="exact"/>
        <w:ind w:left="540" w:leftChars="257"/>
        <w:textAlignment w:val="auto"/>
        <w:rPr>
          <w:rFonts w:ascii="宋体" w:hAnsi="宋体"/>
          <w:bCs/>
          <w:color w:val="auto"/>
          <w:sz w:val="22"/>
          <w:szCs w:val="22"/>
          <w:highlight w:val="none"/>
        </w:rPr>
      </w:pPr>
      <w:r>
        <w:rPr>
          <w:rFonts w:ascii="宋体" w:hAnsi="宋体"/>
          <w:bCs/>
          <w:color w:val="auto"/>
          <w:sz w:val="22"/>
          <w:szCs w:val="22"/>
          <w:highlight w:val="none"/>
        </w:rPr>
        <w:t>采购人依法组建磋商小组。</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bCs/>
          <w:color w:val="auto"/>
          <w:sz w:val="22"/>
          <w:szCs w:val="22"/>
          <w:highlight w:val="none"/>
        </w:rPr>
      </w:pPr>
      <w:r>
        <w:rPr>
          <w:rFonts w:ascii="宋体" w:hAnsi="宋体"/>
          <w:bCs/>
          <w:color w:val="auto"/>
          <w:sz w:val="22"/>
          <w:szCs w:val="22"/>
          <w:highlight w:val="none"/>
        </w:rPr>
        <w:t>评审</w:t>
      </w:r>
      <w:r>
        <w:rPr>
          <w:rFonts w:ascii="宋体" w:hAnsi="宋体" w:cs="Courier New"/>
          <w:color w:val="auto"/>
          <w:sz w:val="22"/>
          <w:szCs w:val="22"/>
          <w:highlight w:val="none"/>
        </w:rPr>
        <w:t>过程</w:t>
      </w:r>
      <w:r>
        <w:rPr>
          <w:rFonts w:ascii="宋体" w:hAnsi="宋体"/>
          <w:bCs/>
          <w:color w:val="auto"/>
          <w:sz w:val="22"/>
          <w:szCs w:val="22"/>
          <w:highlight w:val="none"/>
        </w:rPr>
        <w:t>的保密性</w:t>
      </w:r>
    </w:p>
    <w:p>
      <w:pPr>
        <w:keepNext w:val="0"/>
        <w:keepLines w:val="0"/>
        <w:pageBreakBefore w:val="0"/>
        <w:widowControl w:val="0"/>
        <w:kinsoku/>
        <w:wordWrap/>
        <w:overflowPunct/>
        <w:topLinePunct w:val="0"/>
        <w:autoSpaceDE/>
        <w:autoSpaceDN/>
        <w:bidi w:val="0"/>
        <w:adjustRightInd/>
        <w:snapToGrid/>
        <w:spacing w:line="440" w:lineRule="exact"/>
        <w:ind w:left="540" w:leftChars="257"/>
        <w:textAlignment w:val="auto"/>
        <w:rPr>
          <w:rFonts w:ascii="宋体" w:hAnsi="宋体"/>
          <w:bCs/>
          <w:color w:val="auto"/>
          <w:sz w:val="22"/>
          <w:szCs w:val="22"/>
          <w:highlight w:val="none"/>
        </w:rPr>
      </w:pPr>
      <w:r>
        <w:rPr>
          <w:rFonts w:hint="eastAsia" w:ascii="宋体" w:hAnsi="宋体"/>
          <w:bCs/>
          <w:color w:val="auto"/>
          <w:sz w:val="22"/>
          <w:szCs w:val="22"/>
          <w:highlight w:val="none"/>
        </w:rPr>
        <w:t>响应文件开启后</w:t>
      </w:r>
      <w:r>
        <w:rPr>
          <w:rFonts w:ascii="宋体" w:hAnsi="宋体"/>
          <w:bCs/>
          <w:color w:val="auto"/>
          <w:sz w:val="22"/>
          <w:szCs w:val="22"/>
          <w:highlight w:val="none"/>
        </w:rPr>
        <w:t>直至向中标（成交）供应商授予合同时止，凡与评审有关的资料均不得向供应商及与评审无关人员透露。如果供应商在评审过程中试图向采购人</w:t>
      </w:r>
      <w:r>
        <w:rPr>
          <w:rFonts w:hint="eastAsia" w:ascii="宋体" w:hAnsi="宋体"/>
          <w:bCs/>
          <w:color w:val="auto"/>
          <w:sz w:val="22"/>
          <w:szCs w:val="22"/>
          <w:highlight w:val="none"/>
        </w:rPr>
        <w:t>、</w:t>
      </w:r>
      <w:r>
        <w:rPr>
          <w:rFonts w:ascii="宋体" w:hAnsi="宋体"/>
          <w:bCs/>
          <w:color w:val="auto"/>
          <w:sz w:val="22"/>
          <w:szCs w:val="22"/>
          <w:highlight w:val="none"/>
        </w:rPr>
        <w:t>采购代理机构或磋商小组施加影响，其</w:t>
      </w:r>
      <w:r>
        <w:rPr>
          <w:rFonts w:hint="eastAsia" w:ascii="宋体" w:hAnsi="宋体"/>
          <w:bCs/>
          <w:color w:val="auto"/>
          <w:sz w:val="22"/>
          <w:szCs w:val="22"/>
          <w:highlight w:val="none"/>
        </w:rPr>
        <w:t>响应</w:t>
      </w:r>
      <w:r>
        <w:rPr>
          <w:rFonts w:ascii="宋体" w:hAnsi="宋体"/>
          <w:bCs/>
          <w:color w:val="auto"/>
          <w:sz w:val="22"/>
          <w:szCs w:val="22"/>
          <w:highlight w:val="none"/>
        </w:rPr>
        <w:t>将被拒绝。</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bCs/>
          <w:color w:val="auto"/>
          <w:sz w:val="22"/>
          <w:szCs w:val="22"/>
          <w:highlight w:val="none"/>
        </w:rPr>
      </w:pPr>
      <w:r>
        <w:rPr>
          <w:rFonts w:hint="eastAsia" w:ascii="宋体" w:hAnsi="宋体"/>
          <w:bCs/>
          <w:color w:val="auto"/>
          <w:sz w:val="22"/>
          <w:szCs w:val="22"/>
          <w:highlight w:val="none"/>
        </w:rPr>
        <w:t>资格审查和符合性审查</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bCs/>
          <w:color w:val="auto"/>
          <w:sz w:val="22"/>
          <w:szCs w:val="22"/>
          <w:highlight w:val="none"/>
        </w:rPr>
      </w:pPr>
      <w:r>
        <w:rPr>
          <w:rFonts w:hint="eastAsia" w:ascii="宋体" w:hAnsi="宋体"/>
          <w:bCs/>
          <w:color w:val="auto"/>
          <w:sz w:val="22"/>
          <w:szCs w:val="22"/>
          <w:highlight w:val="none"/>
        </w:rPr>
        <w:t>磋商小组依据法律、法规和磋商文件的规定，对各供应商进行资格性审查，审查各供应商的资格是否符合本项目对供应商资格的实质性要求。</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bCs/>
          <w:color w:val="auto"/>
          <w:sz w:val="22"/>
          <w:szCs w:val="22"/>
          <w:highlight w:val="none"/>
        </w:rPr>
      </w:pPr>
      <w:r>
        <w:rPr>
          <w:rFonts w:hint="eastAsia" w:ascii="宋体" w:hAnsi="宋体"/>
          <w:bCs/>
          <w:color w:val="auto"/>
          <w:sz w:val="22"/>
          <w:szCs w:val="22"/>
          <w:highlight w:val="none"/>
        </w:rPr>
        <w:t>信用记录查询，在资格审查时对供应商信用记录进行查询并甄别。</w:t>
      </w:r>
    </w:p>
    <w:p>
      <w:pPr>
        <w:keepNext w:val="0"/>
        <w:keepLines w:val="0"/>
        <w:pageBreakBefore w:val="0"/>
        <w:widowControl w:val="0"/>
        <w:numPr>
          <w:ilvl w:val="0"/>
          <w:numId w:val="11"/>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供应商信用信息查询的查询渠道：“信用中国”(www.creditchina.gov.cn)；“中国政府采购网”（www.ccgp.gov.cn）。</w:t>
      </w:r>
    </w:p>
    <w:p>
      <w:pPr>
        <w:keepNext w:val="0"/>
        <w:keepLines w:val="0"/>
        <w:pageBreakBefore w:val="0"/>
        <w:widowControl w:val="0"/>
        <w:numPr>
          <w:ilvl w:val="0"/>
          <w:numId w:val="11"/>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供应商信用信息查询</w:t>
      </w:r>
      <w:r>
        <w:rPr>
          <w:rFonts w:ascii="宋体" w:hAnsi="宋体"/>
          <w:bCs/>
          <w:color w:val="auto"/>
          <w:sz w:val="22"/>
          <w:szCs w:val="22"/>
          <w:highlight w:val="none"/>
        </w:rPr>
        <w:t>截止时点</w:t>
      </w:r>
      <w:r>
        <w:rPr>
          <w:rFonts w:hint="eastAsia" w:ascii="宋体" w:hAnsi="宋体"/>
          <w:bCs/>
          <w:color w:val="auto"/>
          <w:sz w:val="22"/>
          <w:szCs w:val="22"/>
          <w:highlight w:val="none"/>
        </w:rPr>
        <w:t>：响应文件递交截止时间。</w:t>
      </w:r>
    </w:p>
    <w:p>
      <w:pPr>
        <w:keepNext w:val="0"/>
        <w:keepLines w:val="0"/>
        <w:pageBreakBefore w:val="0"/>
        <w:widowControl w:val="0"/>
        <w:numPr>
          <w:ilvl w:val="0"/>
          <w:numId w:val="11"/>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供应商信用信息查询记录和证据留存的具体方式：网页截图打印；</w:t>
      </w:r>
    </w:p>
    <w:p>
      <w:pPr>
        <w:keepNext w:val="0"/>
        <w:keepLines w:val="0"/>
        <w:pageBreakBefore w:val="0"/>
        <w:widowControl w:val="0"/>
        <w:numPr>
          <w:ilvl w:val="0"/>
          <w:numId w:val="11"/>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信用信息的使用规则：被“信用中国”网站列入失信被执行人、重大税收违法案件当事人名单，或被“中国政府采购网”列入政府采购严重违法失信行为记录名单中禁止参加政府采购活动期间的，其资格审查不合格。</w:t>
      </w:r>
      <w:r>
        <w:rPr>
          <w:rFonts w:hint="eastAsia" w:ascii="宋体" w:hAnsi="宋体"/>
          <w:b/>
          <w:color w:val="auto"/>
          <w:sz w:val="22"/>
          <w:szCs w:val="22"/>
          <w:highlight w:val="none"/>
        </w:rPr>
        <w:t>如相关失信记录已失效，供应商须提供相关证明资料。</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bCs/>
          <w:color w:val="auto"/>
          <w:sz w:val="22"/>
          <w:szCs w:val="22"/>
          <w:highlight w:val="none"/>
        </w:rPr>
      </w:pPr>
      <w:r>
        <w:rPr>
          <w:rFonts w:hint="eastAsia" w:ascii="宋体" w:hAnsi="宋体"/>
          <w:color w:val="auto"/>
          <w:sz w:val="22"/>
          <w:szCs w:val="22"/>
          <w:highlight w:val="none"/>
        </w:rPr>
        <w:t>磋商小组依据磋商文件的实质性要求，对通过资格审查的响应文件进行符合性审查，以确定其是否满足磋商文件的实质性要求。</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bCs/>
          <w:color w:val="auto"/>
          <w:sz w:val="22"/>
          <w:szCs w:val="22"/>
          <w:highlight w:val="none"/>
        </w:rPr>
      </w:pPr>
      <w:r>
        <w:rPr>
          <w:rFonts w:hint="eastAsia" w:ascii="宋体" w:hAnsi="宋体"/>
          <w:color w:val="auto"/>
          <w:sz w:val="22"/>
          <w:szCs w:val="22"/>
          <w:highlight w:val="none"/>
        </w:rPr>
        <w:t>满足</w:t>
      </w:r>
      <w:r>
        <w:rPr>
          <w:rFonts w:hint="eastAsia" w:ascii="宋体" w:hAnsi="宋体"/>
          <w:bCs/>
          <w:color w:val="auto"/>
          <w:sz w:val="22"/>
          <w:szCs w:val="22"/>
          <w:highlight w:val="none"/>
        </w:rPr>
        <w:t>磋商文件的实质性要求指响应文件对磋商文件实质性要求的响应不存在重大偏差或保留。</w:t>
      </w:r>
      <w:r>
        <w:rPr>
          <w:rFonts w:ascii="宋体" w:hAnsi="宋体"/>
          <w:bCs/>
          <w:color w:val="auto"/>
          <w:sz w:val="22"/>
          <w:szCs w:val="22"/>
          <w:highlight w:val="none"/>
        </w:rPr>
        <w:t>重大偏差或保留指影响到磋商文件规定的合同范围、合同履行及影响关键质量和性能，或限制了</w:t>
      </w:r>
      <w:r>
        <w:rPr>
          <w:rFonts w:hint="eastAsia" w:ascii="宋体" w:hAnsi="宋体"/>
          <w:bCs/>
          <w:color w:val="auto"/>
          <w:sz w:val="22"/>
          <w:szCs w:val="22"/>
          <w:highlight w:val="none"/>
        </w:rPr>
        <w:t>采购人</w:t>
      </w:r>
      <w:r>
        <w:rPr>
          <w:rFonts w:ascii="宋体" w:hAnsi="宋体"/>
          <w:bCs/>
          <w:color w:val="auto"/>
          <w:sz w:val="22"/>
          <w:szCs w:val="22"/>
          <w:highlight w:val="none"/>
        </w:rPr>
        <w:t>的权利，或反对、减少供应商的义务，而纠正这些重大偏差或保留将影响到其他提交实质性响应的供应商的公平竞争地位。</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bCs/>
          <w:color w:val="auto"/>
          <w:sz w:val="22"/>
          <w:szCs w:val="22"/>
          <w:highlight w:val="none"/>
        </w:rPr>
      </w:pPr>
      <w:r>
        <w:rPr>
          <w:rFonts w:hint="eastAsia" w:ascii="宋体" w:hAnsi="宋体"/>
          <w:b/>
          <w:bCs/>
          <w:color w:val="auto"/>
          <w:sz w:val="22"/>
          <w:szCs w:val="22"/>
          <w:highlight w:val="none"/>
        </w:rPr>
        <w:t>磋商小组审查判断响应文件是否满足磋商文件的实质性要求仅基于响应文件本身</w:t>
      </w:r>
      <w:bookmarkStart w:id="157" w:name="_Hlk37698907"/>
      <w:r>
        <w:rPr>
          <w:rFonts w:hint="eastAsia" w:ascii="宋体" w:hAnsi="宋体"/>
          <w:b/>
          <w:bCs/>
          <w:color w:val="auto"/>
          <w:sz w:val="22"/>
          <w:szCs w:val="22"/>
          <w:highlight w:val="none"/>
        </w:rPr>
        <w:t>（通过“政府采购云平台”下载的响应文件）</w:t>
      </w:r>
      <w:bookmarkEnd w:id="157"/>
      <w:r>
        <w:rPr>
          <w:rFonts w:hint="eastAsia" w:ascii="宋体" w:hAnsi="宋体"/>
          <w:b/>
          <w:bCs/>
          <w:color w:val="auto"/>
          <w:sz w:val="22"/>
          <w:szCs w:val="22"/>
          <w:highlight w:val="none"/>
        </w:rPr>
        <w:t>而不寻求其他的外部证据。</w:t>
      </w:r>
      <w:r>
        <w:rPr>
          <w:rFonts w:hint="eastAsia" w:ascii="宋体" w:hAnsi="宋体"/>
          <w:bCs/>
          <w:color w:val="auto"/>
          <w:sz w:val="22"/>
          <w:szCs w:val="22"/>
          <w:highlight w:val="none"/>
        </w:rPr>
        <w:t>未满足磋商文件实质性要求的响应文件将被磋商小组否决，被否决的响应文件不能通过补充、修改（澄清、说明或补正）等方式重新成为满足磋商文件实质性要求的响应文件。</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b/>
          <w:color w:val="auto"/>
          <w:sz w:val="22"/>
          <w:szCs w:val="22"/>
          <w:highlight w:val="none"/>
        </w:rPr>
      </w:pPr>
      <w:r>
        <w:rPr>
          <w:rFonts w:hint="eastAsia" w:ascii="宋体" w:hAnsi="宋体"/>
          <w:b/>
          <w:color w:val="auto"/>
          <w:sz w:val="22"/>
          <w:szCs w:val="22"/>
          <w:highlight w:val="none"/>
        </w:rPr>
        <w:t>有下列情形之一的，</w:t>
      </w:r>
      <w:r>
        <w:rPr>
          <w:rFonts w:ascii="宋体" w:hAnsi="宋体"/>
          <w:b/>
          <w:color w:val="auto"/>
          <w:sz w:val="22"/>
          <w:szCs w:val="22"/>
          <w:highlight w:val="none"/>
        </w:rPr>
        <w:t>磋商小组将否决其响应文件，按无效</w:t>
      </w:r>
      <w:r>
        <w:rPr>
          <w:rFonts w:hint="eastAsia" w:ascii="宋体" w:hAnsi="宋体"/>
          <w:b/>
          <w:color w:val="auto"/>
          <w:sz w:val="22"/>
          <w:szCs w:val="22"/>
          <w:highlight w:val="none"/>
        </w:rPr>
        <w:t>响应</w:t>
      </w:r>
      <w:r>
        <w:rPr>
          <w:rFonts w:ascii="宋体" w:hAnsi="宋体"/>
          <w:b/>
          <w:color w:val="auto"/>
          <w:sz w:val="22"/>
          <w:szCs w:val="22"/>
          <w:highlight w:val="none"/>
        </w:rPr>
        <w:t>处理：</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hint="eastAsia" w:ascii="宋体" w:hAnsi="宋体"/>
          <w:bCs/>
          <w:color w:val="auto"/>
          <w:sz w:val="22"/>
          <w:szCs w:val="22"/>
          <w:highlight w:val="none"/>
        </w:rPr>
        <w:t>不具备磋商文件中规定的资格要求；</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未按照磋商文件规定提交供应商的资格文件或提供的资格文件不全的；</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违反磋商文件中载明“</w:t>
      </w:r>
      <w:r>
        <w:rPr>
          <w:rFonts w:hint="eastAsia" w:ascii="宋体" w:hAnsi="宋体"/>
          <w:b/>
          <w:bCs/>
          <w:color w:val="auto"/>
          <w:sz w:val="22"/>
          <w:szCs w:val="22"/>
          <w:highlight w:val="none"/>
        </w:rPr>
        <w:t>响应无效</w:t>
      </w:r>
      <w:r>
        <w:rPr>
          <w:rFonts w:hint="eastAsia" w:ascii="宋体" w:hAnsi="宋体"/>
          <w:bCs/>
          <w:color w:val="auto"/>
          <w:sz w:val="22"/>
          <w:szCs w:val="22"/>
          <w:highlight w:val="none"/>
        </w:rPr>
        <w:t>”条款的规定；</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响应文件</w:t>
      </w:r>
      <w:r>
        <w:rPr>
          <w:rFonts w:ascii="宋体" w:hAnsi="宋体"/>
          <w:bCs/>
          <w:color w:val="auto"/>
          <w:sz w:val="22"/>
          <w:szCs w:val="22"/>
          <w:highlight w:val="none"/>
        </w:rPr>
        <w:t>未按磋商文件要求签署、盖章的</w:t>
      </w:r>
      <w:r>
        <w:rPr>
          <w:rFonts w:hint="eastAsia" w:ascii="宋体" w:hAnsi="宋体"/>
          <w:bCs/>
          <w:color w:val="auto"/>
          <w:sz w:val="22"/>
          <w:szCs w:val="22"/>
          <w:highlight w:val="none"/>
        </w:rPr>
        <w:t>；</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明显不符合磋商文件中主要采购标准、采购要求的；</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响应文件内容不全或关键字迹模糊无法辨认的；</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报价（含一次报价、二次报价或最后报价）超过</w:t>
      </w:r>
      <w:r>
        <w:rPr>
          <w:rFonts w:hint="eastAsia" w:ascii="宋体" w:hAnsi="宋体"/>
          <w:color w:val="auto"/>
          <w:sz w:val="22"/>
          <w:szCs w:val="22"/>
          <w:highlight w:val="none"/>
        </w:rPr>
        <w:t>采购预算</w:t>
      </w:r>
      <w:r>
        <w:rPr>
          <w:rFonts w:hint="eastAsia" w:ascii="宋体" w:hAnsi="宋体"/>
          <w:bCs/>
          <w:color w:val="auto"/>
          <w:sz w:val="22"/>
          <w:szCs w:val="22"/>
          <w:highlight w:val="none"/>
        </w:rPr>
        <w:t>的；</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未在规定时间内通过“政府采购云平台”进行二次（或最后）报价的；</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响应文件附有采购人不能接受的条件；</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授权代表没有单位负责人合法、有效委托的；</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电子响应文件解密失败或未按时解密的，且未在规定时间内提交备份响应文件的；</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供应商提供虚假材料投标的；</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供应商有恶意串通、妨碍其他供应商的竞争行为、损害采购人或者其他供应商的合法权益情形的；</w:t>
      </w:r>
    </w:p>
    <w:p>
      <w:pPr>
        <w:keepNext w:val="0"/>
        <w:keepLines w:val="0"/>
        <w:pageBreakBefore w:val="0"/>
        <w:widowControl w:val="0"/>
        <w:numPr>
          <w:ilvl w:val="0"/>
          <w:numId w:val="12"/>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磋商小组认定不符合法律、法规和磋商文件中规定的其他实质性要求的。</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b/>
          <w:color w:val="auto"/>
          <w:sz w:val="22"/>
          <w:szCs w:val="22"/>
          <w:highlight w:val="none"/>
        </w:rPr>
      </w:pPr>
      <w:r>
        <w:rPr>
          <w:rFonts w:hint="eastAsia" w:ascii="宋体" w:hAnsi="宋体"/>
          <w:b/>
          <w:color w:val="auto"/>
          <w:sz w:val="22"/>
          <w:szCs w:val="22"/>
          <w:highlight w:val="none"/>
        </w:rPr>
        <w:t>有下列情形之一的，视为供应商串通响应，其</w:t>
      </w:r>
      <w:r>
        <w:rPr>
          <w:rFonts w:hint="eastAsia" w:ascii="宋体" w:hAnsi="宋体"/>
          <w:b/>
          <w:bCs/>
          <w:color w:val="auto"/>
          <w:sz w:val="22"/>
          <w:szCs w:val="22"/>
          <w:highlight w:val="none"/>
        </w:rPr>
        <w:t>响应无效</w:t>
      </w:r>
      <w:r>
        <w:rPr>
          <w:rFonts w:hint="eastAsia" w:ascii="宋体" w:hAnsi="宋体"/>
          <w:b/>
          <w:color w:val="auto"/>
          <w:sz w:val="22"/>
          <w:szCs w:val="22"/>
          <w:highlight w:val="none"/>
        </w:rPr>
        <w:t>：</w:t>
      </w:r>
    </w:p>
    <w:p>
      <w:pPr>
        <w:keepNext w:val="0"/>
        <w:keepLines w:val="0"/>
        <w:pageBreakBefore w:val="0"/>
        <w:widowControl w:val="0"/>
        <w:numPr>
          <w:ilvl w:val="0"/>
          <w:numId w:val="13"/>
        </w:numPr>
        <w:tabs>
          <w:tab w:val="left" w:pos="525"/>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hint="eastAsia" w:ascii="宋体" w:hAnsi="宋体"/>
          <w:bCs/>
          <w:color w:val="auto"/>
          <w:sz w:val="22"/>
          <w:szCs w:val="22"/>
          <w:highlight w:val="none"/>
        </w:rPr>
        <w:t>不同供应商的响应文件由同一单位或个人编制；</w:t>
      </w:r>
    </w:p>
    <w:p>
      <w:pPr>
        <w:keepNext w:val="0"/>
        <w:keepLines w:val="0"/>
        <w:pageBreakBefore w:val="0"/>
        <w:widowControl w:val="0"/>
        <w:numPr>
          <w:ilvl w:val="0"/>
          <w:numId w:val="13"/>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不同供应商委托同一单位或个人办理响应事宜；</w:t>
      </w:r>
    </w:p>
    <w:p>
      <w:pPr>
        <w:keepNext w:val="0"/>
        <w:keepLines w:val="0"/>
        <w:pageBreakBefore w:val="0"/>
        <w:widowControl w:val="0"/>
        <w:numPr>
          <w:ilvl w:val="0"/>
          <w:numId w:val="13"/>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不同供应商的响应文件载明的项目管理成员或联系人员为同一人；</w:t>
      </w:r>
    </w:p>
    <w:p>
      <w:pPr>
        <w:keepNext w:val="0"/>
        <w:keepLines w:val="0"/>
        <w:pageBreakBefore w:val="0"/>
        <w:widowControl w:val="0"/>
        <w:numPr>
          <w:ilvl w:val="0"/>
          <w:numId w:val="13"/>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不同供应商的响应文件异常一致或报价呈规律性差异；</w:t>
      </w:r>
    </w:p>
    <w:p>
      <w:pPr>
        <w:keepNext w:val="0"/>
        <w:keepLines w:val="0"/>
        <w:pageBreakBefore w:val="0"/>
        <w:widowControl w:val="0"/>
        <w:numPr>
          <w:ilvl w:val="0"/>
          <w:numId w:val="13"/>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不同供应商的响应文件相互混装；</w:t>
      </w:r>
    </w:p>
    <w:p>
      <w:pPr>
        <w:keepNext w:val="0"/>
        <w:keepLines w:val="0"/>
        <w:pageBreakBefore w:val="0"/>
        <w:widowControl w:val="0"/>
        <w:numPr>
          <w:ilvl w:val="0"/>
          <w:numId w:val="13"/>
        </w:numPr>
        <w:tabs>
          <w:tab w:val="left" w:pos="525"/>
        </w:tabs>
        <w:kinsoku/>
        <w:wordWrap/>
        <w:overflowPunct/>
        <w:topLinePunct w:val="0"/>
        <w:autoSpaceDE/>
        <w:autoSpaceDN/>
        <w:bidi w:val="0"/>
        <w:adjustRightInd/>
        <w:snapToGrid/>
        <w:spacing w:line="440" w:lineRule="exact"/>
        <w:ind w:left="777" w:hanging="357"/>
        <w:textAlignment w:val="auto"/>
        <w:rPr>
          <w:rFonts w:ascii="宋体" w:hAnsi="宋体"/>
          <w:bCs/>
          <w:color w:val="auto"/>
          <w:sz w:val="22"/>
          <w:szCs w:val="22"/>
          <w:highlight w:val="none"/>
        </w:rPr>
      </w:pPr>
      <w:r>
        <w:rPr>
          <w:rFonts w:hint="eastAsia" w:ascii="宋体" w:hAnsi="宋体"/>
          <w:bCs/>
          <w:color w:val="auto"/>
          <w:sz w:val="22"/>
          <w:szCs w:val="22"/>
          <w:highlight w:val="none"/>
        </w:rPr>
        <w:t>有关法律、法规和规章及磋商文件规定的其他串通投标情形。</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bCs/>
          <w:color w:val="auto"/>
          <w:sz w:val="22"/>
          <w:szCs w:val="22"/>
          <w:highlight w:val="none"/>
        </w:rPr>
      </w:pPr>
      <w:r>
        <w:rPr>
          <w:rFonts w:hint="eastAsia" w:ascii="宋体" w:hAnsi="宋体"/>
          <w:bCs/>
          <w:color w:val="auto"/>
          <w:sz w:val="22"/>
          <w:szCs w:val="22"/>
          <w:highlight w:val="none"/>
        </w:rPr>
        <w:t>澄清</w:t>
      </w:r>
      <w:r>
        <w:rPr>
          <w:rFonts w:hint="eastAsia" w:ascii="宋体" w:hAnsi="宋体" w:cs="Courier New"/>
          <w:color w:val="auto"/>
          <w:sz w:val="22"/>
          <w:szCs w:val="22"/>
          <w:highlight w:val="none"/>
        </w:rPr>
        <w:t>有关问题</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firstLine="0"/>
        <w:textAlignment w:val="auto"/>
        <w:rPr>
          <w:rFonts w:ascii="宋体" w:hAnsi="宋体"/>
          <w:color w:val="auto"/>
          <w:sz w:val="22"/>
          <w:szCs w:val="22"/>
          <w:highlight w:val="none"/>
        </w:rPr>
      </w:pPr>
      <w:r>
        <w:rPr>
          <w:rFonts w:hint="eastAsia" w:ascii="宋体" w:hAnsi="宋体"/>
          <w:color w:val="auto"/>
          <w:sz w:val="22"/>
          <w:szCs w:val="22"/>
          <w:highlight w:val="none"/>
        </w:rPr>
        <w:t>响应文件中有含义不明确、同类问题表述不一致或有明显文字和计算错误的内容，磋商小组将以书面形式（或通过“政府采购云平台”在线询标）要求供应商作出必要的澄清、说明或补正。</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firstLine="0"/>
        <w:textAlignment w:val="auto"/>
        <w:rPr>
          <w:rFonts w:ascii="宋体" w:hAnsi="宋体"/>
          <w:color w:val="auto"/>
          <w:sz w:val="22"/>
          <w:szCs w:val="22"/>
          <w:highlight w:val="none"/>
        </w:rPr>
      </w:pPr>
      <w:r>
        <w:rPr>
          <w:rFonts w:hint="eastAsia" w:ascii="宋体" w:hAnsi="宋体"/>
          <w:color w:val="auto"/>
          <w:sz w:val="22"/>
          <w:szCs w:val="22"/>
          <w:highlight w:val="none"/>
        </w:rPr>
        <w:t>供应商的澄清、说明或补正应由供应商代表在磋商小组规定的时间内（一般在半个小时左右，具体要求将根据实际情况约定）以书面形式（或通过“政府采购云平台”在线询标）向磋商小组提交，前述澄清、说明或补正不得超出响应文件的范围或改变响应文件的实质性内容。若供应商未按照前述规定向磋商小组提交书面澄清、说明或补正，则磋商小组将按照不利于供应商的内容进行认定。</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firstLine="0"/>
        <w:textAlignment w:val="auto"/>
        <w:rPr>
          <w:rFonts w:ascii="宋体" w:hAnsi="宋体"/>
          <w:color w:val="auto"/>
          <w:sz w:val="22"/>
          <w:szCs w:val="22"/>
          <w:highlight w:val="none"/>
        </w:rPr>
      </w:pPr>
      <w:r>
        <w:rPr>
          <w:rFonts w:hint="eastAsia" w:ascii="宋体" w:hAnsi="宋体"/>
          <w:color w:val="auto"/>
          <w:sz w:val="22"/>
          <w:szCs w:val="22"/>
          <w:highlight w:val="none"/>
        </w:rPr>
        <w:t>报价出现前后不一致的，按照下列规定修正：</w:t>
      </w:r>
    </w:p>
    <w:p>
      <w:pPr>
        <w:keepNext w:val="0"/>
        <w:keepLines w:val="0"/>
        <w:pageBreakBefore w:val="0"/>
        <w:widowControl w:val="0"/>
        <w:numPr>
          <w:ilvl w:val="0"/>
          <w:numId w:val="15"/>
        </w:numPr>
        <w:tabs>
          <w:tab w:val="left" w:pos="525"/>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hint="eastAsia" w:ascii="宋体" w:hAnsi="宋体"/>
          <w:bCs/>
          <w:color w:val="auto"/>
          <w:sz w:val="22"/>
          <w:szCs w:val="22"/>
          <w:highlight w:val="none"/>
        </w:rPr>
        <w:t>开标一览表内容与响应文件中相应内容不一致的，以开标一览表为准；</w:t>
      </w:r>
    </w:p>
    <w:p>
      <w:pPr>
        <w:keepNext w:val="0"/>
        <w:keepLines w:val="0"/>
        <w:pageBreakBefore w:val="0"/>
        <w:widowControl w:val="0"/>
        <w:numPr>
          <w:ilvl w:val="0"/>
          <w:numId w:val="15"/>
        </w:numPr>
        <w:tabs>
          <w:tab w:val="left" w:pos="525"/>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hint="eastAsia" w:ascii="宋体" w:hAnsi="宋体"/>
          <w:bCs/>
          <w:color w:val="auto"/>
          <w:sz w:val="22"/>
          <w:szCs w:val="22"/>
          <w:highlight w:val="none"/>
        </w:rPr>
        <w:t>大写金额和小写金额不一致的，以大写金额为准；</w:t>
      </w:r>
    </w:p>
    <w:p>
      <w:pPr>
        <w:keepNext w:val="0"/>
        <w:keepLines w:val="0"/>
        <w:pageBreakBefore w:val="0"/>
        <w:widowControl w:val="0"/>
        <w:numPr>
          <w:ilvl w:val="0"/>
          <w:numId w:val="15"/>
        </w:numPr>
        <w:tabs>
          <w:tab w:val="left" w:pos="525"/>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hint="eastAsia" w:ascii="宋体" w:hAnsi="宋体"/>
          <w:bCs/>
          <w:color w:val="auto"/>
          <w:sz w:val="22"/>
          <w:szCs w:val="22"/>
          <w:highlight w:val="none"/>
        </w:rPr>
        <w:t>单价金额小数点或百分比有明显错位的，以开标一览表的总价为准，并修改单价；</w:t>
      </w:r>
    </w:p>
    <w:p>
      <w:pPr>
        <w:keepNext w:val="0"/>
        <w:keepLines w:val="0"/>
        <w:pageBreakBefore w:val="0"/>
        <w:widowControl w:val="0"/>
        <w:numPr>
          <w:ilvl w:val="0"/>
          <w:numId w:val="15"/>
        </w:numPr>
        <w:tabs>
          <w:tab w:val="left" w:pos="525"/>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hint="eastAsia" w:ascii="宋体" w:hAnsi="宋体"/>
          <w:bCs/>
          <w:color w:val="auto"/>
          <w:sz w:val="22"/>
          <w:szCs w:val="22"/>
          <w:highlight w:val="none"/>
        </w:rPr>
        <w:t>总价金额与按照单价汇总金额不一致的，以单价金额计算结果为准。</w:t>
      </w:r>
    </w:p>
    <w:p>
      <w:pPr>
        <w:keepNext w:val="0"/>
        <w:keepLines w:val="0"/>
        <w:pageBreakBefore w:val="0"/>
        <w:widowControl w:val="0"/>
        <w:tabs>
          <w:tab w:val="left" w:pos="540"/>
        </w:tabs>
        <w:kinsoku/>
        <w:wordWrap/>
        <w:overflowPunct/>
        <w:topLinePunct w:val="0"/>
        <w:autoSpaceDE/>
        <w:autoSpaceDN/>
        <w:bidi w:val="0"/>
        <w:adjustRightInd/>
        <w:snapToGrid/>
        <w:spacing w:line="440" w:lineRule="exact"/>
        <w:ind w:firstLine="442" w:firstLineChars="200"/>
        <w:textAlignment w:val="auto"/>
        <w:rPr>
          <w:rFonts w:ascii="宋体" w:hAnsi="宋体"/>
          <w:b/>
          <w:bCs/>
          <w:color w:val="auto"/>
          <w:sz w:val="22"/>
          <w:szCs w:val="22"/>
          <w:highlight w:val="none"/>
        </w:rPr>
      </w:pPr>
      <w:r>
        <w:rPr>
          <w:rFonts w:hint="eastAsia" w:ascii="宋体" w:hAnsi="宋体"/>
          <w:b/>
          <w:bCs/>
          <w:color w:val="auto"/>
          <w:sz w:val="22"/>
          <w:szCs w:val="22"/>
          <w:highlight w:val="none"/>
        </w:rPr>
        <w:t>※同时出现两种以上不一致的，按照本款规定的顺序修正。修正后的报价应按照本条中第1）、2）款规定经供应商确认后产生约束力，供应商不确认的，其响应无效。</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firstLine="0"/>
        <w:textAlignment w:val="auto"/>
        <w:rPr>
          <w:rFonts w:ascii="宋体" w:hAnsi="宋体"/>
          <w:b/>
          <w:bCs/>
          <w:color w:val="auto"/>
          <w:sz w:val="22"/>
          <w:szCs w:val="22"/>
          <w:highlight w:val="none"/>
        </w:rPr>
      </w:pPr>
      <w:bookmarkStart w:id="158" w:name="_Hlk38443182"/>
      <w:r>
        <w:rPr>
          <w:rFonts w:hint="eastAsia" w:ascii="宋体" w:hAnsi="宋体"/>
          <w:b/>
          <w:bCs/>
          <w:color w:val="auto"/>
          <w:sz w:val="22"/>
          <w:szCs w:val="22"/>
          <w:highlight w:val="none"/>
        </w:rPr>
        <w:t>供应商在“政府采购云平台”进行标书关联时单独填报的报价与加密的报价文件中所列的报价不一致时以加密的报价文件中的金额为准进行修正。</w:t>
      </w:r>
      <w:bookmarkEnd w:id="158"/>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firstLine="0"/>
        <w:textAlignment w:val="auto"/>
        <w:rPr>
          <w:rFonts w:ascii="宋体" w:hAnsi="宋体"/>
          <w:color w:val="auto"/>
          <w:sz w:val="22"/>
          <w:szCs w:val="22"/>
          <w:highlight w:val="none"/>
        </w:rPr>
      </w:pPr>
      <w:r>
        <w:rPr>
          <w:rFonts w:ascii="宋体" w:hAnsi="宋体"/>
          <w:color w:val="auto"/>
          <w:sz w:val="22"/>
          <w:szCs w:val="22"/>
          <w:highlight w:val="none"/>
        </w:rPr>
        <w:t>若</w:t>
      </w:r>
      <w:r>
        <w:rPr>
          <w:rFonts w:hint="eastAsia" w:ascii="宋体" w:hAnsi="宋体"/>
          <w:color w:val="auto"/>
          <w:sz w:val="22"/>
          <w:szCs w:val="22"/>
          <w:highlight w:val="none"/>
        </w:rPr>
        <w:t>中标（成交）供应商</w:t>
      </w:r>
      <w:r>
        <w:rPr>
          <w:rFonts w:ascii="宋体" w:hAnsi="宋体"/>
          <w:color w:val="auto"/>
          <w:sz w:val="22"/>
          <w:szCs w:val="22"/>
          <w:highlight w:val="none"/>
        </w:rPr>
        <w:t>的</w:t>
      </w:r>
      <w:r>
        <w:rPr>
          <w:rFonts w:hint="eastAsia" w:ascii="宋体" w:hAnsi="宋体"/>
          <w:color w:val="auto"/>
          <w:sz w:val="22"/>
          <w:szCs w:val="22"/>
          <w:highlight w:val="none"/>
        </w:rPr>
        <w:t>响应</w:t>
      </w:r>
      <w:r>
        <w:rPr>
          <w:rFonts w:ascii="宋体" w:hAnsi="宋体"/>
          <w:color w:val="auto"/>
          <w:sz w:val="22"/>
          <w:szCs w:val="22"/>
          <w:highlight w:val="none"/>
        </w:rPr>
        <w:t>描述（即</w:t>
      </w:r>
      <w:r>
        <w:rPr>
          <w:rFonts w:hint="eastAsia" w:ascii="宋体" w:hAnsi="宋体"/>
          <w:color w:val="auto"/>
          <w:sz w:val="22"/>
          <w:szCs w:val="22"/>
          <w:highlight w:val="none"/>
        </w:rPr>
        <w:t>响应</w:t>
      </w:r>
      <w:r>
        <w:rPr>
          <w:rFonts w:ascii="宋体" w:hAnsi="宋体"/>
          <w:color w:val="auto"/>
          <w:sz w:val="22"/>
          <w:szCs w:val="22"/>
          <w:highlight w:val="none"/>
        </w:rPr>
        <w:t>文件中描述的内容）存在前后不一致、与证明材料不一致或多份证明材料之间不一致情形之一</w:t>
      </w:r>
      <w:r>
        <w:rPr>
          <w:rFonts w:hint="eastAsia" w:ascii="宋体" w:hAnsi="宋体"/>
          <w:color w:val="auto"/>
          <w:sz w:val="22"/>
          <w:szCs w:val="22"/>
          <w:highlight w:val="none"/>
        </w:rPr>
        <w:t>，</w:t>
      </w:r>
      <w:r>
        <w:rPr>
          <w:rFonts w:ascii="宋体" w:hAnsi="宋体"/>
          <w:color w:val="auto"/>
          <w:sz w:val="22"/>
          <w:szCs w:val="22"/>
          <w:highlight w:val="none"/>
        </w:rPr>
        <w:t>但在</w:t>
      </w:r>
      <w:r>
        <w:rPr>
          <w:rFonts w:hint="eastAsia" w:ascii="宋体" w:hAnsi="宋体"/>
          <w:color w:val="auto"/>
          <w:sz w:val="22"/>
          <w:szCs w:val="22"/>
          <w:highlight w:val="none"/>
        </w:rPr>
        <w:t>评审</w:t>
      </w:r>
      <w:r>
        <w:rPr>
          <w:rFonts w:ascii="宋体" w:hAnsi="宋体"/>
          <w:color w:val="auto"/>
          <w:sz w:val="22"/>
          <w:szCs w:val="22"/>
          <w:highlight w:val="none"/>
        </w:rPr>
        <w:t>中未能发现，则采购人将以</w:t>
      </w:r>
      <w:r>
        <w:rPr>
          <w:rFonts w:hint="eastAsia" w:ascii="宋体" w:hAnsi="宋体"/>
          <w:color w:val="auto"/>
          <w:sz w:val="22"/>
          <w:szCs w:val="22"/>
          <w:highlight w:val="none"/>
        </w:rPr>
        <w:t>响应</w:t>
      </w:r>
      <w:r>
        <w:rPr>
          <w:rFonts w:ascii="宋体" w:hAnsi="宋体"/>
          <w:color w:val="auto"/>
          <w:sz w:val="22"/>
          <w:szCs w:val="22"/>
          <w:highlight w:val="none"/>
        </w:rPr>
        <w:t>描述或证明材料中有利于采购人的内容进行验收，中标（成交）供应商应自行承担由此产生的风险及费用。</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hint="eastAsia" w:ascii="宋体" w:hAnsi="宋体" w:cs="Courier New"/>
          <w:b/>
          <w:color w:val="auto"/>
          <w:sz w:val="22"/>
          <w:szCs w:val="22"/>
          <w:highlight w:val="none"/>
        </w:rPr>
        <w:t>在磋商过程中，磋商小组可以根据磋商文件和磋商情况实质性变动采购需求中的技术、服务要求以及合同草案条款，但不得变动磋商文件中的其他内容。实质性变动的内容，须经采购人代表确认。</w:t>
      </w:r>
      <w:r>
        <w:rPr>
          <w:rFonts w:ascii="宋体" w:hAnsi="宋体" w:cs="Courier New"/>
          <w:color w:val="auto"/>
          <w:sz w:val="22"/>
          <w:szCs w:val="22"/>
          <w:highlight w:val="none"/>
        </w:rPr>
        <w:t>对磋商文件作出的实质性变动是磋商文件的有效组成部分</w:t>
      </w:r>
      <w:r>
        <w:rPr>
          <w:rFonts w:hint="eastAsia" w:ascii="宋体" w:hAnsi="宋体" w:cs="Courier New"/>
          <w:color w:val="auto"/>
          <w:sz w:val="22"/>
          <w:szCs w:val="22"/>
          <w:highlight w:val="none"/>
        </w:rPr>
        <w:t>。</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hint="eastAsia" w:ascii="宋体" w:hAnsi="宋体"/>
          <w:b/>
          <w:color w:val="auto"/>
          <w:sz w:val="22"/>
          <w:szCs w:val="22"/>
          <w:highlight w:val="none"/>
        </w:rPr>
        <w:t>根</w:t>
      </w:r>
      <w:r>
        <w:rPr>
          <w:rFonts w:hint="eastAsia" w:ascii="宋体" w:hAnsi="宋体" w:cs="Courier New"/>
          <w:b/>
          <w:color w:val="auto"/>
          <w:sz w:val="22"/>
          <w:szCs w:val="22"/>
          <w:highlight w:val="none"/>
        </w:rPr>
        <w:t>据磋商结果要</w:t>
      </w:r>
      <w:r>
        <w:rPr>
          <w:rFonts w:hint="eastAsia" w:ascii="宋体" w:hAnsi="宋体"/>
          <w:b/>
          <w:color w:val="auto"/>
          <w:sz w:val="22"/>
          <w:szCs w:val="22"/>
          <w:highlight w:val="none"/>
        </w:rPr>
        <w:t>求各供应商在规定时间内给出最后报价</w:t>
      </w:r>
      <w:bookmarkStart w:id="159" w:name="_Hlk527836836"/>
      <w:r>
        <w:rPr>
          <w:rFonts w:hint="eastAsia" w:ascii="宋体" w:hAnsi="宋体" w:cs="宋体"/>
          <w:b/>
          <w:color w:val="auto"/>
          <w:sz w:val="22"/>
          <w:szCs w:val="22"/>
          <w:highlight w:val="none"/>
        </w:rPr>
        <w:t>（不得高于第一次磋商报价，否则取其报价中</w:t>
      </w:r>
      <w:bookmarkEnd w:id="159"/>
      <w:r>
        <w:rPr>
          <w:rFonts w:hint="eastAsia" w:ascii="宋体" w:hAnsi="宋体" w:cs="宋体"/>
          <w:b/>
          <w:color w:val="auto"/>
          <w:sz w:val="22"/>
          <w:szCs w:val="22"/>
          <w:highlight w:val="none"/>
        </w:rPr>
        <w:t>最低的报价作为其最后报价，另有决议的除外）</w:t>
      </w:r>
      <w:r>
        <w:rPr>
          <w:rFonts w:hint="eastAsia" w:ascii="宋体" w:hAnsi="宋体"/>
          <w:b/>
          <w:color w:val="auto"/>
          <w:sz w:val="22"/>
          <w:szCs w:val="22"/>
          <w:highlight w:val="none"/>
        </w:rPr>
        <w:t>。</w:t>
      </w:r>
      <w:r>
        <w:rPr>
          <w:rFonts w:hint="eastAsia" w:ascii="宋体" w:hAnsi="宋体" w:cs="Courier New"/>
          <w:color w:val="auto"/>
          <w:sz w:val="22"/>
          <w:szCs w:val="22"/>
          <w:highlight w:val="none"/>
        </w:rPr>
        <w:t>最后报价是供应商响应文件的有效组成部分。</w:t>
      </w:r>
      <w:r>
        <w:rPr>
          <w:rFonts w:hint="eastAsia" w:ascii="宋体" w:hAnsi="宋体" w:cs="Courier New"/>
          <w:b/>
          <w:color w:val="auto"/>
          <w:sz w:val="22"/>
          <w:szCs w:val="22"/>
          <w:highlight w:val="none"/>
        </w:rPr>
        <w:t>磋商小组认为供应商的最后报价明显低于其他有效供应商的最后报价，有可能影响产品质量或不能诚信履约的，应要求其在评审现场合理的时间内提供书面说明（或通过“政府采购云平台”提供线上说明），必要时还应要求其一并提交有关证明材料；供应商代表不能在规定的合理时间内证明其报价合理性的，磋商小组将其作为</w:t>
      </w:r>
      <w:r>
        <w:rPr>
          <w:rFonts w:hint="eastAsia" w:ascii="宋体" w:hAnsi="宋体" w:cs="Courier New"/>
          <w:b/>
          <w:bCs/>
          <w:color w:val="auto"/>
          <w:sz w:val="22"/>
          <w:szCs w:val="22"/>
          <w:highlight w:val="none"/>
        </w:rPr>
        <w:t>响应无效</w:t>
      </w:r>
      <w:r>
        <w:rPr>
          <w:rFonts w:hint="eastAsia" w:ascii="宋体" w:hAnsi="宋体" w:cs="Courier New"/>
          <w:b/>
          <w:color w:val="auto"/>
          <w:sz w:val="22"/>
          <w:szCs w:val="22"/>
          <w:highlight w:val="none"/>
        </w:rPr>
        <w:t>处理。</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ascii="宋体" w:hAnsi="宋体" w:cs="Courier New"/>
          <w:color w:val="auto"/>
          <w:sz w:val="22"/>
          <w:szCs w:val="22"/>
          <w:highlight w:val="none"/>
        </w:rPr>
        <w:t>磋商</w:t>
      </w:r>
      <w:r>
        <w:rPr>
          <w:rFonts w:ascii="宋体" w:hAnsi="宋体"/>
          <w:bCs/>
          <w:color w:val="auto"/>
          <w:sz w:val="22"/>
          <w:szCs w:val="22"/>
          <w:highlight w:val="none"/>
        </w:rPr>
        <w:t>小组</w:t>
      </w:r>
      <w:r>
        <w:rPr>
          <w:rFonts w:ascii="宋体" w:hAnsi="宋体" w:cs="Courier New"/>
          <w:color w:val="auto"/>
          <w:sz w:val="22"/>
          <w:szCs w:val="22"/>
          <w:highlight w:val="none"/>
        </w:rPr>
        <w:t>采用综合评分法对提交最后报价的供应商的响应文件和最后报价进行综合评分</w:t>
      </w:r>
      <w:r>
        <w:rPr>
          <w:rFonts w:hint="eastAsia" w:ascii="宋体" w:hAnsi="宋体" w:cs="Courier New"/>
          <w:color w:val="auto"/>
          <w:sz w:val="22"/>
          <w:szCs w:val="22"/>
          <w:highlight w:val="none"/>
        </w:rPr>
        <w:t>。</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评委对需要共同认定的事项存在争议的，应按照少数服从多数的原则进行认定。持不同意见的评委应在评审报告上签署不同意见及理由，否则视为同意评审报告。</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评审原则和评审办法详见本磋商文件《评审原则及办法》。</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宋体"/>
          <w:color w:val="auto"/>
          <w:sz w:val="22"/>
          <w:szCs w:val="22"/>
          <w:highlight w:val="none"/>
        </w:rPr>
      </w:pPr>
      <w:bookmarkStart w:id="160" w:name="_Hlk98837644"/>
      <w:r>
        <w:rPr>
          <w:rFonts w:ascii="宋体" w:hAnsi="宋体" w:cs="宋体"/>
          <w:color w:val="auto"/>
          <w:sz w:val="22"/>
          <w:szCs w:val="22"/>
          <w:highlight w:val="none"/>
        </w:rPr>
        <w:t>评标过程中，有下列情形之一的，应予废标：</w:t>
      </w:r>
    </w:p>
    <w:p>
      <w:pPr>
        <w:keepNext w:val="0"/>
        <w:keepLines w:val="0"/>
        <w:pageBreakBefore w:val="0"/>
        <w:widowControl w:val="0"/>
        <w:numPr>
          <w:ilvl w:val="0"/>
          <w:numId w:val="16"/>
        </w:numPr>
        <w:tabs>
          <w:tab w:val="left" w:pos="525"/>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ascii="宋体" w:hAnsi="宋体"/>
          <w:bCs/>
          <w:color w:val="auto"/>
          <w:sz w:val="22"/>
          <w:szCs w:val="22"/>
          <w:highlight w:val="none"/>
        </w:rPr>
        <w:t>符合性审查合格的</w:t>
      </w:r>
      <w:r>
        <w:rPr>
          <w:rFonts w:hint="eastAsia" w:ascii="宋体" w:hAnsi="宋体"/>
          <w:bCs/>
          <w:color w:val="auto"/>
          <w:sz w:val="22"/>
          <w:szCs w:val="22"/>
          <w:highlight w:val="none"/>
        </w:rPr>
        <w:t>供应商</w:t>
      </w:r>
      <w:r>
        <w:rPr>
          <w:rFonts w:ascii="宋体" w:hAnsi="宋体"/>
          <w:bCs/>
          <w:color w:val="auto"/>
          <w:sz w:val="22"/>
          <w:szCs w:val="22"/>
          <w:highlight w:val="none"/>
        </w:rPr>
        <w:t>不足三家的；</w:t>
      </w:r>
    </w:p>
    <w:p>
      <w:pPr>
        <w:keepNext w:val="0"/>
        <w:keepLines w:val="0"/>
        <w:pageBreakBefore w:val="0"/>
        <w:widowControl w:val="0"/>
        <w:numPr>
          <w:ilvl w:val="0"/>
          <w:numId w:val="16"/>
        </w:numPr>
        <w:tabs>
          <w:tab w:val="left" w:pos="525"/>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ascii="宋体" w:hAnsi="宋体"/>
          <w:bCs/>
          <w:color w:val="auto"/>
          <w:sz w:val="22"/>
          <w:szCs w:val="22"/>
          <w:highlight w:val="none"/>
        </w:rPr>
        <w:t>对</w:t>
      </w:r>
      <w:r>
        <w:rPr>
          <w:rFonts w:hint="eastAsia" w:ascii="宋体" w:hAnsi="宋体"/>
          <w:bCs/>
          <w:color w:val="auto"/>
          <w:sz w:val="22"/>
          <w:szCs w:val="22"/>
          <w:highlight w:val="none"/>
        </w:rPr>
        <w:t>磋商</w:t>
      </w:r>
      <w:r>
        <w:rPr>
          <w:rFonts w:ascii="宋体" w:hAnsi="宋体"/>
          <w:bCs/>
          <w:color w:val="auto"/>
          <w:sz w:val="22"/>
          <w:szCs w:val="22"/>
          <w:highlight w:val="none"/>
        </w:rPr>
        <w:t>文件作实质响应的</w:t>
      </w:r>
      <w:r>
        <w:rPr>
          <w:rFonts w:hint="eastAsia" w:ascii="宋体" w:hAnsi="宋体"/>
          <w:bCs/>
          <w:color w:val="auto"/>
          <w:sz w:val="22"/>
          <w:szCs w:val="22"/>
          <w:highlight w:val="none"/>
        </w:rPr>
        <w:t>供应商</w:t>
      </w:r>
      <w:r>
        <w:rPr>
          <w:rFonts w:ascii="宋体" w:hAnsi="宋体"/>
          <w:bCs/>
          <w:color w:val="auto"/>
          <w:sz w:val="22"/>
          <w:szCs w:val="22"/>
          <w:highlight w:val="none"/>
        </w:rPr>
        <w:t>不足三家的；</w:t>
      </w:r>
    </w:p>
    <w:p>
      <w:pPr>
        <w:keepNext w:val="0"/>
        <w:keepLines w:val="0"/>
        <w:pageBreakBefore w:val="0"/>
        <w:widowControl w:val="0"/>
        <w:numPr>
          <w:ilvl w:val="0"/>
          <w:numId w:val="16"/>
        </w:numPr>
        <w:tabs>
          <w:tab w:val="left" w:pos="540"/>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ascii="宋体" w:hAnsi="宋体"/>
          <w:bCs/>
          <w:color w:val="auto"/>
          <w:sz w:val="22"/>
          <w:szCs w:val="22"/>
          <w:highlight w:val="none"/>
        </w:rPr>
        <w:t>有关法律、法规和规章规定废标的情形。</w:t>
      </w:r>
    </w:p>
    <w:bookmarkEnd w:id="160"/>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s="Courier New"/>
          <w:color w:val="auto"/>
          <w:sz w:val="22"/>
          <w:szCs w:val="22"/>
          <w:highlight w:val="none"/>
        </w:rPr>
      </w:pPr>
      <w:r>
        <w:rPr>
          <w:rFonts w:hint="eastAsia" w:ascii="宋体" w:hAnsi="宋体" w:cs="Courier New"/>
          <w:color w:val="auto"/>
          <w:sz w:val="22"/>
          <w:szCs w:val="22"/>
          <w:highlight w:val="none"/>
        </w:rPr>
        <w:t>采购</w:t>
      </w:r>
      <w:r>
        <w:rPr>
          <w:rFonts w:hint="eastAsia" w:ascii="宋体" w:hAnsi="宋体"/>
          <w:bCs/>
          <w:color w:val="auto"/>
          <w:sz w:val="22"/>
          <w:szCs w:val="22"/>
          <w:highlight w:val="none"/>
        </w:rPr>
        <w:t>过程</w:t>
      </w:r>
      <w:r>
        <w:rPr>
          <w:rFonts w:hint="eastAsia" w:ascii="宋体" w:hAnsi="宋体" w:cs="Courier New"/>
          <w:color w:val="auto"/>
          <w:sz w:val="22"/>
          <w:szCs w:val="22"/>
          <w:highlight w:val="none"/>
        </w:rPr>
        <w:t>中出现以下情形，导致电子交易平台无法正常运行，或者无法保证电子交易的公平、公正和安全时，采购组织单位可中止电子交易活动：</w:t>
      </w:r>
    </w:p>
    <w:p>
      <w:pPr>
        <w:keepNext w:val="0"/>
        <w:keepLines w:val="0"/>
        <w:pageBreakBefore w:val="0"/>
        <w:widowControl w:val="0"/>
        <w:numPr>
          <w:ilvl w:val="0"/>
          <w:numId w:val="17"/>
        </w:numPr>
        <w:tabs>
          <w:tab w:val="left" w:pos="525"/>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hint="eastAsia" w:ascii="宋体" w:hAnsi="宋体"/>
          <w:bCs/>
          <w:color w:val="auto"/>
          <w:sz w:val="22"/>
          <w:szCs w:val="22"/>
          <w:highlight w:val="none"/>
        </w:rPr>
        <w:t>电子交易平台发生故障而无法登录访问的；</w:t>
      </w:r>
    </w:p>
    <w:p>
      <w:pPr>
        <w:keepNext w:val="0"/>
        <w:keepLines w:val="0"/>
        <w:pageBreakBefore w:val="0"/>
        <w:widowControl w:val="0"/>
        <w:numPr>
          <w:ilvl w:val="0"/>
          <w:numId w:val="17"/>
        </w:numPr>
        <w:tabs>
          <w:tab w:val="left" w:pos="525"/>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hint="eastAsia" w:ascii="宋体" w:hAnsi="宋体"/>
          <w:bCs/>
          <w:color w:val="auto"/>
          <w:sz w:val="22"/>
          <w:szCs w:val="22"/>
          <w:highlight w:val="none"/>
        </w:rPr>
        <w:t>电子交易平台应用或数据库出现错误，不能进行正常操作的；</w:t>
      </w:r>
    </w:p>
    <w:p>
      <w:pPr>
        <w:keepNext w:val="0"/>
        <w:keepLines w:val="0"/>
        <w:pageBreakBefore w:val="0"/>
        <w:widowControl w:val="0"/>
        <w:numPr>
          <w:ilvl w:val="0"/>
          <w:numId w:val="17"/>
        </w:numPr>
        <w:tabs>
          <w:tab w:val="left" w:pos="525"/>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hint="eastAsia" w:ascii="宋体" w:hAnsi="宋体"/>
          <w:bCs/>
          <w:color w:val="auto"/>
          <w:sz w:val="22"/>
          <w:szCs w:val="22"/>
          <w:highlight w:val="none"/>
        </w:rPr>
        <w:t>电子交易平台发现严重安全漏洞，有潜在泄密危险的；</w:t>
      </w:r>
    </w:p>
    <w:p>
      <w:pPr>
        <w:keepNext w:val="0"/>
        <w:keepLines w:val="0"/>
        <w:pageBreakBefore w:val="0"/>
        <w:widowControl w:val="0"/>
        <w:numPr>
          <w:ilvl w:val="0"/>
          <w:numId w:val="17"/>
        </w:numPr>
        <w:tabs>
          <w:tab w:val="left" w:pos="525"/>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hint="eastAsia" w:ascii="宋体" w:hAnsi="宋体"/>
          <w:bCs/>
          <w:color w:val="auto"/>
          <w:sz w:val="22"/>
          <w:szCs w:val="22"/>
          <w:highlight w:val="none"/>
        </w:rPr>
        <w:t>病毒发作导致不能进行正常操作的；</w:t>
      </w:r>
    </w:p>
    <w:p>
      <w:pPr>
        <w:keepNext w:val="0"/>
        <w:keepLines w:val="0"/>
        <w:pageBreakBefore w:val="0"/>
        <w:widowControl w:val="0"/>
        <w:numPr>
          <w:ilvl w:val="0"/>
          <w:numId w:val="17"/>
        </w:numPr>
        <w:tabs>
          <w:tab w:val="left" w:pos="525"/>
        </w:tabs>
        <w:kinsoku/>
        <w:wordWrap/>
        <w:overflowPunct/>
        <w:topLinePunct w:val="0"/>
        <w:autoSpaceDE/>
        <w:autoSpaceDN/>
        <w:bidi w:val="0"/>
        <w:adjustRightInd/>
        <w:snapToGrid/>
        <w:spacing w:line="440" w:lineRule="exact"/>
        <w:textAlignment w:val="auto"/>
        <w:rPr>
          <w:rFonts w:ascii="宋体" w:hAnsi="宋体"/>
          <w:bCs/>
          <w:color w:val="auto"/>
          <w:sz w:val="22"/>
          <w:szCs w:val="22"/>
          <w:highlight w:val="none"/>
        </w:rPr>
      </w:pPr>
      <w:r>
        <w:rPr>
          <w:rFonts w:hint="eastAsia" w:ascii="宋体" w:hAnsi="宋体"/>
          <w:bCs/>
          <w:color w:val="auto"/>
          <w:sz w:val="22"/>
          <w:szCs w:val="22"/>
          <w:highlight w:val="none"/>
        </w:rPr>
        <w:t>其他无法保证电子交易的公平、公正和安全的情况。</w:t>
      </w:r>
    </w:p>
    <w:p>
      <w:pPr>
        <w:keepNext w:val="0"/>
        <w:keepLines w:val="0"/>
        <w:pageBreakBefore w:val="0"/>
        <w:widowControl w:val="0"/>
        <w:tabs>
          <w:tab w:val="left" w:pos="540"/>
        </w:tabs>
        <w:kinsoku/>
        <w:wordWrap/>
        <w:overflowPunct/>
        <w:topLinePunct w:val="0"/>
        <w:autoSpaceDE/>
        <w:autoSpaceDN/>
        <w:bidi w:val="0"/>
        <w:adjustRightInd/>
        <w:snapToGrid/>
        <w:spacing w:line="440" w:lineRule="exact"/>
        <w:ind w:firstLine="442" w:firstLineChars="200"/>
        <w:textAlignment w:val="auto"/>
        <w:rPr>
          <w:rFonts w:ascii="宋体" w:hAnsi="宋体"/>
          <w:b/>
          <w:bCs/>
          <w:color w:val="auto"/>
          <w:sz w:val="22"/>
          <w:szCs w:val="22"/>
          <w:highlight w:val="none"/>
        </w:rPr>
      </w:pPr>
      <w:r>
        <w:rPr>
          <w:rFonts w:hint="eastAsia" w:ascii="宋体" w:hAnsi="宋体"/>
          <w:b/>
          <w:bCs/>
          <w:color w:val="auto"/>
          <w:sz w:val="22"/>
          <w:szCs w:val="22"/>
          <w:highlight w:val="none"/>
        </w:rPr>
        <w:t>※出现前款规定情形，不影响采购公平、公正性的，采购组织单位可以待上述情形消除后继续组织电子交易活动；影响或可能影响采购公平、公正性的，应当重新采购。</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olor w:val="auto"/>
          <w:sz w:val="22"/>
          <w:szCs w:val="22"/>
          <w:highlight w:val="none"/>
        </w:rPr>
      </w:pPr>
      <w:r>
        <w:rPr>
          <w:rFonts w:ascii="宋体" w:hAnsi="宋体"/>
          <w:bCs/>
          <w:color w:val="auto"/>
          <w:sz w:val="22"/>
          <w:szCs w:val="22"/>
          <w:highlight w:val="none"/>
        </w:rPr>
        <w:t>确定中标</w:t>
      </w:r>
      <w:r>
        <w:rPr>
          <w:rFonts w:ascii="宋体" w:hAnsi="宋体" w:cs="Courier New"/>
          <w:color w:val="auto"/>
          <w:sz w:val="22"/>
          <w:szCs w:val="22"/>
          <w:highlight w:val="none"/>
        </w:rPr>
        <w:t>候选人</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color w:val="auto"/>
          <w:sz w:val="22"/>
          <w:szCs w:val="22"/>
          <w:highlight w:val="none"/>
        </w:rPr>
      </w:pPr>
      <w:r>
        <w:rPr>
          <w:rFonts w:ascii="宋体" w:hAnsi="宋体"/>
          <w:color w:val="auto"/>
          <w:sz w:val="22"/>
          <w:szCs w:val="22"/>
          <w:highlight w:val="none"/>
        </w:rPr>
        <w:t>本次</w:t>
      </w:r>
      <w:r>
        <w:rPr>
          <w:rFonts w:hint="eastAsia" w:ascii="宋体" w:hAnsi="宋体"/>
          <w:color w:val="auto"/>
          <w:sz w:val="22"/>
          <w:szCs w:val="22"/>
          <w:highlight w:val="none"/>
        </w:rPr>
        <w:t>采购</w:t>
      </w:r>
      <w:r>
        <w:rPr>
          <w:rFonts w:ascii="宋体" w:hAnsi="宋体"/>
          <w:color w:val="auto"/>
          <w:sz w:val="22"/>
          <w:szCs w:val="22"/>
          <w:highlight w:val="none"/>
        </w:rPr>
        <w:t>由磋商小组</w:t>
      </w:r>
      <w:r>
        <w:rPr>
          <w:rFonts w:hint="eastAsia" w:ascii="宋体" w:hAnsi="宋体"/>
          <w:color w:val="auto"/>
          <w:sz w:val="22"/>
          <w:szCs w:val="22"/>
          <w:highlight w:val="none"/>
        </w:rPr>
        <w:t>推荐</w:t>
      </w:r>
      <w:r>
        <w:rPr>
          <w:rFonts w:ascii="宋体" w:hAnsi="宋体"/>
          <w:color w:val="auto"/>
          <w:sz w:val="22"/>
          <w:szCs w:val="22"/>
          <w:highlight w:val="none"/>
        </w:rPr>
        <w:t>中标候选人</w:t>
      </w:r>
      <w:r>
        <w:rPr>
          <w:rFonts w:hint="eastAsia" w:ascii="宋体" w:hAnsi="宋体"/>
          <w:color w:val="auto"/>
          <w:sz w:val="22"/>
          <w:szCs w:val="22"/>
          <w:highlight w:val="none"/>
        </w:rPr>
        <w:t>，采购人根据磋商小组的推荐结果进行最终确认</w:t>
      </w:r>
      <w:r>
        <w:rPr>
          <w:rFonts w:ascii="宋体" w:hAnsi="宋体"/>
          <w:color w:val="auto"/>
          <w:sz w:val="22"/>
          <w:szCs w:val="22"/>
          <w:highlight w:val="none"/>
        </w:rPr>
        <w:t>。</w:t>
      </w:r>
    </w:p>
    <w:p>
      <w:pPr>
        <w:keepNext w:val="0"/>
        <w:keepLines w:val="0"/>
        <w:pageBreakBefore w:val="0"/>
        <w:widowControl w:val="0"/>
        <w:numPr>
          <w:ilvl w:val="1"/>
          <w:numId w:val="7"/>
        </w:numPr>
        <w:kinsoku/>
        <w:wordWrap/>
        <w:overflowPunct/>
        <w:topLinePunct w:val="0"/>
        <w:autoSpaceDE/>
        <w:autoSpaceDN/>
        <w:bidi w:val="0"/>
        <w:adjustRightInd/>
        <w:snapToGrid/>
        <w:spacing w:line="440" w:lineRule="exact"/>
        <w:ind w:left="567"/>
        <w:textAlignment w:val="auto"/>
        <w:rPr>
          <w:rFonts w:ascii="宋体" w:hAnsi="宋体"/>
          <w:color w:val="auto"/>
          <w:sz w:val="22"/>
          <w:szCs w:val="22"/>
          <w:highlight w:val="none"/>
        </w:rPr>
      </w:pPr>
      <w:r>
        <w:rPr>
          <w:rFonts w:ascii="宋体" w:hAnsi="宋体"/>
          <w:color w:val="auto"/>
          <w:sz w:val="22"/>
          <w:szCs w:val="22"/>
          <w:highlight w:val="none"/>
        </w:rPr>
        <w:t>中标</w:t>
      </w:r>
      <w:r>
        <w:rPr>
          <w:rFonts w:hint="eastAsia" w:ascii="宋体" w:hAnsi="宋体"/>
          <w:color w:val="auto"/>
          <w:sz w:val="22"/>
          <w:szCs w:val="22"/>
          <w:highlight w:val="none"/>
        </w:rPr>
        <w:t>（或成交）</w:t>
      </w:r>
      <w:r>
        <w:rPr>
          <w:rFonts w:ascii="宋体" w:hAnsi="宋体"/>
          <w:color w:val="auto"/>
          <w:sz w:val="22"/>
          <w:szCs w:val="22"/>
          <w:highlight w:val="none"/>
        </w:rPr>
        <w:t>公告同时作为</w:t>
      </w:r>
      <w:r>
        <w:rPr>
          <w:rFonts w:hint="eastAsia" w:ascii="宋体" w:hAnsi="宋体"/>
          <w:color w:val="auto"/>
          <w:sz w:val="22"/>
          <w:szCs w:val="22"/>
          <w:highlight w:val="none"/>
        </w:rPr>
        <w:t>采购人、采购代理机构或磋商小组</w:t>
      </w:r>
      <w:r>
        <w:rPr>
          <w:rFonts w:ascii="宋体" w:hAnsi="宋体"/>
          <w:color w:val="auto"/>
          <w:sz w:val="22"/>
          <w:szCs w:val="22"/>
          <w:highlight w:val="none"/>
        </w:rPr>
        <w:t>通知除</w:t>
      </w:r>
      <w:r>
        <w:rPr>
          <w:rFonts w:hint="eastAsia" w:ascii="宋体" w:hAnsi="宋体"/>
          <w:color w:val="auto"/>
          <w:sz w:val="22"/>
          <w:szCs w:val="22"/>
          <w:highlight w:val="none"/>
        </w:rPr>
        <w:t>中标（成交）供应商</w:t>
      </w:r>
      <w:r>
        <w:rPr>
          <w:rFonts w:ascii="宋体" w:hAnsi="宋体"/>
          <w:color w:val="auto"/>
          <w:sz w:val="22"/>
          <w:szCs w:val="22"/>
          <w:highlight w:val="none"/>
        </w:rPr>
        <w:t>外的其他供应商没有中标</w:t>
      </w:r>
      <w:r>
        <w:rPr>
          <w:rFonts w:hint="eastAsia" w:ascii="宋体" w:hAnsi="宋体"/>
          <w:color w:val="auto"/>
          <w:sz w:val="22"/>
          <w:szCs w:val="22"/>
          <w:highlight w:val="none"/>
        </w:rPr>
        <w:t>（或成交）</w:t>
      </w:r>
      <w:r>
        <w:rPr>
          <w:rFonts w:ascii="宋体" w:hAnsi="宋体"/>
          <w:color w:val="auto"/>
          <w:sz w:val="22"/>
          <w:szCs w:val="22"/>
          <w:highlight w:val="none"/>
        </w:rPr>
        <w:t>的书面形式。</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color w:val="auto"/>
          <w:sz w:val="22"/>
          <w:szCs w:val="22"/>
          <w:highlight w:val="none"/>
        </w:rPr>
      </w:pPr>
      <w:r>
        <w:rPr>
          <w:rFonts w:ascii="宋体" w:hAnsi="宋体"/>
          <w:color w:val="auto"/>
          <w:sz w:val="22"/>
          <w:szCs w:val="22"/>
          <w:highlight w:val="none"/>
        </w:rPr>
        <w:t>采购人或采购代理机构对决标结果不做任何解释。</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567" w:hanging="567"/>
        <w:textAlignment w:val="auto"/>
        <w:rPr>
          <w:rFonts w:ascii="宋体" w:hAnsi="宋体"/>
          <w:bCs/>
          <w:color w:val="auto"/>
          <w:sz w:val="22"/>
          <w:szCs w:val="22"/>
          <w:highlight w:val="none"/>
        </w:rPr>
      </w:pPr>
      <w:r>
        <w:rPr>
          <w:rFonts w:hint="eastAsia" w:ascii="宋体" w:hAnsi="宋体"/>
          <w:bCs/>
          <w:color w:val="auto"/>
          <w:sz w:val="22"/>
          <w:szCs w:val="22"/>
          <w:highlight w:val="none"/>
        </w:rPr>
        <w:t>未尽</w:t>
      </w:r>
      <w:r>
        <w:rPr>
          <w:rFonts w:hint="eastAsia" w:ascii="宋体" w:hAnsi="宋体" w:cs="Courier New"/>
          <w:color w:val="auto"/>
          <w:sz w:val="22"/>
          <w:szCs w:val="22"/>
          <w:highlight w:val="none"/>
        </w:rPr>
        <w:t>事宜遵循</w:t>
      </w:r>
      <w:r>
        <w:rPr>
          <w:rFonts w:hint="eastAsia" w:ascii="宋体" w:hAnsi="宋体"/>
          <w:bCs/>
          <w:color w:val="auto"/>
          <w:sz w:val="22"/>
          <w:szCs w:val="22"/>
          <w:highlight w:val="none"/>
        </w:rPr>
        <w:t>相关法律法规及规范性文件执行。</w:t>
      </w:r>
    </w:p>
    <w:p>
      <w:pPr>
        <w:pStyle w:val="6"/>
        <w:spacing w:line="440" w:lineRule="exact"/>
        <w:jc w:val="center"/>
        <w:rPr>
          <w:rFonts w:ascii="宋体" w:hAnsi="宋体" w:eastAsia="宋体" w:cs="Courier New"/>
          <w:color w:val="auto"/>
          <w:highlight w:val="none"/>
        </w:rPr>
      </w:pPr>
      <w:bookmarkStart w:id="161" w:name="_Toc262105505"/>
      <w:bookmarkStart w:id="162" w:name="_Toc249758714"/>
      <w:bookmarkStart w:id="163" w:name="_Toc241404204"/>
      <w:bookmarkStart w:id="164" w:name="_Toc245191316"/>
      <w:bookmarkStart w:id="165" w:name="_Toc245722283"/>
      <w:bookmarkStart w:id="166" w:name="_Toc262049420"/>
      <w:bookmarkStart w:id="167" w:name="_Toc246261267"/>
      <w:bookmarkStart w:id="168" w:name="_Toc221374628"/>
      <w:bookmarkStart w:id="169" w:name="_Toc221356953"/>
      <w:bookmarkStart w:id="170" w:name="_Toc222114881"/>
      <w:bookmarkStart w:id="171" w:name="_Toc239145356"/>
      <w:bookmarkStart w:id="172" w:name="_Toc249758866"/>
      <w:bookmarkStart w:id="173" w:name="_Toc223716000"/>
      <w:bookmarkStart w:id="174" w:name="_Toc221356889"/>
      <w:bookmarkStart w:id="175" w:name="_Toc221423621"/>
      <w:bookmarkStart w:id="176" w:name="_Toc5714"/>
      <w:bookmarkStart w:id="177" w:name="_Toc29290"/>
      <w:r>
        <w:rPr>
          <w:rFonts w:hint="eastAsia" w:ascii="宋体" w:hAnsi="宋体" w:eastAsia="宋体" w:cs="Courier New"/>
          <w:color w:val="auto"/>
          <w:highlight w:val="none"/>
        </w:rPr>
        <w:t>七</w:t>
      </w:r>
      <w:r>
        <w:rPr>
          <w:rFonts w:ascii="宋体" w:hAnsi="宋体" w:eastAsia="宋体" w:cs="Courier New"/>
          <w:color w:val="auto"/>
          <w:highlight w:val="none"/>
        </w:rPr>
        <w:t>、</w:t>
      </w:r>
      <w:r>
        <w:rPr>
          <w:rFonts w:hint="eastAsia" w:ascii="宋体" w:hAnsi="宋体" w:eastAsia="宋体" w:cs="Courier New"/>
          <w:color w:val="auto"/>
          <w:highlight w:val="none"/>
        </w:rPr>
        <w:t>定标及</w:t>
      </w:r>
      <w:r>
        <w:rPr>
          <w:rFonts w:ascii="宋体" w:hAnsi="宋体" w:eastAsia="宋体" w:cs="Courier New"/>
          <w:color w:val="auto"/>
          <w:highlight w:val="none"/>
        </w:rPr>
        <w:t>合同</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Fonts w:ascii="宋体" w:hAnsi="宋体" w:eastAsia="宋体" w:cs="Courier New"/>
          <w:color w:val="auto"/>
          <w:highlight w:val="none"/>
        </w:rPr>
        <w:t>授予</w:t>
      </w:r>
      <w:bookmarkEnd w:id="176"/>
      <w:bookmarkEnd w:id="177"/>
    </w:p>
    <w:p>
      <w:pPr>
        <w:numPr>
          <w:ilvl w:val="0"/>
          <w:numId w:val="7"/>
        </w:numPr>
        <w:spacing w:line="440" w:lineRule="exact"/>
        <w:ind w:left="567" w:hanging="567"/>
        <w:rPr>
          <w:rFonts w:ascii="宋体" w:hAnsi="宋体"/>
          <w:bCs/>
          <w:color w:val="auto"/>
          <w:sz w:val="22"/>
          <w:szCs w:val="22"/>
          <w:highlight w:val="none"/>
        </w:rPr>
      </w:pPr>
      <w:r>
        <w:rPr>
          <w:rFonts w:hint="eastAsia" w:ascii="宋体" w:hAnsi="宋体"/>
          <w:bCs/>
          <w:color w:val="auto"/>
          <w:sz w:val="22"/>
          <w:szCs w:val="22"/>
          <w:highlight w:val="none"/>
        </w:rPr>
        <w:t>确认</w:t>
      </w:r>
      <w:r>
        <w:rPr>
          <w:rFonts w:hint="eastAsia" w:ascii="宋体" w:hAnsi="宋体" w:cs="Courier New"/>
          <w:color w:val="auto"/>
          <w:sz w:val="22"/>
          <w:szCs w:val="22"/>
          <w:highlight w:val="none"/>
        </w:rPr>
        <w:t>中标（成交）供应商</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采购人自收到评审报告之日起5个工作日内，从评审报告提出的</w:t>
      </w:r>
      <w:r>
        <w:rPr>
          <w:rFonts w:hint="eastAsia" w:ascii="宋体" w:hAnsi="宋体" w:cs="Courier New"/>
          <w:color w:val="auto"/>
          <w:sz w:val="22"/>
          <w:szCs w:val="22"/>
          <w:highlight w:val="none"/>
        </w:rPr>
        <w:t>中标（成交）</w:t>
      </w:r>
      <w:r>
        <w:rPr>
          <w:rFonts w:hint="eastAsia" w:ascii="宋体" w:hAnsi="宋体"/>
          <w:color w:val="auto"/>
          <w:sz w:val="22"/>
          <w:szCs w:val="22"/>
          <w:highlight w:val="none"/>
        </w:rPr>
        <w:t>候选供应商中，按照排序由高到低的原则确定中标（成交）供应商。采购人逾期未确定中标（成交）供应商且不提出异议的，视为确定评审报告提出的排序第一的供应商为中标（成交）供应商。</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中标（成交）供应商确定之日起2个工作日内，在磋商文件载明的指定媒体上公示中标结果，中标公告期限为1个工作日。</w:t>
      </w:r>
    </w:p>
    <w:p>
      <w:pPr>
        <w:numPr>
          <w:ilvl w:val="0"/>
          <w:numId w:val="7"/>
        </w:numPr>
        <w:spacing w:line="440" w:lineRule="exact"/>
        <w:ind w:left="567" w:hanging="567"/>
        <w:rPr>
          <w:rFonts w:ascii="宋体" w:hAnsi="宋体"/>
          <w:bCs/>
          <w:color w:val="auto"/>
          <w:sz w:val="22"/>
          <w:szCs w:val="22"/>
          <w:highlight w:val="none"/>
        </w:rPr>
      </w:pPr>
      <w:r>
        <w:rPr>
          <w:rFonts w:ascii="宋体" w:hAnsi="宋体" w:cs="Courier New"/>
          <w:color w:val="auto"/>
          <w:sz w:val="22"/>
          <w:szCs w:val="22"/>
          <w:highlight w:val="none"/>
        </w:rPr>
        <w:t>中标（成交）通知书</w:t>
      </w:r>
      <w:r>
        <w:rPr>
          <w:rFonts w:hint="eastAsia" w:ascii="宋体" w:hAnsi="宋体"/>
          <w:color w:val="auto"/>
          <w:sz w:val="22"/>
          <w:szCs w:val="22"/>
          <w:highlight w:val="none"/>
        </w:rPr>
        <w:t>（以纸质形式进行）</w:t>
      </w:r>
    </w:p>
    <w:p>
      <w:pPr>
        <w:numPr>
          <w:ilvl w:val="1"/>
          <w:numId w:val="7"/>
        </w:numPr>
        <w:spacing w:line="440" w:lineRule="exact"/>
        <w:ind w:left="567"/>
        <w:rPr>
          <w:rFonts w:ascii="宋体" w:hAnsi="宋体"/>
          <w:color w:val="auto"/>
          <w:sz w:val="22"/>
          <w:szCs w:val="22"/>
          <w:highlight w:val="none"/>
        </w:rPr>
      </w:pPr>
      <w:r>
        <w:rPr>
          <w:rFonts w:ascii="宋体" w:hAnsi="宋体"/>
          <w:bCs/>
          <w:color w:val="auto"/>
          <w:sz w:val="22"/>
          <w:szCs w:val="22"/>
          <w:highlight w:val="none"/>
        </w:rPr>
        <w:t>中标（成交）供应商确定后，采购人将向中标（成交）供应商发出中标（成交）通知书。</w:t>
      </w:r>
    </w:p>
    <w:p>
      <w:pPr>
        <w:numPr>
          <w:ilvl w:val="1"/>
          <w:numId w:val="7"/>
        </w:numPr>
        <w:spacing w:line="440" w:lineRule="exact"/>
        <w:ind w:left="567"/>
        <w:rPr>
          <w:rFonts w:ascii="宋体" w:hAnsi="宋体"/>
          <w:color w:val="auto"/>
          <w:sz w:val="22"/>
          <w:szCs w:val="22"/>
          <w:highlight w:val="none"/>
        </w:rPr>
      </w:pPr>
      <w:r>
        <w:rPr>
          <w:rFonts w:ascii="宋体" w:hAnsi="宋体"/>
          <w:color w:val="auto"/>
          <w:sz w:val="22"/>
          <w:szCs w:val="22"/>
          <w:highlight w:val="none"/>
        </w:rPr>
        <w:t>中标（成交）通知书是合同的一个组成部分,对采购人和中标（成交）供应商均具有同等法律效力。</w:t>
      </w:r>
    </w:p>
    <w:p>
      <w:pPr>
        <w:numPr>
          <w:ilvl w:val="0"/>
          <w:numId w:val="7"/>
        </w:numPr>
        <w:spacing w:line="440" w:lineRule="exact"/>
        <w:ind w:left="567" w:hanging="567"/>
        <w:rPr>
          <w:rFonts w:ascii="宋体" w:hAnsi="宋体"/>
          <w:b/>
          <w:bCs/>
          <w:color w:val="auto"/>
          <w:sz w:val="22"/>
          <w:szCs w:val="22"/>
          <w:highlight w:val="none"/>
        </w:rPr>
      </w:pPr>
      <w:r>
        <w:rPr>
          <w:rFonts w:hint="eastAsia" w:ascii="宋体" w:hAnsi="宋体"/>
          <w:b/>
          <w:bCs/>
          <w:color w:val="auto"/>
          <w:sz w:val="22"/>
          <w:szCs w:val="22"/>
          <w:highlight w:val="none"/>
        </w:rPr>
        <w:t>授标时更改采购内容数量的权力</w:t>
      </w:r>
    </w:p>
    <w:p>
      <w:pPr>
        <w:numPr>
          <w:ilvl w:val="1"/>
          <w:numId w:val="7"/>
        </w:numPr>
        <w:spacing w:line="440" w:lineRule="exact"/>
        <w:ind w:left="567"/>
        <w:rPr>
          <w:rFonts w:ascii="宋体" w:hAnsi="宋体"/>
          <w:b/>
          <w:color w:val="auto"/>
          <w:sz w:val="22"/>
          <w:szCs w:val="22"/>
          <w:highlight w:val="none"/>
        </w:rPr>
      </w:pPr>
      <w:r>
        <w:rPr>
          <w:rFonts w:hint="eastAsia" w:ascii="宋体" w:hAnsi="宋体"/>
          <w:b/>
          <w:color w:val="auto"/>
          <w:sz w:val="22"/>
          <w:szCs w:val="22"/>
          <w:highlight w:val="none"/>
        </w:rPr>
        <w:t>采购人在授予合同时有权对采购内容的数量和服务在一定幅度范围内予以增加或减少,但不得对单价和其他实质性内容的条款作任何改变。</w:t>
      </w:r>
    </w:p>
    <w:p>
      <w:pPr>
        <w:numPr>
          <w:ilvl w:val="0"/>
          <w:numId w:val="7"/>
        </w:numPr>
        <w:spacing w:line="440" w:lineRule="exact"/>
        <w:ind w:left="567" w:hanging="567"/>
        <w:rPr>
          <w:rFonts w:ascii="宋体" w:hAnsi="宋体"/>
          <w:color w:val="auto"/>
          <w:sz w:val="22"/>
          <w:szCs w:val="22"/>
          <w:highlight w:val="none"/>
        </w:rPr>
      </w:pPr>
      <w:r>
        <w:rPr>
          <w:rFonts w:ascii="宋体" w:hAnsi="宋体" w:cs="Courier New"/>
          <w:color w:val="auto"/>
          <w:sz w:val="22"/>
          <w:szCs w:val="22"/>
          <w:highlight w:val="none"/>
        </w:rPr>
        <w:t>签订</w:t>
      </w:r>
      <w:r>
        <w:rPr>
          <w:rFonts w:ascii="宋体" w:hAnsi="宋体"/>
          <w:bCs/>
          <w:color w:val="auto"/>
          <w:sz w:val="22"/>
          <w:szCs w:val="22"/>
          <w:highlight w:val="none"/>
        </w:rPr>
        <w:t>合同</w:t>
      </w:r>
      <w:r>
        <w:rPr>
          <w:rFonts w:hint="eastAsia" w:ascii="宋体" w:hAnsi="宋体"/>
          <w:color w:val="auto"/>
          <w:sz w:val="22"/>
          <w:szCs w:val="22"/>
          <w:highlight w:val="none"/>
        </w:rPr>
        <w:t>（以纸质形式进行）</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签订采购合同时，不得对磋商文件确定的事项和中标（成交）供应商的响应文件作实质性修改。</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签订时限：自中标（成交）通知书发出之日起30日内。</w:t>
      </w:r>
    </w:p>
    <w:p>
      <w:pPr>
        <w:numPr>
          <w:ilvl w:val="1"/>
          <w:numId w:val="7"/>
        </w:numPr>
        <w:spacing w:line="440" w:lineRule="exact"/>
        <w:ind w:left="567"/>
        <w:rPr>
          <w:rFonts w:ascii="宋体" w:hAnsi="宋体"/>
          <w:color w:val="auto"/>
          <w:sz w:val="22"/>
          <w:szCs w:val="22"/>
          <w:highlight w:val="none"/>
        </w:rPr>
      </w:pPr>
      <w:r>
        <w:rPr>
          <w:rFonts w:ascii="宋体" w:hAnsi="宋体"/>
          <w:color w:val="auto"/>
          <w:sz w:val="22"/>
          <w:szCs w:val="22"/>
          <w:highlight w:val="none"/>
        </w:rPr>
        <w:t>在签订合同前，采购人有权在中标总价不变的前提下要求中标（成交）供应商对商务报价中的不平衡报价和缺漏项进行调整，如果中标（成交）供应商无合理理由拒绝调整，其中标资格将被取消，且将导致其它进一步的赔偿和处罚。</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中标（成交）供应商拒绝与采购人签订合同的，采购人可以按照评标报告推荐的中标候选人名单排序，确定下一候选人为中标人，也可以重新开展采购活动。</w:t>
      </w:r>
    </w:p>
    <w:p>
      <w:pPr>
        <w:numPr>
          <w:ilvl w:val="1"/>
          <w:numId w:val="7"/>
        </w:numPr>
        <w:spacing w:line="440" w:lineRule="exact"/>
        <w:ind w:left="567"/>
        <w:rPr>
          <w:rFonts w:ascii="宋体" w:hAnsi="宋体"/>
          <w:color w:val="auto"/>
          <w:sz w:val="22"/>
          <w:szCs w:val="22"/>
          <w:highlight w:val="none"/>
        </w:rPr>
      </w:pPr>
      <w:r>
        <w:rPr>
          <w:rFonts w:ascii="宋体" w:hAnsi="宋体"/>
          <w:color w:val="auto"/>
          <w:sz w:val="22"/>
          <w:szCs w:val="22"/>
          <w:highlight w:val="none"/>
        </w:rPr>
        <w:t>磋商文件、中标（成交）供应商的响应文件、修改文件、评审过程中有关澄清文件及经供应商和磋商小组双方签字的询标纪要和中标（成交）通知书均作为签订采购合同的依据和组成部分。</w:t>
      </w:r>
    </w:p>
    <w:p>
      <w:pPr>
        <w:numPr>
          <w:ilvl w:val="0"/>
          <w:numId w:val="7"/>
        </w:numPr>
        <w:spacing w:line="440" w:lineRule="exact"/>
        <w:ind w:left="567" w:hanging="567"/>
        <w:rPr>
          <w:rFonts w:ascii="宋体" w:hAnsi="宋体"/>
          <w:color w:val="auto"/>
          <w:spacing w:val="6"/>
          <w:sz w:val="22"/>
          <w:szCs w:val="22"/>
          <w:highlight w:val="none"/>
        </w:rPr>
      </w:pPr>
      <w:r>
        <w:rPr>
          <w:rFonts w:ascii="宋体" w:hAnsi="宋体"/>
          <w:bCs/>
          <w:color w:val="auto"/>
          <w:sz w:val="22"/>
          <w:szCs w:val="22"/>
          <w:highlight w:val="none"/>
        </w:rPr>
        <w:t>履约</w:t>
      </w:r>
      <w:r>
        <w:rPr>
          <w:rFonts w:ascii="宋体" w:hAnsi="宋体" w:cs="Courier New"/>
          <w:color w:val="auto"/>
          <w:sz w:val="22"/>
          <w:szCs w:val="22"/>
          <w:highlight w:val="none"/>
        </w:rPr>
        <w:t>保证金</w:t>
      </w:r>
    </w:p>
    <w:p>
      <w:pPr>
        <w:numPr>
          <w:ilvl w:val="1"/>
          <w:numId w:val="7"/>
        </w:numPr>
        <w:spacing w:line="440" w:lineRule="exact"/>
        <w:ind w:left="567"/>
        <w:rPr>
          <w:rFonts w:ascii="宋体" w:hAnsi="宋体"/>
          <w:color w:val="auto"/>
          <w:spacing w:val="6"/>
          <w:sz w:val="22"/>
          <w:szCs w:val="22"/>
          <w:highlight w:val="none"/>
        </w:rPr>
      </w:pPr>
      <w:r>
        <w:rPr>
          <w:rFonts w:hint="eastAsia" w:ascii="宋体" w:hAnsi="宋体"/>
          <w:color w:val="auto"/>
          <w:spacing w:val="6"/>
          <w:sz w:val="22"/>
          <w:szCs w:val="22"/>
          <w:highlight w:val="none"/>
        </w:rPr>
        <w:t>履约保证金用于补偿采购人因中标（成交）供应商不能完成其合同义务而蒙受的损失。</w:t>
      </w:r>
    </w:p>
    <w:p>
      <w:pPr>
        <w:pStyle w:val="6"/>
        <w:spacing w:line="440" w:lineRule="exact"/>
        <w:jc w:val="center"/>
        <w:rPr>
          <w:rFonts w:ascii="宋体" w:hAnsi="宋体" w:eastAsia="宋体" w:cs="Courier New"/>
          <w:color w:val="auto"/>
          <w:highlight w:val="none"/>
        </w:rPr>
      </w:pPr>
      <w:bookmarkStart w:id="178" w:name="_Toc29451"/>
      <w:bookmarkStart w:id="179" w:name="_Toc22084"/>
      <w:r>
        <w:rPr>
          <w:rFonts w:hint="eastAsia" w:ascii="宋体" w:hAnsi="宋体" w:eastAsia="宋体" w:cs="Courier New"/>
          <w:color w:val="auto"/>
          <w:highlight w:val="none"/>
        </w:rPr>
        <w:t>八</w:t>
      </w:r>
      <w:r>
        <w:rPr>
          <w:rFonts w:ascii="宋体" w:hAnsi="宋体" w:eastAsia="宋体" w:cs="Courier New"/>
          <w:color w:val="auto"/>
          <w:highlight w:val="none"/>
        </w:rPr>
        <w:t>、</w:t>
      </w:r>
      <w:r>
        <w:rPr>
          <w:rFonts w:hint="eastAsia" w:ascii="宋体" w:hAnsi="宋体" w:eastAsia="宋体" w:cs="Courier New"/>
          <w:color w:val="auto"/>
          <w:highlight w:val="none"/>
        </w:rPr>
        <w:t>询问、质疑、投诉</w:t>
      </w:r>
      <w:bookmarkEnd w:id="178"/>
      <w:bookmarkEnd w:id="179"/>
    </w:p>
    <w:p>
      <w:pPr>
        <w:numPr>
          <w:ilvl w:val="0"/>
          <w:numId w:val="7"/>
        </w:numPr>
        <w:spacing w:line="440" w:lineRule="exact"/>
        <w:ind w:left="567" w:hanging="567"/>
        <w:rPr>
          <w:rFonts w:ascii="宋体" w:hAnsi="宋体" w:cs="Courier New"/>
          <w:color w:val="auto"/>
          <w:sz w:val="22"/>
          <w:szCs w:val="22"/>
          <w:highlight w:val="none"/>
        </w:rPr>
      </w:pPr>
      <w:r>
        <w:rPr>
          <w:rFonts w:ascii="宋体" w:hAnsi="宋体" w:cs="Courier New"/>
          <w:color w:val="auto"/>
          <w:sz w:val="22"/>
          <w:szCs w:val="22"/>
          <w:highlight w:val="none"/>
        </w:rPr>
        <w:t>询问</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潜在供应商或供应商对本次采购活动的有关事项若有疑问，可以书面方式向采购代理机构提出询问，采购代理机构将按照有关规定进行答复。</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供应商一旦参与本次采购活动，即被视为接受了本磋商文件的所有内容，如有任何异议，均已在响应文件递交截止时间前提出。</w:t>
      </w:r>
    </w:p>
    <w:p>
      <w:pPr>
        <w:numPr>
          <w:ilvl w:val="0"/>
          <w:numId w:val="7"/>
        </w:numPr>
        <w:spacing w:line="440" w:lineRule="exact"/>
        <w:ind w:left="567" w:hanging="567"/>
        <w:rPr>
          <w:rFonts w:ascii="宋体" w:hAnsi="宋体"/>
          <w:bCs/>
          <w:color w:val="auto"/>
          <w:sz w:val="22"/>
          <w:szCs w:val="22"/>
          <w:highlight w:val="none"/>
        </w:rPr>
      </w:pPr>
      <w:r>
        <w:rPr>
          <w:rFonts w:hint="eastAsia" w:ascii="宋体" w:hAnsi="宋体" w:cs="Courier New"/>
          <w:color w:val="auto"/>
          <w:sz w:val="22"/>
          <w:szCs w:val="22"/>
          <w:highlight w:val="none"/>
        </w:rPr>
        <w:t>质疑</w:t>
      </w:r>
      <w:r>
        <w:rPr>
          <w:rFonts w:hint="eastAsia" w:ascii="宋体" w:hAnsi="宋体"/>
          <w:bCs/>
          <w:color w:val="auto"/>
          <w:sz w:val="22"/>
          <w:szCs w:val="22"/>
          <w:highlight w:val="none"/>
        </w:rPr>
        <w:t>与投诉</w:t>
      </w:r>
    </w:p>
    <w:p>
      <w:pPr>
        <w:numPr>
          <w:ilvl w:val="1"/>
          <w:numId w:val="7"/>
        </w:numPr>
        <w:spacing w:line="440" w:lineRule="exact"/>
        <w:ind w:left="567"/>
        <w:jc w:val="left"/>
        <w:rPr>
          <w:rFonts w:ascii="宋体" w:hAnsi="宋体"/>
          <w:b/>
          <w:bCs/>
          <w:color w:val="auto"/>
          <w:spacing w:val="6"/>
          <w:sz w:val="22"/>
          <w:szCs w:val="22"/>
          <w:highlight w:val="none"/>
        </w:rPr>
      </w:pPr>
      <w:r>
        <w:rPr>
          <w:rFonts w:hint="eastAsia" w:ascii="宋体" w:hAnsi="宋体"/>
          <w:color w:val="auto"/>
          <w:spacing w:val="6"/>
          <w:sz w:val="22"/>
          <w:szCs w:val="22"/>
          <w:highlight w:val="none"/>
        </w:rPr>
        <w:t>供应商认为磋商文件、采购过程、中标（成交）结果使自己的合法权益受到损害的，可以在知道或应知道其权益受到损害之日起七个工作日内以书面形式向采购人或采购代理机构提出质疑。</w:t>
      </w:r>
      <w:r>
        <w:rPr>
          <w:rFonts w:hint="eastAsia" w:ascii="宋体" w:hAnsi="宋体"/>
          <w:b/>
          <w:bCs/>
          <w:color w:val="auto"/>
          <w:spacing w:val="6"/>
          <w:sz w:val="22"/>
          <w:szCs w:val="22"/>
          <w:highlight w:val="none"/>
          <w:lang w:val="en-US" w:eastAsia="zh-CN"/>
        </w:rPr>
        <w:t>对</w:t>
      </w:r>
      <w:r>
        <w:rPr>
          <w:rFonts w:hint="eastAsia" w:ascii="宋体" w:hAnsi="宋体"/>
          <w:b/>
          <w:bCs/>
          <w:color w:val="auto"/>
          <w:spacing w:val="6"/>
          <w:sz w:val="22"/>
          <w:szCs w:val="22"/>
          <w:highlight w:val="none"/>
        </w:rPr>
        <w:t>磋商文件</w:t>
      </w:r>
      <w:r>
        <w:rPr>
          <w:rFonts w:hint="eastAsia" w:ascii="宋体" w:hAnsi="宋体"/>
          <w:b/>
          <w:bCs/>
          <w:color w:val="auto"/>
          <w:spacing w:val="6"/>
          <w:sz w:val="22"/>
          <w:szCs w:val="22"/>
          <w:highlight w:val="none"/>
          <w:lang w:val="en-US" w:eastAsia="zh-CN"/>
        </w:rPr>
        <w:t>提出质疑的，质疑期限自供应商获得采购文件之日起计算（但磋商文件在发售或报名截止日后获得的，应当自截止之日计算），且应当在响应文件递交截止时间之前提出，否则，被质疑人可不予接受。</w:t>
      </w:r>
    </w:p>
    <w:p>
      <w:pPr>
        <w:tabs>
          <w:tab w:val="left" w:pos="540"/>
        </w:tabs>
        <w:spacing w:line="440" w:lineRule="exact"/>
        <w:ind w:firstLine="442" w:firstLineChars="200"/>
        <w:rPr>
          <w:rFonts w:ascii="宋体" w:hAnsi="宋体"/>
          <w:b/>
          <w:bCs/>
          <w:color w:val="auto"/>
          <w:sz w:val="22"/>
          <w:szCs w:val="22"/>
          <w:highlight w:val="none"/>
        </w:rPr>
      </w:pPr>
      <w:r>
        <w:rPr>
          <w:rFonts w:hint="eastAsia" w:ascii="宋体" w:hAnsi="宋体"/>
          <w:b/>
          <w:bCs/>
          <w:color w:val="auto"/>
          <w:sz w:val="22"/>
          <w:szCs w:val="22"/>
          <w:highlight w:val="none"/>
        </w:rPr>
        <w:t>※质疑供应商必须在法定质疑期内一次性提出针对同一采购程序环节的质疑。法定质疑期内针对同一采购程序环节再次提出的质疑，采购人、采购代理机构有权不予答复。</w:t>
      </w:r>
    </w:p>
    <w:p>
      <w:pPr>
        <w:numPr>
          <w:ilvl w:val="1"/>
          <w:numId w:val="7"/>
        </w:numPr>
        <w:spacing w:line="440" w:lineRule="exact"/>
        <w:ind w:left="567"/>
        <w:jc w:val="left"/>
        <w:rPr>
          <w:rFonts w:ascii="宋体" w:hAnsi="宋体"/>
          <w:color w:val="auto"/>
          <w:spacing w:val="6"/>
          <w:sz w:val="22"/>
          <w:szCs w:val="22"/>
          <w:highlight w:val="none"/>
        </w:rPr>
      </w:pPr>
      <w:r>
        <w:rPr>
          <w:rFonts w:hint="eastAsia" w:ascii="宋体" w:hAnsi="宋体"/>
          <w:color w:val="auto"/>
          <w:spacing w:val="6"/>
          <w:sz w:val="22"/>
          <w:szCs w:val="22"/>
          <w:highlight w:val="none"/>
        </w:rPr>
        <w:t>采购人或采购代理机构在收到供应商的书面质疑后七个工作日内作出答复，但答复的内容不得涉及商业秘密。质疑供应商对采购人或采购代理机构的答复不满意，可以在答复期满后十五个工作日内向采购监督管理部门投诉。</w:t>
      </w:r>
    </w:p>
    <w:p>
      <w:pPr>
        <w:numPr>
          <w:ilvl w:val="1"/>
          <w:numId w:val="7"/>
        </w:numPr>
        <w:spacing w:line="440" w:lineRule="exact"/>
        <w:ind w:left="567"/>
        <w:jc w:val="left"/>
        <w:rPr>
          <w:rFonts w:ascii="宋体" w:hAnsi="宋体"/>
          <w:b/>
          <w:bCs/>
          <w:color w:val="auto"/>
          <w:spacing w:val="6"/>
          <w:sz w:val="22"/>
          <w:szCs w:val="22"/>
          <w:highlight w:val="none"/>
        </w:rPr>
      </w:pPr>
      <w:r>
        <w:rPr>
          <w:rFonts w:hint="eastAsia" w:ascii="宋体" w:hAnsi="宋体"/>
          <w:b/>
          <w:bCs/>
          <w:color w:val="auto"/>
          <w:spacing w:val="6"/>
          <w:sz w:val="22"/>
          <w:szCs w:val="22"/>
          <w:highlight w:val="none"/>
        </w:rPr>
        <w:t>质疑函范本、投诉书范本请到浙江政府采购网下载专区下载。</w:t>
      </w:r>
    </w:p>
    <w:p>
      <w:pPr>
        <w:pStyle w:val="6"/>
        <w:spacing w:line="440" w:lineRule="exact"/>
        <w:jc w:val="center"/>
        <w:rPr>
          <w:rFonts w:ascii="宋体" w:hAnsi="宋体" w:eastAsia="宋体" w:cs="Courier New"/>
          <w:color w:val="auto"/>
          <w:highlight w:val="none"/>
        </w:rPr>
      </w:pPr>
      <w:bookmarkStart w:id="180" w:name="_Toc9680"/>
      <w:bookmarkStart w:id="181" w:name="_Toc11782"/>
      <w:r>
        <w:rPr>
          <w:rFonts w:hint="eastAsia" w:ascii="宋体" w:hAnsi="宋体" w:eastAsia="宋体" w:cs="Courier New"/>
          <w:color w:val="auto"/>
          <w:highlight w:val="none"/>
        </w:rPr>
        <w:t>九、其他</w:t>
      </w:r>
      <w:bookmarkEnd w:id="180"/>
      <w:bookmarkEnd w:id="181"/>
    </w:p>
    <w:bookmarkEnd w:id="97"/>
    <w:p>
      <w:pPr>
        <w:numPr>
          <w:ilvl w:val="0"/>
          <w:numId w:val="7"/>
        </w:numPr>
        <w:spacing w:line="440" w:lineRule="exact"/>
        <w:ind w:left="567" w:hanging="567"/>
        <w:rPr>
          <w:rFonts w:ascii="宋体" w:hAnsi="宋体"/>
          <w:bCs/>
          <w:color w:val="auto"/>
          <w:sz w:val="22"/>
          <w:szCs w:val="22"/>
          <w:highlight w:val="none"/>
        </w:rPr>
      </w:pPr>
      <w:r>
        <w:rPr>
          <w:rFonts w:hint="eastAsia" w:ascii="宋体" w:hAnsi="宋体"/>
          <w:bCs/>
          <w:color w:val="auto"/>
          <w:sz w:val="22"/>
          <w:szCs w:val="22"/>
          <w:highlight w:val="none"/>
        </w:rPr>
        <w:t>采购代理</w:t>
      </w:r>
      <w:r>
        <w:rPr>
          <w:rFonts w:hint="eastAsia" w:ascii="宋体" w:hAnsi="宋体" w:cs="Courier New"/>
          <w:color w:val="auto"/>
          <w:sz w:val="22"/>
          <w:szCs w:val="22"/>
          <w:highlight w:val="none"/>
        </w:rPr>
        <w:t>服务费</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本次</w:t>
      </w:r>
      <w:r>
        <w:rPr>
          <w:rFonts w:hint="eastAsia" w:ascii="宋体" w:hAnsi="宋体"/>
          <w:bCs/>
          <w:color w:val="auto"/>
          <w:sz w:val="22"/>
          <w:szCs w:val="22"/>
          <w:highlight w:val="none"/>
        </w:rPr>
        <w:t>采购代理服务费</w:t>
      </w:r>
      <w:r>
        <w:rPr>
          <w:rFonts w:hint="eastAsia" w:ascii="宋体" w:hAnsi="宋体"/>
          <w:bCs/>
          <w:color w:val="auto"/>
          <w:sz w:val="22"/>
          <w:szCs w:val="22"/>
          <w:highlight w:val="none"/>
          <w:lang w:val="en-US" w:eastAsia="zh-CN"/>
        </w:rPr>
        <w:t>及招标公告费</w:t>
      </w:r>
      <w:r>
        <w:rPr>
          <w:rFonts w:hint="eastAsia" w:ascii="宋体" w:hAnsi="宋体" w:cs="Arial"/>
          <w:color w:val="auto"/>
          <w:sz w:val="22"/>
          <w:szCs w:val="22"/>
          <w:highlight w:val="none"/>
        </w:rPr>
        <w:t>由中标（成交）供应商在领取中标（成交）通知书之前将代理服务费用支付给</w:t>
      </w:r>
      <w:r>
        <w:rPr>
          <w:rFonts w:hint="eastAsia" w:ascii="宋体" w:hAnsi="宋体" w:cs="Arial"/>
          <w:color w:val="auto"/>
          <w:sz w:val="22"/>
          <w:szCs w:val="22"/>
          <w:highlight w:val="none"/>
          <w:lang w:eastAsia="zh-CN"/>
        </w:rPr>
        <w:t>浙江同信工程项目管理有限公司</w:t>
      </w:r>
      <w:r>
        <w:rPr>
          <w:rFonts w:hint="eastAsia" w:ascii="宋体" w:hAnsi="宋体" w:cs="Arial"/>
          <w:color w:val="auto"/>
          <w:sz w:val="22"/>
          <w:szCs w:val="22"/>
          <w:highlight w:val="none"/>
        </w:rPr>
        <w:t>。</w:t>
      </w:r>
      <w:r>
        <w:rPr>
          <w:rFonts w:hint="eastAsia" w:ascii="宋体" w:hAnsi="宋体" w:cs="Arial"/>
          <w:color w:val="auto"/>
          <w:sz w:val="22"/>
          <w:szCs w:val="22"/>
          <w:highlight w:val="none"/>
          <w:lang w:val="en-US" w:eastAsia="zh-CN"/>
        </w:rPr>
        <w:t>采购代理服务费</w:t>
      </w:r>
      <w:r>
        <w:rPr>
          <w:rFonts w:hint="eastAsia" w:ascii="宋体" w:hAnsi="宋体"/>
          <w:color w:val="auto"/>
          <w:sz w:val="22"/>
          <w:szCs w:val="22"/>
          <w:highlight w:val="none"/>
        </w:rPr>
        <w:t>根据采购预算参考国家计委计价格﹝20</w:t>
      </w:r>
      <w:r>
        <w:rPr>
          <w:rFonts w:hint="eastAsia" w:ascii="宋体" w:hAnsi="宋体"/>
          <w:color w:val="auto"/>
          <w:sz w:val="22"/>
          <w:szCs w:val="22"/>
          <w:highlight w:val="none"/>
          <w:lang w:val="en-US" w:eastAsia="zh-CN"/>
        </w:rPr>
        <w:t>02</w:t>
      </w:r>
      <w:r>
        <w:rPr>
          <w:rFonts w:hint="eastAsia" w:ascii="宋体" w:hAnsi="宋体"/>
          <w:color w:val="auto"/>
          <w:sz w:val="22"/>
          <w:szCs w:val="22"/>
          <w:highlight w:val="none"/>
        </w:rPr>
        <w:t>﹞1980号规定的货物类标准</w:t>
      </w:r>
      <w:r>
        <w:rPr>
          <w:rFonts w:hint="eastAsia" w:ascii="宋体" w:hAnsi="宋体"/>
          <w:color w:val="auto"/>
          <w:sz w:val="22"/>
          <w:szCs w:val="22"/>
          <w:highlight w:val="none"/>
          <w:lang w:val="en-US" w:eastAsia="zh-CN"/>
        </w:rPr>
        <w:t>的6</w:t>
      </w:r>
      <w:r>
        <w:rPr>
          <w:rFonts w:hint="eastAsia" w:ascii="宋体" w:hAnsi="宋体"/>
          <w:color w:val="auto"/>
          <w:sz w:val="22"/>
          <w:szCs w:val="22"/>
          <w:highlight w:val="none"/>
        </w:rPr>
        <w:t>折收取（低于8</w:t>
      </w:r>
      <w:r>
        <w:rPr>
          <w:rFonts w:ascii="宋体" w:hAnsi="宋体"/>
          <w:color w:val="auto"/>
          <w:sz w:val="22"/>
          <w:szCs w:val="22"/>
          <w:highlight w:val="none"/>
        </w:rPr>
        <w:t>000</w:t>
      </w:r>
      <w:r>
        <w:rPr>
          <w:rFonts w:hint="eastAsia" w:ascii="宋体" w:hAnsi="宋体"/>
          <w:color w:val="auto"/>
          <w:sz w:val="22"/>
          <w:szCs w:val="22"/>
          <w:highlight w:val="none"/>
        </w:rPr>
        <w:t>元，按</w:t>
      </w:r>
      <w:r>
        <w:rPr>
          <w:rFonts w:ascii="宋体" w:hAnsi="宋体"/>
          <w:color w:val="auto"/>
          <w:sz w:val="22"/>
          <w:szCs w:val="22"/>
          <w:highlight w:val="none"/>
        </w:rPr>
        <w:t>8000</w:t>
      </w:r>
      <w:r>
        <w:rPr>
          <w:rFonts w:hint="eastAsia" w:ascii="宋体" w:hAnsi="宋体"/>
          <w:color w:val="auto"/>
          <w:sz w:val="22"/>
          <w:szCs w:val="22"/>
          <w:highlight w:val="none"/>
        </w:rPr>
        <w:t>元收取）</w:t>
      </w:r>
      <w:r>
        <w:rPr>
          <w:rFonts w:hint="eastAsia" w:ascii="宋体" w:hAnsi="宋体" w:cs="Arial"/>
          <w:bCs/>
          <w:color w:val="auto"/>
          <w:sz w:val="22"/>
          <w:szCs w:val="22"/>
          <w:highlight w:val="none"/>
        </w:rPr>
        <w:t>，</w:t>
      </w:r>
      <w:r>
        <w:rPr>
          <w:rFonts w:hint="eastAsia" w:ascii="宋体" w:hAnsi="宋体" w:cs="Arial"/>
          <w:bCs/>
          <w:color w:val="auto"/>
          <w:sz w:val="22"/>
          <w:szCs w:val="22"/>
          <w:highlight w:val="none"/>
          <w:lang w:val="en-US" w:eastAsia="zh-CN"/>
        </w:rPr>
        <w:t>招标公告费按实际产生费用计取。</w:t>
      </w:r>
    </w:p>
    <w:p>
      <w:pPr>
        <w:pStyle w:val="231"/>
        <w:spacing w:line="440" w:lineRule="exact"/>
        <w:ind w:left="425" w:firstLine="0" w:firstLineChars="0"/>
        <w:jc w:val="center"/>
        <w:rPr>
          <w:rFonts w:ascii="宋体" w:hAnsi="宋体"/>
          <w:b/>
          <w:bCs/>
          <w:color w:val="auto"/>
          <w:sz w:val="22"/>
          <w:szCs w:val="22"/>
          <w:highlight w:val="none"/>
        </w:rPr>
      </w:pPr>
      <w:r>
        <w:rPr>
          <w:rFonts w:hint="eastAsia" w:ascii="宋体" w:hAnsi="宋体"/>
          <w:b/>
          <w:bCs/>
          <w:color w:val="auto"/>
          <w:sz w:val="22"/>
          <w:szCs w:val="22"/>
          <w:highlight w:val="none"/>
        </w:rPr>
        <w:t>采购代理服务收费标准</w:t>
      </w:r>
    </w:p>
    <w:tbl>
      <w:tblPr>
        <w:tblStyle w:val="32"/>
        <w:tblW w:w="9708" w:type="dxa"/>
        <w:tblCellSpacing w:w="1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4854"/>
        <w:gridCol w:w="485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0" w:hRule="atLeast"/>
          <w:tblCellSpacing w:w="15" w:type="dxa"/>
        </w:trPr>
        <w:tc>
          <w:tcPr>
            <w:tcW w:w="4809" w:type="dxa"/>
            <w:vAlign w:val="center"/>
          </w:tcPr>
          <w:p>
            <w:pPr>
              <w:widowControl/>
              <w:jc w:val="center"/>
              <w:rPr>
                <w:rFonts w:ascii="宋体" w:hAnsi="宋体" w:cs="宋体"/>
                <w:color w:val="auto"/>
                <w:kern w:val="0"/>
                <w:sz w:val="22"/>
                <w:szCs w:val="22"/>
                <w:highlight w:val="none"/>
              </w:rPr>
            </w:pPr>
            <w:r>
              <w:rPr>
                <w:rFonts w:hint="eastAsia" w:ascii="宋体" w:hAnsi="宋体"/>
                <w:color w:val="auto"/>
                <w:sz w:val="22"/>
                <w:szCs w:val="22"/>
                <w:highlight w:val="none"/>
              </w:rPr>
              <w:t xml:space="preserve">     </w:t>
            </w:r>
            <w:r>
              <w:rPr>
                <w:rFonts w:hint="eastAsia" w:ascii="宋体" w:hAnsi="宋体" w:cs="宋体"/>
                <w:color w:val="auto"/>
                <w:kern w:val="0"/>
                <w:sz w:val="22"/>
                <w:szCs w:val="22"/>
                <w:highlight w:val="none"/>
              </w:rPr>
              <w:t>金额（万元）</w:t>
            </w:r>
          </w:p>
        </w:tc>
        <w:tc>
          <w:tcPr>
            <w:tcW w:w="4809" w:type="dxa"/>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en-US" w:eastAsia="zh-CN"/>
              </w:rPr>
              <w:t>货物</w:t>
            </w:r>
            <w:r>
              <w:rPr>
                <w:rFonts w:hint="eastAsia" w:ascii="宋体" w:hAnsi="宋体" w:cs="宋体"/>
                <w:color w:val="auto"/>
                <w:kern w:val="0"/>
                <w:sz w:val="22"/>
                <w:szCs w:val="22"/>
                <w:highlight w:val="none"/>
              </w:rPr>
              <w:t>采购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0" w:hRule="atLeast"/>
          <w:tblCellSpacing w:w="15" w:type="dxa"/>
        </w:trPr>
        <w:tc>
          <w:tcPr>
            <w:tcW w:w="4809" w:type="dxa"/>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100以下</w:t>
            </w:r>
          </w:p>
        </w:tc>
        <w:tc>
          <w:tcPr>
            <w:tcW w:w="4809" w:type="dxa"/>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0" w:hRule="atLeast"/>
          <w:tblCellSpacing w:w="15" w:type="dxa"/>
        </w:trPr>
        <w:tc>
          <w:tcPr>
            <w:tcW w:w="4809" w:type="dxa"/>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100-500</w:t>
            </w:r>
          </w:p>
        </w:tc>
        <w:tc>
          <w:tcPr>
            <w:tcW w:w="4809" w:type="dxa"/>
            <w:vAlign w:val="center"/>
          </w:tcPr>
          <w:p>
            <w:pPr>
              <w:widowControl/>
              <w:jc w:val="center"/>
              <w:rPr>
                <w:rFonts w:ascii="宋体" w:hAnsi="宋体" w:cs="宋体"/>
                <w:color w:val="auto"/>
                <w:kern w:val="0"/>
                <w:sz w:val="22"/>
                <w:szCs w:val="22"/>
                <w:highlight w:val="none"/>
              </w:rPr>
            </w:pPr>
            <w:r>
              <w:rPr>
                <w:rFonts w:ascii="宋体" w:hAnsi="宋体" w:cs="宋体"/>
                <w:color w:val="auto"/>
                <w:kern w:val="0"/>
                <w:sz w:val="22"/>
                <w:szCs w:val="22"/>
                <w:highlight w:val="none"/>
              </w:rPr>
              <w:t>1.10</w:t>
            </w:r>
            <w:r>
              <w:rPr>
                <w:rFonts w:hint="eastAsia" w:ascii="宋体" w:hAnsi="宋体" w:cs="宋体"/>
                <w:color w:val="auto"/>
                <w:kern w:val="0"/>
                <w:sz w:val="22"/>
                <w:szCs w:val="22"/>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0" w:hRule="atLeast"/>
          <w:tblCellSpacing w:w="15" w:type="dxa"/>
        </w:trPr>
        <w:tc>
          <w:tcPr>
            <w:tcW w:w="4809" w:type="dxa"/>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501-1000</w:t>
            </w:r>
          </w:p>
        </w:tc>
        <w:tc>
          <w:tcPr>
            <w:tcW w:w="4809" w:type="dxa"/>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0.80%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0" w:hRule="atLeast"/>
          <w:tblCellSpacing w:w="15" w:type="dxa"/>
        </w:trPr>
        <w:tc>
          <w:tcPr>
            <w:tcW w:w="4809" w:type="dxa"/>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1001-5000</w:t>
            </w:r>
          </w:p>
        </w:tc>
        <w:tc>
          <w:tcPr>
            <w:tcW w:w="4809" w:type="dxa"/>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0.50%</w:t>
            </w:r>
          </w:p>
        </w:tc>
      </w:tr>
    </w:tbl>
    <w:p>
      <w:pPr>
        <w:tabs>
          <w:tab w:val="left" w:pos="540"/>
        </w:tabs>
        <w:spacing w:line="440" w:lineRule="exact"/>
        <w:ind w:left="540"/>
        <w:rPr>
          <w:rFonts w:ascii="宋体" w:hAnsi="宋体"/>
          <w:color w:val="auto"/>
          <w:sz w:val="22"/>
          <w:szCs w:val="22"/>
          <w:highlight w:val="none"/>
        </w:rPr>
      </w:pPr>
      <w:r>
        <w:rPr>
          <w:rFonts w:hint="eastAsia" w:ascii="宋体" w:hAnsi="宋体"/>
          <w:color w:val="auto"/>
          <w:sz w:val="22"/>
          <w:szCs w:val="22"/>
          <w:highlight w:val="none"/>
        </w:rPr>
        <w:t>例：某货物项目预算金额为11</w:t>
      </w:r>
      <w:r>
        <w:rPr>
          <w:rFonts w:ascii="宋体" w:hAnsi="宋体"/>
          <w:color w:val="auto"/>
          <w:sz w:val="22"/>
          <w:szCs w:val="22"/>
          <w:highlight w:val="none"/>
        </w:rPr>
        <w:t>0</w:t>
      </w:r>
      <w:r>
        <w:rPr>
          <w:rFonts w:hint="eastAsia" w:ascii="宋体" w:hAnsi="宋体"/>
          <w:color w:val="auto"/>
          <w:sz w:val="22"/>
          <w:szCs w:val="22"/>
          <w:highlight w:val="none"/>
        </w:rPr>
        <w:t>万元，计算采购代理服务收费额如下：</w:t>
      </w:r>
    </w:p>
    <w:p>
      <w:pPr>
        <w:tabs>
          <w:tab w:val="left" w:pos="540"/>
        </w:tabs>
        <w:spacing w:line="440" w:lineRule="exact"/>
        <w:ind w:left="540"/>
        <w:rPr>
          <w:rFonts w:ascii="宋体" w:hAnsi="宋体"/>
          <w:color w:val="auto"/>
          <w:sz w:val="22"/>
          <w:szCs w:val="22"/>
          <w:highlight w:val="none"/>
        </w:rPr>
      </w:pPr>
      <w:r>
        <w:rPr>
          <w:rFonts w:hint="eastAsia" w:ascii="宋体" w:hAnsi="宋体"/>
          <w:color w:val="auto"/>
          <w:sz w:val="22"/>
          <w:szCs w:val="22"/>
          <w:highlight w:val="none"/>
        </w:rPr>
        <w:t>10</w:t>
      </w:r>
      <w:r>
        <w:rPr>
          <w:rFonts w:ascii="宋体" w:hAnsi="宋体"/>
          <w:color w:val="auto"/>
          <w:sz w:val="22"/>
          <w:szCs w:val="22"/>
          <w:highlight w:val="none"/>
        </w:rPr>
        <w:t>0</w:t>
      </w:r>
      <w:r>
        <w:rPr>
          <w:rFonts w:hint="eastAsia" w:ascii="宋体" w:hAnsi="宋体"/>
          <w:color w:val="auto"/>
          <w:sz w:val="22"/>
          <w:szCs w:val="22"/>
          <w:highlight w:val="none"/>
        </w:rPr>
        <w:t>万元×1.5%＝1.5万元</w:t>
      </w:r>
    </w:p>
    <w:p>
      <w:pPr>
        <w:tabs>
          <w:tab w:val="left" w:pos="540"/>
        </w:tabs>
        <w:spacing w:line="440" w:lineRule="exact"/>
        <w:ind w:left="540"/>
        <w:rPr>
          <w:rFonts w:ascii="宋体" w:hAnsi="宋体"/>
          <w:color w:val="auto"/>
          <w:sz w:val="22"/>
          <w:szCs w:val="22"/>
          <w:highlight w:val="none"/>
        </w:rPr>
      </w:pPr>
      <w:r>
        <w:rPr>
          <w:rFonts w:hint="eastAsia" w:ascii="宋体" w:hAnsi="宋体"/>
          <w:color w:val="auto"/>
          <w:sz w:val="22"/>
          <w:szCs w:val="22"/>
          <w:highlight w:val="none"/>
        </w:rPr>
        <w:t>10万元×1.1%＝</w:t>
      </w:r>
      <w:r>
        <w:rPr>
          <w:rFonts w:ascii="宋体" w:hAnsi="宋体"/>
          <w:color w:val="auto"/>
          <w:sz w:val="22"/>
          <w:szCs w:val="22"/>
          <w:highlight w:val="none"/>
        </w:rPr>
        <w:t>0.</w:t>
      </w:r>
      <w:r>
        <w:rPr>
          <w:rFonts w:hint="eastAsia" w:ascii="宋体" w:hAnsi="宋体"/>
          <w:color w:val="auto"/>
          <w:sz w:val="22"/>
          <w:szCs w:val="22"/>
          <w:highlight w:val="none"/>
        </w:rPr>
        <w:t>11万元</w:t>
      </w:r>
    </w:p>
    <w:p>
      <w:pPr>
        <w:tabs>
          <w:tab w:val="left" w:pos="540"/>
        </w:tabs>
        <w:spacing w:line="440" w:lineRule="exact"/>
        <w:ind w:left="540"/>
        <w:rPr>
          <w:rFonts w:ascii="宋体" w:hAnsi="宋体"/>
          <w:color w:val="auto"/>
          <w:sz w:val="22"/>
          <w:szCs w:val="22"/>
          <w:highlight w:val="none"/>
        </w:rPr>
      </w:pPr>
      <w:r>
        <w:rPr>
          <w:rFonts w:hint="eastAsia" w:ascii="宋体" w:hAnsi="宋体"/>
          <w:color w:val="auto"/>
          <w:sz w:val="22"/>
          <w:szCs w:val="22"/>
          <w:highlight w:val="none"/>
        </w:rPr>
        <w:t>合计1.61万元</w:t>
      </w:r>
    </w:p>
    <w:p>
      <w:pPr>
        <w:numPr>
          <w:ilvl w:val="1"/>
          <w:numId w:val="7"/>
        </w:numPr>
        <w:spacing w:line="440" w:lineRule="exact"/>
        <w:ind w:left="567"/>
        <w:rPr>
          <w:rFonts w:ascii="宋体" w:hAnsi="宋体"/>
          <w:color w:val="auto"/>
          <w:sz w:val="22"/>
          <w:szCs w:val="22"/>
          <w:highlight w:val="none"/>
        </w:rPr>
      </w:pPr>
      <w:r>
        <w:rPr>
          <w:rFonts w:hint="eastAsia" w:ascii="宋体" w:hAnsi="宋体"/>
          <w:color w:val="auto"/>
          <w:sz w:val="22"/>
          <w:szCs w:val="22"/>
          <w:highlight w:val="none"/>
        </w:rPr>
        <w:t>采购代理服务费</w:t>
      </w:r>
      <w:r>
        <w:rPr>
          <w:rFonts w:hint="eastAsia" w:ascii="宋体" w:hAnsi="宋体"/>
          <w:bCs/>
          <w:color w:val="auto"/>
          <w:sz w:val="22"/>
          <w:szCs w:val="22"/>
          <w:highlight w:val="none"/>
          <w:lang w:val="en-US" w:eastAsia="zh-CN"/>
        </w:rPr>
        <w:t>及招标公告费</w:t>
      </w:r>
      <w:r>
        <w:rPr>
          <w:rFonts w:hint="eastAsia" w:ascii="宋体" w:hAnsi="宋体"/>
          <w:color w:val="auto"/>
          <w:sz w:val="22"/>
          <w:szCs w:val="22"/>
          <w:highlight w:val="none"/>
        </w:rPr>
        <w:t>可以是现金、转账。</w:t>
      </w:r>
    </w:p>
    <w:p>
      <w:pPr>
        <w:numPr>
          <w:ilvl w:val="1"/>
          <w:numId w:val="7"/>
        </w:numPr>
        <w:spacing w:line="440" w:lineRule="exact"/>
        <w:ind w:left="567"/>
        <w:rPr>
          <w:rFonts w:ascii="宋体" w:hAnsi="宋体"/>
          <w:color w:val="auto"/>
          <w:sz w:val="22"/>
          <w:szCs w:val="22"/>
          <w:highlight w:val="none"/>
        </w:rPr>
      </w:pPr>
      <w:bookmarkStart w:id="182" w:name="_Hlk8894256"/>
      <w:r>
        <w:rPr>
          <w:rFonts w:hint="eastAsia" w:ascii="宋体" w:hAnsi="宋体"/>
          <w:color w:val="auto"/>
          <w:sz w:val="22"/>
          <w:szCs w:val="22"/>
          <w:highlight w:val="none"/>
        </w:rPr>
        <w:t>账号信息</w:t>
      </w:r>
    </w:p>
    <w:bookmarkEnd w:id="182"/>
    <w:p>
      <w:pPr>
        <w:tabs>
          <w:tab w:val="left" w:pos="540"/>
        </w:tabs>
        <w:spacing w:line="440" w:lineRule="exact"/>
        <w:ind w:left="540"/>
        <w:rPr>
          <w:rFonts w:hint="eastAsia" w:ascii="宋体" w:hAnsi="宋体"/>
          <w:color w:val="auto"/>
          <w:sz w:val="22"/>
          <w:szCs w:val="22"/>
          <w:highlight w:val="none"/>
          <w:lang w:eastAsia="zh-CN"/>
        </w:rPr>
      </w:pPr>
      <w:r>
        <w:rPr>
          <w:rFonts w:hint="eastAsia" w:ascii="宋体" w:hAnsi="宋体"/>
          <w:color w:val="auto"/>
          <w:sz w:val="22"/>
          <w:szCs w:val="22"/>
          <w:highlight w:val="none"/>
        </w:rPr>
        <w:t>户名：</w:t>
      </w:r>
      <w:r>
        <w:rPr>
          <w:rFonts w:hint="eastAsia" w:ascii="宋体" w:hAnsi="宋体"/>
          <w:color w:val="auto"/>
          <w:sz w:val="22"/>
          <w:szCs w:val="22"/>
          <w:highlight w:val="none"/>
          <w:lang w:eastAsia="zh-CN"/>
        </w:rPr>
        <w:t>浙江同信工程项目管理有限公司</w:t>
      </w:r>
    </w:p>
    <w:p>
      <w:pPr>
        <w:tabs>
          <w:tab w:val="left" w:pos="540"/>
        </w:tabs>
        <w:spacing w:line="440" w:lineRule="exact"/>
        <w:ind w:left="540"/>
        <w:rPr>
          <w:rFonts w:hint="eastAsia" w:ascii="宋体" w:hAnsi="宋体" w:eastAsia="宋体"/>
          <w:color w:val="auto"/>
          <w:sz w:val="22"/>
          <w:szCs w:val="22"/>
          <w:highlight w:val="none"/>
          <w:lang w:eastAsia="zh-CN"/>
        </w:rPr>
      </w:pPr>
      <w:r>
        <w:rPr>
          <w:rFonts w:hint="eastAsia" w:ascii="宋体" w:hAnsi="宋体"/>
          <w:color w:val="auto"/>
          <w:sz w:val="22"/>
          <w:szCs w:val="22"/>
          <w:highlight w:val="none"/>
        </w:rPr>
        <w:t>帐号：726000120190066666</w:t>
      </w:r>
    </w:p>
    <w:p>
      <w:pPr>
        <w:tabs>
          <w:tab w:val="left" w:pos="540"/>
        </w:tabs>
        <w:spacing w:line="440" w:lineRule="exact"/>
        <w:ind w:left="540"/>
        <w:rPr>
          <w:rFonts w:ascii="宋体" w:hAnsi="宋体"/>
          <w:color w:val="auto"/>
          <w:sz w:val="22"/>
          <w:szCs w:val="22"/>
          <w:highlight w:val="none"/>
        </w:rPr>
      </w:pPr>
      <w:r>
        <w:rPr>
          <w:rFonts w:hint="eastAsia" w:ascii="宋体" w:hAnsi="宋体"/>
          <w:color w:val="auto"/>
          <w:sz w:val="22"/>
          <w:szCs w:val="22"/>
          <w:highlight w:val="none"/>
        </w:rPr>
        <w:t>开户银行：温州银行瓯海支行</w:t>
      </w:r>
    </w:p>
    <w:p>
      <w:pPr>
        <w:spacing w:line="460" w:lineRule="exact"/>
        <w:rPr>
          <w:rFonts w:ascii="宋体" w:hAnsi="宋体"/>
          <w:color w:val="auto"/>
          <w:sz w:val="22"/>
          <w:szCs w:val="22"/>
          <w:highlight w:val="none"/>
        </w:rPr>
      </w:pPr>
    </w:p>
    <w:p>
      <w:pPr>
        <w:snapToGrid w:val="0"/>
        <w:spacing w:line="440" w:lineRule="atLeast"/>
        <w:ind w:firstLine="712" w:firstLineChars="198"/>
        <w:rPr>
          <w:rFonts w:ascii="宋体" w:hAnsi="宋体"/>
          <w:color w:val="auto"/>
          <w:sz w:val="22"/>
          <w:szCs w:val="22"/>
          <w:highlight w:val="none"/>
        </w:rPr>
      </w:pPr>
      <w:r>
        <w:rPr>
          <w:rFonts w:ascii="宋体" w:hAnsi="宋体" w:cs="Courier New"/>
          <w:color w:val="auto"/>
          <w:sz w:val="36"/>
          <w:szCs w:val="36"/>
          <w:highlight w:val="none"/>
        </w:rPr>
        <w:br w:type="page"/>
      </w:r>
      <w:bookmarkEnd w:id="98"/>
      <w:bookmarkEnd w:id="99"/>
      <w:bookmarkEnd w:id="100"/>
      <w:bookmarkEnd w:id="101"/>
      <w:bookmarkEnd w:id="102"/>
      <w:bookmarkEnd w:id="103"/>
      <w:bookmarkEnd w:id="104"/>
      <w:bookmarkEnd w:id="105"/>
      <w:bookmarkEnd w:id="106"/>
      <w:bookmarkEnd w:id="107"/>
      <w:bookmarkStart w:id="183" w:name="_Toc216667828"/>
      <w:bookmarkStart w:id="184" w:name="_Toc219538621"/>
      <w:bookmarkStart w:id="185" w:name="_Toc5293"/>
      <w:bookmarkStart w:id="186" w:name="_Toc227056854"/>
      <w:bookmarkStart w:id="187" w:name="_Toc227057041"/>
      <w:bookmarkStart w:id="188" w:name="_Toc227489895"/>
      <w:bookmarkStart w:id="189" w:name="_Toc215415538"/>
      <w:bookmarkStart w:id="190" w:name="_Toc10276"/>
      <w:bookmarkStart w:id="191" w:name="_Toc7730"/>
      <w:bookmarkStart w:id="192" w:name="_Toc218041734"/>
      <w:bookmarkStart w:id="193" w:name="_Toc217460693"/>
      <w:bookmarkStart w:id="194" w:name="_Toc223717612"/>
      <w:bookmarkStart w:id="195" w:name="_Toc223933229"/>
    </w:p>
    <w:p>
      <w:pPr>
        <w:pStyle w:val="5"/>
        <w:spacing w:before="240" w:beforeLines="100"/>
        <w:rPr>
          <w:rFonts w:ascii="宋体" w:hAnsi="宋体" w:eastAsia="宋体" w:cs="Courier New"/>
          <w:color w:val="auto"/>
          <w:sz w:val="36"/>
          <w:szCs w:val="36"/>
          <w:highlight w:val="none"/>
        </w:rPr>
      </w:pPr>
      <w:r>
        <w:rPr>
          <w:rFonts w:hint="eastAsia" w:ascii="宋体" w:hAnsi="宋体" w:eastAsia="宋体" w:cs="Courier New"/>
          <w:color w:val="auto"/>
          <w:sz w:val="36"/>
          <w:szCs w:val="36"/>
          <w:highlight w:val="none"/>
        </w:rPr>
        <w:t>第二部分   合同条款</w:t>
      </w:r>
    </w:p>
    <w:p>
      <w:pPr>
        <w:spacing w:line="400" w:lineRule="exact"/>
        <w:ind w:firstLine="442" w:firstLineChars="200"/>
        <w:rPr>
          <w:rFonts w:hint="eastAsia" w:ascii="宋体" w:hAnsi="宋体"/>
          <w:b/>
          <w:color w:val="auto"/>
          <w:sz w:val="22"/>
          <w:szCs w:val="22"/>
          <w:highlight w:val="none"/>
        </w:rPr>
      </w:pPr>
    </w:p>
    <w:p>
      <w:pPr>
        <w:keepNext w:val="0"/>
        <w:keepLines w:val="0"/>
        <w:pageBreakBefore w:val="0"/>
        <w:kinsoku/>
        <w:wordWrap/>
        <w:topLinePunct w:val="0"/>
        <w:bidi w:val="0"/>
        <w:spacing w:line="440" w:lineRule="exact"/>
        <w:ind w:firstLine="442" w:firstLineChars="200"/>
        <w:rPr>
          <w:rFonts w:ascii="宋体" w:hAnsi="宋体"/>
          <w:b/>
          <w:color w:val="auto"/>
          <w:sz w:val="22"/>
          <w:szCs w:val="22"/>
          <w:highlight w:val="none"/>
        </w:rPr>
      </w:pPr>
      <w:r>
        <w:rPr>
          <w:rFonts w:hint="eastAsia" w:ascii="宋体" w:hAnsi="宋体"/>
          <w:b/>
          <w:color w:val="auto"/>
          <w:sz w:val="22"/>
          <w:szCs w:val="22"/>
          <w:highlight w:val="none"/>
        </w:rPr>
        <w:t>注：</w:t>
      </w:r>
      <w:r>
        <w:rPr>
          <w:rFonts w:ascii="宋体" w:hAnsi="宋体"/>
          <w:b/>
          <w:color w:val="auto"/>
          <w:sz w:val="22"/>
          <w:szCs w:val="22"/>
          <w:highlight w:val="none"/>
        </w:rPr>
        <w:fldChar w:fldCharType="begin"/>
      </w:r>
      <w:r>
        <w:rPr>
          <w:rFonts w:ascii="宋体" w:hAnsi="宋体"/>
          <w:b/>
          <w:color w:val="auto"/>
          <w:sz w:val="22"/>
          <w:szCs w:val="22"/>
          <w:highlight w:val="none"/>
        </w:rPr>
        <w:instrText xml:space="preserve"> </w:instrText>
      </w:r>
      <w:r>
        <w:rPr>
          <w:rFonts w:hint="eastAsia" w:ascii="宋体" w:hAnsi="宋体"/>
          <w:b/>
          <w:color w:val="auto"/>
          <w:sz w:val="22"/>
          <w:szCs w:val="22"/>
          <w:highlight w:val="none"/>
        </w:rPr>
        <w:instrText xml:space="preserve">= 1 \* GB3</w:instrText>
      </w:r>
      <w:r>
        <w:rPr>
          <w:rFonts w:ascii="宋体" w:hAnsi="宋体"/>
          <w:b/>
          <w:color w:val="auto"/>
          <w:sz w:val="22"/>
          <w:szCs w:val="22"/>
          <w:highlight w:val="none"/>
        </w:rPr>
        <w:instrText xml:space="preserve"> </w:instrText>
      </w:r>
      <w:r>
        <w:rPr>
          <w:rFonts w:ascii="宋体" w:hAnsi="宋体"/>
          <w:b/>
          <w:color w:val="auto"/>
          <w:sz w:val="22"/>
          <w:szCs w:val="22"/>
          <w:highlight w:val="none"/>
        </w:rPr>
        <w:fldChar w:fldCharType="separate"/>
      </w:r>
      <w:r>
        <w:rPr>
          <w:rFonts w:hint="eastAsia" w:ascii="宋体" w:hAnsi="宋体"/>
          <w:b/>
          <w:color w:val="auto"/>
          <w:sz w:val="22"/>
          <w:szCs w:val="22"/>
          <w:highlight w:val="none"/>
        </w:rPr>
        <w:t>①</w:t>
      </w:r>
      <w:r>
        <w:rPr>
          <w:rFonts w:ascii="宋体" w:hAnsi="宋体"/>
          <w:b/>
          <w:color w:val="auto"/>
          <w:sz w:val="22"/>
          <w:szCs w:val="22"/>
          <w:highlight w:val="none"/>
        </w:rPr>
        <w:fldChar w:fldCharType="end"/>
      </w:r>
      <w:r>
        <w:rPr>
          <w:rFonts w:hint="eastAsia" w:ascii="宋体" w:hAnsi="宋体"/>
          <w:b/>
          <w:color w:val="auto"/>
          <w:sz w:val="22"/>
          <w:szCs w:val="22"/>
          <w:highlight w:val="none"/>
        </w:rPr>
        <w:t>本合同作为示范文本，具体以中标人与买方所签定正式合同为准。</w:t>
      </w:r>
    </w:p>
    <w:p>
      <w:pPr>
        <w:keepNext w:val="0"/>
        <w:keepLines w:val="0"/>
        <w:pageBreakBefore w:val="0"/>
        <w:kinsoku/>
        <w:wordWrap/>
        <w:topLinePunct w:val="0"/>
        <w:bidi w:val="0"/>
        <w:spacing w:line="440" w:lineRule="exact"/>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rPr>
        <w:t>买方（甲方）：</w:t>
      </w:r>
      <w:bookmarkStart w:id="196" w:name="_Hlk100766737"/>
      <w:r>
        <w:rPr>
          <w:rFonts w:hint="eastAsia" w:ascii="宋体" w:hAnsi="宋体" w:cs="宋体"/>
          <w:color w:val="auto"/>
          <w:kern w:val="0"/>
          <w:sz w:val="22"/>
          <w:szCs w:val="22"/>
          <w:highlight w:val="none"/>
          <w:u w:val="single"/>
        </w:rPr>
        <w:t xml:space="preserve"> （采购人）</w:t>
      </w:r>
      <w:r>
        <w:rPr>
          <w:rFonts w:ascii="宋体" w:hAnsi="宋体" w:cs="宋体"/>
          <w:color w:val="auto"/>
          <w:kern w:val="0"/>
          <w:sz w:val="22"/>
          <w:szCs w:val="22"/>
          <w:highlight w:val="none"/>
          <w:u w:val="single"/>
        </w:rPr>
        <w:t xml:space="preserve">                 </w:t>
      </w:r>
      <w:bookmarkEnd w:id="196"/>
    </w:p>
    <w:p>
      <w:pPr>
        <w:keepNext w:val="0"/>
        <w:keepLines w:val="0"/>
        <w:pageBreakBefore w:val="0"/>
        <w:kinsoku/>
        <w:wordWrap/>
        <w:topLinePunct w:val="0"/>
        <w:bidi w:val="0"/>
        <w:spacing w:line="440" w:lineRule="exact"/>
        <w:rPr>
          <w:rFonts w:ascii="宋体" w:hAnsi="宋体" w:cs="宋体"/>
          <w:color w:val="auto"/>
          <w:kern w:val="0"/>
          <w:sz w:val="22"/>
          <w:szCs w:val="22"/>
          <w:highlight w:val="none"/>
          <w:u w:val="single"/>
        </w:rPr>
      </w:pPr>
      <w:r>
        <w:rPr>
          <w:rFonts w:hint="eastAsia" w:ascii="宋体" w:hAnsi="宋体" w:cs="宋体"/>
          <w:color w:val="auto"/>
          <w:kern w:val="0"/>
          <w:sz w:val="22"/>
          <w:szCs w:val="22"/>
          <w:highlight w:val="none"/>
        </w:rPr>
        <w:t>卖方（乙方）：</w:t>
      </w:r>
      <w:r>
        <w:rPr>
          <w:rFonts w:hint="eastAsia" w:ascii="宋体" w:hAnsi="宋体" w:cs="宋体"/>
          <w:color w:val="auto"/>
          <w:kern w:val="0"/>
          <w:sz w:val="22"/>
          <w:szCs w:val="22"/>
          <w:highlight w:val="none"/>
          <w:u w:val="single"/>
        </w:rPr>
        <w:t xml:space="preserve"> （中标（成交）供应商） </w:t>
      </w:r>
      <w:r>
        <w:rPr>
          <w:rFonts w:ascii="宋体" w:hAnsi="宋体" w:cs="宋体"/>
          <w:color w:val="auto"/>
          <w:kern w:val="0"/>
          <w:sz w:val="22"/>
          <w:szCs w:val="22"/>
          <w:highlight w:val="none"/>
          <w:u w:val="single"/>
        </w:rPr>
        <w:t xml:space="preserve">    </w:t>
      </w:r>
    </w:p>
    <w:p>
      <w:pPr>
        <w:pStyle w:val="16"/>
        <w:keepNext w:val="0"/>
        <w:keepLines w:val="0"/>
        <w:pageBreakBefore w:val="0"/>
        <w:kinsoku/>
        <w:wordWrap/>
        <w:topLinePunct w:val="0"/>
        <w:bidi w:val="0"/>
        <w:snapToGrid w:val="0"/>
        <w:spacing w:line="440" w:lineRule="exact"/>
        <w:ind w:firstLine="440" w:firstLineChars="200"/>
        <w:rPr>
          <w:rFonts w:hAnsi="宋体"/>
          <w:color w:val="auto"/>
          <w:sz w:val="22"/>
          <w:szCs w:val="22"/>
          <w:highlight w:val="none"/>
        </w:rPr>
      </w:pPr>
      <w:r>
        <w:rPr>
          <w:rFonts w:hint="eastAsia" w:hAnsi="宋体"/>
          <w:color w:val="auto"/>
          <w:sz w:val="22"/>
          <w:szCs w:val="22"/>
          <w:highlight w:val="none"/>
        </w:rPr>
        <w:t>双方经协商，就卖方向买方提供本公司产品以及相关产品的伴随服务事宜达成以下条款：</w:t>
      </w:r>
    </w:p>
    <w:p>
      <w:pPr>
        <w:pStyle w:val="16"/>
        <w:keepNext w:val="0"/>
        <w:keepLines w:val="0"/>
        <w:pageBreakBefore w:val="0"/>
        <w:kinsoku/>
        <w:wordWrap/>
        <w:topLinePunct w:val="0"/>
        <w:bidi w:val="0"/>
        <w:snapToGrid w:val="0"/>
        <w:spacing w:line="440" w:lineRule="exact"/>
        <w:rPr>
          <w:rFonts w:hAnsi="宋体"/>
          <w:color w:val="auto"/>
          <w:sz w:val="22"/>
          <w:szCs w:val="22"/>
          <w:highlight w:val="none"/>
        </w:rPr>
      </w:pPr>
      <w:r>
        <w:rPr>
          <w:rFonts w:hint="eastAsia" w:hAnsi="宋体"/>
          <w:color w:val="auto"/>
          <w:sz w:val="22"/>
          <w:szCs w:val="22"/>
          <w:highlight w:val="none"/>
        </w:rPr>
        <w:t>第一条：采购商品清单及合同价格</w:t>
      </w:r>
    </w:p>
    <w:p>
      <w:pPr>
        <w:keepNext w:val="0"/>
        <w:keepLines w:val="0"/>
        <w:pageBreakBefore w:val="0"/>
        <w:kinsoku/>
        <w:wordWrap/>
        <w:topLinePunct w:val="0"/>
        <w:bidi w:val="0"/>
        <w:snapToGrid w:val="0"/>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 xml:space="preserve">卖方保证提供如下内容的合格产品： </w:t>
      </w:r>
      <w:r>
        <w:rPr>
          <w:rFonts w:ascii="宋体" w:hAnsi="宋体"/>
          <w:color w:val="auto"/>
          <w:sz w:val="22"/>
          <w:szCs w:val="22"/>
          <w:highlight w:val="none"/>
        </w:rPr>
        <w:t xml:space="preserve">              </w:t>
      </w:r>
      <w:r>
        <w:rPr>
          <w:rFonts w:hint="eastAsia" w:ascii="宋体" w:hAnsi="宋体"/>
          <w:color w:val="auto"/>
          <w:sz w:val="22"/>
          <w:szCs w:val="22"/>
          <w:highlight w:val="none"/>
        </w:rPr>
        <w:t>金额单位：人民币元</w:t>
      </w:r>
    </w:p>
    <w:tbl>
      <w:tblPr>
        <w:tblStyle w:val="32"/>
        <w:tblW w:w="974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3086"/>
        <w:gridCol w:w="851"/>
        <w:gridCol w:w="198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67" w:type="dxa"/>
            <w:vAlign w:val="center"/>
          </w:tcPr>
          <w:p>
            <w:pPr>
              <w:snapToGrid w:val="0"/>
              <w:spacing w:line="440" w:lineRule="atLeast"/>
              <w:ind w:firstLine="240"/>
              <w:jc w:val="center"/>
              <w:rPr>
                <w:rFonts w:ascii="宋体" w:hAnsi="宋体"/>
                <w:color w:val="auto"/>
                <w:sz w:val="22"/>
                <w:szCs w:val="22"/>
                <w:highlight w:val="none"/>
              </w:rPr>
            </w:pPr>
            <w:r>
              <w:rPr>
                <w:rFonts w:hint="eastAsia" w:ascii="宋体" w:hAnsi="宋体"/>
                <w:color w:val="auto"/>
                <w:sz w:val="22"/>
                <w:szCs w:val="22"/>
                <w:highlight w:val="none"/>
              </w:rPr>
              <w:t>产品名称</w:t>
            </w:r>
          </w:p>
        </w:tc>
        <w:tc>
          <w:tcPr>
            <w:tcW w:w="3086" w:type="dxa"/>
            <w:vAlign w:val="center"/>
          </w:tcPr>
          <w:p>
            <w:pPr>
              <w:snapToGrid w:val="0"/>
              <w:spacing w:line="440" w:lineRule="atLeast"/>
              <w:jc w:val="center"/>
              <w:rPr>
                <w:rFonts w:ascii="宋体" w:hAnsi="宋体"/>
                <w:color w:val="auto"/>
                <w:sz w:val="22"/>
                <w:szCs w:val="22"/>
                <w:highlight w:val="none"/>
              </w:rPr>
            </w:pPr>
            <w:r>
              <w:rPr>
                <w:rFonts w:hint="eastAsia" w:ascii="宋体" w:hAnsi="宋体"/>
                <w:color w:val="auto"/>
                <w:sz w:val="22"/>
                <w:szCs w:val="22"/>
                <w:highlight w:val="none"/>
              </w:rPr>
              <w:t>型号规格和主要配置</w:t>
            </w:r>
          </w:p>
        </w:tc>
        <w:tc>
          <w:tcPr>
            <w:tcW w:w="851" w:type="dxa"/>
            <w:vAlign w:val="center"/>
          </w:tcPr>
          <w:p>
            <w:pPr>
              <w:snapToGrid w:val="0"/>
              <w:spacing w:line="440" w:lineRule="atLeast"/>
              <w:jc w:val="center"/>
              <w:rPr>
                <w:rFonts w:ascii="宋体" w:hAnsi="宋体"/>
                <w:color w:val="auto"/>
                <w:sz w:val="22"/>
                <w:szCs w:val="22"/>
                <w:highlight w:val="none"/>
              </w:rPr>
            </w:pPr>
            <w:r>
              <w:rPr>
                <w:rFonts w:hint="eastAsia" w:ascii="宋体" w:hAnsi="宋体"/>
                <w:color w:val="auto"/>
                <w:sz w:val="22"/>
                <w:szCs w:val="22"/>
                <w:highlight w:val="none"/>
              </w:rPr>
              <w:t>数量</w:t>
            </w:r>
          </w:p>
        </w:tc>
        <w:tc>
          <w:tcPr>
            <w:tcW w:w="1984" w:type="dxa"/>
            <w:vAlign w:val="center"/>
          </w:tcPr>
          <w:p>
            <w:pPr>
              <w:snapToGrid w:val="0"/>
              <w:spacing w:line="440" w:lineRule="atLeast"/>
              <w:jc w:val="center"/>
              <w:rPr>
                <w:rFonts w:ascii="宋体" w:hAnsi="宋体"/>
                <w:color w:val="auto"/>
                <w:sz w:val="22"/>
                <w:szCs w:val="22"/>
                <w:highlight w:val="none"/>
              </w:rPr>
            </w:pPr>
            <w:r>
              <w:rPr>
                <w:rFonts w:hint="eastAsia" w:ascii="宋体" w:hAnsi="宋体"/>
                <w:color w:val="auto"/>
                <w:sz w:val="22"/>
                <w:szCs w:val="22"/>
                <w:highlight w:val="none"/>
              </w:rPr>
              <w:t>中标价</w:t>
            </w:r>
          </w:p>
        </w:tc>
        <w:tc>
          <w:tcPr>
            <w:tcW w:w="1559" w:type="dxa"/>
            <w:vAlign w:val="center"/>
          </w:tcPr>
          <w:p>
            <w:pPr>
              <w:snapToGrid w:val="0"/>
              <w:spacing w:line="440" w:lineRule="atLeast"/>
              <w:jc w:val="center"/>
              <w:rPr>
                <w:rFonts w:ascii="宋体" w:hAnsi="宋体"/>
                <w:color w:val="auto"/>
                <w:sz w:val="22"/>
                <w:szCs w:val="22"/>
                <w:highlight w:val="none"/>
              </w:rPr>
            </w:pPr>
            <w:r>
              <w:rPr>
                <w:rFonts w:hint="eastAsia" w:ascii="宋体" w:hAnsi="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2267" w:type="dxa"/>
            <w:vAlign w:val="center"/>
          </w:tcPr>
          <w:p>
            <w:pPr>
              <w:snapToGrid w:val="0"/>
              <w:spacing w:line="440" w:lineRule="atLeast"/>
              <w:jc w:val="center"/>
              <w:rPr>
                <w:rFonts w:ascii="宋体" w:hAnsi="宋体"/>
                <w:color w:val="auto"/>
                <w:sz w:val="22"/>
                <w:szCs w:val="22"/>
                <w:highlight w:val="none"/>
              </w:rPr>
            </w:pPr>
          </w:p>
        </w:tc>
        <w:tc>
          <w:tcPr>
            <w:tcW w:w="3086" w:type="dxa"/>
            <w:vAlign w:val="center"/>
          </w:tcPr>
          <w:p>
            <w:pPr>
              <w:snapToGrid w:val="0"/>
              <w:spacing w:line="440" w:lineRule="atLeast"/>
              <w:jc w:val="center"/>
              <w:rPr>
                <w:rFonts w:ascii="宋体" w:hAnsi="宋体"/>
                <w:color w:val="auto"/>
                <w:sz w:val="22"/>
                <w:szCs w:val="22"/>
                <w:highlight w:val="none"/>
              </w:rPr>
            </w:pPr>
          </w:p>
        </w:tc>
        <w:tc>
          <w:tcPr>
            <w:tcW w:w="851" w:type="dxa"/>
            <w:vAlign w:val="center"/>
          </w:tcPr>
          <w:p>
            <w:pPr>
              <w:snapToGrid w:val="0"/>
              <w:spacing w:line="440" w:lineRule="atLeast"/>
              <w:jc w:val="center"/>
              <w:rPr>
                <w:rFonts w:ascii="宋体" w:hAnsi="宋体"/>
                <w:color w:val="auto"/>
                <w:sz w:val="22"/>
                <w:szCs w:val="22"/>
                <w:highlight w:val="none"/>
              </w:rPr>
            </w:pPr>
          </w:p>
        </w:tc>
        <w:tc>
          <w:tcPr>
            <w:tcW w:w="1984" w:type="dxa"/>
            <w:vAlign w:val="center"/>
          </w:tcPr>
          <w:p>
            <w:pPr>
              <w:snapToGrid w:val="0"/>
              <w:spacing w:line="440" w:lineRule="atLeast"/>
              <w:jc w:val="center"/>
              <w:rPr>
                <w:rFonts w:ascii="宋体" w:hAnsi="宋体"/>
                <w:color w:val="auto"/>
                <w:sz w:val="22"/>
                <w:szCs w:val="22"/>
                <w:highlight w:val="none"/>
              </w:rPr>
            </w:pPr>
          </w:p>
        </w:tc>
        <w:tc>
          <w:tcPr>
            <w:tcW w:w="1559" w:type="dxa"/>
            <w:vAlign w:val="center"/>
          </w:tcPr>
          <w:p>
            <w:pPr>
              <w:snapToGrid w:val="0"/>
              <w:spacing w:line="440" w:lineRule="atLeas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2267" w:type="dxa"/>
            <w:vAlign w:val="center"/>
          </w:tcPr>
          <w:p>
            <w:pPr>
              <w:snapToGrid w:val="0"/>
              <w:spacing w:line="440" w:lineRule="atLeast"/>
              <w:jc w:val="center"/>
              <w:rPr>
                <w:rFonts w:ascii="宋体" w:hAnsi="宋体"/>
                <w:color w:val="auto"/>
                <w:sz w:val="22"/>
                <w:szCs w:val="22"/>
                <w:highlight w:val="none"/>
              </w:rPr>
            </w:pPr>
          </w:p>
        </w:tc>
        <w:tc>
          <w:tcPr>
            <w:tcW w:w="3086" w:type="dxa"/>
            <w:vAlign w:val="center"/>
          </w:tcPr>
          <w:p>
            <w:pPr>
              <w:snapToGrid w:val="0"/>
              <w:spacing w:line="440" w:lineRule="atLeast"/>
              <w:jc w:val="center"/>
              <w:rPr>
                <w:rFonts w:ascii="宋体" w:hAnsi="宋体"/>
                <w:color w:val="auto"/>
                <w:sz w:val="22"/>
                <w:szCs w:val="22"/>
                <w:highlight w:val="none"/>
              </w:rPr>
            </w:pPr>
          </w:p>
        </w:tc>
        <w:tc>
          <w:tcPr>
            <w:tcW w:w="851" w:type="dxa"/>
            <w:vAlign w:val="center"/>
          </w:tcPr>
          <w:p>
            <w:pPr>
              <w:snapToGrid w:val="0"/>
              <w:spacing w:line="440" w:lineRule="atLeast"/>
              <w:jc w:val="center"/>
              <w:rPr>
                <w:rFonts w:ascii="宋体" w:hAnsi="宋体"/>
                <w:color w:val="auto"/>
                <w:sz w:val="22"/>
                <w:szCs w:val="22"/>
                <w:highlight w:val="none"/>
              </w:rPr>
            </w:pPr>
          </w:p>
        </w:tc>
        <w:tc>
          <w:tcPr>
            <w:tcW w:w="1984" w:type="dxa"/>
            <w:vAlign w:val="center"/>
          </w:tcPr>
          <w:p>
            <w:pPr>
              <w:snapToGrid w:val="0"/>
              <w:spacing w:line="440" w:lineRule="atLeast"/>
              <w:jc w:val="center"/>
              <w:rPr>
                <w:rFonts w:ascii="宋体" w:hAnsi="宋体"/>
                <w:color w:val="auto"/>
                <w:sz w:val="22"/>
                <w:szCs w:val="22"/>
                <w:highlight w:val="none"/>
              </w:rPr>
            </w:pPr>
          </w:p>
        </w:tc>
        <w:tc>
          <w:tcPr>
            <w:tcW w:w="1559" w:type="dxa"/>
            <w:vAlign w:val="center"/>
          </w:tcPr>
          <w:p>
            <w:pPr>
              <w:snapToGrid w:val="0"/>
              <w:spacing w:line="440" w:lineRule="atLeas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9747" w:type="dxa"/>
            <w:gridSpan w:val="5"/>
            <w:vAlign w:val="center"/>
          </w:tcPr>
          <w:p>
            <w:pPr>
              <w:snapToGrid w:val="0"/>
              <w:spacing w:line="440" w:lineRule="atLeast"/>
              <w:jc w:val="center"/>
              <w:rPr>
                <w:rFonts w:ascii="宋体" w:hAnsi="宋体"/>
                <w:color w:val="auto"/>
                <w:sz w:val="22"/>
                <w:szCs w:val="22"/>
                <w:highlight w:val="none"/>
              </w:rPr>
            </w:pPr>
            <w:r>
              <w:rPr>
                <w:rFonts w:hint="eastAsia" w:ascii="宋体" w:hAnsi="宋体"/>
                <w:color w:val="auto"/>
                <w:sz w:val="22"/>
                <w:szCs w:val="22"/>
                <w:highlight w:val="none"/>
              </w:rPr>
              <w:t>合同总价：¥     元（大写：</w:t>
            </w:r>
            <w:r>
              <w:rPr>
                <w:rFonts w:hint="eastAsia" w:ascii="宋体" w:hAnsi="宋体"/>
                <w:color w:val="auto"/>
                <w:sz w:val="22"/>
                <w:szCs w:val="22"/>
                <w:highlight w:val="none"/>
                <w:lang w:val="en-US" w:eastAsia="zh-CN"/>
              </w:rPr>
              <w:t>人民币</w:t>
            </w:r>
            <w:r>
              <w:rPr>
                <w:rFonts w:hint="eastAsia" w:ascii="宋体" w:hAnsi="宋体"/>
                <w:color w:val="auto"/>
                <w:sz w:val="22"/>
                <w:szCs w:val="22"/>
                <w:highlight w:val="none"/>
              </w:rPr>
              <w:t xml:space="preserve">   ）含XX税   %</w:t>
            </w:r>
          </w:p>
        </w:tc>
      </w:tr>
    </w:tbl>
    <w:p>
      <w:pPr>
        <w:pStyle w:val="16"/>
        <w:keepNext w:val="0"/>
        <w:keepLines w:val="0"/>
        <w:pageBreakBefore w:val="0"/>
        <w:kinsoku/>
        <w:wordWrap/>
        <w:topLinePunct w:val="0"/>
        <w:bidi w:val="0"/>
        <w:snapToGrid w:val="0"/>
        <w:spacing w:line="500" w:lineRule="exact"/>
        <w:rPr>
          <w:rFonts w:hAnsi="宋体"/>
          <w:color w:val="auto"/>
          <w:sz w:val="22"/>
          <w:szCs w:val="22"/>
          <w:highlight w:val="none"/>
        </w:rPr>
      </w:pPr>
      <w:r>
        <w:rPr>
          <w:rFonts w:hint="eastAsia" w:hAnsi="宋体"/>
          <w:color w:val="auto"/>
          <w:sz w:val="22"/>
          <w:szCs w:val="22"/>
          <w:highlight w:val="none"/>
        </w:rPr>
        <w:t>第二条：质量标准和要求</w:t>
      </w:r>
    </w:p>
    <w:p>
      <w:pPr>
        <w:keepNext w:val="0"/>
        <w:keepLines w:val="0"/>
        <w:pageBreakBefore w:val="0"/>
        <w:kinsoku/>
        <w:wordWrap/>
        <w:topLinePunct w:val="0"/>
        <w:bidi w:val="0"/>
        <w:snapToGrid w:val="0"/>
        <w:spacing w:line="500" w:lineRule="exact"/>
        <w:ind w:firstLine="420"/>
        <w:rPr>
          <w:rFonts w:ascii="宋体" w:hAnsi="宋体"/>
          <w:color w:val="auto"/>
          <w:sz w:val="22"/>
          <w:szCs w:val="22"/>
          <w:highlight w:val="none"/>
        </w:rPr>
      </w:pPr>
      <w:r>
        <w:rPr>
          <w:rFonts w:hint="eastAsia" w:ascii="宋体" w:hAnsi="宋体"/>
          <w:color w:val="auto"/>
          <w:sz w:val="22"/>
          <w:szCs w:val="22"/>
          <w:highlight w:val="none"/>
        </w:rPr>
        <w:t>1、卖方保证本合同中所供应的产品质量标准按照国家标准、行业标准或制造厂家企业标准确定，上述标准不一致的，以严格的标准为准。没有国家标准、行业标准和企业标准的，按照符合本合同目的的特定标准确定。</w:t>
      </w:r>
    </w:p>
    <w:p>
      <w:pPr>
        <w:pStyle w:val="16"/>
        <w:keepNext w:val="0"/>
        <w:keepLines w:val="0"/>
        <w:pageBreakBefore w:val="0"/>
        <w:kinsoku/>
        <w:wordWrap/>
        <w:topLinePunct w:val="0"/>
        <w:bidi w:val="0"/>
        <w:snapToGrid w:val="0"/>
        <w:spacing w:line="500" w:lineRule="exact"/>
        <w:ind w:firstLine="440" w:firstLineChars="200"/>
        <w:rPr>
          <w:rFonts w:hAnsi="宋体"/>
          <w:color w:val="auto"/>
          <w:sz w:val="22"/>
          <w:szCs w:val="22"/>
          <w:highlight w:val="none"/>
        </w:rPr>
      </w:pPr>
      <w:r>
        <w:rPr>
          <w:rFonts w:hint="eastAsia" w:hAnsi="宋体"/>
          <w:color w:val="auto"/>
          <w:sz w:val="22"/>
          <w:szCs w:val="22"/>
          <w:highlight w:val="none"/>
        </w:rPr>
        <w:t>2、卖方所出售的产品还应符合国家和浙江省有关安全、环保、卫生之规定。</w:t>
      </w:r>
    </w:p>
    <w:p>
      <w:pPr>
        <w:keepNext w:val="0"/>
        <w:keepLines w:val="0"/>
        <w:pageBreakBefore w:val="0"/>
        <w:kinsoku/>
        <w:wordWrap/>
        <w:topLinePunct w:val="0"/>
        <w:bidi w:val="0"/>
        <w:snapToGrid w:val="0"/>
        <w:spacing w:line="500" w:lineRule="exact"/>
        <w:rPr>
          <w:rFonts w:ascii="宋体" w:hAnsi="宋体"/>
          <w:color w:val="auto"/>
          <w:sz w:val="22"/>
          <w:szCs w:val="22"/>
          <w:highlight w:val="none"/>
        </w:rPr>
      </w:pPr>
      <w:r>
        <w:rPr>
          <w:rFonts w:hint="eastAsia" w:ascii="宋体" w:hAnsi="宋体"/>
          <w:color w:val="auto"/>
          <w:sz w:val="22"/>
          <w:szCs w:val="22"/>
          <w:highlight w:val="none"/>
        </w:rPr>
        <w:t>第三条：权利瑕疵担保</w:t>
      </w:r>
    </w:p>
    <w:p>
      <w:pPr>
        <w:keepNext w:val="0"/>
        <w:keepLines w:val="0"/>
        <w:pageBreakBefore w:val="0"/>
        <w:kinsoku/>
        <w:wordWrap/>
        <w:topLinePunct w:val="0"/>
        <w:bidi w:val="0"/>
        <w:snapToGrid w:val="0"/>
        <w:spacing w:line="500" w:lineRule="exact"/>
        <w:ind w:firstLine="420"/>
        <w:rPr>
          <w:rFonts w:ascii="宋体" w:hAnsi="宋体"/>
          <w:color w:val="auto"/>
          <w:sz w:val="22"/>
          <w:szCs w:val="22"/>
          <w:highlight w:val="none"/>
        </w:rPr>
      </w:pPr>
      <w:r>
        <w:rPr>
          <w:rFonts w:hint="eastAsia" w:ascii="宋体" w:hAnsi="宋体"/>
          <w:color w:val="auto"/>
          <w:sz w:val="22"/>
          <w:szCs w:val="22"/>
          <w:highlight w:val="none"/>
        </w:rPr>
        <w:t>1、卖方保证对其出售的产品享有合法的权利。</w:t>
      </w:r>
    </w:p>
    <w:p>
      <w:pPr>
        <w:keepNext w:val="0"/>
        <w:keepLines w:val="0"/>
        <w:pageBreakBefore w:val="0"/>
        <w:kinsoku/>
        <w:wordWrap/>
        <w:topLinePunct w:val="0"/>
        <w:bidi w:val="0"/>
        <w:snapToGrid w:val="0"/>
        <w:spacing w:line="500" w:lineRule="exact"/>
        <w:ind w:firstLine="420"/>
        <w:rPr>
          <w:rFonts w:ascii="宋体" w:hAnsi="宋体"/>
          <w:color w:val="auto"/>
          <w:sz w:val="22"/>
          <w:szCs w:val="22"/>
          <w:highlight w:val="none"/>
        </w:rPr>
      </w:pPr>
      <w:r>
        <w:rPr>
          <w:rFonts w:hint="eastAsia" w:ascii="宋体" w:hAnsi="宋体"/>
          <w:color w:val="auto"/>
          <w:sz w:val="22"/>
          <w:szCs w:val="22"/>
          <w:highlight w:val="none"/>
        </w:rPr>
        <w:t>2、卖方保证在其出售的产品上不存在任何未曾向买方透露的担保物权，如抵押权、质押权、留置权等。</w:t>
      </w:r>
    </w:p>
    <w:p>
      <w:pPr>
        <w:keepNext w:val="0"/>
        <w:keepLines w:val="0"/>
        <w:pageBreakBefore w:val="0"/>
        <w:kinsoku/>
        <w:wordWrap/>
        <w:topLinePunct w:val="0"/>
        <w:bidi w:val="0"/>
        <w:snapToGrid w:val="0"/>
        <w:spacing w:line="500" w:lineRule="exact"/>
        <w:ind w:firstLine="420"/>
        <w:rPr>
          <w:rFonts w:ascii="宋体" w:hAnsi="宋体"/>
          <w:color w:val="auto"/>
          <w:sz w:val="22"/>
          <w:szCs w:val="22"/>
          <w:highlight w:val="none"/>
        </w:rPr>
      </w:pPr>
      <w:r>
        <w:rPr>
          <w:rFonts w:hint="eastAsia" w:ascii="宋体" w:hAnsi="宋体"/>
          <w:color w:val="auto"/>
          <w:sz w:val="22"/>
          <w:szCs w:val="22"/>
          <w:highlight w:val="none"/>
        </w:rPr>
        <w:t>3、卖方保证其所出售的产品没有侵犯任何第三人的知识产权和商业秘密等权利。</w:t>
      </w:r>
    </w:p>
    <w:p>
      <w:pPr>
        <w:keepNext w:val="0"/>
        <w:keepLines w:val="0"/>
        <w:pageBreakBefore w:val="0"/>
        <w:kinsoku/>
        <w:wordWrap/>
        <w:topLinePunct w:val="0"/>
        <w:bidi w:val="0"/>
        <w:snapToGrid w:val="0"/>
        <w:spacing w:line="500" w:lineRule="exact"/>
        <w:ind w:firstLine="420"/>
        <w:rPr>
          <w:rFonts w:ascii="宋体" w:hAnsi="宋体"/>
          <w:color w:val="auto"/>
          <w:sz w:val="22"/>
          <w:szCs w:val="22"/>
          <w:highlight w:val="none"/>
        </w:rPr>
      </w:pPr>
      <w:r>
        <w:rPr>
          <w:rFonts w:hint="eastAsia" w:ascii="宋体" w:hAnsi="宋体"/>
          <w:color w:val="auto"/>
          <w:sz w:val="22"/>
          <w:szCs w:val="22"/>
          <w:highlight w:val="none"/>
        </w:rPr>
        <w:t>4、如买方使用该产品构成上述侵权的，则由卖方承担全部责任</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并向买方支付相当于侵权产品合同价款金额的违约金</w:t>
      </w:r>
      <w:r>
        <w:rPr>
          <w:rFonts w:hint="eastAsia" w:ascii="宋体" w:hAnsi="宋体"/>
          <w:color w:val="auto"/>
          <w:sz w:val="22"/>
          <w:szCs w:val="22"/>
          <w:highlight w:val="none"/>
        </w:rPr>
        <w:t>。</w:t>
      </w:r>
    </w:p>
    <w:p>
      <w:pPr>
        <w:keepNext w:val="0"/>
        <w:keepLines w:val="0"/>
        <w:pageBreakBefore w:val="0"/>
        <w:kinsoku/>
        <w:wordWrap/>
        <w:topLinePunct w:val="0"/>
        <w:bidi w:val="0"/>
        <w:snapToGrid w:val="0"/>
        <w:spacing w:line="500" w:lineRule="exact"/>
        <w:rPr>
          <w:rFonts w:ascii="宋体" w:hAnsi="宋体"/>
          <w:color w:val="auto"/>
          <w:sz w:val="22"/>
          <w:szCs w:val="22"/>
          <w:highlight w:val="none"/>
        </w:rPr>
      </w:pPr>
      <w:r>
        <w:rPr>
          <w:rFonts w:hint="eastAsia" w:ascii="宋体" w:hAnsi="宋体"/>
          <w:color w:val="auto"/>
          <w:sz w:val="22"/>
          <w:szCs w:val="22"/>
          <w:highlight w:val="none"/>
        </w:rPr>
        <w:t>第四条：包装要求</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卖方所出售的全部产品均应按标准保护措施进行包装，这类包装应适应于远距离运输、防潮、防震、防锈和防野蛮装卸等要求，以确保产品安全无损地运抵指定现场。</w:t>
      </w:r>
    </w:p>
    <w:p>
      <w:pPr>
        <w:keepNext w:val="0"/>
        <w:keepLines w:val="0"/>
        <w:pageBreakBefore w:val="0"/>
        <w:kinsoku/>
        <w:wordWrap/>
        <w:topLinePunct w:val="0"/>
        <w:bidi w:val="0"/>
        <w:snapToGrid w:val="0"/>
        <w:spacing w:line="500" w:lineRule="exact"/>
        <w:rPr>
          <w:rFonts w:ascii="宋体" w:hAnsi="宋体"/>
          <w:color w:val="auto"/>
          <w:sz w:val="22"/>
          <w:szCs w:val="22"/>
          <w:highlight w:val="none"/>
        </w:rPr>
      </w:pPr>
      <w:r>
        <w:rPr>
          <w:rFonts w:hint="eastAsia" w:ascii="宋体" w:hAnsi="宋体"/>
          <w:color w:val="auto"/>
          <w:sz w:val="22"/>
          <w:szCs w:val="22"/>
          <w:highlight w:val="none"/>
        </w:rPr>
        <w:t>第五条：交货时间及交货地点</w:t>
      </w:r>
    </w:p>
    <w:p>
      <w:pPr>
        <w:pStyle w:val="16"/>
        <w:keepNext w:val="0"/>
        <w:keepLines w:val="0"/>
        <w:pageBreakBefore w:val="0"/>
        <w:numPr>
          <w:ilvl w:val="0"/>
          <w:numId w:val="18"/>
        </w:numPr>
        <w:kinsoku/>
        <w:wordWrap/>
        <w:topLinePunct w:val="0"/>
        <w:bidi w:val="0"/>
        <w:snapToGrid w:val="0"/>
        <w:spacing w:line="500" w:lineRule="exact"/>
        <w:ind w:firstLine="442" w:firstLineChars="200"/>
        <w:rPr>
          <w:rFonts w:hint="eastAsia" w:hAnsi="宋体"/>
          <w:b/>
          <w:bCs/>
          <w:color w:val="auto"/>
          <w:sz w:val="22"/>
          <w:szCs w:val="22"/>
          <w:highlight w:val="none"/>
        </w:rPr>
      </w:pPr>
      <w:r>
        <w:rPr>
          <w:rFonts w:hint="eastAsia" w:hAnsi="宋体"/>
          <w:b/>
          <w:color w:val="auto"/>
          <w:sz w:val="22"/>
          <w:szCs w:val="22"/>
          <w:highlight w:val="none"/>
        </w:rPr>
        <w:t>交货时间：</w:t>
      </w:r>
      <w:r>
        <w:rPr>
          <w:rFonts w:hint="eastAsia" w:hAnsi="宋体"/>
          <w:b/>
          <w:bCs/>
          <w:color w:val="auto"/>
          <w:sz w:val="22"/>
          <w:szCs w:val="22"/>
          <w:highlight w:val="none"/>
        </w:rPr>
        <w:t>详见磋商文件第四部分采购内容及要求，</w:t>
      </w:r>
    </w:p>
    <w:p>
      <w:pPr>
        <w:pStyle w:val="16"/>
        <w:keepNext w:val="0"/>
        <w:keepLines w:val="0"/>
        <w:pageBreakBefore w:val="0"/>
        <w:numPr>
          <w:ilvl w:val="0"/>
          <w:numId w:val="18"/>
        </w:numPr>
        <w:kinsoku/>
        <w:wordWrap/>
        <w:topLinePunct w:val="0"/>
        <w:bidi w:val="0"/>
        <w:snapToGrid w:val="0"/>
        <w:spacing w:line="500" w:lineRule="exact"/>
        <w:ind w:firstLine="442" w:firstLineChars="200"/>
        <w:rPr>
          <w:rFonts w:hAnsi="宋体"/>
          <w:b/>
          <w:color w:val="auto"/>
          <w:sz w:val="22"/>
          <w:szCs w:val="22"/>
          <w:highlight w:val="none"/>
        </w:rPr>
      </w:pPr>
      <w:r>
        <w:rPr>
          <w:rFonts w:hint="eastAsia" w:hAnsi="宋体"/>
          <w:b/>
          <w:bCs/>
          <w:color w:val="auto"/>
          <w:sz w:val="22"/>
          <w:szCs w:val="22"/>
          <w:highlight w:val="none"/>
        </w:rPr>
        <w:t>交货地点：按买方指定地点交货。</w:t>
      </w:r>
    </w:p>
    <w:p>
      <w:pPr>
        <w:keepNext w:val="0"/>
        <w:keepLines w:val="0"/>
        <w:pageBreakBefore w:val="0"/>
        <w:kinsoku/>
        <w:wordWrap/>
        <w:topLinePunct w:val="0"/>
        <w:bidi w:val="0"/>
        <w:snapToGrid w:val="0"/>
        <w:spacing w:line="500" w:lineRule="exact"/>
        <w:rPr>
          <w:rFonts w:ascii="宋体" w:hAnsi="宋体"/>
          <w:color w:val="auto"/>
          <w:sz w:val="22"/>
          <w:szCs w:val="22"/>
          <w:highlight w:val="none"/>
        </w:rPr>
      </w:pPr>
      <w:r>
        <w:rPr>
          <w:rFonts w:hint="eastAsia" w:ascii="宋体" w:hAnsi="宋体"/>
          <w:color w:val="auto"/>
          <w:sz w:val="22"/>
          <w:szCs w:val="22"/>
          <w:highlight w:val="none"/>
        </w:rPr>
        <w:t>第六条：到货、安装与验收</w:t>
      </w:r>
    </w:p>
    <w:p>
      <w:pPr>
        <w:pStyle w:val="16"/>
        <w:keepNext w:val="0"/>
        <w:keepLines w:val="0"/>
        <w:pageBreakBefore w:val="0"/>
        <w:kinsoku/>
        <w:wordWrap/>
        <w:topLinePunct w:val="0"/>
        <w:bidi w:val="0"/>
        <w:snapToGrid w:val="0"/>
        <w:spacing w:line="500" w:lineRule="exact"/>
        <w:ind w:firstLine="440" w:firstLineChars="200"/>
        <w:rPr>
          <w:rFonts w:hAnsi="宋体"/>
          <w:bCs/>
          <w:color w:val="auto"/>
          <w:sz w:val="22"/>
          <w:szCs w:val="22"/>
          <w:highlight w:val="none"/>
        </w:rPr>
      </w:pPr>
      <w:r>
        <w:rPr>
          <w:rFonts w:hint="eastAsia" w:hAnsi="宋体"/>
          <w:bCs/>
          <w:color w:val="auto"/>
          <w:sz w:val="22"/>
          <w:szCs w:val="22"/>
          <w:highlight w:val="none"/>
        </w:rPr>
        <w:t>1、卖方送货至指定地点后，由买方根据产品的技术规格要求和质量标准，对产品进行检查，产品的数量不足或表面瑕疵，买方应当面提出。卖方应负责按照买方的要求采取补足、更换或退货等处理措施，并承担由此发生的一切费用和损失。</w:t>
      </w:r>
    </w:p>
    <w:p>
      <w:pPr>
        <w:pStyle w:val="16"/>
        <w:keepNext w:val="0"/>
        <w:keepLines w:val="0"/>
        <w:pageBreakBefore w:val="0"/>
        <w:kinsoku/>
        <w:wordWrap/>
        <w:topLinePunct w:val="0"/>
        <w:bidi w:val="0"/>
        <w:snapToGrid w:val="0"/>
        <w:spacing w:line="500" w:lineRule="exact"/>
        <w:ind w:firstLine="440" w:firstLineChars="200"/>
        <w:rPr>
          <w:rFonts w:hAnsi="宋体"/>
          <w:bCs/>
          <w:color w:val="auto"/>
          <w:sz w:val="22"/>
          <w:szCs w:val="22"/>
          <w:highlight w:val="none"/>
        </w:rPr>
      </w:pPr>
      <w:r>
        <w:rPr>
          <w:rFonts w:hint="eastAsia" w:hAnsi="宋体"/>
          <w:bCs/>
          <w:color w:val="auto"/>
          <w:sz w:val="22"/>
          <w:szCs w:val="22"/>
          <w:highlight w:val="none"/>
        </w:rPr>
        <w:t>2、产品安装、调试、试运行完毕后，如未发现设备质量问题，卖方可申请最终验收。</w:t>
      </w:r>
    </w:p>
    <w:p>
      <w:pPr>
        <w:keepNext w:val="0"/>
        <w:keepLines w:val="0"/>
        <w:pageBreakBefore w:val="0"/>
        <w:kinsoku/>
        <w:wordWrap/>
        <w:topLinePunct w:val="0"/>
        <w:bidi w:val="0"/>
        <w:snapToGrid w:val="0"/>
        <w:spacing w:line="500" w:lineRule="exact"/>
        <w:rPr>
          <w:rFonts w:ascii="宋体" w:hAnsi="宋体"/>
          <w:color w:val="auto"/>
          <w:sz w:val="22"/>
          <w:szCs w:val="22"/>
          <w:highlight w:val="none"/>
        </w:rPr>
      </w:pPr>
      <w:r>
        <w:rPr>
          <w:rFonts w:hint="eastAsia" w:ascii="宋体" w:hAnsi="宋体"/>
          <w:color w:val="auto"/>
          <w:sz w:val="22"/>
          <w:szCs w:val="22"/>
          <w:highlight w:val="none"/>
        </w:rPr>
        <w:t>第七条：售后服务</w:t>
      </w:r>
    </w:p>
    <w:p>
      <w:pPr>
        <w:keepNext w:val="0"/>
        <w:keepLines w:val="0"/>
        <w:pageBreakBefore w:val="0"/>
        <w:kinsoku/>
        <w:wordWrap/>
        <w:topLinePunct w:val="0"/>
        <w:bidi w:val="0"/>
        <w:snapToGrid w:val="0"/>
        <w:spacing w:line="500" w:lineRule="exact"/>
        <w:ind w:firstLine="442" w:firstLineChars="200"/>
        <w:rPr>
          <w:rFonts w:ascii="宋体" w:hAnsi="宋体"/>
          <w:b/>
          <w:color w:val="auto"/>
          <w:sz w:val="22"/>
          <w:szCs w:val="22"/>
          <w:highlight w:val="none"/>
        </w:rPr>
      </w:pPr>
      <w:r>
        <w:rPr>
          <w:rFonts w:hint="eastAsia" w:ascii="宋体" w:hAnsi="宋体"/>
          <w:b/>
          <w:bCs/>
          <w:color w:val="auto"/>
          <w:sz w:val="22"/>
          <w:szCs w:val="22"/>
          <w:highlight w:val="none"/>
        </w:rPr>
        <w:t>详见磋商文件第四部分采购内容及要求</w:t>
      </w:r>
      <w:r>
        <w:rPr>
          <w:rFonts w:hint="eastAsia" w:ascii="宋体" w:hAnsi="宋体"/>
          <w:b/>
          <w:color w:val="auto"/>
          <w:sz w:val="22"/>
          <w:szCs w:val="22"/>
          <w:highlight w:val="none"/>
        </w:rPr>
        <w:t>。</w:t>
      </w:r>
    </w:p>
    <w:p>
      <w:pPr>
        <w:keepNext w:val="0"/>
        <w:keepLines w:val="0"/>
        <w:pageBreakBefore w:val="0"/>
        <w:kinsoku/>
        <w:wordWrap/>
        <w:topLinePunct w:val="0"/>
        <w:bidi w:val="0"/>
        <w:snapToGrid w:val="0"/>
        <w:spacing w:line="500" w:lineRule="exact"/>
        <w:rPr>
          <w:rFonts w:ascii="宋体" w:hAnsi="宋体"/>
          <w:color w:val="auto"/>
          <w:sz w:val="22"/>
          <w:szCs w:val="22"/>
          <w:highlight w:val="none"/>
        </w:rPr>
      </w:pPr>
      <w:r>
        <w:rPr>
          <w:rFonts w:hint="eastAsia" w:ascii="宋体" w:hAnsi="宋体"/>
          <w:color w:val="auto"/>
          <w:sz w:val="22"/>
          <w:szCs w:val="22"/>
          <w:highlight w:val="none"/>
        </w:rPr>
        <w:t>第八条：支付方式</w:t>
      </w:r>
    </w:p>
    <w:p>
      <w:pPr>
        <w:keepNext w:val="0"/>
        <w:keepLines w:val="0"/>
        <w:pageBreakBefore w:val="0"/>
        <w:tabs>
          <w:tab w:val="left" w:pos="450"/>
          <w:tab w:val="left" w:pos="540"/>
          <w:tab w:val="left" w:pos="992"/>
        </w:tabs>
        <w:kinsoku/>
        <w:wordWrap/>
        <w:topLinePunct w:val="0"/>
        <w:bidi w:val="0"/>
        <w:spacing w:line="500" w:lineRule="exact"/>
        <w:ind w:firstLine="442" w:firstLineChars="200"/>
        <w:rPr>
          <w:rFonts w:ascii="宋体" w:hAnsi="宋体"/>
          <w:b/>
          <w:color w:val="auto"/>
          <w:sz w:val="22"/>
          <w:szCs w:val="22"/>
          <w:highlight w:val="none"/>
          <w:u w:val="single"/>
        </w:rPr>
      </w:pPr>
      <w:r>
        <w:rPr>
          <w:rFonts w:hint="eastAsia" w:ascii="宋体" w:hAnsi="宋体"/>
          <w:b/>
          <w:color w:val="auto"/>
          <w:sz w:val="22"/>
          <w:szCs w:val="22"/>
          <w:highlight w:val="none"/>
        </w:rPr>
        <w:t>（1）</w:t>
      </w:r>
      <w:r>
        <w:rPr>
          <w:rFonts w:hint="eastAsia" w:ascii="宋体" w:hAnsi="宋体"/>
          <w:b/>
          <w:color w:val="auto"/>
          <w:sz w:val="22"/>
          <w:szCs w:val="22"/>
          <w:highlight w:val="none"/>
          <w:u w:val="single"/>
        </w:rPr>
        <w:t>合同生效以及具备实施条件后</w:t>
      </w:r>
      <w:r>
        <w:rPr>
          <w:rFonts w:hint="eastAsia" w:ascii="宋体" w:hAnsi="宋体"/>
          <w:b/>
          <w:color w:val="auto"/>
          <w:sz w:val="22"/>
          <w:szCs w:val="22"/>
          <w:highlight w:val="none"/>
          <w:u w:val="single"/>
          <w:lang w:eastAsia="zh-CN"/>
        </w:rPr>
        <w:t>，</w:t>
      </w:r>
      <w:r>
        <w:rPr>
          <w:rFonts w:hint="eastAsia" w:ascii="宋体" w:hAnsi="宋体"/>
          <w:b/>
          <w:color w:val="auto"/>
          <w:sz w:val="22"/>
          <w:szCs w:val="22"/>
          <w:highlight w:val="none"/>
          <w:u w:val="single"/>
        </w:rPr>
        <w:t>买方支付合同总额3</w:t>
      </w:r>
      <w:r>
        <w:rPr>
          <w:rFonts w:ascii="宋体" w:hAnsi="宋体"/>
          <w:b/>
          <w:color w:val="auto"/>
          <w:sz w:val="22"/>
          <w:szCs w:val="22"/>
          <w:highlight w:val="none"/>
          <w:u w:val="single"/>
        </w:rPr>
        <w:t>0</w:t>
      </w:r>
      <w:r>
        <w:rPr>
          <w:rFonts w:hint="eastAsia" w:ascii="宋体" w:hAnsi="宋体"/>
          <w:b/>
          <w:color w:val="auto"/>
          <w:sz w:val="22"/>
          <w:szCs w:val="22"/>
          <w:highlight w:val="none"/>
          <w:u w:val="single"/>
        </w:rPr>
        <w:t>%的预付款；</w:t>
      </w:r>
    </w:p>
    <w:p>
      <w:pPr>
        <w:keepNext w:val="0"/>
        <w:keepLines w:val="0"/>
        <w:pageBreakBefore w:val="0"/>
        <w:tabs>
          <w:tab w:val="left" w:pos="450"/>
          <w:tab w:val="left" w:pos="540"/>
          <w:tab w:val="left" w:pos="992"/>
        </w:tabs>
        <w:kinsoku/>
        <w:wordWrap/>
        <w:topLinePunct w:val="0"/>
        <w:bidi w:val="0"/>
        <w:spacing w:line="500" w:lineRule="exact"/>
        <w:rPr>
          <w:rFonts w:ascii="宋体" w:hAnsi="宋体"/>
          <w:b/>
          <w:color w:val="auto"/>
          <w:sz w:val="22"/>
          <w:szCs w:val="22"/>
          <w:highlight w:val="none"/>
          <w:u w:val="single"/>
        </w:rPr>
      </w:pPr>
      <w:r>
        <w:rPr>
          <w:rFonts w:hint="eastAsia" w:ascii="宋体" w:hAnsi="宋体"/>
          <w:b/>
          <w:color w:val="auto"/>
          <w:sz w:val="22"/>
          <w:szCs w:val="22"/>
          <w:highlight w:val="none"/>
        </w:rPr>
        <w:tab/>
      </w:r>
      <w:r>
        <w:rPr>
          <w:rFonts w:hint="eastAsia" w:ascii="宋体" w:hAnsi="宋体"/>
          <w:b/>
          <w:color w:val="auto"/>
          <w:sz w:val="22"/>
          <w:szCs w:val="22"/>
          <w:highlight w:val="none"/>
        </w:rPr>
        <w:t>（2）</w:t>
      </w:r>
      <w:r>
        <w:rPr>
          <w:rFonts w:hint="eastAsia" w:ascii="宋体" w:hAnsi="宋体"/>
          <w:b/>
          <w:color w:val="auto"/>
          <w:sz w:val="22"/>
          <w:szCs w:val="22"/>
          <w:highlight w:val="none"/>
          <w:u w:val="single"/>
        </w:rPr>
        <w:t>设备通过FAT，发货到买方指定地点，由双方开箱（或卖方授权买方单独开箱）验收外观完好后，买方支付合同总额35%的货款；</w:t>
      </w:r>
    </w:p>
    <w:p>
      <w:pPr>
        <w:keepNext w:val="0"/>
        <w:keepLines w:val="0"/>
        <w:pageBreakBefore w:val="0"/>
        <w:tabs>
          <w:tab w:val="left" w:pos="450"/>
          <w:tab w:val="left" w:pos="540"/>
          <w:tab w:val="left" w:pos="992"/>
        </w:tabs>
        <w:kinsoku/>
        <w:wordWrap/>
        <w:topLinePunct w:val="0"/>
        <w:bidi w:val="0"/>
        <w:spacing w:line="500" w:lineRule="exact"/>
        <w:rPr>
          <w:rFonts w:ascii="宋体" w:hAnsi="宋体"/>
          <w:b/>
          <w:color w:val="auto"/>
          <w:sz w:val="22"/>
          <w:szCs w:val="22"/>
          <w:highlight w:val="none"/>
          <w:u w:val="single"/>
        </w:rPr>
      </w:pPr>
      <w:r>
        <w:rPr>
          <w:rFonts w:hint="eastAsia" w:ascii="宋体" w:hAnsi="宋体"/>
          <w:b/>
          <w:color w:val="auto"/>
          <w:sz w:val="22"/>
          <w:szCs w:val="22"/>
          <w:highlight w:val="none"/>
        </w:rPr>
        <w:tab/>
      </w:r>
      <w:r>
        <w:rPr>
          <w:rFonts w:hint="eastAsia" w:ascii="宋体" w:hAnsi="宋体"/>
          <w:b/>
          <w:color w:val="auto"/>
          <w:sz w:val="22"/>
          <w:szCs w:val="22"/>
          <w:highlight w:val="none"/>
        </w:rPr>
        <w:t>（3）</w:t>
      </w:r>
      <w:r>
        <w:rPr>
          <w:rFonts w:hint="eastAsia" w:ascii="宋体" w:hAnsi="宋体"/>
          <w:b/>
          <w:color w:val="auto"/>
          <w:sz w:val="22"/>
          <w:szCs w:val="22"/>
          <w:highlight w:val="none"/>
          <w:u w:val="single"/>
        </w:rPr>
        <w:t>设备安装、调试、验收合格后，买方支付合同总额30%的验收款；</w:t>
      </w:r>
    </w:p>
    <w:p>
      <w:pPr>
        <w:keepNext w:val="0"/>
        <w:keepLines w:val="0"/>
        <w:pageBreakBefore w:val="0"/>
        <w:tabs>
          <w:tab w:val="left" w:pos="450"/>
          <w:tab w:val="left" w:pos="540"/>
          <w:tab w:val="left" w:pos="992"/>
        </w:tabs>
        <w:kinsoku/>
        <w:wordWrap/>
        <w:topLinePunct w:val="0"/>
        <w:bidi w:val="0"/>
        <w:spacing w:line="500" w:lineRule="exact"/>
        <w:rPr>
          <w:rFonts w:ascii="宋体" w:hAnsi="宋体"/>
          <w:b/>
          <w:color w:val="auto"/>
          <w:sz w:val="22"/>
          <w:szCs w:val="22"/>
          <w:highlight w:val="none"/>
          <w:u w:val="single"/>
        </w:rPr>
      </w:pPr>
      <w:r>
        <w:rPr>
          <w:rFonts w:hint="eastAsia" w:ascii="宋体" w:hAnsi="宋体"/>
          <w:b/>
          <w:color w:val="auto"/>
          <w:sz w:val="22"/>
          <w:szCs w:val="22"/>
          <w:highlight w:val="none"/>
        </w:rPr>
        <w:tab/>
      </w:r>
      <w:r>
        <w:rPr>
          <w:rFonts w:hint="eastAsia" w:ascii="宋体" w:hAnsi="宋体"/>
          <w:b/>
          <w:color w:val="auto"/>
          <w:sz w:val="22"/>
          <w:szCs w:val="22"/>
          <w:highlight w:val="none"/>
        </w:rPr>
        <w:t>（4）</w:t>
      </w:r>
      <w:r>
        <w:rPr>
          <w:rFonts w:hint="eastAsia" w:ascii="宋体" w:hAnsi="宋体"/>
          <w:b/>
          <w:color w:val="auto"/>
          <w:sz w:val="22"/>
          <w:szCs w:val="22"/>
          <w:highlight w:val="none"/>
          <w:u w:val="single"/>
        </w:rPr>
        <w:t>在SAT验收合格后设备质保1年，质保到期后</w:t>
      </w:r>
      <w:r>
        <w:rPr>
          <w:rFonts w:hint="eastAsia" w:ascii="宋体" w:hAnsi="宋体"/>
          <w:b/>
          <w:color w:val="auto"/>
          <w:sz w:val="22"/>
          <w:szCs w:val="22"/>
          <w:highlight w:val="none"/>
          <w:u w:val="single"/>
          <w:lang w:eastAsia="zh-CN"/>
        </w:rPr>
        <w:t>，</w:t>
      </w:r>
      <w:r>
        <w:rPr>
          <w:rFonts w:hint="eastAsia" w:ascii="宋体" w:hAnsi="宋体"/>
          <w:b/>
          <w:color w:val="auto"/>
          <w:sz w:val="22"/>
          <w:szCs w:val="22"/>
          <w:highlight w:val="none"/>
          <w:u w:val="single"/>
        </w:rPr>
        <w:t>买方支付合同总额5%的质保金</w:t>
      </w:r>
      <w:r>
        <w:rPr>
          <w:rFonts w:hint="eastAsia" w:ascii="宋体" w:hAnsi="宋体"/>
          <w:b/>
          <w:color w:val="auto"/>
          <w:sz w:val="22"/>
          <w:szCs w:val="22"/>
          <w:highlight w:val="none"/>
          <w:u w:val="single"/>
          <w:lang w:eastAsia="zh-CN"/>
        </w:rPr>
        <w:t>（</w:t>
      </w:r>
      <w:r>
        <w:rPr>
          <w:rFonts w:hint="eastAsia" w:ascii="宋体" w:hAnsi="宋体"/>
          <w:b/>
          <w:color w:val="auto"/>
          <w:sz w:val="22"/>
          <w:szCs w:val="22"/>
          <w:highlight w:val="none"/>
          <w:u w:val="single"/>
          <w:lang w:val="en-US" w:eastAsia="zh-CN"/>
        </w:rPr>
        <w:t>不计息</w:t>
      </w:r>
      <w:r>
        <w:rPr>
          <w:rFonts w:hint="eastAsia" w:ascii="宋体" w:hAnsi="宋体"/>
          <w:b/>
          <w:color w:val="auto"/>
          <w:sz w:val="22"/>
          <w:szCs w:val="22"/>
          <w:highlight w:val="none"/>
          <w:u w:val="single"/>
          <w:lang w:eastAsia="zh-CN"/>
        </w:rPr>
        <w:t>）</w:t>
      </w:r>
      <w:r>
        <w:rPr>
          <w:rFonts w:hint="eastAsia" w:ascii="宋体" w:hAnsi="宋体"/>
          <w:b/>
          <w:color w:val="auto"/>
          <w:sz w:val="22"/>
          <w:szCs w:val="22"/>
          <w:highlight w:val="none"/>
          <w:u w:val="single"/>
        </w:rPr>
        <w:t>。</w:t>
      </w:r>
    </w:p>
    <w:p>
      <w:pPr>
        <w:keepNext w:val="0"/>
        <w:keepLines w:val="0"/>
        <w:pageBreakBefore w:val="0"/>
        <w:kinsoku/>
        <w:wordWrap/>
        <w:topLinePunct w:val="0"/>
        <w:bidi w:val="0"/>
        <w:spacing w:line="500" w:lineRule="exact"/>
        <w:ind w:left="20" w:firstLine="400"/>
        <w:rPr>
          <w:rFonts w:ascii="宋体" w:hAnsi="宋体"/>
          <w:b/>
          <w:color w:val="auto"/>
          <w:sz w:val="22"/>
          <w:szCs w:val="22"/>
          <w:highlight w:val="none"/>
          <w:u w:val="single"/>
        </w:rPr>
      </w:pPr>
      <w:r>
        <w:rPr>
          <w:rFonts w:hint="eastAsia" w:ascii="宋体" w:hAnsi="宋体"/>
          <w:b/>
          <w:color w:val="auto"/>
          <w:sz w:val="22"/>
          <w:szCs w:val="22"/>
          <w:highlight w:val="none"/>
          <w:u w:val="single"/>
        </w:rPr>
        <w:t>备注：</w:t>
      </w:r>
      <w:r>
        <w:rPr>
          <w:rFonts w:hint="eastAsia" w:ascii="宋体" w:hAnsi="宋体"/>
          <w:b/>
          <w:color w:val="auto"/>
          <w:sz w:val="22"/>
          <w:szCs w:val="22"/>
          <w:highlight w:val="none"/>
          <w:u w:val="single"/>
          <w:lang w:val="en-US" w:eastAsia="zh-CN"/>
        </w:rPr>
        <w:t>1、</w:t>
      </w:r>
      <w:r>
        <w:rPr>
          <w:rFonts w:hint="eastAsia" w:ascii="宋体" w:hAnsi="宋体"/>
          <w:b/>
          <w:color w:val="auto"/>
          <w:sz w:val="22"/>
          <w:szCs w:val="22"/>
          <w:highlight w:val="none"/>
          <w:u w:val="single"/>
        </w:rPr>
        <w:t>签订合同时，</w:t>
      </w:r>
      <w:r>
        <w:rPr>
          <w:rFonts w:hint="eastAsia" w:ascii="宋体" w:hAnsi="宋体"/>
          <w:b/>
          <w:color w:val="auto"/>
          <w:sz w:val="22"/>
          <w:szCs w:val="22"/>
          <w:highlight w:val="none"/>
          <w:u w:val="single"/>
          <w:lang w:val="en-US" w:eastAsia="zh-CN"/>
        </w:rPr>
        <w:t>乙方</w:t>
      </w:r>
      <w:r>
        <w:rPr>
          <w:rFonts w:hint="eastAsia" w:ascii="宋体" w:hAnsi="宋体"/>
          <w:b/>
          <w:color w:val="auto"/>
          <w:sz w:val="22"/>
          <w:szCs w:val="22"/>
          <w:highlight w:val="none"/>
          <w:u w:val="single"/>
        </w:rPr>
        <w:t>明确表示无需预付款或者主动要求降低预付款比例的，合同中可另行约定。</w:t>
      </w:r>
      <w:r>
        <w:rPr>
          <w:rFonts w:hint="eastAsia" w:ascii="宋体" w:hAnsi="宋体"/>
          <w:b/>
          <w:color w:val="auto"/>
          <w:sz w:val="22"/>
          <w:szCs w:val="22"/>
          <w:highlight w:val="none"/>
          <w:u w:val="single"/>
          <w:lang w:val="en-US" w:eastAsia="zh-CN"/>
        </w:rPr>
        <w:t>2、</w:t>
      </w:r>
      <w:r>
        <w:rPr>
          <w:rFonts w:hint="eastAsia" w:ascii="宋体" w:hAnsi="宋体"/>
          <w:b/>
          <w:color w:val="auto"/>
          <w:sz w:val="22"/>
          <w:szCs w:val="22"/>
          <w:highlight w:val="none"/>
          <w:u w:val="single"/>
        </w:rPr>
        <w:t>买方对于满足合同约定支付条件的</w:t>
      </w:r>
      <w:r>
        <w:rPr>
          <w:rFonts w:hint="eastAsia" w:ascii="宋体" w:hAnsi="宋体"/>
          <w:b/>
          <w:color w:val="auto"/>
          <w:sz w:val="22"/>
          <w:szCs w:val="22"/>
          <w:highlight w:val="none"/>
          <w:u w:val="single"/>
          <w:lang w:eastAsia="zh-CN"/>
        </w:rPr>
        <w:t>，</w:t>
      </w:r>
      <w:r>
        <w:rPr>
          <w:rFonts w:hint="eastAsia" w:ascii="宋体" w:hAnsi="宋体"/>
          <w:b/>
          <w:color w:val="auto"/>
          <w:sz w:val="22"/>
          <w:szCs w:val="22"/>
          <w:highlight w:val="none"/>
          <w:u w:val="single"/>
        </w:rPr>
        <w:t>自收到</w:t>
      </w:r>
      <w:r>
        <w:rPr>
          <w:rFonts w:hint="eastAsia" w:ascii="宋体" w:hAnsi="宋体"/>
          <w:b/>
          <w:color w:val="auto"/>
          <w:sz w:val="22"/>
          <w:szCs w:val="22"/>
          <w:highlight w:val="none"/>
          <w:u w:val="single"/>
          <w:lang w:val="en-US" w:eastAsia="zh-CN"/>
        </w:rPr>
        <w:t>等额</w:t>
      </w:r>
      <w:r>
        <w:rPr>
          <w:rFonts w:hint="eastAsia" w:ascii="宋体" w:hAnsi="宋体"/>
          <w:b/>
          <w:color w:val="auto"/>
          <w:sz w:val="22"/>
          <w:szCs w:val="22"/>
          <w:highlight w:val="none"/>
          <w:u w:val="single"/>
        </w:rPr>
        <w:t>发票后7个工作日内将资金支付到合同约定的卖方账户。</w:t>
      </w:r>
      <w:r>
        <w:rPr>
          <w:rFonts w:hint="eastAsia" w:ascii="宋体" w:hAnsi="宋体"/>
          <w:b/>
          <w:color w:val="auto"/>
          <w:sz w:val="22"/>
          <w:szCs w:val="22"/>
          <w:highlight w:val="none"/>
          <w:u w:val="single"/>
          <w:lang w:val="en-US" w:eastAsia="zh-CN"/>
        </w:rPr>
        <w:t>3、</w:t>
      </w:r>
      <w:r>
        <w:rPr>
          <w:rFonts w:hint="eastAsia" w:ascii="宋体" w:hAnsi="宋体"/>
          <w:b/>
          <w:color w:val="auto"/>
          <w:sz w:val="22"/>
          <w:szCs w:val="22"/>
          <w:highlight w:val="none"/>
          <w:u w:val="single"/>
        </w:rPr>
        <w:t>供应商应免费提供1年维修、维护和保养，</w:t>
      </w:r>
      <w:r>
        <w:rPr>
          <w:rFonts w:hint="eastAsia" w:ascii="宋体" w:hAnsi="宋体"/>
          <w:b/>
          <w:color w:val="auto"/>
          <w:sz w:val="22"/>
          <w:szCs w:val="22"/>
          <w:highlight w:val="none"/>
          <w:u w:val="single"/>
          <w:lang w:val="en-US" w:eastAsia="zh-CN"/>
        </w:rPr>
        <w:t>包</w:t>
      </w:r>
      <w:r>
        <w:rPr>
          <w:rFonts w:hint="eastAsia" w:ascii="宋体" w:hAnsi="宋体"/>
          <w:b/>
          <w:color w:val="auto"/>
          <w:sz w:val="22"/>
          <w:szCs w:val="22"/>
          <w:highlight w:val="none"/>
          <w:u w:val="single"/>
        </w:rPr>
        <w:t>含</w:t>
      </w:r>
      <w:r>
        <w:rPr>
          <w:rFonts w:hint="eastAsia" w:ascii="宋体" w:hAnsi="宋体"/>
          <w:b/>
          <w:color w:val="auto"/>
          <w:sz w:val="22"/>
          <w:szCs w:val="22"/>
          <w:highlight w:val="none"/>
          <w:u w:val="single"/>
          <w:lang w:val="en-US" w:eastAsia="zh-CN"/>
        </w:rPr>
        <w:t>但不限于</w:t>
      </w:r>
      <w:r>
        <w:rPr>
          <w:rFonts w:hint="eastAsia" w:ascii="宋体" w:hAnsi="宋体"/>
          <w:b/>
          <w:color w:val="auto"/>
          <w:sz w:val="22"/>
          <w:szCs w:val="22"/>
          <w:highlight w:val="none"/>
          <w:u w:val="single"/>
        </w:rPr>
        <w:t>赠送两套（年）备品、备件和易损件，耗材两套。</w:t>
      </w:r>
    </w:p>
    <w:p>
      <w:pPr>
        <w:keepNext w:val="0"/>
        <w:keepLines w:val="0"/>
        <w:pageBreakBefore w:val="0"/>
        <w:kinsoku/>
        <w:wordWrap/>
        <w:topLinePunct w:val="0"/>
        <w:bidi w:val="0"/>
        <w:snapToGrid w:val="0"/>
        <w:spacing w:line="500" w:lineRule="exact"/>
        <w:rPr>
          <w:rFonts w:ascii="宋体" w:hAnsi="宋体"/>
          <w:color w:val="auto"/>
          <w:sz w:val="22"/>
          <w:szCs w:val="22"/>
          <w:highlight w:val="none"/>
        </w:rPr>
      </w:pPr>
      <w:r>
        <w:rPr>
          <w:rFonts w:hint="eastAsia" w:ascii="宋体" w:hAnsi="宋体"/>
          <w:color w:val="auto"/>
          <w:sz w:val="22"/>
          <w:szCs w:val="22"/>
          <w:highlight w:val="none"/>
        </w:rPr>
        <w:t>第九条：人员配置</w:t>
      </w:r>
    </w:p>
    <w:p>
      <w:pPr>
        <w:keepNext w:val="0"/>
        <w:keepLines w:val="0"/>
        <w:pageBreakBefore w:val="0"/>
        <w:kinsoku/>
        <w:wordWrap/>
        <w:topLinePunct w:val="0"/>
        <w:bidi w:val="0"/>
        <w:snapToGrid w:val="0"/>
        <w:spacing w:line="500" w:lineRule="exact"/>
        <w:ind w:firstLine="660" w:firstLineChars="300"/>
        <w:rPr>
          <w:rFonts w:ascii="宋体" w:hAnsi="宋体"/>
          <w:bCs/>
          <w:color w:val="auto"/>
          <w:sz w:val="22"/>
          <w:szCs w:val="22"/>
          <w:highlight w:val="none"/>
        </w:rPr>
      </w:pPr>
      <w:r>
        <w:rPr>
          <w:rFonts w:hint="eastAsia" w:ascii="宋体" w:hAnsi="宋体"/>
          <w:bCs/>
          <w:color w:val="auto"/>
          <w:sz w:val="22"/>
          <w:szCs w:val="22"/>
          <w:highlight w:val="none"/>
        </w:rPr>
        <w:t>卖方必须按投标承诺配置配备人员，且聘用的工作人员必须符合劳动部门有关用工规定，并经相关专业考核合格后持证上岗，买方有权进行审核，并提出整改意见。卖方负担所配置人员的各项费用，包括但不限于人员的薪酬福利及住宿、补贴、社保等费用，均包含在合同</w:t>
      </w:r>
      <w:r>
        <w:rPr>
          <w:rFonts w:hint="eastAsia" w:ascii="宋体" w:hAnsi="宋体"/>
          <w:bCs/>
          <w:color w:val="auto"/>
          <w:sz w:val="22"/>
          <w:szCs w:val="22"/>
          <w:highlight w:val="none"/>
          <w:lang w:val="en-US" w:eastAsia="zh-CN"/>
        </w:rPr>
        <w:t>价款</w:t>
      </w:r>
      <w:r>
        <w:rPr>
          <w:rFonts w:hint="eastAsia" w:ascii="宋体" w:hAnsi="宋体"/>
          <w:bCs/>
          <w:color w:val="auto"/>
          <w:sz w:val="22"/>
          <w:szCs w:val="22"/>
          <w:highlight w:val="none"/>
        </w:rPr>
        <w:t>内，由卖方自行承担。如卖方未按要求配置人员，买方有权</w:t>
      </w:r>
      <w:r>
        <w:rPr>
          <w:rFonts w:hint="eastAsia" w:ascii="宋体" w:hAnsi="宋体"/>
          <w:bCs/>
          <w:color w:val="auto"/>
          <w:sz w:val="22"/>
          <w:szCs w:val="22"/>
          <w:highlight w:val="none"/>
          <w:lang w:val="en-US" w:eastAsia="zh-CN"/>
        </w:rPr>
        <w:t>单方</w:t>
      </w:r>
      <w:r>
        <w:rPr>
          <w:rFonts w:hint="eastAsia" w:ascii="宋体" w:hAnsi="宋体"/>
          <w:bCs/>
          <w:color w:val="auto"/>
          <w:sz w:val="22"/>
          <w:szCs w:val="22"/>
          <w:highlight w:val="none"/>
        </w:rPr>
        <w:t>解除合同。</w:t>
      </w:r>
    </w:p>
    <w:p>
      <w:pPr>
        <w:keepNext w:val="0"/>
        <w:keepLines w:val="0"/>
        <w:pageBreakBefore w:val="0"/>
        <w:widowControl/>
        <w:kinsoku/>
        <w:wordWrap/>
        <w:topLinePunct w:val="0"/>
        <w:autoSpaceDE w:val="0"/>
        <w:autoSpaceDN w:val="0"/>
        <w:bidi w:val="0"/>
        <w:adjustRightInd w:val="0"/>
        <w:spacing w:line="500" w:lineRule="exact"/>
        <w:textAlignment w:val="bottom"/>
        <w:rPr>
          <w:rFonts w:ascii="宋体" w:hAnsi="宋体"/>
          <w:color w:val="auto"/>
          <w:sz w:val="22"/>
          <w:szCs w:val="22"/>
          <w:highlight w:val="none"/>
        </w:rPr>
      </w:pPr>
      <w:r>
        <w:rPr>
          <w:rFonts w:hint="eastAsia" w:ascii="宋体" w:hAnsi="宋体"/>
          <w:color w:val="auto"/>
          <w:sz w:val="22"/>
          <w:szCs w:val="22"/>
          <w:highlight w:val="none"/>
        </w:rPr>
        <w:t>第十条：辅助服务</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卖方应提交所提供产品的技术文件，包括相应的每一套设备的中文技术文件，例如：产品目录、使用说明、维护手册和/或服务指南。这些文件应包装好随同产品一起发运。</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卖方还应提供下列服务：</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（1）产品的现场安装、调试、启动监督及技术支持；</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（2）在项目现场就产品的指导安装、启动、运营、维护对买方操作人员进行培训。</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辅助服务的费用包含在合同价中，买方不再另行支付。</w:t>
      </w:r>
    </w:p>
    <w:p>
      <w:pPr>
        <w:pStyle w:val="16"/>
        <w:keepNext w:val="0"/>
        <w:keepLines w:val="0"/>
        <w:pageBreakBefore w:val="0"/>
        <w:kinsoku/>
        <w:wordWrap/>
        <w:topLinePunct w:val="0"/>
        <w:bidi w:val="0"/>
        <w:snapToGrid w:val="0"/>
        <w:spacing w:line="500" w:lineRule="exact"/>
        <w:rPr>
          <w:rFonts w:hAnsi="宋体"/>
          <w:color w:val="auto"/>
          <w:sz w:val="22"/>
          <w:szCs w:val="22"/>
          <w:highlight w:val="none"/>
        </w:rPr>
      </w:pPr>
      <w:r>
        <w:rPr>
          <w:rFonts w:hint="eastAsia" w:hAnsi="宋体"/>
          <w:color w:val="auto"/>
          <w:sz w:val="22"/>
          <w:szCs w:val="22"/>
          <w:highlight w:val="none"/>
        </w:rPr>
        <w:t>第十一条：质量保证</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卖方应保证所供产品是全新的、未使用过的，并完全符合合同规定的质量、规格和性能的要求。</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在质量保证期内，如果产品的质量或规格与合同不符，或证实产品是有缺陷的，包括潜在的缺陷或使用不符合要求的材料等，买方可以根据本合同第十二条规定以书面形式向卖方提出补救措施或索赔。</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卖方在约定的时间内未能弥补缺陷，买方可采取必要的补救措施，但其风险和费用将由卖方承担，买方根据合同规定对卖方行使的其他权利不受影响。</w:t>
      </w:r>
    </w:p>
    <w:p>
      <w:pPr>
        <w:keepNext w:val="0"/>
        <w:keepLines w:val="0"/>
        <w:pageBreakBefore w:val="0"/>
        <w:kinsoku/>
        <w:wordWrap/>
        <w:topLinePunct w:val="0"/>
        <w:bidi w:val="0"/>
        <w:snapToGrid w:val="0"/>
        <w:spacing w:line="500" w:lineRule="exact"/>
        <w:rPr>
          <w:rFonts w:ascii="宋体" w:hAnsi="宋体"/>
          <w:color w:val="auto"/>
          <w:sz w:val="22"/>
          <w:szCs w:val="22"/>
          <w:highlight w:val="none"/>
        </w:rPr>
      </w:pPr>
      <w:r>
        <w:rPr>
          <w:rFonts w:hint="eastAsia" w:ascii="宋体" w:hAnsi="宋体"/>
          <w:color w:val="auto"/>
          <w:sz w:val="22"/>
          <w:szCs w:val="22"/>
          <w:highlight w:val="none"/>
        </w:rPr>
        <w:t>第十二条：补救措施和索赔</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1、买方有权根据权威质量检测部门出具的检验报告向卖方提出索赔。</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2、在质量保证期或服务期内，如果卖方对缺陷产品负有责任或服务期内提供的服务达不到响应文件要求，经买方考核认定为不合格的，买方提出索赔，卖方应按照买方同意的下列一种或多种方式解决索赔事宜，并且买方可以收取卖方合同总价20%的违约金：</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w:t>
      </w:r>
      <w:r>
        <w:rPr>
          <w:rFonts w:hint="eastAsia" w:ascii="宋体" w:hAnsi="宋体"/>
          <w:color w:val="auto"/>
          <w:sz w:val="22"/>
          <w:szCs w:val="22"/>
          <w:highlight w:val="none"/>
          <w:lang w:val="en-US" w:eastAsia="zh-CN"/>
        </w:rPr>
        <w:t>买方</w:t>
      </w:r>
      <w:r>
        <w:rPr>
          <w:rFonts w:hint="eastAsia" w:ascii="宋体" w:hAnsi="宋体"/>
          <w:color w:val="auto"/>
          <w:sz w:val="22"/>
          <w:szCs w:val="22"/>
          <w:highlight w:val="none"/>
        </w:rPr>
        <w:t>退货</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卖方</w:t>
      </w:r>
      <w:r>
        <w:rPr>
          <w:rFonts w:hint="eastAsia" w:ascii="宋体" w:hAnsi="宋体"/>
          <w:color w:val="auto"/>
          <w:sz w:val="22"/>
          <w:szCs w:val="22"/>
          <w:highlight w:val="none"/>
        </w:rPr>
        <w:t>将货款退还给买方，由此发生的一切费用和损失由卖方承担。</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（2）根据产品的质量状况以及买方所遭受的损失，甲乙双方商定降低产品的价格。</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3）卖方应在接到买方通知后七天内负责采用符合合同规定的规格、质量和性能要求的新产品来更换有缺陷的部分或修补缺陷部分，其费用由卖方负担。同时，卖方应在约定的质量保证期基础上相应延长修补和/或更换件的质量保证期。</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3、如果在买方发出索赔通知后十天内卖方未作答复，上述索赔应视为已被卖方接受。如果卖方未能在买方发出索赔通知后十天内或买方同意延长的期限内，按照上述规定的任何一种方法采取补救措施，买方有权从应付货款中扣除索赔金额，如不足以弥补买方损失的，买方有权进一步要求卖方赔偿。</w:t>
      </w:r>
    </w:p>
    <w:p>
      <w:pPr>
        <w:keepNext w:val="0"/>
        <w:keepLines w:val="0"/>
        <w:pageBreakBefore w:val="0"/>
        <w:kinsoku/>
        <w:wordWrap/>
        <w:topLinePunct w:val="0"/>
        <w:bidi w:val="0"/>
        <w:snapToGrid w:val="0"/>
        <w:spacing w:line="500" w:lineRule="exact"/>
        <w:rPr>
          <w:rFonts w:ascii="宋体" w:hAnsi="宋体"/>
          <w:color w:val="auto"/>
          <w:sz w:val="22"/>
          <w:szCs w:val="22"/>
          <w:highlight w:val="none"/>
        </w:rPr>
      </w:pPr>
      <w:r>
        <w:rPr>
          <w:rFonts w:hint="eastAsia" w:ascii="宋体" w:hAnsi="宋体"/>
          <w:color w:val="auto"/>
          <w:sz w:val="22"/>
          <w:szCs w:val="22"/>
          <w:highlight w:val="none"/>
        </w:rPr>
        <w:t>第十三条：履约延误</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1、卖方应按照《合同》规定的时间、地点交货和提供服务。</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2、在履行《合同》过程中，如果卖方可能遇到妨碍按时交货和提供服务的情况时，应及时将拖延的事实、可能拖延的期限和理由通知买方。买方在收到卖方通知后，应尽快对情况进行评价，并确定是否同意延长交货时间或延期提供服务。</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3、</w:t>
      </w:r>
      <w:r>
        <w:rPr>
          <w:rFonts w:hint="eastAsia" w:ascii="宋体" w:hAnsi="宋体"/>
          <w:color w:val="auto"/>
          <w:sz w:val="22"/>
          <w:szCs w:val="22"/>
          <w:highlight w:val="none"/>
          <w:lang w:val="en-US" w:eastAsia="zh-CN"/>
        </w:rPr>
        <w:t>除不可抗力外，买方同意延长卖方交货期限并不当然免除卖方迟延交货的违约责任，</w:t>
      </w:r>
      <w:r>
        <w:rPr>
          <w:rFonts w:hint="eastAsia" w:ascii="宋体" w:hAnsi="宋体"/>
          <w:color w:val="auto"/>
          <w:sz w:val="22"/>
          <w:szCs w:val="22"/>
          <w:highlight w:val="none"/>
        </w:rPr>
        <w:t>如卖方在规定时间内无法交货，每逾期一天，按</w:t>
      </w:r>
      <w:r>
        <w:rPr>
          <w:rFonts w:hint="eastAsia" w:ascii="宋体" w:hAnsi="宋体"/>
          <w:color w:val="auto"/>
          <w:sz w:val="22"/>
          <w:szCs w:val="22"/>
          <w:highlight w:val="none"/>
          <w:lang w:val="en-US" w:eastAsia="zh-CN"/>
        </w:rPr>
        <w:t>延期交付设备合同价款</w:t>
      </w:r>
      <w:r>
        <w:rPr>
          <w:rFonts w:hint="eastAsia" w:ascii="宋体" w:hAnsi="宋体"/>
          <w:color w:val="auto"/>
          <w:sz w:val="22"/>
          <w:szCs w:val="22"/>
          <w:highlight w:val="none"/>
        </w:rPr>
        <w:t>的1%</w:t>
      </w:r>
      <w:r>
        <w:rPr>
          <w:rFonts w:hint="eastAsia" w:ascii="宋体" w:hAnsi="宋体"/>
          <w:color w:val="auto"/>
          <w:sz w:val="22"/>
          <w:szCs w:val="22"/>
          <w:highlight w:val="none"/>
          <w:lang w:val="en-US" w:eastAsia="zh-CN"/>
        </w:rPr>
        <w:t>向买方</w:t>
      </w:r>
      <w:r>
        <w:rPr>
          <w:rFonts w:hint="eastAsia" w:ascii="宋体" w:hAnsi="宋体"/>
          <w:color w:val="auto"/>
          <w:sz w:val="22"/>
          <w:szCs w:val="22"/>
          <w:highlight w:val="none"/>
        </w:rPr>
        <w:t>支付违约金。逾期违约金达到合同总价的5%时卖方仍不能交货</w:t>
      </w:r>
      <w:r>
        <w:rPr>
          <w:rFonts w:hint="eastAsia" w:ascii="宋体" w:hAnsi="宋体"/>
          <w:color w:val="auto"/>
          <w:sz w:val="22"/>
          <w:szCs w:val="22"/>
          <w:highlight w:val="none"/>
          <w:lang w:eastAsia="zh-CN"/>
        </w:rPr>
        <w:t>的</w:t>
      </w:r>
      <w:r>
        <w:rPr>
          <w:rFonts w:hint="eastAsia" w:ascii="宋体" w:hAnsi="宋体"/>
          <w:color w:val="auto"/>
          <w:sz w:val="22"/>
          <w:szCs w:val="22"/>
          <w:highlight w:val="none"/>
        </w:rPr>
        <w:t>，买方有权</w:t>
      </w:r>
      <w:r>
        <w:rPr>
          <w:rFonts w:hint="eastAsia" w:ascii="宋体" w:hAnsi="宋体"/>
          <w:color w:val="auto"/>
          <w:sz w:val="22"/>
          <w:szCs w:val="22"/>
          <w:highlight w:val="none"/>
          <w:lang w:val="en-US" w:eastAsia="zh-CN"/>
        </w:rPr>
        <w:t>单方</w:t>
      </w:r>
      <w:r>
        <w:rPr>
          <w:rFonts w:hint="eastAsia" w:ascii="宋体" w:hAnsi="宋体"/>
          <w:color w:val="auto"/>
          <w:sz w:val="22"/>
          <w:szCs w:val="22"/>
          <w:highlight w:val="none"/>
        </w:rPr>
        <w:t>解除合同</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并要求卖方支付相当于延期交付设备合同价款金额的违约金</w:t>
      </w:r>
      <w:r>
        <w:rPr>
          <w:rFonts w:hint="eastAsia" w:ascii="宋体" w:hAnsi="宋体"/>
          <w:color w:val="auto"/>
          <w:sz w:val="22"/>
          <w:szCs w:val="22"/>
          <w:highlight w:val="none"/>
        </w:rPr>
        <w:t>。</w:t>
      </w:r>
    </w:p>
    <w:p>
      <w:pPr>
        <w:keepNext w:val="0"/>
        <w:keepLines w:val="0"/>
        <w:pageBreakBefore w:val="0"/>
        <w:kinsoku/>
        <w:wordWrap/>
        <w:topLinePunct w:val="0"/>
        <w:bidi w:val="0"/>
        <w:snapToGrid w:val="0"/>
        <w:spacing w:line="500" w:lineRule="exact"/>
        <w:rPr>
          <w:rFonts w:ascii="宋体" w:hAnsi="宋体"/>
          <w:color w:val="auto"/>
          <w:sz w:val="22"/>
          <w:szCs w:val="22"/>
          <w:highlight w:val="none"/>
        </w:rPr>
      </w:pPr>
      <w:r>
        <w:rPr>
          <w:rFonts w:hint="eastAsia" w:ascii="宋体" w:hAnsi="宋体"/>
          <w:color w:val="auto"/>
          <w:sz w:val="22"/>
          <w:szCs w:val="22"/>
          <w:highlight w:val="none"/>
        </w:rPr>
        <w:t>第十四条：不可抗力</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1、合同各方因不可抗力而导致合同实施延误或不能履行合同义务的话，不承担误期赔偿或不能履行合同义务的责任。</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2、本条所述的“不可抗力”系指那些双方不可预见、不可避免、不可克服的事件，但不包括双方的违约或疏忽。这些事件包括但不限于：战争、严重火灾、洪水、台风、地震、国家政策的重大变化，以及双方商定的其他事件。</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3、在不可抗力事件发生后，当事方应尽快以书面形式将不可抗力的情况和原因通知对方</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及时采取必要措施以避免损害的扩大</w:t>
      </w:r>
      <w:r>
        <w:rPr>
          <w:rFonts w:hint="eastAsia" w:ascii="宋体" w:hAnsi="宋体"/>
          <w:color w:val="auto"/>
          <w:sz w:val="22"/>
          <w:szCs w:val="22"/>
          <w:highlight w:val="none"/>
        </w:rPr>
        <w:t>。合同各方应尽可能继续履行合同义务，并积极寻求采取合理的措施履行不受不可抗力影响的其他事项。合同各方应通过友好协商在合理的时间内达成进一步履行合同。</w:t>
      </w:r>
    </w:p>
    <w:p>
      <w:pPr>
        <w:pStyle w:val="16"/>
        <w:keepNext w:val="0"/>
        <w:keepLines w:val="0"/>
        <w:pageBreakBefore w:val="0"/>
        <w:kinsoku/>
        <w:wordWrap/>
        <w:topLinePunct w:val="0"/>
        <w:bidi w:val="0"/>
        <w:snapToGrid w:val="0"/>
        <w:spacing w:line="500" w:lineRule="exact"/>
        <w:rPr>
          <w:rFonts w:hAnsi="宋体"/>
          <w:color w:val="auto"/>
          <w:sz w:val="22"/>
          <w:szCs w:val="22"/>
          <w:highlight w:val="none"/>
        </w:rPr>
      </w:pPr>
      <w:r>
        <w:rPr>
          <w:rFonts w:hint="eastAsia" w:hAnsi="宋体"/>
          <w:color w:val="auto"/>
          <w:sz w:val="22"/>
          <w:szCs w:val="22"/>
          <w:highlight w:val="none"/>
        </w:rPr>
        <w:t>第十五条：争议的解决</w:t>
      </w:r>
    </w:p>
    <w:p>
      <w:pPr>
        <w:pStyle w:val="16"/>
        <w:keepNext w:val="0"/>
        <w:keepLines w:val="0"/>
        <w:pageBreakBefore w:val="0"/>
        <w:kinsoku/>
        <w:wordWrap/>
        <w:topLinePunct w:val="0"/>
        <w:bidi w:val="0"/>
        <w:snapToGrid w:val="0"/>
        <w:spacing w:line="500" w:lineRule="exact"/>
        <w:ind w:firstLine="440" w:firstLineChars="200"/>
        <w:rPr>
          <w:rFonts w:hAnsi="宋体"/>
          <w:color w:val="auto"/>
          <w:sz w:val="22"/>
          <w:szCs w:val="22"/>
          <w:highlight w:val="none"/>
        </w:rPr>
      </w:pPr>
      <w:r>
        <w:rPr>
          <w:rFonts w:hint="eastAsia" w:hAnsi="宋体"/>
          <w:color w:val="auto"/>
          <w:sz w:val="22"/>
          <w:szCs w:val="22"/>
          <w:highlight w:val="none"/>
        </w:rPr>
        <w:t>在发生所供商品的质量、售后服务等问题时，买方有权直接向卖方索赔，签订必要的书面处理合同。协商不能解决的，任何一方有权在买方所在地法院通过诉讼的途径解决。</w:t>
      </w:r>
    </w:p>
    <w:p>
      <w:pPr>
        <w:keepNext w:val="0"/>
        <w:keepLines w:val="0"/>
        <w:pageBreakBefore w:val="0"/>
        <w:kinsoku/>
        <w:wordWrap/>
        <w:topLinePunct w:val="0"/>
        <w:bidi w:val="0"/>
        <w:snapToGrid w:val="0"/>
        <w:spacing w:line="500" w:lineRule="exact"/>
        <w:rPr>
          <w:rFonts w:ascii="宋体" w:hAnsi="宋体"/>
          <w:color w:val="auto"/>
          <w:sz w:val="22"/>
          <w:szCs w:val="22"/>
          <w:highlight w:val="none"/>
        </w:rPr>
      </w:pPr>
      <w:r>
        <w:rPr>
          <w:rFonts w:hint="eastAsia" w:ascii="宋体" w:hAnsi="宋体"/>
          <w:color w:val="auto"/>
          <w:sz w:val="22"/>
          <w:szCs w:val="22"/>
          <w:highlight w:val="none"/>
        </w:rPr>
        <w:t>第十</w:t>
      </w:r>
      <w:r>
        <w:rPr>
          <w:rFonts w:hint="eastAsia" w:ascii="宋体" w:hAnsi="宋体"/>
          <w:color w:val="auto"/>
          <w:sz w:val="22"/>
          <w:szCs w:val="22"/>
          <w:highlight w:val="none"/>
          <w:lang w:val="en-US" w:eastAsia="zh-CN"/>
        </w:rPr>
        <w:t>六</w:t>
      </w:r>
      <w:r>
        <w:rPr>
          <w:rFonts w:hint="eastAsia" w:ascii="宋体" w:hAnsi="宋体"/>
          <w:color w:val="auto"/>
          <w:sz w:val="22"/>
          <w:szCs w:val="22"/>
          <w:highlight w:val="none"/>
        </w:rPr>
        <w:t>条：违约处理</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1、在买方对卖方违约而采取的任何补救措施不受影响的情况下，买方可在下列情况下向卖方发出书面通知书，</w:t>
      </w:r>
      <w:r>
        <w:rPr>
          <w:rFonts w:hint="eastAsia" w:ascii="宋体" w:hAnsi="宋体"/>
          <w:color w:val="auto"/>
          <w:sz w:val="22"/>
          <w:szCs w:val="22"/>
          <w:highlight w:val="none"/>
          <w:lang w:val="en-US" w:eastAsia="zh-CN"/>
        </w:rPr>
        <w:t>有权单方</w:t>
      </w:r>
      <w:r>
        <w:rPr>
          <w:rFonts w:hint="eastAsia" w:ascii="宋体" w:hAnsi="宋体"/>
          <w:color w:val="auto"/>
          <w:sz w:val="22"/>
          <w:szCs w:val="22"/>
          <w:highlight w:val="none"/>
        </w:rPr>
        <w:t>提出</w:t>
      </w:r>
      <w:r>
        <w:rPr>
          <w:rFonts w:hint="eastAsia" w:ascii="宋体" w:hAnsi="宋体"/>
          <w:color w:val="auto"/>
          <w:sz w:val="22"/>
          <w:szCs w:val="22"/>
          <w:highlight w:val="none"/>
          <w:lang w:val="en-US" w:eastAsia="zh-CN"/>
        </w:rPr>
        <w:t>解除</w:t>
      </w:r>
      <w:r>
        <w:rPr>
          <w:rFonts w:hint="eastAsia" w:ascii="宋体" w:hAnsi="宋体"/>
          <w:color w:val="auto"/>
          <w:sz w:val="22"/>
          <w:szCs w:val="22"/>
          <w:highlight w:val="none"/>
        </w:rPr>
        <w:t>部分或全部合同</w:t>
      </w:r>
      <w:r>
        <w:rPr>
          <w:rFonts w:hint="eastAsia" w:ascii="宋体" w:hAnsi="宋体"/>
          <w:color w:val="auto"/>
          <w:sz w:val="22"/>
          <w:szCs w:val="22"/>
          <w:highlight w:val="none"/>
          <w:lang w:eastAsia="zh-CN"/>
        </w:rPr>
        <w:t>，</w:t>
      </w:r>
      <w:r>
        <w:rPr>
          <w:rFonts w:hint="eastAsia" w:ascii="宋体" w:hAnsi="宋体"/>
          <w:color w:val="auto"/>
          <w:sz w:val="22"/>
          <w:szCs w:val="22"/>
          <w:highlight w:val="none"/>
        </w:rPr>
        <w:t>并且</w:t>
      </w:r>
      <w:r>
        <w:rPr>
          <w:rFonts w:hint="eastAsia" w:ascii="宋体" w:hAnsi="宋体"/>
          <w:color w:val="auto"/>
          <w:sz w:val="22"/>
          <w:szCs w:val="22"/>
          <w:highlight w:val="none"/>
          <w:lang w:val="en-US" w:eastAsia="zh-CN"/>
        </w:rPr>
        <w:t>买方</w:t>
      </w:r>
      <w:r>
        <w:rPr>
          <w:rFonts w:hint="eastAsia" w:ascii="宋体" w:hAnsi="宋体"/>
          <w:color w:val="auto"/>
          <w:sz w:val="22"/>
          <w:szCs w:val="22"/>
          <w:highlight w:val="none"/>
        </w:rPr>
        <w:t>可以收取</w:t>
      </w:r>
      <w:r>
        <w:rPr>
          <w:rFonts w:hint="eastAsia" w:ascii="宋体" w:hAnsi="宋体"/>
          <w:color w:val="auto"/>
          <w:sz w:val="22"/>
          <w:szCs w:val="22"/>
          <w:highlight w:val="none"/>
          <w:lang w:val="en-US" w:eastAsia="zh-CN"/>
        </w:rPr>
        <w:t>卖方</w:t>
      </w:r>
      <w:r>
        <w:rPr>
          <w:rFonts w:hint="eastAsia" w:ascii="宋体" w:hAnsi="宋体"/>
          <w:color w:val="auto"/>
          <w:sz w:val="22"/>
          <w:szCs w:val="22"/>
          <w:highlight w:val="none"/>
        </w:rPr>
        <w:t>合同总价20%的违约金</w:t>
      </w:r>
      <w:r>
        <w:rPr>
          <w:rFonts w:hint="eastAsia" w:ascii="宋体" w:hAnsi="宋体"/>
          <w:color w:val="auto"/>
          <w:sz w:val="22"/>
          <w:szCs w:val="22"/>
          <w:highlight w:val="none"/>
          <w:lang w:eastAsia="zh-CN"/>
        </w:rPr>
        <w:t>：</w:t>
      </w:r>
    </w:p>
    <w:p>
      <w:pPr>
        <w:keepNext w:val="0"/>
        <w:keepLines w:val="0"/>
        <w:pageBreakBefore w:val="0"/>
        <w:kinsoku/>
        <w:wordWrap/>
        <w:topLinePunct w:val="0"/>
        <w:bidi w:val="0"/>
        <w:snapToGrid w:val="0"/>
        <w:spacing w:line="500" w:lineRule="exact"/>
        <w:ind w:firstLine="330" w:firstLineChars="150"/>
        <w:rPr>
          <w:rFonts w:ascii="宋体" w:hAnsi="宋体"/>
          <w:color w:val="auto"/>
          <w:sz w:val="22"/>
          <w:szCs w:val="22"/>
          <w:highlight w:val="none"/>
        </w:rPr>
      </w:pPr>
      <w:r>
        <w:rPr>
          <w:rFonts w:hint="eastAsia" w:ascii="宋体" w:hAnsi="宋体"/>
          <w:color w:val="auto"/>
          <w:sz w:val="22"/>
          <w:szCs w:val="22"/>
          <w:highlight w:val="none"/>
        </w:rPr>
        <w:t>（1）卖方提供的产品质量、配置不符合国家规定和承诺的标准；</w:t>
      </w:r>
    </w:p>
    <w:p>
      <w:pPr>
        <w:keepNext w:val="0"/>
        <w:keepLines w:val="0"/>
        <w:pageBreakBefore w:val="0"/>
        <w:kinsoku/>
        <w:wordWrap/>
        <w:topLinePunct w:val="0"/>
        <w:bidi w:val="0"/>
        <w:snapToGrid w:val="0"/>
        <w:spacing w:line="500" w:lineRule="exact"/>
        <w:ind w:firstLine="330" w:firstLineChars="150"/>
        <w:rPr>
          <w:rFonts w:ascii="宋体" w:hAnsi="宋体"/>
          <w:color w:val="auto"/>
          <w:sz w:val="22"/>
          <w:szCs w:val="22"/>
          <w:highlight w:val="none"/>
        </w:rPr>
      </w:pPr>
      <w:r>
        <w:rPr>
          <w:rFonts w:hint="eastAsia" w:ascii="宋体" w:hAnsi="宋体"/>
          <w:color w:val="auto"/>
          <w:sz w:val="22"/>
          <w:szCs w:val="22"/>
          <w:highlight w:val="none"/>
        </w:rPr>
        <w:t>（2）卖方没有按承诺的时间供货、修复或提供其他服务；</w:t>
      </w:r>
    </w:p>
    <w:p>
      <w:pPr>
        <w:keepNext w:val="0"/>
        <w:keepLines w:val="0"/>
        <w:pageBreakBefore w:val="0"/>
        <w:kinsoku/>
        <w:wordWrap/>
        <w:topLinePunct w:val="0"/>
        <w:bidi w:val="0"/>
        <w:snapToGrid w:val="0"/>
        <w:spacing w:line="500" w:lineRule="exact"/>
        <w:ind w:firstLine="330" w:firstLineChars="150"/>
        <w:rPr>
          <w:rFonts w:ascii="宋体" w:hAnsi="宋体"/>
          <w:color w:val="auto"/>
          <w:sz w:val="22"/>
          <w:szCs w:val="22"/>
          <w:highlight w:val="none"/>
        </w:rPr>
      </w:pPr>
      <w:r>
        <w:rPr>
          <w:rFonts w:hint="eastAsia" w:ascii="宋体" w:hAnsi="宋体"/>
          <w:color w:val="auto"/>
          <w:sz w:val="22"/>
          <w:szCs w:val="22"/>
          <w:highlight w:val="none"/>
        </w:rPr>
        <w:t>（3）卖方没有按承诺的价格或优惠率签订合同并供货；</w:t>
      </w:r>
    </w:p>
    <w:p>
      <w:pPr>
        <w:keepNext w:val="0"/>
        <w:keepLines w:val="0"/>
        <w:pageBreakBefore w:val="0"/>
        <w:kinsoku/>
        <w:wordWrap/>
        <w:topLinePunct w:val="0"/>
        <w:bidi w:val="0"/>
        <w:snapToGrid w:val="0"/>
        <w:spacing w:line="500" w:lineRule="exact"/>
        <w:ind w:firstLine="330" w:firstLineChars="15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4</w:t>
      </w:r>
      <w:r>
        <w:rPr>
          <w:rFonts w:hint="eastAsia" w:ascii="宋体" w:hAnsi="宋体"/>
          <w:color w:val="auto"/>
          <w:sz w:val="22"/>
          <w:szCs w:val="22"/>
          <w:highlight w:val="none"/>
        </w:rPr>
        <w:t>）卖方没有按要求配置人员。</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2、如果买方根据上述的规定，</w:t>
      </w:r>
      <w:r>
        <w:rPr>
          <w:rFonts w:hint="eastAsia" w:ascii="宋体" w:hAnsi="宋体"/>
          <w:color w:val="auto"/>
          <w:sz w:val="22"/>
          <w:szCs w:val="22"/>
          <w:highlight w:val="none"/>
          <w:lang w:val="en-US" w:eastAsia="zh-CN"/>
        </w:rPr>
        <w:t>解除</w:t>
      </w:r>
      <w:r>
        <w:rPr>
          <w:rFonts w:hint="eastAsia" w:ascii="宋体" w:hAnsi="宋体"/>
          <w:color w:val="auto"/>
          <w:sz w:val="22"/>
          <w:szCs w:val="22"/>
          <w:highlight w:val="none"/>
        </w:rPr>
        <w:t>全部或部分合同</w:t>
      </w:r>
      <w:r>
        <w:rPr>
          <w:rFonts w:hint="eastAsia" w:ascii="宋体" w:hAnsi="宋体"/>
          <w:color w:val="auto"/>
          <w:sz w:val="22"/>
          <w:szCs w:val="22"/>
          <w:highlight w:val="none"/>
          <w:lang w:eastAsia="zh-CN"/>
        </w:rPr>
        <w:t>的</w:t>
      </w:r>
      <w:r>
        <w:rPr>
          <w:rFonts w:hint="eastAsia" w:ascii="宋体" w:hAnsi="宋体"/>
          <w:color w:val="auto"/>
          <w:sz w:val="22"/>
          <w:szCs w:val="22"/>
          <w:highlight w:val="none"/>
        </w:rPr>
        <w:t>，买方可以依其认为适当的条件和方法购买与未交产品类似的产品，卖方应对购买类似产品所超出的那部分费用负责。但是，卖方应继续执行合同中未终止</w:t>
      </w:r>
      <w:r>
        <w:rPr>
          <w:rFonts w:hint="eastAsia" w:ascii="宋体" w:hAnsi="宋体"/>
          <w:color w:val="auto"/>
          <w:sz w:val="22"/>
          <w:szCs w:val="22"/>
          <w:highlight w:val="none"/>
          <w:lang w:val="en-US" w:eastAsia="zh-CN"/>
        </w:rPr>
        <w:t>解除</w:t>
      </w:r>
      <w:r>
        <w:rPr>
          <w:rFonts w:hint="eastAsia" w:ascii="宋体" w:hAnsi="宋体"/>
          <w:color w:val="auto"/>
          <w:sz w:val="22"/>
          <w:szCs w:val="22"/>
          <w:highlight w:val="none"/>
        </w:rPr>
        <w:t>的部分。</w:t>
      </w:r>
    </w:p>
    <w:p>
      <w:pPr>
        <w:keepNext w:val="0"/>
        <w:keepLines w:val="0"/>
        <w:pageBreakBefore w:val="0"/>
        <w:kinsoku/>
        <w:wordWrap/>
        <w:topLinePunct w:val="0"/>
        <w:bidi w:val="0"/>
        <w:snapToGrid w:val="0"/>
        <w:spacing w:line="500" w:lineRule="exact"/>
        <w:rPr>
          <w:rFonts w:ascii="宋体" w:hAnsi="宋体"/>
          <w:color w:val="auto"/>
          <w:sz w:val="22"/>
          <w:szCs w:val="22"/>
          <w:highlight w:val="none"/>
        </w:rPr>
      </w:pPr>
      <w:r>
        <w:rPr>
          <w:rFonts w:hint="eastAsia" w:ascii="宋体" w:hAnsi="宋体"/>
          <w:color w:val="auto"/>
          <w:sz w:val="22"/>
          <w:szCs w:val="22"/>
          <w:highlight w:val="none"/>
        </w:rPr>
        <w:t>第十</w:t>
      </w:r>
      <w:r>
        <w:rPr>
          <w:rFonts w:hint="eastAsia" w:ascii="宋体" w:hAnsi="宋体"/>
          <w:color w:val="auto"/>
          <w:sz w:val="22"/>
          <w:szCs w:val="22"/>
          <w:highlight w:val="none"/>
          <w:lang w:val="en-US" w:eastAsia="zh-CN"/>
        </w:rPr>
        <w:t>七</w:t>
      </w:r>
      <w:r>
        <w:rPr>
          <w:rFonts w:hint="eastAsia" w:ascii="宋体" w:hAnsi="宋体"/>
          <w:color w:val="auto"/>
          <w:sz w:val="22"/>
          <w:szCs w:val="22"/>
          <w:highlight w:val="none"/>
        </w:rPr>
        <w:t>条：合同转让和分包</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除买方事先书面同意外，卖方不得转让和分包其应履行的合同义务</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否则卖方承担一切不利法律后果</w:t>
      </w:r>
      <w:r>
        <w:rPr>
          <w:rFonts w:hint="eastAsia" w:ascii="宋体" w:hAnsi="宋体"/>
          <w:color w:val="auto"/>
          <w:sz w:val="22"/>
          <w:szCs w:val="22"/>
          <w:highlight w:val="none"/>
        </w:rPr>
        <w:t>。</w:t>
      </w:r>
    </w:p>
    <w:p>
      <w:pPr>
        <w:pStyle w:val="16"/>
        <w:keepNext w:val="0"/>
        <w:keepLines w:val="0"/>
        <w:pageBreakBefore w:val="0"/>
        <w:kinsoku/>
        <w:wordWrap/>
        <w:topLinePunct w:val="0"/>
        <w:bidi w:val="0"/>
        <w:snapToGrid w:val="0"/>
        <w:spacing w:line="500" w:lineRule="exact"/>
        <w:rPr>
          <w:rFonts w:hAnsi="宋体"/>
          <w:color w:val="auto"/>
          <w:sz w:val="22"/>
          <w:szCs w:val="22"/>
          <w:highlight w:val="none"/>
        </w:rPr>
      </w:pPr>
      <w:r>
        <w:rPr>
          <w:rFonts w:hint="eastAsia" w:hAnsi="宋体"/>
          <w:color w:val="auto"/>
          <w:sz w:val="22"/>
          <w:szCs w:val="22"/>
          <w:highlight w:val="none"/>
        </w:rPr>
        <w:t>第十</w:t>
      </w:r>
      <w:r>
        <w:rPr>
          <w:rFonts w:hint="eastAsia" w:hAnsi="宋体"/>
          <w:color w:val="auto"/>
          <w:sz w:val="22"/>
          <w:szCs w:val="22"/>
          <w:highlight w:val="none"/>
          <w:lang w:val="en-US" w:eastAsia="zh-CN"/>
        </w:rPr>
        <w:t>八</w:t>
      </w:r>
      <w:r>
        <w:rPr>
          <w:rFonts w:hint="eastAsia" w:hAnsi="宋体"/>
          <w:color w:val="auto"/>
          <w:sz w:val="22"/>
          <w:szCs w:val="22"/>
          <w:highlight w:val="none"/>
        </w:rPr>
        <w:t>条：合同附件</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下列文件与本合同具有同等法律效力：</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1、买方的磋商文件与采购补充文件；</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2、卖方响应文件；</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3、询标纪要和承诺书；</w:t>
      </w:r>
    </w:p>
    <w:p>
      <w:pPr>
        <w:keepNext w:val="0"/>
        <w:keepLines w:val="0"/>
        <w:pageBreakBefore w:val="0"/>
        <w:kinsoku/>
        <w:wordWrap/>
        <w:topLinePunct w:val="0"/>
        <w:bidi w:val="0"/>
        <w:snapToGrid w:val="0"/>
        <w:spacing w:line="5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4、中标（成交）通知书。</w:t>
      </w:r>
    </w:p>
    <w:p>
      <w:pPr>
        <w:keepNext w:val="0"/>
        <w:keepLines w:val="0"/>
        <w:pageBreakBefore w:val="0"/>
        <w:kinsoku/>
        <w:wordWrap/>
        <w:topLinePunct w:val="0"/>
        <w:bidi w:val="0"/>
        <w:snapToGrid w:val="0"/>
        <w:spacing w:line="500" w:lineRule="exact"/>
        <w:rPr>
          <w:rFonts w:ascii="宋体" w:hAnsi="宋体"/>
          <w:color w:val="auto"/>
          <w:sz w:val="22"/>
          <w:szCs w:val="22"/>
          <w:highlight w:val="none"/>
        </w:rPr>
      </w:pPr>
      <w:r>
        <w:rPr>
          <w:rFonts w:hint="eastAsia" w:ascii="宋体" w:hAnsi="宋体"/>
          <w:color w:val="auto"/>
          <w:sz w:val="22"/>
          <w:szCs w:val="22"/>
          <w:highlight w:val="none"/>
        </w:rPr>
        <w:t>第十</w:t>
      </w:r>
      <w:r>
        <w:rPr>
          <w:rFonts w:hint="eastAsia" w:ascii="宋体" w:hAnsi="宋体"/>
          <w:color w:val="auto"/>
          <w:sz w:val="22"/>
          <w:szCs w:val="22"/>
          <w:highlight w:val="none"/>
          <w:lang w:val="en-US" w:eastAsia="zh-CN"/>
        </w:rPr>
        <w:t>九</w:t>
      </w:r>
      <w:r>
        <w:rPr>
          <w:rFonts w:hint="eastAsia" w:ascii="宋体" w:hAnsi="宋体"/>
          <w:color w:val="auto"/>
          <w:sz w:val="22"/>
          <w:szCs w:val="22"/>
          <w:highlight w:val="none"/>
        </w:rPr>
        <w:t>条：合同生效</w:t>
      </w:r>
    </w:p>
    <w:p>
      <w:pPr>
        <w:pStyle w:val="16"/>
        <w:keepNext w:val="0"/>
        <w:keepLines w:val="0"/>
        <w:pageBreakBefore w:val="0"/>
        <w:kinsoku/>
        <w:wordWrap/>
        <w:topLinePunct w:val="0"/>
        <w:bidi w:val="0"/>
        <w:snapToGrid w:val="0"/>
        <w:spacing w:line="500" w:lineRule="exact"/>
        <w:ind w:firstLine="480"/>
        <w:rPr>
          <w:rFonts w:hAnsi="宋体"/>
          <w:color w:val="auto"/>
          <w:sz w:val="22"/>
          <w:szCs w:val="22"/>
          <w:highlight w:val="none"/>
        </w:rPr>
      </w:pPr>
      <w:r>
        <w:rPr>
          <w:rFonts w:hint="eastAsia" w:hAnsi="宋体"/>
          <w:color w:val="auto"/>
          <w:sz w:val="22"/>
          <w:szCs w:val="22"/>
          <w:highlight w:val="none"/>
        </w:rPr>
        <w:t>1、如上述文件与本合同有不符之处，以有利于买方的为准。</w:t>
      </w:r>
    </w:p>
    <w:p>
      <w:pPr>
        <w:pStyle w:val="16"/>
        <w:keepNext w:val="0"/>
        <w:keepLines w:val="0"/>
        <w:pageBreakBefore w:val="0"/>
        <w:kinsoku/>
        <w:wordWrap/>
        <w:topLinePunct w:val="0"/>
        <w:bidi w:val="0"/>
        <w:snapToGrid w:val="0"/>
        <w:spacing w:line="500" w:lineRule="exact"/>
        <w:ind w:firstLine="480"/>
        <w:rPr>
          <w:rFonts w:hint="eastAsia" w:hAnsi="宋体"/>
          <w:color w:val="auto"/>
          <w:sz w:val="22"/>
          <w:szCs w:val="22"/>
          <w:highlight w:val="none"/>
        </w:rPr>
      </w:pPr>
      <w:r>
        <w:rPr>
          <w:rFonts w:hint="eastAsia" w:hAnsi="宋体"/>
          <w:color w:val="auto"/>
          <w:sz w:val="22"/>
          <w:szCs w:val="22"/>
          <w:highlight w:val="none"/>
        </w:rPr>
        <w:t>2、本合同一式五份，合同双方各执</w:t>
      </w:r>
      <w:r>
        <w:rPr>
          <w:rFonts w:hint="eastAsia" w:hAnsi="宋体"/>
          <w:color w:val="auto"/>
          <w:sz w:val="22"/>
          <w:szCs w:val="22"/>
          <w:highlight w:val="none"/>
          <w:lang w:val="en-US" w:eastAsia="zh-CN"/>
        </w:rPr>
        <w:t>贰</w:t>
      </w:r>
      <w:r>
        <w:rPr>
          <w:rFonts w:hint="eastAsia" w:hAnsi="宋体"/>
          <w:color w:val="auto"/>
          <w:sz w:val="22"/>
          <w:szCs w:val="22"/>
          <w:highlight w:val="none"/>
        </w:rPr>
        <w:t>份，采购代理机构</w:t>
      </w:r>
      <w:r>
        <w:rPr>
          <w:rFonts w:hint="eastAsia" w:hAnsi="宋体"/>
          <w:color w:val="auto"/>
          <w:sz w:val="22"/>
          <w:szCs w:val="22"/>
          <w:highlight w:val="none"/>
          <w:lang w:val="en-US" w:eastAsia="zh-CN"/>
        </w:rPr>
        <w:t>执壹</w:t>
      </w:r>
      <w:r>
        <w:rPr>
          <w:rFonts w:hint="eastAsia" w:hAnsi="宋体"/>
          <w:color w:val="auto"/>
          <w:sz w:val="22"/>
          <w:szCs w:val="22"/>
          <w:highlight w:val="none"/>
        </w:rPr>
        <w:t>份，</w:t>
      </w:r>
      <w:r>
        <w:rPr>
          <w:rFonts w:hint="eastAsia" w:hAnsi="宋体"/>
          <w:color w:val="auto"/>
          <w:sz w:val="22"/>
          <w:szCs w:val="22"/>
          <w:highlight w:val="none"/>
          <w:lang w:val="en-US" w:eastAsia="zh-CN"/>
        </w:rPr>
        <w:t>各份具有同等法律效力。</w:t>
      </w:r>
    </w:p>
    <w:p>
      <w:pPr>
        <w:pStyle w:val="16"/>
        <w:keepNext w:val="0"/>
        <w:keepLines w:val="0"/>
        <w:pageBreakBefore w:val="0"/>
        <w:kinsoku/>
        <w:wordWrap/>
        <w:topLinePunct w:val="0"/>
        <w:bidi w:val="0"/>
        <w:snapToGrid w:val="0"/>
        <w:spacing w:line="500" w:lineRule="exact"/>
        <w:ind w:firstLine="480"/>
        <w:rPr>
          <w:rFonts w:hint="eastAsia" w:hAnsi="宋体"/>
          <w:color w:val="auto"/>
          <w:sz w:val="22"/>
          <w:szCs w:val="22"/>
          <w:highlight w:val="none"/>
        </w:rPr>
      </w:pPr>
      <w:r>
        <w:rPr>
          <w:rFonts w:hint="eastAsia" w:hAnsi="宋体"/>
          <w:color w:val="auto"/>
          <w:sz w:val="22"/>
          <w:szCs w:val="22"/>
          <w:highlight w:val="none"/>
          <w:lang w:val="en-US" w:eastAsia="zh-CN"/>
        </w:rPr>
        <w:t>3、本合同自</w:t>
      </w:r>
      <w:r>
        <w:rPr>
          <w:rFonts w:hint="eastAsia" w:hAnsi="宋体"/>
          <w:color w:val="auto"/>
          <w:sz w:val="22"/>
          <w:szCs w:val="22"/>
          <w:highlight w:val="none"/>
        </w:rPr>
        <w:t>双方单位负责人或授权代表</w:t>
      </w:r>
      <w:r>
        <w:rPr>
          <w:rFonts w:hint="eastAsia" w:hAnsi="宋体"/>
          <w:color w:val="auto"/>
          <w:sz w:val="22"/>
          <w:szCs w:val="22"/>
          <w:highlight w:val="none"/>
          <w:lang w:val="en-US" w:eastAsia="zh-CN"/>
        </w:rPr>
        <w:t>签字盖章之日起</w:t>
      </w:r>
      <w:r>
        <w:rPr>
          <w:rFonts w:hint="eastAsia" w:hAnsi="宋体"/>
          <w:color w:val="auto"/>
          <w:sz w:val="22"/>
          <w:szCs w:val="22"/>
          <w:highlight w:val="none"/>
        </w:rPr>
        <w:t>生效。</w:t>
      </w:r>
    </w:p>
    <w:p>
      <w:pPr>
        <w:pStyle w:val="16"/>
        <w:keepNext w:val="0"/>
        <w:keepLines w:val="0"/>
        <w:pageBreakBefore w:val="0"/>
        <w:kinsoku/>
        <w:wordWrap/>
        <w:topLinePunct w:val="0"/>
        <w:bidi w:val="0"/>
        <w:snapToGrid w:val="0"/>
        <w:spacing w:line="500" w:lineRule="exact"/>
        <w:rPr>
          <w:rFonts w:hint="eastAsia" w:hAnsi="宋体"/>
          <w:color w:val="auto"/>
          <w:sz w:val="22"/>
          <w:szCs w:val="22"/>
          <w:highlight w:val="none"/>
        </w:rPr>
      </w:pPr>
      <w:r>
        <w:rPr>
          <w:rFonts w:hint="eastAsia" w:hAnsi="宋体"/>
          <w:color w:val="auto"/>
          <w:sz w:val="22"/>
          <w:szCs w:val="22"/>
          <w:highlight w:val="none"/>
        </w:rPr>
        <w:t>第</w:t>
      </w:r>
      <w:r>
        <w:rPr>
          <w:rFonts w:hint="eastAsia" w:hAnsi="宋体"/>
          <w:color w:val="auto"/>
          <w:sz w:val="22"/>
          <w:szCs w:val="22"/>
          <w:highlight w:val="none"/>
          <w:lang w:val="en-US" w:eastAsia="zh-CN"/>
        </w:rPr>
        <w:t>二</w:t>
      </w:r>
      <w:r>
        <w:rPr>
          <w:rFonts w:hint="eastAsia" w:hAnsi="宋体"/>
          <w:color w:val="auto"/>
          <w:sz w:val="22"/>
          <w:szCs w:val="22"/>
          <w:highlight w:val="none"/>
        </w:rPr>
        <w:t>十条：合同修改</w:t>
      </w:r>
    </w:p>
    <w:p>
      <w:pPr>
        <w:pStyle w:val="16"/>
        <w:keepNext w:val="0"/>
        <w:keepLines w:val="0"/>
        <w:pageBreakBefore w:val="0"/>
        <w:kinsoku/>
        <w:wordWrap/>
        <w:topLinePunct w:val="0"/>
        <w:bidi w:val="0"/>
        <w:snapToGrid w:val="0"/>
        <w:spacing w:line="500" w:lineRule="exact"/>
        <w:ind w:firstLine="480"/>
        <w:rPr>
          <w:rFonts w:hint="eastAsia" w:hAnsi="宋体"/>
          <w:color w:val="auto"/>
          <w:sz w:val="22"/>
          <w:szCs w:val="22"/>
          <w:highlight w:val="none"/>
        </w:rPr>
      </w:pPr>
      <w:r>
        <w:rPr>
          <w:rFonts w:hint="eastAsia" w:hAnsi="宋体"/>
          <w:color w:val="auto"/>
          <w:sz w:val="22"/>
          <w:szCs w:val="22"/>
          <w:highlight w:val="none"/>
        </w:rPr>
        <w:t>除了双方签署书面</w:t>
      </w:r>
      <w:r>
        <w:rPr>
          <w:rFonts w:hint="eastAsia" w:hAnsi="宋体"/>
          <w:color w:val="auto"/>
          <w:sz w:val="22"/>
          <w:szCs w:val="22"/>
          <w:highlight w:val="none"/>
          <w:lang w:val="en-US" w:eastAsia="zh-CN"/>
        </w:rPr>
        <w:t>补充、变更</w:t>
      </w:r>
      <w:r>
        <w:rPr>
          <w:rFonts w:hint="eastAsia" w:hAnsi="宋体"/>
          <w:color w:val="auto"/>
          <w:sz w:val="22"/>
          <w:szCs w:val="22"/>
          <w:highlight w:val="none"/>
        </w:rPr>
        <w:t>合同，并成为本合同不可分割的一部分之外，本合同</w:t>
      </w:r>
      <w:r>
        <w:rPr>
          <w:rFonts w:hint="eastAsia" w:hAnsi="宋体"/>
          <w:color w:val="auto"/>
          <w:sz w:val="22"/>
          <w:szCs w:val="22"/>
          <w:highlight w:val="none"/>
          <w:lang w:val="en-US" w:eastAsia="zh-CN"/>
        </w:rPr>
        <w:t>内容</w:t>
      </w:r>
      <w:r>
        <w:rPr>
          <w:rFonts w:hint="eastAsia" w:hAnsi="宋体"/>
          <w:color w:val="auto"/>
          <w:sz w:val="22"/>
          <w:szCs w:val="22"/>
          <w:highlight w:val="none"/>
        </w:rPr>
        <w:t>不得有任何变化或修改。</w:t>
      </w:r>
    </w:p>
    <w:p>
      <w:pPr>
        <w:pStyle w:val="3"/>
        <w:keepNext w:val="0"/>
        <w:keepLines w:val="0"/>
        <w:pageBreakBefore w:val="0"/>
        <w:kinsoku/>
        <w:wordWrap/>
        <w:topLinePunct w:val="0"/>
        <w:bidi w:val="0"/>
        <w:spacing w:after="0" w:line="500" w:lineRule="exact"/>
        <w:rPr>
          <w:rFonts w:hint="eastAsia" w:ascii="宋体" w:hAnsi="宋体"/>
          <w:color w:val="auto"/>
          <w:sz w:val="22"/>
          <w:szCs w:val="22"/>
          <w:highlight w:val="none"/>
          <w:lang w:eastAsia="zh-CN"/>
        </w:rPr>
      </w:pPr>
    </w:p>
    <w:p>
      <w:pPr>
        <w:keepNext w:val="0"/>
        <w:keepLines w:val="0"/>
        <w:pageBreakBefore w:val="0"/>
        <w:kinsoku/>
        <w:wordWrap/>
        <w:topLinePunct w:val="0"/>
        <w:bidi w:val="0"/>
        <w:spacing w:line="500" w:lineRule="exact"/>
        <w:rPr>
          <w:rFonts w:ascii="宋体" w:hAnsi="宋体"/>
          <w:color w:val="auto"/>
          <w:highlight w:val="none"/>
        </w:rPr>
      </w:pPr>
    </w:p>
    <w:p>
      <w:pPr>
        <w:keepNext w:val="0"/>
        <w:keepLines w:val="0"/>
        <w:pageBreakBefore w:val="0"/>
        <w:kinsoku/>
        <w:wordWrap/>
        <w:topLinePunct w:val="0"/>
        <w:bidi w:val="0"/>
        <w:snapToGrid w:val="0"/>
        <w:spacing w:line="500" w:lineRule="exact"/>
        <w:ind w:firstLine="431" w:firstLineChars="196"/>
        <w:rPr>
          <w:rFonts w:ascii="宋体" w:hAnsi="宋体"/>
          <w:color w:val="auto"/>
          <w:sz w:val="22"/>
          <w:szCs w:val="22"/>
          <w:highlight w:val="none"/>
        </w:rPr>
      </w:pPr>
      <w:r>
        <w:rPr>
          <w:rFonts w:hint="eastAsia" w:ascii="宋体" w:hAnsi="宋体"/>
          <w:color w:val="auto"/>
          <w:sz w:val="22"/>
          <w:szCs w:val="22"/>
          <w:highlight w:val="none"/>
        </w:rPr>
        <w:t xml:space="preserve">买方(盖章)：                                 </w:t>
      </w:r>
      <w:r>
        <w:rPr>
          <w:rFonts w:ascii="宋体" w:hAnsi="宋体"/>
          <w:color w:val="auto"/>
          <w:sz w:val="22"/>
          <w:szCs w:val="22"/>
          <w:highlight w:val="none"/>
        </w:rPr>
        <w:t xml:space="preserve">  </w:t>
      </w:r>
      <w:r>
        <w:rPr>
          <w:rFonts w:hint="eastAsia" w:ascii="宋体" w:hAnsi="宋体"/>
          <w:color w:val="auto"/>
          <w:sz w:val="22"/>
          <w:szCs w:val="22"/>
          <w:highlight w:val="none"/>
        </w:rPr>
        <w:t xml:space="preserve"> 卖方（盖章）</w:t>
      </w:r>
    </w:p>
    <w:p>
      <w:pPr>
        <w:keepNext w:val="0"/>
        <w:keepLines w:val="0"/>
        <w:pageBreakBefore w:val="0"/>
        <w:kinsoku/>
        <w:wordWrap/>
        <w:topLinePunct w:val="0"/>
        <w:bidi w:val="0"/>
        <w:snapToGrid w:val="0"/>
        <w:spacing w:line="500" w:lineRule="exact"/>
        <w:ind w:firstLine="431" w:firstLineChars="196"/>
        <w:rPr>
          <w:rFonts w:ascii="宋体" w:hAnsi="宋体"/>
          <w:color w:val="auto"/>
          <w:sz w:val="22"/>
          <w:szCs w:val="22"/>
          <w:highlight w:val="none"/>
        </w:rPr>
      </w:pPr>
      <w:r>
        <w:rPr>
          <w:rFonts w:hint="eastAsia" w:ascii="宋体" w:hAnsi="宋体"/>
          <w:color w:val="auto"/>
          <w:sz w:val="22"/>
          <w:szCs w:val="22"/>
          <w:highlight w:val="none"/>
        </w:rPr>
        <w:t>单位负责人（或授权代表）：                      单位负责人（或授权代表）：</w:t>
      </w:r>
    </w:p>
    <w:p>
      <w:pPr>
        <w:keepNext w:val="0"/>
        <w:keepLines w:val="0"/>
        <w:pageBreakBefore w:val="0"/>
        <w:kinsoku/>
        <w:wordWrap/>
        <w:topLinePunct w:val="0"/>
        <w:bidi w:val="0"/>
        <w:snapToGrid w:val="0"/>
        <w:spacing w:line="500" w:lineRule="exact"/>
        <w:ind w:firstLine="431" w:firstLineChars="196"/>
        <w:rPr>
          <w:rFonts w:ascii="宋体" w:hAnsi="宋体"/>
          <w:color w:val="auto"/>
          <w:sz w:val="22"/>
          <w:szCs w:val="22"/>
          <w:highlight w:val="none"/>
        </w:rPr>
      </w:pPr>
      <w:r>
        <w:rPr>
          <w:rFonts w:hint="eastAsia" w:ascii="宋体" w:hAnsi="宋体"/>
          <w:color w:val="auto"/>
          <w:sz w:val="22"/>
          <w:szCs w:val="22"/>
          <w:highlight w:val="none"/>
        </w:rPr>
        <w:t>开户银行：                                      开户银行：</w:t>
      </w:r>
    </w:p>
    <w:p>
      <w:pPr>
        <w:keepNext w:val="0"/>
        <w:keepLines w:val="0"/>
        <w:pageBreakBefore w:val="0"/>
        <w:kinsoku/>
        <w:wordWrap/>
        <w:topLinePunct w:val="0"/>
        <w:bidi w:val="0"/>
        <w:snapToGrid w:val="0"/>
        <w:spacing w:line="500" w:lineRule="exact"/>
        <w:ind w:firstLine="431" w:firstLineChars="196"/>
        <w:rPr>
          <w:rFonts w:ascii="宋体" w:hAnsi="宋体"/>
          <w:color w:val="auto"/>
          <w:sz w:val="22"/>
          <w:szCs w:val="22"/>
          <w:highlight w:val="none"/>
        </w:rPr>
      </w:pPr>
      <w:r>
        <w:rPr>
          <w:rFonts w:hint="eastAsia" w:ascii="宋体" w:hAnsi="宋体"/>
          <w:color w:val="auto"/>
          <w:sz w:val="22"/>
          <w:szCs w:val="22"/>
          <w:highlight w:val="none"/>
        </w:rPr>
        <w:t>开户名称：                                      开户名称：</w:t>
      </w:r>
    </w:p>
    <w:p>
      <w:pPr>
        <w:keepNext w:val="0"/>
        <w:keepLines w:val="0"/>
        <w:pageBreakBefore w:val="0"/>
        <w:kinsoku/>
        <w:wordWrap/>
        <w:topLinePunct w:val="0"/>
        <w:bidi w:val="0"/>
        <w:snapToGrid w:val="0"/>
        <w:spacing w:line="500" w:lineRule="exact"/>
        <w:ind w:firstLine="431" w:firstLineChars="196"/>
        <w:rPr>
          <w:rFonts w:ascii="宋体" w:hAnsi="宋体"/>
          <w:color w:val="auto"/>
          <w:sz w:val="22"/>
          <w:szCs w:val="22"/>
          <w:highlight w:val="none"/>
        </w:rPr>
      </w:pPr>
      <w:r>
        <w:rPr>
          <w:rFonts w:hint="eastAsia" w:ascii="宋体" w:hAnsi="宋体"/>
          <w:color w:val="auto"/>
          <w:sz w:val="22"/>
          <w:szCs w:val="22"/>
          <w:highlight w:val="none"/>
        </w:rPr>
        <w:t>账号：                                          账号：</w:t>
      </w:r>
    </w:p>
    <w:p>
      <w:pPr>
        <w:keepNext w:val="0"/>
        <w:keepLines w:val="0"/>
        <w:pageBreakBefore w:val="0"/>
        <w:kinsoku/>
        <w:wordWrap/>
        <w:topLinePunct w:val="0"/>
        <w:bidi w:val="0"/>
        <w:snapToGrid w:val="0"/>
        <w:spacing w:line="500" w:lineRule="exact"/>
        <w:ind w:firstLine="435" w:firstLineChars="198"/>
        <w:rPr>
          <w:rFonts w:ascii="宋体" w:hAnsi="宋体"/>
          <w:color w:val="auto"/>
          <w:sz w:val="22"/>
          <w:szCs w:val="22"/>
          <w:highlight w:val="none"/>
        </w:rPr>
      </w:pPr>
      <w:r>
        <w:rPr>
          <w:rFonts w:hint="eastAsia" w:ascii="宋体" w:hAnsi="宋体"/>
          <w:color w:val="auto"/>
          <w:sz w:val="22"/>
          <w:szCs w:val="22"/>
          <w:highlight w:val="none"/>
        </w:rPr>
        <w:t>签约日期：                                      签约日期：</w:t>
      </w:r>
    </w:p>
    <w:p>
      <w:pPr>
        <w:pStyle w:val="5"/>
        <w:keepLines w:val="0"/>
        <w:pageBreakBefore w:val="0"/>
        <w:kinsoku/>
        <w:wordWrap/>
        <w:topLinePunct w:val="0"/>
        <w:bidi w:val="0"/>
        <w:spacing w:line="500" w:lineRule="exact"/>
        <w:rPr>
          <w:rFonts w:ascii="宋体" w:hAnsi="宋体" w:eastAsia="宋体"/>
          <w:color w:val="auto"/>
          <w:sz w:val="36"/>
          <w:szCs w:val="36"/>
          <w:highlight w:val="none"/>
        </w:rPr>
      </w:pPr>
      <w:r>
        <w:rPr>
          <w:rFonts w:hint="eastAsia" w:ascii="宋体" w:hAnsi="宋体" w:eastAsia="宋体"/>
          <w:b w:val="0"/>
          <w:color w:val="auto"/>
          <w:sz w:val="32"/>
          <w:highlight w:val="none"/>
        </w:rPr>
        <w:br w:type="page"/>
      </w:r>
      <w:bookmarkEnd w:id="183"/>
      <w:bookmarkEnd w:id="184"/>
      <w:bookmarkEnd w:id="185"/>
      <w:bookmarkEnd w:id="186"/>
      <w:bookmarkEnd w:id="187"/>
      <w:bookmarkEnd w:id="188"/>
      <w:bookmarkEnd w:id="189"/>
      <w:bookmarkEnd w:id="190"/>
      <w:bookmarkEnd w:id="191"/>
      <w:bookmarkEnd w:id="192"/>
      <w:bookmarkEnd w:id="193"/>
      <w:bookmarkEnd w:id="194"/>
      <w:bookmarkEnd w:id="195"/>
      <w:bookmarkStart w:id="197" w:name="_Toc109"/>
      <w:bookmarkStart w:id="198" w:name="_Toc28515"/>
      <w:r>
        <w:rPr>
          <w:rFonts w:ascii="宋体" w:hAnsi="宋体" w:eastAsia="宋体"/>
          <w:color w:val="auto"/>
          <w:sz w:val="36"/>
          <w:szCs w:val="36"/>
          <w:highlight w:val="none"/>
        </w:rPr>
        <w:t>第三部分 应提交的有关格式范例</w:t>
      </w:r>
      <w:bookmarkEnd w:id="197"/>
      <w:bookmarkEnd w:id="198"/>
    </w:p>
    <w:p>
      <w:pPr>
        <w:rPr>
          <w:rFonts w:ascii="宋体" w:hAnsi="宋体"/>
          <w:color w:val="auto"/>
          <w:highlight w:val="none"/>
        </w:rPr>
      </w:pPr>
    </w:p>
    <w:p>
      <w:pPr>
        <w:snapToGrid w:val="0"/>
        <w:spacing w:line="360" w:lineRule="auto"/>
        <w:rPr>
          <w:rFonts w:ascii="宋体" w:hAnsi="宋体" w:cs="宋体"/>
          <w:b/>
          <w:color w:val="auto"/>
          <w:sz w:val="24"/>
          <w:highlight w:val="none"/>
        </w:rPr>
      </w:pP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b/>
          <w:color w:val="auto"/>
          <w:sz w:val="24"/>
          <w:highlight w:val="none"/>
        </w:rPr>
      </w:pPr>
      <w:r>
        <w:rPr>
          <w:rFonts w:hint="eastAsia" w:ascii="宋体" w:hAnsi="宋体" w:cs="宋体"/>
          <w:b/>
          <w:color w:val="auto"/>
          <w:sz w:val="24"/>
          <w:highlight w:val="none"/>
        </w:rPr>
        <w:t>供应商提交响应文件须知：</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1、供应商应按照磋商文件要求提交下述规定的全部格式文件以及其他有关资料，混乱的编排</w:t>
      </w:r>
      <w:bookmarkStart w:id="199" w:name="_Hlk37856135"/>
      <w:r>
        <w:rPr>
          <w:rFonts w:hint="eastAsia" w:ascii="宋体" w:hAnsi="宋体" w:cs="宋体"/>
          <w:color w:val="auto"/>
          <w:sz w:val="24"/>
          <w:highlight w:val="none"/>
        </w:rPr>
        <w:t>或未关联定位</w:t>
      </w:r>
      <w:bookmarkEnd w:id="199"/>
      <w:r>
        <w:rPr>
          <w:rFonts w:hint="eastAsia" w:ascii="宋体" w:hAnsi="宋体" w:cs="宋体"/>
          <w:color w:val="auto"/>
          <w:sz w:val="24"/>
          <w:highlight w:val="none"/>
        </w:rPr>
        <w:t>导致响应文件被误读或磋商小组查找不到有效文件是供应商的风险。</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2、所附表格中要求回答的全部问题和/或信息都必须正面回答。</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3、签字人应保证全部声明和问题的回答是真实的和准确的。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4、磋商小组将应用供应商提交的资料作出自己的判断。</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5、供应商提交的材料将在一定期限内被保密保存，但不退还。</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cs="宋体"/>
          <w:b/>
          <w:color w:val="auto"/>
          <w:sz w:val="24"/>
          <w:highlight w:val="none"/>
        </w:rPr>
      </w:pPr>
      <w:r>
        <w:rPr>
          <w:rFonts w:hint="eastAsia" w:ascii="宋体" w:hAnsi="宋体" w:cs="宋体"/>
          <w:color w:val="auto"/>
          <w:sz w:val="24"/>
          <w:highlight w:val="none"/>
        </w:rPr>
        <w:t>6、全部文件应按供应商须知中规定的语言和份数提交。响应文件组成漏项或未按规定的格式编制，内容不全或内容字迹模糊辨认不清的情况，</w:t>
      </w:r>
      <w:r>
        <w:rPr>
          <w:rFonts w:hint="eastAsia" w:ascii="宋体" w:hAnsi="宋体" w:cs="宋体"/>
          <w:b/>
          <w:color w:val="auto"/>
          <w:sz w:val="24"/>
          <w:highlight w:val="none"/>
        </w:rPr>
        <w:t>将有可能被磋商小组认定为</w:t>
      </w:r>
      <w:r>
        <w:rPr>
          <w:rFonts w:hint="eastAsia" w:ascii="宋体" w:hAnsi="宋体" w:cs="宋体"/>
          <w:b/>
          <w:bCs/>
          <w:color w:val="auto"/>
          <w:sz w:val="24"/>
          <w:highlight w:val="none"/>
        </w:rPr>
        <w:t>响应无效</w:t>
      </w:r>
      <w:r>
        <w:rPr>
          <w:rFonts w:hint="eastAsia" w:ascii="宋体" w:hAnsi="宋体" w:cs="宋体"/>
          <w:b/>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ascii="宋体" w:hAnsi="宋体" w:cs="宋体"/>
          <w:b/>
          <w:color w:val="auto"/>
          <w:sz w:val="24"/>
          <w:highlight w:val="none"/>
          <w:u w:val="single"/>
        </w:rPr>
      </w:pPr>
      <w:r>
        <w:rPr>
          <w:rFonts w:hint="eastAsia" w:ascii="宋体" w:hAnsi="宋体" w:cs="宋体"/>
          <w:b/>
          <w:color w:val="auto"/>
          <w:sz w:val="24"/>
          <w:highlight w:val="none"/>
          <w:u w:val="single"/>
        </w:rPr>
        <w:t>7、要求中涉及提供证明（或材料）提供扫描件制作进响应文件内。</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ascii="宋体" w:hAnsi="宋体" w:cs="宋体"/>
          <w:b/>
          <w:color w:val="auto"/>
          <w:sz w:val="24"/>
          <w:highlight w:val="none"/>
          <w:u w:val="single"/>
        </w:rPr>
      </w:pPr>
      <w:r>
        <w:rPr>
          <w:rFonts w:ascii="宋体" w:hAnsi="宋体" w:cs="宋体"/>
          <w:b/>
          <w:color w:val="auto"/>
          <w:sz w:val="24"/>
          <w:highlight w:val="none"/>
          <w:u w:val="single"/>
        </w:rPr>
        <w:t>8</w:t>
      </w:r>
      <w:r>
        <w:rPr>
          <w:rFonts w:hint="eastAsia" w:ascii="宋体" w:hAnsi="宋体" w:cs="宋体"/>
          <w:b/>
          <w:color w:val="auto"/>
          <w:sz w:val="24"/>
          <w:highlight w:val="none"/>
          <w:u w:val="single"/>
        </w:rPr>
        <w:t>、磋商文件“采购内容及要求”中提供的可能涉及到的工艺、材料、商标、样本、技术规范、参数规格、品牌等，仅作为说明并没有限制性，供应商在投标时可以选用替代，但这些替代的品牌、产品技术标准要优于或相当于项目采购需求中要求的标准，以满足采购人的需要。</w:t>
      </w:r>
    </w:p>
    <w:p>
      <w:pPr>
        <w:rPr>
          <w:rFonts w:ascii="宋体" w:hAnsi="宋体"/>
          <w:color w:val="auto"/>
          <w:highlight w:val="none"/>
        </w:rPr>
      </w:pPr>
    </w:p>
    <w:p>
      <w:pPr>
        <w:rPr>
          <w:rFonts w:ascii="宋体" w:hAnsi="宋体"/>
          <w:color w:val="auto"/>
          <w:highlight w:val="none"/>
        </w:rPr>
      </w:pPr>
    </w:p>
    <w:p>
      <w:pPr>
        <w:outlineLvl w:val="9"/>
        <w:rPr>
          <w:rFonts w:ascii="宋体" w:hAnsi="宋体"/>
          <w:color w:val="auto"/>
          <w:highlight w:val="none"/>
        </w:rPr>
      </w:pPr>
    </w:p>
    <w:p>
      <w:pPr>
        <w:keepNext/>
        <w:widowControl w:val="0"/>
        <w:autoSpaceDE/>
        <w:autoSpaceDN/>
        <w:adjustRightInd/>
        <w:spacing w:before="0" w:line="360" w:lineRule="auto"/>
        <w:jc w:val="center"/>
        <w:outlineLvl w:val="9"/>
        <w:rPr>
          <w:rFonts w:ascii="宋体" w:hAnsi="宋体" w:eastAsia="宋体"/>
          <w:bCs/>
          <w:color w:val="auto"/>
          <w:highlight w:val="none"/>
        </w:rPr>
      </w:pPr>
      <w:bookmarkStart w:id="200" w:name="_Toc33194403"/>
      <w:r>
        <w:rPr>
          <w:rFonts w:ascii="宋体" w:hAnsi="宋体" w:eastAsia="宋体"/>
          <w:bCs/>
          <w:color w:val="auto"/>
          <w:highlight w:val="none"/>
        </w:rPr>
        <w:br w:type="page"/>
      </w:r>
      <w:bookmarkStart w:id="201" w:name="_Toc34761242"/>
    </w:p>
    <w:p>
      <w:pPr>
        <w:rPr>
          <w:color w:val="auto"/>
          <w:highlight w:val="none"/>
        </w:rPr>
      </w:pPr>
    </w:p>
    <w:bookmarkEnd w:id="200"/>
    <w:bookmarkEnd w:id="201"/>
    <w:p>
      <w:pPr>
        <w:pStyle w:val="7"/>
        <w:jc w:val="center"/>
        <w:rPr>
          <w:b/>
          <w:bCs/>
          <w:color w:val="auto"/>
          <w:sz w:val="44"/>
          <w:szCs w:val="26"/>
          <w:highlight w:val="none"/>
        </w:rPr>
      </w:pPr>
      <w:bookmarkStart w:id="202" w:name="_Toc13900"/>
      <w:bookmarkStart w:id="203" w:name="_Toc29422"/>
      <w:bookmarkStart w:id="204" w:name="_Toc34761243"/>
      <w:r>
        <w:rPr>
          <w:rFonts w:hint="eastAsia"/>
          <w:b/>
          <w:bCs/>
          <w:color w:val="auto"/>
          <w:sz w:val="44"/>
          <w:szCs w:val="26"/>
          <w:highlight w:val="none"/>
        </w:rPr>
        <w:t>资格文件</w:t>
      </w:r>
      <w:bookmarkEnd w:id="202"/>
      <w:bookmarkEnd w:id="203"/>
    </w:p>
    <w:p>
      <w:pPr>
        <w:rPr>
          <w:color w:val="auto"/>
          <w:highlight w:val="none"/>
        </w:rPr>
      </w:pPr>
    </w:p>
    <w:p>
      <w:pPr>
        <w:tabs>
          <w:tab w:val="left" w:pos="0"/>
          <w:tab w:val="left" w:pos="600"/>
        </w:tabs>
        <w:spacing w:line="400" w:lineRule="exact"/>
        <w:jc w:val="center"/>
        <w:rPr>
          <w:rFonts w:ascii="宋体" w:hAnsi="宋体"/>
          <w:b/>
          <w:bCs/>
          <w:color w:val="auto"/>
          <w:sz w:val="28"/>
          <w:szCs w:val="28"/>
          <w:highlight w:val="none"/>
        </w:rPr>
      </w:pPr>
      <w:r>
        <w:rPr>
          <w:rFonts w:ascii="宋体" w:hAnsi="宋体"/>
          <w:b/>
          <w:bCs/>
          <w:color w:val="auto"/>
          <w:sz w:val="28"/>
          <w:szCs w:val="28"/>
          <w:highlight w:val="none"/>
        </w:rPr>
        <w:t>一、</w:t>
      </w:r>
      <w:r>
        <w:rPr>
          <w:rFonts w:hint="eastAsia" w:ascii="宋体" w:hAnsi="宋体"/>
          <w:b/>
          <w:bCs/>
          <w:color w:val="auto"/>
          <w:sz w:val="28"/>
          <w:szCs w:val="28"/>
          <w:highlight w:val="none"/>
        </w:rPr>
        <w:t>资格声明书</w:t>
      </w:r>
    </w:p>
    <w:p>
      <w:pPr>
        <w:pStyle w:val="16"/>
        <w:keepNext w:val="0"/>
        <w:keepLines w:val="0"/>
        <w:pageBreakBefore w:val="0"/>
        <w:kinsoku/>
        <w:wordWrap/>
        <w:topLinePunct w:val="0"/>
        <w:bidi w:val="0"/>
        <w:spacing w:line="440" w:lineRule="exact"/>
        <w:rPr>
          <w:rFonts w:hAnsi="宋体" w:cs="Courier New"/>
          <w:color w:val="auto"/>
          <w:sz w:val="22"/>
          <w:szCs w:val="22"/>
          <w:highlight w:val="none"/>
        </w:rPr>
      </w:pPr>
      <w:r>
        <w:rPr>
          <w:rFonts w:hint="eastAsia" w:hAnsi="宋体" w:cs="Courier New"/>
          <w:color w:val="auto"/>
          <w:sz w:val="22"/>
          <w:szCs w:val="22"/>
          <w:highlight w:val="none"/>
        </w:rPr>
        <w:t>温州市华睿生物医药有限公司：</w:t>
      </w:r>
    </w:p>
    <w:p>
      <w:pPr>
        <w:pStyle w:val="16"/>
        <w:keepNext w:val="0"/>
        <w:keepLines w:val="0"/>
        <w:pageBreakBefore w:val="0"/>
        <w:kinsoku/>
        <w:wordWrap/>
        <w:topLinePunct w:val="0"/>
        <w:bidi w:val="0"/>
        <w:spacing w:line="440" w:lineRule="exact"/>
        <w:rPr>
          <w:rFonts w:hAnsi="宋体" w:cs="Courier New"/>
          <w:color w:val="auto"/>
          <w:sz w:val="22"/>
          <w:szCs w:val="22"/>
          <w:highlight w:val="none"/>
        </w:rPr>
      </w:pPr>
      <w:r>
        <w:rPr>
          <w:rFonts w:hint="eastAsia" w:hAnsi="宋体" w:cs="Courier New"/>
          <w:color w:val="auto"/>
          <w:sz w:val="22"/>
          <w:szCs w:val="22"/>
          <w:highlight w:val="none"/>
          <w:lang w:eastAsia="zh-CN"/>
        </w:rPr>
        <w:t>浙江同信工程项目管理有限公司</w:t>
      </w:r>
      <w:r>
        <w:rPr>
          <w:rFonts w:hint="eastAsia" w:hAnsi="宋体" w:cs="Courier New"/>
          <w:color w:val="auto"/>
          <w:sz w:val="22"/>
          <w:szCs w:val="22"/>
          <w:highlight w:val="none"/>
        </w:rPr>
        <w:t>：</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int="eastAsia" w:hAnsi="宋体" w:cs="Courier New"/>
          <w:color w:val="auto"/>
          <w:sz w:val="22"/>
          <w:szCs w:val="22"/>
          <w:highlight w:val="none"/>
        </w:rPr>
        <w:t>我方此次参加本项目采购活动，郑重承诺：</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int="eastAsia" w:hAnsi="宋体" w:cs="Courier New"/>
          <w:color w:val="auto"/>
          <w:sz w:val="22"/>
          <w:szCs w:val="22"/>
          <w:highlight w:val="none"/>
        </w:rPr>
        <w:t>（一）满足《中华人民共和国政府采购法》第二十二条第一款规定的条件：</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int="eastAsia" w:hAnsi="宋体" w:cs="Courier New"/>
          <w:color w:val="auto"/>
          <w:sz w:val="22"/>
          <w:szCs w:val="22"/>
          <w:highlight w:val="none"/>
        </w:rPr>
        <w:t>1、</w:t>
      </w:r>
      <w:r>
        <w:rPr>
          <w:rFonts w:hAnsi="宋体" w:cs="Courier New"/>
          <w:color w:val="auto"/>
          <w:sz w:val="22"/>
          <w:szCs w:val="22"/>
          <w:highlight w:val="none"/>
        </w:rPr>
        <w:t>具有独立承担民事责任的能力；</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int="eastAsia" w:hAnsi="宋体" w:cs="Courier New"/>
          <w:color w:val="auto"/>
          <w:sz w:val="22"/>
          <w:szCs w:val="22"/>
          <w:highlight w:val="none"/>
        </w:rPr>
        <w:t>2、</w:t>
      </w:r>
      <w:r>
        <w:rPr>
          <w:rFonts w:hAnsi="宋体" w:cs="Courier New"/>
          <w:color w:val="auto"/>
          <w:sz w:val="22"/>
          <w:szCs w:val="22"/>
          <w:highlight w:val="none"/>
        </w:rPr>
        <w:t xml:space="preserve">具有良好的商业信誉和健全的财务会计制度； </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int="eastAsia" w:hAnsi="宋体" w:cs="Courier New"/>
          <w:color w:val="auto"/>
          <w:sz w:val="22"/>
          <w:szCs w:val="22"/>
          <w:highlight w:val="none"/>
        </w:rPr>
        <w:t>3、</w:t>
      </w:r>
      <w:r>
        <w:rPr>
          <w:rFonts w:hAnsi="宋体" w:cs="Courier New"/>
          <w:color w:val="auto"/>
          <w:sz w:val="22"/>
          <w:szCs w:val="22"/>
          <w:highlight w:val="none"/>
        </w:rPr>
        <w:t>具有履行合同所必需的设备和专业技术能力；</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int="eastAsia" w:hAnsi="宋体" w:cs="Courier New"/>
          <w:color w:val="auto"/>
          <w:sz w:val="22"/>
          <w:szCs w:val="22"/>
          <w:highlight w:val="none"/>
        </w:rPr>
        <w:t>4、</w:t>
      </w:r>
      <w:r>
        <w:rPr>
          <w:rFonts w:hAnsi="宋体" w:cs="Courier New"/>
          <w:color w:val="auto"/>
          <w:sz w:val="22"/>
          <w:szCs w:val="22"/>
          <w:highlight w:val="none"/>
        </w:rPr>
        <w:t>有依法缴纳税收和社会保障资金的良好记录；</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int="eastAsia" w:hAnsi="宋体" w:cs="Courier New"/>
          <w:color w:val="auto"/>
          <w:sz w:val="22"/>
          <w:szCs w:val="22"/>
          <w:highlight w:val="none"/>
        </w:rPr>
        <w:t>5、</w:t>
      </w:r>
      <w:r>
        <w:rPr>
          <w:rFonts w:hAnsi="宋体" w:cs="Courier New"/>
          <w:color w:val="auto"/>
          <w:sz w:val="22"/>
          <w:szCs w:val="22"/>
          <w:highlight w:val="none"/>
        </w:rPr>
        <w:t>参加政府采购活动前三年内，在经营活动中没有重大违法记录；</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int="eastAsia" w:hAnsi="宋体" w:cs="Courier New"/>
          <w:color w:val="auto"/>
          <w:sz w:val="22"/>
          <w:szCs w:val="22"/>
          <w:highlight w:val="none"/>
        </w:rPr>
        <w:t>6、</w:t>
      </w:r>
      <w:r>
        <w:rPr>
          <w:rFonts w:hAnsi="宋体" w:cs="Courier New"/>
          <w:color w:val="auto"/>
          <w:sz w:val="22"/>
          <w:szCs w:val="22"/>
          <w:highlight w:val="none"/>
        </w:rPr>
        <w:t>具有法律、行政法规规定的其他条件。</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int="eastAsia" w:hAnsi="宋体" w:cs="Courier New"/>
          <w:color w:val="auto"/>
          <w:sz w:val="22"/>
          <w:szCs w:val="22"/>
          <w:highlight w:val="none"/>
        </w:rPr>
        <w:t>（二）未被信用中国（</w:t>
      </w:r>
      <w:r>
        <w:rPr>
          <w:rFonts w:hAnsi="宋体" w:cs="Courier New"/>
          <w:color w:val="auto"/>
          <w:sz w:val="22"/>
          <w:szCs w:val="22"/>
          <w:highlight w:val="none"/>
        </w:rPr>
        <w:t>www.creditchina.gov.cn)、中国政府采购网（www.ccgp.gov.cn）列入失信被执行人、重大税收违法案件当事人名单、政府采购严重违法失信行为记录名单。</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int="eastAsia" w:hAnsi="宋体" w:cs="Courier New"/>
          <w:color w:val="auto"/>
          <w:sz w:val="22"/>
          <w:szCs w:val="22"/>
          <w:highlight w:val="none"/>
        </w:rPr>
        <w:t>（三）不存在以下情况：</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int="eastAsia" w:hAnsi="宋体" w:cs="Courier New"/>
          <w:color w:val="auto"/>
          <w:sz w:val="22"/>
          <w:szCs w:val="22"/>
          <w:highlight w:val="none"/>
        </w:rPr>
        <w:t>1、</w:t>
      </w:r>
      <w:r>
        <w:rPr>
          <w:rFonts w:hAnsi="宋体" w:cs="Courier New"/>
          <w:color w:val="auto"/>
          <w:sz w:val="22"/>
          <w:szCs w:val="22"/>
          <w:highlight w:val="none"/>
        </w:rPr>
        <w:t>单位负责人为同一人或者存在直接控股、管理关系的不同供应商参加同一合同项下的采购活动的；</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int="eastAsia" w:hAnsi="宋体" w:cs="Courier New"/>
          <w:color w:val="auto"/>
          <w:sz w:val="22"/>
          <w:szCs w:val="22"/>
          <w:highlight w:val="none"/>
        </w:rPr>
        <w:t>2、</w:t>
      </w:r>
      <w:r>
        <w:rPr>
          <w:rFonts w:hAnsi="宋体" w:cs="Courier New"/>
          <w:color w:val="auto"/>
          <w:sz w:val="22"/>
          <w:szCs w:val="22"/>
          <w:highlight w:val="none"/>
        </w:rPr>
        <w:t>为采购项目提供整体设计、规范编制或者项目管理、监理、检测等服务后再参加该采购项目的其他采购活动的</w:t>
      </w:r>
      <w:r>
        <w:rPr>
          <w:rFonts w:hint="eastAsia" w:hAnsi="宋体" w:cs="Courier New"/>
          <w:color w:val="auto"/>
          <w:sz w:val="22"/>
          <w:szCs w:val="22"/>
          <w:highlight w:val="none"/>
        </w:rPr>
        <w:t>；</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Ansi="宋体"/>
          <w:bCs/>
          <w:color w:val="auto"/>
          <w:sz w:val="22"/>
          <w:szCs w:val="22"/>
          <w:highlight w:val="none"/>
        </w:rPr>
        <w:t>3</w:t>
      </w:r>
      <w:r>
        <w:rPr>
          <w:rFonts w:hint="eastAsia" w:hAnsi="宋体"/>
          <w:bCs/>
          <w:color w:val="auto"/>
          <w:sz w:val="22"/>
          <w:szCs w:val="22"/>
          <w:highlight w:val="none"/>
        </w:rPr>
        <w:t>、恶意串通、妨碍其他供应商的竞争行为、损害采购人或者其他供应商的合法权益情形的；</w:t>
      </w:r>
    </w:p>
    <w:p>
      <w:pPr>
        <w:pStyle w:val="16"/>
        <w:keepNext w:val="0"/>
        <w:keepLines w:val="0"/>
        <w:pageBreakBefore w:val="0"/>
        <w:kinsoku/>
        <w:wordWrap/>
        <w:topLinePunct w:val="0"/>
        <w:bidi w:val="0"/>
        <w:spacing w:line="440" w:lineRule="exact"/>
        <w:ind w:firstLine="440" w:firstLineChars="200"/>
        <w:rPr>
          <w:rFonts w:hAnsi="宋体" w:cs="Courier New"/>
          <w:color w:val="auto"/>
          <w:sz w:val="22"/>
          <w:szCs w:val="22"/>
          <w:highlight w:val="none"/>
        </w:rPr>
      </w:pPr>
      <w:r>
        <w:rPr>
          <w:rFonts w:hAnsi="宋体" w:cs="Courier New"/>
          <w:color w:val="auto"/>
          <w:sz w:val="22"/>
          <w:szCs w:val="22"/>
          <w:highlight w:val="none"/>
        </w:rPr>
        <w:t>4</w:t>
      </w:r>
      <w:r>
        <w:rPr>
          <w:rFonts w:hint="eastAsia" w:hAnsi="宋体" w:cs="Courier New"/>
          <w:color w:val="auto"/>
          <w:sz w:val="22"/>
          <w:szCs w:val="22"/>
          <w:highlight w:val="none"/>
        </w:rPr>
        <w:t>、磋商文件第一部分供应商须知</w:t>
      </w:r>
      <w:r>
        <w:rPr>
          <w:rFonts w:hAnsi="宋体" w:cs="Courier New"/>
          <w:color w:val="auto"/>
          <w:sz w:val="22"/>
          <w:szCs w:val="22"/>
          <w:highlight w:val="none"/>
        </w:rPr>
        <w:t>27.7</w:t>
      </w:r>
      <w:r>
        <w:rPr>
          <w:rFonts w:hint="eastAsia" w:hAnsi="宋体" w:cs="Courier New"/>
          <w:color w:val="auto"/>
          <w:sz w:val="22"/>
          <w:szCs w:val="22"/>
          <w:highlight w:val="none"/>
        </w:rPr>
        <w:t>款 “供应商串通投标”中任意情形之一。</w:t>
      </w:r>
    </w:p>
    <w:p>
      <w:pPr>
        <w:keepNext w:val="0"/>
        <w:keepLines w:val="0"/>
        <w:pageBreakBefore w:val="0"/>
        <w:kinsoku/>
        <w:wordWrap/>
        <w:topLinePunct w:val="0"/>
        <w:bidi w:val="0"/>
        <w:spacing w:line="44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说明：</w:t>
      </w:r>
    </w:p>
    <w:p>
      <w:pPr>
        <w:keepNext w:val="0"/>
        <w:keepLines w:val="0"/>
        <w:pageBreakBefore w:val="0"/>
        <w:kinsoku/>
        <w:wordWrap/>
        <w:topLinePunct w:val="0"/>
        <w:bidi w:val="0"/>
        <w:spacing w:line="440" w:lineRule="exact"/>
        <w:rPr>
          <w:rFonts w:ascii="宋体" w:hAnsi="宋体" w:cs="Courier New"/>
          <w:b/>
          <w:color w:val="auto"/>
          <w:sz w:val="22"/>
          <w:szCs w:val="22"/>
          <w:highlight w:val="none"/>
        </w:rPr>
      </w:pPr>
      <w:r>
        <w:rPr>
          <w:rFonts w:ascii="宋体" w:hAnsi="宋体" w:cs="Courier New"/>
          <w:b/>
          <w:color w:val="auto"/>
          <w:sz w:val="22"/>
          <w:szCs w:val="22"/>
          <w:highlight w:val="none"/>
        </w:rPr>
        <w:t>1</w:t>
      </w:r>
      <w:r>
        <w:rPr>
          <w:rFonts w:hint="eastAsia" w:ascii="宋体" w:hAnsi="宋体" w:cs="Courier New"/>
          <w:b/>
          <w:color w:val="auto"/>
          <w:sz w:val="22"/>
          <w:szCs w:val="22"/>
          <w:highlight w:val="none"/>
        </w:rPr>
        <w:t>、</w:t>
      </w:r>
      <w:r>
        <w:rPr>
          <w:rFonts w:ascii="宋体" w:hAnsi="宋体" w:cs="Courier New"/>
          <w:b/>
          <w:color w:val="auto"/>
          <w:sz w:val="22"/>
          <w:szCs w:val="22"/>
          <w:highlight w:val="none"/>
        </w:rPr>
        <w:t>重大违法记录指因违法经营受到刑事处罚或者责令停产停业、吊销许可证或者执照、较大数额罚款等行政处罚，不包括因违法经营被禁止在一定期限内参加政府采购活动，但期限已经届满的情形</w:t>
      </w:r>
      <w:r>
        <w:rPr>
          <w:rFonts w:hint="eastAsia" w:ascii="宋体" w:hAnsi="宋体" w:cs="Courier New"/>
          <w:b/>
          <w:color w:val="auto"/>
          <w:sz w:val="22"/>
          <w:szCs w:val="22"/>
          <w:highlight w:val="none"/>
        </w:rPr>
        <w:t>。</w:t>
      </w:r>
    </w:p>
    <w:p>
      <w:pPr>
        <w:keepNext w:val="0"/>
        <w:keepLines w:val="0"/>
        <w:pageBreakBefore w:val="0"/>
        <w:kinsoku/>
        <w:wordWrap/>
        <w:topLinePunct w:val="0"/>
        <w:bidi w:val="0"/>
        <w:spacing w:line="44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2、供应商承诺不实的，依据《政府采购法》第七十七条“提供虚假材料谋取中标、成交的”有关规定予以处理</w:t>
      </w:r>
      <w:r>
        <w:rPr>
          <w:rFonts w:ascii="宋体" w:hAnsi="宋体" w:cs="Courier New"/>
          <w:b/>
          <w:color w:val="auto"/>
          <w:sz w:val="22"/>
          <w:szCs w:val="22"/>
          <w:highlight w:val="none"/>
        </w:rPr>
        <w:t>。</w:t>
      </w:r>
    </w:p>
    <w:p>
      <w:pPr>
        <w:keepNext w:val="0"/>
        <w:keepLines w:val="0"/>
        <w:pageBreakBefore w:val="0"/>
        <w:widowControl w:val="0"/>
        <w:tabs>
          <w:tab w:val="left" w:pos="840"/>
        </w:tabs>
        <w:kinsoku/>
        <w:wordWrap/>
        <w:overflowPunct/>
        <w:topLinePunct w:val="0"/>
        <w:autoSpaceDE/>
        <w:autoSpaceDN/>
        <w:bidi w:val="0"/>
        <w:adjustRightInd w:val="0"/>
        <w:snapToGrid w:val="0"/>
        <w:spacing w:line="500" w:lineRule="exact"/>
        <w:ind w:left="420" w:leftChars="200" w:firstLine="4730" w:firstLineChars="2150"/>
        <w:textAlignment w:val="auto"/>
        <w:rPr>
          <w:rFonts w:ascii="宋体" w:hAnsi="宋体" w:cs="Courier New"/>
          <w:bCs/>
          <w:color w:val="auto"/>
          <w:sz w:val="22"/>
          <w:szCs w:val="22"/>
          <w:highlight w:val="none"/>
        </w:rPr>
      </w:pPr>
      <w:r>
        <w:rPr>
          <w:rFonts w:hint="eastAsia" w:ascii="宋体" w:hAnsi="宋体" w:cs="Courier New"/>
          <w:bCs/>
          <w:color w:val="auto"/>
          <w:sz w:val="22"/>
          <w:szCs w:val="22"/>
          <w:highlight w:val="none"/>
        </w:rPr>
        <w:t>供应商全称（盖章）：</w:t>
      </w:r>
    </w:p>
    <w:p>
      <w:pPr>
        <w:keepNext w:val="0"/>
        <w:keepLines w:val="0"/>
        <w:pageBreakBefore w:val="0"/>
        <w:widowControl w:val="0"/>
        <w:tabs>
          <w:tab w:val="left" w:pos="840"/>
        </w:tabs>
        <w:kinsoku/>
        <w:wordWrap/>
        <w:overflowPunct/>
        <w:topLinePunct w:val="0"/>
        <w:autoSpaceDE/>
        <w:autoSpaceDN/>
        <w:bidi w:val="0"/>
        <w:adjustRightInd w:val="0"/>
        <w:snapToGrid w:val="0"/>
        <w:spacing w:line="500" w:lineRule="exact"/>
        <w:ind w:firstLine="5280" w:firstLineChars="2400"/>
        <w:textAlignment w:val="auto"/>
        <w:rPr>
          <w:rFonts w:ascii="宋体" w:hAnsi="宋体"/>
          <w:color w:val="auto"/>
          <w:sz w:val="22"/>
          <w:szCs w:val="22"/>
          <w:highlight w:val="none"/>
        </w:rPr>
      </w:pPr>
      <w:r>
        <w:rPr>
          <w:rFonts w:hint="eastAsia" w:ascii="宋体" w:hAnsi="宋体"/>
          <w:color w:val="auto"/>
          <w:sz w:val="22"/>
          <w:szCs w:val="22"/>
          <w:highlight w:val="none"/>
        </w:rPr>
        <w:t xml:space="preserve">日    期：  </w:t>
      </w:r>
      <w:r>
        <w:rPr>
          <w:rFonts w:hint="eastAsia" w:ascii="宋体" w:hAnsi="宋体"/>
          <w:color w:val="auto"/>
          <w:sz w:val="22"/>
          <w:szCs w:val="22"/>
          <w:highlight w:val="none"/>
          <w:lang w:val="en-US" w:eastAsia="zh-CN"/>
        </w:rPr>
        <w:t xml:space="preserve">    </w:t>
      </w:r>
      <w:r>
        <w:rPr>
          <w:rFonts w:hint="eastAsia" w:ascii="宋体" w:hAnsi="宋体"/>
          <w:color w:val="auto"/>
          <w:sz w:val="22"/>
          <w:szCs w:val="22"/>
          <w:highlight w:val="none"/>
        </w:rPr>
        <w:t xml:space="preserve">年  </w:t>
      </w:r>
      <w:r>
        <w:rPr>
          <w:rFonts w:hint="eastAsia" w:ascii="宋体" w:hAnsi="宋体"/>
          <w:color w:val="auto"/>
          <w:sz w:val="22"/>
          <w:szCs w:val="22"/>
          <w:highlight w:val="none"/>
          <w:lang w:val="en-US" w:eastAsia="zh-CN"/>
        </w:rPr>
        <w:t xml:space="preserve">   </w:t>
      </w:r>
      <w:r>
        <w:rPr>
          <w:rFonts w:hint="eastAsia" w:ascii="宋体" w:hAnsi="宋体"/>
          <w:color w:val="auto"/>
          <w:sz w:val="22"/>
          <w:szCs w:val="22"/>
          <w:highlight w:val="none"/>
        </w:rPr>
        <w:t xml:space="preserve">月 </w:t>
      </w:r>
      <w:r>
        <w:rPr>
          <w:rFonts w:hint="eastAsia" w:ascii="宋体" w:hAnsi="宋体"/>
          <w:color w:val="auto"/>
          <w:sz w:val="22"/>
          <w:szCs w:val="22"/>
          <w:highlight w:val="none"/>
          <w:lang w:val="en-US" w:eastAsia="zh-CN"/>
        </w:rPr>
        <w:t xml:space="preserve">  </w:t>
      </w:r>
      <w:r>
        <w:rPr>
          <w:rFonts w:hint="eastAsia" w:ascii="宋体" w:hAnsi="宋体"/>
          <w:color w:val="auto"/>
          <w:sz w:val="22"/>
          <w:szCs w:val="22"/>
          <w:highlight w:val="none"/>
        </w:rPr>
        <w:t xml:space="preserve"> 日</w:t>
      </w:r>
    </w:p>
    <w:p>
      <w:pPr>
        <w:shd w:val="clear" w:color="auto" w:fill="FFFFFF"/>
        <w:snapToGrid w:val="0"/>
        <w:spacing w:line="360" w:lineRule="auto"/>
        <w:jc w:val="center"/>
        <w:rPr>
          <w:rFonts w:ascii="宋体" w:hAnsi="宋体" w:cs="宋体"/>
          <w:b/>
          <w:bCs/>
          <w:color w:val="auto"/>
          <w:kern w:val="0"/>
          <w:sz w:val="24"/>
          <w:highlight w:val="none"/>
        </w:rPr>
      </w:pPr>
    </w:p>
    <w:p>
      <w:pPr>
        <w:widowControl/>
        <w:jc w:val="left"/>
        <w:rPr>
          <w:color w:val="auto"/>
          <w:highlight w:val="none"/>
        </w:rPr>
      </w:pPr>
      <w:r>
        <w:rPr>
          <w:color w:val="auto"/>
          <w:highlight w:val="none"/>
        </w:rPr>
        <w:br w:type="page"/>
      </w:r>
    </w:p>
    <w:p>
      <w:pPr>
        <w:pStyle w:val="2"/>
        <w:rPr>
          <w:color w:val="auto"/>
          <w:highlight w:val="none"/>
        </w:rPr>
      </w:pPr>
    </w:p>
    <w:p>
      <w:pPr>
        <w:tabs>
          <w:tab w:val="left" w:pos="0"/>
          <w:tab w:val="left" w:pos="600"/>
        </w:tabs>
        <w:spacing w:line="400" w:lineRule="exact"/>
        <w:jc w:val="center"/>
        <w:rPr>
          <w:rFonts w:ascii="宋体" w:hAnsi="宋体"/>
          <w:b/>
          <w:color w:val="auto"/>
          <w:sz w:val="26"/>
          <w:szCs w:val="28"/>
          <w:highlight w:val="none"/>
        </w:rPr>
      </w:pPr>
      <w:bookmarkStart w:id="205" w:name="_Hlk533617509"/>
      <w:r>
        <w:rPr>
          <w:rFonts w:hint="eastAsia" w:ascii="宋体" w:hAnsi="宋体"/>
          <w:b/>
          <w:color w:val="auto"/>
          <w:sz w:val="28"/>
          <w:szCs w:val="28"/>
          <w:highlight w:val="none"/>
        </w:rPr>
        <w:t>二、供应商有效的</w:t>
      </w:r>
      <w:r>
        <w:rPr>
          <w:rFonts w:ascii="宋体" w:hAnsi="宋体"/>
          <w:b/>
          <w:color w:val="auto"/>
          <w:sz w:val="28"/>
          <w:szCs w:val="28"/>
          <w:highlight w:val="none"/>
        </w:rPr>
        <w:t>营业执照等证明文件</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说明：</w:t>
      </w:r>
    </w:p>
    <w:p>
      <w:pPr>
        <w:spacing w:line="460" w:lineRule="exact"/>
        <w:rPr>
          <w:rFonts w:ascii="宋体" w:hAnsi="宋体" w:cs="Courier New"/>
          <w:b/>
          <w:color w:val="auto"/>
          <w:sz w:val="22"/>
          <w:szCs w:val="22"/>
          <w:highlight w:val="none"/>
        </w:rPr>
      </w:pPr>
      <w:r>
        <w:rPr>
          <w:rFonts w:ascii="宋体" w:hAnsi="宋体" w:cs="Courier New"/>
          <w:b/>
          <w:color w:val="auto"/>
          <w:sz w:val="22"/>
          <w:szCs w:val="22"/>
          <w:highlight w:val="none"/>
        </w:rPr>
        <w:t>1</w:t>
      </w:r>
      <w:r>
        <w:rPr>
          <w:rFonts w:hint="eastAsia" w:ascii="宋体" w:hAnsi="宋体" w:cs="Courier New"/>
          <w:b/>
          <w:color w:val="auto"/>
          <w:sz w:val="22"/>
          <w:szCs w:val="22"/>
          <w:highlight w:val="none"/>
        </w:rPr>
        <w:t>、</w:t>
      </w:r>
      <w:r>
        <w:rPr>
          <w:rFonts w:ascii="宋体" w:hAnsi="宋体" w:cs="Courier New"/>
          <w:b/>
          <w:color w:val="auto"/>
          <w:sz w:val="22"/>
          <w:szCs w:val="22"/>
          <w:highlight w:val="none"/>
        </w:rPr>
        <w:t>供应商为企业的，提供有效的营业执照</w:t>
      </w:r>
      <w:r>
        <w:rPr>
          <w:rFonts w:hint="eastAsia" w:ascii="宋体" w:hAnsi="宋体" w:cs="Courier New"/>
          <w:b/>
          <w:color w:val="auto"/>
          <w:sz w:val="22"/>
          <w:szCs w:val="22"/>
          <w:highlight w:val="none"/>
          <w:lang w:val="en-US" w:eastAsia="zh-CN"/>
        </w:rPr>
        <w:t>扫描件</w:t>
      </w:r>
      <w:r>
        <w:rPr>
          <w:rFonts w:ascii="宋体" w:hAnsi="宋体" w:cs="Courier New"/>
          <w:b/>
          <w:color w:val="auto"/>
          <w:sz w:val="22"/>
          <w:szCs w:val="22"/>
          <w:highlight w:val="none"/>
        </w:rPr>
        <w:t>；供应商为事业单位的，提供有效的事业单位法人证书</w:t>
      </w:r>
      <w:r>
        <w:rPr>
          <w:rFonts w:hint="eastAsia" w:ascii="宋体" w:hAnsi="宋体" w:cs="Courier New"/>
          <w:b/>
          <w:color w:val="auto"/>
          <w:sz w:val="22"/>
          <w:szCs w:val="22"/>
          <w:highlight w:val="none"/>
          <w:lang w:val="en-US" w:eastAsia="zh-CN"/>
        </w:rPr>
        <w:t>扫描件</w:t>
      </w:r>
      <w:r>
        <w:rPr>
          <w:rFonts w:ascii="宋体" w:hAnsi="宋体" w:cs="Courier New"/>
          <w:b/>
          <w:color w:val="auto"/>
          <w:sz w:val="22"/>
          <w:szCs w:val="22"/>
          <w:highlight w:val="none"/>
        </w:rPr>
        <w:t>；供应商为社会团体的，提供有效的社会团体法人登记证书</w:t>
      </w:r>
      <w:r>
        <w:rPr>
          <w:rFonts w:hint="eastAsia" w:ascii="宋体" w:hAnsi="宋体" w:cs="Courier New"/>
          <w:b/>
          <w:color w:val="auto"/>
          <w:sz w:val="22"/>
          <w:szCs w:val="22"/>
          <w:highlight w:val="none"/>
          <w:lang w:val="en-US" w:eastAsia="zh-CN"/>
        </w:rPr>
        <w:t>扫描件</w:t>
      </w:r>
      <w:r>
        <w:rPr>
          <w:rFonts w:ascii="宋体" w:hAnsi="宋体" w:cs="Courier New"/>
          <w:b/>
          <w:color w:val="auto"/>
          <w:sz w:val="22"/>
          <w:szCs w:val="22"/>
          <w:highlight w:val="none"/>
        </w:rPr>
        <w:t>；供应商为合伙企业、个体工商户的，提供有效的营业执照</w:t>
      </w:r>
      <w:r>
        <w:rPr>
          <w:rFonts w:hint="eastAsia" w:ascii="宋体" w:hAnsi="宋体" w:cs="Courier New"/>
          <w:b/>
          <w:color w:val="auto"/>
          <w:sz w:val="22"/>
          <w:szCs w:val="22"/>
          <w:highlight w:val="none"/>
          <w:lang w:val="en-US" w:eastAsia="zh-CN"/>
        </w:rPr>
        <w:t>扫描件</w:t>
      </w:r>
      <w:r>
        <w:rPr>
          <w:rFonts w:ascii="宋体" w:hAnsi="宋体" w:cs="Courier New"/>
          <w:b/>
          <w:color w:val="auto"/>
          <w:sz w:val="22"/>
          <w:szCs w:val="22"/>
          <w:highlight w:val="none"/>
        </w:rPr>
        <w:t>；供应商为非企业专业服务机构的，提供有效的执业许可证等证明材料</w:t>
      </w:r>
      <w:r>
        <w:rPr>
          <w:rFonts w:hint="eastAsia" w:ascii="宋体" w:hAnsi="宋体" w:cs="Courier New"/>
          <w:b/>
          <w:color w:val="auto"/>
          <w:sz w:val="22"/>
          <w:szCs w:val="22"/>
          <w:highlight w:val="none"/>
          <w:lang w:val="en-US" w:eastAsia="zh-CN"/>
        </w:rPr>
        <w:t>扫描件</w:t>
      </w:r>
      <w:r>
        <w:rPr>
          <w:rFonts w:ascii="宋体" w:hAnsi="宋体" w:cs="Courier New"/>
          <w:b/>
          <w:color w:val="auto"/>
          <w:sz w:val="22"/>
          <w:szCs w:val="22"/>
          <w:highlight w:val="none"/>
        </w:rPr>
        <w:t>；其他供应商应按照有关法律、法规和规章规定，提供有效的相应具体证照</w:t>
      </w:r>
      <w:r>
        <w:rPr>
          <w:rFonts w:hint="eastAsia" w:ascii="宋体" w:hAnsi="宋体" w:cs="Courier New"/>
          <w:b/>
          <w:color w:val="auto"/>
          <w:sz w:val="22"/>
          <w:szCs w:val="22"/>
          <w:highlight w:val="none"/>
          <w:lang w:val="en-US" w:eastAsia="zh-CN"/>
        </w:rPr>
        <w:t>扫描件</w:t>
      </w:r>
      <w:r>
        <w:rPr>
          <w:rFonts w:ascii="宋体" w:hAnsi="宋体" w:cs="Courier New"/>
          <w:b/>
          <w:color w:val="auto"/>
          <w:sz w:val="22"/>
          <w:szCs w:val="22"/>
          <w:highlight w:val="none"/>
        </w:rPr>
        <w:t>。</w:t>
      </w:r>
    </w:p>
    <w:p>
      <w:pPr>
        <w:spacing w:line="460" w:lineRule="exact"/>
        <w:rPr>
          <w:rFonts w:ascii="宋体" w:hAnsi="宋体" w:cs="Courier New"/>
          <w:b/>
          <w:color w:val="auto"/>
          <w:sz w:val="22"/>
          <w:szCs w:val="22"/>
          <w:highlight w:val="none"/>
        </w:rPr>
      </w:pPr>
      <w:r>
        <w:rPr>
          <w:rFonts w:ascii="宋体" w:hAnsi="宋体" w:cs="Courier New"/>
          <w:b/>
          <w:color w:val="auto"/>
          <w:sz w:val="22"/>
          <w:szCs w:val="22"/>
          <w:highlight w:val="none"/>
        </w:rPr>
        <w:t>2、供应商提供的相应证明材料</w:t>
      </w:r>
      <w:r>
        <w:rPr>
          <w:rFonts w:hint="eastAsia" w:ascii="宋体" w:hAnsi="宋体" w:cs="Courier New"/>
          <w:b/>
          <w:color w:val="auto"/>
          <w:sz w:val="22"/>
          <w:szCs w:val="22"/>
          <w:highlight w:val="none"/>
          <w:lang w:val="en-US" w:eastAsia="zh-CN"/>
        </w:rPr>
        <w:t>扫描件</w:t>
      </w:r>
      <w:r>
        <w:rPr>
          <w:rFonts w:ascii="宋体" w:hAnsi="宋体" w:cs="Courier New"/>
          <w:b/>
          <w:color w:val="auto"/>
          <w:sz w:val="22"/>
          <w:szCs w:val="22"/>
          <w:highlight w:val="none"/>
        </w:rPr>
        <w:t>均应符合：内容完整、清晰、整洁。</w:t>
      </w:r>
    </w:p>
    <w:p>
      <w:pPr>
        <w:pStyle w:val="216"/>
        <w:ind w:firstLine="419" w:firstLineChars="149"/>
        <w:rPr>
          <w:rFonts w:ascii="宋体" w:hAnsi="宋体"/>
          <w:b/>
          <w:color w:val="auto"/>
          <w:sz w:val="28"/>
          <w:szCs w:val="28"/>
          <w:highlight w:val="none"/>
        </w:rPr>
      </w:pPr>
    </w:p>
    <w:p>
      <w:pPr>
        <w:pStyle w:val="216"/>
        <w:ind w:firstLine="419" w:firstLineChars="149"/>
        <w:rPr>
          <w:rFonts w:ascii="宋体" w:hAnsi="宋体"/>
          <w:b/>
          <w:color w:val="auto"/>
          <w:sz w:val="28"/>
          <w:szCs w:val="28"/>
          <w:highlight w:val="none"/>
        </w:rPr>
      </w:pPr>
    </w:p>
    <w:p>
      <w:pPr>
        <w:pStyle w:val="216"/>
        <w:ind w:firstLine="419" w:firstLineChars="149"/>
        <w:rPr>
          <w:rFonts w:ascii="宋体" w:hAnsi="宋体"/>
          <w:b/>
          <w:color w:val="auto"/>
          <w:sz w:val="28"/>
          <w:szCs w:val="28"/>
          <w:highlight w:val="none"/>
        </w:rPr>
      </w:pPr>
    </w:p>
    <w:p>
      <w:pPr>
        <w:widowControl/>
        <w:jc w:val="center"/>
        <w:rPr>
          <w:rFonts w:ascii="宋体" w:hAnsi="宋体"/>
          <w:b/>
          <w:color w:val="auto"/>
          <w:sz w:val="28"/>
          <w:szCs w:val="28"/>
          <w:highlight w:val="none"/>
        </w:rPr>
      </w:pPr>
      <w:r>
        <w:rPr>
          <w:rFonts w:ascii="宋体" w:hAnsi="宋体"/>
          <w:b/>
          <w:color w:val="auto"/>
          <w:sz w:val="28"/>
          <w:szCs w:val="28"/>
          <w:highlight w:val="none"/>
        </w:rPr>
        <w:br w:type="page"/>
      </w:r>
    </w:p>
    <w:p>
      <w:pPr>
        <w:widowControl/>
        <w:jc w:val="center"/>
        <w:rPr>
          <w:rFonts w:ascii="宋体" w:hAnsi="宋体"/>
          <w:b/>
          <w:color w:val="auto"/>
          <w:sz w:val="28"/>
          <w:szCs w:val="28"/>
          <w:highlight w:val="none"/>
        </w:rPr>
      </w:pPr>
    </w:p>
    <w:p>
      <w:pPr>
        <w:widowControl/>
        <w:jc w:val="center"/>
        <w:rPr>
          <w:rFonts w:ascii="宋体" w:hAnsi="宋体"/>
          <w:b/>
          <w:color w:val="auto"/>
          <w:sz w:val="28"/>
          <w:szCs w:val="28"/>
          <w:highlight w:val="none"/>
        </w:rPr>
      </w:pPr>
      <w:r>
        <w:rPr>
          <w:rFonts w:hint="eastAsia" w:ascii="宋体" w:hAnsi="宋体"/>
          <w:b/>
          <w:color w:val="auto"/>
          <w:sz w:val="28"/>
          <w:szCs w:val="28"/>
          <w:highlight w:val="none"/>
        </w:rPr>
        <w:t>三、财务状况报告（财务报告、或资信证明、或磋商担保函）</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说明：</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1、</w:t>
      </w:r>
      <w:r>
        <w:rPr>
          <w:rFonts w:ascii="宋体" w:hAnsi="宋体" w:cs="Courier New"/>
          <w:b/>
          <w:color w:val="auto"/>
          <w:sz w:val="22"/>
          <w:szCs w:val="22"/>
          <w:highlight w:val="none"/>
        </w:rPr>
        <w:t>供应商提供财务报告的</w:t>
      </w:r>
      <w:r>
        <w:rPr>
          <w:rFonts w:hint="eastAsia" w:ascii="宋体" w:hAnsi="宋体" w:cs="Courier New"/>
          <w:b/>
          <w:color w:val="auto"/>
          <w:sz w:val="22"/>
          <w:szCs w:val="22"/>
          <w:highlight w:val="none"/>
        </w:rPr>
        <w:t>，</w:t>
      </w:r>
      <w:r>
        <w:rPr>
          <w:rFonts w:ascii="宋体" w:hAnsi="宋体" w:cs="Courier New"/>
          <w:b/>
          <w:color w:val="auto"/>
          <w:sz w:val="22"/>
          <w:szCs w:val="22"/>
          <w:highlight w:val="none"/>
        </w:rPr>
        <w:t>应符合下列规定：</w:t>
      </w:r>
    </w:p>
    <w:p>
      <w:pPr>
        <w:spacing w:line="460" w:lineRule="exact"/>
        <w:rPr>
          <w:rFonts w:ascii="宋体" w:hAnsi="宋体" w:cs="Courier New"/>
          <w:b/>
          <w:color w:val="auto"/>
          <w:sz w:val="22"/>
          <w:szCs w:val="22"/>
          <w:highlight w:val="none"/>
        </w:rPr>
      </w:pPr>
      <w:r>
        <w:rPr>
          <w:rFonts w:ascii="宋体" w:hAnsi="宋体" w:cs="Courier New"/>
          <w:b/>
          <w:color w:val="auto"/>
          <w:sz w:val="22"/>
          <w:szCs w:val="22"/>
          <w:highlight w:val="none"/>
        </w:rPr>
        <w:t>1.1提供</w:t>
      </w:r>
      <w:r>
        <w:rPr>
          <w:rFonts w:hint="eastAsia" w:ascii="宋体" w:hAnsi="宋体" w:cs="Courier New"/>
          <w:b/>
          <w:color w:val="auto"/>
          <w:sz w:val="22"/>
          <w:szCs w:val="22"/>
          <w:highlight w:val="none"/>
        </w:rPr>
        <w:t>最近</w:t>
      </w:r>
      <w:r>
        <w:rPr>
          <w:rFonts w:ascii="宋体" w:hAnsi="宋体" w:cs="Courier New"/>
          <w:b/>
          <w:color w:val="auto"/>
          <w:sz w:val="22"/>
          <w:szCs w:val="22"/>
          <w:highlight w:val="none"/>
        </w:rPr>
        <w:t>年度的年度财务报告</w:t>
      </w:r>
      <w:r>
        <w:rPr>
          <w:rFonts w:hint="eastAsia" w:ascii="宋体" w:hAnsi="宋体" w:cs="Courier New"/>
          <w:b/>
          <w:color w:val="auto"/>
          <w:sz w:val="22"/>
          <w:szCs w:val="22"/>
          <w:highlight w:val="none"/>
        </w:rPr>
        <w:t>或</w:t>
      </w:r>
      <w:r>
        <w:rPr>
          <w:rFonts w:ascii="宋体" w:hAnsi="宋体" w:cs="Courier New"/>
          <w:b/>
          <w:color w:val="auto"/>
          <w:sz w:val="22"/>
          <w:szCs w:val="22"/>
          <w:highlight w:val="none"/>
        </w:rPr>
        <w:t>该半年度中任一季度的季度财务报告或该半年度的半年度财务报告。</w:t>
      </w:r>
    </w:p>
    <w:p>
      <w:pPr>
        <w:spacing w:line="460" w:lineRule="exact"/>
        <w:rPr>
          <w:rFonts w:ascii="宋体" w:hAnsi="宋体" w:cs="Courier New"/>
          <w:b/>
          <w:color w:val="auto"/>
          <w:sz w:val="22"/>
          <w:szCs w:val="22"/>
          <w:highlight w:val="none"/>
        </w:rPr>
      </w:pPr>
      <w:r>
        <w:rPr>
          <w:rFonts w:ascii="宋体" w:hAnsi="宋体" w:cs="Courier New"/>
          <w:b/>
          <w:color w:val="auto"/>
          <w:sz w:val="22"/>
          <w:szCs w:val="22"/>
          <w:highlight w:val="none"/>
        </w:rPr>
        <w:t>1.2</w:t>
      </w:r>
      <w:r>
        <w:rPr>
          <w:rFonts w:hint="eastAsia" w:ascii="宋体" w:hAnsi="宋体" w:cs="Courier New"/>
          <w:b/>
          <w:color w:val="auto"/>
          <w:sz w:val="22"/>
          <w:szCs w:val="22"/>
          <w:highlight w:val="none"/>
        </w:rPr>
        <w:t>企业提供的财务报告</w:t>
      </w:r>
      <w:r>
        <w:rPr>
          <w:rFonts w:hint="eastAsia" w:ascii="宋体" w:hAnsi="宋体" w:cs="Courier New"/>
          <w:b/>
          <w:color w:val="auto"/>
          <w:sz w:val="22"/>
          <w:szCs w:val="22"/>
          <w:highlight w:val="none"/>
          <w:lang w:val="en-US" w:eastAsia="zh-CN"/>
        </w:rPr>
        <w:t>扫描件</w:t>
      </w:r>
      <w:r>
        <w:rPr>
          <w:rFonts w:hint="eastAsia" w:ascii="宋体" w:hAnsi="宋体" w:cs="Courier New"/>
          <w:b/>
          <w:color w:val="auto"/>
          <w:sz w:val="22"/>
          <w:szCs w:val="22"/>
          <w:highlight w:val="none"/>
        </w:rPr>
        <w:t>，包括资产负债表、利润表、现金流量表（若有）、所有者权益变动表（若有）及其附注（若有）。</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1</w:t>
      </w:r>
      <w:r>
        <w:rPr>
          <w:rFonts w:ascii="宋体" w:hAnsi="宋体" w:cs="Courier New"/>
          <w:b/>
          <w:color w:val="auto"/>
          <w:sz w:val="22"/>
          <w:szCs w:val="22"/>
          <w:highlight w:val="none"/>
        </w:rPr>
        <w:t>.3</w:t>
      </w:r>
      <w:r>
        <w:rPr>
          <w:rFonts w:hint="eastAsia" w:ascii="宋体" w:hAnsi="宋体" w:cs="Courier New"/>
          <w:b/>
          <w:color w:val="auto"/>
          <w:sz w:val="22"/>
          <w:szCs w:val="22"/>
          <w:highlight w:val="none"/>
        </w:rPr>
        <w:t>事业单位提供的财务报告</w:t>
      </w:r>
      <w:r>
        <w:rPr>
          <w:rFonts w:hint="eastAsia" w:ascii="宋体" w:hAnsi="宋体" w:cs="Courier New"/>
          <w:b/>
          <w:color w:val="auto"/>
          <w:sz w:val="22"/>
          <w:szCs w:val="22"/>
          <w:highlight w:val="none"/>
          <w:lang w:val="en-US" w:eastAsia="zh-CN"/>
        </w:rPr>
        <w:t>扫描件</w:t>
      </w:r>
      <w:r>
        <w:rPr>
          <w:rFonts w:hint="eastAsia" w:ascii="宋体" w:hAnsi="宋体" w:cs="Courier New"/>
          <w:b/>
          <w:color w:val="auto"/>
          <w:sz w:val="22"/>
          <w:szCs w:val="22"/>
          <w:highlight w:val="none"/>
        </w:rPr>
        <w:t>，包括资产负债表、收入支出表（或收入费用表）、财政补助收入支出表（若有）。</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1</w:t>
      </w:r>
      <w:r>
        <w:rPr>
          <w:rFonts w:ascii="宋体" w:hAnsi="宋体" w:cs="Courier New"/>
          <w:b/>
          <w:color w:val="auto"/>
          <w:sz w:val="22"/>
          <w:szCs w:val="22"/>
          <w:highlight w:val="none"/>
        </w:rPr>
        <w:t>.4</w:t>
      </w:r>
      <w:r>
        <w:rPr>
          <w:rFonts w:hint="eastAsia" w:ascii="宋体" w:hAnsi="宋体" w:cs="Courier New"/>
          <w:b/>
          <w:color w:val="auto"/>
          <w:sz w:val="22"/>
          <w:szCs w:val="22"/>
          <w:highlight w:val="none"/>
        </w:rPr>
        <w:t>社会团体提供的财务报告</w:t>
      </w:r>
      <w:r>
        <w:rPr>
          <w:rFonts w:hint="eastAsia" w:ascii="宋体" w:hAnsi="宋体" w:cs="Courier New"/>
          <w:b/>
          <w:color w:val="auto"/>
          <w:sz w:val="22"/>
          <w:szCs w:val="22"/>
          <w:highlight w:val="none"/>
          <w:lang w:val="en-US" w:eastAsia="zh-CN"/>
        </w:rPr>
        <w:t>扫描件</w:t>
      </w:r>
      <w:r>
        <w:rPr>
          <w:rFonts w:hint="eastAsia" w:ascii="宋体" w:hAnsi="宋体" w:cs="Courier New"/>
          <w:b/>
          <w:color w:val="auto"/>
          <w:sz w:val="22"/>
          <w:szCs w:val="22"/>
          <w:highlight w:val="none"/>
        </w:rPr>
        <w:t>，包括资产负债表、业务活动表、现金流量表。</w:t>
      </w:r>
    </w:p>
    <w:p>
      <w:pPr>
        <w:spacing w:line="460" w:lineRule="exact"/>
        <w:rPr>
          <w:rFonts w:ascii="宋体" w:hAnsi="宋体" w:cs="Courier New"/>
          <w:b/>
          <w:color w:val="auto"/>
          <w:sz w:val="22"/>
          <w:szCs w:val="22"/>
          <w:highlight w:val="none"/>
        </w:rPr>
      </w:pPr>
    </w:p>
    <w:p>
      <w:pPr>
        <w:spacing w:line="460" w:lineRule="exact"/>
        <w:rPr>
          <w:rFonts w:ascii="宋体" w:hAnsi="宋体" w:cs="Courier New"/>
          <w:b/>
          <w:color w:val="auto"/>
          <w:sz w:val="22"/>
          <w:szCs w:val="22"/>
          <w:highlight w:val="none"/>
        </w:rPr>
      </w:pPr>
      <w:r>
        <w:rPr>
          <w:rFonts w:ascii="宋体" w:hAnsi="宋体" w:cs="Courier New"/>
          <w:b/>
          <w:color w:val="auto"/>
          <w:sz w:val="22"/>
          <w:szCs w:val="22"/>
          <w:highlight w:val="none"/>
        </w:rPr>
        <w:t>2</w:t>
      </w:r>
      <w:r>
        <w:rPr>
          <w:rFonts w:hint="eastAsia" w:ascii="宋体" w:hAnsi="宋体" w:cs="Courier New"/>
          <w:b/>
          <w:color w:val="auto"/>
          <w:sz w:val="22"/>
          <w:szCs w:val="22"/>
          <w:highlight w:val="none"/>
        </w:rPr>
        <w:t>、供应商提供资信证明的</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2</w:t>
      </w:r>
      <w:r>
        <w:rPr>
          <w:rFonts w:ascii="宋体" w:hAnsi="宋体" w:cs="Courier New"/>
          <w:b/>
          <w:color w:val="auto"/>
          <w:sz w:val="22"/>
          <w:szCs w:val="22"/>
          <w:highlight w:val="none"/>
        </w:rPr>
        <w:t>.1</w:t>
      </w:r>
      <w:r>
        <w:rPr>
          <w:rFonts w:hint="eastAsia" w:ascii="宋体" w:hAnsi="宋体" w:cs="Courier New"/>
          <w:b/>
          <w:color w:val="auto"/>
          <w:sz w:val="22"/>
          <w:szCs w:val="22"/>
          <w:highlight w:val="none"/>
        </w:rPr>
        <w:t>非自然人适用（包括企业、事业单位、社会团体和其他组织）：提供供应商开户（基本存款账户）许可证</w:t>
      </w:r>
      <w:r>
        <w:rPr>
          <w:rFonts w:hint="eastAsia" w:ascii="宋体" w:hAnsi="宋体" w:cs="Courier New"/>
          <w:b/>
          <w:color w:val="auto"/>
          <w:sz w:val="22"/>
          <w:szCs w:val="22"/>
          <w:highlight w:val="none"/>
          <w:lang w:val="en-US" w:eastAsia="zh-CN"/>
        </w:rPr>
        <w:t>扫描件</w:t>
      </w:r>
      <w:r>
        <w:rPr>
          <w:rFonts w:hint="eastAsia" w:ascii="宋体" w:hAnsi="宋体" w:cs="Courier New"/>
          <w:b/>
          <w:color w:val="auto"/>
          <w:sz w:val="22"/>
          <w:szCs w:val="22"/>
          <w:highlight w:val="none"/>
        </w:rPr>
        <w:t>及开户银行出具的资信证明</w:t>
      </w:r>
      <w:r>
        <w:rPr>
          <w:rFonts w:hint="eastAsia" w:ascii="宋体" w:hAnsi="宋体" w:cs="Courier New"/>
          <w:b/>
          <w:color w:val="auto"/>
          <w:sz w:val="22"/>
          <w:szCs w:val="22"/>
          <w:highlight w:val="none"/>
          <w:lang w:val="en-US" w:eastAsia="zh-CN"/>
        </w:rPr>
        <w:t>扫描件</w:t>
      </w:r>
      <w:r>
        <w:rPr>
          <w:rFonts w:hint="eastAsia" w:ascii="宋体" w:hAnsi="宋体" w:cs="Courier New"/>
          <w:b/>
          <w:color w:val="auto"/>
          <w:sz w:val="22"/>
          <w:szCs w:val="22"/>
          <w:highlight w:val="none"/>
        </w:rPr>
        <w:t>（两者缺一不可）。</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2</w:t>
      </w:r>
      <w:r>
        <w:rPr>
          <w:rFonts w:ascii="宋体" w:hAnsi="宋体" w:cs="Courier New"/>
          <w:b/>
          <w:color w:val="auto"/>
          <w:sz w:val="22"/>
          <w:szCs w:val="22"/>
          <w:highlight w:val="none"/>
        </w:rPr>
        <w:t>.2</w:t>
      </w:r>
      <w:r>
        <w:rPr>
          <w:rFonts w:hint="eastAsia" w:ascii="宋体" w:hAnsi="宋体" w:cs="Courier New"/>
          <w:b/>
          <w:color w:val="auto"/>
          <w:sz w:val="22"/>
          <w:szCs w:val="22"/>
          <w:highlight w:val="none"/>
        </w:rPr>
        <w:t>自然人适用：提供个人账户的开户银行出具的资信证明</w:t>
      </w:r>
      <w:r>
        <w:rPr>
          <w:rFonts w:hint="eastAsia" w:ascii="宋体" w:hAnsi="宋体" w:cs="Courier New"/>
          <w:b/>
          <w:color w:val="auto"/>
          <w:sz w:val="22"/>
          <w:szCs w:val="22"/>
          <w:highlight w:val="none"/>
          <w:lang w:val="en-US" w:eastAsia="zh-CN"/>
        </w:rPr>
        <w:t>扫描件</w:t>
      </w:r>
      <w:r>
        <w:rPr>
          <w:rFonts w:hint="eastAsia" w:ascii="宋体" w:hAnsi="宋体" w:cs="Courier New"/>
          <w:b/>
          <w:color w:val="auto"/>
          <w:sz w:val="22"/>
          <w:szCs w:val="22"/>
          <w:highlight w:val="none"/>
        </w:rPr>
        <w:t>。</w:t>
      </w:r>
    </w:p>
    <w:p>
      <w:pPr>
        <w:spacing w:line="460" w:lineRule="exact"/>
        <w:rPr>
          <w:rFonts w:ascii="宋体" w:hAnsi="宋体" w:cs="Courier New"/>
          <w:b/>
          <w:color w:val="auto"/>
          <w:sz w:val="22"/>
          <w:szCs w:val="22"/>
          <w:highlight w:val="none"/>
        </w:rPr>
      </w:pP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3、供应商提供磋商担保函的</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3</w:t>
      </w:r>
      <w:r>
        <w:rPr>
          <w:rFonts w:ascii="宋体" w:hAnsi="宋体" w:cs="Courier New"/>
          <w:b/>
          <w:color w:val="auto"/>
          <w:sz w:val="22"/>
          <w:szCs w:val="22"/>
          <w:highlight w:val="none"/>
        </w:rPr>
        <w:t>.1</w:t>
      </w:r>
      <w:r>
        <w:rPr>
          <w:rFonts w:hint="eastAsia" w:ascii="宋体" w:hAnsi="宋体" w:cs="Courier New"/>
          <w:b/>
          <w:color w:val="auto"/>
          <w:sz w:val="22"/>
          <w:szCs w:val="22"/>
          <w:highlight w:val="none"/>
        </w:rPr>
        <w:t>提供由财政部门认可的政府采购专业担保机构出具的磋商担保函</w:t>
      </w:r>
      <w:r>
        <w:rPr>
          <w:rFonts w:hint="eastAsia" w:ascii="宋体" w:hAnsi="宋体" w:cs="Courier New"/>
          <w:b/>
          <w:color w:val="auto"/>
          <w:sz w:val="22"/>
          <w:szCs w:val="22"/>
          <w:highlight w:val="none"/>
          <w:lang w:val="en-US" w:eastAsia="zh-CN"/>
        </w:rPr>
        <w:t>扫描件</w:t>
      </w:r>
      <w:r>
        <w:rPr>
          <w:rFonts w:hint="eastAsia" w:ascii="宋体" w:hAnsi="宋体" w:cs="Courier New"/>
          <w:b/>
          <w:color w:val="auto"/>
          <w:sz w:val="22"/>
          <w:szCs w:val="22"/>
          <w:highlight w:val="none"/>
        </w:rPr>
        <w:t>。</w:t>
      </w:r>
    </w:p>
    <w:p>
      <w:pPr>
        <w:spacing w:line="460" w:lineRule="exact"/>
        <w:rPr>
          <w:rFonts w:ascii="宋体" w:hAnsi="宋体" w:cs="Courier New"/>
          <w:b/>
          <w:color w:val="auto"/>
          <w:sz w:val="22"/>
          <w:szCs w:val="22"/>
          <w:highlight w:val="none"/>
        </w:rPr>
      </w:pPr>
      <w:r>
        <w:rPr>
          <w:rFonts w:ascii="宋体" w:hAnsi="宋体" w:cs="Courier New"/>
          <w:b/>
          <w:color w:val="auto"/>
          <w:sz w:val="22"/>
          <w:szCs w:val="22"/>
          <w:highlight w:val="none"/>
        </w:rPr>
        <w:t>3.2“财政部门认可的政府采购专业担保机构”应符合《财政部关于开展政府采购信用担保试点工作方案》（财库[2012]124号）的规定。</w:t>
      </w:r>
      <w:bookmarkStart w:id="206" w:name="_Ref500275615"/>
    </w:p>
    <w:p>
      <w:pPr>
        <w:spacing w:line="460" w:lineRule="exact"/>
        <w:rPr>
          <w:rFonts w:ascii="宋体" w:hAnsi="宋体" w:cs="Courier New"/>
          <w:b/>
          <w:color w:val="auto"/>
          <w:sz w:val="22"/>
          <w:szCs w:val="22"/>
          <w:highlight w:val="none"/>
        </w:rPr>
      </w:pPr>
    </w:p>
    <w:p>
      <w:pPr>
        <w:spacing w:line="460" w:lineRule="exact"/>
        <w:rPr>
          <w:rFonts w:ascii="宋体" w:hAnsi="宋体" w:cs="Courier New"/>
          <w:b/>
          <w:color w:val="auto"/>
          <w:sz w:val="22"/>
          <w:szCs w:val="22"/>
          <w:highlight w:val="none"/>
        </w:rPr>
      </w:pPr>
      <w:bookmarkStart w:id="207" w:name="_Hlk87189021"/>
      <w:r>
        <w:rPr>
          <w:rFonts w:hint="eastAsia" w:ascii="宋体" w:hAnsi="宋体" w:cs="Courier New"/>
          <w:b/>
          <w:color w:val="auto"/>
          <w:sz w:val="22"/>
          <w:szCs w:val="22"/>
          <w:highlight w:val="none"/>
        </w:rPr>
        <w:t>※以上三种形式的资料提供任何一种即可</w:t>
      </w:r>
      <w:r>
        <w:rPr>
          <w:rFonts w:ascii="宋体" w:hAnsi="宋体" w:cs="Courier New"/>
          <w:b/>
          <w:color w:val="auto"/>
          <w:sz w:val="22"/>
          <w:szCs w:val="22"/>
          <w:highlight w:val="none"/>
        </w:rPr>
        <w:t>。</w:t>
      </w:r>
    </w:p>
    <w:bookmarkEnd w:id="207"/>
    <w:p>
      <w:pPr>
        <w:widowControl/>
        <w:jc w:val="left"/>
        <w:rPr>
          <w:rFonts w:ascii="宋体" w:hAnsi="宋体"/>
          <w:color w:val="auto"/>
          <w:sz w:val="28"/>
          <w:szCs w:val="28"/>
          <w:highlight w:val="none"/>
        </w:rPr>
      </w:pPr>
    </w:p>
    <w:p>
      <w:pPr>
        <w:widowControl/>
        <w:jc w:val="left"/>
        <w:rPr>
          <w:rFonts w:ascii="宋体" w:hAnsi="宋体"/>
          <w:b/>
          <w:color w:val="auto"/>
          <w:sz w:val="28"/>
          <w:szCs w:val="28"/>
          <w:highlight w:val="none"/>
        </w:rPr>
      </w:pPr>
      <w:r>
        <w:rPr>
          <w:rFonts w:ascii="宋体" w:hAnsi="宋体"/>
          <w:b/>
          <w:color w:val="auto"/>
          <w:sz w:val="28"/>
          <w:szCs w:val="28"/>
          <w:highlight w:val="none"/>
        </w:rPr>
        <w:br w:type="page"/>
      </w:r>
    </w:p>
    <w:p>
      <w:pPr>
        <w:tabs>
          <w:tab w:val="left" w:pos="0"/>
          <w:tab w:val="left" w:pos="600"/>
        </w:tabs>
        <w:spacing w:line="400" w:lineRule="exact"/>
        <w:jc w:val="center"/>
        <w:rPr>
          <w:rFonts w:ascii="宋体" w:hAnsi="宋体"/>
          <w:b/>
          <w:bCs/>
          <w:color w:val="auto"/>
          <w:sz w:val="28"/>
          <w:szCs w:val="28"/>
          <w:highlight w:val="none"/>
        </w:rPr>
      </w:pPr>
    </w:p>
    <w:p>
      <w:pPr>
        <w:tabs>
          <w:tab w:val="left" w:pos="0"/>
          <w:tab w:val="left" w:pos="600"/>
        </w:tabs>
        <w:spacing w:line="40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四、</w:t>
      </w:r>
      <w:r>
        <w:rPr>
          <w:rFonts w:ascii="宋体" w:hAnsi="宋体"/>
          <w:b/>
          <w:bCs/>
          <w:color w:val="auto"/>
          <w:sz w:val="28"/>
          <w:szCs w:val="28"/>
          <w:highlight w:val="none"/>
        </w:rPr>
        <w:t>依法缴纳税收证明材料</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说明：</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1.</w:t>
      </w:r>
      <w:r>
        <w:rPr>
          <w:rFonts w:ascii="宋体" w:hAnsi="宋体" w:cs="Courier New"/>
          <w:b/>
          <w:color w:val="auto"/>
          <w:sz w:val="22"/>
          <w:szCs w:val="22"/>
          <w:highlight w:val="none"/>
        </w:rPr>
        <w:t>依法缴纳税收的供应商，提供响应文件递交截止时间前</w:t>
      </w:r>
      <w:r>
        <w:rPr>
          <w:rFonts w:hint="eastAsia" w:ascii="宋体" w:hAnsi="宋体" w:cs="Courier New"/>
          <w:b/>
          <w:color w:val="auto"/>
          <w:sz w:val="22"/>
          <w:szCs w:val="22"/>
          <w:highlight w:val="none"/>
        </w:rPr>
        <w:t>1</w:t>
      </w:r>
      <w:r>
        <w:rPr>
          <w:rFonts w:ascii="宋体" w:hAnsi="宋体" w:cs="Courier New"/>
          <w:b/>
          <w:color w:val="auto"/>
          <w:sz w:val="22"/>
          <w:szCs w:val="22"/>
          <w:highlight w:val="none"/>
        </w:rPr>
        <w:t>2个月（按照响应文件递交截止时间推算）中任一月份的</w:t>
      </w:r>
      <w:r>
        <w:rPr>
          <w:rFonts w:hint="eastAsia" w:ascii="宋体" w:hAnsi="宋体" w:cs="Courier New"/>
          <w:b/>
          <w:color w:val="auto"/>
          <w:sz w:val="22"/>
          <w:szCs w:val="22"/>
          <w:highlight w:val="none"/>
        </w:rPr>
        <w:t>依法缴纳税收的证明材料（完税证明或纳税证明或银行电子缴税付款凭证等）；</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2.依法免税的供应商，应提供相应文件证明其依法免税；</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3.供应商因新注册成立等原因无法提供相关材料的，应在响应文件中提交如实的情况说明。</w:t>
      </w:r>
    </w:p>
    <w:p>
      <w:pPr>
        <w:tabs>
          <w:tab w:val="left" w:pos="0"/>
          <w:tab w:val="left" w:pos="600"/>
        </w:tabs>
        <w:spacing w:line="400" w:lineRule="exact"/>
        <w:jc w:val="center"/>
        <w:rPr>
          <w:rFonts w:ascii="宋体" w:hAnsi="宋体"/>
          <w:b/>
          <w:color w:val="auto"/>
          <w:sz w:val="28"/>
          <w:szCs w:val="28"/>
          <w:highlight w:val="none"/>
        </w:rPr>
      </w:pPr>
    </w:p>
    <w:p>
      <w:pPr>
        <w:tabs>
          <w:tab w:val="left" w:pos="0"/>
          <w:tab w:val="left" w:pos="600"/>
        </w:tabs>
        <w:spacing w:line="400" w:lineRule="exact"/>
        <w:jc w:val="center"/>
        <w:rPr>
          <w:rFonts w:ascii="宋体" w:hAnsi="宋体"/>
          <w:b/>
          <w:color w:val="auto"/>
          <w:sz w:val="28"/>
          <w:szCs w:val="28"/>
          <w:highlight w:val="none"/>
        </w:rPr>
      </w:pPr>
    </w:p>
    <w:p>
      <w:pPr>
        <w:tabs>
          <w:tab w:val="left" w:pos="0"/>
          <w:tab w:val="left" w:pos="600"/>
        </w:tabs>
        <w:spacing w:line="40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五、</w:t>
      </w:r>
      <w:r>
        <w:rPr>
          <w:rFonts w:ascii="宋体" w:hAnsi="宋体"/>
          <w:b/>
          <w:bCs/>
          <w:color w:val="auto"/>
          <w:sz w:val="28"/>
          <w:szCs w:val="28"/>
          <w:highlight w:val="none"/>
        </w:rPr>
        <w:t>依法缴纳社会保障资金证明材料</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说明：</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1.</w:t>
      </w:r>
      <w:r>
        <w:rPr>
          <w:rFonts w:ascii="宋体" w:hAnsi="宋体" w:cs="Courier New"/>
          <w:b/>
          <w:color w:val="auto"/>
          <w:sz w:val="22"/>
          <w:szCs w:val="22"/>
          <w:highlight w:val="none"/>
        </w:rPr>
        <w:t>依法缴纳社会保障资金的供应商，提供响应文件递交截止时间前</w:t>
      </w:r>
      <w:r>
        <w:rPr>
          <w:rFonts w:hint="eastAsia" w:ascii="宋体" w:hAnsi="宋体" w:cs="Courier New"/>
          <w:b/>
          <w:color w:val="auto"/>
          <w:sz w:val="22"/>
          <w:szCs w:val="22"/>
          <w:highlight w:val="none"/>
        </w:rPr>
        <w:t>1</w:t>
      </w:r>
      <w:r>
        <w:rPr>
          <w:rFonts w:ascii="宋体" w:hAnsi="宋体" w:cs="Courier New"/>
          <w:b/>
          <w:color w:val="auto"/>
          <w:sz w:val="22"/>
          <w:szCs w:val="22"/>
          <w:highlight w:val="none"/>
        </w:rPr>
        <w:t>2个月（按照响应文件递交截止时间推算）中任一月份的依法缴纳社会保障资金</w:t>
      </w:r>
      <w:r>
        <w:rPr>
          <w:rFonts w:hint="eastAsia" w:ascii="宋体" w:hAnsi="宋体" w:cs="Courier New"/>
          <w:b/>
          <w:color w:val="auto"/>
          <w:sz w:val="22"/>
          <w:szCs w:val="22"/>
          <w:highlight w:val="none"/>
        </w:rPr>
        <w:t>的证明材料（社保缴费专用收据或银行电子缴税付款凭证或社会保险缴纳清单等）；</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2.依法不需要</w:t>
      </w:r>
      <w:r>
        <w:rPr>
          <w:rFonts w:ascii="宋体" w:hAnsi="宋体" w:cs="Courier New"/>
          <w:b/>
          <w:color w:val="auto"/>
          <w:sz w:val="22"/>
          <w:szCs w:val="22"/>
          <w:highlight w:val="none"/>
        </w:rPr>
        <w:t>依法缴纳社会保障资金</w:t>
      </w:r>
      <w:r>
        <w:rPr>
          <w:rFonts w:hint="eastAsia" w:ascii="宋体" w:hAnsi="宋体" w:cs="Courier New"/>
          <w:b/>
          <w:color w:val="auto"/>
          <w:sz w:val="22"/>
          <w:szCs w:val="22"/>
          <w:highlight w:val="none"/>
        </w:rPr>
        <w:t>的供应商，应提供相应文件证明其依法免税；</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3.供应商因新注册成立等原因无法提供相关材料的，应在响应文件中提交如实的情况说明。</w:t>
      </w:r>
    </w:p>
    <w:p>
      <w:pPr>
        <w:tabs>
          <w:tab w:val="left" w:pos="0"/>
          <w:tab w:val="left" w:pos="600"/>
        </w:tabs>
        <w:spacing w:line="400" w:lineRule="exact"/>
        <w:jc w:val="center"/>
        <w:rPr>
          <w:rFonts w:ascii="宋体" w:hAnsi="宋体"/>
          <w:b/>
          <w:bCs/>
          <w:color w:val="auto"/>
          <w:sz w:val="28"/>
          <w:szCs w:val="28"/>
          <w:highlight w:val="none"/>
        </w:rPr>
      </w:pPr>
    </w:p>
    <w:p>
      <w:pPr>
        <w:tabs>
          <w:tab w:val="left" w:pos="0"/>
          <w:tab w:val="left" w:pos="600"/>
        </w:tabs>
        <w:spacing w:line="400" w:lineRule="exact"/>
        <w:jc w:val="center"/>
        <w:rPr>
          <w:rFonts w:ascii="宋体" w:hAnsi="宋体"/>
          <w:b/>
          <w:bCs/>
          <w:color w:val="auto"/>
          <w:sz w:val="28"/>
          <w:szCs w:val="28"/>
          <w:highlight w:val="none"/>
        </w:rPr>
      </w:pPr>
    </w:p>
    <w:bookmarkEnd w:id="205"/>
    <w:bookmarkEnd w:id="206"/>
    <w:p>
      <w:pPr>
        <w:tabs>
          <w:tab w:val="left" w:pos="0"/>
          <w:tab w:val="left" w:pos="600"/>
        </w:tabs>
        <w:spacing w:line="40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六、落实政府采购政策需满足的资格要求</w:t>
      </w:r>
    </w:p>
    <w:p>
      <w:pPr>
        <w:spacing w:line="400" w:lineRule="exact"/>
        <w:ind w:left="221" w:hanging="221" w:hangingChars="100"/>
        <w:rPr>
          <w:rFonts w:ascii="宋体" w:hAnsi="宋体"/>
          <w:b/>
          <w:color w:val="auto"/>
          <w:sz w:val="22"/>
          <w:szCs w:val="22"/>
          <w:highlight w:val="none"/>
        </w:rPr>
      </w:pPr>
      <w:r>
        <w:rPr>
          <w:rFonts w:hint="eastAsia" w:ascii="宋体" w:hAnsi="宋体"/>
          <w:b/>
          <w:color w:val="auto"/>
          <w:sz w:val="22"/>
          <w:szCs w:val="22"/>
          <w:highlight w:val="none"/>
        </w:rPr>
        <w:t>说明：</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根据本项目落实政府采购政策需满足的资格要求选择提供相应的材料；未要求的，无需提供。</w:t>
      </w:r>
    </w:p>
    <w:p>
      <w:pPr>
        <w:pStyle w:val="2"/>
        <w:rPr>
          <w:color w:val="auto"/>
          <w:highlight w:val="none"/>
        </w:rPr>
      </w:pPr>
    </w:p>
    <w:p>
      <w:pPr>
        <w:pStyle w:val="3"/>
        <w:ind w:firstLine="210"/>
        <w:rPr>
          <w:color w:val="auto"/>
          <w:highlight w:val="none"/>
        </w:rPr>
      </w:pPr>
    </w:p>
    <w:p>
      <w:pPr>
        <w:tabs>
          <w:tab w:val="left" w:pos="0"/>
          <w:tab w:val="left" w:pos="600"/>
        </w:tabs>
        <w:spacing w:line="40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七、本项目的特定资格要求</w:t>
      </w:r>
    </w:p>
    <w:p>
      <w:pPr>
        <w:spacing w:line="400" w:lineRule="exact"/>
        <w:ind w:left="221" w:hanging="221" w:hangingChars="100"/>
        <w:rPr>
          <w:rFonts w:ascii="宋体" w:hAnsi="宋体"/>
          <w:b/>
          <w:color w:val="auto"/>
          <w:sz w:val="22"/>
          <w:szCs w:val="22"/>
          <w:highlight w:val="none"/>
        </w:rPr>
      </w:pPr>
      <w:r>
        <w:rPr>
          <w:rFonts w:hint="eastAsia" w:ascii="宋体" w:hAnsi="宋体"/>
          <w:b/>
          <w:color w:val="auto"/>
          <w:sz w:val="22"/>
          <w:szCs w:val="22"/>
          <w:highlight w:val="none"/>
        </w:rPr>
        <w:t>说明：</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根据本项目的特定资格要求提供相应的材料；未要求的，无需提供。</w:t>
      </w:r>
    </w:p>
    <w:p>
      <w:pPr>
        <w:spacing w:line="460" w:lineRule="exact"/>
        <w:rPr>
          <w:rFonts w:ascii="宋体" w:hAnsi="宋体"/>
          <w:b/>
          <w:bCs/>
          <w:color w:val="auto"/>
          <w:sz w:val="28"/>
          <w:szCs w:val="28"/>
          <w:highlight w:val="none"/>
        </w:rPr>
      </w:pPr>
    </w:p>
    <w:p>
      <w:pPr>
        <w:rPr>
          <w:color w:val="auto"/>
          <w:highlight w:val="none"/>
        </w:rPr>
      </w:pPr>
      <w:r>
        <w:rPr>
          <w:rFonts w:cs="宋体"/>
          <w:color w:val="auto"/>
          <w:sz w:val="24"/>
          <w:highlight w:val="none"/>
        </w:rPr>
        <w:br w:type="page"/>
      </w:r>
    </w:p>
    <w:bookmarkEnd w:id="204"/>
    <w:p>
      <w:pPr>
        <w:pStyle w:val="7"/>
        <w:jc w:val="center"/>
        <w:rPr>
          <w:b/>
          <w:bCs/>
          <w:color w:val="auto"/>
          <w:sz w:val="44"/>
          <w:szCs w:val="26"/>
          <w:highlight w:val="none"/>
        </w:rPr>
      </w:pPr>
      <w:bookmarkStart w:id="208" w:name="_Toc11835"/>
      <w:bookmarkStart w:id="209" w:name="_Toc750"/>
      <w:r>
        <w:rPr>
          <w:rFonts w:hint="eastAsia"/>
          <w:b/>
          <w:bCs/>
          <w:color w:val="auto"/>
          <w:sz w:val="44"/>
          <w:szCs w:val="26"/>
          <w:highlight w:val="none"/>
        </w:rPr>
        <w:t>报价文件</w:t>
      </w:r>
      <w:bookmarkEnd w:id="208"/>
      <w:bookmarkEnd w:id="209"/>
    </w:p>
    <w:p>
      <w:pPr>
        <w:spacing w:line="460" w:lineRule="exact"/>
        <w:jc w:val="center"/>
        <w:rPr>
          <w:rFonts w:ascii="宋体" w:hAnsi="宋体"/>
          <w:b/>
          <w:bCs/>
          <w:color w:val="auto"/>
          <w:sz w:val="30"/>
          <w:szCs w:val="30"/>
          <w:highlight w:val="none"/>
        </w:rPr>
      </w:pPr>
      <w:r>
        <w:rPr>
          <w:rFonts w:ascii="宋体" w:hAnsi="宋体"/>
          <w:b/>
          <w:bCs/>
          <w:color w:val="auto"/>
          <w:sz w:val="30"/>
          <w:szCs w:val="30"/>
          <w:highlight w:val="none"/>
        </w:rPr>
        <w:t xml:space="preserve"> </w:t>
      </w:r>
    </w:p>
    <w:p>
      <w:pPr>
        <w:spacing w:line="460" w:lineRule="exact"/>
        <w:jc w:val="center"/>
        <w:rPr>
          <w:rFonts w:ascii="宋体" w:hAnsi="宋体" w:cs="Courier New"/>
          <w:b/>
          <w:bCs/>
          <w:color w:val="auto"/>
          <w:sz w:val="30"/>
          <w:szCs w:val="30"/>
          <w:highlight w:val="none"/>
        </w:rPr>
      </w:pPr>
      <w:r>
        <w:rPr>
          <w:rFonts w:hint="eastAsia" w:ascii="宋体" w:hAnsi="宋体"/>
          <w:b/>
          <w:bCs/>
          <w:color w:val="auto"/>
          <w:sz w:val="30"/>
          <w:szCs w:val="30"/>
          <w:highlight w:val="none"/>
        </w:rPr>
        <w:t>一、开标一览表</w:t>
      </w:r>
    </w:p>
    <w:p>
      <w:pPr>
        <w:spacing w:line="380" w:lineRule="exact"/>
        <w:jc w:val="center"/>
        <w:rPr>
          <w:rFonts w:ascii="宋体" w:hAnsi="宋体" w:cs="Courier New"/>
          <w:b/>
          <w:bCs/>
          <w:color w:val="auto"/>
          <w:sz w:val="28"/>
          <w:highlight w:val="none"/>
        </w:rPr>
      </w:pPr>
    </w:p>
    <w:p>
      <w:pPr>
        <w:spacing w:line="380" w:lineRule="exact"/>
        <w:ind w:firstLine="880" w:firstLineChars="400"/>
        <w:rPr>
          <w:rFonts w:ascii="宋体" w:hAnsi="宋体"/>
          <w:bCs/>
          <w:color w:val="auto"/>
          <w:sz w:val="22"/>
          <w:szCs w:val="22"/>
          <w:highlight w:val="none"/>
        </w:rPr>
      </w:pPr>
      <w:r>
        <w:rPr>
          <w:rFonts w:hint="eastAsia" w:ascii="宋体" w:hAnsi="宋体"/>
          <w:bCs/>
          <w:color w:val="auto"/>
          <w:sz w:val="22"/>
          <w:szCs w:val="22"/>
          <w:highlight w:val="none"/>
        </w:rPr>
        <w:t xml:space="preserve">项目名称：   </w:t>
      </w:r>
      <w:r>
        <w:rPr>
          <w:rFonts w:hint="eastAsia" w:ascii="宋体" w:hAnsi="宋体"/>
          <w:bCs/>
          <w:color w:val="auto"/>
          <w:sz w:val="22"/>
          <w:highlight w:val="none"/>
        </w:rPr>
        <w:t xml:space="preserve">                              </w:t>
      </w:r>
      <w:r>
        <w:rPr>
          <w:rFonts w:hint="eastAsia" w:ascii="宋体" w:hAnsi="宋体"/>
          <w:bCs/>
          <w:color w:val="auto"/>
          <w:sz w:val="22"/>
          <w:szCs w:val="22"/>
          <w:highlight w:val="none"/>
        </w:rPr>
        <w:t xml:space="preserve">项目编号： </w:t>
      </w:r>
    </w:p>
    <w:tbl>
      <w:tblPr>
        <w:tblStyle w:val="32"/>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2424" w:type="dxa"/>
            <w:vMerge w:val="restart"/>
            <w:vAlign w:val="center"/>
          </w:tcPr>
          <w:p>
            <w:pPr>
              <w:spacing w:line="400" w:lineRule="exact"/>
              <w:jc w:val="center"/>
              <w:rPr>
                <w:rFonts w:ascii="宋体" w:hAnsi="宋体"/>
                <w:b/>
                <w:bCs/>
                <w:color w:val="auto"/>
                <w:sz w:val="22"/>
                <w:szCs w:val="22"/>
                <w:highlight w:val="none"/>
              </w:rPr>
            </w:pPr>
            <w:r>
              <w:rPr>
                <w:rFonts w:hint="eastAsia" w:ascii="宋体" w:hAnsi="宋体"/>
                <w:b/>
                <w:bCs/>
                <w:color w:val="auto"/>
                <w:sz w:val="22"/>
                <w:szCs w:val="22"/>
                <w:highlight w:val="none"/>
              </w:rPr>
              <w:t>第一次磋商报价</w:t>
            </w:r>
          </w:p>
        </w:tc>
        <w:tc>
          <w:tcPr>
            <w:tcW w:w="7356" w:type="dxa"/>
            <w:vAlign w:val="center"/>
          </w:tcPr>
          <w:p>
            <w:pPr>
              <w:pStyle w:val="16"/>
              <w:spacing w:line="460" w:lineRule="atLeast"/>
              <w:rPr>
                <w:rFonts w:hAnsi="宋体"/>
                <w:color w:val="auto"/>
                <w:kern w:val="2"/>
                <w:sz w:val="22"/>
                <w:szCs w:val="22"/>
                <w:highlight w:val="none"/>
              </w:rPr>
            </w:pPr>
            <w:r>
              <w:rPr>
                <w:rFonts w:hint="eastAsia" w:hAnsi="宋体"/>
                <w:color w:val="auto"/>
                <w:kern w:val="2"/>
                <w:sz w:val="22"/>
                <w:szCs w:val="22"/>
                <w:highlight w:val="none"/>
              </w:rPr>
              <w:t>（大写）人民币：</w:t>
            </w:r>
            <w:r>
              <w:rPr>
                <w:rFonts w:hint="eastAsia" w:hAnsi="宋体"/>
                <w:color w:val="auto"/>
                <w:kern w:val="2"/>
                <w:sz w:val="22"/>
                <w:szCs w:val="22"/>
                <w:highlight w:val="none"/>
                <w:u w:val="single"/>
              </w:rPr>
              <w:t xml:space="preserve"> </w:t>
            </w:r>
            <w:r>
              <w:rPr>
                <w:rFonts w:hAnsi="宋体"/>
                <w:color w:val="auto"/>
                <w:kern w:val="2"/>
                <w:sz w:val="22"/>
                <w:szCs w:val="22"/>
                <w:highlight w:val="none"/>
                <w:u w:val="single"/>
              </w:rPr>
              <w:t xml:space="preserve">    </w:t>
            </w:r>
            <w:r>
              <w:rPr>
                <w:rFonts w:hint="eastAsia" w:hAnsi="宋体"/>
                <w:color w:val="auto"/>
                <w:kern w:val="2"/>
                <w:sz w:val="22"/>
                <w:szCs w:val="22"/>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2424" w:type="dxa"/>
            <w:vMerge w:val="continue"/>
            <w:vAlign w:val="center"/>
          </w:tcPr>
          <w:p>
            <w:pPr>
              <w:pStyle w:val="16"/>
              <w:spacing w:line="460" w:lineRule="atLeast"/>
              <w:rPr>
                <w:rFonts w:hAnsi="宋体"/>
                <w:color w:val="auto"/>
                <w:kern w:val="2"/>
                <w:sz w:val="22"/>
                <w:szCs w:val="22"/>
                <w:highlight w:val="none"/>
              </w:rPr>
            </w:pPr>
          </w:p>
        </w:tc>
        <w:tc>
          <w:tcPr>
            <w:tcW w:w="7356" w:type="dxa"/>
            <w:vAlign w:val="center"/>
          </w:tcPr>
          <w:p>
            <w:pPr>
              <w:pStyle w:val="16"/>
              <w:spacing w:line="460" w:lineRule="atLeast"/>
              <w:rPr>
                <w:rFonts w:hAnsi="宋体"/>
                <w:color w:val="auto"/>
                <w:kern w:val="2"/>
                <w:sz w:val="22"/>
                <w:szCs w:val="22"/>
                <w:highlight w:val="none"/>
              </w:rPr>
            </w:pPr>
            <w:r>
              <w:rPr>
                <w:rFonts w:hint="eastAsia" w:hAnsi="宋体"/>
                <w:color w:val="auto"/>
                <w:kern w:val="2"/>
                <w:sz w:val="22"/>
                <w:szCs w:val="22"/>
                <w:highlight w:val="none"/>
              </w:rPr>
              <w:t>（小写）￥：</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olor w:val="auto"/>
          <w:sz w:val="22"/>
          <w:szCs w:val="22"/>
          <w:highlight w:val="none"/>
        </w:rPr>
      </w:pPr>
      <w:r>
        <w:rPr>
          <w:rFonts w:hint="eastAsia" w:ascii="宋体" w:hAnsi="宋体"/>
          <w:color w:val="auto"/>
          <w:sz w:val="22"/>
          <w:szCs w:val="22"/>
          <w:highlight w:val="none"/>
        </w:rPr>
        <w:t>说明：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color w:val="auto"/>
          <w:sz w:val="22"/>
          <w:szCs w:val="22"/>
          <w:highlight w:val="none"/>
        </w:rPr>
      </w:pPr>
      <w:r>
        <w:rPr>
          <w:rFonts w:hint="eastAsia" w:ascii="宋体" w:hAnsi="宋体"/>
          <w:b/>
          <w:color w:val="auto"/>
          <w:sz w:val="22"/>
          <w:szCs w:val="22"/>
          <w:highlight w:val="none"/>
        </w:rPr>
        <w:t>1、此表格中“第一次磋商报价”应与《报价构成明细表》中“第一次磋商报价”相一致。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color w:val="auto"/>
          <w:sz w:val="22"/>
          <w:szCs w:val="22"/>
          <w:highlight w:val="none"/>
        </w:rPr>
      </w:pPr>
      <w:r>
        <w:rPr>
          <w:rFonts w:hint="eastAsia" w:ascii="宋体" w:hAnsi="宋体"/>
          <w:b/>
          <w:bCs/>
          <w:color w:val="auto"/>
          <w:sz w:val="22"/>
          <w:szCs w:val="22"/>
          <w:highlight w:val="none"/>
        </w:rPr>
        <w:t>2、供应商的</w:t>
      </w:r>
      <w:r>
        <w:rPr>
          <w:rFonts w:hint="eastAsia" w:ascii="宋体" w:hAnsi="宋体"/>
          <w:b/>
          <w:color w:val="auto"/>
          <w:sz w:val="22"/>
          <w:szCs w:val="22"/>
          <w:highlight w:val="none"/>
        </w:rPr>
        <w:t>报价为含税报价，包含但不仅限于以下内容（以下费用未单列的视为包含在报价中）：</w:t>
      </w:r>
    </w:p>
    <w:p>
      <w:pPr>
        <w:keepNext w:val="0"/>
        <w:keepLines w:val="0"/>
        <w:pageBreakBefore w:val="0"/>
        <w:widowControl w:val="0"/>
        <w:kinsoku/>
        <w:wordWrap/>
        <w:overflowPunct/>
        <w:topLinePunct w:val="0"/>
        <w:autoSpaceDE/>
        <w:autoSpaceDN/>
        <w:bidi w:val="0"/>
        <w:adjustRightInd/>
        <w:snapToGrid/>
        <w:spacing w:line="440" w:lineRule="exact"/>
        <w:ind w:left="220" w:leftChars="105" w:firstLine="221" w:firstLineChars="100"/>
        <w:textAlignment w:val="auto"/>
        <w:rPr>
          <w:rFonts w:ascii="宋体" w:hAnsi="宋体"/>
          <w:b/>
          <w:color w:val="auto"/>
          <w:sz w:val="22"/>
          <w:szCs w:val="22"/>
          <w:highlight w:val="none"/>
        </w:rPr>
      </w:pPr>
      <w:r>
        <w:rPr>
          <w:rFonts w:hint="eastAsia" w:ascii="宋体" w:hAnsi="宋体"/>
          <w:b/>
          <w:color w:val="auto"/>
          <w:sz w:val="22"/>
          <w:szCs w:val="22"/>
          <w:highlight w:val="none"/>
        </w:rPr>
        <w:t>1）产品费用(包括货物中所需零配件和原材料已交及未交的产品税、销售税和其它税费等所有相关费用)，以上产品须按照第四部分采购内容及要求。</w:t>
      </w:r>
    </w:p>
    <w:p>
      <w:pPr>
        <w:keepNext w:val="0"/>
        <w:keepLines w:val="0"/>
        <w:pageBreakBefore w:val="0"/>
        <w:widowControl w:val="0"/>
        <w:kinsoku/>
        <w:wordWrap/>
        <w:overflowPunct/>
        <w:topLinePunct w:val="0"/>
        <w:autoSpaceDE/>
        <w:autoSpaceDN/>
        <w:bidi w:val="0"/>
        <w:adjustRightInd/>
        <w:snapToGrid/>
        <w:spacing w:line="440" w:lineRule="exact"/>
        <w:ind w:left="220" w:leftChars="105" w:firstLine="221" w:firstLineChars="100"/>
        <w:textAlignment w:val="auto"/>
        <w:rPr>
          <w:rFonts w:ascii="宋体" w:hAnsi="宋体"/>
          <w:b/>
          <w:color w:val="auto"/>
          <w:sz w:val="22"/>
          <w:szCs w:val="22"/>
          <w:highlight w:val="none"/>
        </w:rPr>
      </w:pPr>
      <w:r>
        <w:rPr>
          <w:rFonts w:hint="eastAsia" w:ascii="宋体" w:hAnsi="宋体"/>
          <w:b/>
          <w:color w:val="auto"/>
          <w:sz w:val="22"/>
          <w:szCs w:val="22"/>
          <w:highlight w:val="none"/>
        </w:rPr>
        <w:t>2）产品随机备品备件费、随机工具、运输及保险费、安装、调试、验收（含第三方）、人工费用等其他所有交付采购人可能产生的相关费用。</w:t>
      </w:r>
    </w:p>
    <w:p>
      <w:pPr>
        <w:keepNext w:val="0"/>
        <w:keepLines w:val="0"/>
        <w:pageBreakBefore w:val="0"/>
        <w:widowControl w:val="0"/>
        <w:kinsoku/>
        <w:wordWrap/>
        <w:overflowPunct/>
        <w:topLinePunct w:val="0"/>
        <w:autoSpaceDE/>
        <w:autoSpaceDN/>
        <w:bidi w:val="0"/>
        <w:adjustRightInd/>
        <w:snapToGrid/>
        <w:spacing w:line="440" w:lineRule="exact"/>
        <w:ind w:left="220" w:leftChars="105" w:firstLine="221" w:firstLineChars="100"/>
        <w:textAlignment w:val="auto"/>
        <w:rPr>
          <w:rFonts w:ascii="宋体" w:hAnsi="宋体"/>
          <w:b/>
          <w:color w:val="auto"/>
          <w:sz w:val="22"/>
          <w:szCs w:val="22"/>
          <w:highlight w:val="none"/>
        </w:rPr>
      </w:pPr>
      <w:r>
        <w:rPr>
          <w:rFonts w:hint="eastAsia" w:ascii="宋体" w:hAnsi="宋体"/>
          <w:b/>
          <w:color w:val="auto"/>
          <w:sz w:val="22"/>
          <w:szCs w:val="22"/>
          <w:highlight w:val="none"/>
        </w:rPr>
        <w:t>3）产品的售后服务费用及磋商文件中规定的其它服务费用。</w:t>
      </w:r>
    </w:p>
    <w:p>
      <w:pPr>
        <w:keepNext w:val="0"/>
        <w:keepLines w:val="0"/>
        <w:pageBreakBefore w:val="0"/>
        <w:widowControl w:val="0"/>
        <w:kinsoku/>
        <w:wordWrap/>
        <w:overflowPunct/>
        <w:topLinePunct w:val="0"/>
        <w:autoSpaceDE/>
        <w:autoSpaceDN/>
        <w:bidi w:val="0"/>
        <w:adjustRightInd/>
        <w:snapToGrid/>
        <w:spacing w:line="440" w:lineRule="exact"/>
        <w:ind w:firstLine="442" w:firstLineChars="200"/>
        <w:textAlignment w:val="auto"/>
        <w:rPr>
          <w:rFonts w:ascii="宋体" w:hAnsi="宋体"/>
          <w:b/>
          <w:bCs/>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42" w:firstLineChars="200"/>
        <w:textAlignment w:val="auto"/>
        <w:rPr>
          <w:rFonts w:ascii="宋体" w:hAnsi="宋体"/>
          <w:b/>
          <w:color w:val="auto"/>
          <w:sz w:val="22"/>
          <w:szCs w:val="22"/>
          <w:highlight w:val="none"/>
          <w:u w:val="single"/>
        </w:rPr>
      </w:pPr>
      <w:r>
        <w:rPr>
          <w:rFonts w:hint="eastAsia" w:ascii="宋体" w:hAnsi="宋体"/>
          <w:b/>
          <w:color w:val="auto"/>
          <w:sz w:val="22"/>
          <w:szCs w:val="22"/>
          <w:highlight w:val="none"/>
          <w:u w:val="single"/>
        </w:rPr>
        <w:t>※不提供此表</w:t>
      </w:r>
      <w:r>
        <w:rPr>
          <w:rFonts w:hint="eastAsia" w:ascii="宋体" w:hAnsi="宋体" w:cs="Courier New"/>
          <w:b/>
          <w:color w:val="auto"/>
          <w:sz w:val="22"/>
          <w:szCs w:val="22"/>
          <w:highlight w:val="none"/>
          <w:u w:val="single"/>
        </w:rPr>
        <w:t>的响应文件</w:t>
      </w:r>
      <w:r>
        <w:rPr>
          <w:rFonts w:hint="eastAsia" w:ascii="宋体" w:hAnsi="宋体"/>
          <w:b/>
          <w:color w:val="auto"/>
          <w:sz w:val="22"/>
          <w:szCs w:val="22"/>
          <w:highlight w:val="none"/>
          <w:u w:val="single"/>
        </w:rPr>
        <w:t>将被视为未实质性响应磋商文件</w:t>
      </w:r>
      <w:r>
        <w:rPr>
          <w:rFonts w:hint="eastAsia" w:ascii="宋体" w:hAnsi="宋体" w:cs="Courier New"/>
          <w:b/>
          <w:color w:val="auto"/>
          <w:sz w:val="22"/>
          <w:szCs w:val="22"/>
          <w:highlight w:val="none"/>
          <w:u w:val="single"/>
        </w:rPr>
        <w:t>，其响应无效</w:t>
      </w:r>
      <w:r>
        <w:rPr>
          <w:rFonts w:hint="eastAsia" w:ascii="宋体" w:hAnsi="宋体"/>
          <w:b/>
          <w:color w:val="auto"/>
          <w:sz w:val="22"/>
          <w:szCs w:val="22"/>
          <w:highlight w:val="none"/>
          <w:u w:val="single"/>
        </w:rPr>
        <w:t>。</w:t>
      </w:r>
    </w:p>
    <w:p>
      <w:pPr>
        <w:spacing w:line="460" w:lineRule="exact"/>
        <w:rPr>
          <w:rFonts w:ascii="宋体" w:hAnsi="宋体" w:cs="Courier New"/>
          <w:b/>
          <w:bCs/>
          <w:color w:val="auto"/>
          <w:sz w:val="22"/>
          <w:szCs w:val="22"/>
          <w:highlight w:val="none"/>
        </w:rPr>
      </w:pPr>
    </w:p>
    <w:p>
      <w:pPr>
        <w:tabs>
          <w:tab w:val="left" w:pos="840"/>
        </w:tabs>
        <w:adjustRightInd w:val="0"/>
        <w:snapToGrid w:val="0"/>
        <w:spacing w:line="360" w:lineRule="auto"/>
        <w:ind w:left="420" w:leftChars="200" w:firstLine="330" w:firstLineChars="150"/>
        <w:rPr>
          <w:rFonts w:ascii="宋体" w:hAnsi="宋体" w:cs="Courier New"/>
          <w:bCs/>
          <w:color w:val="auto"/>
          <w:sz w:val="22"/>
          <w:szCs w:val="22"/>
          <w:highlight w:val="none"/>
        </w:rPr>
      </w:pPr>
    </w:p>
    <w:p>
      <w:pPr>
        <w:keepNext w:val="0"/>
        <w:keepLines w:val="0"/>
        <w:pageBreakBefore w:val="0"/>
        <w:widowControl w:val="0"/>
        <w:tabs>
          <w:tab w:val="left" w:pos="840"/>
        </w:tabs>
        <w:kinsoku/>
        <w:wordWrap/>
        <w:overflowPunct/>
        <w:topLinePunct w:val="0"/>
        <w:autoSpaceDE/>
        <w:autoSpaceDN/>
        <w:bidi w:val="0"/>
        <w:adjustRightInd w:val="0"/>
        <w:snapToGrid w:val="0"/>
        <w:spacing w:line="440" w:lineRule="exact"/>
        <w:ind w:left="420" w:leftChars="200" w:firstLine="330" w:firstLineChars="150"/>
        <w:textAlignment w:val="auto"/>
        <w:rPr>
          <w:rFonts w:ascii="宋体" w:hAnsi="宋体"/>
          <w:color w:val="auto"/>
          <w:sz w:val="22"/>
          <w:szCs w:val="22"/>
          <w:highlight w:val="none"/>
        </w:rPr>
      </w:pPr>
      <w:r>
        <w:rPr>
          <w:rFonts w:hint="eastAsia" w:ascii="宋体" w:hAnsi="宋体" w:cs="Courier New"/>
          <w:bCs/>
          <w:color w:val="auto"/>
          <w:sz w:val="22"/>
          <w:szCs w:val="22"/>
          <w:highlight w:val="none"/>
        </w:rPr>
        <w:t>供应商全称（盖章）：</w:t>
      </w:r>
    </w:p>
    <w:p>
      <w:pPr>
        <w:keepNext w:val="0"/>
        <w:keepLines w:val="0"/>
        <w:pageBreakBefore w:val="0"/>
        <w:widowControl w:val="0"/>
        <w:tabs>
          <w:tab w:val="left" w:pos="840"/>
        </w:tabs>
        <w:kinsoku/>
        <w:wordWrap/>
        <w:overflowPunct/>
        <w:topLinePunct w:val="0"/>
        <w:autoSpaceDE/>
        <w:autoSpaceDN/>
        <w:bidi w:val="0"/>
        <w:adjustRightInd w:val="0"/>
        <w:snapToGrid w:val="0"/>
        <w:spacing w:line="440" w:lineRule="exact"/>
        <w:ind w:left="420" w:leftChars="200" w:firstLine="330" w:firstLineChars="150"/>
        <w:textAlignment w:val="auto"/>
        <w:rPr>
          <w:rFonts w:ascii="宋体" w:hAnsi="宋体"/>
          <w:color w:val="auto"/>
          <w:sz w:val="22"/>
          <w:szCs w:val="22"/>
          <w:highlight w:val="none"/>
        </w:rPr>
      </w:pPr>
      <w:r>
        <w:rPr>
          <w:rFonts w:hint="eastAsia" w:ascii="宋体" w:hAnsi="宋体"/>
          <w:color w:val="auto"/>
          <w:sz w:val="22"/>
          <w:szCs w:val="22"/>
          <w:highlight w:val="none"/>
        </w:rPr>
        <w:t>单位负责人或授权代表（签字或盖章）：</w:t>
      </w:r>
    </w:p>
    <w:p>
      <w:pPr>
        <w:keepNext w:val="0"/>
        <w:keepLines w:val="0"/>
        <w:pageBreakBefore w:val="0"/>
        <w:widowControl w:val="0"/>
        <w:tabs>
          <w:tab w:val="left" w:pos="840"/>
        </w:tabs>
        <w:kinsoku/>
        <w:wordWrap/>
        <w:overflowPunct/>
        <w:topLinePunct w:val="0"/>
        <w:autoSpaceDE/>
        <w:autoSpaceDN/>
        <w:bidi w:val="0"/>
        <w:adjustRightInd w:val="0"/>
        <w:snapToGrid w:val="0"/>
        <w:spacing w:line="440" w:lineRule="exact"/>
        <w:ind w:left="420" w:leftChars="200" w:firstLine="330" w:firstLineChars="150"/>
        <w:textAlignment w:val="auto"/>
        <w:rPr>
          <w:rFonts w:ascii="宋体" w:hAnsi="宋体"/>
          <w:color w:val="auto"/>
          <w:sz w:val="22"/>
          <w:szCs w:val="22"/>
          <w:highlight w:val="none"/>
        </w:rPr>
      </w:pPr>
      <w:r>
        <w:rPr>
          <w:rFonts w:hint="eastAsia" w:ascii="宋体" w:hAnsi="宋体"/>
          <w:color w:val="auto"/>
          <w:sz w:val="22"/>
          <w:szCs w:val="22"/>
          <w:highlight w:val="none"/>
        </w:rPr>
        <w:t>日          期：  年  月  日</w:t>
      </w:r>
    </w:p>
    <w:p>
      <w:pPr>
        <w:pStyle w:val="16"/>
        <w:rPr>
          <w:color w:val="auto"/>
          <w:highlight w:val="none"/>
        </w:rPr>
      </w:pPr>
    </w:p>
    <w:p>
      <w:pPr>
        <w:spacing w:line="460" w:lineRule="exact"/>
        <w:rPr>
          <w:rFonts w:ascii="宋体" w:hAnsi="宋体"/>
          <w:color w:val="auto"/>
          <w:sz w:val="22"/>
          <w:szCs w:val="22"/>
          <w:highlight w:val="none"/>
        </w:rPr>
      </w:pPr>
      <w:r>
        <w:rPr>
          <w:rFonts w:ascii="宋体" w:hAnsi="宋体"/>
          <w:color w:val="auto"/>
          <w:sz w:val="22"/>
          <w:szCs w:val="22"/>
          <w:highlight w:val="none"/>
        </w:rPr>
        <w:t xml:space="preserve"> </w:t>
      </w:r>
    </w:p>
    <w:p>
      <w:pPr>
        <w:tabs>
          <w:tab w:val="left" w:pos="0"/>
          <w:tab w:val="left" w:pos="600"/>
        </w:tabs>
        <w:spacing w:line="400" w:lineRule="exact"/>
        <w:jc w:val="center"/>
        <w:rPr>
          <w:rFonts w:ascii="宋体" w:hAnsi="宋体"/>
          <w:b/>
          <w:color w:val="auto"/>
          <w:sz w:val="30"/>
          <w:highlight w:val="none"/>
        </w:rPr>
      </w:pPr>
      <w:r>
        <w:rPr>
          <w:color w:val="auto"/>
          <w:highlight w:val="none"/>
        </w:rPr>
        <w:br w:type="page"/>
      </w:r>
    </w:p>
    <w:p>
      <w:pPr>
        <w:spacing w:line="460" w:lineRule="exact"/>
        <w:jc w:val="center"/>
        <w:rPr>
          <w:rFonts w:ascii="宋体" w:hAnsi="宋体"/>
          <w:b/>
          <w:bCs/>
          <w:color w:val="auto"/>
          <w:sz w:val="30"/>
          <w:szCs w:val="30"/>
          <w:highlight w:val="none"/>
        </w:rPr>
      </w:pPr>
      <w:r>
        <w:rPr>
          <w:rFonts w:hint="eastAsia" w:ascii="宋体" w:hAnsi="宋体"/>
          <w:b/>
          <w:bCs/>
          <w:color w:val="auto"/>
          <w:sz w:val="30"/>
          <w:szCs w:val="30"/>
          <w:highlight w:val="none"/>
        </w:rPr>
        <w:t>二、报价构成明细表</w:t>
      </w:r>
    </w:p>
    <w:p>
      <w:pPr>
        <w:spacing w:line="380" w:lineRule="exact"/>
        <w:ind w:firstLine="550" w:firstLineChars="250"/>
        <w:rPr>
          <w:rFonts w:ascii="宋体" w:hAnsi="宋体"/>
          <w:color w:val="auto"/>
          <w:sz w:val="22"/>
          <w:szCs w:val="22"/>
          <w:highlight w:val="none"/>
        </w:rPr>
      </w:pPr>
      <w:r>
        <w:rPr>
          <w:rFonts w:hint="eastAsia" w:ascii="宋体" w:hAnsi="宋体"/>
          <w:color w:val="auto"/>
          <w:sz w:val="22"/>
          <w:szCs w:val="22"/>
          <w:highlight w:val="none"/>
        </w:rPr>
        <w:t xml:space="preserve">项目名称：    </w:t>
      </w:r>
      <w:r>
        <w:rPr>
          <w:rFonts w:hint="eastAsia" w:ascii="宋体" w:hAnsi="宋体"/>
          <w:bCs/>
          <w:color w:val="auto"/>
          <w:sz w:val="22"/>
          <w:szCs w:val="22"/>
          <w:highlight w:val="none"/>
        </w:rPr>
        <w:t xml:space="preserve">  </w:t>
      </w:r>
      <w:r>
        <w:rPr>
          <w:rFonts w:hint="eastAsia" w:ascii="宋体" w:hAnsi="宋体"/>
          <w:color w:val="auto"/>
          <w:sz w:val="22"/>
          <w:szCs w:val="22"/>
          <w:highlight w:val="none"/>
        </w:rPr>
        <w:t xml:space="preserve">                                       项目编号：  </w:t>
      </w:r>
    </w:p>
    <w:tbl>
      <w:tblPr>
        <w:tblStyle w:val="32"/>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555"/>
        <w:gridCol w:w="1278"/>
        <w:gridCol w:w="1134"/>
        <w:gridCol w:w="1106"/>
        <w:gridCol w:w="1139"/>
        <w:gridCol w:w="1198"/>
        <w:gridCol w:w="10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tcBorders>
              <w:top w:val="single" w:color="auto" w:sz="12" w:space="0"/>
              <w:left w:val="single" w:color="auto" w:sz="12" w:space="0"/>
              <w:bottom w:val="single" w:color="auto" w:sz="12" w:space="0"/>
            </w:tcBorders>
            <w:vAlign w:val="center"/>
          </w:tcPr>
          <w:p>
            <w:pPr>
              <w:ind w:right="-11"/>
              <w:jc w:val="center"/>
              <w:rPr>
                <w:rFonts w:ascii="宋体" w:hAnsi="宋体" w:cs="黑体"/>
                <w:b/>
                <w:bCs/>
                <w:color w:val="auto"/>
                <w:sz w:val="22"/>
                <w:szCs w:val="22"/>
                <w:highlight w:val="none"/>
              </w:rPr>
            </w:pPr>
            <w:bookmarkStart w:id="210" w:name="_Hlk100767053"/>
            <w:r>
              <w:rPr>
                <w:rFonts w:hint="eastAsia" w:ascii="宋体" w:hAnsi="宋体" w:cs="黑体"/>
                <w:b/>
                <w:bCs/>
                <w:color w:val="auto"/>
                <w:sz w:val="22"/>
                <w:szCs w:val="22"/>
                <w:highlight w:val="none"/>
              </w:rPr>
              <w:t>序号</w:t>
            </w:r>
          </w:p>
        </w:tc>
        <w:tc>
          <w:tcPr>
            <w:tcW w:w="1555" w:type="dxa"/>
            <w:tcBorders>
              <w:top w:val="single" w:color="auto" w:sz="12" w:space="0"/>
              <w:bottom w:val="single" w:color="auto" w:sz="12" w:space="0"/>
            </w:tcBorders>
            <w:vAlign w:val="center"/>
          </w:tcPr>
          <w:p>
            <w:pPr>
              <w:ind w:right="-11"/>
              <w:jc w:val="center"/>
              <w:rPr>
                <w:rFonts w:ascii="宋体" w:hAnsi="宋体" w:cs="黑体"/>
                <w:b/>
                <w:bCs/>
                <w:color w:val="auto"/>
                <w:sz w:val="22"/>
                <w:szCs w:val="22"/>
                <w:highlight w:val="none"/>
              </w:rPr>
            </w:pPr>
            <w:r>
              <w:rPr>
                <w:rFonts w:hint="eastAsia" w:ascii="宋体" w:hAnsi="宋体" w:cs="黑体"/>
                <w:b/>
                <w:bCs/>
                <w:color w:val="auto"/>
                <w:sz w:val="22"/>
                <w:szCs w:val="22"/>
                <w:highlight w:val="none"/>
              </w:rPr>
              <w:t>产品名称</w:t>
            </w:r>
          </w:p>
        </w:tc>
        <w:tc>
          <w:tcPr>
            <w:tcW w:w="1278" w:type="dxa"/>
            <w:tcBorders>
              <w:top w:val="single" w:color="auto" w:sz="12" w:space="0"/>
              <w:bottom w:val="single" w:color="auto" w:sz="12" w:space="0"/>
            </w:tcBorders>
            <w:vAlign w:val="center"/>
          </w:tcPr>
          <w:p>
            <w:pPr>
              <w:ind w:right="-11"/>
              <w:jc w:val="center"/>
              <w:rPr>
                <w:rFonts w:ascii="宋体" w:hAnsi="宋体" w:cs="黑体"/>
                <w:b/>
                <w:bCs/>
                <w:color w:val="auto"/>
                <w:sz w:val="22"/>
                <w:szCs w:val="22"/>
                <w:highlight w:val="none"/>
              </w:rPr>
            </w:pPr>
            <w:r>
              <w:rPr>
                <w:rFonts w:hint="eastAsia" w:ascii="宋体" w:hAnsi="宋体" w:cs="黑体"/>
                <w:b/>
                <w:bCs/>
                <w:color w:val="auto"/>
                <w:sz w:val="22"/>
                <w:szCs w:val="22"/>
                <w:highlight w:val="none"/>
              </w:rPr>
              <w:t>品牌/型号/规格</w:t>
            </w:r>
          </w:p>
        </w:tc>
        <w:tc>
          <w:tcPr>
            <w:tcW w:w="1134" w:type="dxa"/>
            <w:tcBorders>
              <w:top w:val="single" w:color="auto" w:sz="12" w:space="0"/>
              <w:bottom w:val="single" w:color="auto" w:sz="12" w:space="0"/>
            </w:tcBorders>
            <w:vAlign w:val="center"/>
          </w:tcPr>
          <w:p>
            <w:pPr>
              <w:ind w:right="-11"/>
              <w:jc w:val="center"/>
              <w:rPr>
                <w:rFonts w:ascii="宋体" w:hAnsi="宋体" w:cs="黑体"/>
                <w:b/>
                <w:bCs/>
                <w:color w:val="auto"/>
                <w:sz w:val="22"/>
                <w:szCs w:val="22"/>
                <w:highlight w:val="none"/>
              </w:rPr>
            </w:pPr>
            <w:r>
              <w:rPr>
                <w:rFonts w:hint="eastAsia" w:ascii="宋体" w:hAnsi="宋体" w:cs="黑体"/>
                <w:b/>
                <w:bCs/>
                <w:color w:val="auto"/>
                <w:sz w:val="22"/>
                <w:szCs w:val="22"/>
                <w:highlight w:val="none"/>
              </w:rPr>
              <w:t>制造商</w:t>
            </w:r>
          </w:p>
        </w:tc>
        <w:tc>
          <w:tcPr>
            <w:tcW w:w="1106" w:type="dxa"/>
            <w:tcBorders>
              <w:top w:val="single" w:color="auto" w:sz="12" w:space="0"/>
              <w:bottom w:val="single" w:color="auto" w:sz="12" w:space="0"/>
            </w:tcBorders>
            <w:vAlign w:val="center"/>
          </w:tcPr>
          <w:p>
            <w:pPr>
              <w:ind w:right="-11"/>
              <w:jc w:val="center"/>
              <w:rPr>
                <w:rFonts w:ascii="宋体" w:hAnsi="宋体" w:cs="黑体"/>
                <w:b/>
                <w:bCs/>
                <w:color w:val="auto"/>
                <w:sz w:val="22"/>
                <w:szCs w:val="22"/>
                <w:highlight w:val="none"/>
              </w:rPr>
            </w:pPr>
            <w:r>
              <w:rPr>
                <w:rFonts w:hint="eastAsia" w:ascii="宋体" w:hAnsi="宋体" w:cs="黑体"/>
                <w:b/>
                <w:bCs/>
                <w:color w:val="auto"/>
                <w:sz w:val="22"/>
                <w:szCs w:val="22"/>
                <w:highlight w:val="none"/>
              </w:rPr>
              <w:t>数量</w:t>
            </w:r>
          </w:p>
        </w:tc>
        <w:tc>
          <w:tcPr>
            <w:tcW w:w="1139" w:type="dxa"/>
            <w:tcBorders>
              <w:top w:val="single" w:color="auto" w:sz="12" w:space="0"/>
              <w:bottom w:val="single" w:color="auto" w:sz="12" w:space="0"/>
            </w:tcBorders>
            <w:vAlign w:val="center"/>
          </w:tcPr>
          <w:p>
            <w:pPr>
              <w:ind w:right="-11"/>
              <w:jc w:val="center"/>
              <w:rPr>
                <w:rFonts w:ascii="宋体" w:hAnsi="宋体" w:cs="黑体"/>
                <w:b/>
                <w:bCs/>
                <w:color w:val="auto"/>
                <w:sz w:val="22"/>
                <w:szCs w:val="22"/>
                <w:highlight w:val="none"/>
              </w:rPr>
            </w:pPr>
            <w:r>
              <w:rPr>
                <w:rFonts w:hint="eastAsia" w:ascii="宋体" w:hAnsi="宋体" w:cs="黑体"/>
                <w:b/>
                <w:bCs/>
                <w:color w:val="auto"/>
                <w:sz w:val="22"/>
                <w:szCs w:val="22"/>
                <w:highlight w:val="none"/>
              </w:rPr>
              <w:t>单价</w:t>
            </w:r>
          </w:p>
          <w:p>
            <w:pPr>
              <w:ind w:right="-11"/>
              <w:jc w:val="center"/>
              <w:rPr>
                <w:rFonts w:ascii="宋体" w:hAnsi="宋体" w:cs="黑体"/>
                <w:color w:val="auto"/>
                <w:sz w:val="22"/>
                <w:szCs w:val="22"/>
                <w:highlight w:val="none"/>
              </w:rPr>
            </w:pPr>
            <w:r>
              <w:rPr>
                <w:rFonts w:hint="eastAsia" w:ascii="宋体" w:hAnsi="宋体" w:cs="黑体"/>
                <w:color w:val="auto"/>
                <w:sz w:val="22"/>
                <w:szCs w:val="22"/>
                <w:highlight w:val="none"/>
              </w:rPr>
              <w:t>（含税）</w:t>
            </w:r>
          </w:p>
        </w:tc>
        <w:tc>
          <w:tcPr>
            <w:tcW w:w="1198" w:type="dxa"/>
            <w:tcBorders>
              <w:top w:val="single" w:color="auto" w:sz="12" w:space="0"/>
              <w:bottom w:val="single" w:color="auto" w:sz="12" w:space="0"/>
            </w:tcBorders>
            <w:vAlign w:val="center"/>
          </w:tcPr>
          <w:p>
            <w:pPr>
              <w:ind w:right="-11"/>
              <w:jc w:val="center"/>
              <w:rPr>
                <w:rFonts w:ascii="宋体" w:hAnsi="宋体" w:cs="黑体"/>
                <w:b/>
                <w:bCs/>
                <w:color w:val="auto"/>
                <w:sz w:val="22"/>
                <w:szCs w:val="22"/>
                <w:highlight w:val="none"/>
              </w:rPr>
            </w:pPr>
            <w:r>
              <w:rPr>
                <w:rFonts w:hint="eastAsia" w:ascii="宋体" w:hAnsi="宋体" w:cs="黑体"/>
                <w:b/>
                <w:bCs/>
                <w:color w:val="auto"/>
                <w:sz w:val="22"/>
                <w:szCs w:val="22"/>
                <w:highlight w:val="none"/>
              </w:rPr>
              <w:t>总价</w:t>
            </w:r>
          </w:p>
          <w:p>
            <w:pPr>
              <w:ind w:right="-11"/>
              <w:jc w:val="center"/>
              <w:rPr>
                <w:rFonts w:ascii="宋体" w:hAnsi="宋体" w:cs="黑体"/>
                <w:color w:val="auto"/>
                <w:sz w:val="22"/>
                <w:szCs w:val="22"/>
                <w:highlight w:val="none"/>
              </w:rPr>
            </w:pPr>
            <w:r>
              <w:rPr>
                <w:rFonts w:hint="eastAsia" w:ascii="宋体" w:hAnsi="宋体" w:cs="黑体"/>
                <w:color w:val="auto"/>
                <w:sz w:val="22"/>
                <w:szCs w:val="22"/>
                <w:highlight w:val="none"/>
              </w:rPr>
              <w:t>（含税）</w:t>
            </w:r>
          </w:p>
        </w:tc>
        <w:tc>
          <w:tcPr>
            <w:tcW w:w="1093" w:type="dxa"/>
            <w:tcBorders>
              <w:top w:val="single" w:color="auto" w:sz="12" w:space="0"/>
              <w:bottom w:val="single" w:color="auto" w:sz="12" w:space="0"/>
            </w:tcBorders>
          </w:tcPr>
          <w:p>
            <w:pPr>
              <w:ind w:right="-11"/>
              <w:jc w:val="center"/>
              <w:rPr>
                <w:rFonts w:ascii="宋体" w:hAnsi="宋体" w:cs="黑体"/>
                <w:b/>
                <w:bCs/>
                <w:color w:val="auto"/>
                <w:sz w:val="22"/>
                <w:szCs w:val="22"/>
                <w:highlight w:val="none"/>
              </w:rPr>
            </w:pPr>
            <w:r>
              <w:rPr>
                <w:rFonts w:hint="eastAsia" w:ascii="宋体" w:hAnsi="宋体" w:cs="黑体"/>
                <w:b/>
                <w:bCs/>
                <w:color w:val="auto"/>
                <w:sz w:val="22"/>
                <w:szCs w:val="22"/>
                <w:highlight w:val="none"/>
              </w:rPr>
              <w:t>免费</w:t>
            </w:r>
          </w:p>
          <w:p>
            <w:pPr>
              <w:ind w:right="-11"/>
              <w:jc w:val="center"/>
              <w:rPr>
                <w:rFonts w:ascii="宋体" w:hAnsi="宋体" w:cs="黑体"/>
                <w:b/>
                <w:bCs/>
                <w:color w:val="auto"/>
                <w:sz w:val="22"/>
                <w:szCs w:val="22"/>
                <w:highlight w:val="none"/>
              </w:rPr>
            </w:pPr>
            <w:r>
              <w:rPr>
                <w:rFonts w:hint="eastAsia" w:ascii="宋体" w:hAnsi="宋体" w:cs="黑体"/>
                <w:b/>
                <w:bCs/>
                <w:color w:val="auto"/>
                <w:sz w:val="22"/>
                <w:szCs w:val="22"/>
                <w:highlight w:val="none"/>
              </w:rPr>
              <w:t>质保期</w:t>
            </w:r>
          </w:p>
        </w:tc>
        <w:tc>
          <w:tcPr>
            <w:tcW w:w="1134" w:type="dxa"/>
            <w:tcBorders>
              <w:top w:val="single" w:color="auto" w:sz="12" w:space="0"/>
              <w:bottom w:val="single" w:color="auto" w:sz="12" w:space="0"/>
              <w:right w:val="single" w:color="auto" w:sz="12" w:space="0"/>
            </w:tcBorders>
            <w:vAlign w:val="center"/>
          </w:tcPr>
          <w:p>
            <w:pPr>
              <w:ind w:right="-11"/>
              <w:jc w:val="center"/>
              <w:rPr>
                <w:rFonts w:ascii="宋体" w:hAnsi="宋体" w:cs="黑体"/>
                <w:b/>
                <w:bCs/>
                <w:color w:val="auto"/>
                <w:sz w:val="22"/>
                <w:szCs w:val="22"/>
                <w:highlight w:val="none"/>
              </w:rPr>
            </w:pPr>
            <w:r>
              <w:rPr>
                <w:rFonts w:hint="eastAsia" w:ascii="宋体" w:hAnsi="宋体" w:cs="黑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tcBorders>
              <w:left w:val="single" w:color="auto" w:sz="12" w:space="0"/>
            </w:tcBorders>
            <w:vAlign w:val="center"/>
          </w:tcPr>
          <w:p>
            <w:pPr>
              <w:ind w:right="-11"/>
              <w:jc w:val="center"/>
              <w:rPr>
                <w:rFonts w:ascii="宋体" w:hAnsi="宋体" w:cs="黑体"/>
                <w:color w:val="auto"/>
                <w:sz w:val="22"/>
                <w:szCs w:val="22"/>
                <w:highlight w:val="none"/>
              </w:rPr>
            </w:pPr>
          </w:p>
        </w:tc>
        <w:tc>
          <w:tcPr>
            <w:tcW w:w="1555" w:type="dxa"/>
            <w:vAlign w:val="center"/>
          </w:tcPr>
          <w:p>
            <w:pPr>
              <w:jc w:val="center"/>
              <w:rPr>
                <w:rFonts w:ascii="宋体" w:hAnsi="宋体" w:cs="黑体"/>
                <w:color w:val="auto"/>
                <w:sz w:val="22"/>
                <w:szCs w:val="22"/>
                <w:highlight w:val="none"/>
              </w:rPr>
            </w:pPr>
          </w:p>
        </w:tc>
        <w:tc>
          <w:tcPr>
            <w:tcW w:w="1278" w:type="dxa"/>
            <w:vAlign w:val="center"/>
          </w:tcPr>
          <w:p>
            <w:pPr>
              <w:jc w:val="center"/>
              <w:rPr>
                <w:rFonts w:ascii="宋体" w:hAnsi="宋体" w:cs="黑体"/>
                <w:color w:val="auto"/>
                <w:sz w:val="22"/>
                <w:szCs w:val="22"/>
                <w:highlight w:val="none"/>
              </w:rPr>
            </w:pPr>
          </w:p>
        </w:tc>
        <w:tc>
          <w:tcPr>
            <w:tcW w:w="1134" w:type="dxa"/>
            <w:vAlign w:val="center"/>
          </w:tcPr>
          <w:p>
            <w:pPr>
              <w:ind w:right="-11"/>
              <w:jc w:val="center"/>
              <w:rPr>
                <w:rFonts w:ascii="宋体" w:hAnsi="宋体" w:cs="黑体"/>
                <w:color w:val="auto"/>
                <w:sz w:val="22"/>
                <w:szCs w:val="22"/>
                <w:highlight w:val="none"/>
              </w:rPr>
            </w:pPr>
          </w:p>
        </w:tc>
        <w:tc>
          <w:tcPr>
            <w:tcW w:w="1106" w:type="dxa"/>
            <w:vAlign w:val="center"/>
          </w:tcPr>
          <w:p>
            <w:pPr>
              <w:jc w:val="center"/>
              <w:rPr>
                <w:rFonts w:ascii="宋体" w:hAnsi="宋体" w:cs="黑体"/>
                <w:color w:val="auto"/>
                <w:sz w:val="22"/>
                <w:szCs w:val="22"/>
                <w:highlight w:val="none"/>
              </w:rPr>
            </w:pPr>
          </w:p>
        </w:tc>
        <w:tc>
          <w:tcPr>
            <w:tcW w:w="1139" w:type="dxa"/>
            <w:vAlign w:val="center"/>
          </w:tcPr>
          <w:p>
            <w:pPr>
              <w:ind w:right="-11"/>
              <w:jc w:val="center"/>
              <w:rPr>
                <w:rFonts w:ascii="宋体" w:hAnsi="宋体" w:cs="黑体"/>
                <w:color w:val="auto"/>
                <w:sz w:val="22"/>
                <w:szCs w:val="22"/>
                <w:highlight w:val="none"/>
              </w:rPr>
            </w:pPr>
          </w:p>
        </w:tc>
        <w:tc>
          <w:tcPr>
            <w:tcW w:w="1198" w:type="dxa"/>
            <w:vAlign w:val="center"/>
          </w:tcPr>
          <w:p>
            <w:pPr>
              <w:ind w:right="-11"/>
              <w:jc w:val="center"/>
              <w:rPr>
                <w:rFonts w:ascii="宋体" w:hAnsi="宋体" w:cs="黑体"/>
                <w:color w:val="auto"/>
                <w:sz w:val="22"/>
                <w:szCs w:val="22"/>
                <w:highlight w:val="none"/>
              </w:rPr>
            </w:pPr>
          </w:p>
        </w:tc>
        <w:tc>
          <w:tcPr>
            <w:tcW w:w="1093" w:type="dxa"/>
          </w:tcPr>
          <w:p>
            <w:pPr>
              <w:ind w:right="-11"/>
              <w:jc w:val="center"/>
              <w:rPr>
                <w:rFonts w:ascii="宋体" w:hAnsi="宋体" w:cs="黑体"/>
                <w:color w:val="auto"/>
                <w:sz w:val="22"/>
                <w:szCs w:val="22"/>
                <w:highlight w:val="none"/>
              </w:rPr>
            </w:pPr>
          </w:p>
        </w:tc>
        <w:tc>
          <w:tcPr>
            <w:tcW w:w="1134" w:type="dxa"/>
            <w:tcBorders>
              <w:right w:val="single" w:color="auto" w:sz="12" w:space="0"/>
            </w:tcBorders>
            <w:vAlign w:val="center"/>
          </w:tcPr>
          <w:p>
            <w:pPr>
              <w:ind w:right="-11"/>
              <w:jc w:val="center"/>
              <w:rPr>
                <w:rFonts w:ascii="宋体" w:hAnsi="宋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tcBorders>
              <w:left w:val="single" w:color="auto" w:sz="12" w:space="0"/>
            </w:tcBorders>
            <w:vAlign w:val="center"/>
          </w:tcPr>
          <w:p>
            <w:pPr>
              <w:ind w:right="-11"/>
              <w:jc w:val="center"/>
              <w:rPr>
                <w:rFonts w:ascii="宋体" w:hAnsi="宋体" w:cs="黑体"/>
                <w:color w:val="auto"/>
                <w:sz w:val="22"/>
                <w:szCs w:val="22"/>
                <w:highlight w:val="none"/>
              </w:rPr>
            </w:pPr>
          </w:p>
        </w:tc>
        <w:tc>
          <w:tcPr>
            <w:tcW w:w="1555" w:type="dxa"/>
            <w:vAlign w:val="center"/>
          </w:tcPr>
          <w:p>
            <w:pPr>
              <w:jc w:val="center"/>
              <w:rPr>
                <w:rFonts w:ascii="宋体" w:hAnsi="宋体" w:cs="黑体"/>
                <w:color w:val="auto"/>
                <w:sz w:val="22"/>
                <w:szCs w:val="22"/>
                <w:highlight w:val="none"/>
              </w:rPr>
            </w:pPr>
          </w:p>
        </w:tc>
        <w:tc>
          <w:tcPr>
            <w:tcW w:w="1278" w:type="dxa"/>
            <w:vAlign w:val="center"/>
          </w:tcPr>
          <w:p>
            <w:pPr>
              <w:jc w:val="center"/>
              <w:rPr>
                <w:rFonts w:ascii="宋体" w:hAnsi="宋体" w:cs="黑体"/>
                <w:color w:val="auto"/>
                <w:sz w:val="22"/>
                <w:szCs w:val="22"/>
                <w:highlight w:val="none"/>
              </w:rPr>
            </w:pPr>
          </w:p>
        </w:tc>
        <w:tc>
          <w:tcPr>
            <w:tcW w:w="1134" w:type="dxa"/>
            <w:vAlign w:val="center"/>
          </w:tcPr>
          <w:p>
            <w:pPr>
              <w:ind w:right="-11"/>
              <w:jc w:val="center"/>
              <w:rPr>
                <w:rFonts w:ascii="宋体" w:hAnsi="宋体" w:cs="黑体"/>
                <w:color w:val="auto"/>
                <w:sz w:val="22"/>
                <w:szCs w:val="22"/>
                <w:highlight w:val="none"/>
              </w:rPr>
            </w:pPr>
          </w:p>
        </w:tc>
        <w:tc>
          <w:tcPr>
            <w:tcW w:w="1106" w:type="dxa"/>
            <w:vAlign w:val="center"/>
          </w:tcPr>
          <w:p>
            <w:pPr>
              <w:jc w:val="center"/>
              <w:rPr>
                <w:rFonts w:ascii="宋体" w:hAnsi="宋体" w:cs="黑体"/>
                <w:color w:val="auto"/>
                <w:sz w:val="22"/>
                <w:szCs w:val="22"/>
                <w:highlight w:val="none"/>
              </w:rPr>
            </w:pPr>
          </w:p>
        </w:tc>
        <w:tc>
          <w:tcPr>
            <w:tcW w:w="1139" w:type="dxa"/>
            <w:vAlign w:val="center"/>
          </w:tcPr>
          <w:p>
            <w:pPr>
              <w:ind w:right="-11"/>
              <w:jc w:val="center"/>
              <w:rPr>
                <w:rFonts w:ascii="宋体" w:hAnsi="宋体" w:cs="黑体"/>
                <w:color w:val="auto"/>
                <w:sz w:val="22"/>
                <w:szCs w:val="22"/>
                <w:highlight w:val="none"/>
              </w:rPr>
            </w:pPr>
          </w:p>
        </w:tc>
        <w:tc>
          <w:tcPr>
            <w:tcW w:w="1198" w:type="dxa"/>
            <w:vAlign w:val="center"/>
          </w:tcPr>
          <w:p>
            <w:pPr>
              <w:ind w:right="-11"/>
              <w:jc w:val="center"/>
              <w:rPr>
                <w:rFonts w:ascii="宋体" w:hAnsi="宋体" w:cs="黑体"/>
                <w:color w:val="auto"/>
                <w:sz w:val="22"/>
                <w:szCs w:val="22"/>
                <w:highlight w:val="none"/>
              </w:rPr>
            </w:pPr>
          </w:p>
        </w:tc>
        <w:tc>
          <w:tcPr>
            <w:tcW w:w="1093" w:type="dxa"/>
          </w:tcPr>
          <w:p>
            <w:pPr>
              <w:ind w:right="-11"/>
              <w:jc w:val="center"/>
              <w:rPr>
                <w:rFonts w:ascii="宋体" w:hAnsi="宋体" w:cs="黑体"/>
                <w:color w:val="auto"/>
                <w:sz w:val="22"/>
                <w:szCs w:val="22"/>
                <w:highlight w:val="none"/>
              </w:rPr>
            </w:pPr>
          </w:p>
        </w:tc>
        <w:tc>
          <w:tcPr>
            <w:tcW w:w="1134" w:type="dxa"/>
            <w:tcBorders>
              <w:right w:val="single" w:color="auto" w:sz="12" w:space="0"/>
            </w:tcBorders>
            <w:vAlign w:val="center"/>
          </w:tcPr>
          <w:p>
            <w:pPr>
              <w:ind w:right="-11"/>
              <w:jc w:val="center"/>
              <w:rPr>
                <w:rFonts w:ascii="宋体" w:hAnsi="宋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tcBorders>
              <w:left w:val="single" w:color="auto" w:sz="12" w:space="0"/>
            </w:tcBorders>
            <w:vAlign w:val="center"/>
          </w:tcPr>
          <w:p>
            <w:pPr>
              <w:ind w:right="-11"/>
              <w:jc w:val="center"/>
              <w:rPr>
                <w:rFonts w:ascii="宋体" w:hAnsi="宋体" w:cs="黑体"/>
                <w:color w:val="auto"/>
                <w:sz w:val="22"/>
                <w:szCs w:val="22"/>
                <w:highlight w:val="none"/>
              </w:rPr>
            </w:pPr>
          </w:p>
        </w:tc>
        <w:tc>
          <w:tcPr>
            <w:tcW w:w="1555" w:type="dxa"/>
            <w:vAlign w:val="center"/>
          </w:tcPr>
          <w:p>
            <w:pPr>
              <w:jc w:val="center"/>
              <w:rPr>
                <w:rFonts w:ascii="宋体" w:hAnsi="宋体" w:cs="黑体"/>
                <w:color w:val="auto"/>
                <w:sz w:val="22"/>
                <w:szCs w:val="22"/>
                <w:highlight w:val="none"/>
              </w:rPr>
            </w:pPr>
          </w:p>
        </w:tc>
        <w:tc>
          <w:tcPr>
            <w:tcW w:w="1278" w:type="dxa"/>
            <w:vAlign w:val="center"/>
          </w:tcPr>
          <w:p>
            <w:pPr>
              <w:jc w:val="center"/>
              <w:rPr>
                <w:rFonts w:ascii="宋体" w:hAnsi="宋体" w:cs="黑体"/>
                <w:color w:val="auto"/>
                <w:sz w:val="22"/>
                <w:szCs w:val="22"/>
                <w:highlight w:val="none"/>
              </w:rPr>
            </w:pPr>
          </w:p>
        </w:tc>
        <w:tc>
          <w:tcPr>
            <w:tcW w:w="1134" w:type="dxa"/>
            <w:vAlign w:val="center"/>
          </w:tcPr>
          <w:p>
            <w:pPr>
              <w:ind w:right="-11"/>
              <w:jc w:val="center"/>
              <w:rPr>
                <w:rFonts w:ascii="宋体" w:hAnsi="宋体" w:cs="黑体"/>
                <w:color w:val="auto"/>
                <w:sz w:val="22"/>
                <w:szCs w:val="22"/>
                <w:highlight w:val="none"/>
              </w:rPr>
            </w:pPr>
          </w:p>
        </w:tc>
        <w:tc>
          <w:tcPr>
            <w:tcW w:w="1106" w:type="dxa"/>
            <w:vAlign w:val="center"/>
          </w:tcPr>
          <w:p>
            <w:pPr>
              <w:jc w:val="center"/>
              <w:rPr>
                <w:rFonts w:ascii="宋体" w:hAnsi="宋体" w:cs="黑体"/>
                <w:color w:val="auto"/>
                <w:sz w:val="22"/>
                <w:szCs w:val="22"/>
                <w:highlight w:val="none"/>
              </w:rPr>
            </w:pPr>
          </w:p>
        </w:tc>
        <w:tc>
          <w:tcPr>
            <w:tcW w:w="1139" w:type="dxa"/>
            <w:vAlign w:val="center"/>
          </w:tcPr>
          <w:p>
            <w:pPr>
              <w:ind w:right="-11"/>
              <w:jc w:val="center"/>
              <w:rPr>
                <w:rFonts w:ascii="宋体" w:hAnsi="宋体" w:cs="黑体"/>
                <w:color w:val="auto"/>
                <w:sz w:val="22"/>
                <w:szCs w:val="22"/>
                <w:highlight w:val="none"/>
              </w:rPr>
            </w:pPr>
          </w:p>
        </w:tc>
        <w:tc>
          <w:tcPr>
            <w:tcW w:w="1198" w:type="dxa"/>
            <w:vAlign w:val="center"/>
          </w:tcPr>
          <w:p>
            <w:pPr>
              <w:ind w:right="-11"/>
              <w:jc w:val="center"/>
              <w:rPr>
                <w:rFonts w:ascii="宋体" w:hAnsi="宋体" w:cs="黑体"/>
                <w:color w:val="auto"/>
                <w:sz w:val="22"/>
                <w:szCs w:val="22"/>
                <w:highlight w:val="none"/>
              </w:rPr>
            </w:pPr>
          </w:p>
        </w:tc>
        <w:tc>
          <w:tcPr>
            <w:tcW w:w="1093" w:type="dxa"/>
          </w:tcPr>
          <w:p>
            <w:pPr>
              <w:ind w:right="-11"/>
              <w:jc w:val="center"/>
              <w:rPr>
                <w:rFonts w:ascii="宋体" w:hAnsi="宋体" w:cs="黑体"/>
                <w:color w:val="auto"/>
                <w:sz w:val="22"/>
                <w:szCs w:val="22"/>
                <w:highlight w:val="none"/>
              </w:rPr>
            </w:pPr>
          </w:p>
        </w:tc>
        <w:tc>
          <w:tcPr>
            <w:tcW w:w="1134" w:type="dxa"/>
            <w:tcBorders>
              <w:right w:val="single" w:color="auto" w:sz="12" w:space="0"/>
            </w:tcBorders>
            <w:vAlign w:val="center"/>
          </w:tcPr>
          <w:p>
            <w:pPr>
              <w:ind w:right="-11"/>
              <w:jc w:val="center"/>
              <w:rPr>
                <w:rFonts w:ascii="宋体" w:hAnsi="宋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tcBorders>
              <w:left w:val="single" w:color="auto" w:sz="12" w:space="0"/>
            </w:tcBorders>
            <w:vAlign w:val="center"/>
          </w:tcPr>
          <w:p>
            <w:pPr>
              <w:ind w:right="-11"/>
              <w:jc w:val="center"/>
              <w:rPr>
                <w:rFonts w:ascii="宋体" w:hAnsi="宋体" w:cs="黑体"/>
                <w:color w:val="auto"/>
                <w:sz w:val="22"/>
                <w:szCs w:val="22"/>
                <w:highlight w:val="none"/>
              </w:rPr>
            </w:pPr>
          </w:p>
        </w:tc>
        <w:tc>
          <w:tcPr>
            <w:tcW w:w="1555" w:type="dxa"/>
            <w:vAlign w:val="center"/>
          </w:tcPr>
          <w:p>
            <w:pPr>
              <w:jc w:val="center"/>
              <w:rPr>
                <w:rFonts w:ascii="宋体" w:hAnsi="宋体" w:cs="黑体"/>
                <w:color w:val="auto"/>
                <w:sz w:val="22"/>
                <w:szCs w:val="22"/>
                <w:highlight w:val="none"/>
              </w:rPr>
            </w:pPr>
          </w:p>
        </w:tc>
        <w:tc>
          <w:tcPr>
            <w:tcW w:w="1278" w:type="dxa"/>
            <w:vAlign w:val="center"/>
          </w:tcPr>
          <w:p>
            <w:pPr>
              <w:jc w:val="center"/>
              <w:rPr>
                <w:rFonts w:ascii="宋体" w:hAnsi="宋体" w:cs="黑体"/>
                <w:color w:val="auto"/>
                <w:sz w:val="22"/>
                <w:szCs w:val="22"/>
                <w:highlight w:val="none"/>
              </w:rPr>
            </w:pPr>
          </w:p>
        </w:tc>
        <w:tc>
          <w:tcPr>
            <w:tcW w:w="1134" w:type="dxa"/>
            <w:vAlign w:val="center"/>
          </w:tcPr>
          <w:p>
            <w:pPr>
              <w:ind w:right="-11"/>
              <w:jc w:val="center"/>
              <w:rPr>
                <w:rFonts w:ascii="宋体" w:hAnsi="宋体" w:cs="黑体"/>
                <w:color w:val="auto"/>
                <w:sz w:val="22"/>
                <w:szCs w:val="22"/>
                <w:highlight w:val="none"/>
              </w:rPr>
            </w:pPr>
          </w:p>
        </w:tc>
        <w:tc>
          <w:tcPr>
            <w:tcW w:w="1106" w:type="dxa"/>
            <w:vAlign w:val="center"/>
          </w:tcPr>
          <w:p>
            <w:pPr>
              <w:jc w:val="center"/>
              <w:rPr>
                <w:rFonts w:ascii="宋体" w:hAnsi="宋体" w:cs="黑体"/>
                <w:color w:val="auto"/>
                <w:sz w:val="22"/>
                <w:szCs w:val="22"/>
                <w:highlight w:val="none"/>
              </w:rPr>
            </w:pPr>
          </w:p>
        </w:tc>
        <w:tc>
          <w:tcPr>
            <w:tcW w:w="1139" w:type="dxa"/>
            <w:vAlign w:val="center"/>
          </w:tcPr>
          <w:p>
            <w:pPr>
              <w:ind w:right="-11"/>
              <w:jc w:val="center"/>
              <w:rPr>
                <w:rFonts w:ascii="宋体" w:hAnsi="宋体" w:cs="黑体"/>
                <w:color w:val="auto"/>
                <w:sz w:val="22"/>
                <w:szCs w:val="22"/>
                <w:highlight w:val="none"/>
              </w:rPr>
            </w:pPr>
          </w:p>
        </w:tc>
        <w:tc>
          <w:tcPr>
            <w:tcW w:w="1198" w:type="dxa"/>
            <w:vAlign w:val="center"/>
          </w:tcPr>
          <w:p>
            <w:pPr>
              <w:ind w:right="-11"/>
              <w:jc w:val="center"/>
              <w:rPr>
                <w:rFonts w:ascii="宋体" w:hAnsi="宋体" w:cs="黑体"/>
                <w:color w:val="auto"/>
                <w:sz w:val="22"/>
                <w:szCs w:val="22"/>
                <w:highlight w:val="none"/>
              </w:rPr>
            </w:pPr>
          </w:p>
        </w:tc>
        <w:tc>
          <w:tcPr>
            <w:tcW w:w="1093" w:type="dxa"/>
          </w:tcPr>
          <w:p>
            <w:pPr>
              <w:ind w:right="-11"/>
              <w:jc w:val="center"/>
              <w:rPr>
                <w:rFonts w:ascii="宋体" w:hAnsi="宋体" w:cs="黑体"/>
                <w:color w:val="auto"/>
                <w:sz w:val="22"/>
                <w:szCs w:val="22"/>
                <w:highlight w:val="none"/>
              </w:rPr>
            </w:pPr>
          </w:p>
        </w:tc>
        <w:tc>
          <w:tcPr>
            <w:tcW w:w="1134" w:type="dxa"/>
            <w:tcBorders>
              <w:right w:val="single" w:color="auto" w:sz="12" w:space="0"/>
            </w:tcBorders>
            <w:vAlign w:val="center"/>
          </w:tcPr>
          <w:p>
            <w:pPr>
              <w:ind w:right="-11"/>
              <w:jc w:val="center"/>
              <w:rPr>
                <w:rFonts w:ascii="宋体" w:hAnsi="宋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tcBorders>
              <w:left w:val="single" w:color="auto" w:sz="12" w:space="0"/>
            </w:tcBorders>
            <w:vAlign w:val="center"/>
          </w:tcPr>
          <w:p>
            <w:pPr>
              <w:ind w:right="-11"/>
              <w:jc w:val="center"/>
              <w:rPr>
                <w:rFonts w:ascii="宋体" w:hAnsi="宋体" w:cs="黑体"/>
                <w:color w:val="auto"/>
                <w:sz w:val="22"/>
                <w:szCs w:val="22"/>
                <w:highlight w:val="none"/>
              </w:rPr>
            </w:pPr>
          </w:p>
        </w:tc>
        <w:tc>
          <w:tcPr>
            <w:tcW w:w="1555" w:type="dxa"/>
            <w:vAlign w:val="center"/>
          </w:tcPr>
          <w:p>
            <w:pPr>
              <w:jc w:val="center"/>
              <w:rPr>
                <w:rFonts w:ascii="宋体" w:hAnsi="宋体" w:cs="黑体"/>
                <w:color w:val="auto"/>
                <w:sz w:val="22"/>
                <w:szCs w:val="22"/>
                <w:highlight w:val="none"/>
              </w:rPr>
            </w:pPr>
          </w:p>
        </w:tc>
        <w:tc>
          <w:tcPr>
            <w:tcW w:w="1278" w:type="dxa"/>
            <w:vAlign w:val="center"/>
          </w:tcPr>
          <w:p>
            <w:pPr>
              <w:jc w:val="center"/>
              <w:rPr>
                <w:rFonts w:ascii="宋体" w:hAnsi="宋体" w:cs="黑体"/>
                <w:color w:val="auto"/>
                <w:sz w:val="22"/>
                <w:szCs w:val="22"/>
                <w:highlight w:val="none"/>
              </w:rPr>
            </w:pPr>
          </w:p>
        </w:tc>
        <w:tc>
          <w:tcPr>
            <w:tcW w:w="1134" w:type="dxa"/>
            <w:vAlign w:val="center"/>
          </w:tcPr>
          <w:p>
            <w:pPr>
              <w:ind w:right="-11"/>
              <w:jc w:val="center"/>
              <w:rPr>
                <w:rFonts w:ascii="宋体" w:hAnsi="宋体" w:cs="黑体"/>
                <w:color w:val="auto"/>
                <w:sz w:val="22"/>
                <w:szCs w:val="22"/>
                <w:highlight w:val="none"/>
              </w:rPr>
            </w:pPr>
          </w:p>
        </w:tc>
        <w:tc>
          <w:tcPr>
            <w:tcW w:w="1106" w:type="dxa"/>
            <w:vAlign w:val="center"/>
          </w:tcPr>
          <w:p>
            <w:pPr>
              <w:jc w:val="center"/>
              <w:rPr>
                <w:rFonts w:ascii="宋体" w:hAnsi="宋体" w:cs="黑体"/>
                <w:color w:val="auto"/>
                <w:sz w:val="22"/>
                <w:szCs w:val="22"/>
                <w:highlight w:val="none"/>
              </w:rPr>
            </w:pPr>
          </w:p>
        </w:tc>
        <w:tc>
          <w:tcPr>
            <w:tcW w:w="1139" w:type="dxa"/>
            <w:vAlign w:val="center"/>
          </w:tcPr>
          <w:p>
            <w:pPr>
              <w:ind w:right="-11"/>
              <w:jc w:val="center"/>
              <w:rPr>
                <w:rFonts w:ascii="宋体" w:hAnsi="宋体" w:cs="黑体"/>
                <w:color w:val="auto"/>
                <w:sz w:val="22"/>
                <w:szCs w:val="22"/>
                <w:highlight w:val="none"/>
              </w:rPr>
            </w:pPr>
          </w:p>
        </w:tc>
        <w:tc>
          <w:tcPr>
            <w:tcW w:w="1198" w:type="dxa"/>
            <w:vAlign w:val="center"/>
          </w:tcPr>
          <w:p>
            <w:pPr>
              <w:ind w:right="-11"/>
              <w:jc w:val="center"/>
              <w:rPr>
                <w:rFonts w:ascii="宋体" w:hAnsi="宋体" w:cs="黑体"/>
                <w:color w:val="auto"/>
                <w:sz w:val="22"/>
                <w:szCs w:val="22"/>
                <w:highlight w:val="none"/>
              </w:rPr>
            </w:pPr>
          </w:p>
        </w:tc>
        <w:tc>
          <w:tcPr>
            <w:tcW w:w="1093" w:type="dxa"/>
          </w:tcPr>
          <w:p>
            <w:pPr>
              <w:ind w:right="-11"/>
              <w:jc w:val="center"/>
              <w:rPr>
                <w:rFonts w:ascii="宋体" w:hAnsi="宋体" w:cs="黑体"/>
                <w:color w:val="auto"/>
                <w:sz w:val="22"/>
                <w:szCs w:val="22"/>
                <w:highlight w:val="none"/>
              </w:rPr>
            </w:pPr>
          </w:p>
        </w:tc>
        <w:tc>
          <w:tcPr>
            <w:tcW w:w="1134" w:type="dxa"/>
            <w:tcBorders>
              <w:right w:val="single" w:color="auto" w:sz="12" w:space="0"/>
            </w:tcBorders>
            <w:vAlign w:val="center"/>
          </w:tcPr>
          <w:p>
            <w:pPr>
              <w:ind w:right="-11"/>
              <w:jc w:val="center"/>
              <w:rPr>
                <w:rFonts w:ascii="宋体" w:hAnsi="宋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tcBorders>
              <w:left w:val="single" w:color="auto" w:sz="12" w:space="0"/>
            </w:tcBorders>
            <w:vAlign w:val="center"/>
          </w:tcPr>
          <w:p>
            <w:pPr>
              <w:ind w:right="-11"/>
              <w:jc w:val="center"/>
              <w:rPr>
                <w:rFonts w:ascii="宋体" w:hAnsi="宋体" w:cs="黑体"/>
                <w:color w:val="auto"/>
                <w:sz w:val="22"/>
                <w:szCs w:val="22"/>
                <w:highlight w:val="none"/>
              </w:rPr>
            </w:pPr>
          </w:p>
        </w:tc>
        <w:tc>
          <w:tcPr>
            <w:tcW w:w="1555" w:type="dxa"/>
            <w:vAlign w:val="center"/>
          </w:tcPr>
          <w:p>
            <w:pPr>
              <w:jc w:val="center"/>
              <w:rPr>
                <w:rFonts w:ascii="宋体" w:hAnsi="宋体" w:cs="黑体"/>
                <w:color w:val="auto"/>
                <w:sz w:val="22"/>
                <w:szCs w:val="22"/>
                <w:highlight w:val="none"/>
              </w:rPr>
            </w:pPr>
          </w:p>
        </w:tc>
        <w:tc>
          <w:tcPr>
            <w:tcW w:w="1278" w:type="dxa"/>
            <w:vAlign w:val="center"/>
          </w:tcPr>
          <w:p>
            <w:pPr>
              <w:jc w:val="center"/>
              <w:rPr>
                <w:rFonts w:ascii="宋体" w:hAnsi="宋体" w:cs="黑体"/>
                <w:color w:val="auto"/>
                <w:sz w:val="22"/>
                <w:szCs w:val="22"/>
                <w:highlight w:val="none"/>
              </w:rPr>
            </w:pPr>
          </w:p>
        </w:tc>
        <w:tc>
          <w:tcPr>
            <w:tcW w:w="1134" w:type="dxa"/>
            <w:vAlign w:val="center"/>
          </w:tcPr>
          <w:p>
            <w:pPr>
              <w:ind w:right="-11"/>
              <w:jc w:val="center"/>
              <w:rPr>
                <w:rFonts w:ascii="宋体" w:hAnsi="宋体" w:cs="黑体"/>
                <w:color w:val="auto"/>
                <w:sz w:val="22"/>
                <w:szCs w:val="22"/>
                <w:highlight w:val="none"/>
              </w:rPr>
            </w:pPr>
          </w:p>
        </w:tc>
        <w:tc>
          <w:tcPr>
            <w:tcW w:w="1106" w:type="dxa"/>
            <w:vAlign w:val="center"/>
          </w:tcPr>
          <w:p>
            <w:pPr>
              <w:jc w:val="center"/>
              <w:rPr>
                <w:rFonts w:ascii="宋体" w:hAnsi="宋体" w:cs="黑体"/>
                <w:color w:val="auto"/>
                <w:sz w:val="22"/>
                <w:szCs w:val="22"/>
                <w:highlight w:val="none"/>
              </w:rPr>
            </w:pPr>
          </w:p>
        </w:tc>
        <w:tc>
          <w:tcPr>
            <w:tcW w:w="1139" w:type="dxa"/>
            <w:vAlign w:val="center"/>
          </w:tcPr>
          <w:p>
            <w:pPr>
              <w:ind w:right="-11"/>
              <w:jc w:val="center"/>
              <w:rPr>
                <w:rFonts w:ascii="宋体" w:hAnsi="宋体" w:cs="黑体"/>
                <w:color w:val="auto"/>
                <w:sz w:val="22"/>
                <w:szCs w:val="22"/>
                <w:highlight w:val="none"/>
              </w:rPr>
            </w:pPr>
          </w:p>
        </w:tc>
        <w:tc>
          <w:tcPr>
            <w:tcW w:w="1198" w:type="dxa"/>
            <w:vAlign w:val="center"/>
          </w:tcPr>
          <w:p>
            <w:pPr>
              <w:ind w:right="-11"/>
              <w:jc w:val="center"/>
              <w:rPr>
                <w:rFonts w:ascii="宋体" w:hAnsi="宋体" w:cs="黑体"/>
                <w:color w:val="auto"/>
                <w:sz w:val="22"/>
                <w:szCs w:val="22"/>
                <w:highlight w:val="none"/>
              </w:rPr>
            </w:pPr>
          </w:p>
        </w:tc>
        <w:tc>
          <w:tcPr>
            <w:tcW w:w="1093" w:type="dxa"/>
          </w:tcPr>
          <w:p>
            <w:pPr>
              <w:ind w:right="-11"/>
              <w:jc w:val="center"/>
              <w:rPr>
                <w:rFonts w:ascii="宋体" w:hAnsi="宋体" w:cs="黑体"/>
                <w:color w:val="auto"/>
                <w:sz w:val="22"/>
                <w:szCs w:val="22"/>
                <w:highlight w:val="none"/>
              </w:rPr>
            </w:pPr>
          </w:p>
        </w:tc>
        <w:tc>
          <w:tcPr>
            <w:tcW w:w="1134" w:type="dxa"/>
            <w:tcBorders>
              <w:right w:val="single" w:color="auto" w:sz="12" w:space="0"/>
            </w:tcBorders>
            <w:vAlign w:val="center"/>
          </w:tcPr>
          <w:p>
            <w:pPr>
              <w:ind w:right="-11"/>
              <w:jc w:val="center"/>
              <w:rPr>
                <w:rFonts w:ascii="宋体" w:hAnsi="宋体" w:cs="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510" w:type="dxa"/>
            <w:gridSpan w:val="3"/>
            <w:tcBorders>
              <w:left w:val="single" w:color="auto" w:sz="12" w:space="0"/>
              <w:bottom w:val="single" w:color="auto" w:sz="12" w:space="0"/>
            </w:tcBorders>
            <w:vAlign w:val="center"/>
          </w:tcPr>
          <w:p>
            <w:pPr>
              <w:ind w:right="-10"/>
              <w:jc w:val="center"/>
              <w:rPr>
                <w:rFonts w:ascii="宋体" w:hAnsi="宋体" w:cs="黑体"/>
                <w:b/>
                <w:bCs/>
                <w:color w:val="auto"/>
                <w:sz w:val="22"/>
                <w:szCs w:val="22"/>
                <w:highlight w:val="none"/>
              </w:rPr>
            </w:pPr>
            <w:r>
              <w:rPr>
                <w:rFonts w:hint="eastAsia" w:ascii="宋体" w:hAnsi="宋体" w:cs="黑体"/>
                <w:b/>
                <w:bCs/>
                <w:color w:val="auto"/>
                <w:sz w:val="22"/>
                <w:szCs w:val="22"/>
                <w:highlight w:val="none"/>
              </w:rPr>
              <w:t>合计</w:t>
            </w:r>
          </w:p>
        </w:tc>
        <w:tc>
          <w:tcPr>
            <w:tcW w:w="6804" w:type="dxa"/>
            <w:gridSpan w:val="6"/>
            <w:tcBorders>
              <w:bottom w:val="single" w:color="auto" w:sz="12" w:space="0"/>
              <w:right w:val="single" w:color="auto" w:sz="12" w:space="0"/>
            </w:tcBorders>
          </w:tcPr>
          <w:p>
            <w:pPr>
              <w:ind w:right="-10"/>
              <w:rPr>
                <w:rFonts w:ascii="宋体" w:hAnsi="宋体" w:cs="黑体"/>
                <w:color w:val="auto"/>
                <w:sz w:val="22"/>
                <w:szCs w:val="22"/>
                <w:highlight w:val="none"/>
              </w:rPr>
            </w:pPr>
            <w:r>
              <w:rPr>
                <w:rFonts w:hint="eastAsia" w:ascii="宋体" w:hAnsi="宋体"/>
                <w:color w:val="auto"/>
                <w:sz w:val="22"/>
                <w:szCs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510" w:type="dxa"/>
            <w:gridSpan w:val="3"/>
            <w:tcBorders>
              <w:top w:val="single" w:color="auto" w:sz="2" w:space="0"/>
              <w:left w:val="single" w:color="auto" w:sz="12" w:space="0"/>
              <w:bottom w:val="single" w:color="auto" w:sz="2" w:space="0"/>
            </w:tcBorders>
            <w:vAlign w:val="center"/>
          </w:tcPr>
          <w:p>
            <w:pPr>
              <w:ind w:right="-11"/>
              <w:rPr>
                <w:rFonts w:ascii="宋体" w:hAnsi="宋体" w:cs="黑体"/>
                <w:color w:val="auto"/>
                <w:sz w:val="22"/>
                <w:szCs w:val="22"/>
                <w:highlight w:val="none"/>
              </w:rPr>
            </w:pPr>
            <w:r>
              <w:rPr>
                <w:rFonts w:hint="eastAsia" w:ascii="宋体" w:hAnsi="宋体"/>
                <w:color w:val="auto"/>
                <w:sz w:val="22"/>
                <w:szCs w:val="22"/>
                <w:highlight w:val="none"/>
              </w:rPr>
              <w:t>随机备品备件、耗材、专用工具（如有）</w:t>
            </w:r>
          </w:p>
        </w:tc>
        <w:tc>
          <w:tcPr>
            <w:tcW w:w="6804" w:type="dxa"/>
            <w:gridSpan w:val="6"/>
            <w:tcBorders>
              <w:top w:val="single" w:color="auto" w:sz="2" w:space="0"/>
              <w:bottom w:val="single" w:color="auto" w:sz="2" w:space="0"/>
              <w:right w:val="single" w:color="auto" w:sz="12" w:space="0"/>
            </w:tcBorders>
            <w:vAlign w:val="center"/>
          </w:tcPr>
          <w:p>
            <w:pPr>
              <w:ind w:right="-10"/>
              <w:jc w:val="center"/>
              <w:rPr>
                <w:rFonts w:ascii="宋体" w:hAnsi="宋体" w:cs="黑体"/>
                <w:color w:val="auto"/>
                <w:sz w:val="22"/>
                <w:szCs w:val="22"/>
                <w:highlight w:val="none"/>
              </w:rPr>
            </w:pPr>
            <w:r>
              <w:rPr>
                <w:rFonts w:hint="eastAsia" w:ascii="宋体" w:hAnsi="宋体"/>
                <w:color w:val="auto"/>
                <w:sz w:val="22"/>
                <w:szCs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510" w:type="dxa"/>
            <w:gridSpan w:val="3"/>
            <w:tcBorders>
              <w:top w:val="single" w:color="auto" w:sz="2" w:space="0"/>
              <w:left w:val="single" w:color="auto" w:sz="12" w:space="0"/>
              <w:bottom w:val="single" w:color="auto" w:sz="2" w:space="0"/>
            </w:tcBorders>
            <w:vAlign w:val="center"/>
          </w:tcPr>
          <w:p>
            <w:pPr>
              <w:ind w:right="-11"/>
              <w:rPr>
                <w:rFonts w:ascii="宋体" w:hAnsi="宋体" w:cs="黑体"/>
                <w:color w:val="auto"/>
                <w:sz w:val="22"/>
                <w:szCs w:val="22"/>
                <w:highlight w:val="none"/>
              </w:rPr>
            </w:pPr>
            <w:r>
              <w:rPr>
                <w:rFonts w:hint="eastAsia" w:ascii="宋体" w:hAnsi="宋体" w:cs="黑体"/>
                <w:color w:val="auto"/>
                <w:sz w:val="22"/>
                <w:szCs w:val="22"/>
                <w:highlight w:val="none"/>
              </w:rPr>
              <w:t>运杂及保险费（含卸货）</w:t>
            </w:r>
          </w:p>
        </w:tc>
        <w:tc>
          <w:tcPr>
            <w:tcW w:w="6804" w:type="dxa"/>
            <w:gridSpan w:val="6"/>
            <w:tcBorders>
              <w:top w:val="single" w:color="auto" w:sz="2" w:space="0"/>
              <w:bottom w:val="single" w:color="auto" w:sz="2" w:space="0"/>
              <w:right w:val="single" w:color="auto" w:sz="12" w:space="0"/>
            </w:tcBorders>
            <w:vAlign w:val="center"/>
          </w:tcPr>
          <w:p>
            <w:pPr>
              <w:ind w:right="-10"/>
              <w:jc w:val="center"/>
              <w:rPr>
                <w:rFonts w:ascii="宋体" w:hAnsi="宋体" w:cs="黑体"/>
                <w:color w:val="auto"/>
                <w:sz w:val="22"/>
                <w:szCs w:val="22"/>
                <w:highlight w:val="none"/>
              </w:rPr>
            </w:pPr>
            <w:r>
              <w:rPr>
                <w:rFonts w:hint="eastAsia" w:ascii="宋体" w:hAnsi="宋体"/>
                <w:color w:val="auto"/>
                <w:sz w:val="22"/>
                <w:szCs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510" w:type="dxa"/>
            <w:gridSpan w:val="3"/>
            <w:tcBorders>
              <w:top w:val="single" w:color="auto" w:sz="2" w:space="0"/>
              <w:left w:val="single" w:color="auto" w:sz="12" w:space="0"/>
              <w:bottom w:val="single" w:color="auto" w:sz="2" w:space="0"/>
            </w:tcBorders>
            <w:vAlign w:val="center"/>
          </w:tcPr>
          <w:p>
            <w:pPr>
              <w:ind w:right="-11"/>
              <w:rPr>
                <w:rFonts w:ascii="宋体" w:hAnsi="宋体" w:cs="黑体"/>
                <w:color w:val="auto"/>
                <w:sz w:val="22"/>
                <w:szCs w:val="22"/>
                <w:highlight w:val="none"/>
              </w:rPr>
            </w:pPr>
            <w:r>
              <w:rPr>
                <w:rFonts w:hint="eastAsia" w:ascii="宋体" w:hAnsi="宋体"/>
                <w:color w:val="auto"/>
                <w:sz w:val="22"/>
                <w:szCs w:val="22"/>
                <w:highlight w:val="none"/>
              </w:rPr>
              <w:t>安装、调试及验收费（包括设备的测试、调试、验收等费用）</w:t>
            </w:r>
          </w:p>
        </w:tc>
        <w:tc>
          <w:tcPr>
            <w:tcW w:w="6804" w:type="dxa"/>
            <w:gridSpan w:val="6"/>
            <w:tcBorders>
              <w:top w:val="single" w:color="auto" w:sz="2" w:space="0"/>
              <w:bottom w:val="single" w:color="auto" w:sz="2" w:space="0"/>
              <w:right w:val="single" w:color="auto" w:sz="12" w:space="0"/>
            </w:tcBorders>
            <w:vAlign w:val="center"/>
          </w:tcPr>
          <w:p>
            <w:pPr>
              <w:ind w:right="-10"/>
              <w:jc w:val="center"/>
              <w:rPr>
                <w:rFonts w:ascii="宋体" w:hAnsi="宋体" w:cs="黑体"/>
                <w:color w:val="auto"/>
                <w:sz w:val="22"/>
                <w:szCs w:val="22"/>
                <w:highlight w:val="none"/>
              </w:rPr>
            </w:pPr>
            <w:r>
              <w:rPr>
                <w:rFonts w:hint="eastAsia" w:ascii="宋体" w:hAnsi="宋体"/>
                <w:color w:val="auto"/>
                <w:sz w:val="22"/>
                <w:szCs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510" w:type="dxa"/>
            <w:gridSpan w:val="3"/>
            <w:tcBorders>
              <w:top w:val="single" w:color="auto" w:sz="2" w:space="0"/>
              <w:left w:val="single" w:color="auto" w:sz="12" w:space="0"/>
              <w:bottom w:val="single" w:color="auto" w:sz="2" w:space="0"/>
            </w:tcBorders>
            <w:vAlign w:val="center"/>
          </w:tcPr>
          <w:p>
            <w:pPr>
              <w:ind w:right="-11"/>
              <w:rPr>
                <w:rFonts w:ascii="宋体" w:hAnsi="宋体"/>
                <w:color w:val="auto"/>
                <w:sz w:val="22"/>
                <w:szCs w:val="22"/>
                <w:highlight w:val="none"/>
              </w:rPr>
            </w:pPr>
            <w:r>
              <w:rPr>
                <w:rFonts w:hint="eastAsia" w:ascii="宋体" w:hAnsi="宋体" w:cs="黑体"/>
                <w:color w:val="auto"/>
                <w:sz w:val="22"/>
                <w:szCs w:val="22"/>
                <w:highlight w:val="none"/>
              </w:rPr>
              <w:t>技术培训费、技术服务费、售后服务费等</w:t>
            </w:r>
          </w:p>
        </w:tc>
        <w:tc>
          <w:tcPr>
            <w:tcW w:w="6804" w:type="dxa"/>
            <w:gridSpan w:val="6"/>
            <w:tcBorders>
              <w:top w:val="single" w:color="auto" w:sz="2" w:space="0"/>
              <w:bottom w:val="single" w:color="auto" w:sz="2" w:space="0"/>
              <w:right w:val="single" w:color="auto" w:sz="12" w:space="0"/>
            </w:tcBorders>
            <w:vAlign w:val="center"/>
          </w:tcPr>
          <w:p>
            <w:pPr>
              <w:ind w:right="-10"/>
              <w:jc w:val="center"/>
              <w:rPr>
                <w:rFonts w:ascii="宋体" w:hAnsi="宋体" w:cs="黑体"/>
                <w:color w:val="auto"/>
                <w:sz w:val="22"/>
                <w:szCs w:val="22"/>
                <w:highlight w:val="none"/>
              </w:rPr>
            </w:pPr>
            <w:r>
              <w:rPr>
                <w:rFonts w:hint="eastAsia" w:ascii="宋体" w:hAnsi="宋体"/>
                <w:color w:val="auto"/>
                <w:sz w:val="22"/>
                <w:szCs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510" w:type="dxa"/>
            <w:gridSpan w:val="3"/>
            <w:tcBorders>
              <w:top w:val="single" w:color="auto" w:sz="2" w:space="0"/>
              <w:left w:val="single" w:color="auto" w:sz="12" w:space="0"/>
              <w:bottom w:val="single" w:color="auto" w:sz="2" w:space="0"/>
            </w:tcBorders>
            <w:vAlign w:val="center"/>
          </w:tcPr>
          <w:p>
            <w:pPr>
              <w:ind w:right="-11"/>
              <w:rPr>
                <w:rFonts w:ascii="宋体" w:hAnsi="宋体"/>
                <w:color w:val="auto"/>
                <w:sz w:val="22"/>
                <w:szCs w:val="22"/>
                <w:highlight w:val="none"/>
              </w:rPr>
            </w:pPr>
            <w:r>
              <w:rPr>
                <w:rFonts w:hint="eastAsia" w:ascii="宋体" w:hAnsi="宋体" w:cs="黑体"/>
                <w:color w:val="auto"/>
                <w:sz w:val="22"/>
                <w:szCs w:val="22"/>
                <w:highlight w:val="none"/>
              </w:rPr>
              <w:t>其他相关费用</w:t>
            </w:r>
          </w:p>
        </w:tc>
        <w:tc>
          <w:tcPr>
            <w:tcW w:w="6804" w:type="dxa"/>
            <w:gridSpan w:val="6"/>
            <w:tcBorders>
              <w:top w:val="single" w:color="auto" w:sz="2" w:space="0"/>
              <w:bottom w:val="single" w:color="auto" w:sz="2" w:space="0"/>
              <w:right w:val="single" w:color="auto" w:sz="12" w:space="0"/>
            </w:tcBorders>
            <w:vAlign w:val="center"/>
          </w:tcPr>
          <w:p>
            <w:pPr>
              <w:ind w:right="-10"/>
              <w:jc w:val="center"/>
              <w:rPr>
                <w:rFonts w:ascii="宋体" w:hAnsi="宋体" w:cs="黑体"/>
                <w:color w:val="auto"/>
                <w:sz w:val="22"/>
                <w:szCs w:val="22"/>
                <w:highlight w:val="none"/>
              </w:rPr>
            </w:pPr>
            <w:r>
              <w:rPr>
                <w:rFonts w:hint="eastAsia" w:ascii="宋体" w:hAnsi="宋体"/>
                <w:color w:val="auto"/>
                <w:sz w:val="22"/>
                <w:szCs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3510" w:type="dxa"/>
            <w:gridSpan w:val="3"/>
            <w:tcBorders>
              <w:top w:val="single" w:color="auto" w:sz="2" w:space="0"/>
              <w:left w:val="single" w:color="auto" w:sz="12" w:space="0"/>
              <w:bottom w:val="single" w:color="auto" w:sz="12" w:space="0"/>
            </w:tcBorders>
            <w:vAlign w:val="center"/>
          </w:tcPr>
          <w:p>
            <w:pPr>
              <w:ind w:right="-11"/>
              <w:rPr>
                <w:rFonts w:ascii="宋体" w:hAnsi="宋体" w:cs="黑体"/>
                <w:b/>
                <w:color w:val="auto"/>
                <w:sz w:val="22"/>
                <w:szCs w:val="22"/>
                <w:highlight w:val="none"/>
              </w:rPr>
            </w:pPr>
            <w:r>
              <w:rPr>
                <w:rFonts w:hint="eastAsia" w:ascii="宋体" w:hAnsi="宋体"/>
                <w:b/>
                <w:bCs/>
                <w:color w:val="auto"/>
                <w:sz w:val="22"/>
                <w:szCs w:val="22"/>
                <w:highlight w:val="none"/>
              </w:rPr>
              <w:t>第一次磋商报价（</w:t>
            </w:r>
            <w:r>
              <w:rPr>
                <w:rFonts w:hint="eastAsia" w:ascii="宋体" w:hAnsi="宋体" w:cs="黑体"/>
                <w:b/>
                <w:color w:val="auto"/>
                <w:sz w:val="22"/>
                <w:szCs w:val="22"/>
                <w:highlight w:val="none"/>
              </w:rPr>
              <w:t>总计）</w:t>
            </w:r>
          </w:p>
        </w:tc>
        <w:tc>
          <w:tcPr>
            <w:tcW w:w="6804" w:type="dxa"/>
            <w:gridSpan w:val="6"/>
            <w:tcBorders>
              <w:top w:val="single" w:color="auto" w:sz="2" w:space="0"/>
              <w:bottom w:val="single" w:color="auto" w:sz="12" w:space="0"/>
              <w:right w:val="single" w:color="auto" w:sz="12" w:space="0"/>
            </w:tcBorders>
            <w:vAlign w:val="center"/>
          </w:tcPr>
          <w:p>
            <w:pPr>
              <w:ind w:right="-10"/>
              <w:jc w:val="center"/>
              <w:rPr>
                <w:rFonts w:ascii="宋体" w:hAnsi="宋体" w:cs="黑体"/>
                <w:color w:val="auto"/>
                <w:sz w:val="22"/>
                <w:szCs w:val="22"/>
                <w:highlight w:val="none"/>
              </w:rPr>
            </w:pPr>
            <w:r>
              <w:rPr>
                <w:rFonts w:hint="eastAsia" w:ascii="宋体" w:hAnsi="宋体"/>
                <w:color w:val="auto"/>
                <w:sz w:val="22"/>
                <w:szCs w:val="22"/>
                <w:highlight w:val="none"/>
                <w:lang w:val="en-US" w:eastAsia="zh-CN"/>
              </w:rPr>
              <w:t>元</w:t>
            </w:r>
          </w:p>
        </w:tc>
      </w:tr>
      <w:bookmarkEnd w:id="210"/>
    </w:tbl>
    <w:p>
      <w:pPr>
        <w:pStyle w:val="2"/>
        <w:rPr>
          <w:rFonts w:hint="eastAsia" w:ascii="宋体" w:hAnsi="宋体"/>
          <w:color w:val="auto"/>
          <w:sz w:val="22"/>
          <w:szCs w:val="22"/>
          <w:highlight w:val="none"/>
        </w:rPr>
      </w:pPr>
    </w:p>
    <w:p>
      <w:pPr>
        <w:spacing w:line="460" w:lineRule="exact"/>
        <w:rPr>
          <w:rFonts w:ascii="宋体" w:hAnsi="宋体"/>
          <w:b/>
          <w:color w:val="auto"/>
          <w:sz w:val="22"/>
          <w:szCs w:val="22"/>
          <w:highlight w:val="none"/>
        </w:rPr>
      </w:pPr>
      <w:r>
        <w:rPr>
          <w:rFonts w:hint="eastAsia" w:ascii="宋体" w:hAnsi="宋体"/>
          <w:b/>
          <w:color w:val="auto"/>
          <w:sz w:val="22"/>
          <w:szCs w:val="22"/>
          <w:highlight w:val="none"/>
        </w:rPr>
        <w:t>说明：</w:t>
      </w:r>
    </w:p>
    <w:p>
      <w:pPr>
        <w:spacing w:line="460" w:lineRule="exact"/>
        <w:rPr>
          <w:rFonts w:ascii="宋体" w:hAnsi="宋体"/>
          <w:b/>
          <w:color w:val="auto"/>
          <w:sz w:val="22"/>
          <w:szCs w:val="22"/>
          <w:highlight w:val="none"/>
        </w:rPr>
      </w:pPr>
      <w:r>
        <w:rPr>
          <w:rFonts w:hint="eastAsia" w:ascii="宋体" w:hAnsi="宋体"/>
          <w:b/>
          <w:color w:val="auto"/>
          <w:sz w:val="22"/>
          <w:szCs w:val="22"/>
          <w:highlight w:val="none"/>
        </w:rPr>
        <w:t>1．报价构成明细表中的第一次磋商报价应与开标一览表中的“第一次磋商报价”相一致。</w:t>
      </w:r>
    </w:p>
    <w:p>
      <w:pPr>
        <w:spacing w:line="460" w:lineRule="exact"/>
        <w:rPr>
          <w:rFonts w:ascii="宋体" w:hAnsi="宋体"/>
          <w:b/>
          <w:color w:val="auto"/>
          <w:sz w:val="22"/>
          <w:szCs w:val="22"/>
          <w:highlight w:val="none"/>
        </w:rPr>
      </w:pPr>
      <w:r>
        <w:rPr>
          <w:rFonts w:ascii="宋体" w:hAnsi="宋体"/>
          <w:b/>
          <w:color w:val="auto"/>
          <w:sz w:val="22"/>
          <w:szCs w:val="22"/>
          <w:highlight w:val="none"/>
        </w:rPr>
        <w:t>2</w:t>
      </w:r>
      <w:r>
        <w:rPr>
          <w:rFonts w:hint="eastAsia" w:ascii="宋体" w:hAnsi="宋体"/>
          <w:b/>
          <w:color w:val="auto"/>
          <w:sz w:val="22"/>
          <w:szCs w:val="22"/>
          <w:highlight w:val="none"/>
        </w:rPr>
        <w:t>. 各项费用如已包含在产品价格中请注明“含”。</w:t>
      </w:r>
    </w:p>
    <w:p>
      <w:pPr>
        <w:spacing w:line="460" w:lineRule="exact"/>
        <w:rPr>
          <w:rFonts w:ascii="宋体" w:hAnsi="宋体"/>
          <w:color w:val="auto"/>
          <w:sz w:val="22"/>
          <w:szCs w:val="22"/>
          <w:highlight w:val="none"/>
        </w:rPr>
      </w:pPr>
      <w:r>
        <w:rPr>
          <w:rFonts w:ascii="宋体" w:hAnsi="宋体"/>
          <w:color w:val="auto"/>
          <w:sz w:val="22"/>
          <w:szCs w:val="22"/>
          <w:highlight w:val="none"/>
        </w:rPr>
        <w:t>3</w:t>
      </w:r>
      <w:r>
        <w:rPr>
          <w:rFonts w:hint="eastAsia" w:ascii="宋体" w:hAnsi="宋体"/>
          <w:color w:val="auto"/>
          <w:sz w:val="22"/>
          <w:szCs w:val="22"/>
          <w:highlight w:val="none"/>
        </w:rPr>
        <w:t>. 本表可在不改变格式的情况下根据具体需要自行增减。</w:t>
      </w:r>
    </w:p>
    <w:p>
      <w:pPr>
        <w:spacing w:line="460" w:lineRule="exact"/>
        <w:rPr>
          <w:rFonts w:ascii="宋体" w:hAnsi="宋体"/>
          <w:b/>
          <w:color w:val="auto"/>
          <w:sz w:val="22"/>
          <w:szCs w:val="22"/>
          <w:highlight w:val="none"/>
        </w:rPr>
      </w:pPr>
      <w:r>
        <w:rPr>
          <w:rFonts w:hint="eastAsia" w:ascii="宋体" w:hAnsi="宋体"/>
          <w:b/>
          <w:color w:val="auto"/>
          <w:sz w:val="22"/>
          <w:szCs w:val="22"/>
          <w:highlight w:val="none"/>
          <w:u w:val="single"/>
        </w:rPr>
        <w:t>※不提供《报价构成明细表》的响应文件将被视为未实质性响应磋商文件，</w:t>
      </w:r>
      <w:r>
        <w:rPr>
          <w:rFonts w:hint="eastAsia" w:ascii="宋体" w:hAnsi="宋体" w:cs="Courier New"/>
          <w:b/>
          <w:color w:val="auto"/>
          <w:sz w:val="22"/>
          <w:szCs w:val="22"/>
          <w:highlight w:val="none"/>
          <w:u w:val="single"/>
        </w:rPr>
        <w:t>其响应无效</w:t>
      </w:r>
      <w:r>
        <w:rPr>
          <w:rFonts w:hint="eastAsia" w:ascii="宋体" w:hAnsi="宋体"/>
          <w:b/>
          <w:color w:val="auto"/>
          <w:sz w:val="22"/>
          <w:szCs w:val="22"/>
          <w:highlight w:val="none"/>
          <w:u w:val="single"/>
        </w:rPr>
        <w:t>。</w:t>
      </w:r>
    </w:p>
    <w:p>
      <w:pPr>
        <w:tabs>
          <w:tab w:val="left" w:pos="840"/>
        </w:tabs>
        <w:adjustRightInd w:val="0"/>
        <w:snapToGrid w:val="0"/>
        <w:spacing w:line="360" w:lineRule="auto"/>
        <w:ind w:left="420" w:leftChars="200" w:firstLine="331" w:firstLineChars="150"/>
        <w:rPr>
          <w:rFonts w:ascii="宋体" w:hAnsi="宋体"/>
          <w:b/>
          <w:color w:val="auto"/>
          <w:sz w:val="22"/>
          <w:szCs w:val="22"/>
          <w:highlight w:val="none"/>
        </w:rPr>
      </w:pPr>
    </w:p>
    <w:p>
      <w:pPr>
        <w:tabs>
          <w:tab w:val="left" w:pos="840"/>
        </w:tabs>
        <w:adjustRightInd w:val="0"/>
        <w:snapToGrid w:val="0"/>
        <w:spacing w:line="360" w:lineRule="auto"/>
        <w:ind w:left="420" w:leftChars="200" w:firstLine="330" w:firstLineChars="150"/>
        <w:rPr>
          <w:rFonts w:ascii="宋体" w:hAnsi="宋体"/>
          <w:color w:val="auto"/>
          <w:sz w:val="22"/>
          <w:szCs w:val="22"/>
          <w:highlight w:val="none"/>
        </w:rPr>
      </w:pPr>
      <w:r>
        <w:rPr>
          <w:rFonts w:hint="eastAsia" w:ascii="宋体" w:hAnsi="宋体" w:cs="Courier New"/>
          <w:bCs/>
          <w:color w:val="auto"/>
          <w:sz w:val="22"/>
          <w:szCs w:val="22"/>
          <w:highlight w:val="none"/>
        </w:rPr>
        <w:t>供应商全称（盖章）：</w:t>
      </w:r>
    </w:p>
    <w:p>
      <w:pPr>
        <w:tabs>
          <w:tab w:val="left" w:pos="840"/>
        </w:tabs>
        <w:adjustRightInd w:val="0"/>
        <w:snapToGrid w:val="0"/>
        <w:spacing w:line="360" w:lineRule="auto"/>
        <w:ind w:left="420" w:leftChars="200" w:firstLine="330" w:firstLineChars="150"/>
        <w:rPr>
          <w:rFonts w:ascii="宋体" w:hAnsi="宋体"/>
          <w:color w:val="auto"/>
          <w:sz w:val="22"/>
          <w:szCs w:val="22"/>
          <w:highlight w:val="none"/>
        </w:rPr>
      </w:pPr>
      <w:r>
        <w:rPr>
          <w:rFonts w:hint="eastAsia" w:ascii="宋体" w:hAnsi="宋体"/>
          <w:color w:val="auto"/>
          <w:sz w:val="22"/>
          <w:szCs w:val="22"/>
          <w:highlight w:val="none"/>
        </w:rPr>
        <w:t>单位负责人或授权代表（签字或盖章）：</w:t>
      </w:r>
    </w:p>
    <w:p>
      <w:pPr>
        <w:tabs>
          <w:tab w:val="left" w:pos="840"/>
        </w:tabs>
        <w:adjustRightInd w:val="0"/>
        <w:snapToGrid w:val="0"/>
        <w:spacing w:line="360" w:lineRule="auto"/>
        <w:ind w:left="420" w:leftChars="200" w:firstLine="330" w:firstLineChars="150"/>
        <w:rPr>
          <w:rFonts w:ascii="宋体" w:hAnsi="宋体"/>
          <w:b/>
          <w:bCs/>
          <w:color w:val="auto"/>
          <w:sz w:val="28"/>
          <w:szCs w:val="28"/>
          <w:highlight w:val="none"/>
        </w:rPr>
        <w:sectPr>
          <w:footerReference r:id="rId5" w:type="first"/>
          <w:footerReference r:id="rId4" w:type="default"/>
          <w:pgSz w:w="11906" w:h="16838"/>
          <w:pgMar w:top="1134" w:right="1134" w:bottom="1134" w:left="1134" w:header="851" w:footer="851" w:gutter="0"/>
          <w:cols w:space="720" w:num="1"/>
          <w:titlePg/>
          <w:docGrid w:linePitch="312" w:charSpace="0"/>
        </w:sectPr>
      </w:pPr>
      <w:r>
        <w:rPr>
          <w:rFonts w:hint="eastAsia" w:ascii="宋体" w:hAnsi="宋体"/>
          <w:color w:val="auto"/>
          <w:sz w:val="22"/>
          <w:szCs w:val="22"/>
          <w:highlight w:val="none"/>
        </w:rPr>
        <w:t>日          期：  年  月  日</w:t>
      </w:r>
    </w:p>
    <w:p>
      <w:pPr>
        <w:pStyle w:val="7"/>
        <w:jc w:val="center"/>
        <w:rPr>
          <w:b/>
          <w:bCs/>
          <w:color w:val="auto"/>
          <w:sz w:val="44"/>
          <w:szCs w:val="26"/>
          <w:highlight w:val="none"/>
        </w:rPr>
      </w:pPr>
      <w:bookmarkStart w:id="211" w:name="_Toc1658"/>
      <w:bookmarkStart w:id="212" w:name="_Toc26554"/>
      <w:r>
        <w:rPr>
          <w:rFonts w:hint="eastAsia"/>
          <w:b/>
          <w:bCs/>
          <w:color w:val="auto"/>
          <w:sz w:val="44"/>
          <w:szCs w:val="26"/>
          <w:highlight w:val="none"/>
        </w:rPr>
        <w:t>商务技术文件</w:t>
      </w:r>
      <w:bookmarkEnd w:id="211"/>
      <w:bookmarkEnd w:id="212"/>
    </w:p>
    <w:p>
      <w:pPr>
        <w:adjustRightInd w:val="0"/>
        <w:snapToGrid w:val="0"/>
        <w:spacing w:line="460" w:lineRule="atLeast"/>
        <w:rPr>
          <w:rFonts w:ascii="宋体" w:hAnsi="宋体"/>
          <w:b/>
          <w:bCs/>
          <w:color w:val="auto"/>
          <w:szCs w:val="21"/>
          <w:highlight w:val="none"/>
        </w:rPr>
      </w:pPr>
    </w:p>
    <w:p>
      <w:pPr>
        <w:spacing w:line="460" w:lineRule="exact"/>
        <w:jc w:val="center"/>
        <w:rPr>
          <w:rFonts w:ascii="宋体" w:hAnsi="宋体"/>
          <w:b/>
          <w:bCs/>
          <w:color w:val="auto"/>
          <w:sz w:val="30"/>
          <w:szCs w:val="30"/>
          <w:highlight w:val="none"/>
        </w:rPr>
      </w:pPr>
      <w:r>
        <w:rPr>
          <w:rFonts w:hint="eastAsia" w:ascii="宋体" w:hAnsi="宋体"/>
          <w:b/>
          <w:bCs/>
          <w:color w:val="auto"/>
          <w:sz w:val="30"/>
          <w:szCs w:val="30"/>
          <w:highlight w:val="none"/>
        </w:rPr>
        <w:t>一、磋商响应函</w:t>
      </w:r>
    </w:p>
    <w:p>
      <w:pPr>
        <w:pStyle w:val="16"/>
        <w:spacing w:line="360" w:lineRule="auto"/>
        <w:rPr>
          <w:rFonts w:ascii="宋体" w:hAnsi="宋体" w:eastAsia="宋体" w:cs="Courier New"/>
          <w:color w:val="auto"/>
          <w:sz w:val="22"/>
          <w:szCs w:val="22"/>
          <w:highlight w:val="none"/>
        </w:rPr>
      </w:pPr>
      <w:r>
        <w:rPr>
          <w:rFonts w:hint="eastAsia" w:ascii="宋体" w:hAnsi="宋体" w:eastAsia="宋体" w:cs="Courier New"/>
          <w:color w:val="auto"/>
          <w:sz w:val="22"/>
          <w:szCs w:val="22"/>
          <w:highlight w:val="none"/>
        </w:rPr>
        <w:t>温州市华睿生物医药有限公司：</w:t>
      </w:r>
    </w:p>
    <w:p>
      <w:pPr>
        <w:pStyle w:val="16"/>
        <w:spacing w:line="360" w:lineRule="auto"/>
        <w:rPr>
          <w:rFonts w:hAnsi="宋体" w:cs="Courier New"/>
          <w:color w:val="auto"/>
          <w:sz w:val="22"/>
          <w:szCs w:val="22"/>
          <w:highlight w:val="none"/>
        </w:rPr>
      </w:pPr>
      <w:r>
        <w:rPr>
          <w:rFonts w:hint="eastAsia" w:hAnsi="宋体" w:cs="Courier New"/>
          <w:color w:val="auto"/>
          <w:sz w:val="22"/>
          <w:szCs w:val="22"/>
          <w:highlight w:val="none"/>
          <w:lang w:eastAsia="zh-CN"/>
        </w:rPr>
        <w:t>浙江同信工程项目管理有限公司</w:t>
      </w:r>
      <w:r>
        <w:rPr>
          <w:rFonts w:hint="eastAsia" w:hAnsi="宋体" w:cs="Courier New"/>
          <w:color w:val="auto"/>
          <w:sz w:val="22"/>
          <w:szCs w:val="22"/>
          <w:highlight w:val="none"/>
        </w:rPr>
        <w:t>：</w:t>
      </w:r>
    </w:p>
    <w:p>
      <w:pPr>
        <w:spacing w:line="360" w:lineRule="auto"/>
        <w:ind w:firstLine="440" w:firstLineChars="200"/>
        <w:rPr>
          <w:rFonts w:ascii="宋体" w:hAnsi="宋体" w:cs="Courier New"/>
          <w:color w:val="auto"/>
          <w:sz w:val="22"/>
          <w:szCs w:val="22"/>
          <w:highlight w:val="none"/>
        </w:rPr>
      </w:pPr>
      <w:bookmarkStart w:id="213" w:name="_Hlk100435608"/>
      <w:r>
        <w:rPr>
          <w:rFonts w:hint="eastAsia" w:ascii="宋体" w:hAnsi="宋体" w:cs="Courier New"/>
          <w:color w:val="auto"/>
          <w:sz w:val="22"/>
          <w:szCs w:val="22"/>
          <w:highlight w:val="none"/>
        </w:rPr>
        <w:t>我方参加你方组织的</w:t>
      </w:r>
      <w:bookmarkStart w:id="214" w:name="_Hlk100435740"/>
      <w:r>
        <w:rPr>
          <w:rFonts w:hint="eastAsia" w:ascii="宋体" w:hAnsi="宋体" w:cs="Courier New"/>
          <w:color w:val="auto"/>
          <w:sz w:val="22"/>
          <w:szCs w:val="22"/>
          <w:highlight w:val="none"/>
          <w:u w:val="single"/>
        </w:rPr>
        <w:t xml:space="preserve">      项目名称 </w:t>
      </w:r>
      <w:r>
        <w:rPr>
          <w:rFonts w:ascii="宋体" w:hAnsi="宋体" w:cs="Courier New"/>
          <w:color w:val="auto"/>
          <w:sz w:val="22"/>
          <w:szCs w:val="22"/>
          <w:highlight w:val="none"/>
          <w:u w:val="single"/>
        </w:rPr>
        <w:t xml:space="preserve">      </w:t>
      </w:r>
      <w:r>
        <w:rPr>
          <w:rFonts w:hint="eastAsia" w:ascii="宋体" w:hAnsi="宋体" w:cs="Courier New"/>
          <w:color w:val="auto"/>
          <w:sz w:val="22"/>
          <w:szCs w:val="22"/>
          <w:highlight w:val="none"/>
        </w:rPr>
        <w:t>（项目编号：</w:t>
      </w:r>
      <w:r>
        <w:rPr>
          <w:rFonts w:hint="eastAsia" w:ascii="宋体" w:hAnsi="宋体" w:cs="Courier New"/>
          <w:b/>
          <w:color w:val="auto"/>
          <w:sz w:val="22"/>
          <w:szCs w:val="22"/>
          <w:highlight w:val="none"/>
          <w:u w:val="single"/>
        </w:rPr>
        <w:t xml:space="preserve">     </w:t>
      </w:r>
      <w:r>
        <w:rPr>
          <w:rFonts w:hint="eastAsia" w:ascii="宋体" w:hAnsi="宋体" w:cs="Courier New"/>
          <w:color w:val="auto"/>
          <w:sz w:val="22"/>
          <w:szCs w:val="22"/>
          <w:highlight w:val="none"/>
        </w:rPr>
        <w:t>）</w:t>
      </w:r>
      <w:bookmarkEnd w:id="214"/>
      <w:r>
        <w:rPr>
          <w:rFonts w:hint="eastAsia" w:ascii="宋体" w:hAnsi="宋体" w:cs="Courier New"/>
          <w:color w:val="auto"/>
          <w:sz w:val="22"/>
          <w:szCs w:val="22"/>
          <w:highlight w:val="none"/>
        </w:rPr>
        <w:t>的采购活动，并对此项目进行响应。</w:t>
      </w:r>
    </w:p>
    <w:bookmarkEnd w:id="213"/>
    <w:p>
      <w:pPr>
        <w:spacing w:line="360" w:lineRule="auto"/>
        <w:ind w:firstLine="440" w:firstLineChars="200"/>
        <w:rPr>
          <w:rFonts w:ascii="宋体" w:hAnsi="宋体" w:cs="Courier New"/>
          <w:color w:val="auto"/>
          <w:sz w:val="22"/>
          <w:szCs w:val="22"/>
          <w:highlight w:val="none"/>
        </w:rPr>
      </w:pPr>
      <w:r>
        <w:rPr>
          <w:rFonts w:hint="eastAsia" w:ascii="宋体" w:hAnsi="宋体" w:cs="Courier New"/>
          <w:color w:val="auto"/>
          <w:sz w:val="22"/>
          <w:szCs w:val="22"/>
          <w:highlight w:val="none"/>
        </w:rPr>
        <w:t>我方己完全明白磋商文件的所有条款要求，并重申以下几点：</w:t>
      </w:r>
    </w:p>
    <w:p>
      <w:pPr>
        <w:numPr>
          <w:ilvl w:val="0"/>
          <w:numId w:val="19"/>
        </w:numPr>
        <w:spacing w:line="360" w:lineRule="auto"/>
        <w:rPr>
          <w:rFonts w:ascii="宋体" w:hAnsi="宋体" w:cs="Courier New"/>
          <w:color w:val="auto"/>
          <w:sz w:val="22"/>
          <w:szCs w:val="22"/>
          <w:highlight w:val="none"/>
        </w:rPr>
      </w:pPr>
      <w:r>
        <w:rPr>
          <w:rFonts w:hint="eastAsia" w:ascii="宋体" w:hAnsi="宋体" w:cs="Courier New"/>
          <w:color w:val="auto"/>
          <w:sz w:val="22"/>
          <w:szCs w:val="22"/>
          <w:highlight w:val="none"/>
        </w:rPr>
        <w:t>本响应文件的有效期自响应文件递交截止时间起90天内有效，如成交，有效期将延至合同终止日为止。</w:t>
      </w:r>
    </w:p>
    <w:p>
      <w:pPr>
        <w:numPr>
          <w:ilvl w:val="0"/>
          <w:numId w:val="19"/>
        </w:numPr>
        <w:spacing w:line="360" w:lineRule="auto"/>
        <w:rPr>
          <w:rFonts w:ascii="宋体" w:hAnsi="宋体" w:cs="Courier New"/>
          <w:color w:val="auto"/>
          <w:sz w:val="22"/>
          <w:szCs w:val="22"/>
          <w:highlight w:val="none"/>
        </w:rPr>
      </w:pPr>
      <w:r>
        <w:rPr>
          <w:rFonts w:hint="eastAsia" w:ascii="宋体" w:hAnsi="宋体" w:cs="Courier New"/>
          <w:color w:val="auto"/>
          <w:sz w:val="22"/>
          <w:szCs w:val="22"/>
          <w:highlight w:val="none"/>
        </w:rPr>
        <w:t>我方已详细研究了磋商文件的所有内容包括修改书（如有）和所有已提供的参考资料以及有关附件，我方完全理解并同意放弃在此方面提出含糊意见或误解的一切权力。</w:t>
      </w:r>
    </w:p>
    <w:p>
      <w:pPr>
        <w:numPr>
          <w:ilvl w:val="0"/>
          <w:numId w:val="19"/>
        </w:numPr>
        <w:spacing w:line="360" w:lineRule="auto"/>
        <w:rPr>
          <w:rFonts w:ascii="宋体" w:hAnsi="宋体" w:cs="Courier New"/>
          <w:color w:val="auto"/>
          <w:sz w:val="22"/>
          <w:szCs w:val="22"/>
          <w:highlight w:val="none"/>
        </w:rPr>
      </w:pPr>
      <w:bookmarkStart w:id="215" w:name="_Hlk100429510"/>
      <w:r>
        <w:rPr>
          <w:rFonts w:ascii="宋体" w:hAnsi="宋体" w:cs="Courier New"/>
          <w:color w:val="auto"/>
          <w:sz w:val="22"/>
          <w:szCs w:val="22"/>
          <w:highlight w:val="none"/>
        </w:rPr>
        <w:t>我方向贵方提交的所有</w:t>
      </w:r>
      <w:r>
        <w:rPr>
          <w:rFonts w:hint="eastAsia" w:ascii="宋体" w:hAnsi="宋体" w:cs="Courier New"/>
          <w:color w:val="auto"/>
          <w:sz w:val="22"/>
          <w:szCs w:val="22"/>
          <w:highlight w:val="none"/>
        </w:rPr>
        <w:t>响应文件</w:t>
      </w:r>
      <w:r>
        <w:rPr>
          <w:rFonts w:ascii="宋体" w:hAnsi="宋体" w:cs="Courier New"/>
          <w:color w:val="auto"/>
          <w:sz w:val="22"/>
          <w:szCs w:val="22"/>
          <w:highlight w:val="none"/>
        </w:rPr>
        <w:t>、资料都是准确的和真实的</w:t>
      </w:r>
      <w:bookmarkEnd w:id="215"/>
      <w:r>
        <w:rPr>
          <w:rFonts w:hint="eastAsia" w:ascii="宋体" w:hAnsi="宋体" w:cs="Courier New"/>
          <w:color w:val="auto"/>
          <w:sz w:val="22"/>
          <w:szCs w:val="22"/>
          <w:highlight w:val="none"/>
        </w:rPr>
        <w:t>。</w:t>
      </w:r>
    </w:p>
    <w:p>
      <w:pPr>
        <w:numPr>
          <w:ilvl w:val="0"/>
          <w:numId w:val="19"/>
        </w:numPr>
        <w:spacing w:line="360" w:lineRule="auto"/>
        <w:rPr>
          <w:rFonts w:ascii="宋体" w:hAnsi="宋体" w:cs="Courier New"/>
          <w:color w:val="auto"/>
          <w:sz w:val="22"/>
          <w:szCs w:val="22"/>
          <w:highlight w:val="none"/>
        </w:rPr>
      </w:pPr>
      <w:r>
        <w:rPr>
          <w:rFonts w:hint="eastAsia" w:ascii="宋体" w:hAnsi="宋体" w:cs="Courier New"/>
          <w:color w:val="auto"/>
          <w:sz w:val="22"/>
          <w:szCs w:val="22"/>
          <w:highlight w:val="none"/>
        </w:rPr>
        <w:t>我方同意提供按照贵方可能要求的与本次采购活动有关的一切数据或资料；若贵方需要，我方愿意提供我方作出的一切承诺的证明材料。</w:t>
      </w:r>
    </w:p>
    <w:p>
      <w:pPr>
        <w:numPr>
          <w:ilvl w:val="0"/>
          <w:numId w:val="19"/>
        </w:numPr>
        <w:spacing w:line="360" w:lineRule="auto"/>
        <w:rPr>
          <w:rFonts w:ascii="宋体" w:hAnsi="宋体" w:cs="Courier New"/>
          <w:color w:val="auto"/>
          <w:sz w:val="22"/>
          <w:szCs w:val="22"/>
          <w:highlight w:val="none"/>
        </w:rPr>
      </w:pPr>
      <w:r>
        <w:rPr>
          <w:rFonts w:ascii="宋体" w:hAnsi="宋体" w:cs="Courier New"/>
          <w:color w:val="auto"/>
          <w:sz w:val="22"/>
          <w:szCs w:val="22"/>
          <w:highlight w:val="none"/>
        </w:rPr>
        <w:t>若成交后，将按照规定及时与采购人签订采购合同，不与采购人订立有悖于采购结果的合同或协议；严格按照磋商文件和</w:t>
      </w:r>
      <w:r>
        <w:rPr>
          <w:rFonts w:hint="eastAsia" w:ascii="宋体" w:hAnsi="宋体" w:cs="Courier New"/>
          <w:color w:val="auto"/>
          <w:sz w:val="22"/>
          <w:szCs w:val="22"/>
          <w:highlight w:val="none"/>
        </w:rPr>
        <w:t>响应文件</w:t>
      </w:r>
      <w:r>
        <w:rPr>
          <w:rFonts w:ascii="宋体" w:hAnsi="宋体" w:cs="Courier New"/>
          <w:color w:val="auto"/>
          <w:sz w:val="22"/>
          <w:szCs w:val="22"/>
          <w:highlight w:val="none"/>
        </w:rPr>
        <w:t>的规定履行采购合同，不降低合同约定的产品质量及相关服务，不擅自变更、中止、终止合同，或者拒绝履行合同义务。</w:t>
      </w:r>
    </w:p>
    <w:p>
      <w:pPr>
        <w:numPr>
          <w:ilvl w:val="0"/>
          <w:numId w:val="19"/>
        </w:numPr>
        <w:spacing w:line="360" w:lineRule="auto"/>
        <w:rPr>
          <w:rFonts w:ascii="宋体" w:hAnsi="宋体" w:cs="Courier New"/>
          <w:color w:val="auto"/>
          <w:sz w:val="22"/>
          <w:szCs w:val="22"/>
          <w:highlight w:val="none"/>
        </w:rPr>
      </w:pPr>
      <w:r>
        <w:rPr>
          <w:rFonts w:hint="eastAsia" w:ascii="宋体" w:hAnsi="宋体" w:cs="Courier New"/>
          <w:color w:val="auto"/>
          <w:sz w:val="22"/>
          <w:szCs w:val="22"/>
          <w:highlight w:val="none"/>
        </w:rPr>
        <w:t>如有下列情形之一的，我方愿意被取消中标资格（如中标），并可向我方收取</w:t>
      </w:r>
      <w:r>
        <w:rPr>
          <w:rFonts w:hint="eastAsia" w:ascii="宋体" w:hAnsi="宋体" w:cs="楷体"/>
          <w:color w:val="auto"/>
          <w:kern w:val="0"/>
          <w:sz w:val="22"/>
          <w:szCs w:val="22"/>
          <w:highlight w:val="none"/>
        </w:rPr>
        <w:t>赔偿损失金</w:t>
      </w:r>
      <w:r>
        <w:rPr>
          <w:rFonts w:hint="eastAsia" w:ascii="宋体" w:hAnsi="宋体" w:cs="Courier New"/>
          <w:color w:val="auto"/>
          <w:sz w:val="22"/>
          <w:szCs w:val="22"/>
          <w:highlight w:val="none"/>
        </w:rPr>
        <w:t>，同时继续承担其他一切法律后果，并不再寻求任何旨在减轻或免除法律责任的解释：</w:t>
      </w:r>
    </w:p>
    <w:p>
      <w:pPr>
        <w:spacing w:line="360" w:lineRule="auto"/>
        <w:ind w:left="1079"/>
        <w:rPr>
          <w:rFonts w:ascii="宋体" w:hAnsi="宋体" w:cs="Courier New"/>
          <w:color w:val="auto"/>
          <w:sz w:val="22"/>
          <w:szCs w:val="22"/>
          <w:highlight w:val="none"/>
        </w:rPr>
      </w:pPr>
      <w:r>
        <w:rPr>
          <w:rFonts w:hint="eastAsia" w:ascii="宋体" w:hAnsi="宋体" w:cs="Courier New"/>
          <w:color w:val="auto"/>
          <w:sz w:val="22"/>
          <w:szCs w:val="22"/>
          <w:highlight w:val="none"/>
        </w:rPr>
        <w:t>(1)提供虚假材料或通过虚假响应、虚假陈述、虚假承诺谋取中标（成交）资格的；</w:t>
      </w:r>
    </w:p>
    <w:p>
      <w:pPr>
        <w:spacing w:line="360" w:lineRule="auto"/>
        <w:ind w:left="1079"/>
        <w:rPr>
          <w:rFonts w:ascii="宋体" w:hAnsi="宋体" w:cs="Courier New"/>
          <w:color w:val="auto"/>
          <w:sz w:val="22"/>
          <w:szCs w:val="22"/>
          <w:highlight w:val="none"/>
        </w:rPr>
      </w:pPr>
      <w:r>
        <w:rPr>
          <w:rFonts w:hint="eastAsia" w:ascii="宋体" w:hAnsi="宋体" w:cs="Courier New"/>
          <w:color w:val="auto"/>
          <w:sz w:val="22"/>
          <w:szCs w:val="22"/>
          <w:highlight w:val="none"/>
        </w:rPr>
        <w:t>(2)采取不正当手段诋毁、排挤其他供应商的；</w:t>
      </w:r>
    </w:p>
    <w:p>
      <w:pPr>
        <w:spacing w:line="360" w:lineRule="auto"/>
        <w:ind w:left="1079"/>
        <w:rPr>
          <w:rFonts w:ascii="宋体" w:hAnsi="宋体" w:cs="Courier New"/>
          <w:color w:val="auto"/>
          <w:sz w:val="22"/>
          <w:szCs w:val="22"/>
          <w:highlight w:val="none"/>
        </w:rPr>
      </w:pPr>
      <w:r>
        <w:rPr>
          <w:rFonts w:hint="eastAsia" w:ascii="宋体" w:hAnsi="宋体" w:cs="Courier New"/>
          <w:color w:val="auto"/>
          <w:sz w:val="22"/>
          <w:szCs w:val="22"/>
          <w:highlight w:val="none"/>
        </w:rPr>
        <w:t>(3)与采购人、其它供应商或者采购代理机构恶意串通的；</w:t>
      </w:r>
    </w:p>
    <w:p>
      <w:pPr>
        <w:spacing w:line="360" w:lineRule="auto"/>
        <w:ind w:left="1079"/>
        <w:rPr>
          <w:rFonts w:ascii="宋体" w:hAnsi="宋体" w:cs="Courier New"/>
          <w:color w:val="auto"/>
          <w:sz w:val="22"/>
          <w:szCs w:val="22"/>
          <w:highlight w:val="none"/>
        </w:rPr>
      </w:pPr>
      <w:r>
        <w:rPr>
          <w:rFonts w:hint="eastAsia" w:ascii="宋体" w:hAnsi="宋体" w:cs="Courier New"/>
          <w:color w:val="auto"/>
          <w:sz w:val="22"/>
          <w:szCs w:val="22"/>
          <w:highlight w:val="none"/>
        </w:rPr>
        <w:t>(4)向采购人、采购代理机构行贿或者提供其他不正当利益的；</w:t>
      </w:r>
    </w:p>
    <w:p>
      <w:pPr>
        <w:spacing w:line="360" w:lineRule="auto"/>
        <w:ind w:left="1079"/>
        <w:rPr>
          <w:rFonts w:ascii="宋体" w:hAnsi="宋体" w:cs="Courier New"/>
          <w:color w:val="auto"/>
          <w:sz w:val="22"/>
          <w:szCs w:val="22"/>
          <w:highlight w:val="none"/>
        </w:rPr>
      </w:pPr>
      <w:r>
        <w:rPr>
          <w:rFonts w:hint="eastAsia" w:ascii="宋体" w:hAnsi="宋体" w:cs="Courier New"/>
          <w:color w:val="auto"/>
          <w:sz w:val="22"/>
          <w:szCs w:val="22"/>
          <w:highlight w:val="none"/>
        </w:rPr>
        <w:t>(5)在招标采购过程中与采购人进行协商谈判的；</w:t>
      </w:r>
    </w:p>
    <w:p>
      <w:pPr>
        <w:spacing w:line="360" w:lineRule="auto"/>
        <w:ind w:left="1079"/>
        <w:rPr>
          <w:rFonts w:ascii="宋体" w:hAnsi="宋体" w:cs="Courier New"/>
          <w:color w:val="auto"/>
          <w:sz w:val="22"/>
          <w:szCs w:val="22"/>
          <w:highlight w:val="none"/>
        </w:rPr>
      </w:pPr>
      <w:r>
        <w:rPr>
          <w:rFonts w:hint="eastAsia" w:ascii="宋体" w:hAnsi="宋体" w:cs="Courier New"/>
          <w:color w:val="auto"/>
          <w:sz w:val="22"/>
          <w:szCs w:val="22"/>
          <w:highlight w:val="none"/>
        </w:rPr>
        <w:t>(</w:t>
      </w:r>
      <w:r>
        <w:rPr>
          <w:rFonts w:ascii="宋体" w:hAnsi="宋体" w:cs="Courier New"/>
          <w:color w:val="auto"/>
          <w:sz w:val="22"/>
          <w:szCs w:val="22"/>
          <w:highlight w:val="none"/>
        </w:rPr>
        <w:t>6</w:t>
      </w:r>
      <w:r>
        <w:rPr>
          <w:rFonts w:hint="eastAsia" w:ascii="宋体" w:hAnsi="宋体" w:cs="Courier New"/>
          <w:color w:val="auto"/>
          <w:sz w:val="22"/>
          <w:szCs w:val="22"/>
          <w:highlight w:val="none"/>
        </w:rPr>
        <w:t>)在磋商文件规定的磋商有效期内撤回响应；</w:t>
      </w:r>
    </w:p>
    <w:p>
      <w:pPr>
        <w:spacing w:line="360" w:lineRule="auto"/>
        <w:ind w:left="1079"/>
        <w:rPr>
          <w:rFonts w:ascii="宋体" w:hAnsi="宋体" w:cs="Courier New"/>
          <w:color w:val="auto"/>
          <w:sz w:val="22"/>
          <w:szCs w:val="22"/>
          <w:highlight w:val="none"/>
        </w:rPr>
      </w:pPr>
      <w:r>
        <w:rPr>
          <w:rFonts w:hint="eastAsia" w:ascii="宋体" w:hAnsi="宋体" w:cs="Courier New"/>
          <w:color w:val="auto"/>
          <w:sz w:val="22"/>
          <w:szCs w:val="22"/>
          <w:highlight w:val="none"/>
        </w:rPr>
        <w:t>(</w:t>
      </w:r>
      <w:r>
        <w:rPr>
          <w:rFonts w:ascii="宋体" w:hAnsi="宋体" w:cs="Courier New"/>
          <w:color w:val="auto"/>
          <w:sz w:val="22"/>
          <w:szCs w:val="22"/>
          <w:highlight w:val="none"/>
        </w:rPr>
        <w:t>7</w:t>
      </w:r>
      <w:r>
        <w:rPr>
          <w:rFonts w:hint="eastAsia" w:ascii="宋体" w:hAnsi="宋体" w:cs="Courier New"/>
          <w:color w:val="auto"/>
          <w:sz w:val="22"/>
          <w:szCs w:val="22"/>
          <w:highlight w:val="none"/>
        </w:rPr>
        <w:t>)未按中标（成交）通知书中规定的时间与采购人签订合同；</w:t>
      </w:r>
    </w:p>
    <w:p>
      <w:pPr>
        <w:tabs>
          <w:tab w:val="left" w:pos="425"/>
        </w:tabs>
        <w:spacing w:line="360" w:lineRule="auto"/>
        <w:ind w:left="1079"/>
        <w:rPr>
          <w:rFonts w:ascii="宋体" w:hAnsi="宋体" w:cs="Courier New"/>
          <w:color w:val="auto"/>
          <w:sz w:val="22"/>
          <w:szCs w:val="22"/>
          <w:highlight w:val="none"/>
        </w:rPr>
      </w:pPr>
      <w:r>
        <w:rPr>
          <w:rFonts w:hint="eastAsia" w:ascii="宋体" w:hAnsi="宋体" w:cs="Courier New"/>
          <w:color w:val="auto"/>
          <w:sz w:val="22"/>
          <w:szCs w:val="22"/>
          <w:highlight w:val="none"/>
        </w:rPr>
        <w:t>(</w:t>
      </w:r>
      <w:r>
        <w:rPr>
          <w:rFonts w:ascii="宋体" w:hAnsi="宋体" w:cs="Courier New"/>
          <w:color w:val="auto"/>
          <w:sz w:val="22"/>
          <w:szCs w:val="22"/>
          <w:highlight w:val="none"/>
        </w:rPr>
        <w:t>8</w:t>
      </w:r>
      <w:r>
        <w:rPr>
          <w:rFonts w:hint="eastAsia" w:ascii="宋体" w:hAnsi="宋体" w:cs="Courier New"/>
          <w:color w:val="auto"/>
          <w:sz w:val="22"/>
          <w:szCs w:val="22"/>
          <w:highlight w:val="none"/>
        </w:rPr>
        <w:t>)拒绝有关部门监督检查或提供虚假情况的。</w:t>
      </w:r>
    </w:p>
    <w:p>
      <w:pPr>
        <w:spacing w:line="360" w:lineRule="auto"/>
        <w:ind w:firstLine="435"/>
        <w:rPr>
          <w:rFonts w:ascii="宋体" w:hAnsi="宋体" w:cs="Courier New"/>
          <w:color w:val="auto"/>
          <w:sz w:val="22"/>
          <w:szCs w:val="22"/>
          <w:highlight w:val="none"/>
        </w:rPr>
      </w:pPr>
      <w:r>
        <w:rPr>
          <w:rFonts w:hint="eastAsia" w:ascii="宋体" w:hAnsi="宋体" w:cs="Courier New"/>
          <w:color w:val="auto"/>
          <w:sz w:val="22"/>
          <w:szCs w:val="22"/>
          <w:highlight w:val="none"/>
        </w:rPr>
        <w:t xml:space="preserve">                                   供应商全称（盖章）：</w:t>
      </w:r>
      <w:r>
        <w:rPr>
          <w:rFonts w:hint="eastAsia" w:ascii="宋体" w:hAnsi="宋体" w:cs="Courier New"/>
          <w:color w:val="auto"/>
          <w:sz w:val="22"/>
          <w:szCs w:val="22"/>
          <w:highlight w:val="none"/>
          <w:u w:val="single"/>
        </w:rPr>
        <w:t xml:space="preserve">               </w:t>
      </w:r>
    </w:p>
    <w:p>
      <w:pPr>
        <w:spacing w:line="360" w:lineRule="auto"/>
        <w:ind w:firstLine="435"/>
        <w:rPr>
          <w:rFonts w:ascii="宋体" w:hAnsi="宋体" w:cs="Courier New"/>
          <w:color w:val="auto"/>
          <w:sz w:val="22"/>
          <w:szCs w:val="22"/>
          <w:highlight w:val="none"/>
        </w:rPr>
      </w:pPr>
      <w:r>
        <w:rPr>
          <w:rFonts w:hint="eastAsia" w:ascii="宋体" w:hAnsi="宋体" w:cs="Courier New"/>
          <w:color w:val="auto"/>
          <w:sz w:val="22"/>
          <w:szCs w:val="22"/>
          <w:highlight w:val="none"/>
        </w:rPr>
        <w:t xml:space="preserve">                                   单位负责人或授权代表（签字或盖章）：</w:t>
      </w:r>
      <w:r>
        <w:rPr>
          <w:rFonts w:hint="eastAsia" w:ascii="宋体" w:hAnsi="宋体" w:cs="Courier New"/>
          <w:color w:val="auto"/>
          <w:sz w:val="22"/>
          <w:szCs w:val="22"/>
          <w:highlight w:val="none"/>
          <w:u w:val="single"/>
        </w:rPr>
        <w:t xml:space="preserve">         </w:t>
      </w:r>
    </w:p>
    <w:p>
      <w:pPr>
        <w:spacing w:line="360" w:lineRule="auto"/>
        <w:ind w:firstLine="435"/>
        <w:rPr>
          <w:rFonts w:ascii="宋体" w:hAnsi="宋体"/>
          <w:color w:val="auto"/>
          <w:sz w:val="22"/>
          <w:szCs w:val="22"/>
          <w:highlight w:val="none"/>
        </w:rPr>
      </w:pPr>
      <w:r>
        <w:rPr>
          <w:rFonts w:hint="eastAsia" w:ascii="宋体" w:hAnsi="宋体" w:cs="Courier New"/>
          <w:color w:val="auto"/>
          <w:sz w:val="22"/>
          <w:szCs w:val="22"/>
          <w:highlight w:val="none"/>
        </w:rPr>
        <w:t xml:space="preserve">                                   </w:t>
      </w:r>
      <w:r>
        <w:rPr>
          <w:rFonts w:hint="eastAsia" w:ascii="宋体" w:hAnsi="宋体"/>
          <w:color w:val="auto"/>
          <w:sz w:val="22"/>
          <w:szCs w:val="22"/>
          <w:highlight w:val="none"/>
        </w:rPr>
        <w:t>日          期：  年  月  日</w:t>
      </w:r>
    </w:p>
    <w:p>
      <w:pPr>
        <w:spacing w:line="360" w:lineRule="auto"/>
        <w:ind w:firstLine="435"/>
        <w:rPr>
          <w:rFonts w:ascii="宋体" w:hAnsi="宋体" w:cs="Courier New"/>
          <w:b/>
          <w:color w:val="auto"/>
          <w:sz w:val="22"/>
          <w:szCs w:val="22"/>
          <w:highlight w:val="none"/>
          <w:u w:val="single"/>
        </w:rPr>
      </w:pPr>
      <w:r>
        <w:rPr>
          <w:rFonts w:hint="eastAsia" w:ascii="宋体" w:hAnsi="宋体"/>
          <w:b/>
          <w:color w:val="auto"/>
          <w:sz w:val="22"/>
          <w:szCs w:val="22"/>
          <w:highlight w:val="none"/>
          <w:u w:val="single"/>
        </w:rPr>
        <w:t>※</w:t>
      </w:r>
      <w:r>
        <w:rPr>
          <w:rFonts w:hint="eastAsia" w:ascii="宋体" w:hAnsi="宋体" w:cs="Courier New"/>
          <w:b/>
          <w:color w:val="auto"/>
          <w:sz w:val="22"/>
          <w:szCs w:val="22"/>
          <w:highlight w:val="none"/>
          <w:u w:val="single"/>
        </w:rPr>
        <w:t>不提供此函的响应文件将被视为未实质性响应磋商文件，其</w:t>
      </w:r>
      <w:r>
        <w:rPr>
          <w:rFonts w:hint="eastAsia" w:ascii="宋体" w:hAnsi="宋体" w:cs="Courier New"/>
          <w:b/>
          <w:bCs/>
          <w:color w:val="auto"/>
          <w:sz w:val="22"/>
          <w:szCs w:val="22"/>
          <w:highlight w:val="none"/>
          <w:u w:val="single"/>
        </w:rPr>
        <w:t>响应无效</w:t>
      </w:r>
      <w:r>
        <w:rPr>
          <w:rFonts w:hint="eastAsia" w:ascii="宋体" w:hAnsi="宋体" w:cs="Courier New"/>
          <w:b/>
          <w:color w:val="auto"/>
          <w:sz w:val="22"/>
          <w:szCs w:val="22"/>
          <w:highlight w:val="none"/>
          <w:u w:val="single"/>
        </w:rPr>
        <w:t>。</w:t>
      </w:r>
    </w:p>
    <w:p>
      <w:pPr>
        <w:spacing w:line="360" w:lineRule="auto"/>
        <w:jc w:val="center"/>
        <w:rPr>
          <w:rFonts w:ascii="宋体" w:hAnsi="宋体"/>
          <w:b/>
          <w:bCs/>
          <w:color w:val="auto"/>
          <w:szCs w:val="21"/>
          <w:highlight w:val="none"/>
        </w:rPr>
      </w:pPr>
    </w:p>
    <w:p>
      <w:pPr>
        <w:tabs>
          <w:tab w:val="left" w:pos="420"/>
          <w:tab w:val="left" w:pos="1260"/>
        </w:tabs>
        <w:spacing w:line="360" w:lineRule="auto"/>
        <w:jc w:val="center"/>
        <w:rPr>
          <w:rFonts w:ascii="宋体" w:hAnsi="宋体"/>
          <w:b/>
          <w:bCs/>
          <w:color w:val="auto"/>
          <w:sz w:val="30"/>
          <w:szCs w:val="30"/>
          <w:highlight w:val="none"/>
        </w:rPr>
      </w:pPr>
    </w:p>
    <w:p>
      <w:pPr>
        <w:tabs>
          <w:tab w:val="left" w:pos="420"/>
          <w:tab w:val="left" w:pos="1260"/>
        </w:tabs>
        <w:spacing w:line="360" w:lineRule="auto"/>
        <w:jc w:val="center"/>
        <w:rPr>
          <w:rFonts w:ascii="宋体" w:hAnsi="宋体"/>
          <w:b/>
          <w:bCs/>
          <w:color w:val="auto"/>
          <w:sz w:val="30"/>
          <w:szCs w:val="30"/>
          <w:highlight w:val="none"/>
        </w:rPr>
      </w:pPr>
      <w:r>
        <w:rPr>
          <w:rFonts w:hint="eastAsia" w:ascii="宋体" w:hAnsi="宋体"/>
          <w:b/>
          <w:bCs/>
          <w:color w:val="auto"/>
          <w:sz w:val="30"/>
          <w:szCs w:val="30"/>
          <w:highlight w:val="none"/>
        </w:rPr>
        <w:t>二、单位负责人授权书</w:t>
      </w:r>
    </w:p>
    <w:p>
      <w:pPr>
        <w:spacing w:line="420" w:lineRule="exact"/>
        <w:rPr>
          <w:rFonts w:ascii="宋体" w:hAnsi="宋体"/>
          <w:color w:val="auto"/>
          <w:sz w:val="22"/>
          <w:szCs w:val="22"/>
          <w:highlight w:val="none"/>
        </w:rPr>
      </w:pPr>
    </w:p>
    <w:p>
      <w:pPr>
        <w:spacing w:line="420" w:lineRule="exact"/>
        <w:rPr>
          <w:rFonts w:ascii="宋体" w:hAnsi="宋体"/>
          <w:color w:val="auto"/>
          <w:sz w:val="22"/>
          <w:szCs w:val="22"/>
          <w:highlight w:val="none"/>
        </w:rPr>
      </w:pPr>
      <w:r>
        <w:rPr>
          <w:rFonts w:hint="eastAsia" w:ascii="宋体" w:hAnsi="宋体"/>
          <w:color w:val="auto"/>
          <w:sz w:val="22"/>
          <w:szCs w:val="22"/>
          <w:highlight w:val="none"/>
        </w:rPr>
        <w:t>温州市华睿生物医药有限公司</w:t>
      </w:r>
    </w:p>
    <w:p>
      <w:pPr>
        <w:spacing w:line="420" w:lineRule="exact"/>
        <w:rPr>
          <w:rFonts w:ascii="宋体" w:hAnsi="宋体"/>
          <w:color w:val="auto"/>
          <w:sz w:val="22"/>
          <w:szCs w:val="22"/>
          <w:highlight w:val="none"/>
        </w:rPr>
      </w:pPr>
      <w:r>
        <w:rPr>
          <w:rFonts w:hint="eastAsia" w:ascii="宋体" w:hAnsi="宋体"/>
          <w:color w:val="auto"/>
          <w:sz w:val="22"/>
          <w:szCs w:val="22"/>
          <w:highlight w:val="none"/>
          <w:lang w:eastAsia="zh-CN"/>
        </w:rPr>
        <w:t>浙江同信工程项目管理有限公司</w:t>
      </w:r>
      <w:r>
        <w:rPr>
          <w:rFonts w:hint="eastAsia" w:ascii="宋体" w:hAnsi="宋体"/>
          <w:color w:val="auto"/>
          <w:sz w:val="22"/>
          <w:szCs w:val="22"/>
          <w:highlight w:val="none"/>
        </w:rPr>
        <w:t>：</w:t>
      </w:r>
    </w:p>
    <w:p>
      <w:pPr>
        <w:spacing w:line="460" w:lineRule="exact"/>
        <w:ind w:firstLine="550" w:firstLineChars="250"/>
        <w:rPr>
          <w:rFonts w:ascii="宋体" w:hAnsi="宋体"/>
          <w:color w:val="auto"/>
          <w:sz w:val="22"/>
          <w:szCs w:val="22"/>
          <w:highlight w:val="none"/>
        </w:rPr>
      </w:pP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（供应商全称）单位负责人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授权</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（全权代表姓名）为全权代表，参加贵处组织的</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（采购项目名称、编号）的采购活动，全权代表我方处理采购活动中的一切事宜</w:t>
      </w:r>
      <w:r>
        <w:rPr>
          <w:rFonts w:ascii="宋体" w:hAnsi="宋体"/>
          <w:color w:val="auto"/>
          <w:sz w:val="22"/>
          <w:szCs w:val="22"/>
          <w:highlight w:val="none"/>
        </w:rPr>
        <w:t>。</w:t>
      </w:r>
      <w:r>
        <w:rPr>
          <w:rFonts w:hint="eastAsia" w:ascii="宋体" w:hAnsi="宋体"/>
          <w:color w:val="auto"/>
          <w:sz w:val="22"/>
          <w:szCs w:val="22"/>
          <w:highlight w:val="none"/>
        </w:rPr>
        <w:t>供应商</w:t>
      </w:r>
      <w:r>
        <w:rPr>
          <w:rFonts w:ascii="宋体" w:hAnsi="宋体"/>
          <w:color w:val="auto"/>
          <w:sz w:val="22"/>
          <w:szCs w:val="22"/>
          <w:highlight w:val="none"/>
        </w:rPr>
        <w:t>代表在</w:t>
      </w:r>
      <w:r>
        <w:rPr>
          <w:rFonts w:hint="eastAsia" w:ascii="宋体" w:hAnsi="宋体"/>
          <w:color w:val="auto"/>
          <w:sz w:val="22"/>
          <w:szCs w:val="22"/>
          <w:highlight w:val="none"/>
        </w:rPr>
        <w:t>响应</w:t>
      </w:r>
      <w:r>
        <w:rPr>
          <w:rFonts w:ascii="宋体" w:hAnsi="宋体"/>
          <w:color w:val="auto"/>
          <w:sz w:val="22"/>
          <w:szCs w:val="22"/>
          <w:highlight w:val="none"/>
        </w:rPr>
        <w:t>过程中所签署的一切文件和处理与之有关的一切事务，我方均予以认可并对此承担责任。</w:t>
      </w:r>
    </w:p>
    <w:p>
      <w:pPr>
        <w:spacing w:line="460" w:lineRule="exact"/>
        <w:ind w:firstLine="2955"/>
        <w:rPr>
          <w:rFonts w:ascii="宋体" w:hAnsi="宋体"/>
          <w:color w:val="auto"/>
          <w:sz w:val="22"/>
          <w:szCs w:val="22"/>
          <w:highlight w:val="none"/>
        </w:rPr>
      </w:pPr>
    </w:p>
    <w:p>
      <w:pPr>
        <w:spacing w:line="460" w:lineRule="exact"/>
        <w:ind w:firstLine="2955"/>
        <w:rPr>
          <w:rFonts w:ascii="宋体" w:hAnsi="宋体"/>
          <w:color w:val="auto"/>
          <w:sz w:val="22"/>
          <w:szCs w:val="22"/>
          <w:highlight w:val="none"/>
        </w:rPr>
      </w:pPr>
    </w:p>
    <w:p>
      <w:pPr>
        <w:spacing w:line="460" w:lineRule="exact"/>
        <w:ind w:firstLine="3971" w:firstLineChars="1805"/>
        <w:rPr>
          <w:rFonts w:ascii="宋体" w:hAnsi="宋体"/>
          <w:color w:val="auto"/>
          <w:sz w:val="22"/>
          <w:szCs w:val="22"/>
          <w:highlight w:val="none"/>
        </w:rPr>
      </w:pPr>
      <w:r>
        <w:rPr>
          <w:rFonts w:hint="eastAsia" w:ascii="宋体" w:hAnsi="宋体"/>
          <w:color w:val="auto"/>
          <w:sz w:val="22"/>
          <w:szCs w:val="22"/>
          <w:highlight w:val="none"/>
        </w:rPr>
        <w:t>单位负责人(签字或盖章)：</w:t>
      </w:r>
    </w:p>
    <w:p>
      <w:pPr>
        <w:spacing w:line="460" w:lineRule="exact"/>
        <w:ind w:firstLine="3971" w:firstLineChars="1805"/>
        <w:rPr>
          <w:rFonts w:ascii="宋体" w:hAnsi="宋体"/>
          <w:color w:val="auto"/>
          <w:sz w:val="22"/>
          <w:szCs w:val="22"/>
          <w:highlight w:val="none"/>
        </w:rPr>
      </w:pPr>
      <w:r>
        <w:rPr>
          <w:rFonts w:hint="eastAsia" w:ascii="宋体" w:hAnsi="宋体"/>
          <w:color w:val="auto"/>
          <w:sz w:val="22"/>
          <w:szCs w:val="22"/>
          <w:highlight w:val="none"/>
        </w:rPr>
        <w:t>供应商全称（盖章）：</w:t>
      </w:r>
    </w:p>
    <w:p>
      <w:pPr>
        <w:spacing w:line="460" w:lineRule="exact"/>
        <w:ind w:firstLine="3971" w:firstLineChars="1805"/>
        <w:rPr>
          <w:rFonts w:ascii="宋体" w:hAnsi="宋体"/>
          <w:color w:val="auto"/>
          <w:sz w:val="22"/>
          <w:szCs w:val="22"/>
          <w:highlight w:val="none"/>
        </w:rPr>
      </w:pPr>
      <w:r>
        <w:rPr>
          <w:rFonts w:hint="eastAsia" w:ascii="宋体" w:hAnsi="宋体"/>
          <w:color w:val="auto"/>
          <w:sz w:val="22"/>
          <w:szCs w:val="22"/>
          <w:highlight w:val="none"/>
        </w:rPr>
        <w:t>日期：       年     月    日</w:t>
      </w:r>
    </w:p>
    <w:p>
      <w:pPr>
        <w:spacing w:line="460" w:lineRule="exact"/>
        <w:rPr>
          <w:rFonts w:ascii="宋体" w:hAnsi="宋体"/>
          <w:color w:val="auto"/>
          <w:sz w:val="22"/>
          <w:szCs w:val="22"/>
          <w:highlight w:val="none"/>
        </w:rPr>
      </w:pPr>
    </w:p>
    <w:p>
      <w:pPr>
        <w:spacing w:line="460" w:lineRule="exact"/>
        <w:rPr>
          <w:rFonts w:ascii="宋体" w:hAnsi="宋体"/>
          <w:color w:val="auto"/>
          <w:sz w:val="22"/>
          <w:szCs w:val="22"/>
          <w:highlight w:val="none"/>
        </w:rPr>
      </w:pPr>
      <w:r>
        <w:rPr>
          <w:rFonts w:hint="eastAsia" w:ascii="宋体" w:hAnsi="宋体"/>
          <w:color w:val="auto"/>
          <w:sz w:val="22"/>
          <w:szCs w:val="22"/>
          <w:highlight w:val="none"/>
        </w:rPr>
        <w:t>附：</w:t>
      </w:r>
    </w:p>
    <w:p>
      <w:pPr>
        <w:spacing w:line="460" w:lineRule="exact"/>
        <w:ind w:firstLine="220" w:firstLineChars="100"/>
        <w:rPr>
          <w:rFonts w:ascii="宋体" w:hAnsi="宋体"/>
          <w:color w:val="auto"/>
          <w:sz w:val="22"/>
          <w:szCs w:val="22"/>
          <w:highlight w:val="none"/>
        </w:rPr>
      </w:pPr>
      <w:r>
        <w:rPr>
          <w:rFonts w:hint="eastAsia" w:ascii="宋体" w:hAnsi="宋体"/>
          <w:color w:val="auto"/>
          <w:sz w:val="22"/>
          <w:szCs w:val="22"/>
          <w:highlight w:val="none"/>
        </w:rPr>
        <w:t>单位负责人有效期内的身份证正反面电子件：</w:t>
      </w:r>
    </w:p>
    <w:tbl>
      <w:tblPr>
        <w:tblStyle w:val="32"/>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673"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tc>
        <w:tc>
          <w:tcPr>
            <w:tcW w:w="4536" w:type="dxa"/>
            <w:tcBorders>
              <w:top w:val="single" w:color="000000" w:sz="4" w:space="0"/>
              <w:left w:val="nil"/>
              <w:bottom w:val="single" w:color="000000" w:sz="4" w:space="0"/>
              <w:right w:val="single" w:color="000000" w:sz="4" w:space="0"/>
            </w:tcBorders>
          </w:tcPr>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tc>
      </w:tr>
    </w:tbl>
    <w:p>
      <w:pPr>
        <w:spacing w:line="460" w:lineRule="exact"/>
        <w:ind w:firstLine="220" w:firstLineChars="100"/>
        <w:rPr>
          <w:rFonts w:ascii="宋体" w:hAnsi="宋体"/>
          <w:color w:val="auto"/>
          <w:sz w:val="22"/>
          <w:szCs w:val="22"/>
          <w:highlight w:val="none"/>
        </w:rPr>
      </w:pPr>
      <w:r>
        <w:rPr>
          <w:rFonts w:hint="eastAsia" w:ascii="宋体" w:hAnsi="宋体"/>
          <w:color w:val="auto"/>
          <w:sz w:val="22"/>
          <w:szCs w:val="22"/>
          <w:highlight w:val="none"/>
        </w:rPr>
        <w:t>全权代表人有效期内的身份证正反面电子件：</w:t>
      </w:r>
    </w:p>
    <w:tbl>
      <w:tblPr>
        <w:tblStyle w:val="32"/>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673"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tc>
        <w:tc>
          <w:tcPr>
            <w:tcW w:w="4536" w:type="dxa"/>
            <w:tcBorders>
              <w:top w:val="single" w:color="000000" w:sz="4" w:space="0"/>
              <w:left w:val="nil"/>
              <w:bottom w:val="single" w:color="000000" w:sz="4" w:space="0"/>
              <w:right w:val="single" w:color="000000" w:sz="4" w:space="0"/>
            </w:tcBorders>
          </w:tcPr>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tc>
      </w:tr>
    </w:tbl>
    <w:p>
      <w:pPr>
        <w:spacing w:line="460" w:lineRule="exact"/>
        <w:rPr>
          <w:rFonts w:ascii="宋体" w:hAnsi="宋体"/>
          <w:b/>
          <w:bCs/>
          <w:color w:val="auto"/>
          <w:sz w:val="22"/>
          <w:szCs w:val="22"/>
          <w:highlight w:val="none"/>
        </w:rPr>
      </w:pP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 xml:space="preserve">说明： </w:t>
      </w:r>
    </w:p>
    <w:p>
      <w:pPr>
        <w:spacing w:line="460" w:lineRule="exact"/>
        <w:rPr>
          <w:rFonts w:ascii="宋体" w:hAnsi="宋体" w:cs="Courier New"/>
          <w:b/>
          <w:color w:val="auto"/>
          <w:sz w:val="22"/>
          <w:szCs w:val="22"/>
          <w:highlight w:val="none"/>
        </w:rPr>
      </w:pPr>
      <w:r>
        <w:rPr>
          <w:rFonts w:hint="eastAsia" w:ascii="宋体" w:hAnsi="宋体" w:cs="Courier New"/>
          <w:b/>
          <w:color w:val="auto"/>
          <w:sz w:val="22"/>
          <w:szCs w:val="22"/>
          <w:highlight w:val="none"/>
        </w:rPr>
        <w:t>1、供应商</w:t>
      </w:r>
      <w:r>
        <w:rPr>
          <w:rFonts w:ascii="宋体" w:hAnsi="宋体" w:cs="Courier New"/>
          <w:b/>
          <w:color w:val="auto"/>
          <w:sz w:val="22"/>
          <w:szCs w:val="22"/>
          <w:highlight w:val="none"/>
        </w:rPr>
        <w:t>：若</w:t>
      </w:r>
      <w:r>
        <w:rPr>
          <w:rFonts w:hint="eastAsia" w:ascii="宋体" w:hAnsi="宋体" w:cs="Courier New"/>
          <w:b/>
          <w:color w:val="auto"/>
          <w:sz w:val="22"/>
          <w:szCs w:val="22"/>
          <w:highlight w:val="none"/>
        </w:rPr>
        <w:t>供应商</w:t>
      </w:r>
      <w:r>
        <w:rPr>
          <w:rFonts w:ascii="宋体" w:hAnsi="宋体" w:cs="Courier New"/>
          <w:b/>
          <w:color w:val="auto"/>
          <w:sz w:val="22"/>
          <w:szCs w:val="22"/>
          <w:highlight w:val="none"/>
        </w:rPr>
        <w:t>代表为单位负责人授权的委托代理人，应提供本授权书；</w:t>
      </w:r>
    </w:p>
    <w:p>
      <w:pPr>
        <w:spacing w:line="400" w:lineRule="exact"/>
        <w:ind w:firstLine="141" w:firstLineChars="64"/>
        <w:rPr>
          <w:rFonts w:ascii="宋体" w:hAnsi="宋体"/>
          <w:b/>
          <w:color w:val="auto"/>
          <w:sz w:val="22"/>
          <w:highlight w:val="none"/>
        </w:rPr>
      </w:pPr>
      <w:r>
        <w:rPr>
          <w:rFonts w:ascii="宋体" w:hAnsi="宋体" w:cs="Courier New"/>
          <w:b/>
          <w:color w:val="auto"/>
          <w:sz w:val="22"/>
          <w:szCs w:val="22"/>
          <w:highlight w:val="none"/>
        </w:rPr>
        <w:t>2</w:t>
      </w:r>
      <w:r>
        <w:rPr>
          <w:rFonts w:hint="eastAsia" w:ascii="宋体" w:hAnsi="宋体" w:cs="Courier New"/>
          <w:b/>
          <w:color w:val="auto"/>
          <w:sz w:val="22"/>
          <w:szCs w:val="22"/>
          <w:highlight w:val="none"/>
        </w:rPr>
        <w:t>、</w:t>
      </w:r>
      <w:r>
        <w:rPr>
          <w:rFonts w:ascii="宋体" w:hAnsi="宋体" w:cs="Courier New"/>
          <w:b/>
          <w:color w:val="auto"/>
          <w:sz w:val="22"/>
          <w:szCs w:val="22"/>
          <w:highlight w:val="none"/>
        </w:rPr>
        <w:t>若</w:t>
      </w:r>
      <w:r>
        <w:rPr>
          <w:rFonts w:hint="eastAsia" w:ascii="宋体" w:hAnsi="宋体" w:cs="Courier New"/>
          <w:b/>
          <w:color w:val="auto"/>
          <w:sz w:val="22"/>
          <w:szCs w:val="22"/>
          <w:highlight w:val="none"/>
        </w:rPr>
        <w:t>供应商</w:t>
      </w:r>
      <w:r>
        <w:rPr>
          <w:rFonts w:ascii="宋体" w:hAnsi="宋体" w:cs="Courier New"/>
          <w:b/>
          <w:color w:val="auto"/>
          <w:sz w:val="22"/>
          <w:szCs w:val="22"/>
          <w:highlight w:val="none"/>
        </w:rPr>
        <w:t>代表为单位负责人，应在此项下提交其身份证正反面</w:t>
      </w:r>
      <w:r>
        <w:rPr>
          <w:rFonts w:hint="eastAsia" w:ascii="宋体" w:hAnsi="宋体" w:cs="Courier New"/>
          <w:b/>
          <w:color w:val="auto"/>
          <w:sz w:val="22"/>
          <w:szCs w:val="22"/>
          <w:highlight w:val="none"/>
          <w:lang w:val="en-US" w:eastAsia="zh-CN"/>
        </w:rPr>
        <w:t>扫描件</w:t>
      </w:r>
      <w:r>
        <w:rPr>
          <w:rFonts w:ascii="宋体" w:hAnsi="宋体" w:cs="Courier New"/>
          <w:b/>
          <w:color w:val="auto"/>
          <w:sz w:val="22"/>
          <w:szCs w:val="22"/>
          <w:highlight w:val="none"/>
        </w:rPr>
        <w:t>，可不提供本授权书。</w:t>
      </w:r>
    </w:p>
    <w:p>
      <w:pPr>
        <w:numPr>
          <w:ilvl w:val="1"/>
          <w:numId w:val="8"/>
        </w:numPr>
        <w:tabs>
          <w:tab w:val="left" w:pos="0"/>
          <w:tab w:val="left" w:pos="600"/>
        </w:tabs>
        <w:spacing w:line="400" w:lineRule="exact"/>
        <w:rPr>
          <w:rFonts w:ascii="宋体" w:hAnsi="宋体"/>
          <w:b/>
          <w:color w:val="auto"/>
          <w:sz w:val="22"/>
          <w:highlight w:val="none"/>
        </w:rPr>
        <w:sectPr>
          <w:headerReference r:id="rId6" w:type="default"/>
          <w:footerReference r:id="rId7" w:type="default"/>
          <w:pgSz w:w="11906" w:h="16838"/>
          <w:pgMar w:top="1134" w:right="1134" w:bottom="1134" w:left="1134" w:header="851" w:footer="851" w:gutter="0"/>
          <w:cols w:space="720" w:num="1"/>
          <w:docGrid w:linePitch="312" w:charSpace="0"/>
        </w:sectPr>
      </w:pPr>
    </w:p>
    <w:p>
      <w:pPr>
        <w:spacing w:line="460" w:lineRule="exact"/>
        <w:jc w:val="center"/>
        <w:rPr>
          <w:rFonts w:ascii="宋体" w:hAnsi="宋体"/>
          <w:b/>
          <w:bCs/>
          <w:color w:val="auto"/>
          <w:sz w:val="30"/>
          <w:szCs w:val="30"/>
          <w:highlight w:val="none"/>
        </w:rPr>
      </w:pPr>
    </w:p>
    <w:p>
      <w:pPr>
        <w:spacing w:line="460" w:lineRule="exact"/>
        <w:jc w:val="center"/>
        <w:rPr>
          <w:rFonts w:ascii="宋体" w:hAnsi="宋体"/>
          <w:b/>
          <w:bCs/>
          <w:color w:val="auto"/>
          <w:sz w:val="30"/>
          <w:szCs w:val="30"/>
          <w:highlight w:val="none"/>
        </w:rPr>
      </w:pPr>
      <w:r>
        <w:rPr>
          <w:rFonts w:hint="eastAsia" w:ascii="宋体" w:hAnsi="宋体"/>
          <w:b/>
          <w:bCs/>
          <w:color w:val="auto"/>
          <w:sz w:val="30"/>
          <w:szCs w:val="30"/>
          <w:highlight w:val="none"/>
        </w:rPr>
        <w:t>三、供应商联系表</w:t>
      </w:r>
    </w:p>
    <w:tbl>
      <w:tblPr>
        <w:tblStyle w:val="32"/>
        <w:tblW w:w="97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587"/>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序号</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项  目</w:t>
            </w:r>
          </w:p>
        </w:tc>
        <w:tc>
          <w:tcPr>
            <w:tcW w:w="6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color w:val="auto"/>
                <w:sz w:val="22"/>
                <w:szCs w:val="22"/>
                <w:highlight w:val="none"/>
              </w:rPr>
            </w:pPr>
            <w:r>
              <w:rPr>
                <w:rFonts w:ascii="宋体" w:hAnsi="宋体"/>
                <w:bCs/>
                <w:color w:val="auto"/>
                <w:sz w:val="22"/>
                <w:szCs w:val="22"/>
                <w:highlight w:val="none"/>
              </w:rPr>
              <w:t>项目名称</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2</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color w:val="auto"/>
                <w:sz w:val="22"/>
                <w:szCs w:val="22"/>
                <w:highlight w:val="none"/>
              </w:rPr>
            </w:pPr>
            <w:r>
              <w:rPr>
                <w:rFonts w:hint="eastAsia" w:ascii="宋体" w:hAnsi="宋体"/>
                <w:bCs/>
                <w:color w:val="auto"/>
                <w:sz w:val="22"/>
                <w:szCs w:val="22"/>
                <w:highlight w:val="none"/>
              </w:rPr>
              <w:t>项目编号</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3</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color w:val="auto"/>
                <w:sz w:val="22"/>
                <w:szCs w:val="22"/>
                <w:highlight w:val="none"/>
              </w:rPr>
            </w:pPr>
            <w:r>
              <w:rPr>
                <w:rFonts w:hint="eastAsia" w:ascii="宋体" w:hAnsi="宋体"/>
                <w:bCs/>
                <w:color w:val="auto"/>
                <w:sz w:val="22"/>
                <w:szCs w:val="22"/>
                <w:highlight w:val="none"/>
              </w:rPr>
              <w:t>供应商单位名称</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4</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color w:val="auto"/>
                <w:sz w:val="22"/>
                <w:szCs w:val="22"/>
                <w:highlight w:val="none"/>
              </w:rPr>
            </w:pPr>
            <w:r>
              <w:rPr>
                <w:rFonts w:hint="eastAsia" w:ascii="宋体" w:hAnsi="宋体"/>
                <w:bCs/>
                <w:color w:val="auto"/>
                <w:sz w:val="22"/>
                <w:szCs w:val="22"/>
                <w:highlight w:val="none"/>
              </w:rPr>
              <w:t>单位联系地址</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5</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color w:val="auto"/>
                <w:sz w:val="22"/>
                <w:szCs w:val="22"/>
                <w:highlight w:val="none"/>
              </w:rPr>
            </w:pPr>
            <w:r>
              <w:rPr>
                <w:rFonts w:hint="eastAsia" w:ascii="宋体" w:hAnsi="宋体"/>
                <w:bCs/>
                <w:color w:val="auto"/>
                <w:sz w:val="22"/>
                <w:szCs w:val="22"/>
                <w:highlight w:val="none"/>
              </w:rPr>
              <w:t>单位联系方式</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6</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color w:val="auto"/>
                <w:sz w:val="22"/>
                <w:szCs w:val="22"/>
                <w:highlight w:val="none"/>
              </w:rPr>
            </w:pPr>
            <w:r>
              <w:rPr>
                <w:rFonts w:hint="eastAsia" w:ascii="宋体" w:hAnsi="宋体"/>
                <w:bCs/>
                <w:color w:val="auto"/>
                <w:sz w:val="22"/>
                <w:szCs w:val="22"/>
                <w:highlight w:val="none"/>
              </w:rPr>
              <w:t>单位电子邮箱</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7</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color w:val="auto"/>
                <w:sz w:val="22"/>
                <w:szCs w:val="22"/>
                <w:highlight w:val="none"/>
              </w:rPr>
            </w:pPr>
            <w:r>
              <w:rPr>
                <w:rFonts w:hint="eastAsia" w:ascii="宋体" w:hAnsi="宋体"/>
                <w:bCs/>
                <w:color w:val="auto"/>
                <w:sz w:val="22"/>
                <w:szCs w:val="22"/>
                <w:highlight w:val="none"/>
              </w:rPr>
              <w:t>单位传真号码</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8</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color w:val="auto"/>
                <w:sz w:val="22"/>
                <w:szCs w:val="22"/>
                <w:highlight w:val="none"/>
              </w:rPr>
            </w:pPr>
            <w:r>
              <w:rPr>
                <w:rFonts w:hint="eastAsia" w:ascii="宋体" w:hAnsi="宋体"/>
                <w:bCs/>
                <w:color w:val="auto"/>
                <w:sz w:val="22"/>
                <w:szCs w:val="22"/>
                <w:highlight w:val="none"/>
              </w:rPr>
              <w:t>单位负责人名字</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9</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color w:val="auto"/>
                <w:sz w:val="22"/>
                <w:szCs w:val="22"/>
                <w:highlight w:val="none"/>
              </w:rPr>
            </w:pPr>
            <w:r>
              <w:rPr>
                <w:rFonts w:hint="eastAsia" w:ascii="宋体" w:hAnsi="宋体"/>
                <w:bCs/>
                <w:color w:val="auto"/>
                <w:sz w:val="22"/>
                <w:szCs w:val="22"/>
                <w:highlight w:val="none"/>
              </w:rPr>
              <w:t>授权代理人名字</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10</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color w:val="auto"/>
                <w:sz w:val="22"/>
                <w:szCs w:val="22"/>
                <w:highlight w:val="none"/>
              </w:rPr>
            </w:pPr>
            <w:r>
              <w:rPr>
                <w:rFonts w:hint="eastAsia" w:ascii="宋体" w:hAnsi="宋体"/>
                <w:bCs/>
                <w:color w:val="auto"/>
                <w:sz w:val="22"/>
                <w:szCs w:val="22"/>
                <w:highlight w:val="none"/>
              </w:rPr>
              <w:t>供应商代表联系号码</w:t>
            </w:r>
          </w:p>
        </w:tc>
        <w:tc>
          <w:tcPr>
            <w:tcW w:w="6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Cs/>
                <w:color w:val="auto"/>
                <w:spacing w:val="-4"/>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11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color w:val="auto"/>
                <w:sz w:val="22"/>
                <w:szCs w:val="22"/>
                <w:highlight w:val="none"/>
              </w:rPr>
            </w:pPr>
            <w:r>
              <w:rPr>
                <w:rFonts w:hint="eastAsia" w:ascii="宋体" w:hAnsi="宋体"/>
                <w:bCs/>
                <w:color w:val="auto"/>
                <w:sz w:val="22"/>
                <w:szCs w:val="22"/>
                <w:highlight w:val="none"/>
              </w:rPr>
              <w:t>供应商代表联系邮箱</w:t>
            </w:r>
          </w:p>
        </w:tc>
        <w:tc>
          <w:tcPr>
            <w:tcW w:w="6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Cs/>
                <w:color w:val="auto"/>
                <w:spacing w:val="-4"/>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1</w:t>
            </w:r>
            <w:r>
              <w:rPr>
                <w:rFonts w:ascii="宋体" w:hAnsi="宋体"/>
                <w:color w:val="auto"/>
                <w:sz w:val="22"/>
                <w:szCs w:val="22"/>
                <w:highlight w:val="none"/>
              </w:rPr>
              <w:t>2</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 w:val="22"/>
                <w:szCs w:val="22"/>
                <w:highlight w:val="none"/>
              </w:rPr>
            </w:pPr>
            <w:r>
              <w:rPr>
                <w:rFonts w:hint="eastAsia" w:ascii="宋体" w:hAnsi="宋体"/>
                <w:bCs/>
                <w:color w:val="auto"/>
                <w:sz w:val="22"/>
                <w:szCs w:val="22"/>
                <w:highlight w:val="none"/>
              </w:rPr>
              <w:t>供应商开票信息</w:t>
            </w:r>
          </w:p>
          <w:p>
            <w:pPr>
              <w:jc w:val="center"/>
              <w:rPr>
                <w:rFonts w:ascii="宋体" w:hAnsi="宋体"/>
                <w:bCs/>
                <w:color w:val="auto"/>
                <w:sz w:val="22"/>
                <w:szCs w:val="22"/>
                <w:highlight w:val="none"/>
              </w:rPr>
            </w:pPr>
            <w:r>
              <w:rPr>
                <w:rFonts w:hint="eastAsia" w:ascii="宋体" w:hAnsi="宋体"/>
                <w:bCs/>
                <w:color w:val="auto"/>
                <w:sz w:val="22"/>
                <w:szCs w:val="22"/>
                <w:highlight w:val="none"/>
              </w:rPr>
              <w:t>（增值税）</w:t>
            </w:r>
          </w:p>
        </w:tc>
        <w:tc>
          <w:tcPr>
            <w:tcW w:w="6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Cs/>
                <w:color w:val="auto"/>
                <w:spacing w:val="-4"/>
                <w:sz w:val="22"/>
                <w:szCs w:val="22"/>
                <w:highlight w:val="none"/>
              </w:rPr>
            </w:pPr>
          </w:p>
        </w:tc>
      </w:tr>
    </w:tbl>
    <w:p>
      <w:pPr>
        <w:spacing w:line="460" w:lineRule="exact"/>
        <w:ind w:left="216"/>
        <w:rPr>
          <w:rFonts w:ascii="宋体" w:hAnsi="宋体"/>
          <w:b/>
          <w:bCs/>
          <w:color w:val="auto"/>
          <w:sz w:val="22"/>
          <w:szCs w:val="22"/>
          <w:highlight w:val="none"/>
        </w:rPr>
      </w:pPr>
      <w:r>
        <w:rPr>
          <w:rFonts w:hint="eastAsia" w:ascii="宋体" w:hAnsi="宋体"/>
          <w:b/>
          <w:bCs/>
          <w:color w:val="auto"/>
          <w:sz w:val="22"/>
          <w:szCs w:val="22"/>
          <w:highlight w:val="none"/>
        </w:rPr>
        <w:t>特此承诺：上表中的联系方式将作为我方参加此次采购活动的联系方式，其他方式均不作为送达方式。</w:t>
      </w:r>
    </w:p>
    <w:p>
      <w:pPr>
        <w:spacing w:line="460" w:lineRule="exact"/>
        <w:ind w:left="216" w:hanging="216" w:hangingChars="98"/>
        <w:rPr>
          <w:rFonts w:ascii="宋体" w:hAnsi="宋体"/>
          <w:b/>
          <w:bCs/>
          <w:color w:val="auto"/>
          <w:sz w:val="22"/>
          <w:szCs w:val="22"/>
          <w:highlight w:val="none"/>
        </w:rPr>
      </w:pPr>
    </w:p>
    <w:p>
      <w:pPr>
        <w:tabs>
          <w:tab w:val="left" w:pos="840"/>
        </w:tabs>
        <w:adjustRightInd w:val="0"/>
        <w:snapToGrid w:val="0"/>
        <w:spacing w:line="360" w:lineRule="auto"/>
        <w:ind w:left="420" w:leftChars="200" w:firstLine="330" w:firstLineChars="150"/>
        <w:rPr>
          <w:rFonts w:ascii="宋体" w:hAnsi="宋体"/>
          <w:color w:val="auto"/>
          <w:sz w:val="22"/>
          <w:szCs w:val="22"/>
          <w:highlight w:val="none"/>
        </w:rPr>
      </w:pPr>
      <w:r>
        <w:rPr>
          <w:rFonts w:hint="eastAsia" w:ascii="宋体" w:hAnsi="宋体" w:cs="Courier New"/>
          <w:bCs/>
          <w:color w:val="auto"/>
          <w:sz w:val="22"/>
          <w:szCs w:val="22"/>
          <w:highlight w:val="none"/>
        </w:rPr>
        <w:t>供应商全称（盖章）：</w:t>
      </w:r>
    </w:p>
    <w:p>
      <w:pPr>
        <w:tabs>
          <w:tab w:val="left" w:pos="840"/>
        </w:tabs>
        <w:adjustRightInd w:val="0"/>
        <w:snapToGrid w:val="0"/>
        <w:spacing w:line="360" w:lineRule="auto"/>
        <w:ind w:left="420" w:leftChars="200" w:firstLine="330" w:firstLineChars="150"/>
        <w:rPr>
          <w:rFonts w:ascii="宋体" w:hAnsi="宋体"/>
          <w:color w:val="auto"/>
          <w:sz w:val="22"/>
          <w:szCs w:val="22"/>
          <w:highlight w:val="none"/>
        </w:rPr>
      </w:pPr>
      <w:r>
        <w:rPr>
          <w:rFonts w:hint="eastAsia" w:ascii="宋体" w:hAnsi="宋体"/>
          <w:color w:val="auto"/>
          <w:sz w:val="22"/>
          <w:szCs w:val="22"/>
          <w:highlight w:val="none"/>
        </w:rPr>
        <w:t>单位负责人或授权代表（签字或盖章）：</w:t>
      </w:r>
    </w:p>
    <w:p>
      <w:pPr>
        <w:tabs>
          <w:tab w:val="left" w:pos="840"/>
        </w:tabs>
        <w:adjustRightInd w:val="0"/>
        <w:snapToGrid w:val="0"/>
        <w:spacing w:line="360" w:lineRule="auto"/>
        <w:ind w:left="420" w:leftChars="200" w:firstLine="330" w:firstLineChars="150"/>
        <w:rPr>
          <w:rFonts w:ascii="宋体" w:hAnsi="宋体"/>
          <w:color w:val="auto"/>
          <w:sz w:val="22"/>
          <w:szCs w:val="22"/>
          <w:highlight w:val="none"/>
        </w:rPr>
      </w:pPr>
      <w:r>
        <w:rPr>
          <w:rFonts w:hint="eastAsia" w:ascii="宋体" w:hAnsi="宋体"/>
          <w:color w:val="auto"/>
          <w:sz w:val="22"/>
          <w:szCs w:val="22"/>
          <w:highlight w:val="none"/>
        </w:rPr>
        <w:t>日          期：  年  月  日</w:t>
      </w:r>
    </w:p>
    <w:p>
      <w:pPr>
        <w:rPr>
          <w:rFonts w:ascii="宋体" w:hAnsi="宋体"/>
          <w:color w:val="auto"/>
          <w:highlight w:val="none"/>
        </w:rPr>
      </w:pPr>
      <w:bookmarkStart w:id="216" w:name="_Toc223717613"/>
      <w:bookmarkStart w:id="217" w:name="_Toc227057042"/>
      <w:bookmarkStart w:id="218" w:name="_Toc223933230"/>
      <w:bookmarkStart w:id="219" w:name="_Toc215415539"/>
      <w:bookmarkStart w:id="220" w:name="_Toc218041735"/>
      <w:bookmarkStart w:id="221" w:name="_Toc227489896"/>
      <w:bookmarkStart w:id="222" w:name="_Toc227056855"/>
      <w:bookmarkStart w:id="223" w:name="_Toc217460694"/>
      <w:bookmarkStart w:id="224" w:name="_Toc219538622"/>
      <w:bookmarkStart w:id="225" w:name="_Toc216667829"/>
    </w:p>
    <w:p>
      <w:pPr>
        <w:spacing w:line="460" w:lineRule="exact"/>
        <w:jc w:val="center"/>
        <w:rPr>
          <w:rFonts w:ascii="宋体" w:hAnsi="宋体"/>
          <w:b/>
          <w:color w:val="auto"/>
          <w:sz w:val="22"/>
          <w:szCs w:val="22"/>
          <w:highlight w:val="none"/>
        </w:rPr>
      </w:pPr>
      <w:r>
        <w:rPr>
          <w:rFonts w:ascii="宋体" w:hAnsi="宋体"/>
          <w:b/>
          <w:color w:val="auto"/>
          <w:sz w:val="22"/>
          <w:szCs w:val="22"/>
          <w:highlight w:val="none"/>
        </w:rPr>
        <w:br w:type="page"/>
      </w:r>
    </w:p>
    <w:p>
      <w:pPr>
        <w:spacing w:line="460" w:lineRule="exact"/>
        <w:jc w:val="center"/>
        <w:rPr>
          <w:rFonts w:ascii="宋体" w:hAnsi="宋体"/>
          <w:b/>
          <w:color w:val="auto"/>
          <w:sz w:val="22"/>
          <w:szCs w:val="22"/>
          <w:highlight w:val="none"/>
        </w:rPr>
      </w:pPr>
    </w:p>
    <w:p>
      <w:pPr>
        <w:spacing w:line="460" w:lineRule="exact"/>
        <w:jc w:val="center"/>
        <w:rPr>
          <w:rFonts w:ascii="宋体" w:hAnsi="宋体"/>
          <w:b/>
          <w:bCs/>
          <w:color w:val="auto"/>
          <w:sz w:val="30"/>
          <w:szCs w:val="30"/>
          <w:highlight w:val="none"/>
        </w:rPr>
      </w:pPr>
      <w:r>
        <w:rPr>
          <w:rFonts w:hint="eastAsia" w:ascii="宋体" w:hAnsi="宋体"/>
          <w:b/>
          <w:bCs/>
          <w:color w:val="auto"/>
          <w:sz w:val="30"/>
          <w:szCs w:val="30"/>
          <w:highlight w:val="none"/>
        </w:rPr>
        <w:t>四、采购需求偏离表</w:t>
      </w:r>
    </w:p>
    <w:p>
      <w:pPr>
        <w:ind w:firstLine="1100" w:firstLineChars="500"/>
        <w:rPr>
          <w:rFonts w:ascii="宋体" w:hAnsi="宋体"/>
          <w:b/>
          <w:color w:val="auto"/>
          <w:sz w:val="24"/>
          <w:highlight w:val="none"/>
        </w:rPr>
      </w:pPr>
      <w:r>
        <w:rPr>
          <w:rFonts w:hint="eastAsia" w:ascii="宋体" w:hAnsi="宋体"/>
          <w:color w:val="auto"/>
          <w:sz w:val="22"/>
          <w:szCs w:val="22"/>
          <w:highlight w:val="none"/>
        </w:rPr>
        <w:t>项目名称：                                       项目编号：</w:t>
      </w:r>
    </w:p>
    <w:tbl>
      <w:tblPr>
        <w:tblStyle w:val="32"/>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954"/>
        <w:gridCol w:w="1980"/>
        <w:gridCol w:w="2775"/>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94" w:type="dxa"/>
            <w:shd w:val="clear" w:color="auto" w:fill="FFFFFF"/>
            <w:vAlign w:val="center"/>
          </w:tcPr>
          <w:p>
            <w:pPr>
              <w:jc w:val="center"/>
              <w:rPr>
                <w:rFonts w:ascii="宋体" w:hAnsi="宋体"/>
                <w:color w:val="auto"/>
                <w:sz w:val="22"/>
                <w:szCs w:val="22"/>
                <w:highlight w:val="none"/>
              </w:rPr>
            </w:pPr>
            <w:bookmarkStart w:id="226" w:name="_Hlk87189150"/>
            <w:r>
              <w:rPr>
                <w:rFonts w:hint="eastAsia" w:ascii="宋体" w:hAnsi="宋体"/>
                <w:color w:val="auto"/>
                <w:sz w:val="22"/>
                <w:szCs w:val="22"/>
                <w:highlight w:val="none"/>
              </w:rPr>
              <w:t>序号</w:t>
            </w:r>
          </w:p>
        </w:tc>
        <w:tc>
          <w:tcPr>
            <w:tcW w:w="1954" w:type="dxa"/>
            <w:shd w:val="clear" w:color="auto" w:fill="FFFFFF"/>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磋商文件</w:t>
            </w:r>
          </w:p>
          <w:p>
            <w:pPr>
              <w:jc w:val="center"/>
              <w:rPr>
                <w:rFonts w:ascii="宋体" w:hAnsi="宋体"/>
                <w:color w:val="auto"/>
                <w:sz w:val="22"/>
                <w:szCs w:val="22"/>
                <w:highlight w:val="none"/>
              </w:rPr>
            </w:pPr>
            <w:r>
              <w:rPr>
                <w:rFonts w:hint="eastAsia" w:ascii="宋体" w:hAnsi="宋体"/>
                <w:color w:val="auto"/>
                <w:sz w:val="22"/>
                <w:szCs w:val="22"/>
                <w:highlight w:val="none"/>
              </w:rPr>
              <w:t>规定要求</w:t>
            </w:r>
          </w:p>
        </w:tc>
        <w:tc>
          <w:tcPr>
            <w:tcW w:w="1980" w:type="dxa"/>
            <w:shd w:val="clear" w:color="auto" w:fill="FFFFFF"/>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响应文件</w:t>
            </w:r>
          </w:p>
          <w:p>
            <w:pPr>
              <w:jc w:val="center"/>
              <w:rPr>
                <w:rFonts w:ascii="宋体" w:hAnsi="宋体"/>
                <w:color w:val="auto"/>
                <w:sz w:val="22"/>
                <w:szCs w:val="22"/>
                <w:highlight w:val="none"/>
              </w:rPr>
            </w:pPr>
            <w:r>
              <w:rPr>
                <w:rFonts w:hint="eastAsia" w:ascii="宋体" w:hAnsi="宋体"/>
                <w:color w:val="auto"/>
                <w:sz w:val="22"/>
                <w:szCs w:val="22"/>
                <w:highlight w:val="none"/>
              </w:rPr>
              <w:t>对应条款</w:t>
            </w:r>
          </w:p>
        </w:tc>
        <w:tc>
          <w:tcPr>
            <w:tcW w:w="2775" w:type="dxa"/>
            <w:shd w:val="clear" w:color="auto" w:fill="FFFFFF"/>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偏离说明</w:t>
            </w:r>
          </w:p>
        </w:tc>
        <w:tc>
          <w:tcPr>
            <w:tcW w:w="2439" w:type="dxa"/>
            <w:shd w:val="clear" w:color="auto" w:fill="FFFFFF"/>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偏离情况</w:t>
            </w:r>
          </w:p>
          <w:p>
            <w:pPr>
              <w:jc w:val="center"/>
              <w:rPr>
                <w:rFonts w:ascii="宋体" w:hAnsi="宋体"/>
                <w:color w:val="auto"/>
                <w:sz w:val="22"/>
                <w:szCs w:val="22"/>
                <w:highlight w:val="none"/>
              </w:rPr>
            </w:pPr>
            <w:r>
              <w:rPr>
                <w:rFonts w:hint="eastAsia" w:ascii="宋体" w:hAnsi="宋体"/>
                <w:color w:val="auto"/>
                <w:sz w:val="22"/>
                <w:szCs w:val="22"/>
                <w:highlight w:val="none"/>
              </w:rPr>
              <w:t>（</w:t>
            </w:r>
            <w:r>
              <w:rPr>
                <w:rFonts w:hint="eastAsia" w:ascii="宋体" w:hAnsi="宋体"/>
                <w:b/>
                <w:color w:val="auto"/>
                <w:sz w:val="22"/>
                <w:szCs w:val="22"/>
                <w:highlight w:val="none"/>
              </w:rPr>
              <w:t>填写负偏离或无偏离</w:t>
            </w:r>
            <w:r>
              <w:rPr>
                <w:rFonts w:hint="eastAsia" w:ascii="宋体" w:hAnsi="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1</w:t>
            </w:r>
          </w:p>
        </w:tc>
        <w:tc>
          <w:tcPr>
            <w:tcW w:w="1954" w:type="dxa"/>
            <w:vAlign w:val="center"/>
          </w:tcPr>
          <w:p>
            <w:pPr>
              <w:jc w:val="center"/>
              <w:rPr>
                <w:rFonts w:ascii="宋体" w:hAnsi="宋体"/>
                <w:color w:val="auto"/>
                <w:sz w:val="22"/>
                <w:szCs w:val="22"/>
                <w:highlight w:val="none"/>
              </w:rPr>
            </w:pPr>
          </w:p>
        </w:tc>
        <w:tc>
          <w:tcPr>
            <w:tcW w:w="1980" w:type="dxa"/>
            <w:vAlign w:val="center"/>
          </w:tcPr>
          <w:p>
            <w:pPr>
              <w:jc w:val="center"/>
              <w:rPr>
                <w:rFonts w:ascii="宋体" w:hAnsi="宋体"/>
                <w:color w:val="auto"/>
                <w:sz w:val="22"/>
                <w:szCs w:val="22"/>
                <w:highlight w:val="none"/>
              </w:rPr>
            </w:pPr>
          </w:p>
        </w:tc>
        <w:tc>
          <w:tcPr>
            <w:tcW w:w="2775" w:type="dxa"/>
            <w:vAlign w:val="center"/>
          </w:tcPr>
          <w:p>
            <w:pPr>
              <w:jc w:val="center"/>
              <w:rPr>
                <w:rFonts w:ascii="宋体" w:hAnsi="宋体"/>
                <w:color w:val="auto"/>
                <w:sz w:val="22"/>
                <w:szCs w:val="22"/>
                <w:highlight w:val="none"/>
              </w:rPr>
            </w:pPr>
          </w:p>
        </w:tc>
        <w:tc>
          <w:tcPr>
            <w:tcW w:w="2439" w:type="dxa"/>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2</w:t>
            </w:r>
          </w:p>
        </w:tc>
        <w:tc>
          <w:tcPr>
            <w:tcW w:w="1954" w:type="dxa"/>
            <w:vAlign w:val="center"/>
          </w:tcPr>
          <w:p>
            <w:pPr>
              <w:jc w:val="center"/>
              <w:rPr>
                <w:rFonts w:ascii="宋体" w:hAnsi="宋体"/>
                <w:color w:val="auto"/>
                <w:sz w:val="22"/>
                <w:szCs w:val="22"/>
                <w:highlight w:val="none"/>
              </w:rPr>
            </w:pPr>
          </w:p>
        </w:tc>
        <w:tc>
          <w:tcPr>
            <w:tcW w:w="1980" w:type="dxa"/>
            <w:vAlign w:val="center"/>
          </w:tcPr>
          <w:p>
            <w:pPr>
              <w:jc w:val="center"/>
              <w:rPr>
                <w:rFonts w:ascii="宋体" w:hAnsi="宋体"/>
                <w:color w:val="auto"/>
                <w:sz w:val="22"/>
                <w:szCs w:val="22"/>
                <w:highlight w:val="none"/>
              </w:rPr>
            </w:pPr>
          </w:p>
        </w:tc>
        <w:tc>
          <w:tcPr>
            <w:tcW w:w="2775" w:type="dxa"/>
            <w:vAlign w:val="center"/>
          </w:tcPr>
          <w:p>
            <w:pPr>
              <w:jc w:val="center"/>
              <w:rPr>
                <w:rFonts w:ascii="宋体" w:hAnsi="宋体"/>
                <w:color w:val="auto"/>
                <w:sz w:val="22"/>
                <w:szCs w:val="22"/>
                <w:highlight w:val="none"/>
              </w:rPr>
            </w:pPr>
          </w:p>
        </w:tc>
        <w:tc>
          <w:tcPr>
            <w:tcW w:w="2439" w:type="dxa"/>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3</w:t>
            </w:r>
          </w:p>
        </w:tc>
        <w:tc>
          <w:tcPr>
            <w:tcW w:w="1954" w:type="dxa"/>
            <w:vAlign w:val="center"/>
          </w:tcPr>
          <w:p>
            <w:pPr>
              <w:jc w:val="center"/>
              <w:rPr>
                <w:rFonts w:ascii="宋体" w:hAnsi="宋体"/>
                <w:color w:val="auto"/>
                <w:sz w:val="22"/>
                <w:szCs w:val="22"/>
                <w:highlight w:val="none"/>
              </w:rPr>
            </w:pPr>
          </w:p>
        </w:tc>
        <w:tc>
          <w:tcPr>
            <w:tcW w:w="1980" w:type="dxa"/>
            <w:vAlign w:val="center"/>
          </w:tcPr>
          <w:p>
            <w:pPr>
              <w:jc w:val="center"/>
              <w:rPr>
                <w:rFonts w:ascii="宋体" w:hAnsi="宋体"/>
                <w:color w:val="auto"/>
                <w:sz w:val="22"/>
                <w:szCs w:val="22"/>
                <w:highlight w:val="none"/>
              </w:rPr>
            </w:pPr>
          </w:p>
        </w:tc>
        <w:tc>
          <w:tcPr>
            <w:tcW w:w="2775" w:type="dxa"/>
            <w:vAlign w:val="center"/>
          </w:tcPr>
          <w:p>
            <w:pPr>
              <w:jc w:val="center"/>
              <w:rPr>
                <w:rFonts w:ascii="宋体" w:hAnsi="宋体"/>
                <w:color w:val="auto"/>
                <w:sz w:val="22"/>
                <w:szCs w:val="22"/>
                <w:highlight w:val="none"/>
              </w:rPr>
            </w:pPr>
          </w:p>
        </w:tc>
        <w:tc>
          <w:tcPr>
            <w:tcW w:w="2439" w:type="dxa"/>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4</w:t>
            </w:r>
          </w:p>
        </w:tc>
        <w:tc>
          <w:tcPr>
            <w:tcW w:w="1954" w:type="dxa"/>
            <w:vAlign w:val="center"/>
          </w:tcPr>
          <w:p>
            <w:pPr>
              <w:jc w:val="center"/>
              <w:rPr>
                <w:rFonts w:ascii="宋体" w:hAnsi="宋体"/>
                <w:color w:val="auto"/>
                <w:sz w:val="22"/>
                <w:szCs w:val="22"/>
                <w:highlight w:val="none"/>
              </w:rPr>
            </w:pPr>
          </w:p>
        </w:tc>
        <w:tc>
          <w:tcPr>
            <w:tcW w:w="1980" w:type="dxa"/>
            <w:vAlign w:val="center"/>
          </w:tcPr>
          <w:p>
            <w:pPr>
              <w:jc w:val="center"/>
              <w:rPr>
                <w:rFonts w:ascii="宋体" w:hAnsi="宋体"/>
                <w:color w:val="auto"/>
                <w:sz w:val="22"/>
                <w:szCs w:val="22"/>
                <w:highlight w:val="none"/>
              </w:rPr>
            </w:pPr>
          </w:p>
        </w:tc>
        <w:tc>
          <w:tcPr>
            <w:tcW w:w="2775" w:type="dxa"/>
            <w:vAlign w:val="center"/>
          </w:tcPr>
          <w:p>
            <w:pPr>
              <w:jc w:val="center"/>
              <w:rPr>
                <w:rFonts w:ascii="宋体" w:hAnsi="宋体"/>
                <w:color w:val="auto"/>
                <w:sz w:val="22"/>
                <w:szCs w:val="22"/>
                <w:highlight w:val="none"/>
              </w:rPr>
            </w:pPr>
          </w:p>
        </w:tc>
        <w:tc>
          <w:tcPr>
            <w:tcW w:w="2439" w:type="dxa"/>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color w:val="auto"/>
                <w:sz w:val="22"/>
                <w:szCs w:val="22"/>
                <w:highlight w:val="none"/>
              </w:rPr>
            </w:pPr>
            <w:r>
              <w:rPr>
                <w:rFonts w:hint="eastAsia" w:ascii="宋体" w:hAnsi="宋体" w:cs="宋体"/>
                <w:color w:val="auto"/>
                <w:sz w:val="22"/>
                <w:szCs w:val="22"/>
                <w:highlight w:val="none"/>
              </w:rPr>
              <w:t>……</w:t>
            </w:r>
          </w:p>
        </w:tc>
        <w:tc>
          <w:tcPr>
            <w:tcW w:w="1954" w:type="dxa"/>
            <w:vAlign w:val="center"/>
          </w:tcPr>
          <w:p>
            <w:pPr>
              <w:jc w:val="center"/>
              <w:rPr>
                <w:rFonts w:ascii="宋体" w:hAnsi="宋体"/>
                <w:color w:val="auto"/>
                <w:sz w:val="22"/>
                <w:szCs w:val="22"/>
                <w:highlight w:val="none"/>
              </w:rPr>
            </w:pPr>
          </w:p>
        </w:tc>
        <w:tc>
          <w:tcPr>
            <w:tcW w:w="1980" w:type="dxa"/>
            <w:vAlign w:val="center"/>
          </w:tcPr>
          <w:p>
            <w:pPr>
              <w:jc w:val="center"/>
              <w:rPr>
                <w:rFonts w:ascii="宋体" w:hAnsi="宋体"/>
                <w:color w:val="auto"/>
                <w:sz w:val="22"/>
                <w:szCs w:val="22"/>
                <w:highlight w:val="none"/>
              </w:rPr>
            </w:pPr>
          </w:p>
        </w:tc>
        <w:tc>
          <w:tcPr>
            <w:tcW w:w="2775" w:type="dxa"/>
            <w:vAlign w:val="center"/>
          </w:tcPr>
          <w:p>
            <w:pPr>
              <w:jc w:val="center"/>
              <w:rPr>
                <w:rFonts w:ascii="宋体" w:hAnsi="宋体"/>
                <w:color w:val="auto"/>
                <w:sz w:val="22"/>
                <w:szCs w:val="22"/>
                <w:highlight w:val="none"/>
              </w:rPr>
            </w:pPr>
          </w:p>
        </w:tc>
        <w:tc>
          <w:tcPr>
            <w:tcW w:w="2439" w:type="dxa"/>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color w:val="auto"/>
                <w:sz w:val="22"/>
                <w:szCs w:val="22"/>
                <w:highlight w:val="none"/>
              </w:rPr>
            </w:pPr>
          </w:p>
        </w:tc>
        <w:tc>
          <w:tcPr>
            <w:tcW w:w="1954" w:type="dxa"/>
            <w:vAlign w:val="center"/>
          </w:tcPr>
          <w:p>
            <w:pPr>
              <w:jc w:val="center"/>
              <w:rPr>
                <w:rFonts w:ascii="宋体" w:hAnsi="宋体"/>
                <w:color w:val="auto"/>
                <w:sz w:val="22"/>
                <w:szCs w:val="22"/>
                <w:highlight w:val="none"/>
              </w:rPr>
            </w:pPr>
          </w:p>
        </w:tc>
        <w:tc>
          <w:tcPr>
            <w:tcW w:w="1980" w:type="dxa"/>
            <w:vAlign w:val="center"/>
          </w:tcPr>
          <w:p>
            <w:pPr>
              <w:jc w:val="center"/>
              <w:rPr>
                <w:rFonts w:ascii="宋体" w:hAnsi="宋体"/>
                <w:color w:val="auto"/>
                <w:sz w:val="22"/>
                <w:szCs w:val="22"/>
                <w:highlight w:val="none"/>
              </w:rPr>
            </w:pPr>
          </w:p>
        </w:tc>
        <w:tc>
          <w:tcPr>
            <w:tcW w:w="2775" w:type="dxa"/>
            <w:vAlign w:val="center"/>
          </w:tcPr>
          <w:p>
            <w:pPr>
              <w:jc w:val="center"/>
              <w:rPr>
                <w:rFonts w:ascii="宋体" w:hAnsi="宋体"/>
                <w:color w:val="auto"/>
                <w:sz w:val="22"/>
                <w:szCs w:val="22"/>
                <w:highlight w:val="none"/>
              </w:rPr>
            </w:pPr>
          </w:p>
        </w:tc>
        <w:tc>
          <w:tcPr>
            <w:tcW w:w="2439" w:type="dxa"/>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color w:val="auto"/>
                <w:sz w:val="22"/>
                <w:szCs w:val="22"/>
                <w:highlight w:val="none"/>
              </w:rPr>
            </w:pPr>
          </w:p>
        </w:tc>
        <w:tc>
          <w:tcPr>
            <w:tcW w:w="1954" w:type="dxa"/>
            <w:vAlign w:val="center"/>
          </w:tcPr>
          <w:p>
            <w:pPr>
              <w:jc w:val="center"/>
              <w:rPr>
                <w:rFonts w:ascii="宋体" w:hAnsi="宋体"/>
                <w:color w:val="auto"/>
                <w:sz w:val="22"/>
                <w:szCs w:val="22"/>
                <w:highlight w:val="none"/>
              </w:rPr>
            </w:pPr>
          </w:p>
        </w:tc>
        <w:tc>
          <w:tcPr>
            <w:tcW w:w="1980" w:type="dxa"/>
            <w:vAlign w:val="center"/>
          </w:tcPr>
          <w:p>
            <w:pPr>
              <w:jc w:val="center"/>
              <w:rPr>
                <w:rFonts w:ascii="宋体" w:hAnsi="宋体"/>
                <w:color w:val="auto"/>
                <w:sz w:val="22"/>
                <w:szCs w:val="22"/>
                <w:highlight w:val="none"/>
              </w:rPr>
            </w:pPr>
          </w:p>
        </w:tc>
        <w:tc>
          <w:tcPr>
            <w:tcW w:w="2775" w:type="dxa"/>
            <w:vAlign w:val="center"/>
          </w:tcPr>
          <w:p>
            <w:pPr>
              <w:jc w:val="center"/>
              <w:rPr>
                <w:rFonts w:ascii="宋体" w:hAnsi="宋体"/>
                <w:color w:val="auto"/>
                <w:sz w:val="22"/>
                <w:szCs w:val="22"/>
                <w:highlight w:val="none"/>
              </w:rPr>
            </w:pPr>
          </w:p>
        </w:tc>
        <w:tc>
          <w:tcPr>
            <w:tcW w:w="2439" w:type="dxa"/>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color w:val="auto"/>
                <w:sz w:val="22"/>
                <w:szCs w:val="22"/>
                <w:highlight w:val="none"/>
              </w:rPr>
            </w:pPr>
          </w:p>
        </w:tc>
        <w:tc>
          <w:tcPr>
            <w:tcW w:w="1954" w:type="dxa"/>
            <w:vAlign w:val="center"/>
          </w:tcPr>
          <w:p>
            <w:pPr>
              <w:jc w:val="center"/>
              <w:rPr>
                <w:rFonts w:ascii="宋体" w:hAnsi="宋体"/>
                <w:color w:val="auto"/>
                <w:sz w:val="22"/>
                <w:szCs w:val="22"/>
                <w:highlight w:val="none"/>
              </w:rPr>
            </w:pPr>
          </w:p>
        </w:tc>
        <w:tc>
          <w:tcPr>
            <w:tcW w:w="1980" w:type="dxa"/>
            <w:vAlign w:val="center"/>
          </w:tcPr>
          <w:p>
            <w:pPr>
              <w:jc w:val="center"/>
              <w:rPr>
                <w:rFonts w:ascii="宋体" w:hAnsi="宋体"/>
                <w:color w:val="auto"/>
                <w:sz w:val="22"/>
                <w:szCs w:val="22"/>
                <w:highlight w:val="none"/>
              </w:rPr>
            </w:pPr>
          </w:p>
        </w:tc>
        <w:tc>
          <w:tcPr>
            <w:tcW w:w="2775" w:type="dxa"/>
            <w:vAlign w:val="center"/>
          </w:tcPr>
          <w:p>
            <w:pPr>
              <w:jc w:val="center"/>
              <w:rPr>
                <w:rFonts w:ascii="宋体" w:hAnsi="宋体"/>
                <w:color w:val="auto"/>
                <w:sz w:val="22"/>
                <w:szCs w:val="22"/>
                <w:highlight w:val="none"/>
              </w:rPr>
            </w:pPr>
          </w:p>
        </w:tc>
        <w:tc>
          <w:tcPr>
            <w:tcW w:w="2439" w:type="dxa"/>
            <w:vAlign w:val="center"/>
          </w:tcPr>
          <w:p>
            <w:pPr>
              <w:jc w:val="center"/>
              <w:rPr>
                <w:rFonts w:ascii="宋体" w:hAnsi="宋体"/>
                <w:color w:val="auto"/>
                <w:sz w:val="22"/>
                <w:szCs w:val="22"/>
                <w:highlight w:val="none"/>
              </w:rPr>
            </w:pPr>
          </w:p>
        </w:tc>
      </w:tr>
      <w:bookmarkEnd w:id="226"/>
    </w:tbl>
    <w:p>
      <w:pPr>
        <w:spacing w:line="400" w:lineRule="exact"/>
        <w:ind w:left="221" w:hanging="221" w:hangingChars="100"/>
        <w:rPr>
          <w:rFonts w:ascii="宋体" w:hAnsi="宋体"/>
          <w:b/>
          <w:color w:val="auto"/>
          <w:sz w:val="22"/>
          <w:szCs w:val="22"/>
          <w:highlight w:val="none"/>
        </w:rPr>
      </w:pPr>
      <w:r>
        <w:rPr>
          <w:rFonts w:hint="eastAsia" w:ascii="宋体" w:hAnsi="宋体"/>
          <w:b/>
          <w:color w:val="auto"/>
          <w:sz w:val="22"/>
          <w:szCs w:val="22"/>
          <w:highlight w:val="none"/>
        </w:rPr>
        <w:t>说明：</w:t>
      </w:r>
    </w:p>
    <w:p>
      <w:pPr>
        <w:spacing w:line="400" w:lineRule="exact"/>
        <w:ind w:left="221" w:hanging="221" w:hangingChars="100"/>
        <w:rPr>
          <w:rFonts w:ascii="宋体" w:hAnsi="宋体"/>
          <w:b/>
          <w:color w:val="auto"/>
          <w:sz w:val="22"/>
          <w:szCs w:val="22"/>
          <w:highlight w:val="none"/>
        </w:rPr>
      </w:pPr>
      <w:r>
        <w:rPr>
          <w:rFonts w:hint="eastAsia" w:ascii="宋体" w:hAnsi="宋体"/>
          <w:b/>
          <w:color w:val="auto"/>
          <w:sz w:val="22"/>
          <w:szCs w:val="22"/>
          <w:highlight w:val="none"/>
        </w:rPr>
        <w:t>1.如不填写，则视为完全响应磋商文件。</w:t>
      </w:r>
    </w:p>
    <w:p>
      <w:pPr>
        <w:spacing w:line="400" w:lineRule="exact"/>
        <w:ind w:left="221" w:hanging="221" w:hangingChars="100"/>
        <w:rPr>
          <w:rFonts w:ascii="宋体" w:hAnsi="宋体"/>
          <w:b/>
          <w:color w:val="auto"/>
          <w:sz w:val="22"/>
          <w:szCs w:val="22"/>
          <w:highlight w:val="none"/>
        </w:rPr>
      </w:pPr>
      <w:bookmarkStart w:id="227" w:name="_Hlk87189159"/>
      <w:r>
        <w:rPr>
          <w:rFonts w:hint="eastAsia" w:ascii="宋体" w:hAnsi="宋体"/>
          <w:b/>
          <w:color w:val="auto"/>
          <w:sz w:val="22"/>
          <w:szCs w:val="22"/>
          <w:highlight w:val="none"/>
        </w:rPr>
        <w:t>2.如出现偏离，供应商务必如实填写此表，“响应文件对应条款”栏不得简单复制粘贴，所投内容必须对照磋商文件要求详细填写说明，否则存在的风险由供应商自行承担。</w:t>
      </w:r>
    </w:p>
    <w:p>
      <w:pPr>
        <w:spacing w:line="400" w:lineRule="exact"/>
        <w:ind w:left="221" w:hanging="221" w:hangingChars="100"/>
        <w:rPr>
          <w:rFonts w:ascii="宋体" w:hAnsi="宋体"/>
          <w:b/>
          <w:color w:val="auto"/>
          <w:sz w:val="22"/>
          <w:szCs w:val="22"/>
          <w:highlight w:val="none"/>
        </w:rPr>
      </w:pPr>
      <w:r>
        <w:rPr>
          <w:rFonts w:ascii="宋体" w:hAnsi="宋体"/>
          <w:b/>
          <w:color w:val="auto"/>
          <w:sz w:val="22"/>
          <w:szCs w:val="22"/>
          <w:highlight w:val="none"/>
        </w:rPr>
        <w:t>3.</w:t>
      </w:r>
      <w:r>
        <w:rPr>
          <w:rFonts w:hint="eastAsia" w:ascii="宋体" w:hAnsi="宋体"/>
          <w:b/>
          <w:color w:val="auto"/>
          <w:sz w:val="22"/>
          <w:szCs w:val="22"/>
          <w:highlight w:val="none"/>
        </w:rPr>
        <w:t>偏离说明是指对磋商文件要求存在不同之处的解释说明。偏离系指：负偏离（低于采购需求）、无偏离（满足采购需求）。</w:t>
      </w:r>
    </w:p>
    <w:bookmarkEnd w:id="227"/>
    <w:p>
      <w:pPr>
        <w:rPr>
          <w:color w:val="auto"/>
          <w:highlight w:val="none"/>
        </w:rPr>
      </w:pPr>
    </w:p>
    <w:p>
      <w:pPr>
        <w:spacing w:line="400" w:lineRule="exact"/>
        <w:rPr>
          <w:rFonts w:ascii="宋体" w:hAnsi="宋体"/>
          <w:color w:val="auto"/>
          <w:sz w:val="22"/>
          <w:szCs w:val="22"/>
          <w:highlight w:val="none"/>
        </w:rPr>
      </w:pPr>
      <w:r>
        <w:rPr>
          <w:rFonts w:hint="eastAsia" w:ascii="宋体" w:hAnsi="宋体"/>
          <w:b/>
          <w:color w:val="auto"/>
          <w:sz w:val="22"/>
          <w:szCs w:val="22"/>
          <w:highlight w:val="none"/>
          <w:u w:val="single"/>
        </w:rPr>
        <w:t>※不提供此表将被视为未实质性响应磋商文件，</w:t>
      </w:r>
      <w:r>
        <w:rPr>
          <w:rFonts w:hint="eastAsia" w:ascii="宋体" w:hAnsi="宋体" w:cs="Courier New"/>
          <w:b/>
          <w:color w:val="auto"/>
          <w:sz w:val="22"/>
          <w:szCs w:val="22"/>
          <w:highlight w:val="none"/>
          <w:u w:val="single"/>
        </w:rPr>
        <w:t>其</w:t>
      </w:r>
      <w:r>
        <w:rPr>
          <w:rFonts w:hint="eastAsia" w:ascii="宋体" w:hAnsi="宋体" w:cs="Courier New"/>
          <w:b/>
          <w:bCs/>
          <w:color w:val="auto"/>
          <w:sz w:val="22"/>
          <w:szCs w:val="22"/>
          <w:highlight w:val="none"/>
          <w:u w:val="single"/>
        </w:rPr>
        <w:t>响应无效</w:t>
      </w:r>
      <w:r>
        <w:rPr>
          <w:rFonts w:hint="eastAsia" w:ascii="宋体" w:hAnsi="宋体"/>
          <w:b/>
          <w:color w:val="auto"/>
          <w:sz w:val="22"/>
          <w:szCs w:val="22"/>
          <w:highlight w:val="none"/>
          <w:u w:val="single"/>
        </w:rPr>
        <w:t>。</w:t>
      </w:r>
    </w:p>
    <w:p>
      <w:pPr>
        <w:spacing w:line="460" w:lineRule="exact"/>
        <w:ind w:left="535" w:leftChars="153" w:hanging="214" w:hangingChars="97"/>
        <w:rPr>
          <w:rFonts w:ascii="宋体" w:hAnsi="宋体"/>
          <w:b/>
          <w:color w:val="auto"/>
          <w:sz w:val="22"/>
          <w:szCs w:val="22"/>
          <w:highlight w:val="none"/>
        </w:rPr>
      </w:pPr>
    </w:p>
    <w:p>
      <w:pPr>
        <w:tabs>
          <w:tab w:val="left" w:pos="840"/>
        </w:tabs>
        <w:adjustRightInd w:val="0"/>
        <w:snapToGrid w:val="0"/>
        <w:spacing w:line="360" w:lineRule="auto"/>
        <w:ind w:left="420" w:leftChars="200" w:firstLine="330" w:firstLineChars="150"/>
        <w:rPr>
          <w:rFonts w:ascii="宋体" w:hAnsi="宋体"/>
          <w:color w:val="auto"/>
          <w:sz w:val="22"/>
          <w:szCs w:val="22"/>
          <w:highlight w:val="none"/>
        </w:rPr>
      </w:pPr>
      <w:r>
        <w:rPr>
          <w:rFonts w:hint="eastAsia" w:ascii="宋体" w:hAnsi="宋体" w:cs="Courier New"/>
          <w:bCs/>
          <w:color w:val="auto"/>
          <w:sz w:val="22"/>
          <w:szCs w:val="22"/>
          <w:highlight w:val="none"/>
        </w:rPr>
        <w:t>供应商全称（盖章）：</w:t>
      </w:r>
    </w:p>
    <w:p>
      <w:pPr>
        <w:tabs>
          <w:tab w:val="left" w:pos="840"/>
        </w:tabs>
        <w:adjustRightInd w:val="0"/>
        <w:snapToGrid w:val="0"/>
        <w:spacing w:line="360" w:lineRule="auto"/>
        <w:ind w:left="420" w:leftChars="200" w:firstLine="330" w:firstLineChars="150"/>
        <w:rPr>
          <w:rFonts w:ascii="宋体" w:hAnsi="宋体"/>
          <w:color w:val="auto"/>
          <w:sz w:val="22"/>
          <w:szCs w:val="22"/>
          <w:highlight w:val="none"/>
        </w:rPr>
      </w:pPr>
      <w:r>
        <w:rPr>
          <w:rFonts w:hint="eastAsia" w:ascii="宋体" w:hAnsi="宋体"/>
          <w:color w:val="auto"/>
          <w:sz w:val="22"/>
          <w:szCs w:val="22"/>
          <w:highlight w:val="none"/>
        </w:rPr>
        <w:t>单位负责人或授权代表（签字或盖章）：</w:t>
      </w:r>
    </w:p>
    <w:p>
      <w:pPr>
        <w:tabs>
          <w:tab w:val="left" w:pos="840"/>
        </w:tabs>
        <w:adjustRightInd w:val="0"/>
        <w:snapToGrid w:val="0"/>
        <w:spacing w:line="360" w:lineRule="auto"/>
        <w:ind w:left="420" w:leftChars="200" w:firstLine="330" w:firstLineChars="150"/>
        <w:rPr>
          <w:rFonts w:ascii="宋体" w:hAnsi="宋体"/>
          <w:color w:val="auto"/>
          <w:sz w:val="22"/>
          <w:szCs w:val="22"/>
          <w:highlight w:val="none"/>
        </w:rPr>
      </w:pPr>
      <w:r>
        <w:rPr>
          <w:rFonts w:hint="eastAsia" w:ascii="宋体" w:hAnsi="宋体"/>
          <w:color w:val="auto"/>
          <w:sz w:val="22"/>
          <w:szCs w:val="22"/>
          <w:highlight w:val="none"/>
        </w:rPr>
        <w:t>日          期：  年  月  日</w:t>
      </w:r>
    </w:p>
    <w:p>
      <w:pPr>
        <w:pStyle w:val="10"/>
        <w:rPr>
          <w:rFonts w:ascii="宋体" w:hAnsi="宋体" w:eastAsia="宋体"/>
          <w:b/>
          <w:color w:val="auto"/>
          <w:sz w:val="28"/>
          <w:szCs w:val="28"/>
          <w:highlight w:val="none"/>
        </w:rPr>
      </w:pPr>
    </w:p>
    <w:p>
      <w:pPr>
        <w:spacing w:line="460" w:lineRule="exact"/>
        <w:jc w:val="center"/>
        <w:rPr>
          <w:rFonts w:ascii="宋体" w:hAnsi="宋体"/>
          <w:b/>
          <w:bCs/>
          <w:color w:val="auto"/>
          <w:sz w:val="30"/>
          <w:szCs w:val="30"/>
          <w:highlight w:val="none"/>
        </w:rPr>
      </w:pPr>
    </w:p>
    <w:p>
      <w:pPr>
        <w:spacing w:line="460" w:lineRule="exact"/>
        <w:jc w:val="center"/>
        <w:rPr>
          <w:rFonts w:ascii="宋体" w:hAnsi="宋体"/>
          <w:b/>
          <w:bCs/>
          <w:color w:val="auto"/>
          <w:sz w:val="30"/>
          <w:szCs w:val="30"/>
          <w:highlight w:val="none"/>
        </w:rPr>
      </w:pPr>
      <w:r>
        <w:rPr>
          <w:rFonts w:hint="eastAsia" w:ascii="宋体" w:hAnsi="宋体"/>
          <w:b/>
          <w:bCs/>
          <w:color w:val="auto"/>
          <w:sz w:val="30"/>
          <w:szCs w:val="30"/>
          <w:highlight w:val="none"/>
        </w:rPr>
        <w:t>五、供货范围详细清单</w:t>
      </w:r>
    </w:p>
    <w:p>
      <w:pPr>
        <w:rPr>
          <w:rFonts w:ascii="宋体" w:hAnsi="宋体"/>
          <w:color w:val="auto"/>
          <w:sz w:val="22"/>
          <w:szCs w:val="22"/>
          <w:highlight w:val="none"/>
        </w:rPr>
      </w:pPr>
      <w:r>
        <w:rPr>
          <w:rFonts w:hint="eastAsia" w:ascii="宋体" w:hAnsi="宋体"/>
          <w:color w:val="auto"/>
          <w:sz w:val="24"/>
          <w:highlight w:val="none"/>
        </w:rPr>
        <w:t xml:space="preserve"> </w:t>
      </w:r>
      <w:r>
        <w:rPr>
          <w:rFonts w:hint="eastAsia" w:ascii="宋体" w:hAnsi="宋体"/>
          <w:color w:val="auto"/>
          <w:sz w:val="22"/>
          <w:szCs w:val="22"/>
          <w:highlight w:val="none"/>
        </w:rPr>
        <w:t xml:space="preserve">  </w:t>
      </w:r>
      <w:r>
        <w:rPr>
          <w:rFonts w:ascii="宋体" w:hAnsi="宋体"/>
          <w:color w:val="auto"/>
          <w:sz w:val="22"/>
          <w:szCs w:val="22"/>
          <w:highlight w:val="none"/>
        </w:rPr>
        <w:t xml:space="preserve">  </w:t>
      </w:r>
    </w:p>
    <w:p>
      <w:pPr>
        <w:ind w:firstLine="440" w:firstLineChars="200"/>
        <w:rPr>
          <w:rFonts w:ascii="宋体" w:hAnsi="宋体"/>
          <w:color w:val="auto"/>
          <w:sz w:val="22"/>
          <w:szCs w:val="22"/>
          <w:highlight w:val="none"/>
        </w:rPr>
      </w:pPr>
      <w:r>
        <w:rPr>
          <w:rFonts w:hint="eastAsia" w:ascii="宋体" w:hAnsi="宋体"/>
          <w:color w:val="auto"/>
          <w:sz w:val="22"/>
          <w:szCs w:val="22"/>
          <w:highlight w:val="none"/>
        </w:rPr>
        <w:t>项目名称：                                      项目编号：</w:t>
      </w:r>
    </w:p>
    <w:tbl>
      <w:tblPr>
        <w:tblStyle w:val="32"/>
        <w:tblW w:w="96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851"/>
        <w:gridCol w:w="935"/>
        <w:gridCol w:w="940"/>
        <w:gridCol w:w="1143"/>
        <w:gridCol w:w="718"/>
        <w:gridCol w:w="825"/>
        <w:gridCol w:w="1676"/>
        <w:gridCol w:w="10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r>
              <w:rPr>
                <w:rFonts w:hint="eastAsia" w:ascii="宋体" w:hAnsi="宋体"/>
                <w:color w:val="auto"/>
                <w:sz w:val="22"/>
                <w:szCs w:val="22"/>
                <w:highlight w:val="none"/>
              </w:rPr>
              <w:t>序号</w:t>
            </w: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r>
              <w:rPr>
                <w:rFonts w:hint="eastAsia" w:ascii="宋体" w:hAnsi="宋体"/>
                <w:color w:val="auto"/>
                <w:sz w:val="22"/>
                <w:szCs w:val="22"/>
                <w:highlight w:val="none"/>
              </w:rPr>
              <w:t>产品名称</w:t>
            </w: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r>
              <w:rPr>
                <w:rFonts w:hint="eastAsia" w:ascii="宋体" w:hAnsi="宋体"/>
                <w:color w:val="auto"/>
                <w:sz w:val="22"/>
                <w:szCs w:val="22"/>
                <w:highlight w:val="none"/>
              </w:rPr>
              <w:t>品牌</w:t>
            </w:r>
          </w:p>
        </w:tc>
        <w:tc>
          <w:tcPr>
            <w:tcW w:w="9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r>
              <w:rPr>
                <w:rFonts w:hint="eastAsia" w:ascii="宋体" w:hAnsi="宋体"/>
                <w:color w:val="auto"/>
                <w:sz w:val="22"/>
                <w:szCs w:val="22"/>
                <w:highlight w:val="none"/>
              </w:rPr>
              <w:t>产地</w:t>
            </w: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r>
              <w:rPr>
                <w:rFonts w:hint="eastAsia" w:ascii="宋体" w:hAnsi="宋体"/>
                <w:color w:val="auto"/>
                <w:sz w:val="22"/>
                <w:szCs w:val="22"/>
                <w:highlight w:val="none"/>
              </w:rPr>
              <w:t>规格</w:t>
            </w:r>
          </w:p>
          <w:p>
            <w:pPr>
              <w:snapToGrid w:val="0"/>
              <w:spacing w:before="50" w:after="50"/>
              <w:jc w:val="center"/>
              <w:rPr>
                <w:rFonts w:ascii="宋体" w:hAnsi="宋体"/>
                <w:color w:val="auto"/>
                <w:sz w:val="22"/>
                <w:szCs w:val="22"/>
                <w:highlight w:val="none"/>
              </w:rPr>
            </w:pPr>
            <w:r>
              <w:rPr>
                <w:rFonts w:hint="eastAsia" w:ascii="宋体" w:hAnsi="宋体"/>
                <w:color w:val="auto"/>
                <w:sz w:val="22"/>
                <w:szCs w:val="22"/>
                <w:highlight w:val="none"/>
              </w:rPr>
              <w:t>型号</w:t>
            </w: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r>
              <w:rPr>
                <w:rFonts w:hint="eastAsia" w:ascii="宋体" w:hAnsi="宋体"/>
                <w:color w:val="auto"/>
                <w:sz w:val="22"/>
                <w:szCs w:val="22"/>
                <w:highlight w:val="none"/>
              </w:rPr>
              <w:t>单位</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r>
              <w:rPr>
                <w:rFonts w:hint="eastAsia" w:ascii="宋体" w:hAnsi="宋体"/>
                <w:color w:val="auto"/>
                <w:sz w:val="22"/>
                <w:szCs w:val="22"/>
                <w:highlight w:val="none"/>
              </w:rPr>
              <w:t>数量</w:t>
            </w: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r>
              <w:rPr>
                <w:rFonts w:hint="eastAsia" w:ascii="宋体" w:hAnsi="宋体"/>
                <w:color w:val="auto"/>
                <w:sz w:val="22"/>
                <w:szCs w:val="22"/>
                <w:highlight w:val="none"/>
              </w:rPr>
              <w:t>性能及指标</w:t>
            </w:r>
          </w:p>
        </w:tc>
        <w:tc>
          <w:tcPr>
            <w:tcW w:w="1031" w:type="dxa"/>
            <w:tcBorders>
              <w:top w:val="single" w:color="auto" w:sz="4" w:space="0"/>
              <w:left w:val="single" w:color="auto" w:sz="4" w:space="0"/>
              <w:bottom w:val="single" w:color="auto" w:sz="4" w:space="0"/>
              <w:right w:val="single" w:color="auto" w:sz="4" w:space="0"/>
            </w:tcBorders>
            <w:vAlign w:val="center"/>
          </w:tcPr>
          <w:p>
            <w:pPr>
              <w:ind w:right="-11"/>
              <w:jc w:val="center"/>
              <w:rPr>
                <w:rFonts w:ascii="宋体" w:hAnsi="宋体"/>
                <w:b/>
                <w:color w:val="auto"/>
                <w:sz w:val="22"/>
                <w:szCs w:val="22"/>
                <w:highlight w:val="none"/>
              </w:rPr>
            </w:pPr>
            <w:r>
              <w:rPr>
                <w:rFonts w:hint="eastAsia" w:ascii="宋体" w:hAnsi="宋体"/>
                <w:b/>
                <w:color w:val="auto"/>
                <w:sz w:val="22"/>
                <w:szCs w:val="22"/>
                <w:highlight w:val="none"/>
              </w:rPr>
              <w:t>免费</w:t>
            </w:r>
          </w:p>
          <w:p>
            <w:pPr>
              <w:snapToGrid w:val="0"/>
              <w:spacing w:before="50" w:after="50"/>
              <w:jc w:val="center"/>
              <w:rPr>
                <w:rFonts w:ascii="宋体" w:hAnsi="宋体"/>
                <w:color w:val="auto"/>
                <w:sz w:val="22"/>
                <w:szCs w:val="22"/>
                <w:highlight w:val="none"/>
              </w:rPr>
            </w:pPr>
            <w:r>
              <w:rPr>
                <w:rFonts w:hint="eastAsia" w:ascii="宋体" w:hAnsi="宋体"/>
                <w:b/>
                <w:color w:val="auto"/>
                <w:sz w:val="22"/>
                <w:szCs w:val="22"/>
                <w:highlight w:val="none"/>
              </w:rPr>
              <w:t>质保期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olor w:val="auto"/>
                <w:sz w:val="22"/>
                <w:szCs w:val="22"/>
                <w:highlight w:val="none"/>
              </w:rPr>
            </w:pPr>
          </w:p>
        </w:tc>
        <w:tc>
          <w:tcPr>
            <w:tcW w:w="94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2"/>
                <w:szCs w:val="22"/>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6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2"/>
                <w:szCs w:val="22"/>
                <w:highlight w:val="none"/>
              </w:rPr>
            </w:pPr>
          </w:p>
        </w:tc>
      </w:tr>
    </w:tbl>
    <w:p>
      <w:pPr>
        <w:spacing w:line="360" w:lineRule="auto"/>
        <w:rPr>
          <w:rFonts w:ascii="宋体" w:hAnsi="宋体"/>
          <w:color w:val="auto"/>
          <w:sz w:val="22"/>
          <w:szCs w:val="22"/>
          <w:highlight w:val="none"/>
        </w:rPr>
      </w:pPr>
      <w:r>
        <w:rPr>
          <w:rFonts w:hint="eastAsia" w:ascii="宋体" w:hAnsi="宋体"/>
          <w:color w:val="auto"/>
          <w:sz w:val="22"/>
          <w:szCs w:val="22"/>
          <w:highlight w:val="none"/>
        </w:rPr>
        <w:t>注：1、表中的产品名称需按采购内容分项填写；</w:t>
      </w:r>
    </w:p>
    <w:p>
      <w:pPr>
        <w:spacing w:line="360" w:lineRule="auto"/>
        <w:ind w:firstLine="440" w:firstLineChars="200"/>
        <w:rPr>
          <w:rFonts w:ascii="宋体" w:hAnsi="宋体"/>
          <w:color w:val="auto"/>
          <w:sz w:val="22"/>
          <w:szCs w:val="22"/>
          <w:highlight w:val="none"/>
        </w:rPr>
      </w:pPr>
      <w:r>
        <w:rPr>
          <w:rFonts w:hint="eastAsia" w:ascii="宋体" w:hAnsi="宋体"/>
          <w:color w:val="auto"/>
          <w:sz w:val="22"/>
          <w:szCs w:val="22"/>
          <w:highlight w:val="none"/>
        </w:rPr>
        <w:t>2、供应商可按以上表格形式进行复制，附在商务技术文件内。</w:t>
      </w:r>
    </w:p>
    <w:p>
      <w:pPr>
        <w:spacing w:line="360" w:lineRule="auto"/>
        <w:ind w:firstLine="440" w:firstLineChars="200"/>
        <w:rPr>
          <w:rFonts w:ascii="宋体" w:hAnsi="宋体"/>
          <w:color w:val="auto"/>
          <w:sz w:val="22"/>
          <w:szCs w:val="22"/>
          <w:highlight w:val="none"/>
        </w:rPr>
      </w:pPr>
    </w:p>
    <w:p>
      <w:pPr>
        <w:spacing w:line="360" w:lineRule="auto"/>
        <w:ind w:firstLine="440" w:firstLineChars="200"/>
        <w:rPr>
          <w:rFonts w:ascii="宋体" w:hAnsi="宋体"/>
          <w:color w:val="auto"/>
          <w:sz w:val="22"/>
          <w:szCs w:val="22"/>
          <w:highlight w:val="none"/>
        </w:rPr>
      </w:pPr>
    </w:p>
    <w:p>
      <w:pPr>
        <w:spacing w:line="460" w:lineRule="exact"/>
        <w:ind w:left="535" w:leftChars="153" w:hanging="214" w:hangingChars="97"/>
        <w:rPr>
          <w:rFonts w:ascii="宋体" w:hAnsi="宋体"/>
          <w:b/>
          <w:color w:val="auto"/>
          <w:sz w:val="22"/>
          <w:szCs w:val="22"/>
          <w:highlight w:val="none"/>
        </w:rPr>
      </w:pPr>
    </w:p>
    <w:p>
      <w:pPr>
        <w:tabs>
          <w:tab w:val="left" w:pos="840"/>
        </w:tabs>
        <w:adjustRightInd w:val="0"/>
        <w:snapToGrid w:val="0"/>
        <w:spacing w:line="360" w:lineRule="auto"/>
        <w:ind w:left="420" w:leftChars="200" w:firstLine="330" w:firstLineChars="150"/>
        <w:rPr>
          <w:rFonts w:ascii="宋体" w:hAnsi="宋体"/>
          <w:color w:val="auto"/>
          <w:sz w:val="22"/>
          <w:szCs w:val="22"/>
          <w:highlight w:val="none"/>
        </w:rPr>
      </w:pPr>
      <w:r>
        <w:rPr>
          <w:rFonts w:hint="eastAsia" w:ascii="宋体" w:hAnsi="宋体" w:cs="Courier New"/>
          <w:bCs/>
          <w:color w:val="auto"/>
          <w:sz w:val="22"/>
          <w:szCs w:val="22"/>
          <w:highlight w:val="none"/>
        </w:rPr>
        <w:t>供应商全称（盖章）：</w:t>
      </w:r>
    </w:p>
    <w:p>
      <w:pPr>
        <w:tabs>
          <w:tab w:val="left" w:pos="840"/>
        </w:tabs>
        <w:adjustRightInd w:val="0"/>
        <w:snapToGrid w:val="0"/>
        <w:spacing w:line="360" w:lineRule="auto"/>
        <w:ind w:left="420" w:leftChars="200" w:firstLine="330" w:firstLineChars="150"/>
        <w:rPr>
          <w:rFonts w:ascii="宋体" w:hAnsi="宋体"/>
          <w:color w:val="auto"/>
          <w:sz w:val="22"/>
          <w:szCs w:val="22"/>
          <w:highlight w:val="none"/>
        </w:rPr>
      </w:pPr>
      <w:r>
        <w:rPr>
          <w:rFonts w:hint="eastAsia" w:ascii="宋体" w:hAnsi="宋体"/>
          <w:color w:val="auto"/>
          <w:sz w:val="22"/>
          <w:szCs w:val="22"/>
          <w:highlight w:val="none"/>
        </w:rPr>
        <w:t>单位负责人或授权代表（签字或盖章）：</w:t>
      </w:r>
    </w:p>
    <w:p>
      <w:pPr>
        <w:tabs>
          <w:tab w:val="left" w:pos="840"/>
        </w:tabs>
        <w:adjustRightInd w:val="0"/>
        <w:snapToGrid w:val="0"/>
        <w:spacing w:line="360" w:lineRule="auto"/>
        <w:ind w:left="420" w:leftChars="200" w:firstLine="330" w:firstLineChars="150"/>
        <w:rPr>
          <w:rFonts w:ascii="宋体" w:hAnsi="宋体"/>
          <w:color w:val="auto"/>
          <w:sz w:val="22"/>
          <w:szCs w:val="22"/>
          <w:highlight w:val="none"/>
        </w:rPr>
      </w:pPr>
      <w:r>
        <w:rPr>
          <w:rFonts w:hint="eastAsia" w:ascii="宋体" w:hAnsi="宋体"/>
          <w:color w:val="auto"/>
          <w:sz w:val="22"/>
          <w:szCs w:val="22"/>
          <w:highlight w:val="none"/>
        </w:rPr>
        <w:t>日          期：  年  月  日</w:t>
      </w:r>
    </w:p>
    <w:p>
      <w:pPr>
        <w:spacing w:line="460" w:lineRule="exact"/>
        <w:rPr>
          <w:rFonts w:ascii="宋体" w:hAnsi="宋体"/>
          <w:b/>
          <w:bCs/>
          <w:color w:val="auto"/>
          <w:sz w:val="30"/>
          <w:szCs w:val="30"/>
          <w:highlight w:val="none"/>
        </w:rPr>
      </w:pPr>
    </w:p>
    <w:p>
      <w:pPr>
        <w:pStyle w:val="10"/>
        <w:keepNext/>
        <w:jc w:val="left"/>
        <w:rPr>
          <w:rFonts w:ascii="宋体" w:hAnsi="宋体" w:eastAsia="宋体"/>
          <w:b/>
          <w:color w:val="auto"/>
          <w:sz w:val="28"/>
          <w:szCs w:val="28"/>
          <w:highlight w:val="none"/>
        </w:rPr>
      </w:pPr>
    </w:p>
    <w:p>
      <w:pPr>
        <w:widowControl/>
        <w:jc w:val="left"/>
        <w:rPr>
          <w:rFonts w:ascii="宋体" w:hAnsi="宋体"/>
          <w:b/>
          <w:bCs/>
          <w:color w:val="auto"/>
          <w:sz w:val="30"/>
          <w:szCs w:val="30"/>
          <w:highlight w:val="none"/>
        </w:rPr>
      </w:pPr>
      <w:r>
        <w:rPr>
          <w:rFonts w:ascii="宋体" w:hAnsi="宋体"/>
          <w:b/>
          <w:bCs/>
          <w:color w:val="auto"/>
          <w:sz w:val="30"/>
          <w:szCs w:val="30"/>
          <w:highlight w:val="none"/>
        </w:rPr>
        <w:br w:type="page"/>
      </w:r>
    </w:p>
    <w:p>
      <w:pPr>
        <w:spacing w:line="460" w:lineRule="exact"/>
        <w:jc w:val="center"/>
        <w:rPr>
          <w:rFonts w:ascii="宋体" w:hAnsi="宋体"/>
          <w:b/>
          <w:bCs/>
          <w:color w:val="auto"/>
          <w:sz w:val="30"/>
          <w:szCs w:val="30"/>
          <w:highlight w:val="none"/>
        </w:rPr>
      </w:pPr>
      <w:r>
        <w:rPr>
          <w:rFonts w:hint="eastAsia" w:ascii="宋体" w:hAnsi="宋体"/>
          <w:b/>
          <w:bCs/>
          <w:color w:val="auto"/>
          <w:sz w:val="30"/>
          <w:szCs w:val="30"/>
          <w:highlight w:val="none"/>
        </w:rPr>
        <w:t>六、根据本项目采购内容及要求以及商务技术评分项目，需要提供的文件和资料</w:t>
      </w:r>
    </w:p>
    <w:p>
      <w:pPr>
        <w:spacing w:line="460" w:lineRule="exact"/>
        <w:jc w:val="center"/>
        <w:rPr>
          <w:rFonts w:ascii="宋体" w:hAnsi="宋体"/>
          <w:b/>
          <w:bCs/>
          <w:color w:val="auto"/>
          <w:sz w:val="28"/>
          <w:szCs w:val="28"/>
          <w:highlight w:val="none"/>
        </w:rPr>
      </w:pPr>
    </w:p>
    <w:p>
      <w:pPr>
        <w:spacing w:line="460" w:lineRule="exact"/>
        <w:ind w:firstLine="281" w:firstLineChars="100"/>
        <w:rPr>
          <w:rFonts w:ascii="宋体" w:hAnsi="宋体"/>
          <w:b/>
          <w:bCs/>
          <w:color w:val="auto"/>
          <w:sz w:val="28"/>
          <w:szCs w:val="28"/>
          <w:highlight w:val="none"/>
        </w:rPr>
      </w:pPr>
      <w:r>
        <w:rPr>
          <w:rFonts w:hint="eastAsia" w:ascii="宋体" w:hAnsi="宋体"/>
          <w:b/>
          <w:bCs/>
          <w:color w:val="auto"/>
          <w:sz w:val="28"/>
          <w:szCs w:val="28"/>
          <w:highlight w:val="none"/>
        </w:rPr>
        <w:t>说明：内容、格式自拟。</w:t>
      </w:r>
    </w:p>
    <w:p>
      <w:pPr>
        <w:spacing w:line="460" w:lineRule="exact"/>
        <w:jc w:val="center"/>
        <w:rPr>
          <w:rFonts w:ascii="宋体" w:hAnsi="宋体"/>
          <w:b/>
          <w:bCs/>
          <w:color w:val="auto"/>
          <w:sz w:val="28"/>
          <w:szCs w:val="28"/>
          <w:highlight w:val="none"/>
        </w:rPr>
      </w:pPr>
    </w:p>
    <w:p>
      <w:pPr>
        <w:widowControl/>
        <w:jc w:val="left"/>
        <w:rPr>
          <w:rFonts w:ascii="宋体" w:hAnsi="宋体"/>
          <w:b/>
          <w:bCs/>
          <w:color w:val="auto"/>
          <w:sz w:val="28"/>
          <w:szCs w:val="28"/>
          <w:highlight w:val="none"/>
        </w:rPr>
      </w:pPr>
      <w:bookmarkStart w:id="228" w:name="_Toc34761245"/>
    </w:p>
    <w:p>
      <w:pPr>
        <w:widowControl/>
        <w:jc w:val="left"/>
        <w:rPr>
          <w:rFonts w:ascii="宋体" w:hAnsi="宋体"/>
          <w:bCs/>
          <w:color w:val="auto"/>
          <w:kern w:val="0"/>
          <w:sz w:val="38"/>
          <w:szCs w:val="20"/>
          <w:highlight w:val="none"/>
        </w:rPr>
      </w:pPr>
    </w:p>
    <w:p>
      <w:pPr>
        <w:widowControl/>
        <w:jc w:val="left"/>
        <w:rPr>
          <w:rFonts w:ascii="宋体" w:hAnsi="宋体"/>
          <w:bCs/>
          <w:color w:val="auto"/>
          <w:kern w:val="0"/>
          <w:sz w:val="38"/>
          <w:szCs w:val="20"/>
          <w:highlight w:val="none"/>
        </w:rPr>
      </w:pPr>
      <w:r>
        <w:rPr>
          <w:rFonts w:ascii="宋体" w:hAnsi="宋体"/>
          <w:bCs/>
          <w:color w:val="auto"/>
          <w:sz w:val="38"/>
          <w:highlight w:val="none"/>
        </w:rPr>
        <w:br w:type="page"/>
      </w:r>
      <w:bookmarkStart w:id="229" w:name="_Toc13742"/>
    </w:p>
    <w:p>
      <w:pPr>
        <w:pStyle w:val="7"/>
        <w:spacing w:before="0" w:after="120" w:line="700" w:lineRule="exact"/>
        <w:rPr>
          <w:rFonts w:ascii="宋体" w:hAnsi="宋体" w:eastAsia="宋体"/>
          <w:b/>
          <w:color w:val="auto"/>
          <w:spacing w:val="20"/>
          <w:sz w:val="32"/>
          <w:szCs w:val="32"/>
          <w:highlight w:val="none"/>
        </w:rPr>
      </w:pPr>
      <w:bookmarkStart w:id="230" w:name="_Toc376"/>
      <w:bookmarkStart w:id="231" w:name="_Toc25328"/>
      <w:r>
        <w:rPr>
          <w:rFonts w:hint="eastAsia" w:ascii="宋体" w:hAnsi="宋体" w:eastAsia="宋体"/>
          <w:bCs/>
          <w:color w:val="auto"/>
          <w:sz w:val="38"/>
          <w:highlight w:val="none"/>
        </w:rPr>
        <w:t>封面</w:t>
      </w:r>
      <w:bookmarkEnd w:id="228"/>
      <w:bookmarkEnd w:id="229"/>
      <w:bookmarkEnd w:id="230"/>
      <w:bookmarkEnd w:id="231"/>
    </w:p>
    <w:p>
      <w:pPr>
        <w:adjustRightInd w:val="0"/>
        <w:snapToGrid w:val="0"/>
        <w:spacing w:line="460" w:lineRule="atLeast"/>
        <w:ind w:left="380" w:hanging="380" w:hangingChars="100"/>
        <w:jc w:val="left"/>
        <w:rPr>
          <w:rFonts w:ascii="宋体" w:hAnsi="宋体"/>
          <w:b/>
          <w:color w:val="auto"/>
          <w:spacing w:val="20"/>
          <w:sz w:val="32"/>
          <w:szCs w:val="32"/>
          <w:highlight w:val="none"/>
        </w:rPr>
      </w:pPr>
      <w:r>
        <w:rPr>
          <w:rFonts w:hint="eastAsia" w:ascii="宋体" w:hAnsi="宋体"/>
          <w:bCs/>
          <w:color w:val="auto"/>
          <w:kern w:val="0"/>
          <w:sz w:val="38"/>
          <w:szCs w:val="20"/>
          <w:highlight w:val="none"/>
        </w:rPr>
        <w:t>（仅供参考）</w:t>
      </w:r>
    </w:p>
    <w:p>
      <w:pPr>
        <w:adjustRightInd w:val="0"/>
        <w:snapToGrid w:val="0"/>
        <w:spacing w:line="460" w:lineRule="atLeast"/>
        <w:ind w:left="401" w:hanging="401" w:hangingChars="100"/>
        <w:rPr>
          <w:rFonts w:ascii="宋体" w:hAnsi="宋体"/>
          <w:b/>
          <w:color w:val="auto"/>
          <w:spacing w:val="20"/>
          <w:sz w:val="36"/>
          <w:szCs w:val="36"/>
          <w:highlight w:val="none"/>
        </w:rPr>
      </w:pPr>
    </w:p>
    <w:p>
      <w:pPr>
        <w:adjustRightInd w:val="0"/>
        <w:snapToGrid w:val="0"/>
        <w:spacing w:line="460" w:lineRule="atLeast"/>
        <w:ind w:left="401" w:hanging="401" w:hangingChars="100"/>
        <w:rPr>
          <w:rFonts w:ascii="宋体" w:hAnsi="宋体"/>
          <w:b/>
          <w:color w:val="auto"/>
          <w:spacing w:val="20"/>
          <w:sz w:val="36"/>
          <w:szCs w:val="36"/>
          <w:highlight w:val="none"/>
        </w:rPr>
      </w:pPr>
    </w:p>
    <w:p>
      <w:pPr>
        <w:adjustRightInd w:val="0"/>
        <w:snapToGrid w:val="0"/>
        <w:spacing w:line="460" w:lineRule="atLeast"/>
        <w:ind w:left="401" w:hanging="401" w:hangingChars="100"/>
        <w:rPr>
          <w:rFonts w:ascii="宋体" w:hAnsi="宋体"/>
          <w:b/>
          <w:color w:val="auto"/>
          <w:spacing w:val="20"/>
          <w:sz w:val="36"/>
          <w:szCs w:val="36"/>
          <w:highlight w:val="none"/>
        </w:rPr>
      </w:pPr>
    </w:p>
    <w:p>
      <w:pPr>
        <w:adjustRightInd w:val="0"/>
        <w:snapToGrid w:val="0"/>
        <w:spacing w:line="460" w:lineRule="atLeast"/>
        <w:ind w:left="401" w:hanging="401" w:hangingChars="100"/>
        <w:rPr>
          <w:rFonts w:ascii="宋体" w:hAnsi="宋体"/>
          <w:b/>
          <w:color w:val="auto"/>
          <w:spacing w:val="20"/>
          <w:sz w:val="36"/>
          <w:szCs w:val="36"/>
          <w:highlight w:val="none"/>
        </w:rPr>
      </w:pPr>
    </w:p>
    <w:p>
      <w:pPr>
        <w:spacing w:line="360" w:lineRule="auto"/>
        <w:jc w:val="center"/>
        <w:rPr>
          <w:rFonts w:ascii="宋体" w:hAnsi="宋体"/>
          <w:b/>
          <w:color w:val="auto"/>
          <w:sz w:val="96"/>
          <w:szCs w:val="22"/>
          <w:highlight w:val="none"/>
        </w:rPr>
      </w:pPr>
      <w:r>
        <w:rPr>
          <w:rFonts w:hint="eastAsia" w:ascii="宋体" w:hAnsi="宋体"/>
          <w:b/>
          <w:color w:val="auto"/>
          <w:sz w:val="96"/>
          <w:szCs w:val="22"/>
          <w:highlight w:val="none"/>
        </w:rPr>
        <w:t xml:space="preserve">响 </w:t>
      </w:r>
      <w:r>
        <w:rPr>
          <w:rFonts w:ascii="宋体" w:hAnsi="宋体"/>
          <w:b/>
          <w:color w:val="auto"/>
          <w:sz w:val="96"/>
          <w:szCs w:val="22"/>
          <w:highlight w:val="none"/>
        </w:rPr>
        <w:t xml:space="preserve"> </w:t>
      </w:r>
      <w:r>
        <w:rPr>
          <w:rFonts w:hint="eastAsia" w:ascii="宋体" w:hAnsi="宋体"/>
          <w:b/>
          <w:color w:val="auto"/>
          <w:sz w:val="96"/>
          <w:szCs w:val="22"/>
          <w:highlight w:val="none"/>
        </w:rPr>
        <w:t xml:space="preserve">应 </w:t>
      </w:r>
      <w:r>
        <w:rPr>
          <w:rFonts w:ascii="宋体" w:hAnsi="宋体"/>
          <w:b/>
          <w:color w:val="auto"/>
          <w:sz w:val="96"/>
          <w:szCs w:val="22"/>
          <w:highlight w:val="none"/>
        </w:rPr>
        <w:t xml:space="preserve"> </w:t>
      </w:r>
      <w:r>
        <w:rPr>
          <w:rFonts w:hint="eastAsia" w:ascii="宋体" w:hAnsi="宋体"/>
          <w:b/>
          <w:color w:val="auto"/>
          <w:sz w:val="96"/>
          <w:szCs w:val="22"/>
          <w:highlight w:val="none"/>
        </w:rPr>
        <w:t xml:space="preserve">文 </w:t>
      </w:r>
      <w:r>
        <w:rPr>
          <w:rFonts w:ascii="宋体" w:hAnsi="宋体"/>
          <w:b/>
          <w:color w:val="auto"/>
          <w:sz w:val="96"/>
          <w:szCs w:val="22"/>
          <w:highlight w:val="none"/>
        </w:rPr>
        <w:t xml:space="preserve"> </w:t>
      </w:r>
      <w:r>
        <w:rPr>
          <w:rFonts w:hint="eastAsia" w:ascii="宋体" w:hAnsi="宋体"/>
          <w:b/>
          <w:color w:val="auto"/>
          <w:sz w:val="96"/>
          <w:szCs w:val="22"/>
          <w:highlight w:val="none"/>
        </w:rPr>
        <w:t>件</w:t>
      </w:r>
    </w:p>
    <w:p>
      <w:pPr>
        <w:spacing w:line="360" w:lineRule="auto"/>
        <w:jc w:val="center"/>
        <w:rPr>
          <w:rFonts w:ascii="宋体" w:hAnsi="宋体"/>
          <w:b/>
          <w:color w:val="auto"/>
          <w:sz w:val="44"/>
          <w:szCs w:val="44"/>
          <w:highlight w:val="none"/>
        </w:rPr>
      </w:pPr>
    </w:p>
    <w:p>
      <w:pPr>
        <w:spacing w:line="360" w:lineRule="auto"/>
        <w:jc w:val="center"/>
        <w:rPr>
          <w:rFonts w:ascii="宋体" w:hAnsi="宋体"/>
          <w:b/>
          <w:color w:val="auto"/>
          <w:sz w:val="44"/>
          <w:szCs w:val="44"/>
          <w:highlight w:val="none"/>
        </w:rPr>
      </w:pPr>
      <w:r>
        <w:rPr>
          <w:rFonts w:hint="eastAsia" w:ascii="宋体" w:hAnsi="宋体"/>
          <w:b/>
          <w:color w:val="auto"/>
          <w:sz w:val="44"/>
          <w:szCs w:val="44"/>
          <w:highlight w:val="none"/>
        </w:rPr>
        <w:t>（资格文件/报价文件/商务技术文件）</w:t>
      </w:r>
    </w:p>
    <w:p>
      <w:pPr>
        <w:spacing w:line="360" w:lineRule="auto"/>
        <w:rPr>
          <w:rFonts w:ascii="宋体" w:hAnsi="宋体"/>
          <w:b/>
          <w:color w:val="auto"/>
          <w:szCs w:val="22"/>
          <w:highlight w:val="none"/>
        </w:rPr>
      </w:pPr>
    </w:p>
    <w:p>
      <w:pPr>
        <w:spacing w:line="360" w:lineRule="auto"/>
        <w:rPr>
          <w:rFonts w:ascii="宋体" w:hAnsi="宋体"/>
          <w:b/>
          <w:color w:val="auto"/>
          <w:szCs w:val="22"/>
          <w:highlight w:val="none"/>
        </w:rPr>
      </w:pPr>
    </w:p>
    <w:p>
      <w:pPr>
        <w:spacing w:line="360" w:lineRule="auto"/>
        <w:rPr>
          <w:rFonts w:ascii="宋体" w:hAnsi="宋体"/>
          <w:b/>
          <w:color w:val="auto"/>
          <w:szCs w:val="22"/>
          <w:highlight w:val="none"/>
        </w:rPr>
      </w:pPr>
    </w:p>
    <w:p>
      <w:pPr>
        <w:spacing w:line="360" w:lineRule="auto"/>
        <w:rPr>
          <w:rFonts w:ascii="宋体" w:hAnsi="宋体"/>
          <w:b/>
          <w:color w:val="auto"/>
          <w:szCs w:val="22"/>
          <w:highlight w:val="none"/>
        </w:rPr>
      </w:pPr>
    </w:p>
    <w:p>
      <w:pPr>
        <w:spacing w:line="360" w:lineRule="auto"/>
        <w:rPr>
          <w:rFonts w:ascii="宋体" w:hAnsi="宋体"/>
          <w:b/>
          <w:color w:val="auto"/>
          <w:szCs w:val="22"/>
          <w:highlight w:val="none"/>
        </w:rPr>
      </w:pPr>
    </w:p>
    <w:p>
      <w:pPr>
        <w:spacing w:line="360" w:lineRule="auto"/>
        <w:ind w:firstLine="1276" w:firstLineChars="454"/>
        <w:rPr>
          <w:rFonts w:ascii="宋体" w:hAnsi="宋体"/>
          <w:b/>
          <w:color w:val="auto"/>
          <w:sz w:val="36"/>
          <w:szCs w:val="22"/>
          <w:highlight w:val="none"/>
          <w:u w:val="single"/>
        </w:rPr>
      </w:pPr>
      <w:r>
        <w:rPr>
          <w:rFonts w:hint="eastAsia" w:ascii="宋体" w:hAnsi="宋体"/>
          <w:b/>
          <w:color w:val="auto"/>
          <w:sz w:val="28"/>
          <w:szCs w:val="22"/>
          <w:highlight w:val="none"/>
        </w:rPr>
        <w:t>项目名称：</w:t>
      </w:r>
      <w:r>
        <w:rPr>
          <w:rFonts w:hint="eastAsia" w:ascii="宋体" w:hAnsi="宋体"/>
          <w:b/>
          <w:color w:val="auto"/>
          <w:sz w:val="28"/>
          <w:szCs w:val="22"/>
          <w:highlight w:val="none"/>
          <w:u w:val="single"/>
        </w:rPr>
        <w:t xml:space="preserve">                                  </w:t>
      </w:r>
    </w:p>
    <w:p>
      <w:pPr>
        <w:spacing w:line="360" w:lineRule="auto"/>
        <w:ind w:firstLine="1276" w:firstLineChars="454"/>
        <w:rPr>
          <w:rFonts w:ascii="宋体" w:hAnsi="宋体"/>
          <w:b/>
          <w:color w:val="auto"/>
          <w:sz w:val="28"/>
          <w:szCs w:val="22"/>
          <w:highlight w:val="none"/>
          <w:u w:val="single"/>
        </w:rPr>
      </w:pPr>
      <w:r>
        <w:rPr>
          <w:rFonts w:hint="eastAsia" w:ascii="宋体" w:hAnsi="宋体"/>
          <w:b/>
          <w:color w:val="auto"/>
          <w:sz w:val="28"/>
          <w:szCs w:val="22"/>
          <w:highlight w:val="none"/>
        </w:rPr>
        <w:t>项目编号：</w:t>
      </w:r>
      <w:r>
        <w:rPr>
          <w:rFonts w:hint="eastAsia" w:ascii="宋体" w:hAnsi="宋体"/>
          <w:b/>
          <w:color w:val="auto"/>
          <w:sz w:val="28"/>
          <w:szCs w:val="22"/>
          <w:highlight w:val="none"/>
          <w:u w:val="single"/>
        </w:rPr>
        <w:t xml:space="preserve">                                  </w:t>
      </w:r>
    </w:p>
    <w:p>
      <w:pPr>
        <w:spacing w:line="360" w:lineRule="auto"/>
        <w:ind w:firstLine="1276" w:firstLineChars="454"/>
        <w:rPr>
          <w:rFonts w:ascii="宋体" w:hAnsi="宋体"/>
          <w:b/>
          <w:color w:val="auto"/>
          <w:sz w:val="28"/>
          <w:szCs w:val="22"/>
          <w:highlight w:val="none"/>
          <w:u w:val="single"/>
        </w:rPr>
      </w:pPr>
      <w:r>
        <w:rPr>
          <w:rFonts w:hint="eastAsia" w:ascii="宋体" w:hAnsi="宋体"/>
          <w:b/>
          <w:color w:val="auto"/>
          <w:sz w:val="28"/>
          <w:szCs w:val="22"/>
          <w:highlight w:val="none"/>
        </w:rPr>
        <w:t>供应商单位：</w:t>
      </w:r>
      <w:r>
        <w:rPr>
          <w:rFonts w:hint="eastAsia" w:ascii="宋体" w:hAnsi="宋体"/>
          <w:b/>
          <w:color w:val="auto"/>
          <w:sz w:val="28"/>
          <w:szCs w:val="22"/>
          <w:highlight w:val="none"/>
          <w:u w:val="single"/>
        </w:rPr>
        <w:t xml:space="preserve">                  </w:t>
      </w:r>
      <w:r>
        <w:rPr>
          <w:rFonts w:ascii="宋体" w:hAnsi="宋体"/>
          <w:b/>
          <w:color w:val="auto"/>
          <w:sz w:val="28"/>
          <w:szCs w:val="22"/>
          <w:highlight w:val="none"/>
          <w:u w:val="single"/>
        </w:rPr>
        <w:t xml:space="preserve">        </w:t>
      </w:r>
      <w:r>
        <w:rPr>
          <w:rFonts w:hint="eastAsia" w:ascii="宋体" w:hAnsi="宋体"/>
          <w:b/>
          <w:color w:val="auto"/>
          <w:sz w:val="28"/>
          <w:szCs w:val="22"/>
          <w:highlight w:val="none"/>
          <w:u w:val="single"/>
        </w:rPr>
        <w:t xml:space="preserve">       </w:t>
      </w:r>
    </w:p>
    <w:p>
      <w:pPr>
        <w:spacing w:line="360" w:lineRule="auto"/>
        <w:ind w:firstLine="1276" w:firstLineChars="454"/>
        <w:rPr>
          <w:rFonts w:ascii="宋体" w:hAnsi="宋体"/>
          <w:b/>
          <w:color w:val="auto"/>
          <w:sz w:val="28"/>
          <w:szCs w:val="22"/>
          <w:highlight w:val="none"/>
          <w:u w:val="single"/>
        </w:rPr>
      </w:pPr>
      <w:r>
        <w:rPr>
          <w:rFonts w:hint="eastAsia" w:ascii="宋体" w:hAnsi="宋体"/>
          <w:b/>
          <w:color w:val="auto"/>
          <w:sz w:val="28"/>
          <w:szCs w:val="22"/>
          <w:highlight w:val="none"/>
        </w:rPr>
        <w:t>日期：</w:t>
      </w:r>
      <w:r>
        <w:rPr>
          <w:rFonts w:hint="eastAsia" w:ascii="宋体" w:hAnsi="宋体"/>
          <w:b/>
          <w:color w:val="auto"/>
          <w:sz w:val="28"/>
          <w:szCs w:val="22"/>
          <w:highlight w:val="none"/>
          <w:u w:val="single"/>
        </w:rPr>
        <w:t xml:space="preserve">                                      </w:t>
      </w:r>
    </w:p>
    <w:bookmarkEnd w:id="216"/>
    <w:bookmarkEnd w:id="217"/>
    <w:bookmarkEnd w:id="218"/>
    <w:bookmarkEnd w:id="219"/>
    <w:bookmarkEnd w:id="220"/>
    <w:bookmarkEnd w:id="221"/>
    <w:bookmarkEnd w:id="222"/>
    <w:bookmarkEnd w:id="223"/>
    <w:bookmarkEnd w:id="224"/>
    <w:bookmarkEnd w:id="225"/>
    <w:p>
      <w:pPr>
        <w:widowControl/>
        <w:jc w:val="left"/>
        <w:rPr>
          <w:rFonts w:ascii="宋体" w:hAnsi="宋体"/>
          <w:bCs/>
          <w:color w:val="auto"/>
          <w:kern w:val="0"/>
          <w:sz w:val="38"/>
          <w:szCs w:val="20"/>
          <w:highlight w:val="none"/>
        </w:rPr>
      </w:pPr>
      <w:bookmarkStart w:id="232" w:name="_Toc10568"/>
      <w:r>
        <w:rPr>
          <w:rFonts w:ascii="宋体" w:hAnsi="宋体"/>
          <w:bCs/>
          <w:color w:val="auto"/>
          <w:sz w:val="38"/>
          <w:highlight w:val="none"/>
        </w:rPr>
        <w:br w:type="page"/>
      </w:r>
    </w:p>
    <w:p>
      <w:pPr>
        <w:pStyle w:val="5"/>
        <w:tabs>
          <w:tab w:val="left" w:pos="1703"/>
          <w:tab w:val="center" w:pos="4819"/>
        </w:tabs>
        <w:spacing w:before="240" w:beforeLines="100"/>
        <w:rPr>
          <w:rFonts w:ascii="宋体" w:hAnsi="宋体" w:eastAsia="宋体"/>
          <w:color w:val="auto"/>
          <w:sz w:val="36"/>
          <w:szCs w:val="36"/>
          <w:highlight w:val="none"/>
        </w:rPr>
      </w:pPr>
      <w:bookmarkStart w:id="233" w:name="_Toc28144"/>
      <w:bookmarkStart w:id="234" w:name="_Toc2111"/>
      <w:r>
        <w:rPr>
          <w:rFonts w:hint="eastAsia" w:ascii="宋体" w:hAnsi="宋体" w:eastAsia="宋体"/>
          <w:color w:val="auto"/>
          <w:sz w:val="36"/>
          <w:szCs w:val="36"/>
          <w:highlight w:val="none"/>
        </w:rPr>
        <w:t>第四部分   采购内容及要求</w:t>
      </w:r>
    </w:p>
    <w:bookmarkEnd w:id="232"/>
    <w:bookmarkEnd w:id="233"/>
    <w:bookmarkEnd w:id="234"/>
    <w:p>
      <w:pPr>
        <w:pStyle w:val="6"/>
        <w:pageBreakBefore w:val="0"/>
        <w:kinsoku/>
        <w:wordWrap/>
        <w:overflowPunct/>
        <w:topLinePunct w:val="0"/>
        <w:bidi w:val="0"/>
        <w:snapToGrid/>
        <w:spacing w:before="0" w:after="0" w:line="440" w:lineRule="exact"/>
        <w:jc w:val="center"/>
        <w:textAlignment w:val="auto"/>
        <w:rPr>
          <w:rFonts w:hint="eastAsia" w:ascii="宋体" w:hAnsi="宋体" w:eastAsia="宋体"/>
          <w:color w:val="auto"/>
          <w:sz w:val="28"/>
          <w:szCs w:val="28"/>
          <w:highlight w:val="none"/>
        </w:rPr>
      </w:pPr>
      <w:bookmarkStart w:id="235" w:name="_Toc495862905"/>
      <w:bookmarkStart w:id="236" w:name="_Toc46155113"/>
      <w:bookmarkStart w:id="237" w:name="_Toc365203313"/>
      <w:bookmarkStart w:id="238" w:name="_Toc491529537"/>
      <w:bookmarkStart w:id="239" w:name="_Toc3690"/>
      <w:bookmarkStart w:id="240" w:name="_Toc203534124"/>
      <w:bookmarkStart w:id="241" w:name="_Toc223933231"/>
      <w:bookmarkStart w:id="242" w:name="_Toc227056860"/>
      <w:bookmarkStart w:id="243" w:name="_Toc223717614"/>
      <w:bookmarkStart w:id="244" w:name="_Toc227057043"/>
      <w:bookmarkStart w:id="245" w:name="_Toc227489897"/>
      <w:bookmarkStart w:id="246" w:name="_Toc16631"/>
      <w:bookmarkStart w:id="247" w:name="_Toc423"/>
    </w:p>
    <w:bookmarkEnd w:id="235"/>
    <w:bookmarkEnd w:id="236"/>
    <w:bookmarkEnd w:id="237"/>
    <w:bookmarkEnd w:id="238"/>
    <w:bookmarkEnd w:id="239"/>
    <w:bookmarkEnd w:id="240"/>
    <w:p>
      <w:pPr>
        <w:pStyle w:val="6"/>
        <w:pageBreakBefore w:val="0"/>
        <w:numPr>
          <w:ilvl w:val="0"/>
          <w:numId w:val="20"/>
        </w:numPr>
        <w:kinsoku/>
        <w:wordWrap/>
        <w:overflowPunct/>
        <w:topLinePunct w:val="0"/>
        <w:bidi w:val="0"/>
        <w:snapToGrid/>
        <w:spacing w:before="0" w:after="0" w:line="460" w:lineRule="exact"/>
        <w:jc w:val="center"/>
        <w:textAlignment w:val="auto"/>
        <w:rPr>
          <w:rFonts w:hint="eastAsia" w:ascii="宋体" w:hAnsi="宋体" w:eastAsia="宋体"/>
          <w:color w:val="auto"/>
          <w:sz w:val="28"/>
          <w:szCs w:val="28"/>
          <w:highlight w:val="none"/>
        </w:rPr>
      </w:pPr>
      <w:bookmarkStart w:id="248" w:name="_Toc104560017"/>
      <w:bookmarkStart w:id="249" w:name="_Toc18561"/>
      <w:bookmarkStart w:id="250" w:name="_Toc100763421"/>
      <w:r>
        <w:rPr>
          <w:rFonts w:hint="eastAsia" w:ascii="宋体" w:hAnsi="宋体" w:eastAsia="宋体"/>
          <w:color w:val="auto"/>
          <w:sz w:val="28"/>
          <w:szCs w:val="28"/>
          <w:highlight w:val="none"/>
        </w:rPr>
        <w:t>、总则</w:t>
      </w:r>
    </w:p>
    <w:p>
      <w:pPr>
        <w:pageBreakBefore w:val="0"/>
        <w:numPr>
          <w:ilvl w:val="0"/>
          <w:numId w:val="0"/>
        </w:numPr>
        <w:kinsoku/>
        <w:wordWrap/>
        <w:overflowPunct/>
        <w:topLinePunct w:val="0"/>
        <w:bidi w:val="0"/>
        <w:snapToGrid/>
        <w:spacing w:line="460" w:lineRule="exact"/>
        <w:textAlignment w:val="auto"/>
        <w:rPr>
          <w:rFonts w:hint="default" w:eastAsia="宋体"/>
          <w:color w:val="auto"/>
          <w:highlight w:val="none"/>
          <w:lang w:val="en-US" w:eastAsia="zh-CN"/>
        </w:rPr>
      </w:pPr>
      <w:r>
        <w:rPr>
          <w:rFonts w:hint="eastAsia"/>
          <w:color w:val="auto"/>
          <w:highlight w:val="none"/>
          <w:lang w:val="en-US" w:eastAsia="zh-CN"/>
        </w:rPr>
        <w:t>一、总体说明</w:t>
      </w:r>
    </w:p>
    <w:p>
      <w:pPr>
        <w:pageBreakBefore w:val="0"/>
        <w:kinsoku/>
        <w:wordWrap/>
        <w:overflowPunct/>
        <w:topLinePunct w:val="0"/>
        <w:bidi w:val="0"/>
        <w:snapToGrid/>
        <w:spacing w:line="460" w:lineRule="exact"/>
        <w:ind w:left="440" w:hanging="440" w:hangingChars="200"/>
        <w:textAlignment w:val="auto"/>
        <w:rPr>
          <w:rFonts w:ascii="宋体" w:hAnsi="宋体"/>
          <w:color w:val="auto"/>
          <w:sz w:val="22"/>
          <w:szCs w:val="22"/>
          <w:highlight w:val="none"/>
        </w:rPr>
      </w:pPr>
      <w:r>
        <w:rPr>
          <w:rFonts w:ascii="宋体" w:hAnsi="宋体"/>
          <w:color w:val="auto"/>
          <w:sz w:val="22"/>
          <w:szCs w:val="22"/>
          <w:highlight w:val="none"/>
        </w:rPr>
        <w:t>1</w:t>
      </w:r>
      <w:r>
        <w:rPr>
          <w:rFonts w:hint="eastAsia" w:ascii="宋体" w:hAnsi="宋体"/>
          <w:color w:val="auto"/>
          <w:sz w:val="22"/>
          <w:szCs w:val="22"/>
          <w:highlight w:val="none"/>
        </w:rPr>
        <w:t>.  本采购内容及要求提出了设备的功能设计、结构、性能、安装和试验等方面的初步技术要求，供供应商做报价依据。买方有权在签订合同时对本采购内容及要求作进一步修改。</w:t>
      </w:r>
    </w:p>
    <w:p>
      <w:pPr>
        <w:pageBreakBefore w:val="0"/>
        <w:kinsoku/>
        <w:wordWrap/>
        <w:overflowPunct/>
        <w:topLinePunct w:val="0"/>
        <w:bidi w:val="0"/>
        <w:snapToGrid/>
        <w:spacing w:line="460" w:lineRule="exact"/>
        <w:ind w:left="440" w:hanging="440" w:hangingChars="200"/>
        <w:textAlignment w:val="auto"/>
        <w:rPr>
          <w:rFonts w:ascii="宋体" w:hAnsi="宋体"/>
          <w:color w:val="auto"/>
          <w:sz w:val="22"/>
          <w:szCs w:val="22"/>
          <w:highlight w:val="none"/>
        </w:rPr>
      </w:pPr>
      <w:r>
        <w:rPr>
          <w:rFonts w:ascii="宋体" w:hAnsi="宋体"/>
          <w:color w:val="auto"/>
          <w:sz w:val="22"/>
          <w:szCs w:val="22"/>
          <w:highlight w:val="none"/>
        </w:rPr>
        <w:t>2</w:t>
      </w:r>
      <w:r>
        <w:rPr>
          <w:rFonts w:hint="eastAsia" w:ascii="宋体" w:hAnsi="宋体"/>
          <w:color w:val="auto"/>
          <w:sz w:val="22"/>
          <w:szCs w:val="22"/>
          <w:highlight w:val="none"/>
        </w:rPr>
        <w:t xml:space="preserve">. </w:t>
      </w:r>
      <w:r>
        <w:rPr>
          <w:rFonts w:hint="eastAsia" w:ascii="宋体" w:hAnsi="宋体"/>
          <w:b/>
          <w:color w:val="auto"/>
          <w:sz w:val="22"/>
          <w:szCs w:val="22"/>
          <w:highlight w:val="none"/>
        </w:rPr>
        <w:t xml:space="preserve"> 本采购内容及要求并未对一切技术细节作出明确规定，也未充分引述有关标准、规范的条文。供应商应保证提供符合采购内容及要求和工业标准的优质产品。响应文件包括采购内容及要求所叙述的全部工作以及在采购内容及要求没有提到的，但涉及到有关设备的效率、稳定性、完整性以及在项目实践上证明是优良性能所需要的部分也应包括在内。本采购内容及要求所标明的工艺、设备、材料和所采用的标准只是为了说明所期望的系统的基本形式，而并非限制性的。</w:t>
      </w:r>
    </w:p>
    <w:p>
      <w:pPr>
        <w:pageBreakBefore w:val="0"/>
        <w:kinsoku/>
        <w:wordWrap/>
        <w:overflowPunct/>
        <w:topLinePunct w:val="0"/>
        <w:bidi w:val="0"/>
        <w:snapToGrid/>
        <w:spacing w:line="460" w:lineRule="exact"/>
        <w:ind w:left="440" w:hanging="440" w:hangingChars="200"/>
        <w:textAlignment w:val="auto"/>
        <w:rPr>
          <w:rFonts w:ascii="宋体" w:hAnsi="宋体"/>
          <w:color w:val="auto"/>
          <w:sz w:val="22"/>
          <w:szCs w:val="22"/>
          <w:highlight w:val="none"/>
        </w:rPr>
      </w:pPr>
      <w:r>
        <w:rPr>
          <w:rFonts w:ascii="宋体" w:hAnsi="宋体"/>
          <w:color w:val="auto"/>
          <w:sz w:val="22"/>
          <w:szCs w:val="22"/>
          <w:highlight w:val="none"/>
        </w:rPr>
        <w:t>3</w:t>
      </w:r>
      <w:r>
        <w:rPr>
          <w:rFonts w:hint="eastAsia" w:ascii="宋体" w:hAnsi="宋体"/>
          <w:color w:val="auto"/>
          <w:sz w:val="22"/>
          <w:szCs w:val="22"/>
          <w:highlight w:val="none"/>
        </w:rPr>
        <w:t xml:space="preserve">. </w:t>
      </w:r>
      <w:r>
        <w:rPr>
          <w:rFonts w:hint="eastAsia" w:ascii="宋体" w:hAnsi="宋体"/>
          <w:b/>
          <w:color w:val="auto"/>
          <w:sz w:val="22"/>
          <w:szCs w:val="22"/>
          <w:highlight w:val="none"/>
        </w:rPr>
        <w:t>供应商应仔细阅读本采购内容及要求中的全部条款。供应商提出的设备技术规格应符合本采购内容及要求的所有要求。如供应商没有以书面形式列出与本采购内容及要求所规定的规格间的差异，则认为：提供的设备是完全符合本采购内容及要求的要求。</w:t>
      </w:r>
    </w:p>
    <w:p>
      <w:pPr>
        <w:pageBreakBefore w:val="0"/>
        <w:kinsoku/>
        <w:wordWrap/>
        <w:overflowPunct/>
        <w:topLinePunct w:val="0"/>
        <w:bidi w:val="0"/>
        <w:snapToGrid/>
        <w:spacing w:line="460" w:lineRule="exact"/>
        <w:textAlignment w:val="auto"/>
        <w:rPr>
          <w:rFonts w:ascii="宋体" w:hAnsi="宋体"/>
          <w:color w:val="auto"/>
          <w:sz w:val="22"/>
          <w:szCs w:val="22"/>
          <w:highlight w:val="none"/>
        </w:rPr>
      </w:pPr>
      <w:r>
        <w:rPr>
          <w:rFonts w:ascii="宋体" w:hAnsi="宋体"/>
          <w:color w:val="auto"/>
          <w:sz w:val="22"/>
          <w:szCs w:val="22"/>
          <w:highlight w:val="none"/>
        </w:rPr>
        <w:t>4</w:t>
      </w:r>
      <w:r>
        <w:rPr>
          <w:rFonts w:hint="eastAsia" w:ascii="宋体" w:hAnsi="宋体"/>
          <w:color w:val="auto"/>
          <w:sz w:val="22"/>
          <w:szCs w:val="22"/>
          <w:highlight w:val="none"/>
        </w:rPr>
        <w:t>.  本采购内容及要求经确认后作为定货合同的技术附件，与合同正文具有同等效力。</w:t>
      </w:r>
    </w:p>
    <w:p>
      <w:pPr>
        <w:pageBreakBefore w:val="0"/>
        <w:kinsoku/>
        <w:wordWrap/>
        <w:overflowPunct/>
        <w:topLinePunct w:val="0"/>
        <w:bidi w:val="0"/>
        <w:snapToGrid/>
        <w:spacing w:line="460" w:lineRule="exact"/>
        <w:ind w:left="440" w:hanging="440" w:hangingChars="200"/>
        <w:textAlignment w:val="auto"/>
        <w:rPr>
          <w:rFonts w:ascii="宋体" w:hAnsi="宋体"/>
          <w:b/>
          <w:color w:val="auto"/>
          <w:sz w:val="22"/>
          <w:szCs w:val="22"/>
          <w:highlight w:val="none"/>
        </w:rPr>
      </w:pPr>
      <w:r>
        <w:rPr>
          <w:rFonts w:ascii="宋体" w:hAnsi="宋体"/>
          <w:color w:val="auto"/>
          <w:sz w:val="22"/>
          <w:szCs w:val="22"/>
          <w:highlight w:val="none"/>
        </w:rPr>
        <w:t>5</w:t>
      </w:r>
      <w:r>
        <w:rPr>
          <w:rFonts w:hint="eastAsia" w:ascii="宋体" w:hAnsi="宋体"/>
          <w:color w:val="auto"/>
          <w:sz w:val="22"/>
          <w:szCs w:val="22"/>
          <w:highlight w:val="none"/>
        </w:rPr>
        <w:t>.</w:t>
      </w:r>
      <w:r>
        <w:rPr>
          <w:rFonts w:ascii="宋体" w:hAnsi="宋体"/>
          <w:b/>
          <w:color w:val="auto"/>
          <w:sz w:val="22"/>
          <w:szCs w:val="22"/>
          <w:highlight w:val="none"/>
        </w:rPr>
        <w:t xml:space="preserve"> </w:t>
      </w:r>
      <w:r>
        <w:rPr>
          <w:rFonts w:hint="eastAsia" w:ascii="宋体" w:hAnsi="宋体"/>
          <w:b/>
          <w:color w:val="auto"/>
          <w:sz w:val="22"/>
          <w:szCs w:val="22"/>
          <w:highlight w:val="none"/>
        </w:rPr>
        <w:t xml:space="preserve"> 组成整体所需的所有相关软件、配件、附件和连接电缆、光纤跳线等都应包括在投标报价中，如有错漏，由中标（成交）供应商无偿补足。</w:t>
      </w:r>
    </w:p>
    <w:p>
      <w:pPr>
        <w:pageBreakBefore w:val="0"/>
        <w:kinsoku/>
        <w:wordWrap/>
        <w:overflowPunct/>
        <w:topLinePunct w:val="0"/>
        <w:bidi w:val="0"/>
        <w:snapToGrid/>
        <w:spacing w:line="460" w:lineRule="exact"/>
        <w:ind w:left="440" w:hanging="440" w:hangingChars="200"/>
        <w:textAlignment w:val="auto"/>
        <w:rPr>
          <w:rFonts w:ascii="宋体" w:hAnsi="宋体"/>
          <w:b/>
          <w:color w:val="auto"/>
          <w:sz w:val="22"/>
          <w:szCs w:val="22"/>
          <w:highlight w:val="none"/>
        </w:rPr>
      </w:pPr>
      <w:r>
        <w:rPr>
          <w:rFonts w:ascii="宋体" w:hAnsi="宋体"/>
          <w:color w:val="auto"/>
          <w:sz w:val="22"/>
          <w:szCs w:val="22"/>
          <w:highlight w:val="none"/>
        </w:rPr>
        <w:t>6</w:t>
      </w:r>
      <w:r>
        <w:rPr>
          <w:rFonts w:hint="eastAsia" w:ascii="宋体" w:hAnsi="宋体"/>
          <w:color w:val="auto"/>
          <w:sz w:val="22"/>
          <w:szCs w:val="22"/>
          <w:highlight w:val="none"/>
        </w:rPr>
        <w:t>.</w:t>
      </w:r>
      <w:r>
        <w:rPr>
          <w:rFonts w:ascii="宋体" w:hAnsi="宋体"/>
          <w:b/>
          <w:color w:val="auto"/>
          <w:sz w:val="22"/>
          <w:szCs w:val="22"/>
          <w:highlight w:val="none"/>
        </w:rPr>
        <w:t xml:space="preserve"> </w:t>
      </w:r>
      <w:r>
        <w:rPr>
          <w:rFonts w:hint="eastAsia" w:ascii="宋体" w:hAnsi="宋体"/>
          <w:b/>
          <w:color w:val="auto"/>
          <w:sz w:val="22"/>
          <w:szCs w:val="22"/>
          <w:highlight w:val="none"/>
        </w:rPr>
        <w:t xml:space="preserve"> </w:t>
      </w:r>
      <w:r>
        <w:rPr>
          <w:rFonts w:hint="eastAsia" w:ascii="宋体" w:hAnsi="宋体"/>
          <w:b/>
          <w:color w:val="auto"/>
          <w:sz w:val="22"/>
          <w:szCs w:val="22"/>
          <w:highlight w:val="none"/>
          <w:u w:val="single"/>
        </w:rPr>
        <w:t>本次采购的货物如涉及国家规定强制认证的，均视为供应商报价货物符合了工业品生产许可证，3C认证，环保货物认证等强制认证规定的，但中标人须在采购人或最终使用单位对上述货物验收时提供相关证书证明资料，否则做验收不能通过处理。</w:t>
      </w:r>
    </w:p>
    <w:p>
      <w:pPr>
        <w:pageBreakBefore w:val="0"/>
        <w:kinsoku/>
        <w:wordWrap/>
        <w:overflowPunct/>
        <w:topLinePunct w:val="0"/>
        <w:bidi w:val="0"/>
        <w:snapToGrid/>
        <w:spacing w:line="460" w:lineRule="exact"/>
        <w:ind w:left="440" w:hanging="440" w:hangingChars="200"/>
        <w:textAlignment w:val="auto"/>
        <w:rPr>
          <w:rFonts w:ascii="宋体" w:hAnsi="宋体"/>
          <w:b/>
          <w:color w:val="auto"/>
          <w:sz w:val="22"/>
          <w:szCs w:val="22"/>
          <w:highlight w:val="none"/>
        </w:rPr>
      </w:pPr>
      <w:r>
        <w:rPr>
          <w:rFonts w:ascii="宋体" w:hAnsi="宋体"/>
          <w:color w:val="auto"/>
          <w:sz w:val="22"/>
          <w:szCs w:val="22"/>
          <w:highlight w:val="none"/>
        </w:rPr>
        <w:t>7</w:t>
      </w:r>
      <w:r>
        <w:rPr>
          <w:rFonts w:hint="eastAsia" w:ascii="宋体" w:hAnsi="宋体"/>
          <w:color w:val="auto"/>
          <w:sz w:val="22"/>
          <w:szCs w:val="22"/>
          <w:highlight w:val="none"/>
        </w:rPr>
        <w:t>.</w:t>
      </w:r>
      <w:r>
        <w:rPr>
          <w:rFonts w:ascii="宋体" w:hAnsi="宋体"/>
          <w:b/>
          <w:color w:val="auto"/>
          <w:sz w:val="22"/>
          <w:szCs w:val="22"/>
          <w:highlight w:val="none"/>
        </w:rPr>
        <w:t xml:space="preserve"> </w:t>
      </w:r>
      <w:r>
        <w:rPr>
          <w:rFonts w:hint="eastAsia" w:ascii="宋体" w:hAnsi="宋体"/>
          <w:b/>
          <w:color w:val="auto"/>
          <w:sz w:val="22"/>
          <w:szCs w:val="22"/>
          <w:highlight w:val="none"/>
        </w:rPr>
        <w:t xml:space="preserve"> 采购技术参数及要求是采购人提出的货物技术说明，如磋商文件中遗漏了完工必须具备的设备、配件辅料或服务，请供应商在响应文件中明确指出，并提出解决方案供采购人参考；中标人有义务保证采购人该项目的完整性，如项目实施过程中因缺少设备、配件辅料或服务导致无法满足采购人正常需求，中标人须免费提供。</w:t>
      </w:r>
    </w:p>
    <w:p>
      <w:pPr>
        <w:pageBreakBefore w:val="0"/>
        <w:kinsoku/>
        <w:wordWrap/>
        <w:overflowPunct/>
        <w:topLinePunct w:val="0"/>
        <w:bidi w:val="0"/>
        <w:snapToGrid/>
        <w:spacing w:line="460" w:lineRule="exact"/>
        <w:ind w:left="442" w:hanging="442" w:hangingChars="200"/>
        <w:textAlignment w:val="auto"/>
        <w:rPr>
          <w:rFonts w:ascii="宋体" w:hAnsi="宋体"/>
          <w:b/>
          <w:color w:val="auto"/>
          <w:sz w:val="22"/>
          <w:szCs w:val="22"/>
          <w:highlight w:val="none"/>
        </w:rPr>
      </w:pPr>
      <w:r>
        <w:rPr>
          <w:rFonts w:ascii="宋体" w:hAnsi="宋体"/>
          <w:b/>
          <w:color w:val="auto"/>
          <w:sz w:val="22"/>
          <w:szCs w:val="22"/>
          <w:highlight w:val="none"/>
        </w:rPr>
        <w:t xml:space="preserve">8.  </w:t>
      </w:r>
      <w:r>
        <w:rPr>
          <w:rFonts w:hint="eastAsia" w:ascii="宋体" w:hAnsi="宋体"/>
          <w:b/>
          <w:color w:val="auto"/>
          <w:sz w:val="22"/>
          <w:szCs w:val="22"/>
          <w:highlight w:val="none"/>
          <w:u w:val="single"/>
        </w:rPr>
        <w:t>本部分 “采购内容及要求”中提供的可能涉及到的工艺、材料、设备、商标、样本、技术规范、参数规格、品牌等，仅作为说明并没有限制性，供应商在投标时可以选用替代，但这些替代的品牌、产品技术标准要优于或相当于项目采购需求中要求的标准，以满足采购人的需要。</w:t>
      </w:r>
    </w:p>
    <w:p>
      <w:pPr>
        <w:pageBreakBefore w:val="0"/>
        <w:kinsoku/>
        <w:wordWrap/>
        <w:overflowPunct/>
        <w:topLinePunct w:val="0"/>
        <w:bidi w:val="0"/>
        <w:snapToGrid/>
        <w:spacing w:line="460" w:lineRule="exact"/>
        <w:ind w:left="442" w:hanging="442" w:hangingChars="200"/>
        <w:textAlignment w:val="auto"/>
        <w:rPr>
          <w:rFonts w:ascii="宋体" w:hAnsi="宋体"/>
          <w:b/>
          <w:color w:val="auto"/>
          <w:sz w:val="22"/>
          <w:szCs w:val="22"/>
          <w:highlight w:val="none"/>
        </w:rPr>
      </w:pPr>
      <w:r>
        <w:rPr>
          <w:rFonts w:ascii="宋体" w:hAnsi="宋体"/>
          <w:b/>
          <w:color w:val="auto"/>
          <w:sz w:val="22"/>
          <w:szCs w:val="22"/>
          <w:highlight w:val="none"/>
        </w:rPr>
        <w:t>9</w:t>
      </w:r>
      <w:r>
        <w:rPr>
          <w:rFonts w:hint="eastAsia" w:ascii="宋体" w:hAnsi="宋体"/>
          <w:b/>
          <w:color w:val="auto"/>
          <w:sz w:val="22"/>
          <w:szCs w:val="22"/>
          <w:highlight w:val="none"/>
        </w:rPr>
        <w:t>. 其他要求：其他条款请见合同条款规定。</w:t>
      </w:r>
    </w:p>
    <w:p>
      <w:pPr>
        <w:pStyle w:val="7"/>
        <w:pageBreakBefore w:val="0"/>
        <w:kinsoku/>
        <w:wordWrap/>
        <w:overflowPunct/>
        <w:topLinePunct w:val="0"/>
        <w:bidi w:val="0"/>
        <w:snapToGrid/>
        <w:spacing w:line="460" w:lineRule="exact"/>
        <w:textAlignment w:val="auto"/>
        <w:rPr>
          <w:rFonts w:ascii="宋体" w:hAnsi="宋体"/>
          <w:color w:val="auto"/>
          <w:highlight w:val="none"/>
        </w:rPr>
      </w:pPr>
      <w:bookmarkStart w:id="251" w:name="_Toc100763419"/>
      <w:bookmarkStart w:id="252" w:name="_Toc104560015"/>
      <w:bookmarkStart w:id="253" w:name="_Toc8353"/>
      <w:r>
        <w:rPr>
          <w:rFonts w:hint="eastAsia" w:ascii="宋体" w:hAnsi="宋体"/>
          <w:color w:val="auto"/>
          <w:highlight w:val="none"/>
        </w:rPr>
        <w:t>二、质量保证</w:t>
      </w:r>
      <w:bookmarkEnd w:id="251"/>
      <w:bookmarkEnd w:id="252"/>
      <w:bookmarkEnd w:id="253"/>
    </w:p>
    <w:p>
      <w:pPr>
        <w:pageBreakBefore w:val="0"/>
        <w:kinsoku/>
        <w:wordWrap/>
        <w:overflowPunct/>
        <w:topLinePunct w:val="0"/>
        <w:bidi w:val="0"/>
        <w:snapToGrid/>
        <w:spacing w:line="460" w:lineRule="exact"/>
        <w:ind w:firstLine="440" w:firstLineChars="200"/>
        <w:textAlignment w:val="auto"/>
        <w:rPr>
          <w:rFonts w:ascii="宋体" w:hAnsi="宋体" w:cs="宋体"/>
          <w:color w:val="auto"/>
          <w:kern w:val="0"/>
          <w:sz w:val="22"/>
          <w:szCs w:val="22"/>
          <w:highlight w:val="none"/>
        </w:rPr>
      </w:pPr>
      <w:r>
        <w:rPr>
          <w:rFonts w:hint="eastAsia" w:ascii="宋体" w:hAnsi="宋体" w:cs="宋体"/>
          <w:color w:val="auto"/>
          <w:kern w:val="0"/>
          <w:sz w:val="22"/>
          <w:szCs w:val="22"/>
          <w:highlight w:val="none"/>
        </w:rPr>
        <w:t>1、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人及制造商对中标产品使用的安全性能与可靠性负全部责任。</w:t>
      </w:r>
    </w:p>
    <w:p>
      <w:pPr>
        <w:pageBreakBefore w:val="0"/>
        <w:kinsoku/>
        <w:wordWrap/>
        <w:overflowPunct/>
        <w:topLinePunct w:val="0"/>
        <w:bidi w:val="0"/>
        <w:snapToGrid/>
        <w:spacing w:line="460" w:lineRule="exact"/>
        <w:ind w:firstLine="440" w:firstLineChars="200"/>
        <w:textAlignment w:val="auto"/>
        <w:rPr>
          <w:rFonts w:ascii="宋体" w:hAnsi="宋体" w:cs="宋体"/>
          <w:color w:val="auto"/>
          <w:kern w:val="0"/>
          <w:sz w:val="22"/>
          <w:szCs w:val="22"/>
          <w:highlight w:val="none"/>
        </w:rPr>
      </w:pPr>
      <w:r>
        <w:rPr>
          <w:rFonts w:hint="eastAsia" w:ascii="宋体" w:hAnsi="宋体" w:cs="宋体"/>
          <w:color w:val="auto"/>
          <w:kern w:val="0"/>
          <w:sz w:val="22"/>
          <w:szCs w:val="22"/>
          <w:highlight w:val="none"/>
        </w:rPr>
        <w:t>2、中标人所提供的产品必须符合行业的国家标准和我国现行的产品认证制度规定，并满足采购人提出的产品技术要求。</w:t>
      </w:r>
    </w:p>
    <w:p>
      <w:pPr>
        <w:pageBreakBefore w:val="0"/>
        <w:kinsoku/>
        <w:wordWrap/>
        <w:overflowPunct/>
        <w:topLinePunct w:val="0"/>
        <w:bidi w:val="0"/>
        <w:snapToGrid/>
        <w:spacing w:line="460" w:lineRule="exact"/>
        <w:ind w:firstLine="440" w:firstLineChars="200"/>
        <w:textAlignment w:val="auto"/>
        <w:rPr>
          <w:rFonts w:ascii="宋体" w:hAnsi="宋体" w:cs="宋体"/>
          <w:color w:val="auto"/>
          <w:kern w:val="0"/>
          <w:sz w:val="22"/>
          <w:szCs w:val="22"/>
          <w:highlight w:val="none"/>
        </w:rPr>
      </w:pPr>
      <w:r>
        <w:rPr>
          <w:rFonts w:hint="eastAsia" w:ascii="宋体" w:hAnsi="宋体" w:cs="宋体"/>
          <w:color w:val="auto"/>
          <w:kern w:val="0"/>
          <w:sz w:val="22"/>
          <w:szCs w:val="22"/>
          <w:highlight w:val="none"/>
        </w:rPr>
        <w:t>3、供应商所提供的货物应保证是全新的和未使用过的且原装合格正品。</w:t>
      </w:r>
    </w:p>
    <w:p>
      <w:pPr>
        <w:pageBreakBefore w:val="0"/>
        <w:kinsoku/>
        <w:wordWrap/>
        <w:overflowPunct/>
        <w:topLinePunct w:val="0"/>
        <w:bidi w:val="0"/>
        <w:snapToGrid/>
        <w:spacing w:line="460" w:lineRule="exact"/>
        <w:ind w:firstLine="440" w:firstLineChars="200"/>
        <w:textAlignment w:val="auto"/>
        <w:rPr>
          <w:rFonts w:ascii="宋体" w:hAnsi="宋体" w:cs="宋体"/>
          <w:color w:val="auto"/>
          <w:kern w:val="0"/>
          <w:sz w:val="22"/>
          <w:szCs w:val="22"/>
          <w:highlight w:val="none"/>
        </w:rPr>
      </w:pPr>
      <w:r>
        <w:rPr>
          <w:rFonts w:ascii="宋体" w:hAnsi="宋体" w:cs="宋体"/>
          <w:color w:val="auto"/>
          <w:kern w:val="0"/>
          <w:sz w:val="22"/>
          <w:szCs w:val="22"/>
          <w:highlight w:val="none"/>
        </w:rPr>
        <w:t>4</w:t>
      </w:r>
      <w:r>
        <w:rPr>
          <w:rFonts w:hint="eastAsia" w:ascii="宋体" w:hAnsi="宋体" w:cs="宋体"/>
          <w:color w:val="auto"/>
          <w:kern w:val="0"/>
          <w:sz w:val="22"/>
          <w:szCs w:val="22"/>
          <w:highlight w:val="none"/>
        </w:rPr>
        <w:t>、中标人对成交产品使用的安全性能与可靠性负全部责任。</w:t>
      </w:r>
    </w:p>
    <w:p>
      <w:pPr>
        <w:pStyle w:val="7"/>
        <w:pageBreakBefore w:val="0"/>
        <w:kinsoku/>
        <w:wordWrap/>
        <w:overflowPunct/>
        <w:topLinePunct w:val="0"/>
        <w:bidi w:val="0"/>
        <w:snapToGrid/>
        <w:spacing w:line="460" w:lineRule="exact"/>
        <w:textAlignment w:val="auto"/>
        <w:rPr>
          <w:rFonts w:ascii="宋体" w:hAnsi="宋体"/>
          <w:color w:val="auto"/>
          <w:highlight w:val="none"/>
        </w:rPr>
      </w:pPr>
      <w:bookmarkStart w:id="254" w:name="_Toc104560016"/>
      <w:bookmarkStart w:id="255" w:name="_Toc24795"/>
      <w:bookmarkStart w:id="256" w:name="_Toc100763420"/>
      <w:r>
        <w:rPr>
          <w:rFonts w:hint="eastAsia" w:ascii="宋体" w:hAnsi="宋体"/>
          <w:color w:val="auto"/>
          <w:highlight w:val="none"/>
        </w:rPr>
        <w:t>三、产品质保及售后服务要求</w:t>
      </w:r>
      <w:bookmarkEnd w:id="254"/>
      <w:bookmarkEnd w:id="255"/>
      <w:bookmarkEnd w:id="256"/>
    </w:p>
    <w:p>
      <w:pPr>
        <w:pageBreakBefore w:val="0"/>
        <w:kinsoku/>
        <w:wordWrap/>
        <w:overflowPunct/>
        <w:topLinePunct w:val="0"/>
        <w:autoSpaceDE w:val="0"/>
        <w:autoSpaceDN w:val="0"/>
        <w:bidi w:val="0"/>
        <w:adjustRightInd w:val="0"/>
        <w:snapToGrid/>
        <w:spacing w:line="460" w:lineRule="exact"/>
        <w:ind w:firstLine="440" w:firstLineChars="200"/>
        <w:textAlignment w:val="auto"/>
        <w:rPr>
          <w:rFonts w:ascii="宋体" w:hAnsi="宋体"/>
          <w:b/>
          <w:color w:val="auto"/>
          <w:sz w:val="22"/>
          <w:szCs w:val="22"/>
          <w:highlight w:val="none"/>
        </w:rPr>
      </w:pPr>
      <w:r>
        <w:rPr>
          <w:rFonts w:hint="eastAsia" w:ascii="宋体" w:hAnsi="宋体"/>
          <w:color w:val="auto"/>
          <w:sz w:val="22"/>
          <w:szCs w:val="22"/>
          <w:highlight w:val="none"/>
        </w:rPr>
        <w:t>1、本项目质量保证期为自产品通过最终验收，为</w:t>
      </w:r>
      <w:r>
        <w:rPr>
          <w:rFonts w:hint="eastAsia" w:ascii="宋体" w:hAnsi="宋体"/>
          <w:b/>
          <w:color w:val="auto"/>
          <w:sz w:val="22"/>
          <w:szCs w:val="22"/>
          <w:highlight w:val="none"/>
        </w:rPr>
        <w:t>向买方移交之日起</w:t>
      </w:r>
      <w:r>
        <w:rPr>
          <w:rFonts w:ascii="宋体" w:hAnsi="宋体"/>
          <w:b/>
          <w:color w:val="auto"/>
          <w:sz w:val="22"/>
          <w:szCs w:val="22"/>
          <w:highlight w:val="none"/>
        </w:rPr>
        <w:t>1</w:t>
      </w:r>
      <w:r>
        <w:rPr>
          <w:rFonts w:hint="eastAsia" w:ascii="宋体" w:hAnsi="宋体"/>
          <w:b/>
          <w:color w:val="auto"/>
          <w:sz w:val="22"/>
          <w:szCs w:val="22"/>
          <w:highlight w:val="none"/>
        </w:rPr>
        <w:t>年，采购内容及要求有特殊说明的除外，</w:t>
      </w:r>
      <w:r>
        <w:rPr>
          <w:rFonts w:ascii="宋体" w:hAnsi="宋体"/>
          <w:b/>
          <w:color w:val="auto"/>
          <w:sz w:val="22"/>
          <w:szCs w:val="22"/>
          <w:highlight w:val="none"/>
        </w:rPr>
        <w:t>货物上标明</w:t>
      </w:r>
      <w:r>
        <w:rPr>
          <w:rFonts w:hint="eastAsia" w:ascii="宋体" w:hAnsi="宋体"/>
          <w:b/>
          <w:color w:val="auto"/>
          <w:sz w:val="22"/>
          <w:szCs w:val="22"/>
          <w:highlight w:val="none"/>
        </w:rPr>
        <w:t>或卖方承诺</w:t>
      </w:r>
      <w:r>
        <w:rPr>
          <w:rFonts w:ascii="宋体" w:hAnsi="宋体"/>
          <w:b/>
          <w:color w:val="auto"/>
          <w:sz w:val="22"/>
          <w:szCs w:val="22"/>
          <w:highlight w:val="none"/>
        </w:rPr>
        <w:t>的质量保证期超过以上规定期限的，以标明</w:t>
      </w:r>
      <w:r>
        <w:rPr>
          <w:rFonts w:hint="eastAsia" w:ascii="宋体" w:hAnsi="宋体"/>
          <w:b/>
          <w:color w:val="auto"/>
          <w:sz w:val="22"/>
          <w:szCs w:val="22"/>
          <w:highlight w:val="none"/>
        </w:rPr>
        <w:t>或承诺</w:t>
      </w:r>
      <w:r>
        <w:rPr>
          <w:rFonts w:ascii="宋体" w:hAnsi="宋体"/>
          <w:b/>
          <w:color w:val="auto"/>
          <w:sz w:val="22"/>
          <w:szCs w:val="22"/>
          <w:highlight w:val="none"/>
        </w:rPr>
        <w:t>的</w:t>
      </w:r>
      <w:r>
        <w:rPr>
          <w:rFonts w:hint="eastAsia" w:ascii="宋体" w:hAnsi="宋体"/>
          <w:b/>
          <w:color w:val="auto"/>
          <w:sz w:val="22"/>
          <w:szCs w:val="22"/>
          <w:highlight w:val="none"/>
        </w:rPr>
        <w:t>最高</w:t>
      </w:r>
      <w:r>
        <w:rPr>
          <w:rFonts w:ascii="宋体" w:hAnsi="宋体"/>
          <w:b/>
          <w:color w:val="auto"/>
          <w:sz w:val="22"/>
          <w:szCs w:val="22"/>
          <w:highlight w:val="none"/>
        </w:rPr>
        <w:t>质量保证期为准</w:t>
      </w:r>
      <w:r>
        <w:rPr>
          <w:rFonts w:hint="eastAsia" w:ascii="宋体" w:hAnsi="宋体"/>
          <w:color w:val="auto"/>
          <w:sz w:val="22"/>
          <w:szCs w:val="22"/>
          <w:highlight w:val="none"/>
        </w:rPr>
        <w:t>；在质保期内所产生的相关费用由中标人承担，合同内的所有产品要求卖方提供上门服务。</w:t>
      </w:r>
      <w:r>
        <w:rPr>
          <w:rFonts w:hint="eastAsia" w:ascii="宋体" w:hAnsi="宋体"/>
          <w:b/>
          <w:bCs/>
          <w:color w:val="auto"/>
          <w:sz w:val="22"/>
          <w:szCs w:val="22"/>
          <w:highlight w:val="none"/>
        </w:rPr>
        <w:t>所有设备在质量保质期内免费维修，维护，软件提供免费升级，免费提供人员技术培训和提供文档资料。</w:t>
      </w:r>
    </w:p>
    <w:p>
      <w:pPr>
        <w:pageBreakBefore w:val="0"/>
        <w:kinsoku/>
        <w:wordWrap/>
        <w:overflowPunct/>
        <w:topLinePunct w:val="0"/>
        <w:bidi w:val="0"/>
        <w:snapToGrid/>
        <w:spacing w:line="460" w:lineRule="exact"/>
        <w:ind w:firstLine="418" w:firstLineChars="190"/>
        <w:textAlignment w:val="auto"/>
        <w:rPr>
          <w:rFonts w:ascii="宋体" w:hAnsi="宋体" w:cs="宋体"/>
          <w:color w:val="auto"/>
          <w:sz w:val="22"/>
          <w:szCs w:val="22"/>
          <w:highlight w:val="none"/>
        </w:rPr>
      </w:pPr>
      <w:r>
        <w:rPr>
          <w:rFonts w:hint="eastAsia" w:ascii="宋体" w:hAnsi="宋体" w:cs="宋体"/>
          <w:color w:val="auto"/>
          <w:kern w:val="0"/>
          <w:sz w:val="22"/>
          <w:szCs w:val="22"/>
          <w:highlight w:val="none"/>
        </w:rPr>
        <w:t>2、</w:t>
      </w:r>
      <w:r>
        <w:rPr>
          <w:rFonts w:hint="eastAsia" w:ascii="宋体" w:hAnsi="宋体" w:cs="宋体"/>
          <w:color w:val="auto"/>
          <w:sz w:val="22"/>
          <w:szCs w:val="22"/>
          <w:highlight w:val="none"/>
        </w:rPr>
        <w:t>免费提供系统培训服务，并提供详细的培训计划及方案。供应商必须提供项目中所有设备及设备配套软件的使用培训，并提供免费技术服务。供应商提供得培训内容应包括产品使用，维护管理等，并提供培训手册。</w:t>
      </w:r>
    </w:p>
    <w:p>
      <w:pPr>
        <w:pStyle w:val="7"/>
        <w:pageBreakBefore w:val="0"/>
        <w:kinsoku/>
        <w:wordWrap/>
        <w:overflowPunct/>
        <w:topLinePunct w:val="0"/>
        <w:bidi w:val="0"/>
        <w:snapToGrid/>
        <w:spacing w:line="460" w:lineRule="exact"/>
        <w:textAlignment w:val="auto"/>
        <w:rPr>
          <w:rFonts w:ascii="宋体" w:hAnsi="宋体"/>
          <w:color w:val="auto"/>
          <w:highlight w:val="none"/>
        </w:rPr>
      </w:pPr>
      <w:r>
        <w:rPr>
          <w:rFonts w:hint="eastAsia" w:ascii="宋体" w:hAnsi="宋体"/>
          <w:color w:val="auto"/>
          <w:highlight w:val="none"/>
        </w:rPr>
        <w:t>四、交货时间</w:t>
      </w:r>
      <w:bookmarkEnd w:id="248"/>
      <w:bookmarkEnd w:id="249"/>
      <w:bookmarkEnd w:id="250"/>
    </w:p>
    <w:p>
      <w:pPr>
        <w:pageBreakBefore w:val="0"/>
        <w:kinsoku/>
        <w:wordWrap/>
        <w:overflowPunct/>
        <w:topLinePunct w:val="0"/>
        <w:autoSpaceDE w:val="0"/>
        <w:autoSpaceDN w:val="0"/>
        <w:bidi w:val="0"/>
        <w:adjustRightInd w:val="0"/>
        <w:snapToGrid/>
        <w:spacing w:line="460" w:lineRule="exact"/>
        <w:ind w:firstLine="440" w:firstLineChars="200"/>
        <w:textAlignment w:val="auto"/>
        <w:rPr>
          <w:rFonts w:ascii="宋体" w:hAnsi="宋体"/>
          <w:b/>
          <w:bCs/>
          <w:color w:val="auto"/>
          <w:sz w:val="22"/>
          <w:szCs w:val="22"/>
          <w:highlight w:val="none"/>
        </w:rPr>
      </w:pPr>
      <w:r>
        <w:rPr>
          <w:rFonts w:hint="eastAsia" w:ascii="宋体" w:hAnsi="宋体" w:cs="宋体"/>
          <w:color w:val="auto"/>
          <w:kern w:val="0"/>
          <w:sz w:val="22"/>
          <w:szCs w:val="22"/>
          <w:highlight w:val="none"/>
          <w:u w:val="single"/>
        </w:rPr>
        <w:t>细胞生长因子药物和蛋白制剂国家工程研究中心配套大分子cdmo公共服务平台研发中心（一期）装修工程</w:t>
      </w:r>
      <w:r>
        <w:rPr>
          <w:rFonts w:hint="eastAsia" w:ascii="宋体" w:hAnsi="宋体" w:cs="宋体"/>
          <w:color w:val="auto"/>
          <w:kern w:val="0"/>
          <w:sz w:val="22"/>
          <w:szCs w:val="22"/>
          <w:highlight w:val="none"/>
          <w:u w:val="single"/>
          <w:lang w:eastAsia="zh-CN"/>
        </w:rPr>
        <w:t>超滤系统+中空纤维过滤系统采购项目超滤系统+中空纤维过滤系统</w:t>
      </w:r>
      <w:r>
        <w:rPr>
          <w:rFonts w:hint="eastAsia" w:ascii="宋体" w:hAnsi="宋体"/>
          <w:b/>
          <w:bCs/>
          <w:color w:val="auto"/>
          <w:sz w:val="22"/>
          <w:szCs w:val="22"/>
          <w:highlight w:val="none"/>
          <w:u w:val="single"/>
        </w:rPr>
        <w:t>在合同签订生效后</w:t>
      </w:r>
      <w:r>
        <w:rPr>
          <w:rFonts w:hint="eastAsia" w:ascii="宋体" w:hAnsi="宋体"/>
          <w:b/>
          <w:bCs/>
          <w:color w:val="auto"/>
          <w:sz w:val="22"/>
          <w:szCs w:val="22"/>
          <w:highlight w:val="none"/>
          <w:u w:val="single"/>
          <w:lang w:val="en-US" w:eastAsia="zh-CN"/>
        </w:rPr>
        <w:t>50</w:t>
      </w:r>
      <w:r>
        <w:rPr>
          <w:rFonts w:hint="eastAsia" w:ascii="宋体" w:hAnsi="宋体"/>
          <w:b/>
          <w:bCs/>
          <w:color w:val="auto"/>
          <w:sz w:val="22"/>
          <w:szCs w:val="22"/>
          <w:highlight w:val="none"/>
          <w:u w:val="single"/>
        </w:rPr>
        <w:t>个日历天内送货至买方指定地点</w:t>
      </w:r>
      <w:r>
        <w:rPr>
          <w:rFonts w:hint="eastAsia" w:ascii="宋体" w:hAnsi="宋体"/>
          <w:b/>
          <w:bCs/>
          <w:color w:val="auto"/>
          <w:sz w:val="22"/>
          <w:szCs w:val="22"/>
          <w:highlight w:val="none"/>
        </w:rPr>
        <w:t>。</w:t>
      </w:r>
    </w:p>
    <w:p>
      <w:pPr>
        <w:pStyle w:val="7"/>
        <w:pageBreakBefore w:val="0"/>
        <w:kinsoku/>
        <w:wordWrap/>
        <w:overflowPunct/>
        <w:topLinePunct w:val="0"/>
        <w:bidi w:val="0"/>
        <w:snapToGrid/>
        <w:spacing w:line="460" w:lineRule="exact"/>
        <w:textAlignment w:val="auto"/>
        <w:rPr>
          <w:rFonts w:ascii="宋体" w:hAnsi="宋体"/>
          <w:color w:val="auto"/>
          <w:highlight w:val="none"/>
        </w:rPr>
      </w:pPr>
      <w:bookmarkStart w:id="257" w:name="_Toc104560018"/>
      <w:bookmarkStart w:id="258" w:name="_Toc100763422"/>
      <w:bookmarkStart w:id="259" w:name="_Toc12736"/>
      <w:bookmarkStart w:id="260" w:name="_Toc10416"/>
      <w:r>
        <w:rPr>
          <w:rFonts w:hint="eastAsia" w:ascii="宋体" w:hAnsi="宋体"/>
          <w:color w:val="auto"/>
          <w:highlight w:val="none"/>
        </w:rPr>
        <w:t>五、测试及项目验收</w:t>
      </w:r>
      <w:bookmarkEnd w:id="257"/>
      <w:bookmarkEnd w:id="258"/>
      <w:bookmarkEnd w:id="259"/>
    </w:p>
    <w:p>
      <w:pPr>
        <w:pageBreakBefore w:val="0"/>
        <w:kinsoku/>
        <w:wordWrap/>
        <w:overflowPunct/>
        <w:topLinePunct w:val="0"/>
        <w:bidi w:val="0"/>
        <w:snapToGrid/>
        <w:spacing w:line="460" w:lineRule="exact"/>
        <w:ind w:firstLine="420" w:firstLineChars="190"/>
        <w:textAlignment w:val="auto"/>
        <w:rPr>
          <w:rFonts w:ascii="宋体" w:hAnsi="宋体" w:cs="宋体"/>
          <w:b/>
          <w:bCs/>
          <w:color w:val="auto"/>
          <w:sz w:val="22"/>
          <w:szCs w:val="22"/>
          <w:highlight w:val="none"/>
          <w:u w:val="single"/>
          <w:lang w:val="zh-CN"/>
        </w:rPr>
      </w:pPr>
      <w:r>
        <w:rPr>
          <w:rFonts w:ascii="宋体" w:hAnsi="宋体" w:cs="宋体"/>
          <w:b/>
          <w:bCs/>
          <w:color w:val="auto"/>
          <w:sz w:val="22"/>
          <w:szCs w:val="22"/>
          <w:highlight w:val="none"/>
          <w:u w:val="single"/>
        </w:rPr>
        <w:t>1</w:t>
      </w:r>
      <w:r>
        <w:rPr>
          <w:rFonts w:hint="eastAsia" w:ascii="宋体" w:hAnsi="宋体" w:cs="宋体"/>
          <w:b/>
          <w:bCs/>
          <w:color w:val="auto"/>
          <w:sz w:val="22"/>
          <w:szCs w:val="22"/>
          <w:highlight w:val="none"/>
          <w:u w:val="single"/>
        </w:rPr>
        <w:t>、保留测试项的指标，用户可在公示期间或合同签订前要求预中标人提供投标产品测试。如测试不满足磋商文件要求，则视为其提供虚假材料，其投标无效，并按有关规定上报监管部门处理。</w:t>
      </w:r>
    </w:p>
    <w:p>
      <w:pPr>
        <w:pageBreakBefore w:val="0"/>
        <w:kinsoku/>
        <w:wordWrap/>
        <w:overflowPunct/>
        <w:topLinePunct w:val="0"/>
        <w:bidi w:val="0"/>
        <w:snapToGrid/>
        <w:spacing w:line="460" w:lineRule="exact"/>
        <w:ind w:firstLine="440" w:firstLineChars="200"/>
        <w:textAlignment w:val="auto"/>
        <w:rPr>
          <w:rFonts w:ascii="宋体" w:hAnsi="宋体" w:cs="宋体"/>
          <w:color w:val="auto"/>
          <w:sz w:val="22"/>
          <w:szCs w:val="22"/>
          <w:highlight w:val="none"/>
        </w:rPr>
      </w:pPr>
      <w:r>
        <w:rPr>
          <w:rFonts w:ascii="宋体" w:hAnsi="宋体" w:cs="宋体"/>
          <w:color w:val="auto"/>
          <w:sz w:val="22"/>
          <w:szCs w:val="22"/>
          <w:highlight w:val="none"/>
        </w:rPr>
        <w:t>2</w:t>
      </w:r>
      <w:r>
        <w:rPr>
          <w:rFonts w:hint="eastAsia" w:ascii="宋体" w:hAnsi="宋体" w:cs="宋体"/>
          <w:color w:val="auto"/>
          <w:sz w:val="22"/>
          <w:szCs w:val="22"/>
          <w:highlight w:val="none"/>
        </w:rPr>
        <w:t>、中标人应按有关要求供货，并提供货物质量检验证明文件、测试方法和验收标准。提供的质量检验证明文件、测试方法和验收标准经采购人认可后与合同一起作为项目验收标准的组成。</w:t>
      </w:r>
    </w:p>
    <w:p>
      <w:pPr>
        <w:pageBreakBefore w:val="0"/>
        <w:kinsoku/>
        <w:wordWrap/>
        <w:overflowPunct/>
        <w:topLinePunct w:val="0"/>
        <w:bidi w:val="0"/>
        <w:snapToGrid/>
        <w:spacing w:line="460" w:lineRule="exact"/>
        <w:ind w:firstLine="440" w:firstLineChars="200"/>
        <w:textAlignment w:val="auto"/>
        <w:rPr>
          <w:rFonts w:ascii="宋体" w:hAnsi="宋体" w:cs="宋体"/>
          <w:color w:val="auto"/>
          <w:sz w:val="22"/>
          <w:szCs w:val="22"/>
          <w:highlight w:val="none"/>
        </w:rPr>
      </w:pPr>
      <w:r>
        <w:rPr>
          <w:rFonts w:ascii="宋体" w:hAnsi="宋体" w:cs="宋体"/>
          <w:color w:val="auto"/>
          <w:sz w:val="22"/>
          <w:szCs w:val="22"/>
          <w:highlight w:val="none"/>
        </w:rPr>
        <w:t>3</w:t>
      </w:r>
      <w:r>
        <w:rPr>
          <w:rFonts w:hint="eastAsia" w:ascii="宋体" w:hAnsi="宋体" w:cs="宋体"/>
          <w:color w:val="auto"/>
          <w:sz w:val="22"/>
          <w:szCs w:val="22"/>
          <w:highlight w:val="none"/>
        </w:rPr>
        <w:t>、本项目全部完工并经采购人组织最终验收合格后，双方签署验收单或验收报告。</w:t>
      </w:r>
    </w:p>
    <w:p>
      <w:pPr>
        <w:pStyle w:val="2"/>
        <w:rPr>
          <w:rFonts w:ascii="宋体" w:hAnsi="宋体" w:eastAsia="宋体"/>
          <w:color w:val="auto"/>
          <w:highlight w:val="none"/>
        </w:rPr>
      </w:pPr>
    </w:p>
    <w:p>
      <w:pPr>
        <w:pStyle w:val="6"/>
        <w:spacing w:before="0" w:after="0" w:line="360" w:lineRule="auto"/>
        <w:jc w:val="center"/>
        <w:rPr>
          <w:rFonts w:ascii="宋体" w:hAnsi="宋体" w:eastAsia="宋体"/>
          <w:color w:val="auto"/>
          <w:sz w:val="28"/>
          <w:szCs w:val="28"/>
          <w:highlight w:val="none"/>
        </w:rPr>
      </w:pPr>
      <w:bookmarkStart w:id="261" w:name="_Toc2523"/>
      <w:r>
        <w:rPr>
          <w:rFonts w:hint="eastAsia" w:ascii="宋体" w:hAnsi="宋体" w:eastAsia="宋体"/>
          <w:color w:val="auto"/>
          <w:sz w:val="28"/>
          <w:szCs w:val="28"/>
          <w:highlight w:val="none"/>
        </w:rPr>
        <w:t>（二）、采购内容及技术要求</w:t>
      </w:r>
      <w:bookmarkEnd w:id="261"/>
    </w:p>
    <w:p>
      <w:pPr>
        <w:keepNext w:val="0"/>
        <w:keepLines w:val="0"/>
        <w:pageBreakBefore w:val="0"/>
        <w:kinsoku/>
        <w:wordWrap/>
        <w:overflowPunct/>
        <w:topLinePunct w:val="0"/>
        <w:autoSpaceDE w:val="0"/>
        <w:autoSpaceDN w:val="0"/>
        <w:bidi w:val="0"/>
        <w:adjustRightInd w:val="0"/>
        <w:snapToGrid/>
        <w:spacing w:line="460" w:lineRule="exact"/>
        <w:ind w:firstLine="433" w:firstLineChars="196"/>
        <w:textAlignment w:val="auto"/>
        <w:outlineLvl w:val="0"/>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一、采购内容清单</w:t>
      </w:r>
      <w:bookmarkEnd w:id="260"/>
    </w:p>
    <w:tbl>
      <w:tblPr>
        <w:tblStyle w:val="32"/>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01"/>
        <w:gridCol w:w="709"/>
        <w:gridCol w:w="852"/>
        <w:gridCol w:w="5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noWrap/>
            <w:vAlign w:val="center"/>
          </w:tcPr>
          <w:p>
            <w:pPr>
              <w:keepNext w:val="0"/>
              <w:keepLines w:val="0"/>
              <w:pageBreakBefore w:val="0"/>
              <w:widowControl/>
              <w:kinsoku/>
              <w:wordWrap/>
              <w:overflowPunct/>
              <w:topLinePunct w:val="0"/>
              <w:bidi w:val="0"/>
              <w:snapToGrid/>
              <w:spacing w:line="460" w:lineRule="exact"/>
              <w:jc w:val="center"/>
              <w:textAlignment w:val="auto"/>
              <w:rPr>
                <w:rFonts w:ascii="宋体" w:hAnsi="宋体" w:cs="宋体"/>
                <w:bCs/>
                <w:color w:val="auto"/>
                <w:sz w:val="22"/>
                <w:szCs w:val="22"/>
                <w:highlight w:val="none"/>
              </w:rPr>
            </w:pPr>
            <w:r>
              <w:rPr>
                <w:rFonts w:hint="eastAsia" w:ascii="宋体" w:hAnsi="宋体" w:cs="宋体"/>
                <w:bCs/>
                <w:color w:val="auto"/>
                <w:sz w:val="22"/>
                <w:szCs w:val="22"/>
                <w:highlight w:val="none"/>
              </w:rPr>
              <w:t>序号</w:t>
            </w:r>
          </w:p>
        </w:tc>
        <w:tc>
          <w:tcPr>
            <w:tcW w:w="2201" w:type="dxa"/>
            <w:vAlign w:val="center"/>
          </w:tcPr>
          <w:p>
            <w:pPr>
              <w:keepNext w:val="0"/>
              <w:keepLines w:val="0"/>
              <w:pageBreakBefore w:val="0"/>
              <w:widowControl/>
              <w:kinsoku/>
              <w:wordWrap/>
              <w:overflowPunct/>
              <w:topLinePunct w:val="0"/>
              <w:bidi w:val="0"/>
              <w:snapToGrid/>
              <w:spacing w:line="460" w:lineRule="exact"/>
              <w:jc w:val="center"/>
              <w:textAlignment w:val="auto"/>
              <w:rPr>
                <w:rFonts w:ascii="宋体" w:hAnsi="宋体" w:cs="宋体"/>
                <w:bCs/>
                <w:color w:val="auto"/>
                <w:sz w:val="22"/>
                <w:szCs w:val="22"/>
                <w:highlight w:val="none"/>
              </w:rPr>
            </w:pPr>
            <w:r>
              <w:rPr>
                <w:rFonts w:hint="eastAsia" w:ascii="宋体" w:hAnsi="宋体" w:cs="宋体"/>
                <w:bCs/>
                <w:color w:val="auto"/>
                <w:sz w:val="22"/>
                <w:szCs w:val="22"/>
                <w:highlight w:val="none"/>
              </w:rPr>
              <w:t>产品名称</w:t>
            </w:r>
          </w:p>
        </w:tc>
        <w:tc>
          <w:tcPr>
            <w:tcW w:w="709" w:type="dxa"/>
            <w:noWrap/>
            <w:vAlign w:val="center"/>
          </w:tcPr>
          <w:p>
            <w:pPr>
              <w:keepNext w:val="0"/>
              <w:keepLines w:val="0"/>
              <w:pageBreakBefore w:val="0"/>
              <w:widowControl/>
              <w:kinsoku/>
              <w:wordWrap/>
              <w:overflowPunct/>
              <w:topLinePunct w:val="0"/>
              <w:bidi w:val="0"/>
              <w:snapToGrid/>
              <w:spacing w:line="460" w:lineRule="exact"/>
              <w:jc w:val="center"/>
              <w:textAlignment w:val="auto"/>
              <w:rPr>
                <w:rFonts w:ascii="宋体" w:hAnsi="宋体" w:cs="宋体"/>
                <w:bCs/>
                <w:color w:val="auto"/>
                <w:sz w:val="22"/>
                <w:szCs w:val="22"/>
                <w:highlight w:val="none"/>
              </w:rPr>
            </w:pPr>
            <w:r>
              <w:rPr>
                <w:rFonts w:hint="eastAsia" w:ascii="宋体" w:hAnsi="宋体" w:cs="宋体"/>
                <w:bCs/>
                <w:color w:val="auto"/>
                <w:sz w:val="22"/>
                <w:szCs w:val="22"/>
                <w:highlight w:val="none"/>
              </w:rPr>
              <w:t>单位</w:t>
            </w:r>
          </w:p>
        </w:tc>
        <w:tc>
          <w:tcPr>
            <w:tcW w:w="852" w:type="dxa"/>
            <w:vAlign w:val="center"/>
          </w:tcPr>
          <w:p>
            <w:pPr>
              <w:keepNext w:val="0"/>
              <w:keepLines w:val="0"/>
              <w:pageBreakBefore w:val="0"/>
              <w:widowControl/>
              <w:kinsoku/>
              <w:wordWrap/>
              <w:overflowPunct/>
              <w:topLinePunct w:val="0"/>
              <w:bidi w:val="0"/>
              <w:snapToGrid/>
              <w:spacing w:line="460" w:lineRule="exact"/>
              <w:jc w:val="center"/>
              <w:textAlignment w:val="auto"/>
              <w:rPr>
                <w:rFonts w:ascii="宋体" w:hAnsi="宋体" w:cs="宋体"/>
                <w:bCs/>
                <w:color w:val="auto"/>
                <w:sz w:val="22"/>
                <w:szCs w:val="22"/>
                <w:highlight w:val="none"/>
              </w:rPr>
            </w:pPr>
            <w:r>
              <w:rPr>
                <w:rFonts w:hint="eastAsia" w:ascii="宋体" w:hAnsi="宋体" w:cs="宋体"/>
                <w:bCs/>
                <w:color w:val="auto"/>
                <w:sz w:val="22"/>
                <w:szCs w:val="22"/>
                <w:highlight w:val="none"/>
              </w:rPr>
              <w:t>数量</w:t>
            </w:r>
          </w:p>
        </w:tc>
        <w:tc>
          <w:tcPr>
            <w:tcW w:w="5314" w:type="dxa"/>
            <w:vAlign w:val="center"/>
          </w:tcPr>
          <w:p>
            <w:pPr>
              <w:keepNext w:val="0"/>
              <w:keepLines w:val="0"/>
              <w:pageBreakBefore w:val="0"/>
              <w:widowControl/>
              <w:kinsoku/>
              <w:wordWrap/>
              <w:overflowPunct/>
              <w:topLinePunct w:val="0"/>
              <w:bidi w:val="0"/>
              <w:snapToGrid/>
              <w:spacing w:line="460" w:lineRule="exact"/>
              <w:jc w:val="center"/>
              <w:textAlignment w:val="auto"/>
              <w:rPr>
                <w:rFonts w:ascii="宋体" w:hAnsi="宋体" w:cs="宋体"/>
                <w:bCs/>
                <w:color w:val="auto"/>
                <w:sz w:val="22"/>
                <w:szCs w:val="22"/>
                <w:highlight w:val="none"/>
              </w:rPr>
            </w:pPr>
            <w:r>
              <w:rPr>
                <w:rFonts w:hint="eastAsia" w:ascii="宋体" w:hAnsi="宋体" w:cs="宋体"/>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pStyle w:val="231"/>
              <w:keepNext w:val="0"/>
              <w:keepLines w:val="0"/>
              <w:pageBreakBefore w:val="0"/>
              <w:widowControl/>
              <w:numPr>
                <w:ilvl w:val="0"/>
                <w:numId w:val="21"/>
              </w:numPr>
              <w:kinsoku/>
              <w:wordWrap/>
              <w:overflowPunct/>
              <w:topLinePunct w:val="0"/>
              <w:bidi w:val="0"/>
              <w:snapToGrid/>
              <w:spacing w:line="460" w:lineRule="exact"/>
              <w:ind w:left="420" w:leftChars="0" w:hanging="420" w:firstLineChars="0"/>
              <w:jc w:val="both"/>
              <w:textAlignment w:val="auto"/>
              <w:rPr>
                <w:rFonts w:hint="eastAsia" w:ascii="宋体" w:hAnsi="宋体" w:eastAsia="宋体" w:cs="宋体"/>
                <w:bCs/>
                <w:color w:val="auto"/>
                <w:sz w:val="22"/>
                <w:szCs w:val="22"/>
                <w:highlight w:val="none"/>
                <w:lang w:val="en-US" w:eastAsia="zh-CN"/>
              </w:rPr>
            </w:pPr>
          </w:p>
        </w:tc>
        <w:tc>
          <w:tcPr>
            <w:tcW w:w="2201" w:type="dxa"/>
            <w:vAlign w:val="center"/>
          </w:tcPr>
          <w:p>
            <w:pPr>
              <w:keepNext w:val="0"/>
              <w:keepLines w:val="0"/>
              <w:pageBreakBefore w:val="0"/>
              <w:widowControl/>
              <w:kinsoku/>
              <w:wordWrap/>
              <w:overflowPunct/>
              <w:topLinePunct w:val="0"/>
              <w:bidi w:val="0"/>
              <w:snapToGrid/>
              <w:spacing w:line="460" w:lineRule="exact"/>
              <w:jc w:val="center"/>
              <w:textAlignment w:val="auto"/>
              <w:rPr>
                <w:rFonts w:hint="default" w:ascii="宋体" w:hAnsi="宋体" w:eastAsia="宋体" w:cs="宋体"/>
                <w:bCs/>
                <w:color w:val="auto"/>
                <w:sz w:val="22"/>
                <w:szCs w:val="22"/>
                <w:highlight w:val="none"/>
                <w:lang w:val="en-US" w:eastAsia="zh-CN"/>
              </w:rPr>
            </w:pPr>
            <w:r>
              <w:rPr>
                <w:rFonts w:hint="eastAsia" w:ascii="宋体" w:hAnsi="宋体" w:cs="宋体"/>
                <w:color w:val="auto"/>
                <w:kern w:val="0"/>
                <w:sz w:val="22"/>
                <w:szCs w:val="22"/>
                <w:highlight w:val="none"/>
                <w:u w:val="none"/>
                <w:lang w:eastAsia="zh-CN"/>
              </w:rPr>
              <w:t>超滤系统+中空纤维过滤系统</w:t>
            </w:r>
          </w:p>
        </w:tc>
        <w:tc>
          <w:tcPr>
            <w:tcW w:w="709" w:type="dxa"/>
            <w:vAlign w:val="center"/>
          </w:tcPr>
          <w:p>
            <w:pPr>
              <w:keepNext w:val="0"/>
              <w:keepLines w:val="0"/>
              <w:pageBreakBefore w:val="0"/>
              <w:widowControl/>
              <w:kinsoku/>
              <w:wordWrap/>
              <w:overflowPunct/>
              <w:topLinePunct w:val="0"/>
              <w:bidi w:val="0"/>
              <w:snapToGrid/>
              <w:spacing w:line="460" w:lineRule="exact"/>
              <w:jc w:val="center"/>
              <w:textAlignment w:val="auto"/>
              <w:rPr>
                <w:rFonts w:ascii="宋体" w:hAnsi="宋体" w:cs="宋体"/>
                <w:bCs/>
                <w:color w:val="auto"/>
                <w:sz w:val="22"/>
                <w:szCs w:val="22"/>
                <w:highlight w:val="none"/>
              </w:rPr>
            </w:pPr>
            <w:r>
              <w:rPr>
                <w:rFonts w:ascii="宋体" w:hAnsi="宋体" w:cs="宋体"/>
                <w:bCs/>
                <w:color w:val="auto"/>
                <w:sz w:val="22"/>
                <w:szCs w:val="22"/>
                <w:highlight w:val="none"/>
              </w:rPr>
              <w:t>套</w:t>
            </w:r>
          </w:p>
        </w:tc>
        <w:tc>
          <w:tcPr>
            <w:tcW w:w="852" w:type="dxa"/>
            <w:vAlign w:val="center"/>
          </w:tcPr>
          <w:p>
            <w:pPr>
              <w:keepNext w:val="0"/>
              <w:keepLines w:val="0"/>
              <w:pageBreakBefore w:val="0"/>
              <w:widowControl/>
              <w:kinsoku/>
              <w:wordWrap/>
              <w:overflowPunct/>
              <w:topLinePunct w:val="0"/>
              <w:bidi w:val="0"/>
              <w:snapToGrid/>
              <w:spacing w:line="460" w:lineRule="exact"/>
              <w:jc w:val="center"/>
              <w:textAlignment w:val="auto"/>
              <w:rPr>
                <w:rFonts w:hint="eastAsia" w:ascii="宋体" w:hAnsi="宋体" w:eastAsia="宋体" w:cs="宋体"/>
                <w:bCs/>
                <w:color w:val="auto"/>
                <w:sz w:val="22"/>
                <w:szCs w:val="22"/>
                <w:highlight w:val="none"/>
                <w:lang w:eastAsia="zh-CN"/>
              </w:rPr>
            </w:pPr>
            <w:r>
              <w:rPr>
                <w:rFonts w:hint="eastAsia" w:ascii="宋体" w:hAnsi="宋体" w:cs="宋体"/>
                <w:bCs/>
                <w:color w:val="auto"/>
                <w:sz w:val="22"/>
                <w:szCs w:val="22"/>
                <w:highlight w:val="none"/>
                <w:lang w:val="en-US" w:eastAsia="zh-CN"/>
              </w:rPr>
              <w:t>1</w:t>
            </w:r>
          </w:p>
        </w:tc>
        <w:tc>
          <w:tcPr>
            <w:tcW w:w="5314" w:type="dxa"/>
            <w:vAlign w:val="center"/>
          </w:tcPr>
          <w:p>
            <w:pPr>
              <w:keepNext w:val="0"/>
              <w:keepLines w:val="0"/>
              <w:pageBreakBefore w:val="0"/>
              <w:widowControl/>
              <w:kinsoku/>
              <w:wordWrap/>
              <w:overflowPunct/>
              <w:topLinePunct w:val="0"/>
              <w:bidi w:val="0"/>
              <w:snapToGrid/>
              <w:spacing w:line="460" w:lineRule="exact"/>
              <w:textAlignment w:val="auto"/>
              <w:rPr>
                <w:rFonts w:ascii="宋体" w:hAnsi="宋体" w:cs="宋体"/>
                <w:bCs/>
                <w:color w:val="auto"/>
                <w:sz w:val="22"/>
                <w:szCs w:val="22"/>
                <w:highlight w:val="none"/>
              </w:rPr>
            </w:pPr>
            <w:r>
              <w:rPr>
                <w:rFonts w:hint="eastAsia" w:ascii="宋体" w:hAnsi="宋体" w:cs="宋体"/>
                <w:bCs/>
                <w:color w:val="auto"/>
                <w:sz w:val="22"/>
                <w:szCs w:val="22"/>
                <w:highlight w:val="none"/>
                <w:lang w:val="en-US" w:eastAsia="zh-CN"/>
              </w:rPr>
              <w:t>配套1个全体积120L的过程罐</w:t>
            </w:r>
            <w:r>
              <w:rPr>
                <w:rFonts w:hint="eastAsia" w:ascii="宋体" w:hAnsi="宋体" w:cs="宋体"/>
                <w:bCs/>
                <w:color w:val="auto"/>
                <w:sz w:val="22"/>
                <w:szCs w:val="22"/>
                <w:highlight w:val="none"/>
              </w:rPr>
              <w:t>，</w:t>
            </w:r>
            <w:r>
              <w:rPr>
                <w:rFonts w:hint="eastAsia" w:ascii="宋体" w:hAnsi="宋体" w:cs="宋体"/>
                <w:bCs/>
                <w:color w:val="auto"/>
                <w:sz w:val="22"/>
                <w:szCs w:val="22"/>
                <w:highlight w:val="none"/>
                <w:lang w:val="en-US" w:eastAsia="zh-CN"/>
              </w:rPr>
              <w:t>具体</w:t>
            </w:r>
            <w:r>
              <w:rPr>
                <w:rFonts w:hint="eastAsia" w:ascii="宋体" w:hAnsi="宋体" w:cs="宋体"/>
                <w:bCs/>
                <w:color w:val="auto"/>
                <w:sz w:val="22"/>
                <w:szCs w:val="22"/>
                <w:highlight w:val="none"/>
              </w:rPr>
              <w:t>详见附件“</w:t>
            </w:r>
            <w:r>
              <w:rPr>
                <w:rFonts w:hint="eastAsia" w:ascii="宋体" w:hAnsi="宋体" w:cs="宋体"/>
                <w:color w:val="auto"/>
                <w:kern w:val="0"/>
                <w:sz w:val="22"/>
                <w:szCs w:val="22"/>
                <w:highlight w:val="none"/>
                <w:u w:val="none"/>
                <w:lang w:eastAsia="zh-CN"/>
              </w:rPr>
              <w:t>超滤</w:t>
            </w:r>
            <w:r>
              <w:rPr>
                <w:rFonts w:hint="eastAsia" w:ascii="宋体" w:hAnsi="宋体" w:cs="宋体"/>
                <w:color w:val="auto"/>
                <w:kern w:val="0"/>
                <w:sz w:val="22"/>
                <w:szCs w:val="22"/>
                <w:highlight w:val="none"/>
                <w:u w:val="none"/>
                <w:lang w:val="en-US" w:eastAsia="zh-CN"/>
              </w:rPr>
              <w:t>-</w:t>
            </w:r>
            <w:r>
              <w:rPr>
                <w:rFonts w:hint="eastAsia" w:ascii="宋体" w:hAnsi="宋体" w:cs="宋体"/>
                <w:color w:val="auto"/>
                <w:kern w:val="0"/>
                <w:sz w:val="22"/>
                <w:szCs w:val="22"/>
                <w:highlight w:val="none"/>
                <w:u w:val="none"/>
                <w:lang w:eastAsia="zh-CN"/>
              </w:rPr>
              <w:t>中空纤维过滤系统</w:t>
            </w:r>
            <w:r>
              <w:rPr>
                <w:rFonts w:hint="eastAsia" w:ascii="宋体" w:hAnsi="宋体" w:cs="宋体"/>
                <w:bCs/>
                <w:color w:val="auto"/>
                <w:sz w:val="22"/>
                <w:szCs w:val="22"/>
                <w:highlight w:val="none"/>
              </w:rPr>
              <w:t>用户需求说明书”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780" w:type="dxa"/>
            <w:gridSpan w:val="5"/>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kern w:val="0"/>
                <w:szCs w:val="21"/>
                <w:highlight w:val="none"/>
                <w:lang w:eastAsia="zh-CN"/>
              </w:rPr>
            </w:pPr>
            <w:r>
              <w:rPr>
                <w:rFonts w:hint="eastAsia" w:ascii="宋体" w:hAnsi="宋体" w:cs="新宋体"/>
                <w:b/>
                <w:color w:val="auto"/>
                <w:sz w:val="22"/>
                <w:szCs w:val="22"/>
                <w:highlight w:val="none"/>
                <w:u w:val="single"/>
              </w:rPr>
              <w:t>说明：★</w:t>
            </w:r>
            <w:r>
              <w:rPr>
                <w:rFonts w:hint="eastAsia" w:ascii="宋体" w:hAnsi="宋体" w:cs="新宋体"/>
                <w:b/>
                <w:color w:val="auto"/>
                <w:sz w:val="22"/>
                <w:szCs w:val="22"/>
                <w:highlight w:val="none"/>
                <w:u w:val="single"/>
                <w:lang w:val="en-US" w:eastAsia="zh-CN"/>
              </w:rPr>
              <w:t>竞争性磋商</w:t>
            </w:r>
            <w:r>
              <w:rPr>
                <w:rFonts w:hint="eastAsia" w:ascii="宋体" w:hAnsi="宋体" w:cs="新宋体"/>
                <w:b/>
                <w:color w:val="auto"/>
                <w:sz w:val="22"/>
                <w:szCs w:val="22"/>
                <w:highlight w:val="none"/>
                <w:u w:val="single"/>
              </w:rPr>
              <w:t>文件中所列的</w:t>
            </w:r>
            <w:r>
              <w:rPr>
                <w:rFonts w:hint="eastAsia" w:ascii="宋体" w:hAnsi="宋体" w:cs="新宋体"/>
                <w:b/>
                <w:color w:val="auto"/>
                <w:sz w:val="22"/>
                <w:szCs w:val="22"/>
                <w:highlight w:val="none"/>
                <w:u w:val="single"/>
                <w:lang w:val="en-US" w:eastAsia="zh-CN"/>
              </w:rPr>
              <w:t>货物</w:t>
            </w:r>
            <w:r>
              <w:rPr>
                <w:rFonts w:hint="eastAsia" w:ascii="宋体" w:hAnsi="宋体" w:cs="新宋体"/>
                <w:b/>
                <w:color w:val="auto"/>
                <w:sz w:val="22"/>
                <w:szCs w:val="22"/>
                <w:highlight w:val="none"/>
                <w:u w:val="single"/>
              </w:rPr>
              <w:t>品牌仅为参考，是为了对拟投标的</w:t>
            </w:r>
            <w:r>
              <w:rPr>
                <w:rFonts w:hint="eastAsia" w:ascii="宋体" w:hAnsi="宋体" w:cs="新宋体"/>
                <w:b/>
                <w:color w:val="auto"/>
                <w:sz w:val="22"/>
                <w:szCs w:val="22"/>
                <w:highlight w:val="none"/>
                <w:u w:val="single"/>
                <w:lang w:val="en-US" w:eastAsia="zh-CN"/>
              </w:rPr>
              <w:t>货物</w:t>
            </w:r>
            <w:r>
              <w:rPr>
                <w:rFonts w:hint="eastAsia" w:ascii="宋体" w:hAnsi="宋体" w:cs="新宋体"/>
                <w:b/>
                <w:color w:val="auto"/>
                <w:sz w:val="22"/>
                <w:szCs w:val="22"/>
                <w:highlight w:val="none"/>
                <w:u w:val="single"/>
              </w:rPr>
              <w:t>、材料的技术指标和功能要求、档次更好的说明，欢迎其他能满足本项目技术需求且性能、档次与所明确品牌相当的产品参加。供应商选用选择非采购人参考品牌产品的，需提供详细的技术规格和选用标准、理由，并须达到采购人需求，同时在采购需求偏离表中做出详细说明，否则评标小组可以判定存在负偏差给予扣分，甚至无效标处理</w:t>
            </w:r>
            <w:r>
              <w:rPr>
                <w:rFonts w:hint="eastAsia" w:ascii="宋体" w:hAnsi="宋体" w:cs="新宋体"/>
                <w:b/>
                <w:color w:val="auto"/>
                <w:sz w:val="22"/>
                <w:szCs w:val="22"/>
                <w:highlight w:val="none"/>
                <w:u w:val="single"/>
                <w:lang w:eastAsia="zh-CN"/>
              </w:rPr>
              <w:t>。</w:t>
            </w:r>
          </w:p>
        </w:tc>
      </w:tr>
    </w:tbl>
    <w:p>
      <w:pPr>
        <w:rPr>
          <w:rFonts w:hint="eastAsia" w:ascii="宋体" w:hAnsi="宋体" w:eastAsia="宋体" w:cs="Arial Unicode MS"/>
          <w:color w:val="auto"/>
          <w:sz w:val="36"/>
          <w:szCs w:val="36"/>
          <w:highlight w:val="none"/>
        </w:rPr>
      </w:pPr>
      <w:r>
        <w:rPr>
          <w:rFonts w:hint="eastAsia" w:ascii="宋体" w:hAnsi="宋体" w:eastAsia="宋体" w:cs="Arial Unicode MS"/>
          <w:color w:val="auto"/>
          <w:sz w:val="36"/>
          <w:szCs w:val="36"/>
          <w:highlight w:val="none"/>
        </w:rPr>
        <w:br w:type="page"/>
      </w:r>
    </w:p>
    <w:p>
      <w:pPr>
        <w:pStyle w:val="5"/>
        <w:spacing w:before="240" w:beforeLines="100"/>
        <w:rPr>
          <w:rFonts w:ascii="宋体" w:hAnsi="宋体" w:eastAsia="宋体" w:cs="Arial Unicode MS"/>
          <w:color w:val="auto"/>
          <w:sz w:val="36"/>
          <w:szCs w:val="36"/>
          <w:highlight w:val="none"/>
        </w:rPr>
      </w:pPr>
      <w:r>
        <w:rPr>
          <w:rFonts w:hint="eastAsia" w:ascii="宋体" w:hAnsi="宋体" w:eastAsia="宋体" w:cs="Arial Unicode MS"/>
          <w:color w:val="auto"/>
          <w:sz w:val="36"/>
          <w:szCs w:val="36"/>
          <w:highlight w:val="none"/>
        </w:rPr>
        <w:t>第五部分</w:t>
      </w:r>
      <w:bookmarkEnd w:id="241"/>
      <w:bookmarkEnd w:id="242"/>
      <w:bookmarkEnd w:id="243"/>
      <w:bookmarkEnd w:id="244"/>
      <w:bookmarkEnd w:id="245"/>
      <w:r>
        <w:rPr>
          <w:rFonts w:hint="eastAsia" w:ascii="宋体" w:hAnsi="宋体" w:eastAsia="宋体" w:cs="Arial Unicode MS"/>
          <w:color w:val="auto"/>
          <w:sz w:val="36"/>
          <w:szCs w:val="36"/>
          <w:highlight w:val="none"/>
        </w:rPr>
        <w:t xml:space="preserve">   </w:t>
      </w:r>
      <w:r>
        <w:rPr>
          <w:rFonts w:hint="eastAsia" w:ascii="宋体" w:hAnsi="宋体" w:eastAsia="宋体"/>
          <w:color w:val="auto"/>
          <w:sz w:val="36"/>
          <w:szCs w:val="36"/>
          <w:highlight w:val="none"/>
        </w:rPr>
        <w:t>评</w:t>
      </w:r>
      <w:r>
        <w:rPr>
          <w:rFonts w:hint="eastAsia" w:ascii="宋体" w:hAnsi="宋体" w:eastAsia="宋体"/>
          <w:color w:val="auto"/>
          <w:sz w:val="36"/>
          <w:szCs w:val="36"/>
          <w:highlight w:val="none"/>
          <w:lang w:val="en-US"/>
        </w:rPr>
        <w:t>审</w:t>
      </w:r>
      <w:r>
        <w:rPr>
          <w:rFonts w:hint="eastAsia" w:ascii="宋体" w:hAnsi="宋体" w:eastAsia="宋体"/>
          <w:color w:val="auto"/>
          <w:sz w:val="36"/>
          <w:szCs w:val="36"/>
          <w:highlight w:val="none"/>
        </w:rPr>
        <w:t>原则及办法</w:t>
      </w:r>
      <w:bookmarkEnd w:id="246"/>
      <w:bookmarkEnd w:id="247"/>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ascii="宋体" w:hAnsi="宋体" w:eastAsia="宋体"/>
          <w:b/>
          <w:color w:val="auto"/>
          <w:sz w:val="22"/>
          <w:szCs w:val="22"/>
          <w:highlight w:val="none"/>
        </w:rPr>
      </w:pPr>
      <w:bookmarkStart w:id="262" w:name="_Toc221356961"/>
      <w:bookmarkStart w:id="263" w:name="_Toc221356898"/>
      <w:r>
        <w:rPr>
          <w:rFonts w:hint="eastAsia" w:ascii="宋体" w:hAnsi="宋体" w:eastAsia="宋体"/>
          <w:b/>
          <w:color w:val="auto"/>
          <w:sz w:val="22"/>
          <w:szCs w:val="22"/>
          <w:highlight w:val="none"/>
        </w:rPr>
        <w:t>一</w:t>
      </w:r>
      <w:r>
        <w:rPr>
          <w:rFonts w:hint="eastAsia" w:ascii="宋体" w:hAnsi="宋体" w:eastAsia="宋体"/>
          <w:b/>
          <w:color w:val="auto"/>
          <w:sz w:val="22"/>
          <w:szCs w:val="22"/>
          <w:highlight w:val="none"/>
          <w:lang w:eastAsia="zh-CN"/>
        </w:rPr>
        <w:t>、</w:t>
      </w:r>
      <w:r>
        <w:rPr>
          <w:rFonts w:hint="eastAsia" w:ascii="宋体" w:hAnsi="宋体" w:eastAsia="宋体"/>
          <w:b/>
          <w:color w:val="auto"/>
          <w:sz w:val="22"/>
          <w:szCs w:val="22"/>
          <w:highlight w:val="none"/>
        </w:rPr>
        <w:t xml:space="preserve"> 总  则</w:t>
      </w:r>
      <w:bookmarkEnd w:id="262"/>
      <w:bookmarkEnd w:id="263"/>
    </w:p>
    <w:p>
      <w:pPr>
        <w:keepNext w:val="0"/>
        <w:keepLines w:val="0"/>
        <w:pageBreakBefore w:val="0"/>
        <w:widowControl w:val="0"/>
        <w:kinsoku/>
        <w:wordWrap/>
        <w:overflowPunct/>
        <w:topLinePunct w:val="0"/>
        <w:autoSpaceDE/>
        <w:autoSpaceDN/>
        <w:bidi w:val="0"/>
        <w:adjustRightInd/>
        <w:snapToGrid/>
        <w:spacing w:line="460" w:lineRule="exact"/>
        <w:ind w:left="439" w:leftChars="209"/>
        <w:textAlignment w:val="auto"/>
        <w:rPr>
          <w:rFonts w:ascii="宋体" w:hAnsi="宋体"/>
          <w:color w:val="auto"/>
          <w:sz w:val="22"/>
          <w:szCs w:val="22"/>
          <w:highlight w:val="none"/>
        </w:rPr>
      </w:pPr>
      <w:bookmarkStart w:id="264" w:name="_Toc221356962"/>
      <w:bookmarkStart w:id="265" w:name="_Toc221356899"/>
      <w:r>
        <w:rPr>
          <w:rFonts w:ascii="宋体" w:hAnsi="宋体"/>
          <w:color w:val="auto"/>
          <w:sz w:val="22"/>
          <w:szCs w:val="22"/>
          <w:highlight w:val="none"/>
        </w:rPr>
        <w:t>评审工作遵循公平、公正、科学、择优原则和诚实、信誉、效率的服务原则。本着科学、严谨的态度，认真进行评审。择优选用，确保</w:t>
      </w:r>
      <w:r>
        <w:rPr>
          <w:rFonts w:hint="eastAsia" w:ascii="宋体" w:hAnsi="宋体"/>
          <w:color w:val="auto"/>
          <w:sz w:val="22"/>
          <w:szCs w:val="22"/>
          <w:highlight w:val="none"/>
        </w:rPr>
        <w:t>项目</w:t>
      </w:r>
      <w:r>
        <w:rPr>
          <w:rFonts w:ascii="宋体" w:hAnsi="宋体"/>
          <w:color w:val="auto"/>
          <w:sz w:val="22"/>
          <w:szCs w:val="22"/>
          <w:highlight w:val="none"/>
        </w:rPr>
        <w:t>质量，节约投资，最大限度的保护当事人权益，严格按照磋商文件的商务、技术要求，对响应文件进行综合评定，编写评审报告。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b/>
          <w:color w:val="auto"/>
          <w:sz w:val="22"/>
          <w:highlight w:val="none"/>
        </w:rPr>
      </w:pPr>
      <w:r>
        <w:rPr>
          <w:rFonts w:hint="eastAsia" w:ascii="宋体" w:hAnsi="宋体"/>
          <w:b/>
          <w:color w:val="auto"/>
          <w:sz w:val="22"/>
          <w:szCs w:val="22"/>
          <w:highlight w:val="none"/>
        </w:rPr>
        <w:t>二、</w:t>
      </w:r>
      <w:bookmarkEnd w:id="264"/>
      <w:bookmarkEnd w:id="265"/>
      <w:r>
        <w:rPr>
          <w:rFonts w:ascii="宋体" w:hAnsi="宋体"/>
          <w:b/>
          <w:color w:val="auto"/>
          <w:sz w:val="22"/>
          <w:highlight w:val="none"/>
        </w:rPr>
        <w:t>评审组织</w:t>
      </w:r>
    </w:p>
    <w:p>
      <w:pPr>
        <w:keepNext w:val="0"/>
        <w:keepLines w:val="0"/>
        <w:pageBreakBefore w:val="0"/>
        <w:widowControl w:val="0"/>
        <w:kinsoku/>
        <w:wordWrap/>
        <w:overflowPunct/>
        <w:topLinePunct w:val="0"/>
        <w:autoSpaceDE/>
        <w:autoSpaceDN/>
        <w:bidi w:val="0"/>
        <w:adjustRightInd/>
        <w:snapToGrid/>
        <w:spacing w:line="460" w:lineRule="exact"/>
        <w:ind w:left="439" w:leftChars="209"/>
        <w:textAlignment w:val="auto"/>
        <w:rPr>
          <w:rFonts w:ascii="宋体" w:hAnsi="宋体"/>
          <w:color w:val="auto"/>
          <w:sz w:val="22"/>
          <w:szCs w:val="22"/>
          <w:highlight w:val="none"/>
        </w:rPr>
      </w:pPr>
      <w:r>
        <w:rPr>
          <w:rFonts w:ascii="宋体" w:hAnsi="宋体"/>
          <w:color w:val="auto"/>
          <w:sz w:val="22"/>
          <w:szCs w:val="22"/>
          <w:highlight w:val="none"/>
        </w:rPr>
        <w:t>评审工作由采购人依法组建的磋商小组负责，评审全过程由有关部门指导监督。</w:t>
      </w:r>
      <w:r>
        <w:rPr>
          <w:rFonts w:ascii="宋体" w:hAnsi="宋体"/>
          <w:bCs/>
          <w:color w:val="auto"/>
          <w:sz w:val="22"/>
          <w:szCs w:val="22"/>
          <w:highlight w:val="none"/>
        </w:rPr>
        <w:t>磋商小组成员</w:t>
      </w:r>
      <w:r>
        <w:rPr>
          <w:rFonts w:hint="eastAsia" w:ascii="宋体" w:hAnsi="宋体"/>
          <w:color w:val="auto"/>
          <w:sz w:val="22"/>
          <w:szCs w:val="22"/>
          <w:highlight w:val="none"/>
        </w:rPr>
        <w:t>应认真审阅磋商文件，了解评委应履行或遵守的职责、义务和评审纪律，</w:t>
      </w:r>
      <w:r>
        <w:rPr>
          <w:rFonts w:ascii="宋体" w:hAnsi="宋体"/>
          <w:color w:val="auto"/>
          <w:sz w:val="22"/>
          <w:szCs w:val="22"/>
          <w:highlight w:val="none"/>
        </w:rPr>
        <w:t>依法独立履行有关职责</w:t>
      </w:r>
      <w:r>
        <w:rPr>
          <w:rFonts w:hint="eastAsia" w:ascii="宋体" w:hAnsi="宋体"/>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b/>
          <w:color w:val="auto"/>
          <w:sz w:val="22"/>
          <w:highlight w:val="none"/>
        </w:rPr>
      </w:pPr>
      <w:bookmarkStart w:id="266" w:name="_Toc221356964"/>
      <w:bookmarkStart w:id="267" w:name="_Toc221356901"/>
      <w:r>
        <w:rPr>
          <w:rFonts w:hint="eastAsia" w:ascii="宋体" w:hAnsi="宋体"/>
          <w:b/>
          <w:color w:val="auto"/>
          <w:sz w:val="22"/>
          <w:szCs w:val="22"/>
          <w:highlight w:val="none"/>
        </w:rPr>
        <w:t>三、</w:t>
      </w:r>
      <w:bookmarkEnd w:id="266"/>
      <w:bookmarkEnd w:id="267"/>
      <w:bookmarkStart w:id="268" w:name="_Toc221356965"/>
      <w:bookmarkStart w:id="269" w:name="_Toc221356902"/>
      <w:r>
        <w:rPr>
          <w:rFonts w:ascii="宋体" w:hAnsi="宋体"/>
          <w:b/>
          <w:color w:val="auto"/>
          <w:sz w:val="22"/>
          <w:highlight w:val="none"/>
        </w:rPr>
        <w:t>评审办法</w:t>
      </w:r>
    </w:p>
    <w:p>
      <w:pPr>
        <w:keepNext w:val="0"/>
        <w:keepLines w:val="0"/>
        <w:pageBreakBefore w:val="0"/>
        <w:widowControl w:val="0"/>
        <w:kinsoku/>
        <w:wordWrap/>
        <w:overflowPunct/>
        <w:topLinePunct w:val="0"/>
        <w:autoSpaceDE/>
        <w:autoSpaceDN/>
        <w:bidi w:val="0"/>
        <w:adjustRightInd/>
        <w:snapToGrid/>
        <w:spacing w:line="460" w:lineRule="exact"/>
        <w:ind w:left="439" w:leftChars="209"/>
        <w:textAlignment w:val="auto"/>
        <w:rPr>
          <w:rFonts w:ascii="宋体" w:hAnsi="宋体"/>
          <w:color w:val="auto"/>
          <w:sz w:val="22"/>
          <w:highlight w:val="none"/>
        </w:rPr>
      </w:pPr>
      <w:r>
        <w:rPr>
          <w:rFonts w:hint="eastAsia" w:ascii="宋体" w:hAnsi="宋体"/>
          <w:color w:val="auto"/>
          <w:sz w:val="22"/>
          <w:highlight w:val="none"/>
        </w:rPr>
        <w:t>1.</w:t>
      </w:r>
      <w:r>
        <w:rPr>
          <w:rFonts w:ascii="宋体" w:hAnsi="宋体"/>
          <w:color w:val="auto"/>
          <w:sz w:val="22"/>
          <w:highlight w:val="none"/>
        </w:rPr>
        <w:t>本</w:t>
      </w:r>
      <w:r>
        <w:rPr>
          <w:rFonts w:hint="eastAsia" w:ascii="宋体" w:hAnsi="宋体"/>
          <w:color w:val="auto"/>
          <w:sz w:val="22"/>
          <w:highlight w:val="none"/>
        </w:rPr>
        <w:t>项目</w:t>
      </w:r>
      <w:r>
        <w:rPr>
          <w:rFonts w:ascii="宋体" w:hAnsi="宋体"/>
          <w:color w:val="auto"/>
          <w:sz w:val="22"/>
          <w:highlight w:val="none"/>
        </w:rPr>
        <w:t>采用百分制综合评分法，即供应商最大限度地满足磋商文件实质性要求的基础上，按照磋商文件的各项因素进行综合评审后，以评审</w:t>
      </w:r>
      <w:r>
        <w:rPr>
          <w:rFonts w:hint="eastAsia" w:ascii="宋体" w:hAnsi="宋体"/>
          <w:color w:val="auto"/>
          <w:sz w:val="22"/>
          <w:highlight w:val="none"/>
        </w:rPr>
        <w:t>综合</w:t>
      </w:r>
      <w:r>
        <w:rPr>
          <w:rFonts w:ascii="宋体" w:hAnsi="宋体"/>
          <w:color w:val="auto"/>
          <w:sz w:val="22"/>
          <w:highlight w:val="none"/>
        </w:rPr>
        <w:t>得分</w:t>
      </w:r>
      <w:r>
        <w:rPr>
          <w:rFonts w:hint="eastAsia" w:ascii="宋体" w:hAnsi="宋体"/>
          <w:color w:val="auto"/>
          <w:sz w:val="22"/>
          <w:highlight w:val="none"/>
        </w:rPr>
        <w:t>最高、次高及第三高的供应商为第一、第二和第三中标候选人</w:t>
      </w:r>
      <w:r>
        <w:rPr>
          <w:rFonts w:ascii="宋体" w:hAnsi="宋体"/>
          <w:color w:val="auto"/>
          <w:sz w:val="22"/>
          <w:highlight w:val="none"/>
        </w:rPr>
        <w:t>的评审方法。根据</w:t>
      </w:r>
      <w:r>
        <w:rPr>
          <w:rFonts w:hint="eastAsia" w:ascii="宋体" w:hAnsi="宋体"/>
          <w:color w:val="auto"/>
          <w:sz w:val="22"/>
          <w:highlight w:val="none"/>
        </w:rPr>
        <w:t>采购</w:t>
      </w:r>
      <w:r>
        <w:rPr>
          <w:rFonts w:ascii="宋体" w:hAnsi="宋体"/>
          <w:color w:val="auto"/>
          <w:sz w:val="22"/>
          <w:highlight w:val="none"/>
        </w:rPr>
        <w:t>要求，总分设定为100分；其中商务技术</w:t>
      </w:r>
      <w:r>
        <w:rPr>
          <w:rFonts w:hint="eastAsia" w:ascii="宋体" w:hAnsi="宋体"/>
          <w:color w:val="auto"/>
          <w:sz w:val="22"/>
          <w:highlight w:val="none"/>
        </w:rPr>
        <w:t>文件</w:t>
      </w:r>
      <w:r>
        <w:rPr>
          <w:rFonts w:ascii="宋体" w:hAnsi="宋体"/>
          <w:color w:val="auto"/>
          <w:sz w:val="22"/>
          <w:highlight w:val="none"/>
        </w:rPr>
        <w:t>70分（技术权值70%），</w:t>
      </w:r>
      <w:r>
        <w:rPr>
          <w:rFonts w:hint="eastAsia" w:ascii="宋体" w:hAnsi="宋体"/>
          <w:color w:val="auto"/>
          <w:sz w:val="22"/>
          <w:highlight w:val="none"/>
        </w:rPr>
        <w:t>报价文件</w:t>
      </w:r>
      <w:r>
        <w:rPr>
          <w:rFonts w:ascii="宋体" w:hAnsi="宋体"/>
          <w:color w:val="auto"/>
          <w:sz w:val="22"/>
          <w:highlight w:val="none"/>
        </w:rPr>
        <w:t>3</w:t>
      </w:r>
      <w:r>
        <w:rPr>
          <w:rFonts w:hint="eastAsia" w:ascii="宋体" w:hAnsi="宋体"/>
          <w:color w:val="auto"/>
          <w:sz w:val="22"/>
          <w:highlight w:val="none"/>
        </w:rPr>
        <w:t>0</w:t>
      </w:r>
      <w:r>
        <w:rPr>
          <w:rFonts w:ascii="宋体" w:hAnsi="宋体"/>
          <w:color w:val="auto"/>
          <w:sz w:val="22"/>
          <w:highlight w:val="none"/>
        </w:rPr>
        <w:t>分（价格权值3</w:t>
      </w:r>
      <w:r>
        <w:rPr>
          <w:rFonts w:hint="eastAsia" w:ascii="宋体" w:hAnsi="宋体"/>
          <w:color w:val="auto"/>
          <w:sz w:val="22"/>
          <w:highlight w:val="none"/>
        </w:rPr>
        <w:t>0</w:t>
      </w:r>
      <w:r>
        <w:rPr>
          <w:rFonts w:ascii="宋体" w:hAnsi="宋体"/>
          <w:color w:val="auto"/>
          <w:sz w:val="22"/>
          <w:highlight w:val="none"/>
        </w:rPr>
        <w:t>%）。</w:t>
      </w:r>
    </w:p>
    <w:bookmarkEnd w:id="268"/>
    <w:bookmarkEnd w:id="269"/>
    <w:p>
      <w:pPr>
        <w:keepNext w:val="0"/>
        <w:keepLines w:val="0"/>
        <w:pageBreakBefore w:val="0"/>
        <w:widowControl w:val="0"/>
        <w:kinsoku/>
        <w:wordWrap/>
        <w:overflowPunct/>
        <w:topLinePunct w:val="0"/>
        <w:autoSpaceDE/>
        <w:autoSpaceDN/>
        <w:bidi w:val="0"/>
        <w:adjustRightInd/>
        <w:snapToGrid/>
        <w:spacing w:line="460" w:lineRule="exact"/>
        <w:ind w:left="439" w:leftChars="209"/>
        <w:textAlignment w:val="auto"/>
        <w:rPr>
          <w:rFonts w:ascii="宋体" w:hAnsi="宋体"/>
          <w:color w:val="auto"/>
          <w:sz w:val="22"/>
          <w:highlight w:val="none"/>
        </w:rPr>
      </w:pPr>
      <w:r>
        <w:rPr>
          <w:rFonts w:ascii="宋体" w:hAnsi="宋体"/>
          <w:color w:val="auto"/>
          <w:sz w:val="22"/>
          <w:highlight w:val="none"/>
        </w:rPr>
        <w:t>2</w:t>
      </w:r>
      <w:r>
        <w:rPr>
          <w:rFonts w:hint="eastAsia" w:ascii="宋体" w:hAnsi="宋体"/>
          <w:color w:val="auto"/>
          <w:sz w:val="22"/>
          <w:highlight w:val="none"/>
        </w:rPr>
        <w:t>.综合得分相同的，按照最后报价由低到高的顺序推荐；综合得分且最后报价相同的，</w:t>
      </w:r>
      <w:r>
        <w:rPr>
          <w:rFonts w:ascii="宋体" w:hAnsi="宋体"/>
          <w:color w:val="auto"/>
          <w:sz w:val="22"/>
          <w:highlight w:val="none"/>
        </w:rPr>
        <w:t>按照技术指标优劣顺序推荐</w:t>
      </w:r>
      <w:r>
        <w:rPr>
          <w:rFonts w:hint="eastAsia" w:ascii="宋体" w:hAnsi="宋体"/>
          <w:color w:val="auto"/>
          <w:sz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b/>
          <w:color w:val="auto"/>
          <w:sz w:val="22"/>
          <w:highlight w:val="none"/>
        </w:rPr>
      </w:pPr>
      <w:r>
        <w:rPr>
          <w:rFonts w:hint="eastAsia" w:ascii="宋体" w:hAnsi="宋体"/>
          <w:b/>
          <w:color w:val="auto"/>
          <w:sz w:val="22"/>
          <w:highlight w:val="none"/>
        </w:rPr>
        <w:t>四</w:t>
      </w:r>
      <w:r>
        <w:rPr>
          <w:rFonts w:ascii="宋体" w:hAnsi="宋体"/>
          <w:b/>
          <w:color w:val="auto"/>
          <w:sz w:val="22"/>
          <w:highlight w:val="none"/>
        </w:rPr>
        <w:t>、评分细则</w:t>
      </w:r>
    </w:p>
    <w:p>
      <w:pPr>
        <w:keepNext w:val="0"/>
        <w:keepLines w:val="0"/>
        <w:pageBreakBefore w:val="0"/>
        <w:widowControl w:val="0"/>
        <w:kinsoku/>
        <w:wordWrap/>
        <w:overflowPunct/>
        <w:topLinePunct w:val="0"/>
        <w:autoSpaceDE/>
        <w:autoSpaceDN/>
        <w:bidi w:val="0"/>
        <w:adjustRightInd/>
        <w:snapToGrid/>
        <w:spacing w:line="460" w:lineRule="exact"/>
        <w:ind w:firstLine="110" w:firstLineChars="50"/>
        <w:textAlignment w:val="auto"/>
        <w:rPr>
          <w:rFonts w:ascii="宋体" w:hAnsi="宋体"/>
          <w:color w:val="auto"/>
          <w:sz w:val="22"/>
          <w:highlight w:val="none"/>
        </w:rPr>
      </w:pPr>
      <w:r>
        <w:rPr>
          <w:rFonts w:ascii="宋体" w:hAnsi="宋体"/>
          <w:color w:val="auto"/>
          <w:sz w:val="22"/>
          <w:highlight w:val="none"/>
        </w:rPr>
        <w:t>1、商务技术分的评定（7</w:t>
      </w:r>
      <w:r>
        <w:rPr>
          <w:rFonts w:hint="eastAsia" w:ascii="宋体" w:hAnsi="宋体"/>
          <w:color w:val="auto"/>
          <w:sz w:val="22"/>
          <w:highlight w:val="none"/>
        </w:rPr>
        <w:t>0</w:t>
      </w:r>
      <w:r>
        <w:rPr>
          <w:rFonts w:ascii="宋体" w:hAnsi="宋体"/>
          <w:color w:val="auto"/>
          <w:sz w:val="22"/>
          <w:highlight w:val="none"/>
        </w:rPr>
        <w:t>分）</w:t>
      </w:r>
    </w:p>
    <w:p>
      <w:pPr>
        <w:keepNext w:val="0"/>
        <w:keepLines w:val="0"/>
        <w:pageBreakBefore w:val="0"/>
        <w:widowControl w:val="0"/>
        <w:kinsoku/>
        <w:wordWrap/>
        <w:overflowPunct/>
        <w:topLinePunct w:val="0"/>
        <w:autoSpaceDE/>
        <w:autoSpaceDN/>
        <w:bidi w:val="0"/>
        <w:adjustRightInd/>
        <w:snapToGrid/>
        <w:spacing w:line="460" w:lineRule="exact"/>
        <w:ind w:left="439" w:leftChars="209"/>
        <w:textAlignment w:val="auto"/>
        <w:rPr>
          <w:rFonts w:hint="eastAsia" w:ascii="宋体" w:hAnsi="宋体"/>
          <w:color w:val="auto"/>
          <w:sz w:val="22"/>
          <w:szCs w:val="22"/>
          <w:highlight w:val="none"/>
        </w:rPr>
      </w:pPr>
      <w:r>
        <w:rPr>
          <w:rFonts w:hint="eastAsia" w:ascii="宋体" w:hAnsi="宋体"/>
          <w:color w:val="auto"/>
          <w:sz w:val="22"/>
          <w:szCs w:val="22"/>
          <w:highlight w:val="none"/>
        </w:rPr>
        <w:t>各磋商小组成员按下列评分项目进行评定，每人一张评分计算表，由磋商小组成员各自评定打分并记实名。如任何一张表的一项评分内容分值超过规定的范围，则该张表无效。各磋商小组成员对各供应商的各项评分内容评分的合计分数的算术平均值为各供应商商务技术分得分（保留二位小数，第三位四舍五入）。</w:t>
      </w:r>
    </w:p>
    <w:tbl>
      <w:tblPr>
        <w:tblStyle w:val="32"/>
        <w:tblW w:w="10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60"/>
        <w:gridCol w:w="992"/>
        <w:gridCol w:w="6384"/>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序号</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评分内容</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分值</w:t>
            </w:r>
          </w:p>
        </w:tc>
        <w:tc>
          <w:tcPr>
            <w:tcW w:w="63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评分要点及说明</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1</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供应商认证</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ascii="宋体" w:hAnsi="宋体"/>
                <w:color w:val="auto"/>
                <w:sz w:val="22"/>
                <w:szCs w:val="22"/>
                <w:highlight w:val="none"/>
              </w:rPr>
              <w:t>0-2</w:t>
            </w:r>
            <w:r>
              <w:rPr>
                <w:rFonts w:hint="eastAsia" w:ascii="宋体" w:hAnsi="宋体"/>
                <w:color w:val="auto"/>
                <w:sz w:val="22"/>
                <w:szCs w:val="22"/>
                <w:highlight w:val="none"/>
              </w:rPr>
              <w:t>分</w:t>
            </w:r>
          </w:p>
        </w:tc>
        <w:tc>
          <w:tcPr>
            <w:tcW w:w="6384"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color w:val="auto"/>
                <w:highlight w:val="none"/>
              </w:rPr>
            </w:pPr>
            <w:r>
              <w:rPr>
                <w:rFonts w:hint="eastAsia"/>
                <w:color w:val="auto"/>
                <w:highlight w:val="none"/>
              </w:rPr>
              <w:t>获得质量管理体系认证、环境管理体系认证、职业健康安全管理体系认证、知识产权管理体系认证证书、信用等级证书，每提供1个有效证书得0.5分，最高得2分。</w:t>
            </w:r>
          </w:p>
          <w:p>
            <w:pPr>
              <w:pStyle w:val="2"/>
              <w:keepNext w:val="0"/>
              <w:keepLines w:val="0"/>
              <w:pageBreakBefore w:val="0"/>
              <w:widowControl w:val="0"/>
              <w:kinsoku/>
              <w:wordWrap/>
              <w:overflowPunct/>
              <w:topLinePunct w:val="0"/>
              <w:autoSpaceDE/>
              <w:autoSpaceDN/>
              <w:bidi w:val="0"/>
              <w:adjustRightInd/>
              <w:snapToGrid/>
              <w:spacing w:line="440" w:lineRule="exact"/>
              <w:jc w:val="both"/>
              <w:textAlignment w:val="auto"/>
              <w:rPr>
                <w:color w:val="auto"/>
                <w:highlight w:val="none"/>
              </w:rPr>
            </w:pPr>
            <w:r>
              <w:rPr>
                <w:rFonts w:hint="eastAsia"/>
                <w:color w:val="auto"/>
                <w:highlight w:val="none"/>
              </w:rPr>
              <w:t>注：提供证书和中国国家认证认可监督管理委员会官网认证查询系统内查询到相关证书信息且在有效期内的截图证明，否则不予认可。</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62"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2</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投标产品的性能与需求</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0-28分</w:t>
            </w:r>
          </w:p>
        </w:tc>
        <w:tc>
          <w:tcPr>
            <w:tcW w:w="6384"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val="0"/>
                <w:bCs w:val="0"/>
                <w:color w:val="auto"/>
                <w:highlight w:val="none"/>
              </w:rPr>
            </w:pPr>
            <w:r>
              <w:rPr>
                <w:rFonts w:hint="eastAsia" w:ascii="宋体" w:hAnsi="宋体"/>
                <w:b w:val="0"/>
                <w:bCs w:val="0"/>
                <w:color w:val="auto"/>
                <w:highlight w:val="none"/>
              </w:rPr>
              <w:t>投标产品的基本功能、技术指标与需求的吻合程度和偏差情况，是否能够满足磋商文件要求，由评委根据供应商提供的“采购需求偏离表”进行打分，全部满足要求的得28分。一般技术参数负偏离每项扣2分，扣完为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bCs/>
                <w:color w:val="auto"/>
                <w:highlight w:val="none"/>
              </w:rPr>
            </w:pPr>
            <w:r>
              <w:rPr>
                <w:rFonts w:hint="eastAsia" w:ascii="宋体" w:hAnsi="宋体"/>
                <w:b/>
                <w:bCs/>
                <w:color w:val="auto"/>
                <w:highlight w:val="none"/>
              </w:rPr>
              <w:t>供应商需在“采购需求偏离表”对参数进行响应，若发现造假将按照政府采购法追责。</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56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p>
        </w:tc>
        <w:tc>
          <w:tcPr>
            <w:tcW w:w="992"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0-8分</w:t>
            </w:r>
          </w:p>
        </w:tc>
        <w:tc>
          <w:tcPr>
            <w:tcW w:w="6384"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olor w:val="auto"/>
                <w:sz w:val="22"/>
                <w:szCs w:val="22"/>
                <w:highlight w:val="none"/>
              </w:rPr>
            </w:pPr>
            <w:r>
              <w:rPr>
                <w:rFonts w:hint="eastAsia" w:ascii="宋体" w:hAnsi="宋体"/>
                <w:color w:val="auto"/>
                <w:sz w:val="22"/>
                <w:szCs w:val="22"/>
                <w:highlight w:val="none"/>
              </w:rPr>
              <w:t>投标产品的先进性、可靠性，结合投标产品的知名度、销售量、市场占有率、稳定性、使用现况和用户反馈情况等情况，综合打分，先进，</w:t>
            </w:r>
            <w:r>
              <w:rPr>
                <w:rFonts w:hint="eastAsia" w:ascii="宋体" w:hAnsi="宋体"/>
                <w:color w:val="auto"/>
                <w:sz w:val="22"/>
                <w:szCs w:val="22"/>
                <w:highlight w:val="none"/>
                <w:lang w:val="en-US" w:eastAsia="zh-CN"/>
              </w:rPr>
              <w:t>6</w:t>
            </w:r>
            <w:r>
              <w:rPr>
                <w:rFonts w:hint="eastAsia" w:ascii="宋体" w:hAnsi="宋体"/>
                <w:color w:val="auto"/>
                <w:sz w:val="22"/>
                <w:szCs w:val="22"/>
                <w:highlight w:val="none"/>
              </w:rPr>
              <w:t>-</w:t>
            </w:r>
            <w:r>
              <w:rPr>
                <w:rFonts w:hint="eastAsia" w:ascii="宋体" w:hAnsi="宋体"/>
                <w:color w:val="auto"/>
                <w:sz w:val="22"/>
                <w:szCs w:val="22"/>
                <w:highlight w:val="none"/>
                <w:lang w:val="en-US" w:eastAsia="zh-CN"/>
              </w:rPr>
              <w:t>8</w:t>
            </w:r>
            <w:r>
              <w:rPr>
                <w:rFonts w:hint="eastAsia" w:ascii="宋体" w:hAnsi="宋体"/>
                <w:color w:val="auto"/>
                <w:sz w:val="22"/>
                <w:szCs w:val="22"/>
                <w:highlight w:val="none"/>
              </w:rPr>
              <w:t>分；较先进，</w:t>
            </w:r>
            <w:r>
              <w:rPr>
                <w:rFonts w:hint="eastAsia" w:ascii="宋体" w:hAnsi="宋体"/>
                <w:color w:val="auto"/>
                <w:sz w:val="22"/>
                <w:szCs w:val="22"/>
                <w:highlight w:val="none"/>
                <w:lang w:val="en-US" w:eastAsia="zh-CN"/>
              </w:rPr>
              <w:t>3</w:t>
            </w:r>
            <w:r>
              <w:rPr>
                <w:rFonts w:hint="eastAsia" w:ascii="宋体" w:hAnsi="宋体"/>
                <w:color w:val="auto"/>
                <w:sz w:val="22"/>
                <w:szCs w:val="22"/>
                <w:highlight w:val="none"/>
              </w:rPr>
              <w:t>-</w:t>
            </w:r>
            <w:r>
              <w:rPr>
                <w:rFonts w:hint="eastAsia" w:ascii="宋体" w:hAnsi="宋体"/>
                <w:color w:val="auto"/>
                <w:sz w:val="22"/>
                <w:szCs w:val="22"/>
                <w:highlight w:val="none"/>
                <w:lang w:val="en-US" w:eastAsia="zh-CN"/>
              </w:rPr>
              <w:t>6</w:t>
            </w:r>
            <w:r>
              <w:rPr>
                <w:rFonts w:hint="eastAsia" w:ascii="宋体" w:hAnsi="宋体"/>
                <w:color w:val="auto"/>
                <w:sz w:val="22"/>
                <w:szCs w:val="22"/>
                <w:highlight w:val="none"/>
              </w:rPr>
              <w:t>分；一般，0-</w:t>
            </w:r>
            <w:r>
              <w:rPr>
                <w:rFonts w:hint="eastAsia" w:ascii="宋体" w:hAnsi="宋体"/>
                <w:color w:val="auto"/>
                <w:sz w:val="22"/>
                <w:szCs w:val="22"/>
                <w:highlight w:val="none"/>
                <w:lang w:val="en-US" w:eastAsia="zh-CN"/>
              </w:rPr>
              <w:t>3</w:t>
            </w:r>
            <w:r>
              <w:rPr>
                <w:rFonts w:hint="eastAsia" w:ascii="宋体" w:hAnsi="宋体"/>
                <w:color w:val="auto"/>
                <w:sz w:val="22"/>
                <w:szCs w:val="22"/>
                <w:highlight w:val="none"/>
              </w:rPr>
              <w:t>分。</w:t>
            </w:r>
          </w:p>
        </w:tc>
        <w:tc>
          <w:tcPr>
            <w:tcW w:w="97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jc w:val="center"/>
        </w:trPr>
        <w:tc>
          <w:tcPr>
            <w:tcW w:w="562"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hint="eastAsia" w:ascii="宋体" w:hAnsi="宋体"/>
                <w:color w:val="auto"/>
                <w:sz w:val="22"/>
                <w:szCs w:val="22"/>
                <w:highlight w:val="none"/>
              </w:rPr>
              <w:t>3</w:t>
            </w:r>
          </w:p>
        </w:tc>
        <w:tc>
          <w:tcPr>
            <w:tcW w:w="1560"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r>
              <w:rPr>
                <w:rFonts w:ascii="宋体" w:hAnsi="宋体"/>
                <w:color w:val="auto"/>
                <w:sz w:val="22"/>
                <w:szCs w:val="22"/>
                <w:highlight w:val="none"/>
              </w:rPr>
              <w:t>项目组织实施方案</w:t>
            </w:r>
          </w:p>
        </w:tc>
        <w:tc>
          <w:tcPr>
            <w:tcW w:w="992" w:type="dxa"/>
            <w:tcBorders>
              <w:left w:val="single" w:color="auto" w:sz="4" w:space="0"/>
              <w:bottom w:val="single" w:color="auto" w:sz="4" w:space="0"/>
              <w:right w:val="single" w:color="auto" w:sz="4" w:space="0"/>
            </w:tcBorders>
            <w:vAlign w:val="center"/>
          </w:tcPr>
          <w:p>
            <w:pPr>
              <w:jc w:val="center"/>
              <w:rPr>
                <w:rFonts w:hint="eastAsia" w:ascii="宋体" w:hAnsi="宋体"/>
                <w:color w:val="auto"/>
                <w:sz w:val="22"/>
                <w:szCs w:val="22"/>
                <w:highlight w:val="none"/>
              </w:rPr>
            </w:pPr>
            <w:r>
              <w:rPr>
                <w:rFonts w:hint="eastAsia" w:ascii="宋体" w:hAnsi="宋体"/>
                <w:color w:val="auto"/>
                <w:sz w:val="22"/>
                <w:szCs w:val="22"/>
                <w:highlight w:val="none"/>
              </w:rPr>
              <w:t>0-</w:t>
            </w:r>
            <w:r>
              <w:rPr>
                <w:rFonts w:ascii="宋体" w:hAnsi="宋体"/>
                <w:color w:val="auto"/>
                <w:sz w:val="22"/>
                <w:szCs w:val="22"/>
                <w:highlight w:val="none"/>
              </w:rPr>
              <w:t>6</w:t>
            </w:r>
            <w:r>
              <w:rPr>
                <w:rFonts w:hint="eastAsia" w:ascii="宋体" w:hAnsi="宋体"/>
                <w:color w:val="auto"/>
                <w:sz w:val="22"/>
                <w:szCs w:val="22"/>
                <w:highlight w:val="none"/>
              </w:rPr>
              <w:t>分</w:t>
            </w:r>
          </w:p>
        </w:tc>
        <w:tc>
          <w:tcPr>
            <w:tcW w:w="6384"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olor w:val="auto"/>
                <w:sz w:val="22"/>
                <w:szCs w:val="22"/>
                <w:highlight w:val="none"/>
              </w:rPr>
            </w:pPr>
            <w:r>
              <w:rPr>
                <w:rFonts w:hint="eastAsia" w:ascii="宋体" w:hAnsi="宋体"/>
                <w:color w:val="auto"/>
                <w:sz w:val="22"/>
                <w:szCs w:val="22"/>
                <w:highlight w:val="none"/>
              </w:rPr>
              <w:t>根据供应商提出的项目供货计划、安全保证措施、质量保证措施、进度保证措施等，综合打分，</w:t>
            </w:r>
            <w:r>
              <w:rPr>
                <w:rFonts w:hint="eastAsia" w:ascii="宋体" w:hAnsi="宋体"/>
                <w:snapToGrid w:val="0"/>
                <w:color w:val="auto"/>
                <w:kern w:val="0"/>
                <w:sz w:val="22"/>
                <w:szCs w:val="22"/>
                <w:highlight w:val="none"/>
              </w:rPr>
              <w:t>方案/措施的表述详尽、科学、操作性强，</w:t>
            </w:r>
            <w:r>
              <w:rPr>
                <w:rFonts w:hint="eastAsia" w:ascii="宋体" w:hAnsi="宋体"/>
                <w:color w:val="auto"/>
                <w:sz w:val="22"/>
                <w:szCs w:val="22"/>
                <w:highlight w:val="none"/>
                <w:lang w:val="en-US" w:eastAsia="zh-CN"/>
              </w:rPr>
              <w:t>4</w:t>
            </w:r>
            <w:r>
              <w:rPr>
                <w:rFonts w:hint="eastAsia" w:ascii="宋体" w:hAnsi="宋体"/>
                <w:color w:val="auto"/>
                <w:sz w:val="22"/>
                <w:szCs w:val="22"/>
                <w:highlight w:val="none"/>
              </w:rPr>
              <w:t>-6</w:t>
            </w:r>
            <w:r>
              <w:rPr>
                <w:rFonts w:hint="eastAsia" w:ascii="宋体" w:hAnsi="宋体"/>
                <w:snapToGrid w:val="0"/>
                <w:color w:val="auto"/>
                <w:kern w:val="0"/>
                <w:sz w:val="22"/>
                <w:szCs w:val="22"/>
                <w:highlight w:val="none"/>
              </w:rPr>
              <w:t>分；方案/措施的表述细致度、可操作性、科学性等方面满足基本要求，</w:t>
            </w:r>
            <w:r>
              <w:rPr>
                <w:rFonts w:hint="eastAsia" w:ascii="宋体" w:hAnsi="宋体"/>
                <w:color w:val="auto"/>
                <w:sz w:val="22"/>
                <w:szCs w:val="22"/>
                <w:highlight w:val="none"/>
              </w:rPr>
              <w:t>2-4</w:t>
            </w:r>
            <w:r>
              <w:rPr>
                <w:rFonts w:hint="eastAsia" w:ascii="宋体" w:hAnsi="宋体"/>
                <w:snapToGrid w:val="0"/>
                <w:color w:val="auto"/>
                <w:kern w:val="0"/>
                <w:sz w:val="22"/>
                <w:szCs w:val="22"/>
                <w:highlight w:val="none"/>
              </w:rPr>
              <w:t>分；方案/措施的表述细致度、可操作性、科学性等方面较差，0-</w:t>
            </w:r>
            <w:r>
              <w:rPr>
                <w:rFonts w:ascii="宋体" w:hAnsi="宋体"/>
                <w:snapToGrid w:val="0"/>
                <w:color w:val="auto"/>
                <w:kern w:val="0"/>
                <w:sz w:val="22"/>
                <w:szCs w:val="22"/>
                <w:highlight w:val="none"/>
              </w:rPr>
              <w:t>2</w:t>
            </w:r>
            <w:r>
              <w:rPr>
                <w:rFonts w:hint="eastAsia" w:ascii="宋体" w:hAnsi="宋体"/>
                <w:snapToGrid w:val="0"/>
                <w:color w:val="auto"/>
                <w:kern w:val="0"/>
                <w:sz w:val="22"/>
                <w:szCs w:val="22"/>
                <w:highlight w:val="none"/>
              </w:rPr>
              <w:t>分。</w:t>
            </w:r>
          </w:p>
        </w:tc>
        <w:tc>
          <w:tcPr>
            <w:tcW w:w="977" w:type="dxa"/>
            <w:tcBorders>
              <w:left w:val="single" w:color="auto" w:sz="4" w:space="0"/>
              <w:bottom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jc w:val="center"/>
        </w:trPr>
        <w:tc>
          <w:tcPr>
            <w:tcW w:w="562"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olor w:val="auto"/>
                <w:sz w:val="22"/>
                <w:szCs w:val="22"/>
                <w:highlight w:val="none"/>
              </w:rPr>
            </w:pPr>
          </w:p>
        </w:tc>
        <w:tc>
          <w:tcPr>
            <w:tcW w:w="156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olor w:val="auto"/>
                <w:sz w:val="22"/>
                <w:szCs w:val="22"/>
                <w:highlight w:val="none"/>
              </w:rPr>
            </w:pPr>
          </w:p>
        </w:tc>
        <w:tc>
          <w:tcPr>
            <w:tcW w:w="992"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olor w:val="auto"/>
                <w:sz w:val="22"/>
                <w:szCs w:val="22"/>
                <w:highlight w:val="none"/>
              </w:rPr>
            </w:pPr>
            <w:r>
              <w:rPr>
                <w:rFonts w:hint="eastAsia" w:ascii="宋体" w:hAnsi="宋体"/>
                <w:color w:val="auto"/>
                <w:sz w:val="22"/>
                <w:szCs w:val="22"/>
                <w:highlight w:val="none"/>
              </w:rPr>
              <w:t>0-</w:t>
            </w:r>
            <w:r>
              <w:rPr>
                <w:rFonts w:ascii="宋体" w:hAnsi="宋体"/>
                <w:color w:val="auto"/>
                <w:sz w:val="22"/>
                <w:szCs w:val="22"/>
                <w:highlight w:val="none"/>
              </w:rPr>
              <w:t>6</w:t>
            </w:r>
            <w:r>
              <w:rPr>
                <w:rFonts w:hint="eastAsia" w:ascii="宋体" w:hAnsi="宋体"/>
                <w:color w:val="auto"/>
                <w:sz w:val="22"/>
                <w:szCs w:val="22"/>
                <w:highlight w:val="none"/>
              </w:rPr>
              <w:t>分</w:t>
            </w:r>
          </w:p>
        </w:tc>
        <w:tc>
          <w:tcPr>
            <w:tcW w:w="6384"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olor w:val="auto"/>
                <w:sz w:val="22"/>
                <w:szCs w:val="22"/>
                <w:highlight w:val="none"/>
              </w:rPr>
            </w:pPr>
            <w:r>
              <w:rPr>
                <w:rFonts w:hint="eastAsia" w:ascii="宋体" w:hAnsi="宋体"/>
                <w:color w:val="auto"/>
                <w:sz w:val="22"/>
                <w:szCs w:val="22"/>
                <w:highlight w:val="none"/>
              </w:rPr>
              <w:t>安装和调试、试运行方案：根据供应商提供项目产品安装和调试、试运行方案是否具体、详细、可行，有利于项目实施的情况，综合打分，</w:t>
            </w:r>
            <w:r>
              <w:rPr>
                <w:rFonts w:hint="eastAsia" w:ascii="宋体" w:hAnsi="宋体"/>
                <w:snapToGrid w:val="0"/>
                <w:color w:val="auto"/>
                <w:kern w:val="0"/>
                <w:sz w:val="22"/>
                <w:szCs w:val="22"/>
                <w:highlight w:val="none"/>
              </w:rPr>
              <w:t>方案/措施的表述详尽、科学、操作性强，</w:t>
            </w:r>
            <w:r>
              <w:rPr>
                <w:rFonts w:hint="eastAsia" w:ascii="宋体" w:hAnsi="宋体"/>
                <w:color w:val="auto"/>
                <w:sz w:val="22"/>
                <w:szCs w:val="22"/>
                <w:highlight w:val="none"/>
                <w:lang w:val="en-US" w:eastAsia="zh-CN"/>
              </w:rPr>
              <w:t>4</w:t>
            </w:r>
            <w:r>
              <w:rPr>
                <w:rFonts w:hint="eastAsia" w:ascii="宋体" w:hAnsi="宋体"/>
                <w:color w:val="auto"/>
                <w:sz w:val="22"/>
                <w:szCs w:val="22"/>
                <w:highlight w:val="none"/>
              </w:rPr>
              <w:t>-6</w:t>
            </w:r>
            <w:r>
              <w:rPr>
                <w:rFonts w:hint="eastAsia" w:ascii="宋体" w:hAnsi="宋体"/>
                <w:snapToGrid w:val="0"/>
                <w:color w:val="auto"/>
                <w:kern w:val="0"/>
                <w:sz w:val="22"/>
                <w:szCs w:val="22"/>
                <w:highlight w:val="none"/>
              </w:rPr>
              <w:t>分；方案/措施的表述细致度、可操作性、科学性等方面满足基本要求，</w:t>
            </w:r>
            <w:r>
              <w:rPr>
                <w:rFonts w:hint="eastAsia" w:ascii="宋体" w:hAnsi="宋体"/>
                <w:color w:val="auto"/>
                <w:sz w:val="22"/>
                <w:szCs w:val="22"/>
                <w:highlight w:val="none"/>
              </w:rPr>
              <w:t>2-4</w:t>
            </w:r>
            <w:r>
              <w:rPr>
                <w:rFonts w:hint="eastAsia" w:ascii="宋体" w:hAnsi="宋体"/>
                <w:snapToGrid w:val="0"/>
                <w:color w:val="auto"/>
                <w:kern w:val="0"/>
                <w:sz w:val="22"/>
                <w:szCs w:val="22"/>
                <w:highlight w:val="none"/>
              </w:rPr>
              <w:t>分；方案/措施的表述细致度、可操作性、科学性等方面较差，0-</w:t>
            </w:r>
            <w:r>
              <w:rPr>
                <w:rFonts w:ascii="宋体" w:hAnsi="宋体"/>
                <w:snapToGrid w:val="0"/>
                <w:color w:val="auto"/>
                <w:kern w:val="0"/>
                <w:sz w:val="22"/>
                <w:szCs w:val="22"/>
                <w:highlight w:val="none"/>
              </w:rPr>
              <w:t>2</w:t>
            </w:r>
            <w:r>
              <w:rPr>
                <w:rFonts w:hint="eastAsia" w:ascii="宋体" w:hAnsi="宋体"/>
                <w:snapToGrid w:val="0"/>
                <w:color w:val="auto"/>
                <w:kern w:val="0"/>
                <w:sz w:val="22"/>
                <w:szCs w:val="22"/>
                <w:highlight w:val="none"/>
              </w:rPr>
              <w:t>分</w:t>
            </w:r>
            <w:r>
              <w:rPr>
                <w:rFonts w:hint="eastAsia" w:ascii="宋体" w:hAnsi="宋体"/>
                <w:color w:val="auto"/>
                <w:sz w:val="22"/>
                <w:szCs w:val="22"/>
                <w:highlight w:val="none"/>
              </w:rPr>
              <w:t>。</w:t>
            </w:r>
          </w:p>
        </w:tc>
        <w:tc>
          <w:tcPr>
            <w:tcW w:w="977"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olor w:val="auto"/>
                <w:sz w:val="22"/>
                <w:szCs w:val="22"/>
                <w:highlight w:val="none"/>
              </w:rPr>
            </w:pPr>
            <w:r>
              <w:rPr>
                <w:rFonts w:hint="eastAsia" w:ascii="宋体" w:hAnsi="宋体"/>
                <w:color w:val="auto"/>
                <w:sz w:val="22"/>
                <w:szCs w:val="22"/>
                <w:highlight w:val="none"/>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jc w:val="center"/>
        </w:trPr>
        <w:tc>
          <w:tcPr>
            <w:tcW w:w="56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4</w:t>
            </w:r>
          </w:p>
        </w:tc>
        <w:tc>
          <w:tcPr>
            <w:tcW w:w="156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供货周期</w:t>
            </w:r>
          </w:p>
        </w:tc>
        <w:tc>
          <w:tcPr>
            <w:tcW w:w="992"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0-5分</w:t>
            </w:r>
          </w:p>
        </w:tc>
        <w:tc>
          <w:tcPr>
            <w:tcW w:w="6384" w:type="dxa"/>
            <w:tcBorders>
              <w:left w:val="single" w:color="auto" w:sz="4" w:space="0"/>
              <w:bottom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根据用户需求提出的设备制造周期在50个日历天内到达用户指定地点，能够完成，得1分；能提前5个日历天完成，得5分；否则不得分。</w:t>
            </w:r>
          </w:p>
        </w:tc>
        <w:tc>
          <w:tcPr>
            <w:tcW w:w="977" w:type="dxa"/>
            <w:tcBorders>
              <w:left w:val="single" w:color="auto" w:sz="4" w:space="0"/>
              <w:bottom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0" w:hRule="atLeast"/>
          <w:jc w:val="center"/>
        </w:trPr>
        <w:tc>
          <w:tcPr>
            <w:tcW w:w="56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5</w:t>
            </w:r>
          </w:p>
        </w:tc>
        <w:tc>
          <w:tcPr>
            <w:tcW w:w="156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项目业绩</w:t>
            </w:r>
          </w:p>
        </w:tc>
        <w:tc>
          <w:tcPr>
            <w:tcW w:w="992"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0-3分</w:t>
            </w:r>
          </w:p>
        </w:tc>
        <w:tc>
          <w:tcPr>
            <w:tcW w:w="6384" w:type="dxa"/>
            <w:tcBorders>
              <w:left w:val="single" w:color="auto" w:sz="4" w:space="0"/>
              <w:bottom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供应商2018年1月1日以来做过生物制药相关项目业绩的，通过设备制造、安装调试、验证验收。每提供1个有效业绩得1分，最高得3分。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注：证明文件以合同和验收证明为准（缺一不可）。</w:t>
            </w:r>
          </w:p>
        </w:tc>
        <w:tc>
          <w:tcPr>
            <w:tcW w:w="977" w:type="dxa"/>
            <w:tcBorders>
              <w:left w:val="single" w:color="auto" w:sz="4" w:space="0"/>
              <w:bottom w:val="single" w:color="auto" w:sz="4" w:space="0"/>
            </w:tcBorders>
            <w:vAlign w:val="center"/>
          </w:tcPr>
          <w:p>
            <w:pPr>
              <w:jc w:val="center"/>
              <w:rPr>
                <w:rFonts w:hint="eastAsia" w:ascii="宋体" w:hAnsi="宋体"/>
                <w:color w:val="auto"/>
                <w:sz w:val="22"/>
                <w:szCs w:val="22"/>
                <w:highlight w:val="none"/>
              </w:rPr>
            </w:pPr>
            <w:r>
              <w:rPr>
                <w:rFonts w:hint="eastAsia" w:ascii="宋体" w:hAnsi="宋体"/>
                <w:color w:val="auto"/>
                <w:sz w:val="22"/>
                <w:szCs w:val="22"/>
                <w:highlight w:val="none"/>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jc w:val="center"/>
        </w:trPr>
        <w:tc>
          <w:tcPr>
            <w:tcW w:w="56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olor w:val="auto"/>
                <w:sz w:val="22"/>
                <w:szCs w:val="22"/>
                <w:highlight w:val="none"/>
                <w:lang w:val="en-US" w:eastAsia="zh-CN"/>
              </w:rPr>
            </w:pPr>
            <w:r>
              <w:rPr>
                <w:rFonts w:hint="eastAsia" w:ascii="宋体" w:hAnsi="宋体"/>
                <w:color w:val="auto"/>
                <w:sz w:val="22"/>
                <w:szCs w:val="22"/>
                <w:highlight w:val="none"/>
                <w:lang w:val="en-US" w:eastAsia="zh-CN"/>
              </w:rPr>
              <w:t>6</w:t>
            </w:r>
          </w:p>
        </w:tc>
        <w:tc>
          <w:tcPr>
            <w:tcW w:w="156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拟派项目团队情况</w:t>
            </w:r>
          </w:p>
        </w:tc>
        <w:tc>
          <w:tcPr>
            <w:tcW w:w="992" w:type="dxa"/>
            <w:tcBorders>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2"/>
                <w:szCs w:val="22"/>
                <w:highlight w:val="none"/>
                <w:lang w:val="en-US" w:eastAsia="zh-CN"/>
              </w:rPr>
            </w:pPr>
            <w:r>
              <w:rPr>
                <w:rFonts w:hint="eastAsia" w:ascii="宋体" w:hAnsi="宋体"/>
                <w:color w:val="auto"/>
                <w:sz w:val="22"/>
                <w:szCs w:val="22"/>
                <w:highlight w:val="none"/>
              </w:rPr>
              <w:t>0-3分</w:t>
            </w:r>
          </w:p>
        </w:tc>
        <w:tc>
          <w:tcPr>
            <w:tcW w:w="6384" w:type="dxa"/>
            <w:tcBorders>
              <w:left w:val="single" w:color="auto" w:sz="4" w:space="0"/>
              <w:bottom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项目团队专业齐全（包括但不限于工艺制图、安装调试、验证等），配置合理，2-3分；配置一般，1-2分；配置不合理，0-1分。</w:t>
            </w:r>
          </w:p>
        </w:tc>
        <w:tc>
          <w:tcPr>
            <w:tcW w:w="977" w:type="dxa"/>
            <w:tcBorders>
              <w:left w:val="single" w:color="auto" w:sz="4" w:space="0"/>
              <w:bottom w:val="single" w:color="auto" w:sz="4" w:space="0"/>
            </w:tcBorders>
            <w:vAlign w:val="center"/>
          </w:tcPr>
          <w:p>
            <w:pPr>
              <w:jc w:val="center"/>
              <w:rPr>
                <w:rFonts w:hint="eastAsia" w:ascii="宋体" w:hAnsi="宋体"/>
                <w:color w:val="auto"/>
                <w:sz w:val="22"/>
                <w:szCs w:val="22"/>
                <w:highlight w:val="none"/>
              </w:rPr>
            </w:pPr>
            <w:r>
              <w:rPr>
                <w:rFonts w:hint="eastAsia" w:ascii="宋体" w:hAnsi="宋体"/>
                <w:color w:val="auto"/>
                <w:sz w:val="22"/>
                <w:szCs w:val="22"/>
                <w:highlight w:val="none"/>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56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olor w:val="auto"/>
                <w:sz w:val="22"/>
                <w:szCs w:val="22"/>
                <w:highlight w:val="none"/>
                <w:lang w:val="en-US" w:eastAsia="zh-CN"/>
              </w:rPr>
            </w:pPr>
            <w:r>
              <w:rPr>
                <w:rFonts w:hint="eastAsia" w:ascii="宋体" w:hAnsi="宋体"/>
                <w:color w:val="auto"/>
                <w:sz w:val="22"/>
                <w:szCs w:val="22"/>
                <w:highlight w:val="none"/>
                <w:lang w:val="en-US" w:eastAsia="zh-CN"/>
              </w:rPr>
              <w:t>7</w:t>
            </w:r>
          </w:p>
        </w:tc>
        <w:tc>
          <w:tcPr>
            <w:tcW w:w="156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培训计划</w:t>
            </w:r>
          </w:p>
        </w:tc>
        <w:tc>
          <w:tcPr>
            <w:tcW w:w="992"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0-3分</w:t>
            </w:r>
          </w:p>
        </w:tc>
        <w:tc>
          <w:tcPr>
            <w:tcW w:w="6384"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olor w:val="auto"/>
                <w:sz w:val="22"/>
                <w:szCs w:val="22"/>
                <w:highlight w:val="none"/>
                <w:lang w:val="en-US" w:eastAsia="zh-CN"/>
              </w:rPr>
            </w:pPr>
            <w:r>
              <w:rPr>
                <w:rFonts w:hint="eastAsia" w:ascii="宋体" w:hAnsi="宋体"/>
                <w:color w:val="auto"/>
                <w:sz w:val="22"/>
                <w:szCs w:val="22"/>
                <w:highlight w:val="none"/>
              </w:rPr>
              <w:t>根据供应商针对项目制定的培训时间、内容、频次、培训老师资质、考核结果进行打分。承诺培训时间充分、内容全面、培训老师经验丰富（应有相关项目经验证明）并能多次（不少于3次）安排培训、培训考核通过，</w:t>
            </w:r>
            <w:r>
              <w:rPr>
                <w:rFonts w:hint="eastAsia" w:ascii="宋体" w:hAnsi="宋体"/>
                <w:color w:val="auto"/>
                <w:sz w:val="22"/>
                <w:szCs w:val="22"/>
                <w:highlight w:val="none"/>
                <w:lang w:val="en-US" w:eastAsia="zh-CN"/>
              </w:rPr>
              <w:t>2-</w:t>
            </w:r>
            <w:r>
              <w:rPr>
                <w:rFonts w:hint="eastAsia" w:ascii="宋体" w:hAnsi="宋体"/>
                <w:color w:val="auto"/>
                <w:sz w:val="22"/>
                <w:szCs w:val="22"/>
                <w:highlight w:val="none"/>
              </w:rPr>
              <w:t>3分；承诺培训时间紧凑、内容简易、培训老师新人、培训次数不少于2次、培训考核通过，1-2分；承诺培训时间紧凑、内容简易、培训老师新人、培训次数少于2次、培训考核通过，0-1分。</w:t>
            </w:r>
          </w:p>
        </w:tc>
        <w:tc>
          <w:tcPr>
            <w:tcW w:w="977" w:type="dxa"/>
            <w:tcBorders>
              <w:left w:val="single" w:color="auto" w:sz="4" w:space="0"/>
              <w:bottom w:val="single" w:color="auto" w:sz="4" w:space="0"/>
            </w:tcBorders>
            <w:vAlign w:val="center"/>
          </w:tcPr>
          <w:p>
            <w:pPr>
              <w:jc w:val="center"/>
              <w:rPr>
                <w:rFonts w:hint="eastAsia" w:ascii="宋体" w:hAnsi="宋体"/>
                <w:color w:val="auto"/>
                <w:sz w:val="22"/>
                <w:szCs w:val="22"/>
                <w:highlight w:val="none"/>
              </w:rPr>
            </w:pPr>
            <w:r>
              <w:rPr>
                <w:rFonts w:hint="eastAsia" w:ascii="宋体" w:hAnsi="宋体"/>
                <w:color w:val="auto"/>
                <w:sz w:val="22"/>
                <w:szCs w:val="22"/>
                <w:highlight w:val="none"/>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5" w:hRule="atLeast"/>
          <w:jc w:val="center"/>
        </w:trPr>
        <w:tc>
          <w:tcPr>
            <w:tcW w:w="56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olor w:val="auto"/>
                <w:sz w:val="22"/>
                <w:szCs w:val="22"/>
                <w:highlight w:val="none"/>
                <w:lang w:val="en-US" w:eastAsia="zh-CN"/>
              </w:rPr>
            </w:pPr>
            <w:r>
              <w:rPr>
                <w:rFonts w:hint="eastAsia" w:ascii="宋体" w:hAnsi="宋体"/>
                <w:color w:val="auto"/>
                <w:sz w:val="22"/>
                <w:szCs w:val="22"/>
                <w:highlight w:val="none"/>
                <w:lang w:val="en-US" w:eastAsia="zh-CN"/>
              </w:rPr>
              <w:t>8</w:t>
            </w:r>
          </w:p>
        </w:tc>
        <w:tc>
          <w:tcPr>
            <w:tcW w:w="1560" w:type="dxa"/>
            <w:tcBorders>
              <w:left w:val="single" w:color="auto" w:sz="4" w:space="0"/>
              <w:right w:val="single" w:color="auto" w:sz="4" w:space="0"/>
            </w:tcBorders>
            <w:vAlign w:val="center"/>
          </w:tcPr>
          <w:p>
            <w:pPr>
              <w:jc w:val="center"/>
              <w:rPr>
                <w:rFonts w:hint="eastAsia" w:ascii="宋体" w:hAnsi="宋体" w:eastAsia="宋体"/>
                <w:color w:val="auto"/>
                <w:sz w:val="22"/>
                <w:szCs w:val="22"/>
                <w:highlight w:val="none"/>
                <w:lang w:val="en-US" w:eastAsia="zh-CN"/>
              </w:rPr>
            </w:pPr>
            <w:r>
              <w:rPr>
                <w:rFonts w:hint="eastAsia" w:ascii="宋体" w:hAnsi="宋体"/>
                <w:color w:val="auto"/>
                <w:sz w:val="22"/>
                <w:szCs w:val="22"/>
                <w:highlight w:val="none"/>
              </w:rPr>
              <w:t>售后及维修服务能力</w:t>
            </w:r>
          </w:p>
        </w:tc>
        <w:tc>
          <w:tcPr>
            <w:tcW w:w="992" w:type="dxa"/>
            <w:tcBorders>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2"/>
                <w:szCs w:val="22"/>
                <w:highlight w:val="none"/>
                <w:lang w:val="en-US" w:eastAsia="zh-CN"/>
              </w:rPr>
            </w:pPr>
            <w:r>
              <w:rPr>
                <w:rFonts w:ascii="宋体" w:hAnsi="宋体"/>
                <w:color w:val="auto"/>
                <w:sz w:val="22"/>
                <w:szCs w:val="22"/>
                <w:highlight w:val="none"/>
              </w:rPr>
              <w:t>0-</w:t>
            </w:r>
            <w:r>
              <w:rPr>
                <w:rFonts w:hint="eastAsia" w:ascii="宋体" w:hAnsi="宋体"/>
                <w:color w:val="auto"/>
                <w:sz w:val="22"/>
                <w:szCs w:val="22"/>
                <w:highlight w:val="none"/>
              </w:rPr>
              <w:t>6分</w:t>
            </w:r>
          </w:p>
        </w:tc>
        <w:tc>
          <w:tcPr>
            <w:tcW w:w="6384"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olor w:val="auto"/>
                <w:sz w:val="22"/>
                <w:szCs w:val="22"/>
                <w:highlight w:val="none"/>
              </w:rPr>
            </w:pPr>
            <w:r>
              <w:rPr>
                <w:rFonts w:hint="eastAsia" w:ascii="宋体" w:hAnsi="宋体"/>
                <w:color w:val="auto"/>
                <w:sz w:val="22"/>
                <w:szCs w:val="22"/>
                <w:highlight w:val="none"/>
              </w:rPr>
              <w:t>1. 根据供应商针对项目提供的售后培训、技术支持及售后服务计划完整、高效，能确保项目后期正常有序运行，综合评价打分。售后服务完善，免费提供</w:t>
            </w:r>
            <w:r>
              <w:rPr>
                <w:rFonts w:ascii="宋体" w:hAnsi="宋体"/>
                <w:color w:val="auto"/>
                <w:sz w:val="22"/>
                <w:szCs w:val="22"/>
                <w:highlight w:val="none"/>
              </w:rPr>
              <w:t>1</w:t>
            </w:r>
            <w:r>
              <w:rPr>
                <w:rFonts w:hint="eastAsia" w:ascii="宋体" w:hAnsi="宋体"/>
                <w:color w:val="auto"/>
                <w:sz w:val="22"/>
                <w:szCs w:val="22"/>
                <w:highlight w:val="none"/>
              </w:rPr>
              <w:t>年维修、维护和保养，并赠送两套（年）备品、备件和易损件，耗材</w:t>
            </w:r>
            <w:r>
              <w:rPr>
                <w:rFonts w:hint="eastAsia" w:ascii="宋体" w:hAnsi="宋体"/>
                <w:b/>
                <w:bCs/>
                <w:color w:val="auto"/>
                <w:sz w:val="22"/>
                <w:szCs w:val="22"/>
                <w:highlight w:val="none"/>
              </w:rPr>
              <w:t>两套及以上</w:t>
            </w:r>
            <w:r>
              <w:rPr>
                <w:rFonts w:hint="eastAsia" w:ascii="宋体" w:hAnsi="宋体"/>
                <w:color w:val="auto"/>
                <w:sz w:val="22"/>
                <w:szCs w:val="22"/>
                <w:highlight w:val="none"/>
              </w:rPr>
              <w:t>，得3-4分；售后服务较完善，免费提供1年维修、维护和保养，并赠送两套（年）备品、备件和易损件，耗材两套，得2-3分；售后服务不完善，免费提供1年维修、维护和保养，但不能赠送两套（年）备品、备件和易损件，耗材两套，得</w:t>
            </w:r>
            <w:r>
              <w:rPr>
                <w:rFonts w:hint="eastAsia" w:ascii="宋体" w:hAnsi="宋体"/>
                <w:color w:val="auto"/>
                <w:sz w:val="22"/>
                <w:szCs w:val="22"/>
                <w:highlight w:val="none"/>
                <w:lang w:val="en-US" w:eastAsia="zh-CN"/>
              </w:rPr>
              <w:t>0</w:t>
            </w:r>
            <w:r>
              <w:rPr>
                <w:rFonts w:hint="eastAsia" w:ascii="宋体" w:hAnsi="宋体"/>
                <w:color w:val="auto"/>
                <w:sz w:val="22"/>
                <w:szCs w:val="22"/>
                <w:highlight w:val="none"/>
              </w:rPr>
              <w:t>-2分；售后服务不完善，也无其他保养、备件承诺，不得分。</w:t>
            </w:r>
            <w:r>
              <w:rPr>
                <w:rFonts w:hint="eastAsia" w:ascii="宋体" w:hAnsi="宋体"/>
                <w:b/>
                <w:bCs/>
                <w:color w:val="auto"/>
                <w:sz w:val="22"/>
                <w:szCs w:val="22"/>
                <w:highlight w:val="none"/>
              </w:rPr>
              <w:t>备品备件、耗材清单作为合同附件，在标书里未列出详细清单，不得分。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olor w:val="auto"/>
                <w:sz w:val="22"/>
                <w:szCs w:val="22"/>
                <w:highlight w:val="none"/>
              </w:rPr>
            </w:pPr>
            <w:r>
              <w:rPr>
                <w:rFonts w:hint="eastAsia" w:ascii="宋体" w:hAnsi="宋体"/>
                <w:color w:val="auto"/>
                <w:sz w:val="22"/>
                <w:szCs w:val="22"/>
                <w:highlight w:val="none"/>
              </w:rPr>
              <w:t>2.根据供应商设立的售后服务网点地址能否提供快速便捷的服务，是否能及时、安全的提供服务，综合评价打分。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olor w:val="auto"/>
                <w:sz w:val="22"/>
                <w:szCs w:val="22"/>
                <w:highlight w:val="none"/>
              </w:rPr>
            </w:pPr>
            <w:r>
              <w:rPr>
                <w:rFonts w:hint="eastAsia" w:ascii="宋体" w:hAnsi="宋体"/>
                <w:color w:val="auto"/>
                <w:sz w:val="22"/>
                <w:szCs w:val="22"/>
                <w:highlight w:val="none"/>
              </w:rPr>
              <w:t>售后服务便捷，1.2-2分，售后服务较便捷，0.6-1.2分；售后服务不便捷，0-0.6分。</w:t>
            </w:r>
          </w:p>
        </w:tc>
        <w:tc>
          <w:tcPr>
            <w:tcW w:w="977" w:type="dxa"/>
            <w:tcBorders>
              <w:left w:val="single" w:color="auto" w:sz="4" w:space="0"/>
              <w:bottom w:val="single" w:color="auto" w:sz="4" w:space="0"/>
            </w:tcBorders>
            <w:vAlign w:val="center"/>
          </w:tcPr>
          <w:p>
            <w:pPr>
              <w:jc w:val="center"/>
              <w:rPr>
                <w:rFonts w:hint="eastAsia" w:ascii="宋体" w:hAnsi="宋体"/>
                <w:color w:val="auto"/>
                <w:sz w:val="22"/>
                <w:szCs w:val="22"/>
                <w:highlight w:val="none"/>
              </w:rPr>
            </w:pPr>
            <w:r>
              <w:rPr>
                <w:rFonts w:hint="eastAsia" w:ascii="宋体" w:hAnsi="宋体"/>
                <w:color w:val="auto"/>
                <w:sz w:val="22"/>
                <w:szCs w:val="22"/>
                <w:highlight w:val="none"/>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10475" w:type="dxa"/>
            <w:gridSpan w:val="5"/>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napToGrid w:val="0"/>
                <w:color w:val="auto"/>
                <w:kern w:val="0"/>
                <w:sz w:val="22"/>
                <w:szCs w:val="22"/>
                <w:highlight w:val="none"/>
              </w:rPr>
            </w:pPr>
            <w:r>
              <w:rPr>
                <w:rFonts w:hint="eastAsia" w:ascii="宋体" w:hAnsi="宋体"/>
                <w:snapToGrid w:val="0"/>
                <w:color w:val="auto"/>
                <w:kern w:val="0"/>
                <w:sz w:val="22"/>
                <w:szCs w:val="22"/>
                <w:highlight w:val="none"/>
              </w:rPr>
              <w:t>说明：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napToGrid w:val="0"/>
                <w:color w:val="auto"/>
                <w:kern w:val="0"/>
                <w:sz w:val="22"/>
                <w:szCs w:val="22"/>
                <w:highlight w:val="none"/>
              </w:rPr>
            </w:pPr>
            <w:r>
              <w:rPr>
                <w:rFonts w:hint="eastAsia" w:ascii="宋体" w:hAnsi="宋体"/>
                <w:snapToGrid w:val="0"/>
                <w:color w:val="auto"/>
                <w:kern w:val="0"/>
                <w:sz w:val="22"/>
                <w:szCs w:val="22"/>
                <w:highlight w:val="none"/>
              </w:rPr>
              <w:t>（</w:t>
            </w:r>
            <w:r>
              <w:rPr>
                <w:rFonts w:ascii="宋体" w:hAnsi="宋体"/>
                <w:snapToGrid w:val="0"/>
                <w:color w:val="auto"/>
                <w:kern w:val="0"/>
                <w:sz w:val="22"/>
                <w:szCs w:val="22"/>
                <w:highlight w:val="none"/>
              </w:rPr>
              <w:t>1</w:t>
            </w:r>
            <w:r>
              <w:rPr>
                <w:rFonts w:hint="eastAsia" w:ascii="宋体" w:hAnsi="宋体"/>
                <w:snapToGrid w:val="0"/>
                <w:color w:val="auto"/>
                <w:kern w:val="0"/>
                <w:sz w:val="22"/>
                <w:szCs w:val="22"/>
                <w:highlight w:val="none"/>
              </w:rPr>
              <w:t>）商务技术文件未提供评分项目内容的，该项按零分处理，且不受最低分值限制。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napToGrid w:val="0"/>
                <w:color w:val="auto"/>
                <w:kern w:val="0"/>
                <w:sz w:val="22"/>
                <w:szCs w:val="22"/>
                <w:highlight w:val="none"/>
              </w:rPr>
            </w:pPr>
            <w:r>
              <w:rPr>
                <w:rFonts w:hint="eastAsia" w:ascii="宋体" w:hAnsi="宋体"/>
                <w:snapToGrid w:val="0"/>
                <w:color w:val="auto"/>
                <w:kern w:val="0"/>
                <w:sz w:val="22"/>
                <w:szCs w:val="22"/>
                <w:highlight w:val="none"/>
              </w:rPr>
              <w:t>（</w:t>
            </w:r>
            <w:r>
              <w:rPr>
                <w:rFonts w:ascii="宋体" w:hAnsi="宋体"/>
                <w:snapToGrid w:val="0"/>
                <w:color w:val="auto"/>
                <w:kern w:val="0"/>
                <w:sz w:val="22"/>
                <w:szCs w:val="22"/>
                <w:highlight w:val="none"/>
              </w:rPr>
              <w:t>2</w:t>
            </w:r>
            <w:r>
              <w:rPr>
                <w:rFonts w:hint="eastAsia" w:ascii="宋体" w:hAnsi="宋体"/>
                <w:snapToGrid w:val="0"/>
                <w:color w:val="auto"/>
                <w:kern w:val="0"/>
                <w:sz w:val="22"/>
                <w:szCs w:val="22"/>
                <w:highlight w:val="none"/>
              </w:rPr>
              <w:t>）商务技术文件中提供的证明材料无法辨认的，按未提供处理。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napToGrid w:val="0"/>
                <w:color w:val="auto"/>
                <w:kern w:val="0"/>
                <w:sz w:val="22"/>
                <w:szCs w:val="22"/>
                <w:highlight w:val="none"/>
              </w:rPr>
            </w:pPr>
            <w:r>
              <w:rPr>
                <w:rFonts w:hint="eastAsia" w:ascii="宋体" w:hAnsi="宋体"/>
                <w:snapToGrid w:val="0"/>
                <w:color w:val="auto"/>
                <w:kern w:val="0"/>
                <w:sz w:val="22"/>
                <w:szCs w:val="22"/>
                <w:highlight w:val="none"/>
              </w:rPr>
              <w:t>（</w:t>
            </w:r>
            <w:r>
              <w:rPr>
                <w:rFonts w:ascii="宋体" w:hAnsi="宋体"/>
                <w:snapToGrid w:val="0"/>
                <w:color w:val="auto"/>
                <w:kern w:val="0"/>
                <w:sz w:val="22"/>
                <w:szCs w:val="22"/>
                <w:highlight w:val="none"/>
              </w:rPr>
              <w:t>3</w:t>
            </w:r>
            <w:r>
              <w:rPr>
                <w:rFonts w:hint="eastAsia" w:ascii="宋体" w:hAnsi="宋体"/>
                <w:snapToGrid w:val="0"/>
                <w:color w:val="auto"/>
                <w:kern w:val="0"/>
                <w:sz w:val="22"/>
                <w:szCs w:val="22"/>
                <w:highlight w:val="none"/>
              </w:rPr>
              <w:t>）供应商需根据磋商文件的要求进行制作，内容简洁明了，编排合理有序，与采购内容无关或不符合磋商文件要求的资料不要编入商务技术文件，建议页码控制在</w:t>
            </w:r>
            <w:r>
              <w:rPr>
                <w:rFonts w:ascii="宋体" w:hAnsi="宋体"/>
                <w:snapToGrid w:val="0"/>
                <w:color w:val="auto"/>
                <w:kern w:val="0"/>
                <w:sz w:val="22"/>
                <w:szCs w:val="22"/>
                <w:highlight w:val="none"/>
              </w:rPr>
              <w:t>400</w:t>
            </w:r>
            <w:r>
              <w:rPr>
                <w:rFonts w:hint="eastAsia" w:ascii="宋体" w:hAnsi="宋体"/>
                <w:snapToGrid w:val="0"/>
                <w:color w:val="auto"/>
                <w:kern w:val="0"/>
                <w:sz w:val="22"/>
                <w:szCs w:val="22"/>
                <w:highlight w:val="none"/>
              </w:rPr>
              <w:t>页以下。</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2"/>
          <w:highlight w:val="none"/>
        </w:rPr>
      </w:pPr>
      <w:r>
        <w:rPr>
          <w:rFonts w:ascii="宋体" w:hAnsi="宋体"/>
          <w:color w:val="auto"/>
          <w:sz w:val="22"/>
          <w:highlight w:val="none"/>
        </w:rPr>
        <w:t>2、</w:t>
      </w:r>
      <w:r>
        <w:rPr>
          <w:rFonts w:hint="eastAsia" w:ascii="宋体" w:hAnsi="宋体"/>
          <w:color w:val="auto"/>
          <w:sz w:val="22"/>
          <w:highlight w:val="none"/>
        </w:rPr>
        <w:t>报价分</w:t>
      </w:r>
      <w:r>
        <w:rPr>
          <w:rFonts w:ascii="宋体" w:hAnsi="宋体"/>
          <w:color w:val="auto"/>
          <w:sz w:val="22"/>
          <w:highlight w:val="none"/>
        </w:rPr>
        <w:t>（30分）：</w:t>
      </w:r>
    </w:p>
    <w:p>
      <w:pPr>
        <w:keepNext w:val="0"/>
        <w:keepLines w:val="0"/>
        <w:pageBreakBefore w:val="0"/>
        <w:widowControl w:val="0"/>
        <w:kinsoku/>
        <w:wordWrap/>
        <w:overflowPunct/>
        <w:topLinePunct w:val="0"/>
        <w:autoSpaceDE/>
        <w:autoSpaceDN/>
        <w:bidi w:val="0"/>
        <w:adjustRightInd/>
        <w:snapToGrid/>
        <w:spacing w:line="460" w:lineRule="exact"/>
        <w:ind w:left="328" w:leftChars="156"/>
        <w:textAlignment w:val="auto"/>
        <w:rPr>
          <w:rFonts w:ascii="宋体" w:hAnsi="宋体"/>
          <w:color w:val="auto"/>
          <w:sz w:val="22"/>
          <w:szCs w:val="22"/>
          <w:highlight w:val="none"/>
        </w:rPr>
      </w:pPr>
      <w:r>
        <w:rPr>
          <w:rFonts w:hint="eastAsia" w:ascii="宋体" w:hAnsi="宋体"/>
          <w:color w:val="auto"/>
          <w:sz w:val="22"/>
          <w:szCs w:val="22"/>
          <w:highlight w:val="none"/>
        </w:rPr>
        <w:t>报价分</w:t>
      </w:r>
      <w:r>
        <w:rPr>
          <w:rFonts w:ascii="宋体" w:hAnsi="宋体"/>
          <w:color w:val="auto"/>
          <w:sz w:val="22"/>
          <w:szCs w:val="22"/>
          <w:highlight w:val="none"/>
        </w:rPr>
        <w:t>采用低价优先法计算，即满足磋商文件要求且最后报价最低的供应商的价格为磋商基准价，其</w:t>
      </w:r>
      <w:r>
        <w:rPr>
          <w:rFonts w:hint="eastAsia" w:ascii="宋体" w:hAnsi="宋体"/>
          <w:color w:val="auto"/>
          <w:sz w:val="22"/>
          <w:szCs w:val="22"/>
          <w:highlight w:val="none"/>
        </w:rPr>
        <w:t>报价分</w:t>
      </w:r>
      <w:r>
        <w:rPr>
          <w:rFonts w:ascii="宋体" w:hAnsi="宋体"/>
          <w:color w:val="auto"/>
          <w:sz w:val="22"/>
          <w:szCs w:val="22"/>
          <w:highlight w:val="none"/>
        </w:rPr>
        <w:t>为满分。其他供应商的</w:t>
      </w:r>
      <w:r>
        <w:rPr>
          <w:rFonts w:hint="eastAsia" w:ascii="宋体" w:hAnsi="宋体"/>
          <w:color w:val="auto"/>
          <w:sz w:val="22"/>
          <w:szCs w:val="22"/>
          <w:highlight w:val="none"/>
        </w:rPr>
        <w:t>报价分</w:t>
      </w:r>
      <w:r>
        <w:rPr>
          <w:rFonts w:ascii="宋体" w:hAnsi="宋体"/>
          <w:color w:val="auto"/>
          <w:sz w:val="22"/>
          <w:szCs w:val="22"/>
          <w:highlight w:val="none"/>
        </w:rPr>
        <w:t>统一按照下列公式计算：</w:t>
      </w:r>
      <w:r>
        <w:rPr>
          <w:rFonts w:hint="eastAsia" w:ascii="宋体" w:hAnsi="宋体"/>
          <w:color w:val="auto"/>
          <w:sz w:val="22"/>
          <w:szCs w:val="22"/>
          <w:highlight w:val="none"/>
        </w:rPr>
        <w:t>报价</w:t>
      </w:r>
      <w:r>
        <w:rPr>
          <w:rFonts w:ascii="宋体" w:hAnsi="宋体"/>
          <w:color w:val="auto"/>
          <w:sz w:val="22"/>
          <w:szCs w:val="22"/>
          <w:highlight w:val="none"/>
        </w:rPr>
        <w:t>得分=（磋商基准价／最后磋商报价）×价格权值×100</w:t>
      </w:r>
      <w:r>
        <w:rPr>
          <w:rFonts w:hint="eastAsia" w:ascii="宋体" w:hAnsi="宋体"/>
          <w:color w:val="auto"/>
          <w:sz w:val="22"/>
          <w:szCs w:val="22"/>
          <w:highlight w:val="none"/>
        </w:rPr>
        <w:t>（保留二位小数，第三位四舍五入）</w:t>
      </w:r>
      <w:r>
        <w:rPr>
          <w:rFonts w:ascii="宋体" w:hAnsi="宋体"/>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2"/>
          <w:highlight w:val="none"/>
        </w:rPr>
      </w:pPr>
      <w:r>
        <w:rPr>
          <w:rFonts w:ascii="宋体" w:hAnsi="宋体"/>
          <w:color w:val="auto"/>
          <w:sz w:val="22"/>
          <w:highlight w:val="none"/>
        </w:rPr>
        <w:t>3、有效供应商的综合得分为商务技术分和</w:t>
      </w:r>
      <w:r>
        <w:rPr>
          <w:rFonts w:hint="eastAsia" w:ascii="宋体" w:hAnsi="宋体"/>
          <w:color w:val="auto"/>
          <w:sz w:val="22"/>
          <w:szCs w:val="22"/>
          <w:highlight w:val="none"/>
        </w:rPr>
        <w:t>报价分</w:t>
      </w:r>
      <w:r>
        <w:rPr>
          <w:rFonts w:ascii="宋体" w:hAnsi="宋体"/>
          <w:color w:val="auto"/>
          <w:sz w:val="22"/>
          <w:highlight w:val="none"/>
        </w:rPr>
        <w:t>的总和。</w:t>
      </w:r>
    </w:p>
    <w:p>
      <w:pPr>
        <w:keepNext w:val="0"/>
        <w:keepLines w:val="0"/>
        <w:pageBreakBefore w:val="0"/>
        <w:widowControl w:val="0"/>
        <w:kinsoku/>
        <w:wordWrap/>
        <w:overflowPunct/>
        <w:topLinePunct w:val="0"/>
        <w:autoSpaceDE/>
        <w:autoSpaceDN/>
        <w:bidi w:val="0"/>
        <w:adjustRightInd/>
        <w:snapToGrid/>
        <w:spacing w:line="460" w:lineRule="exact"/>
        <w:ind w:left="440" w:hanging="440" w:hangingChars="200"/>
        <w:textAlignment w:val="auto"/>
        <w:rPr>
          <w:rFonts w:ascii="宋体" w:hAnsi="宋体"/>
          <w:color w:val="auto"/>
          <w:sz w:val="22"/>
          <w:highlight w:val="none"/>
        </w:rPr>
      </w:pPr>
      <w:r>
        <w:rPr>
          <w:rFonts w:ascii="宋体" w:hAnsi="宋体"/>
          <w:color w:val="auto"/>
          <w:sz w:val="22"/>
          <w:highlight w:val="none"/>
        </w:rPr>
        <w:t>4、磋商小组</w:t>
      </w:r>
      <w:r>
        <w:rPr>
          <w:rFonts w:hint="eastAsia" w:ascii="宋体" w:hAnsi="宋体"/>
          <w:color w:val="auto"/>
          <w:sz w:val="22"/>
          <w:szCs w:val="22"/>
          <w:highlight w:val="none"/>
        </w:rPr>
        <w:t>在综合评审后，按评审办法向采购人推荐中标候选人，并提交评审报告。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b/>
          <w:color w:val="auto"/>
          <w:sz w:val="22"/>
          <w:highlight w:val="none"/>
        </w:rPr>
      </w:pPr>
      <w:bookmarkStart w:id="270" w:name="_Toc221356903"/>
      <w:bookmarkStart w:id="271" w:name="_Toc221356966"/>
      <w:r>
        <w:rPr>
          <w:rFonts w:hint="eastAsia" w:ascii="宋体" w:hAnsi="宋体"/>
          <w:b/>
          <w:color w:val="auto"/>
          <w:sz w:val="22"/>
          <w:highlight w:val="none"/>
        </w:rPr>
        <w:t>五</w:t>
      </w:r>
      <w:r>
        <w:rPr>
          <w:rFonts w:ascii="宋体" w:hAnsi="宋体"/>
          <w:b/>
          <w:color w:val="auto"/>
          <w:sz w:val="22"/>
          <w:highlight w:val="none"/>
        </w:rPr>
        <w:t>、定标办法</w:t>
      </w:r>
      <w:bookmarkEnd w:id="270"/>
      <w:bookmarkEnd w:id="271"/>
    </w:p>
    <w:p>
      <w:pPr>
        <w:keepNext w:val="0"/>
        <w:keepLines w:val="0"/>
        <w:pageBreakBefore w:val="0"/>
        <w:widowControl w:val="0"/>
        <w:kinsoku/>
        <w:wordWrap/>
        <w:overflowPunct/>
        <w:topLinePunct w:val="0"/>
        <w:autoSpaceDE/>
        <w:autoSpaceDN/>
        <w:bidi w:val="0"/>
        <w:adjustRightInd/>
        <w:snapToGrid/>
        <w:spacing w:line="460" w:lineRule="exact"/>
        <w:ind w:left="0" w:leftChars="0" w:firstLine="440" w:firstLineChars="200"/>
        <w:textAlignment w:val="auto"/>
        <w:rPr>
          <w:rFonts w:ascii="宋体" w:hAnsi="宋体"/>
          <w:color w:val="auto"/>
          <w:sz w:val="22"/>
          <w:szCs w:val="22"/>
          <w:highlight w:val="none"/>
        </w:rPr>
      </w:pPr>
      <w:r>
        <w:rPr>
          <w:rFonts w:ascii="宋体" w:hAnsi="宋体"/>
          <w:color w:val="auto"/>
          <w:sz w:val="22"/>
          <w:szCs w:val="22"/>
          <w:highlight w:val="none"/>
        </w:rPr>
        <w:t>本次</w:t>
      </w:r>
      <w:r>
        <w:rPr>
          <w:rFonts w:hint="eastAsia" w:ascii="宋体" w:hAnsi="宋体"/>
          <w:color w:val="auto"/>
          <w:sz w:val="22"/>
          <w:szCs w:val="22"/>
          <w:highlight w:val="none"/>
        </w:rPr>
        <w:t>采购</w:t>
      </w:r>
      <w:r>
        <w:rPr>
          <w:rFonts w:ascii="宋体" w:hAnsi="宋体"/>
          <w:color w:val="auto"/>
          <w:sz w:val="22"/>
          <w:szCs w:val="22"/>
          <w:highlight w:val="none"/>
        </w:rPr>
        <w:t>由磋商小组</w:t>
      </w:r>
      <w:r>
        <w:rPr>
          <w:rFonts w:hint="eastAsia" w:ascii="宋体" w:hAnsi="宋体"/>
          <w:color w:val="auto"/>
          <w:sz w:val="22"/>
          <w:szCs w:val="22"/>
          <w:highlight w:val="none"/>
        </w:rPr>
        <w:t>推荐</w:t>
      </w:r>
      <w:r>
        <w:rPr>
          <w:rFonts w:ascii="宋体" w:hAnsi="宋体"/>
          <w:color w:val="auto"/>
          <w:sz w:val="22"/>
          <w:szCs w:val="22"/>
          <w:highlight w:val="none"/>
        </w:rPr>
        <w:t>中标候选人</w:t>
      </w:r>
      <w:r>
        <w:rPr>
          <w:rFonts w:hint="eastAsia" w:ascii="宋体" w:hAnsi="宋体"/>
          <w:color w:val="auto"/>
          <w:sz w:val="22"/>
          <w:szCs w:val="22"/>
          <w:highlight w:val="none"/>
        </w:rPr>
        <w:t>，采购人根据磋商小组的推荐结果进行最终确认</w:t>
      </w:r>
      <w:r>
        <w:rPr>
          <w:rFonts w:ascii="宋体" w:hAnsi="宋体"/>
          <w:color w:val="auto"/>
          <w:sz w:val="22"/>
          <w:highlight w:val="none"/>
        </w:rPr>
        <w:t>。如</w:t>
      </w:r>
      <w:r>
        <w:rPr>
          <w:rFonts w:hint="eastAsia" w:ascii="宋体" w:hAnsi="宋体"/>
          <w:color w:val="auto"/>
          <w:sz w:val="22"/>
          <w:highlight w:val="none"/>
        </w:rPr>
        <w:t>第一候选</w:t>
      </w:r>
      <w:r>
        <w:rPr>
          <w:rFonts w:ascii="宋体" w:hAnsi="宋体"/>
          <w:color w:val="auto"/>
          <w:sz w:val="22"/>
          <w:highlight w:val="none"/>
        </w:rPr>
        <w:t>供应商放弃中标、或因不可抗力提出不能履行合同；或者磋商文件规定应当提交履约保证金而在规定的期限内未能提交的；或未能在规定时间内与采购人签订合同的；或者经质疑，采购人审查后，确因排名第一的候选人在本次</w:t>
      </w:r>
      <w:r>
        <w:rPr>
          <w:rFonts w:hint="eastAsia" w:ascii="宋体" w:hAnsi="宋体"/>
          <w:color w:val="auto"/>
          <w:sz w:val="22"/>
          <w:highlight w:val="none"/>
        </w:rPr>
        <w:t>采购</w:t>
      </w:r>
      <w:r>
        <w:rPr>
          <w:rFonts w:ascii="宋体" w:hAnsi="宋体"/>
          <w:color w:val="auto"/>
          <w:sz w:val="22"/>
          <w:highlight w:val="none"/>
        </w:rPr>
        <w:t>活动中存在违法违规行为或其他原因使质疑成立的，采购人可以视具体情况确定是否由排名第二的中标候选人为中标（成交）供应商</w:t>
      </w:r>
      <w:r>
        <w:rPr>
          <w:rFonts w:hint="eastAsia" w:ascii="宋体" w:hAnsi="宋体"/>
          <w:color w:val="auto"/>
          <w:sz w:val="22"/>
          <w:highlight w:val="none"/>
        </w:rPr>
        <w:t>，以此类推</w:t>
      </w:r>
      <w:r>
        <w:rPr>
          <w:rFonts w:ascii="宋体" w:hAnsi="宋体"/>
          <w:color w:val="auto"/>
          <w:sz w:val="22"/>
          <w:highlight w:val="none"/>
        </w:rPr>
        <w:t>。如</w:t>
      </w:r>
      <w:r>
        <w:rPr>
          <w:rFonts w:hint="eastAsia" w:ascii="宋体" w:hAnsi="宋体"/>
          <w:color w:val="auto"/>
          <w:sz w:val="22"/>
          <w:highlight w:val="none"/>
        </w:rPr>
        <w:t>全部</w:t>
      </w:r>
      <w:r>
        <w:rPr>
          <w:rFonts w:ascii="宋体" w:hAnsi="宋体"/>
          <w:color w:val="auto"/>
          <w:sz w:val="22"/>
          <w:highlight w:val="none"/>
        </w:rPr>
        <w:t>中标候选人因前款规定的同样原因不能签订合同的，本次</w:t>
      </w:r>
      <w:r>
        <w:rPr>
          <w:rFonts w:hint="eastAsia" w:ascii="宋体" w:hAnsi="宋体"/>
          <w:color w:val="auto"/>
          <w:sz w:val="22"/>
          <w:highlight w:val="none"/>
        </w:rPr>
        <w:t>采购</w:t>
      </w:r>
      <w:r>
        <w:rPr>
          <w:rFonts w:ascii="宋体" w:hAnsi="宋体"/>
          <w:color w:val="auto"/>
          <w:sz w:val="22"/>
          <w:highlight w:val="none"/>
        </w:rPr>
        <w:t>失败，重新组织</w:t>
      </w:r>
      <w:r>
        <w:rPr>
          <w:rFonts w:hint="eastAsia" w:ascii="宋体" w:hAnsi="宋体"/>
          <w:color w:val="auto"/>
          <w:sz w:val="22"/>
          <w:highlight w:val="none"/>
        </w:rPr>
        <w:t>采购</w:t>
      </w:r>
      <w:r>
        <w:rPr>
          <w:rFonts w:ascii="宋体" w:hAnsi="宋体"/>
          <w:color w:val="auto"/>
          <w:sz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b/>
          <w:color w:val="auto"/>
          <w:sz w:val="22"/>
          <w:highlight w:val="none"/>
        </w:rPr>
      </w:pPr>
      <w:bookmarkStart w:id="272" w:name="_Toc221356968"/>
      <w:bookmarkStart w:id="273" w:name="_Toc221356905"/>
      <w:r>
        <w:rPr>
          <w:rFonts w:hint="eastAsia" w:ascii="宋体" w:hAnsi="宋体"/>
          <w:b/>
          <w:color w:val="auto"/>
          <w:sz w:val="22"/>
          <w:highlight w:val="none"/>
        </w:rPr>
        <w:t>六</w:t>
      </w:r>
      <w:r>
        <w:rPr>
          <w:rFonts w:ascii="宋体" w:hAnsi="宋体"/>
          <w:b/>
          <w:color w:val="auto"/>
          <w:sz w:val="22"/>
          <w:highlight w:val="none"/>
        </w:rPr>
        <w:t>、供应商义务</w:t>
      </w:r>
      <w:bookmarkEnd w:id="272"/>
      <w:bookmarkEnd w:id="273"/>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color w:val="auto"/>
          <w:highlight w:val="none"/>
        </w:rPr>
      </w:pPr>
      <w:r>
        <w:rPr>
          <w:rFonts w:ascii="宋体" w:hAnsi="宋体"/>
          <w:color w:val="auto"/>
          <w:sz w:val="22"/>
          <w:szCs w:val="22"/>
          <w:highlight w:val="none"/>
        </w:rPr>
        <w:t>供应商应随时接受磋商小组的询标，解答包括有关的商务、技术问题等。</w:t>
      </w:r>
    </w:p>
    <w:sectPr>
      <w:headerReference r:id="rId9" w:type="first"/>
      <w:headerReference r:id="rId8" w:type="default"/>
      <w:pgSz w:w="11906" w:h="16838"/>
      <w:pgMar w:top="1134" w:right="1134" w:bottom="1134"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宋体,Verdana,Arial">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Univers LT Std 57 Cn">
    <w:altName w:val="Arial"/>
    <w:panose1 w:val="00000000000000000000"/>
    <w:charset w:val="00"/>
    <w:family w:val="swiss"/>
    <w:pitch w:val="default"/>
    <w:sig w:usb0="00000000" w:usb1="00000000" w:usb2="00000000" w:usb3="00000000" w:csb0="00000001" w:csb1="00000000"/>
  </w:font>
  <w:font w:name="MingLiU">
    <w:altName w:val="PMingLiU-ExtB"/>
    <w:panose1 w:val="02010609000101010101"/>
    <w:charset w:val="88"/>
    <w:family w:val="moder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678"/>
        <w:tab w:val="right" w:pos="9638"/>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tabs>
        <w:tab w:val="center" w:pos="4820"/>
        <w:tab w:val="right" w:pos="9498"/>
        <w:tab w:val="clear" w:pos="4153"/>
        <w:tab w:val="clear" w:pos="8306"/>
      </w:tabs>
      <w:rPr>
        <w:rFonts w:hint="eastAsia" w:eastAsia="宋体"/>
        <w:lang w:eastAsia="zh-CN"/>
      </w:rPr>
    </w:pPr>
    <w:r>
      <w:tab/>
    </w:r>
    <w:r>
      <w:fldChar w:fldCharType="begin"/>
    </w:r>
    <w:r>
      <w:instrText xml:space="preserve">PAGE   \* MERGEFORMAT</w:instrText>
    </w:r>
    <w:r>
      <w:fldChar w:fldCharType="separate"/>
    </w:r>
    <w:r>
      <w:t>60</w:t>
    </w:r>
    <w:r>
      <w:fldChar w:fldCharType="end"/>
    </w:r>
    <w:r>
      <w:tab/>
    </w:r>
    <w:r>
      <w:rPr>
        <w:rFonts w:hint="eastAsia" w:ascii="楷体_GB2312" w:eastAsia="楷体_GB2312"/>
        <w:lang w:eastAsia="zh-CN"/>
      </w:rPr>
      <w:t>浙江同信工程项目管理有限公司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left w:val="none" w:color="auto" w:sz="0" w:space="4"/>
        <w:bottom w:val="none" w:color="auto" w:sz="0" w:space="1"/>
        <w:right w:val="none" w:color="auto" w:sz="0" w:space="4"/>
      </w:pBdr>
      <w:tabs>
        <w:tab w:val="clear" w:pos="4153"/>
        <w:tab w:val="clear" w:pos="8306"/>
      </w:tabs>
      <w:rPr>
        <w:rFonts w:hint="eastAsia" w:eastAsia="宋体"/>
        <w:lang w:eastAsia="zh-CN"/>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fldChar w:fldCharType="begin"/>
    </w:r>
    <w:r>
      <w:instrText xml:space="preserve">PAGE   \* MERGEFORMAT</w:instrText>
    </w:r>
    <w:r>
      <w:fldChar w:fldCharType="separate"/>
    </w:r>
    <w:r>
      <w:t>1</w:t>
    </w:r>
    <w:r>
      <w:fldChar w:fldCharType="end"/>
    </w:r>
    <w:r>
      <w:tab/>
    </w:r>
    <w:r>
      <w:rPr>
        <w:rFonts w:hint="eastAsia"/>
      </w:rPr>
      <w:tab/>
    </w:r>
    <w:r>
      <w:rPr>
        <w:rFonts w:hint="eastAsia"/>
      </w:rPr>
      <w:tab/>
    </w:r>
    <w:r>
      <w:rPr>
        <w:rFonts w:hint="eastAsia"/>
      </w:rPr>
      <w:tab/>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tabs>
        <w:tab w:val="center" w:pos="4820"/>
        <w:tab w:val="right" w:pos="9498"/>
        <w:tab w:val="clear" w:pos="4153"/>
        <w:tab w:val="clear" w:pos="8306"/>
      </w:tabs>
      <w:rPr>
        <w:rFonts w:hint="eastAsia" w:eastAsia="宋体"/>
        <w:lang w:eastAsia="zh-CN"/>
      </w:rPr>
    </w:pPr>
    <w:r>
      <w:tab/>
    </w:r>
    <w:r>
      <w:fldChar w:fldCharType="begin"/>
    </w:r>
    <w:r>
      <w:instrText xml:space="preserve">PAGE   \* MERGEFORMAT</w:instrText>
    </w:r>
    <w:r>
      <w:fldChar w:fldCharType="separate"/>
    </w:r>
    <w:r>
      <w:t>60</w:t>
    </w:r>
    <w:r>
      <w:fldChar w:fldCharType="end"/>
    </w:r>
    <w:r>
      <w:tab/>
    </w:r>
    <w:r>
      <w:rPr>
        <w:rFonts w:hint="eastAsia" w:ascii="楷体_GB2312" w:eastAsia="楷体_GB2312"/>
        <w:lang w:eastAsia="zh-CN"/>
      </w:rPr>
      <w:t>浙江同信工程项目管理有限公司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818515</wp:posOffset>
              </wp:positionH>
              <wp:positionV relativeFrom="page">
                <wp:posOffset>548005</wp:posOffset>
              </wp:positionV>
              <wp:extent cx="162560" cy="1625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2560" cy="162560"/>
                      </a:xfrm>
                      <a:prstGeom prst="rect">
                        <a:avLst/>
                      </a:prstGeom>
                      <a:noFill/>
                      <a:ln>
                        <a:noFill/>
                      </a:ln>
                    </wps:spPr>
                    <wps:txbx>
                      <w:txbxContent>
                        <w:p>
                          <w:pPr>
                            <w:spacing w:before="0" w:line="256" w:lineRule="exact"/>
                            <w:ind w:left="20" w:right="0" w:firstLine="0"/>
                            <w:jc w:val="left"/>
                            <w:rPr>
                              <w:sz w:val="21"/>
                            </w:rPr>
                          </w:pPr>
                          <w:r>
                            <w:rPr>
                              <w:w w:val="102"/>
                              <w:sz w:val="21"/>
                            </w:rPr>
                            <w:t xml:space="preserve">  </w:t>
                          </w:r>
                        </w:p>
                      </w:txbxContent>
                    </wps:txbx>
                    <wps:bodyPr lIns="0" tIns="0" rIns="0" bIns="0" upright="1"/>
                  </wps:wsp>
                </a:graphicData>
              </a:graphic>
            </wp:anchor>
          </w:drawing>
        </mc:Choice>
        <mc:Fallback>
          <w:pict>
            <v:shape id="_x0000_s1026" o:spid="_x0000_s1026" o:spt="202" type="#_x0000_t202" style="position:absolute;left:0pt;margin-left:64.45pt;margin-top:43.15pt;height:12.8pt;width:12.8pt;mso-position-horizontal-relative:page;mso-position-vertical-relative:page;z-index:-251657216;mso-width-relative:page;mso-height-relative:page;" filled="f" stroked="f" coordsize="21600,21600" o:gfxdata="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hFfG12QAAAAoBAAAPAAAAAAAAAAEAIAAAACIAAABkcnMvZG93bnJldi54bWxQSwECFAAUAAAA&#10;CACHTuJAVsQnqrQBAABxAwAADgAAAAAAAAABACAAAAAoAQAAZHJzL2Uyb0RvYy54bWxQSwUGAAAA&#10;AAYABgBZAQAATgUAAAAA&#10;">
              <v:fill on="f" focussize="0,0"/>
              <v:stroke on="f"/>
              <v:imagedata o:title=""/>
              <o:lock v:ext="edit" aspectratio="f"/>
              <v:textbox inset="0mm,0mm,0mm,0mm">
                <w:txbxContent>
                  <w:p>
                    <w:pPr>
                      <w:spacing w:before="0" w:line="256" w:lineRule="exact"/>
                      <w:ind w:left="20" w:right="0" w:firstLine="0"/>
                      <w:jc w:val="left"/>
                      <w:rPr>
                        <w:sz w:val="21"/>
                      </w:rPr>
                    </w:pPr>
                    <w:r>
                      <w:rPr>
                        <w:w w:val="102"/>
                        <w:sz w:val="21"/>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62A217"/>
    <w:multiLevelType w:val="singleLevel"/>
    <w:tmpl w:val="CC62A217"/>
    <w:lvl w:ilvl="0" w:tentative="0">
      <w:start w:val="1"/>
      <w:numFmt w:val="chineseCounting"/>
      <w:suff w:val="nothing"/>
      <w:lvlText w:val="（%1）"/>
      <w:lvlJc w:val="left"/>
      <w:rPr>
        <w:rFonts w:hint="eastAsia"/>
      </w:rPr>
    </w:lvl>
  </w:abstractNum>
  <w:abstractNum w:abstractNumId="1">
    <w:nsid w:val="00D04ED0"/>
    <w:multiLevelType w:val="multilevel"/>
    <w:tmpl w:val="00D04ED0"/>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33E1F8F"/>
    <w:multiLevelType w:val="multilevel"/>
    <w:tmpl w:val="033E1F8F"/>
    <w:lvl w:ilvl="0" w:tentative="0">
      <w:start w:val="1"/>
      <w:numFmt w:val="decimal"/>
      <w:lvlText w:val="%1."/>
      <w:lvlJc w:val="left"/>
      <w:pPr>
        <w:ind w:left="425" w:hanging="425"/>
      </w:pPr>
      <w:rPr>
        <w:b w:val="0"/>
        <w:bCs w:val="0"/>
      </w:rPr>
    </w:lvl>
    <w:lvl w:ilvl="1" w:tentative="0">
      <w:start w:val="1"/>
      <w:numFmt w:val="decimal"/>
      <w:lvlText w:val="%1.%2"/>
      <w:lvlJc w:val="left"/>
      <w:pPr>
        <w:ind w:left="992" w:hanging="567"/>
      </w:pPr>
      <w:rPr>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118C5890"/>
    <w:multiLevelType w:val="multilevel"/>
    <w:tmpl w:val="118C5890"/>
    <w:lvl w:ilvl="0" w:tentative="0">
      <w:start w:val="1"/>
      <w:numFmt w:val="decimal"/>
      <w:lvlText w:val="%1、"/>
      <w:lvlJc w:val="left"/>
      <w:rPr>
        <w:rFonts w:hint="default" w:ascii="宋体" w:hAnsi="宋体" w:eastAsia="宋体"/>
        <w:color w:val="auto"/>
        <w:sz w:val="22"/>
        <w:szCs w:val="22"/>
      </w:rPr>
    </w:lvl>
    <w:lvl w:ilvl="1" w:tentative="0">
      <w:start w:val="9"/>
      <w:numFmt w:val="japaneseCounting"/>
      <w:lvlText w:val="%2、"/>
      <w:lvlJc w:val="left"/>
      <w:pPr>
        <w:ind w:left="1140" w:hanging="720"/>
      </w:pPr>
      <w:rPr>
        <w:rFonts w:hint="default"/>
      </w:rPr>
    </w:lvl>
    <w:lvl w:ilvl="2" w:tentative="0">
      <w:start w:val="8"/>
      <w:numFmt w:val="japaneseCounting"/>
      <w:lvlText w:val="%3、"/>
      <w:lvlJc w:val="left"/>
      <w:pPr>
        <w:ind w:left="1290" w:hanging="45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1F76507"/>
    <w:multiLevelType w:val="multilevel"/>
    <w:tmpl w:val="11F76507"/>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5530E96"/>
    <w:multiLevelType w:val="multilevel"/>
    <w:tmpl w:val="25530E96"/>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6B40FC8"/>
    <w:multiLevelType w:val="multilevel"/>
    <w:tmpl w:val="26B40FC8"/>
    <w:lvl w:ilvl="0" w:tentative="0">
      <w:start w:val="1"/>
      <w:numFmt w:val="japaneseCounting"/>
      <w:lvlText w:val="（%1）"/>
      <w:lvlJc w:val="left"/>
      <w:pPr>
        <w:ind w:left="1079" w:hanging="720"/>
      </w:pPr>
      <w:rPr>
        <w:rFonts w:hint="default"/>
      </w:rPr>
    </w:lvl>
    <w:lvl w:ilvl="1" w:tentative="0">
      <w:start w:val="1"/>
      <w:numFmt w:val="lowerLetter"/>
      <w:lvlText w:val="%2)"/>
      <w:lvlJc w:val="left"/>
      <w:pPr>
        <w:ind w:left="1199" w:hanging="420"/>
      </w:pPr>
    </w:lvl>
    <w:lvl w:ilvl="2" w:tentative="0">
      <w:start w:val="1"/>
      <w:numFmt w:val="lowerRoman"/>
      <w:lvlText w:val="%3."/>
      <w:lvlJc w:val="right"/>
      <w:pPr>
        <w:ind w:left="1619" w:hanging="420"/>
      </w:pPr>
    </w:lvl>
    <w:lvl w:ilvl="3" w:tentative="0">
      <w:start w:val="1"/>
      <w:numFmt w:val="decimal"/>
      <w:lvlText w:val="%4."/>
      <w:lvlJc w:val="left"/>
      <w:pPr>
        <w:ind w:left="2039" w:hanging="420"/>
      </w:pPr>
    </w:lvl>
    <w:lvl w:ilvl="4" w:tentative="0">
      <w:start w:val="1"/>
      <w:numFmt w:val="lowerLetter"/>
      <w:lvlText w:val="%5)"/>
      <w:lvlJc w:val="left"/>
      <w:pPr>
        <w:ind w:left="2459" w:hanging="420"/>
      </w:pPr>
    </w:lvl>
    <w:lvl w:ilvl="5" w:tentative="0">
      <w:start w:val="1"/>
      <w:numFmt w:val="lowerRoman"/>
      <w:lvlText w:val="%6."/>
      <w:lvlJc w:val="right"/>
      <w:pPr>
        <w:ind w:left="2879" w:hanging="420"/>
      </w:pPr>
    </w:lvl>
    <w:lvl w:ilvl="6" w:tentative="0">
      <w:start w:val="1"/>
      <w:numFmt w:val="decimal"/>
      <w:lvlText w:val="%7."/>
      <w:lvlJc w:val="left"/>
      <w:pPr>
        <w:ind w:left="3299" w:hanging="420"/>
      </w:pPr>
    </w:lvl>
    <w:lvl w:ilvl="7" w:tentative="0">
      <w:start w:val="1"/>
      <w:numFmt w:val="lowerLetter"/>
      <w:lvlText w:val="%8)"/>
      <w:lvlJc w:val="left"/>
      <w:pPr>
        <w:ind w:left="3719" w:hanging="420"/>
      </w:pPr>
    </w:lvl>
    <w:lvl w:ilvl="8" w:tentative="0">
      <w:start w:val="1"/>
      <w:numFmt w:val="lowerRoman"/>
      <w:lvlText w:val="%9."/>
      <w:lvlJc w:val="right"/>
      <w:pPr>
        <w:ind w:left="4139" w:hanging="420"/>
      </w:pPr>
    </w:lvl>
  </w:abstractNum>
  <w:abstractNum w:abstractNumId="7">
    <w:nsid w:val="2F691B80"/>
    <w:multiLevelType w:val="multilevel"/>
    <w:tmpl w:val="2F691B80"/>
    <w:lvl w:ilvl="0" w:tentative="0">
      <w:start w:val="1"/>
      <w:numFmt w:val="chineseCountingThousand"/>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4670B88"/>
    <w:multiLevelType w:val="singleLevel"/>
    <w:tmpl w:val="44670B88"/>
    <w:lvl w:ilvl="0" w:tentative="0">
      <w:start w:val="1"/>
      <w:numFmt w:val="decimal"/>
      <w:suff w:val="nothing"/>
      <w:lvlText w:val="%1、"/>
      <w:lvlJc w:val="left"/>
    </w:lvl>
  </w:abstractNum>
  <w:abstractNum w:abstractNumId="9">
    <w:nsid w:val="48982076"/>
    <w:multiLevelType w:val="multilevel"/>
    <w:tmpl w:val="48982076"/>
    <w:lvl w:ilvl="0" w:tentative="0">
      <w:start w:val="2"/>
      <w:numFmt w:val="decimal"/>
      <w:lvlText w:val="%1、"/>
      <w:lvlJc w:val="left"/>
      <w:pPr>
        <w:ind w:left="855" w:hanging="360"/>
      </w:pPr>
      <w:rPr>
        <w:rFonts w:hint="default" w:cs="宋体"/>
      </w:rPr>
    </w:lvl>
    <w:lvl w:ilvl="1" w:tentative="0">
      <w:start w:val="1"/>
      <w:numFmt w:val="lowerLetter"/>
      <w:lvlText w:val="%2)"/>
      <w:lvlJc w:val="left"/>
      <w:pPr>
        <w:ind w:left="1335" w:hanging="420"/>
      </w:pPr>
    </w:lvl>
    <w:lvl w:ilvl="2" w:tentative="0">
      <w:start w:val="1"/>
      <w:numFmt w:val="lowerRoman"/>
      <w:lvlText w:val="%3."/>
      <w:lvlJc w:val="right"/>
      <w:pPr>
        <w:ind w:left="1755" w:hanging="420"/>
      </w:pPr>
    </w:lvl>
    <w:lvl w:ilvl="3" w:tentative="0">
      <w:start w:val="1"/>
      <w:numFmt w:val="decimal"/>
      <w:lvlText w:val="%4."/>
      <w:lvlJc w:val="left"/>
      <w:pPr>
        <w:ind w:left="2175" w:hanging="420"/>
      </w:pPr>
    </w:lvl>
    <w:lvl w:ilvl="4" w:tentative="0">
      <w:start w:val="1"/>
      <w:numFmt w:val="lowerLetter"/>
      <w:lvlText w:val="%5)"/>
      <w:lvlJc w:val="left"/>
      <w:pPr>
        <w:ind w:left="2595" w:hanging="420"/>
      </w:pPr>
    </w:lvl>
    <w:lvl w:ilvl="5" w:tentative="0">
      <w:start w:val="1"/>
      <w:numFmt w:val="lowerRoman"/>
      <w:lvlText w:val="%6."/>
      <w:lvlJc w:val="right"/>
      <w:pPr>
        <w:ind w:left="3015" w:hanging="420"/>
      </w:pPr>
    </w:lvl>
    <w:lvl w:ilvl="6" w:tentative="0">
      <w:start w:val="1"/>
      <w:numFmt w:val="decimal"/>
      <w:lvlText w:val="%7."/>
      <w:lvlJc w:val="left"/>
      <w:pPr>
        <w:ind w:left="3435" w:hanging="420"/>
      </w:pPr>
    </w:lvl>
    <w:lvl w:ilvl="7" w:tentative="0">
      <w:start w:val="1"/>
      <w:numFmt w:val="lowerLetter"/>
      <w:lvlText w:val="%8)"/>
      <w:lvlJc w:val="left"/>
      <w:pPr>
        <w:ind w:left="3855" w:hanging="420"/>
      </w:pPr>
    </w:lvl>
    <w:lvl w:ilvl="8" w:tentative="0">
      <w:start w:val="1"/>
      <w:numFmt w:val="lowerRoman"/>
      <w:lvlText w:val="%9."/>
      <w:lvlJc w:val="right"/>
      <w:pPr>
        <w:ind w:left="4275" w:hanging="420"/>
      </w:pPr>
    </w:lvl>
  </w:abstractNum>
  <w:abstractNum w:abstractNumId="10">
    <w:nsid w:val="4BB92A8A"/>
    <w:multiLevelType w:val="multilevel"/>
    <w:tmpl w:val="4BB92A8A"/>
    <w:lvl w:ilvl="0" w:tentative="0">
      <w:start w:val="1"/>
      <w:numFmt w:val="decimal"/>
      <w:lvlText w:val="%1)"/>
      <w:lvlJc w:val="left"/>
      <w:pPr>
        <w:tabs>
          <w:tab w:val="left" w:pos="780"/>
        </w:tabs>
        <w:ind w:left="780" w:hanging="420"/>
      </w:pPr>
      <w:rPr>
        <w:rFonts w:hint="eastAsia"/>
        <w:b w:val="0"/>
      </w:rPr>
    </w:lvl>
    <w:lvl w:ilvl="1" w:tentative="0">
      <w:start w:val="1"/>
      <w:numFmt w:val="lowerLetter"/>
      <w:lvlText w:val="%2)"/>
      <w:lvlJc w:val="left"/>
      <w:pPr>
        <w:tabs>
          <w:tab w:val="left" w:pos="840"/>
        </w:tabs>
        <w:ind w:left="840" w:hanging="420"/>
      </w:pPr>
      <w:rPr>
        <w:b w:val="0"/>
      </w:rPr>
    </w:lvl>
    <w:lvl w:ilvl="2" w:tentative="0">
      <w:start w:val="1"/>
      <w:numFmt w:val="chineseCountingThousand"/>
      <w:lvlText w:val="(%3)"/>
      <w:lvlJc w:val="left"/>
      <w:pPr>
        <w:tabs>
          <w:tab w:val="left" w:pos="600"/>
        </w:tabs>
        <w:ind w:left="600" w:hanging="420"/>
      </w:pPr>
      <w:rPr>
        <w:rFonts w:hint="eastAsia"/>
        <w:b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0A212AF"/>
    <w:multiLevelType w:val="multilevel"/>
    <w:tmpl w:val="50A212AF"/>
    <w:lvl w:ilvl="0" w:tentative="0">
      <w:start w:val="1"/>
      <w:numFmt w:val="decimal"/>
      <w:lvlText w:val="%1、"/>
      <w:lvlJc w:val="left"/>
      <w:pPr>
        <w:ind w:left="855" w:hanging="360"/>
      </w:pPr>
      <w:rPr>
        <w:rFonts w:hint="default"/>
      </w:rPr>
    </w:lvl>
    <w:lvl w:ilvl="1" w:tentative="0">
      <w:start w:val="1"/>
      <w:numFmt w:val="lowerLetter"/>
      <w:lvlText w:val="%2)"/>
      <w:lvlJc w:val="left"/>
      <w:pPr>
        <w:ind w:left="1335" w:hanging="420"/>
      </w:pPr>
    </w:lvl>
    <w:lvl w:ilvl="2" w:tentative="0">
      <w:start w:val="1"/>
      <w:numFmt w:val="lowerRoman"/>
      <w:lvlText w:val="%3."/>
      <w:lvlJc w:val="right"/>
      <w:pPr>
        <w:ind w:left="1755" w:hanging="420"/>
      </w:pPr>
    </w:lvl>
    <w:lvl w:ilvl="3" w:tentative="0">
      <w:start w:val="1"/>
      <w:numFmt w:val="decimal"/>
      <w:lvlText w:val="%4."/>
      <w:lvlJc w:val="left"/>
      <w:pPr>
        <w:ind w:left="2175" w:hanging="420"/>
      </w:pPr>
    </w:lvl>
    <w:lvl w:ilvl="4" w:tentative="0">
      <w:start w:val="1"/>
      <w:numFmt w:val="lowerLetter"/>
      <w:lvlText w:val="%5)"/>
      <w:lvlJc w:val="left"/>
      <w:pPr>
        <w:ind w:left="2595" w:hanging="420"/>
      </w:pPr>
    </w:lvl>
    <w:lvl w:ilvl="5" w:tentative="0">
      <w:start w:val="1"/>
      <w:numFmt w:val="lowerRoman"/>
      <w:lvlText w:val="%6."/>
      <w:lvlJc w:val="right"/>
      <w:pPr>
        <w:ind w:left="3015" w:hanging="420"/>
      </w:pPr>
    </w:lvl>
    <w:lvl w:ilvl="6" w:tentative="0">
      <w:start w:val="1"/>
      <w:numFmt w:val="decimal"/>
      <w:lvlText w:val="%7."/>
      <w:lvlJc w:val="left"/>
      <w:pPr>
        <w:ind w:left="3435" w:hanging="420"/>
      </w:pPr>
    </w:lvl>
    <w:lvl w:ilvl="7" w:tentative="0">
      <w:start w:val="1"/>
      <w:numFmt w:val="lowerLetter"/>
      <w:lvlText w:val="%8)"/>
      <w:lvlJc w:val="left"/>
      <w:pPr>
        <w:ind w:left="3855" w:hanging="420"/>
      </w:pPr>
    </w:lvl>
    <w:lvl w:ilvl="8" w:tentative="0">
      <w:start w:val="1"/>
      <w:numFmt w:val="lowerRoman"/>
      <w:lvlText w:val="%9."/>
      <w:lvlJc w:val="right"/>
      <w:pPr>
        <w:ind w:left="4275" w:hanging="420"/>
      </w:pPr>
    </w:lvl>
  </w:abstractNum>
  <w:abstractNum w:abstractNumId="12">
    <w:nsid w:val="5B4C304D"/>
    <w:multiLevelType w:val="multilevel"/>
    <w:tmpl w:val="5B4C30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D9D294D"/>
    <w:multiLevelType w:val="multilevel"/>
    <w:tmpl w:val="5D9D294D"/>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DCF1328"/>
    <w:multiLevelType w:val="multilevel"/>
    <w:tmpl w:val="5DCF1328"/>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0A033CC"/>
    <w:multiLevelType w:val="multilevel"/>
    <w:tmpl w:val="60A033CC"/>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2313067"/>
    <w:multiLevelType w:val="multilevel"/>
    <w:tmpl w:val="62313067"/>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677824EC"/>
    <w:multiLevelType w:val="multilevel"/>
    <w:tmpl w:val="677824EC"/>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2516D77"/>
    <w:multiLevelType w:val="multilevel"/>
    <w:tmpl w:val="72516D77"/>
    <w:lvl w:ilvl="0" w:tentative="0">
      <w:start w:val="1"/>
      <w:numFmt w:val="decimal"/>
      <w:lvlText w:val="%1"/>
      <w:lvlJc w:val="center"/>
      <w:pPr>
        <w:ind w:left="227" w:hanging="29"/>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B7E5741"/>
    <w:multiLevelType w:val="multilevel"/>
    <w:tmpl w:val="7B7E5741"/>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CE402D8"/>
    <w:multiLevelType w:val="multilevel"/>
    <w:tmpl w:val="7CE402D8"/>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7"/>
  </w:num>
  <w:num w:numId="2">
    <w:abstractNumId w:val="11"/>
  </w:num>
  <w:num w:numId="3">
    <w:abstractNumId w:val="9"/>
  </w:num>
  <w:num w:numId="4">
    <w:abstractNumId w:val="7"/>
  </w:num>
  <w:num w:numId="5">
    <w:abstractNumId w:val="18"/>
  </w:num>
  <w:num w:numId="6">
    <w:abstractNumId w:val="3"/>
  </w:num>
  <w:num w:numId="7">
    <w:abstractNumId w:val="2"/>
  </w:num>
  <w:num w:numId="8">
    <w:abstractNumId w:val="10"/>
  </w:num>
  <w:num w:numId="9">
    <w:abstractNumId w:val="16"/>
  </w:num>
  <w:num w:numId="10">
    <w:abstractNumId w:val="1"/>
  </w:num>
  <w:num w:numId="11">
    <w:abstractNumId w:val="5"/>
  </w:num>
  <w:num w:numId="12">
    <w:abstractNumId w:val="15"/>
  </w:num>
  <w:num w:numId="13">
    <w:abstractNumId w:val="14"/>
  </w:num>
  <w:num w:numId="14">
    <w:abstractNumId w:val="19"/>
  </w:num>
  <w:num w:numId="15">
    <w:abstractNumId w:val="20"/>
  </w:num>
  <w:num w:numId="16">
    <w:abstractNumId w:val="4"/>
  </w:num>
  <w:num w:numId="17">
    <w:abstractNumId w:val="13"/>
  </w:num>
  <w:num w:numId="18">
    <w:abstractNumId w:val="8"/>
  </w:num>
  <w:num w:numId="19">
    <w:abstractNumId w:val="6"/>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NTY0NjQ0NDdmMjA3ZTI1NTJkMzczZDg5MDBlN2QifQ=="/>
  </w:docVars>
  <w:rsids>
    <w:rsidRoot w:val="00172A27"/>
    <w:rsid w:val="00001124"/>
    <w:rsid w:val="000042BF"/>
    <w:rsid w:val="000049A1"/>
    <w:rsid w:val="00005104"/>
    <w:rsid w:val="00005D60"/>
    <w:rsid w:val="00006724"/>
    <w:rsid w:val="00006B06"/>
    <w:rsid w:val="000070F5"/>
    <w:rsid w:val="00007145"/>
    <w:rsid w:val="0000724D"/>
    <w:rsid w:val="00007289"/>
    <w:rsid w:val="000076BE"/>
    <w:rsid w:val="00007A5D"/>
    <w:rsid w:val="00007A6A"/>
    <w:rsid w:val="00007C6F"/>
    <w:rsid w:val="00007F41"/>
    <w:rsid w:val="00007F7C"/>
    <w:rsid w:val="0001030D"/>
    <w:rsid w:val="000107C7"/>
    <w:rsid w:val="00010969"/>
    <w:rsid w:val="00012D56"/>
    <w:rsid w:val="00013B2D"/>
    <w:rsid w:val="000146E5"/>
    <w:rsid w:val="000148F4"/>
    <w:rsid w:val="000153CE"/>
    <w:rsid w:val="00015D0C"/>
    <w:rsid w:val="00020E30"/>
    <w:rsid w:val="00021819"/>
    <w:rsid w:val="00022303"/>
    <w:rsid w:val="000224E6"/>
    <w:rsid w:val="00022796"/>
    <w:rsid w:val="00022AA6"/>
    <w:rsid w:val="00022C7E"/>
    <w:rsid w:val="00023C28"/>
    <w:rsid w:val="0002477A"/>
    <w:rsid w:val="00024F37"/>
    <w:rsid w:val="0002526B"/>
    <w:rsid w:val="00025297"/>
    <w:rsid w:val="00025316"/>
    <w:rsid w:val="00025FF8"/>
    <w:rsid w:val="00026153"/>
    <w:rsid w:val="00026B79"/>
    <w:rsid w:val="00027336"/>
    <w:rsid w:val="00030DCE"/>
    <w:rsid w:val="00032F0C"/>
    <w:rsid w:val="000351E0"/>
    <w:rsid w:val="00035934"/>
    <w:rsid w:val="0003594B"/>
    <w:rsid w:val="00037DC2"/>
    <w:rsid w:val="000405BD"/>
    <w:rsid w:val="00040B81"/>
    <w:rsid w:val="0004202D"/>
    <w:rsid w:val="0004330E"/>
    <w:rsid w:val="00043521"/>
    <w:rsid w:val="00043AFE"/>
    <w:rsid w:val="00043D10"/>
    <w:rsid w:val="00043E85"/>
    <w:rsid w:val="00044C3D"/>
    <w:rsid w:val="00044ED3"/>
    <w:rsid w:val="00045734"/>
    <w:rsid w:val="00045735"/>
    <w:rsid w:val="00045B72"/>
    <w:rsid w:val="00046908"/>
    <w:rsid w:val="00046CB1"/>
    <w:rsid w:val="000500D2"/>
    <w:rsid w:val="000507E7"/>
    <w:rsid w:val="00051196"/>
    <w:rsid w:val="00051991"/>
    <w:rsid w:val="00051C45"/>
    <w:rsid w:val="0005242B"/>
    <w:rsid w:val="00052673"/>
    <w:rsid w:val="00052B69"/>
    <w:rsid w:val="000532CE"/>
    <w:rsid w:val="0005433D"/>
    <w:rsid w:val="00055022"/>
    <w:rsid w:val="000550C8"/>
    <w:rsid w:val="0005568D"/>
    <w:rsid w:val="0005737E"/>
    <w:rsid w:val="00060E2D"/>
    <w:rsid w:val="00064D68"/>
    <w:rsid w:val="000668DD"/>
    <w:rsid w:val="00067019"/>
    <w:rsid w:val="000679DA"/>
    <w:rsid w:val="00067C95"/>
    <w:rsid w:val="000718F4"/>
    <w:rsid w:val="00072730"/>
    <w:rsid w:val="00074563"/>
    <w:rsid w:val="00074E9C"/>
    <w:rsid w:val="0007533B"/>
    <w:rsid w:val="00076600"/>
    <w:rsid w:val="000771D9"/>
    <w:rsid w:val="00080787"/>
    <w:rsid w:val="0008093E"/>
    <w:rsid w:val="00081DDB"/>
    <w:rsid w:val="00081FF1"/>
    <w:rsid w:val="000835C9"/>
    <w:rsid w:val="00083887"/>
    <w:rsid w:val="0008437B"/>
    <w:rsid w:val="0008455B"/>
    <w:rsid w:val="00084A22"/>
    <w:rsid w:val="0008788F"/>
    <w:rsid w:val="00090B70"/>
    <w:rsid w:val="00091ECB"/>
    <w:rsid w:val="000920E5"/>
    <w:rsid w:val="00092D47"/>
    <w:rsid w:val="00093061"/>
    <w:rsid w:val="000931E3"/>
    <w:rsid w:val="000937CA"/>
    <w:rsid w:val="00094D9C"/>
    <w:rsid w:val="00095AD0"/>
    <w:rsid w:val="00096370"/>
    <w:rsid w:val="00097075"/>
    <w:rsid w:val="0009731A"/>
    <w:rsid w:val="00097BAE"/>
    <w:rsid w:val="000A0A70"/>
    <w:rsid w:val="000A2CE0"/>
    <w:rsid w:val="000A3AD6"/>
    <w:rsid w:val="000A3B32"/>
    <w:rsid w:val="000A4CC3"/>
    <w:rsid w:val="000A51C7"/>
    <w:rsid w:val="000A5608"/>
    <w:rsid w:val="000A61C1"/>
    <w:rsid w:val="000A6350"/>
    <w:rsid w:val="000A63F8"/>
    <w:rsid w:val="000A74B2"/>
    <w:rsid w:val="000A7537"/>
    <w:rsid w:val="000A7CB9"/>
    <w:rsid w:val="000A7F78"/>
    <w:rsid w:val="000B1989"/>
    <w:rsid w:val="000B22E1"/>
    <w:rsid w:val="000B30F8"/>
    <w:rsid w:val="000B3A52"/>
    <w:rsid w:val="000B3C01"/>
    <w:rsid w:val="000B40A2"/>
    <w:rsid w:val="000B5103"/>
    <w:rsid w:val="000B51E2"/>
    <w:rsid w:val="000B52AE"/>
    <w:rsid w:val="000B561F"/>
    <w:rsid w:val="000B5A9D"/>
    <w:rsid w:val="000B6D79"/>
    <w:rsid w:val="000C011B"/>
    <w:rsid w:val="000C16F2"/>
    <w:rsid w:val="000C2AE8"/>
    <w:rsid w:val="000C3B9F"/>
    <w:rsid w:val="000C3CB1"/>
    <w:rsid w:val="000C48E4"/>
    <w:rsid w:val="000C4A9A"/>
    <w:rsid w:val="000C4B4C"/>
    <w:rsid w:val="000C4F32"/>
    <w:rsid w:val="000C507D"/>
    <w:rsid w:val="000C5357"/>
    <w:rsid w:val="000C5540"/>
    <w:rsid w:val="000C5E99"/>
    <w:rsid w:val="000C6BA3"/>
    <w:rsid w:val="000C748D"/>
    <w:rsid w:val="000C764C"/>
    <w:rsid w:val="000C777C"/>
    <w:rsid w:val="000C7DE6"/>
    <w:rsid w:val="000D05F0"/>
    <w:rsid w:val="000D0FE5"/>
    <w:rsid w:val="000D2173"/>
    <w:rsid w:val="000D4B96"/>
    <w:rsid w:val="000D580A"/>
    <w:rsid w:val="000D5DA2"/>
    <w:rsid w:val="000D6CD7"/>
    <w:rsid w:val="000D72D7"/>
    <w:rsid w:val="000E1CEF"/>
    <w:rsid w:val="000E2314"/>
    <w:rsid w:val="000E3AED"/>
    <w:rsid w:val="000E49DF"/>
    <w:rsid w:val="000E50C0"/>
    <w:rsid w:val="000E5AA1"/>
    <w:rsid w:val="000E6A51"/>
    <w:rsid w:val="000F01FD"/>
    <w:rsid w:val="000F06F3"/>
    <w:rsid w:val="000F07E4"/>
    <w:rsid w:val="000F1996"/>
    <w:rsid w:val="000F1A29"/>
    <w:rsid w:val="000F1ABB"/>
    <w:rsid w:val="000F239F"/>
    <w:rsid w:val="000F398A"/>
    <w:rsid w:val="000F4602"/>
    <w:rsid w:val="000F4BD6"/>
    <w:rsid w:val="000F5071"/>
    <w:rsid w:val="000F5188"/>
    <w:rsid w:val="000F5595"/>
    <w:rsid w:val="000F5E68"/>
    <w:rsid w:val="000F6DBD"/>
    <w:rsid w:val="000F7F4C"/>
    <w:rsid w:val="00101064"/>
    <w:rsid w:val="0010137B"/>
    <w:rsid w:val="00101546"/>
    <w:rsid w:val="00101E1A"/>
    <w:rsid w:val="00102CC3"/>
    <w:rsid w:val="00105130"/>
    <w:rsid w:val="00105E7C"/>
    <w:rsid w:val="00106006"/>
    <w:rsid w:val="001063B4"/>
    <w:rsid w:val="001064BD"/>
    <w:rsid w:val="0010687D"/>
    <w:rsid w:val="001077AD"/>
    <w:rsid w:val="0011050B"/>
    <w:rsid w:val="001106F2"/>
    <w:rsid w:val="00110F19"/>
    <w:rsid w:val="00111A7E"/>
    <w:rsid w:val="00111C99"/>
    <w:rsid w:val="00111F74"/>
    <w:rsid w:val="001120D8"/>
    <w:rsid w:val="001128B7"/>
    <w:rsid w:val="00114DC3"/>
    <w:rsid w:val="00114E3F"/>
    <w:rsid w:val="00114FBB"/>
    <w:rsid w:val="001154B9"/>
    <w:rsid w:val="00121E3B"/>
    <w:rsid w:val="0012209B"/>
    <w:rsid w:val="00122B40"/>
    <w:rsid w:val="00122E27"/>
    <w:rsid w:val="00122F46"/>
    <w:rsid w:val="0012389D"/>
    <w:rsid w:val="001257CB"/>
    <w:rsid w:val="001259D6"/>
    <w:rsid w:val="001259D7"/>
    <w:rsid w:val="001267A2"/>
    <w:rsid w:val="00126F89"/>
    <w:rsid w:val="001301C9"/>
    <w:rsid w:val="00130B07"/>
    <w:rsid w:val="001343E7"/>
    <w:rsid w:val="00134CD5"/>
    <w:rsid w:val="00135D56"/>
    <w:rsid w:val="001364F1"/>
    <w:rsid w:val="0013685F"/>
    <w:rsid w:val="0013724A"/>
    <w:rsid w:val="00140639"/>
    <w:rsid w:val="00141B23"/>
    <w:rsid w:val="00142F8B"/>
    <w:rsid w:val="00144668"/>
    <w:rsid w:val="00145333"/>
    <w:rsid w:val="001454C1"/>
    <w:rsid w:val="00145860"/>
    <w:rsid w:val="00145B02"/>
    <w:rsid w:val="00146823"/>
    <w:rsid w:val="00146922"/>
    <w:rsid w:val="00146A3E"/>
    <w:rsid w:val="00146D21"/>
    <w:rsid w:val="0015071E"/>
    <w:rsid w:val="00150CFD"/>
    <w:rsid w:val="0015198D"/>
    <w:rsid w:val="00151D6E"/>
    <w:rsid w:val="00152AB8"/>
    <w:rsid w:val="00152F33"/>
    <w:rsid w:val="001535BD"/>
    <w:rsid w:val="0015384C"/>
    <w:rsid w:val="00153BDB"/>
    <w:rsid w:val="0015497A"/>
    <w:rsid w:val="00157795"/>
    <w:rsid w:val="001578BA"/>
    <w:rsid w:val="0016034D"/>
    <w:rsid w:val="001604EC"/>
    <w:rsid w:val="0016075D"/>
    <w:rsid w:val="00160F4C"/>
    <w:rsid w:val="001614F4"/>
    <w:rsid w:val="001619BF"/>
    <w:rsid w:val="00161D28"/>
    <w:rsid w:val="00161DE1"/>
    <w:rsid w:val="0016314E"/>
    <w:rsid w:val="0016320B"/>
    <w:rsid w:val="00163D02"/>
    <w:rsid w:val="00163DC6"/>
    <w:rsid w:val="00163EA5"/>
    <w:rsid w:val="001662AE"/>
    <w:rsid w:val="00166C17"/>
    <w:rsid w:val="00166EA9"/>
    <w:rsid w:val="00167678"/>
    <w:rsid w:val="001707CB"/>
    <w:rsid w:val="00170982"/>
    <w:rsid w:val="00170D81"/>
    <w:rsid w:val="00170F38"/>
    <w:rsid w:val="00171F6F"/>
    <w:rsid w:val="0017210A"/>
    <w:rsid w:val="0017223E"/>
    <w:rsid w:val="00172A27"/>
    <w:rsid w:val="00172B78"/>
    <w:rsid w:val="00172D36"/>
    <w:rsid w:val="00173016"/>
    <w:rsid w:val="00173D31"/>
    <w:rsid w:val="00175BC6"/>
    <w:rsid w:val="00175C3B"/>
    <w:rsid w:val="001767B2"/>
    <w:rsid w:val="00177581"/>
    <w:rsid w:val="00177CD3"/>
    <w:rsid w:val="001800E4"/>
    <w:rsid w:val="0018027C"/>
    <w:rsid w:val="0018184A"/>
    <w:rsid w:val="00181F67"/>
    <w:rsid w:val="00182930"/>
    <w:rsid w:val="001830F6"/>
    <w:rsid w:val="00183325"/>
    <w:rsid w:val="00183B11"/>
    <w:rsid w:val="001845E5"/>
    <w:rsid w:val="00184737"/>
    <w:rsid w:val="00185299"/>
    <w:rsid w:val="00185C38"/>
    <w:rsid w:val="00186FA2"/>
    <w:rsid w:val="00191615"/>
    <w:rsid w:val="001920EA"/>
    <w:rsid w:val="00192829"/>
    <w:rsid w:val="0019374B"/>
    <w:rsid w:val="00193D9E"/>
    <w:rsid w:val="00193E97"/>
    <w:rsid w:val="001941A3"/>
    <w:rsid w:val="001958E5"/>
    <w:rsid w:val="00195F03"/>
    <w:rsid w:val="00196279"/>
    <w:rsid w:val="001964FD"/>
    <w:rsid w:val="0019773D"/>
    <w:rsid w:val="001A04C3"/>
    <w:rsid w:val="001A11C7"/>
    <w:rsid w:val="001A14E1"/>
    <w:rsid w:val="001A17DB"/>
    <w:rsid w:val="001A1BC8"/>
    <w:rsid w:val="001A24D7"/>
    <w:rsid w:val="001A2878"/>
    <w:rsid w:val="001A2B6E"/>
    <w:rsid w:val="001A3EEE"/>
    <w:rsid w:val="001A40E9"/>
    <w:rsid w:val="001A436A"/>
    <w:rsid w:val="001A5F30"/>
    <w:rsid w:val="001A6564"/>
    <w:rsid w:val="001A77FC"/>
    <w:rsid w:val="001A7F20"/>
    <w:rsid w:val="001B3B2F"/>
    <w:rsid w:val="001B4108"/>
    <w:rsid w:val="001B418C"/>
    <w:rsid w:val="001B583C"/>
    <w:rsid w:val="001B58F2"/>
    <w:rsid w:val="001B6B88"/>
    <w:rsid w:val="001B78B4"/>
    <w:rsid w:val="001B7C4B"/>
    <w:rsid w:val="001B7D08"/>
    <w:rsid w:val="001C075D"/>
    <w:rsid w:val="001C0783"/>
    <w:rsid w:val="001C0BA1"/>
    <w:rsid w:val="001C18BD"/>
    <w:rsid w:val="001C1901"/>
    <w:rsid w:val="001C4A1E"/>
    <w:rsid w:val="001C549F"/>
    <w:rsid w:val="001C5789"/>
    <w:rsid w:val="001C5D7D"/>
    <w:rsid w:val="001C63F6"/>
    <w:rsid w:val="001C6DA0"/>
    <w:rsid w:val="001C6E60"/>
    <w:rsid w:val="001C6FF7"/>
    <w:rsid w:val="001C7476"/>
    <w:rsid w:val="001C7537"/>
    <w:rsid w:val="001C77C9"/>
    <w:rsid w:val="001D0021"/>
    <w:rsid w:val="001D1528"/>
    <w:rsid w:val="001D2D09"/>
    <w:rsid w:val="001D3220"/>
    <w:rsid w:val="001D33EE"/>
    <w:rsid w:val="001D347A"/>
    <w:rsid w:val="001D3F50"/>
    <w:rsid w:val="001D4D13"/>
    <w:rsid w:val="001D4D9F"/>
    <w:rsid w:val="001D5A6D"/>
    <w:rsid w:val="001D5D78"/>
    <w:rsid w:val="001D638D"/>
    <w:rsid w:val="001D71ED"/>
    <w:rsid w:val="001D7317"/>
    <w:rsid w:val="001E02BE"/>
    <w:rsid w:val="001E040C"/>
    <w:rsid w:val="001E208D"/>
    <w:rsid w:val="001E2CDF"/>
    <w:rsid w:val="001E2F2B"/>
    <w:rsid w:val="001E3511"/>
    <w:rsid w:val="001E35A6"/>
    <w:rsid w:val="001E41FE"/>
    <w:rsid w:val="001E584B"/>
    <w:rsid w:val="001E66BC"/>
    <w:rsid w:val="001E76AE"/>
    <w:rsid w:val="001F0375"/>
    <w:rsid w:val="001F1795"/>
    <w:rsid w:val="001F1E93"/>
    <w:rsid w:val="001F237D"/>
    <w:rsid w:val="001F403A"/>
    <w:rsid w:val="001F53EE"/>
    <w:rsid w:val="001F655D"/>
    <w:rsid w:val="001F68AE"/>
    <w:rsid w:val="001F6B2F"/>
    <w:rsid w:val="00200873"/>
    <w:rsid w:val="00200A1C"/>
    <w:rsid w:val="0020173A"/>
    <w:rsid w:val="00201EF8"/>
    <w:rsid w:val="002023C5"/>
    <w:rsid w:val="00202584"/>
    <w:rsid w:val="0020327D"/>
    <w:rsid w:val="00204CCB"/>
    <w:rsid w:val="00205096"/>
    <w:rsid w:val="00206327"/>
    <w:rsid w:val="002069F1"/>
    <w:rsid w:val="00206B3F"/>
    <w:rsid w:val="00206FE5"/>
    <w:rsid w:val="00210089"/>
    <w:rsid w:val="00210139"/>
    <w:rsid w:val="00210D6F"/>
    <w:rsid w:val="00210F19"/>
    <w:rsid w:val="002124E5"/>
    <w:rsid w:val="002125CF"/>
    <w:rsid w:val="00213202"/>
    <w:rsid w:val="00213A6D"/>
    <w:rsid w:val="00213CBC"/>
    <w:rsid w:val="0021415F"/>
    <w:rsid w:val="002141E1"/>
    <w:rsid w:val="002164C3"/>
    <w:rsid w:val="00216F08"/>
    <w:rsid w:val="00217250"/>
    <w:rsid w:val="00217CE4"/>
    <w:rsid w:val="00217E22"/>
    <w:rsid w:val="00220AEA"/>
    <w:rsid w:val="00220D1A"/>
    <w:rsid w:val="00221159"/>
    <w:rsid w:val="0022140B"/>
    <w:rsid w:val="0022164D"/>
    <w:rsid w:val="00221C25"/>
    <w:rsid w:val="0022297F"/>
    <w:rsid w:val="002231A9"/>
    <w:rsid w:val="002235CE"/>
    <w:rsid w:val="00224C9C"/>
    <w:rsid w:val="00225873"/>
    <w:rsid w:val="0022637E"/>
    <w:rsid w:val="00226629"/>
    <w:rsid w:val="00227BD3"/>
    <w:rsid w:val="00227D9E"/>
    <w:rsid w:val="00230999"/>
    <w:rsid w:val="00231911"/>
    <w:rsid w:val="00231D2E"/>
    <w:rsid w:val="00232999"/>
    <w:rsid w:val="002355D1"/>
    <w:rsid w:val="00235704"/>
    <w:rsid w:val="002365FB"/>
    <w:rsid w:val="002369B1"/>
    <w:rsid w:val="00237061"/>
    <w:rsid w:val="00237263"/>
    <w:rsid w:val="002372A1"/>
    <w:rsid w:val="00237E0B"/>
    <w:rsid w:val="00240BB5"/>
    <w:rsid w:val="00241C53"/>
    <w:rsid w:val="002430D3"/>
    <w:rsid w:val="002433EA"/>
    <w:rsid w:val="00243F0A"/>
    <w:rsid w:val="002440A6"/>
    <w:rsid w:val="002453A1"/>
    <w:rsid w:val="002458DB"/>
    <w:rsid w:val="0024666C"/>
    <w:rsid w:val="00246E25"/>
    <w:rsid w:val="00250519"/>
    <w:rsid w:val="002506CA"/>
    <w:rsid w:val="002519F4"/>
    <w:rsid w:val="00251BE8"/>
    <w:rsid w:val="00251CCD"/>
    <w:rsid w:val="002535AF"/>
    <w:rsid w:val="002537A3"/>
    <w:rsid w:val="0025464F"/>
    <w:rsid w:val="00254A6D"/>
    <w:rsid w:val="0025538D"/>
    <w:rsid w:val="00255670"/>
    <w:rsid w:val="00255CB9"/>
    <w:rsid w:val="0026027F"/>
    <w:rsid w:val="002603F3"/>
    <w:rsid w:val="002608E7"/>
    <w:rsid w:val="0026115D"/>
    <w:rsid w:val="00262C0A"/>
    <w:rsid w:val="002633ED"/>
    <w:rsid w:val="002636A7"/>
    <w:rsid w:val="00263EEB"/>
    <w:rsid w:val="00264E01"/>
    <w:rsid w:val="0026576D"/>
    <w:rsid w:val="0026611D"/>
    <w:rsid w:val="0026696D"/>
    <w:rsid w:val="0026754A"/>
    <w:rsid w:val="00270496"/>
    <w:rsid w:val="00271296"/>
    <w:rsid w:val="0027189D"/>
    <w:rsid w:val="0027219A"/>
    <w:rsid w:val="00272922"/>
    <w:rsid w:val="00273F8A"/>
    <w:rsid w:val="00275952"/>
    <w:rsid w:val="0027764A"/>
    <w:rsid w:val="002807EB"/>
    <w:rsid w:val="00280E12"/>
    <w:rsid w:val="00281102"/>
    <w:rsid w:val="0028196D"/>
    <w:rsid w:val="00281B78"/>
    <w:rsid w:val="00281D68"/>
    <w:rsid w:val="002823C3"/>
    <w:rsid w:val="00282450"/>
    <w:rsid w:val="00282BE6"/>
    <w:rsid w:val="00282CC8"/>
    <w:rsid w:val="00282DA8"/>
    <w:rsid w:val="0028317A"/>
    <w:rsid w:val="00283E72"/>
    <w:rsid w:val="002842D9"/>
    <w:rsid w:val="00284427"/>
    <w:rsid w:val="00285126"/>
    <w:rsid w:val="00286869"/>
    <w:rsid w:val="00290232"/>
    <w:rsid w:val="002905E5"/>
    <w:rsid w:val="00290EE2"/>
    <w:rsid w:val="002914EB"/>
    <w:rsid w:val="00291679"/>
    <w:rsid w:val="00292B02"/>
    <w:rsid w:val="00293348"/>
    <w:rsid w:val="002941A9"/>
    <w:rsid w:val="0029444D"/>
    <w:rsid w:val="002947DC"/>
    <w:rsid w:val="00295BFE"/>
    <w:rsid w:val="0029685E"/>
    <w:rsid w:val="002972D6"/>
    <w:rsid w:val="00297A51"/>
    <w:rsid w:val="002A034A"/>
    <w:rsid w:val="002A0520"/>
    <w:rsid w:val="002A11AC"/>
    <w:rsid w:val="002A128C"/>
    <w:rsid w:val="002A1823"/>
    <w:rsid w:val="002A1F9B"/>
    <w:rsid w:val="002A24FF"/>
    <w:rsid w:val="002A3872"/>
    <w:rsid w:val="002A402B"/>
    <w:rsid w:val="002A4AC9"/>
    <w:rsid w:val="002A4E2A"/>
    <w:rsid w:val="002A558A"/>
    <w:rsid w:val="002A5988"/>
    <w:rsid w:val="002A77CE"/>
    <w:rsid w:val="002B11B6"/>
    <w:rsid w:val="002B3646"/>
    <w:rsid w:val="002B5B10"/>
    <w:rsid w:val="002B5CF4"/>
    <w:rsid w:val="002B5DD1"/>
    <w:rsid w:val="002B679E"/>
    <w:rsid w:val="002C015C"/>
    <w:rsid w:val="002C06BD"/>
    <w:rsid w:val="002C0976"/>
    <w:rsid w:val="002C0CF4"/>
    <w:rsid w:val="002C2A47"/>
    <w:rsid w:val="002C2E03"/>
    <w:rsid w:val="002C2E10"/>
    <w:rsid w:val="002C3677"/>
    <w:rsid w:val="002C3756"/>
    <w:rsid w:val="002C3C8D"/>
    <w:rsid w:val="002C3D13"/>
    <w:rsid w:val="002C482E"/>
    <w:rsid w:val="002C5761"/>
    <w:rsid w:val="002C6073"/>
    <w:rsid w:val="002C6124"/>
    <w:rsid w:val="002C650F"/>
    <w:rsid w:val="002C6E55"/>
    <w:rsid w:val="002C7E5F"/>
    <w:rsid w:val="002D05DA"/>
    <w:rsid w:val="002D0D95"/>
    <w:rsid w:val="002D0F29"/>
    <w:rsid w:val="002D1041"/>
    <w:rsid w:val="002D10C4"/>
    <w:rsid w:val="002D1A1E"/>
    <w:rsid w:val="002D2669"/>
    <w:rsid w:val="002D2B46"/>
    <w:rsid w:val="002D50B6"/>
    <w:rsid w:val="002D5174"/>
    <w:rsid w:val="002D54EB"/>
    <w:rsid w:val="002D56FD"/>
    <w:rsid w:val="002D5E20"/>
    <w:rsid w:val="002D6F0F"/>
    <w:rsid w:val="002D7CD7"/>
    <w:rsid w:val="002E062C"/>
    <w:rsid w:val="002E2FC3"/>
    <w:rsid w:val="002E3275"/>
    <w:rsid w:val="002E3EEA"/>
    <w:rsid w:val="002E460F"/>
    <w:rsid w:val="002E5D50"/>
    <w:rsid w:val="002E5FE0"/>
    <w:rsid w:val="002E6184"/>
    <w:rsid w:val="002E64BA"/>
    <w:rsid w:val="002E68FC"/>
    <w:rsid w:val="002E6B67"/>
    <w:rsid w:val="002E71EE"/>
    <w:rsid w:val="002E75B7"/>
    <w:rsid w:val="002E77D8"/>
    <w:rsid w:val="002F1107"/>
    <w:rsid w:val="002F136F"/>
    <w:rsid w:val="002F17F7"/>
    <w:rsid w:val="002F210E"/>
    <w:rsid w:val="002F47E5"/>
    <w:rsid w:val="002F4AA7"/>
    <w:rsid w:val="002F5B25"/>
    <w:rsid w:val="002F6728"/>
    <w:rsid w:val="002F786B"/>
    <w:rsid w:val="003005C0"/>
    <w:rsid w:val="003006E6"/>
    <w:rsid w:val="0030121B"/>
    <w:rsid w:val="00302C8B"/>
    <w:rsid w:val="00304A4B"/>
    <w:rsid w:val="00304E9F"/>
    <w:rsid w:val="0030504E"/>
    <w:rsid w:val="003053AE"/>
    <w:rsid w:val="00305462"/>
    <w:rsid w:val="00305C5D"/>
    <w:rsid w:val="00306B19"/>
    <w:rsid w:val="0030789A"/>
    <w:rsid w:val="00307AA9"/>
    <w:rsid w:val="00307B07"/>
    <w:rsid w:val="00310049"/>
    <w:rsid w:val="0031008C"/>
    <w:rsid w:val="00310462"/>
    <w:rsid w:val="00310584"/>
    <w:rsid w:val="003111A8"/>
    <w:rsid w:val="0031314A"/>
    <w:rsid w:val="00314064"/>
    <w:rsid w:val="003143BB"/>
    <w:rsid w:val="0031568C"/>
    <w:rsid w:val="003159CD"/>
    <w:rsid w:val="003164B4"/>
    <w:rsid w:val="0031681D"/>
    <w:rsid w:val="003210EF"/>
    <w:rsid w:val="00321670"/>
    <w:rsid w:val="0032188D"/>
    <w:rsid w:val="00322A23"/>
    <w:rsid w:val="00324C17"/>
    <w:rsid w:val="003258DF"/>
    <w:rsid w:val="00325BEA"/>
    <w:rsid w:val="003302C8"/>
    <w:rsid w:val="00331F2E"/>
    <w:rsid w:val="00332216"/>
    <w:rsid w:val="00333302"/>
    <w:rsid w:val="003342B0"/>
    <w:rsid w:val="00334E7E"/>
    <w:rsid w:val="00336B1C"/>
    <w:rsid w:val="00337CA3"/>
    <w:rsid w:val="00340A01"/>
    <w:rsid w:val="00342009"/>
    <w:rsid w:val="00342360"/>
    <w:rsid w:val="00342EAE"/>
    <w:rsid w:val="0034312A"/>
    <w:rsid w:val="003437D1"/>
    <w:rsid w:val="00343864"/>
    <w:rsid w:val="00343E11"/>
    <w:rsid w:val="003444E9"/>
    <w:rsid w:val="00344D53"/>
    <w:rsid w:val="00344DB7"/>
    <w:rsid w:val="00344E68"/>
    <w:rsid w:val="003456D5"/>
    <w:rsid w:val="003478AA"/>
    <w:rsid w:val="00347E5B"/>
    <w:rsid w:val="0035100F"/>
    <w:rsid w:val="0035118E"/>
    <w:rsid w:val="0035169F"/>
    <w:rsid w:val="00352CF9"/>
    <w:rsid w:val="00352F45"/>
    <w:rsid w:val="003532F7"/>
    <w:rsid w:val="003535C0"/>
    <w:rsid w:val="0035370F"/>
    <w:rsid w:val="00354921"/>
    <w:rsid w:val="00354CBC"/>
    <w:rsid w:val="003565B0"/>
    <w:rsid w:val="00356CBD"/>
    <w:rsid w:val="00356CE3"/>
    <w:rsid w:val="00356F08"/>
    <w:rsid w:val="00360711"/>
    <w:rsid w:val="00362C31"/>
    <w:rsid w:val="003634D7"/>
    <w:rsid w:val="00363B38"/>
    <w:rsid w:val="0036415D"/>
    <w:rsid w:val="00364BCF"/>
    <w:rsid w:val="00365566"/>
    <w:rsid w:val="003658D8"/>
    <w:rsid w:val="0036599E"/>
    <w:rsid w:val="00365DC5"/>
    <w:rsid w:val="00367005"/>
    <w:rsid w:val="00370212"/>
    <w:rsid w:val="00370D45"/>
    <w:rsid w:val="00370E3E"/>
    <w:rsid w:val="00371214"/>
    <w:rsid w:val="0037148D"/>
    <w:rsid w:val="003715EE"/>
    <w:rsid w:val="0037282B"/>
    <w:rsid w:val="00374061"/>
    <w:rsid w:val="00374A29"/>
    <w:rsid w:val="00374B15"/>
    <w:rsid w:val="003758B5"/>
    <w:rsid w:val="00375C1D"/>
    <w:rsid w:val="0037600F"/>
    <w:rsid w:val="00377419"/>
    <w:rsid w:val="003775DE"/>
    <w:rsid w:val="0038058B"/>
    <w:rsid w:val="003809EB"/>
    <w:rsid w:val="00380B59"/>
    <w:rsid w:val="003810AF"/>
    <w:rsid w:val="00381DE8"/>
    <w:rsid w:val="00383575"/>
    <w:rsid w:val="003845B1"/>
    <w:rsid w:val="00385A92"/>
    <w:rsid w:val="00386216"/>
    <w:rsid w:val="0039041C"/>
    <w:rsid w:val="0039118D"/>
    <w:rsid w:val="003919F9"/>
    <w:rsid w:val="003942FA"/>
    <w:rsid w:val="00394875"/>
    <w:rsid w:val="0039508D"/>
    <w:rsid w:val="0039513C"/>
    <w:rsid w:val="00396B5B"/>
    <w:rsid w:val="00397A2C"/>
    <w:rsid w:val="00397A3E"/>
    <w:rsid w:val="003A1DC8"/>
    <w:rsid w:val="003A26A9"/>
    <w:rsid w:val="003A39EB"/>
    <w:rsid w:val="003A4B44"/>
    <w:rsid w:val="003A5625"/>
    <w:rsid w:val="003A5782"/>
    <w:rsid w:val="003A5A5E"/>
    <w:rsid w:val="003A5F2A"/>
    <w:rsid w:val="003A664C"/>
    <w:rsid w:val="003A69B0"/>
    <w:rsid w:val="003A6F04"/>
    <w:rsid w:val="003B0265"/>
    <w:rsid w:val="003B08F3"/>
    <w:rsid w:val="003B0D14"/>
    <w:rsid w:val="003B1E8A"/>
    <w:rsid w:val="003B263C"/>
    <w:rsid w:val="003B3722"/>
    <w:rsid w:val="003B4079"/>
    <w:rsid w:val="003B4711"/>
    <w:rsid w:val="003B5E80"/>
    <w:rsid w:val="003B7E6C"/>
    <w:rsid w:val="003C1521"/>
    <w:rsid w:val="003C160B"/>
    <w:rsid w:val="003C2FF5"/>
    <w:rsid w:val="003C3305"/>
    <w:rsid w:val="003C356A"/>
    <w:rsid w:val="003C3B52"/>
    <w:rsid w:val="003C4074"/>
    <w:rsid w:val="003C58C0"/>
    <w:rsid w:val="003C5E1B"/>
    <w:rsid w:val="003C5ED2"/>
    <w:rsid w:val="003C607A"/>
    <w:rsid w:val="003C656F"/>
    <w:rsid w:val="003C6ED0"/>
    <w:rsid w:val="003C6F0C"/>
    <w:rsid w:val="003C7231"/>
    <w:rsid w:val="003C7541"/>
    <w:rsid w:val="003D075B"/>
    <w:rsid w:val="003D10FA"/>
    <w:rsid w:val="003D11F8"/>
    <w:rsid w:val="003D13DD"/>
    <w:rsid w:val="003D1441"/>
    <w:rsid w:val="003D1E5F"/>
    <w:rsid w:val="003D35BB"/>
    <w:rsid w:val="003D3869"/>
    <w:rsid w:val="003D40BF"/>
    <w:rsid w:val="003D4B05"/>
    <w:rsid w:val="003D60D1"/>
    <w:rsid w:val="003D66F0"/>
    <w:rsid w:val="003D6A46"/>
    <w:rsid w:val="003E07A3"/>
    <w:rsid w:val="003E0E79"/>
    <w:rsid w:val="003E1697"/>
    <w:rsid w:val="003E1ADA"/>
    <w:rsid w:val="003E1C7A"/>
    <w:rsid w:val="003E35DA"/>
    <w:rsid w:val="003E3CF6"/>
    <w:rsid w:val="003E63EF"/>
    <w:rsid w:val="003E6D37"/>
    <w:rsid w:val="003E750F"/>
    <w:rsid w:val="003E7707"/>
    <w:rsid w:val="003E785B"/>
    <w:rsid w:val="003E7B31"/>
    <w:rsid w:val="003E7BD4"/>
    <w:rsid w:val="003F0B9E"/>
    <w:rsid w:val="003F0CF5"/>
    <w:rsid w:val="003F1FFA"/>
    <w:rsid w:val="003F2150"/>
    <w:rsid w:val="003F219E"/>
    <w:rsid w:val="003F2F84"/>
    <w:rsid w:val="003F38A6"/>
    <w:rsid w:val="003F564C"/>
    <w:rsid w:val="003F772C"/>
    <w:rsid w:val="003F7B5A"/>
    <w:rsid w:val="00401078"/>
    <w:rsid w:val="004017C2"/>
    <w:rsid w:val="00401C4C"/>
    <w:rsid w:val="004022AB"/>
    <w:rsid w:val="0040273E"/>
    <w:rsid w:val="00402A9D"/>
    <w:rsid w:val="00403B11"/>
    <w:rsid w:val="00403B52"/>
    <w:rsid w:val="00403D68"/>
    <w:rsid w:val="00404AF3"/>
    <w:rsid w:val="00404E23"/>
    <w:rsid w:val="00405689"/>
    <w:rsid w:val="00406DD7"/>
    <w:rsid w:val="004075D6"/>
    <w:rsid w:val="00411A55"/>
    <w:rsid w:val="00413D90"/>
    <w:rsid w:val="00414488"/>
    <w:rsid w:val="00414735"/>
    <w:rsid w:val="00414B29"/>
    <w:rsid w:val="004150DB"/>
    <w:rsid w:val="0041537D"/>
    <w:rsid w:val="004154E6"/>
    <w:rsid w:val="00415A94"/>
    <w:rsid w:val="004165C7"/>
    <w:rsid w:val="00416778"/>
    <w:rsid w:val="0041763B"/>
    <w:rsid w:val="00417DF5"/>
    <w:rsid w:val="004204F9"/>
    <w:rsid w:val="00420A28"/>
    <w:rsid w:val="00421DE4"/>
    <w:rsid w:val="004228CD"/>
    <w:rsid w:val="00422CDF"/>
    <w:rsid w:val="00422FCD"/>
    <w:rsid w:val="00423A40"/>
    <w:rsid w:val="00423BB5"/>
    <w:rsid w:val="00423C2C"/>
    <w:rsid w:val="0042479B"/>
    <w:rsid w:val="00425228"/>
    <w:rsid w:val="004252D5"/>
    <w:rsid w:val="00425570"/>
    <w:rsid w:val="00425607"/>
    <w:rsid w:val="00425B4A"/>
    <w:rsid w:val="00426DA5"/>
    <w:rsid w:val="00427C2B"/>
    <w:rsid w:val="00430BDF"/>
    <w:rsid w:val="004311F6"/>
    <w:rsid w:val="00431B51"/>
    <w:rsid w:val="00431EB0"/>
    <w:rsid w:val="00431EE6"/>
    <w:rsid w:val="00433643"/>
    <w:rsid w:val="0043445D"/>
    <w:rsid w:val="004347EB"/>
    <w:rsid w:val="004348D0"/>
    <w:rsid w:val="00435215"/>
    <w:rsid w:val="00435846"/>
    <w:rsid w:val="00436232"/>
    <w:rsid w:val="00436E82"/>
    <w:rsid w:val="004376A7"/>
    <w:rsid w:val="00437B6D"/>
    <w:rsid w:val="00440904"/>
    <w:rsid w:val="00441471"/>
    <w:rsid w:val="00441822"/>
    <w:rsid w:val="0044296C"/>
    <w:rsid w:val="00442B6F"/>
    <w:rsid w:val="004433A1"/>
    <w:rsid w:val="004441EC"/>
    <w:rsid w:val="00444769"/>
    <w:rsid w:val="00444EE7"/>
    <w:rsid w:val="0044585D"/>
    <w:rsid w:val="00446CD3"/>
    <w:rsid w:val="00446FCB"/>
    <w:rsid w:val="00447109"/>
    <w:rsid w:val="00447914"/>
    <w:rsid w:val="00451C15"/>
    <w:rsid w:val="004523B6"/>
    <w:rsid w:val="0045274E"/>
    <w:rsid w:val="004557A3"/>
    <w:rsid w:val="004561AA"/>
    <w:rsid w:val="0045712D"/>
    <w:rsid w:val="00457808"/>
    <w:rsid w:val="00461354"/>
    <w:rsid w:val="00461CE4"/>
    <w:rsid w:val="004620CE"/>
    <w:rsid w:val="00462186"/>
    <w:rsid w:val="0046309F"/>
    <w:rsid w:val="00464351"/>
    <w:rsid w:val="0046498E"/>
    <w:rsid w:val="00465A71"/>
    <w:rsid w:val="004673CC"/>
    <w:rsid w:val="0047058D"/>
    <w:rsid w:val="004707E5"/>
    <w:rsid w:val="00470FC5"/>
    <w:rsid w:val="00471D1C"/>
    <w:rsid w:val="004724F2"/>
    <w:rsid w:val="00472B79"/>
    <w:rsid w:val="00472D8D"/>
    <w:rsid w:val="0047368D"/>
    <w:rsid w:val="004738FF"/>
    <w:rsid w:val="00473AB0"/>
    <w:rsid w:val="00473B82"/>
    <w:rsid w:val="00474624"/>
    <w:rsid w:val="00474DB4"/>
    <w:rsid w:val="00476DEE"/>
    <w:rsid w:val="00477574"/>
    <w:rsid w:val="00477613"/>
    <w:rsid w:val="004778BE"/>
    <w:rsid w:val="00477ABA"/>
    <w:rsid w:val="00481077"/>
    <w:rsid w:val="00481E28"/>
    <w:rsid w:val="00484ACC"/>
    <w:rsid w:val="00485F42"/>
    <w:rsid w:val="00485F76"/>
    <w:rsid w:val="00487451"/>
    <w:rsid w:val="00490498"/>
    <w:rsid w:val="00490A15"/>
    <w:rsid w:val="00491A5B"/>
    <w:rsid w:val="0049212F"/>
    <w:rsid w:val="00493E69"/>
    <w:rsid w:val="00495A11"/>
    <w:rsid w:val="004965BD"/>
    <w:rsid w:val="00496C60"/>
    <w:rsid w:val="00496CF3"/>
    <w:rsid w:val="004A030B"/>
    <w:rsid w:val="004A11F7"/>
    <w:rsid w:val="004A3359"/>
    <w:rsid w:val="004A3654"/>
    <w:rsid w:val="004A3ADF"/>
    <w:rsid w:val="004A40C4"/>
    <w:rsid w:val="004A5485"/>
    <w:rsid w:val="004A5652"/>
    <w:rsid w:val="004A58B0"/>
    <w:rsid w:val="004A623A"/>
    <w:rsid w:val="004A78EA"/>
    <w:rsid w:val="004B0FFD"/>
    <w:rsid w:val="004B11DB"/>
    <w:rsid w:val="004B15D4"/>
    <w:rsid w:val="004B17FF"/>
    <w:rsid w:val="004B1ECD"/>
    <w:rsid w:val="004B1F09"/>
    <w:rsid w:val="004B7F66"/>
    <w:rsid w:val="004C05DB"/>
    <w:rsid w:val="004C075A"/>
    <w:rsid w:val="004C1BDA"/>
    <w:rsid w:val="004C23B9"/>
    <w:rsid w:val="004C2678"/>
    <w:rsid w:val="004C34A8"/>
    <w:rsid w:val="004C5284"/>
    <w:rsid w:val="004C559A"/>
    <w:rsid w:val="004C5B07"/>
    <w:rsid w:val="004C6008"/>
    <w:rsid w:val="004C671F"/>
    <w:rsid w:val="004C73C3"/>
    <w:rsid w:val="004C7EF2"/>
    <w:rsid w:val="004D0D87"/>
    <w:rsid w:val="004D1340"/>
    <w:rsid w:val="004D1B08"/>
    <w:rsid w:val="004D25BF"/>
    <w:rsid w:val="004D2BE8"/>
    <w:rsid w:val="004D36E9"/>
    <w:rsid w:val="004D3704"/>
    <w:rsid w:val="004D3D5A"/>
    <w:rsid w:val="004D435B"/>
    <w:rsid w:val="004D50D9"/>
    <w:rsid w:val="004D5145"/>
    <w:rsid w:val="004D5D87"/>
    <w:rsid w:val="004D698A"/>
    <w:rsid w:val="004D6BF6"/>
    <w:rsid w:val="004D6EA4"/>
    <w:rsid w:val="004D7453"/>
    <w:rsid w:val="004D74AF"/>
    <w:rsid w:val="004D77AB"/>
    <w:rsid w:val="004D7A3C"/>
    <w:rsid w:val="004E07A8"/>
    <w:rsid w:val="004E10F8"/>
    <w:rsid w:val="004E262B"/>
    <w:rsid w:val="004E2C63"/>
    <w:rsid w:val="004E3113"/>
    <w:rsid w:val="004E62D0"/>
    <w:rsid w:val="004E72A8"/>
    <w:rsid w:val="004E77DB"/>
    <w:rsid w:val="004E7CAB"/>
    <w:rsid w:val="004E7DF4"/>
    <w:rsid w:val="004F060C"/>
    <w:rsid w:val="004F1F3B"/>
    <w:rsid w:val="004F2408"/>
    <w:rsid w:val="004F2A17"/>
    <w:rsid w:val="004F2C74"/>
    <w:rsid w:val="004F33E4"/>
    <w:rsid w:val="004F4EBE"/>
    <w:rsid w:val="004F50F3"/>
    <w:rsid w:val="004F6776"/>
    <w:rsid w:val="004F71F8"/>
    <w:rsid w:val="004F7404"/>
    <w:rsid w:val="00500E72"/>
    <w:rsid w:val="00501A1A"/>
    <w:rsid w:val="00503434"/>
    <w:rsid w:val="00503B6A"/>
    <w:rsid w:val="00504176"/>
    <w:rsid w:val="00504B06"/>
    <w:rsid w:val="00505029"/>
    <w:rsid w:val="005050E5"/>
    <w:rsid w:val="00505252"/>
    <w:rsid w:val="0050640C"/>
    <w:rsid w:val="00506CCC"/>
    <w:rsid w:val="00512B8D"/>
    <w:rsid w:val="00513397"/>
    <w:rsid w:val="00513922"/>
    <w:rsid w:val="00513AA0"/>
    <w:rsid w:val="00514840"/>
    <w:rsid w:val="00516716"/>
    <w:rsid w:val="0051723E"/>
    <w:rsid w:val="005172EC"/>
    <w:rsid w:val="005175C5"/>
    <w:rsid w:val="00517681"/>
    <w:rsid w:val="00517CC8"/>
    <w:rsid w:val="0052123A"/>
    <w:rsid w:val="005212B8"/>
    <w:rsid w:val="0052165F"/>
    <w:rsid w:val="005226A7"/>
    <w:rsid w:val="00524492"/>
    <w:rsid w:val="005269B1"/>
    <w:rsid w:val="00527C3B"/>
    <w:rsid w:val="00527D42"/>
    <w:rsid w:val="00530293"/>
    <w:rsid w:val="00530863"/>
    <w:rsid w:val="00530D16"/>
    <w:rsid w:val="00532095"/>
    <w:rsid w:val="00532849"/>
    <w:rsid w:val="00532AFC"/>
    <w:rsid w:val="00534288"/>
    <w:rsid w:val="005347EC"/>
    <w:rsid w:val="00534B4A"/>
    <w:rsid w:val="0053514A"/>
    <w:rsid w:val="005356EC"/>
    <w:rsid w:val="00535725"/>
    <w:rsid w:val="00536A03"/>
    <w:rsid w:val="00536A30"/>
    <w:rsid w:val="00541483"/>
    <w:rsid w:val="00542D3B"/>
    <w:rsid w:val="00543E5D"/>
    <w:rsid w:val="00544A0B"/>
    <w:rsid w:val="00544D1B"/>
    <w:rsid w:val="00546512"/>
    <w:rsid w:val="005467C7"/>
    <w:rsid w:val="005468C9"/>
    <w:rsid w:val="00546915"/>
    <w:rsid w:val="00546B91"/>
    <w:rsid w:val="00546C98"/>
    <w:rsid w:val="00547136"/>
    <w:rsid w:val="0054731B"/>
    <w:rsid w:val="00547AAB"/>
    <w:rsid w:val="00547E5F"/>
    <w:rsid w:val="0055022E"/>
    <w:rsid w:val="0055070A"/>
    <w:rsid w:val="00551A9B"/>
    <w:rsid w:val="00551BC2"/>
    <w:rsid w:val="00552EBD"/>
    <w:rsid w:val="0055321F"/>
    <w:rsid w:val="0055337C"/>
    <w:rsid w:val="005538B1"/>
    <w:rsid w:val="005539CD"/>
    <w:rsid w:val="00554062"/>
    <w:rsid w:val="005541C0"/>
    <w:rsid w:val="0055427D"/>
    <w:rsid w:val="005544CD"/>
    <w:rsid w:val="0055503F"/>
    <w:rsid w:val="005561C4"/>
    <w:rsid w:val="00556299"/>
    <w:rsid w:val="005568E4"/>
    <w:rsid w:val="00557393"/>
    <w:rsid w:val="00557629"/>
    <w:rsid w:val="00557CC2"/>
    <w:rsid w:val="0056082F"/>
    <w:rsid w:val="005609F1"/>
    <w:rsid w:val="00562A68"/>
    <w:rsid w:val="00564AA0"/>
    <w:rsid w:val="00566060"/>
    <w:rsid w:val="005670A8"/>
    <w:rsid w:val="005677A0"/>
    <w:rsid w:val="00567DF0"/>
    <w:rsid w:val="0057169B"/>
    <w:rsid w:val="005726EC"/>
    <w:rsid w:val="005728D9"/>
    <w:rsid w:val="00572BB3"/>
    <w:rsid w:val="00572E25"/>
    <w:rsid w:val="005744E2"/>
    <w:rsid w:val="00575715"/>
    <w:rsid w:val="00575AAE"/>
    <w:rsid w:val="0057609A"/>
    <w:rsid w:val="005766F4"/>
    <w:rsid w:val="00576902"/>
    <w:rsid w:val="00576CF7"/>
    <w:rsid w:val="00577162"/>
    <w:rsid w:val="00577DD6"/>
    <w:rsid w:val="0058014B"/>
    <w:rsid w:val="005805A8"/>
    <w:rsid w:val="00580B39"/>
    <w:rsid w:val="00580BE7"/>
    <w:rsid w:val="0058188C"/>
    <w:rsid w:val="00582C03"/>
    <w:rsid w:val="00582F92"/>
    <w:rsid w:val="0058341A"/>
    <w:rsid w:val="005864AD"/>
    <w:rsid w:val="005871DC"/>
    <w:rsid w:val="0059001F"/>
    <w:rsid w:val="00590418"/>
    <w:rsid w:val="00590F3C"/>
    <w:rsid w:val="005914BF"/>
    <w:rsid w:val="00592857"/>
    <w:rsid w:val="00592AEE"/>
    <w:rsid w:val="005932E6"/>
    <w:rsid w:val="005934B3"/>
    <w:rsid w:val="005934C2"/>
    <w:rsid w:val="00594A55"/>
    <w:rsid w:val="00594C2D"/>
    <w:rsid w:val="00594EA5"/>
    <w:rsid w:val="0059636C"/>
    <w:rsid w:val="00596593"/>
    <w:rsid w:val="00596F47"/>
    <w:rsid w:val="005A0A0A"/>
    <w:rsid w:val="005A0C51"/>
    <w:rsid w:val="005A0D2E"/>
    <w:rsid w:val="005A1EF0"/>
    <w:rsid w:val="005A23F8"/>
    <w:rsid w:val="005A2555"/>
    <w:rsid w:val="005A26FA"/>
    <w:rsid w:val="005A390D"/>
    <w:rsid w:val="005A39B5"/>
    <w:rsid w:val="005A3C84"/>
    <w:rsid w:val="005A3F96"/>
    <w:rsid w:val="005A4015"/>
    <w:rsid w:val="005A53EB"/>
    <w:rsid w:val="005A5BFE"/>
    <w:rsid w:val="005A72FD"/>
    <w:rsid w:val="005A778D"/>
    <w:rsid w:val="005B0491"/>
    <w:rsid w:val="005B1347"/>
    <w:rsid w:val="005B1553"/>
    <w:rsid w:val="005B2175"/>
    <w:rsid w:val="005B2406"/>
    <w:rsid w:val="005B2733"/>
    <w:rsid w:val="005B3461"/>
    <w:rsid w:val="005B3747"/>
    <w:rsid w:val="005B571C"/>
    <w:rsid w:val="005B5DB5"/>
    <w:rsid w:val="005B7A15"/>
    <w:rsid w:val="005C0A0C"/>
    <w:rsid w:val="005C0A65"/>
    <w:rsid w:val="005C121A"/>
    <w:rsid w:val="005C1F28"/>
    <w:rsid w:val="005C2108"/>
    <w:rsid w:val="005C236C"/>
    <w:rsid w:val="005C2E94"/>
    <w:rsid w:val="005C3037"/>
    <w:rsid w:val="005C31F0"/>
    <w:rsid w:val="005C32D0"/>
    <w:rsid w:val="005C53B6"/>
    <w:rsid w:val="005C59B1"/>
    <w:rsid w:val="005C61C8"/>
    <w:rsid w:val="005C6211"/>
    <w:rsid w:val="005C68B0"/>
    <w:rsid w:val="005C7CA9"/>
    <w:rsid w:val="005D006D"/>
    <w:rsid w:val="005D0110"/>
    <w:rsid w:val="005D0639"/>
    <w:rsid w:val="005D1878"/>
    <w:rsid w:val="005D3C24"/>
    <w:rsid w:val="005D3C39"/>
    <w:rsid w:val="005D4247"/>
    <w:rsid w:val="005D49AE"/>
    <w:rsid w:val="005D51C8"/>
    <w:rsid w:val="005D6CFB"/>
    <w:rsid w:val="005D7D4A"/>
    <w:rsid w:val="005E067C"/>
    <w:rsid w:val="005E2720"/>
    <w:rsid w:val="005E29D1"/>
    <w:rsid w:val="005E3A22"/>
    <w:rsid w:val="005E4D87"/>
    <w:rsid w:val="005E5EC6"/>
    <w:rsid w:val="005F19AA"/>
    <w:rsid w:val="005F24FC"/>
    <w:rsid w:val="005F2C23"/>
    <w:rsid w:val="005F5819"/>
    <w:rsid w:val="005F5FF6"/>
    <w:rsid w:val="005F764A"/>
    <w:rsid w:val="00600131"/>
    <w:rsid w:val="006001B0"/>
    <w:rsid w:val="00600C29"/>
    <w:rsid w:val="006017E7"/>
    <w:rsid w:val="00601DA9"/>
    <w:rsid w:val="006036B7"/>
    <w:rsid w:val="00603EF2"/>
    <w:rsid w:val="0060457B"/>
    <w:rsid w:val="0060464B"/>
    <w:rsid w:val="00605362"/>
    <w:rsid w:val="00606C6A"/>
    <w:rsid w:val="00606DE0"/>
    <w:rsid w:val="00606F66"/>
    <w:rsid w:val="00607CD2"/>
    <w:rsid w:val="0061283F"/>
    <w:rsid w:val="00614BDD"/>
    <w:rsid w:val="00615566"/>
    <w:rsid w:val="00615B0F"/>
    <w:rsid w:val="00616389"/>
    <w:rsid w:val="00616CD8"/>
    <w:rsid w:val="00620000"/>
    <w:rsid w:val="00620473"/>
    <w:rsid w:val="00620A14"/>
    <w:rsid w:val="00622197"/>
    <w:rsid w:val="00622E86"/>
    <w:rsid w:val="00623017"/>
    <w:rsid w:val="006233F8"/>
    <w:rsid w:val="0062496A"/>
    <w:rsid w:val="006258C8"/>
    <w:rsid w:val="006269A0"/>
    <w:rsid w:val="00626ADA"/>
    <w:rsid w:val="00626D92"/>
    <w:rsid w:val="00627D64"/>
    <w:rsid w:val="00630A82"/>
    <w:rsid w:val="0063175A"/>
    <w:rsid w:val="00632428"/>
    <w:rsid w:val="00634299"/>
    <w:rsid w:val="006357B4"/>
    <w:rsid w:val="0063597A"/>
    <w:rsid w:val="00636402"/>
    <w:rsid w:val="00636DE6"/>
    <w:rsid w:val="006372CA"/>
    <w:rsid w:val="006373A3"/>
    <w:rsid w:val="006406F4"/>
    <w:rsid w:val="0064091D"/>
    <w:rsid w:val="006409F8"/>
    <w:rsid w:val="00642C59"/>
    <w:rsid w:val="00642E31"/>
    <w:rsid w:val="006457AF"/>
    <w:rsid w:val="006463CA"/>
    <w:rsid w:val="00646639"/>
    <w:rsid w:val="00647816"/>
    <w:rsid w:val="00647834"/>
    <w:rsid w:val="006501BA"/>
    <w:rsid w:val="00650396"/>
    <w:rsid w:val="00650693"/>
    <w:rsid w:val="00650737"/>
    <w:rsid w:val="006521F4"/>
    <w:rsid w:val="00652E62"/>
    <w:rsid w:val="006546CA"/>
    <w:rsid w:val="00656283"/>
    <w:rsid w:val="006563A7"/>
    <w:rsid w:val="00656B67"/>
    <w:rsid w:val="00657F8B"/>
    <w:rsid w:val="006610B7"/>
    <w:rsid w:val="006610C8"/>
    <w:rsid w:val="006623CB"/>
    <w:rsid w:val="00662B1D"/>
    <w:rsid w:val="006633E1"/>
    <w:rsid w:val="006636E6"/>
    <w:rsid w:val="00663D3B"/>
    <w:rsid w:val="00665029"/>
    <w:rsid w:val="0066527C"/>
    <w:rsid w:val="006665F2"/>
    <w:rsid w:val="00666C03"/>
    <w:rsid w:val="006671B9"/>
    <w:rsid w:val="00667ADD"/>
    <w:rsid w:val="0067050B"/>
    <w:rsid w:val="006711C3"/>
    <w:rsid w:val="006713D9"/>
    <w:rsid w:val="00671F2C"/>
    <w:rsid w:val="00672554"/>
    <w:rsid w:val="00673463"/>
    <w:rsid w:val="00674B1E"/>
    <w:rsid w:val="006751B0"/>
    <w:rsid w:val="00675F81"/>
    <w:rsid w:val="00676A53"/>
    <w:rsid w:val="00681055"/>
    <w:rsid w:val="006821C6"/>
    <w:rsid w:val="00682538"/>
    <w:rsid w:val="00682E49"/>
    <w:rsid w:val="00683187"/>
    <w:rsid w:val="0068398B"/>
    <w:rsid w:val="00683BD8"/>
    <w:rsid w:val="0068542D"/>
    <w:rsid w:val="00685DBF"/>
    <w:rsid w:val="00686AB1"/>
    <w:rsid w:val="00686B3D"/>
    <w:rsid w:val="00686F13"/>
    <w:rsid w:val="00687153"/>
    <w:rsid w:val="00687B89"/>
    <w:rsid w:val="00687C75"/>
    <w:rsid w:val="00690461"/>
    <w:rsid w:val="006908B9"/>
    <w:rsid w:val="0069341B"/>
    <w:rsid w:val="006934C4"/>
    <w:rsid w:val="00695780"/>
    <w:rsid w:val="00695BCA"/>
    <w:rsid w:val="00696029"/>
    <w:rsid w:val="00696133"/>
    <w:rsid w:val="006967A4"/>
    <w:rsid w:val="006A07B1"/>
    <w:rsid w:val="006A0BE1"/>
    <w:rsid w:val="006A1D93"/>
    <w:rsid w:val="006A31BA"/>
    <w:rsid w:val="006A32C9"/>
    <w:rsid w:val="006A3413"/>
    <w:rsid w:val="006A3568"/>
    <w:rsid w:val="006A3B82"/>
    <w:rsid w:val="006A3BC7"/>
    <w:rsid w:val="006A3F9E"/>
    <w:rsid w:val="006A3FBB"/>
    <w:rsid w:val="006A4542"/>
    <w:rsid w:val="006A7C8E"/>
    <w:rsid w:val="006A7D48"/>
    <w:rsid w:val="006A7F9F"/>
    <w:rsid w:val="006B05A6"/>
    <w:rsid w:val="006B2623"/>
    <w:rsid w:val="006B3E3D"/>
    <w:rsid w:val="006B5D77"/>
    <w:rsid w:val="006B5F85"/>
    <w:rsid w:val="006B604F"/>
    <w:rsid w:val="006B6C18"/>
    <w:rsid w:val="006C1928"/>
    <w:rsid w:val="006C19E2"/>
    <w:rsid w:val="006C1ACF"/>
    <w:rsid w:val="006C20BB"/>
    <w:rsid w:val="006C21CB"/>
    <w:rsid w:val="006C2743"/>
    <w:rsid w:val="006C315B"/>
    <w:rsid w:val="006C332F"/>
    <w:rsid w:val="006C43AE"/>
    <w:rsid w:val="006C48C4"/>
    <w:rsid w:val="006C5562"/>
    <w:rsid w:val="006C5EEF"/>
    <w:rsid w:val="006C7B79"/>
    <w:rsid w:val="006D0E47"/>
    <w:rsid w:val="006D2389"/>
    <w:rsid w:val="006D292D"/>
    <w:rsid w:val="006D35A9"/>
    <w:rsid w:val="006D38AB"/>
    <w:rsid w:val="006D3B40"/>
    <w:rsid w:val="006D4E77"/>
    <w:rsid w:val="006D4EF6"/>
    <w:rsid w:val="006D4F2F"/>
    <w:rsid w:val="006D75C1"/>
    <w:rsid w:val="006E12F6"/>
    <w:rsid w:val="006E1C94"/>
    <w:rsid w:val="006E6ADC"/>
    <w:rsid w:val="006F086B"/>
    <w:rsid w:val="006F096A"/>
    <w:rsid w:val="006F09D1"/>
    <w:rsid w:val="006F0ACC"/>
    <w:rsid w:val="006F225C"/>
    <w:rsid w:val="006F244B"/>
    <w:rsid w:val="006F2DE3"/>
    <w:rsid w:val="006F35AE"/>
    <w:rsid w:val="006F3B35"/>
    <w:rsid w:val="006F5211"/>
    <w:rsid w:val="006F5C07"/>
    <w:rsid w:val="006F6265"/>
    <w:rsid w:val="006F6A85"/>
    <w:rsid w:val="006F7037"/>
    <w:rsid w:val="006F7568"/>
    <w:rsid w:val="006F76ED"/>
    <w:rsid w:val="006F7D6F"/>
    <w:rsid w:val="0070226D"/>
    <w:rsid w:val="007030C4"/>
    <w:rsid w:val="007036DB"/>
    <w:rsid w:val="007038F3"/>
    <w:rsid w:val="007043A9"/>
    <w:rsid w:val="00706343"/>
    <w:rsid w:val="00706D26"/>
    <w:rsid w:val="00706F20"/>
    <w:rsid w:val="00706F42"/>
    <w:rsid w:val="00707650"/>
    <w:rsid w:val="0071133A"/>
    <w:rsid w:val="007113C3"/>
    <w:rsid w:val="0071195E"/>
    <w:rsid w:val="00711B35"/>
    <w:rsid w:val="007127D3"/>
    <w:rsid w:val="0071293F"/>
    <w:rsid w:val="00713250"/>
    <w:rsid w:val="0071388D"/>
    <w:rsid w:val="0071411E"/>
    <w:rsid w:val="007148B1"/>
    <w:rsid w:val="00714D51"/>
    <w:rsid w:val="00715195"/>
    <w:rsid w:val="0071618E"/>
    <w:rsid w:val="00716375"/>
    <w:rsid w:val="00717328"/>
    <w:rsid w:val="00720932"/>
    <w:rsid w:val="00721344"/>
    <w:rsid w:val="00722011"/>
    <w:rsid w:val="00723657"/>
    <w:rsid w:val="00723A23"/>
    <w:rsid w:val="00724788"/>
    <w:rsid w:val="007250DF"/>
    <w:rsid w:val="00725C93"/>
    <w:rsid w:val="00725CE6"/>
    <w:rsid w:val="0072624B"/>
    <w:rsid w:val="00726743"/>
    <w:rsid w:val="00730ED5"/>
    <w:rsid w:val="00731884"/>
    <w:rsid w:val="00731ED8"/>
    <w:rsid w:val="00734974"/>
    <w:rsid w:val="00734EBD"/>
    <w:rsid w:val="00735780"/>
    <w:rsid w:val="0074039E"/>
    <w:rsid w:val="00741043"/>
    <w:rsid w:val="00741502"/>
    <w:rsid w:val="00741A85"/>
    <w:rsid w:val="00741DC4"/>
    <w:rsid w:val="00742078"/>
    <w:rsid w:val="007420D5"/>
    <w:rsid w:val="007422F1"/>
    <w:rsid w:val="007425A1"/>
    <w:rsid w:val="0074398A"/>
    <w:rsid w:val="00743C7A"/>
    <w:rsid w:val="00745054"/>
    <w:rsid w:val="007460B5"/>
    <w:rsid w:val="00746186"/>
    <w:rsid w:val="007464CA"/>
    <w:rsid w:val="007507C6"/>
    <w:rsid w:val="00750962"/>
    <w:rsid w:val="00750DA6"/>
    <w:rsid w:val="00751128"/>
    <w:rsid w:val="00752D35"/>
    <w:rsid w:val="00752D6D"/>
    <w:rsid w:val="0075357E"/>
    <w:rsid w:val="00753A61"/>
    <w:rsid w:val="007543DA"/>
    <w:rsid w:val="0075459A"/>
    <w:rsid w:val="00755747"/>
    <w:rsid w:val="00755CF5"/>
    <w:rsid w:val="00756599"/>
    <w:rsid w:val="0075675D"/>
    <w:rsid w:val="007567B0"/>
    <w:rsid w:val="00756FD6"/>
    <w:rsid w:val="00757330"/>
    <w:rsid w:val="007620A5"/>
    <w:rsid w:val="00762A09"/>
    <w:rsid w:val="0076329F"/>
    <w:rsid w:val="007646A9"/>
    <w:rsid w:val="00764740"/>
    <w:rsid w:val="0076557C"/>
    <w:rsid w:val="00766347"/>
    <w:rsid w:val="00766FBC"/>
    <w:rsid w:val="00767049"/>
    <w:rsid w:val="007670DE"/>
    <w:rsid w:val="00767AE0"/>
    <w:rsid w:val="00767F97"/>
    <w:rsid w:val="00770507"/>
    <w:rsid w:val="007705E0"/>
    <w:rsid w:val="00771F0C"/>
    <w:rsid w:val="007728E1"/>
    <w:rsid w:val="00773725"/>
    <w:rsid w:val="007750C9"/>
    <w:rsid w:val="00775329"/>
    <w:rsid w:val="00775926"/>
    <w:rsid w:val="00775977"/>
    <w:rsid w:val="00775B4E"/>
    <w:rsid w:val="00777E1D"/>
    <w:rsid w:val="00780A89"/>
    <w:rsid w:val="00780DDE"/>
    <w:rsid w:val="00781B42"/>
    <w:rsid w:val="0078294E"/>
    <w:rsid w:val="00783E14"/>
    <w:rsid w:val="00783E40"/>
    <w:rsid w:val="0078595B"/>
    <w:rsid w:val="00785B25"/>
    <w:rsid w:val="0078644B"/>
    <w:rsid w:val="0078676D"/>
    <w:rsid w:val="007877A7"/>
    <w:rsid w:val="00787E35"/>
    <w:rsid w:val="0079038D"/>
    <w:rsid w:val="00790BD4"/>
    <w:rsid w:val="00792E5E"/>
    <w:rsid w:val="00793493"/>
    <w:rsid w:val="00793A2F"/>
    <w:rsid w:val="00793CEE"/>
    <w:rsid w:val="00793FCA"/>
    <w:rsid w:val="007942A7"/>
    <w:rsid w:val="007944C1"/>
    <w:rsid w:val="007949E1"/>
    <w:rsid w:val="00794D74"/>
    <w:rsid w:val="00796D1F"/>
    <w:rsid w:val="00797116"/>
    <w:rsid w:val="007A0985"/>
    <w:rsid w:val="007A0FA2"/>
    <w:rsid w:val="007A23D2"/>
    <w:rsid w:val="007A2996"/>
    <w:rsid w:val="007A2EE3"/>
    <w:rsid w:val="007A306D"/>
    <w:rsid w:val="007A36FF"/>
    <w:rsid w:val="007A3D93"/>
    <w:rsid w:val="007A424F"/>
    <w:rsid w:val="007A5142"/>
    <w:rsid w:val="007A6900"/>
    <w:rsid w:val="007B06E1"/>
    <w:rsid w:val="007B0EA4"/>
    <w:rsid w:val="007B1508"/>
    <w:rsid w:val="007B1513"/>
    <w:rsid w:val="007B1EA9"/>
    <w:rsid w:val="007B2625"/>
    <w:rsid w:val="007B2674"/>
    <w:rsid w:val="007B49DF"/>
    <w:rsid w:val="007B4B8F"/>
    <w:rsid w:val="007B4DD2"/>
    <w:rsid w:val="007B5339"/>
    <w:rsid w:val="007B5C50"/>
    <w:rsid w:val="007B5F59"/>
    <w:rsid w:val="007B689D"/>
    <w:rsid w:val="007B716F"/>
    <w:rsid w:val="007B769A"/>
    <w:rsid w:val="007C0220"/>
    <w:rsid w:val="007C1691"/>
    <w:rsid w:val="007C22CA"/>
    <w:rsid w:val="007C3148"/>
    <w:rsid w:val="007C3793"/>
    <w:rsid w:val="007C4192"/>
    <w:rsid w:val="007C41B5"/>
    <w:rsid w:val="007C42FC"/>
    <w:rsid w:val="007C492F"/>
    <w:rsid w:val="007C4AD6"/>
    <w:rsid w:val="007C5199"/>
    <w:rsid w:val="007C5751"/>
    <w:rsid w:val="007C6A08"/>
    <w:rsid w:val="007C7865"/>
    <w:rsid w:val="007C7D0E"/>
    <w:rsid w:val="007C7D55"/>
    <w:rsid w:val="007D0445"/>
    <w:rsid w:val="007D0470"/>
    <w:rsid w:val="007D1538"/>
    <w:rsid w:val="007D210C"/>
    <w:rsid w:val="007D34D0"/>
    <w:rsid w:val="007D367D"/>
    <w:rsid w:val="007D372A"/>
    <w:rsid w:val="007D3812"/>
    <w:rsid w:val="007D44BF"/>
    <w:rsid w:val="007D4908"/>
    <w:rsid w:val="007D493D"/>
    <w:rsid w:val="007D4A2E"/>
    <w:rsid w:val="007D505A"/>
    <w:rsid w:val="007D541F"/>
    <w:rsid w:val="007D675F"/>
    <w:rsid w:val="007D74E8"/>
    <w:rsid w:val="007D77D0"/>
    <w:rsid w:val="007D7B9B"/>
    <w:rsid w:val="007E17C2"/>
    <w:rsid w:val="007E1A2D"/>
    <w:rsid w:val="007E1F1C"/>
    <w:rsid w:val="007E35C1"/>
    <w:rsid w:val="007E44AF"/>
    <w:rsid w:val="007E5C0D"/>
    <w:rsid w:val="007E6337"/>
    <w:rsid w:val="007E6750"/>
    <w:rsid w:val="007E68CB"/>
    <w:rsid w:val="007E6996"/>
    <w:rsid w:val="007E6A75"/>
    <w:rsid w:val="007E7E66"/>
    <w:rsid w:val="007F074B"/>
    <w:rsid w:val="007F1223"/>
    <w:rsid w:val="007F19EA"/>
    <w:rsid w:val="007F1C5D"/>
    <w:rsid w:val="007F2C54"/>
    <w:rsid w:val="007F35A7"/>
    <w:rsid w:val="007F4200"/>
    <w:rsid w:val="007F499C"/>
    <w:rsid w:val="007F5030"/>
    <w:rsid w:val="007F5830"/>
    <w:rsid w:val="007F65B2"/>
    <w:rsid w:val="007F74F4"/>
    <w:rsid w:val="008002F9"/>
    <w:rsid w:val="0080055C"/>
    <w:rsid w:val="00801F1D"/>
    <w:rsid w:val="00802437"/>
    <w:rsid w:val="008030AD"/>
    <w:rsid w:val="008038D8"/>
    <w:rsid w:val="008040A1"/>
    <w:rsid w:val="00804107"/>
    <w:rsid w:val="00804783"/>
    <w:rsid w:val="00805496"/>
    <w:rsid w:val="00806323"/>
    <w:rsid w:val="008065E4"/>
    <w:rsid w:val="00806B49"/>
    <w:rsid w:val="00807594"/>
    <w:rsid w:val="008076D8"/>
    <w:rsid w:val="00807B7E"/>
    <w:rsid w:val="00810923"/>
    <w:rsid w:val="00811E9B"/>
    <w:rsid w:val="008124DC"/>
    <w:rsid w:val="008129E8"/>
    <w:rsid w:val="00812F24"/>
    <w:rsid w:val="00813828"/>
    <w:rsid w:val="008142B3"/>
    <w:rsid w:val="00814489"/>
    <w:rsid w:val="0081468E"/>
    <w:rsid w:val="0081480C"/>
    <w:rsid w:val="00814B65"/>
    <w:rsid w:val="00814D5A"/>
    <w:rsid w:val="00815A9B"/>
    <w:rsid w:val="00816170"/>
    <w:rsid w:val="00816469"/>
    <w:rsid w:val="00816762"/>
    <w:rsid w:val="00817513"/>
    <w:rsid w:val="00821477"/>
    <w:rsid w:val="00821C35"/>
    <w:rsid w:val="00821F94"/>
    <w:rsid w:val="0082213A"/>
    <w:rsid w:val="008225A7"/>
    <w:rsid w:val="00823121"/>
    <w:rsid w:val="008234AA"/>
    <w:rsid w:val="00823F0A"/>
    <w:rsid w:val="00825BE3"/>
    <w:rsid w:val="00826623"/>
    <w:rsid w:val="00826896"/>
    <w:rsid w:val="008278C0"/>
    <w:rsid w:val="00830FB2"/>
    <w:rsid w:val="00831B25"/>
    <w:rsid w:val="00832253"/>
    <w:rsid w:val="00832E83"/>
    <w:rsid w:val="0083326E"/>
    <w:rsid w:val="0083362C"/>
    <w:rsid w:val="00833F90"/>
    <w:rsid w:val="00834683"/>
    <w:rsid w:val="008346D1"/>
    <w:rsid w:val="00834782"/>
    <w:rsid w:val="008347B3"/>
    <w:rsid w:val="00835502"/>
    <w:rsid w:val="008375B7"/>
    <w:rsid w:val="00840BF7"/>
    <w:rsid w:val="00840F85"/>
    <w:rsid w:val="00841BD6"/>
    <w:rsid w:val="00841D9C"/>
    <w:rsid w:val="00841F7B"/>
    <w:rsid w:val="0084346C"/>
    <w:rsid w:val="00843DA9"/>
    <w:rsid w:val="008448BD"/>
    <w:rsid w:val="008453DD"/>
    <w:rsid w:val="00845E0D"/>
    <w:rsid w:val="00846C49"/>
    <w:rsid w:val="00846C98"/>
    <w:rsid w:val="00847282"/>
    <w:rsid w:val="00850043"/>
    <w:rsid w:val="00851E2C"/>
    <w:rsid w:val="0085272C"/>
    <w:rsid w:val="00852D59"/>
    <w:rsid w:val="00852D97"/>
    <w:rsid w:val="0085462B"/>
    <w:rsid w:val="00855370"/>
    <w:rsid w:val="0085547B"/>
    <w:rsid w:val="008556D2"/>
    <w:rsid w:val="00855F25"/>
    <w:rsid w:val="00857A69"/>
    <w:rsid w:val="00860122"/>
    <w:rsid w:val="00860667"/>
    <w:rsid w:val="008606B2"/>
    <w:rsid w:val="0086144C"/>
    <w:rsid w:val="00861BF3"/>
    <w:rsid w:val="00861D7E"/>
    <w:rsid w:val="00862634"/>
    <w:rsid w:val="008657A6"/>
    <w:rsid w:val="008657E8"/>
    <w:rsid w:val="0086582E"/>
    <w:rsid w:val="008663DE"/>
    <w:rsid w:val="00866ED5"/>
    <w:rsid w:val="00867584"/>
    <w:rsid w:val="00867886"/>
    <w:rsid w:val="00867B45"/>
    <w:rsid w:val="0087184F"/>
    <w:rsid w:val="00872BFE"/>
    <w:rsid w:val="0087387B"/>
    <w:rsid w:val="00873A56"/>
    <w:rsid w:val="00873D10"/>
    <w:rsid w:val="00875F00"/>
    <w:rsid w:val="0088151D"/>
    <w:rsid w:val="00881723"/>
    <w:rsid w:val="00881D4D"/>
    <w:rsid w:val="00881E2C"/>
    <w:rsid w:val="00881FAD"/>
    <w:rsid w:val="008826B4"/>
    <w:rsid w:val="00882B62"/>
    <w:rsid w:val="00882E6D"/>
    <w:rsid w:val="0088695F"/>
    <w:rsid w:val="00890394"/>
    <w:rsid w:val="008905B7"/>
    <w:rsid w:val="008916F1"/>
    <w:rsid w:val="00891F1B"/>
    <w:rsid w:val="00892223"/>
    <w:rsid w:val="00892472"/>
    <w:rsid w:val="008929AE"/>
    <w:rsid w:val="00893AB6"/>
    <w:rsid w:val="00894399"/>
    <w:rsid w:val="0089579C"/>
    <w:rsid w:val="008959C2"/>
    <w:rsid w:val="00895DDB"/>
    <w:rsid w:val="0089684F"/>
    <w:rsid w:val="00896F4C"/>
    <w:rsid w:val="00897369"/>
    <w:rsid w:val="00897EE4"/>
    <w:rsid w:val="008A05AD"/>
    <w:rsid w:val="008A13C2"/>
    <w:rsid w:val="008A1CB6"/>
    <w:rsid w:val="008A3032"/>
    <w:rsid w:val="008A3BEE"/>
    <w:rsid w:val="008A3F4B"/>
    <w:rsid w:val="008A4265"/>
    <w:rsid w:val="008A4803"/>
    <w:rsid w:val="008A4A78"/>
    <w:rsid w:val="008A53B1"/>
    <w:rsid w:val="008A5557"/>
    <w:rsid w:val="008A5CCD"/>
    <w:rsid w:val="008A644C"/>
    <w:rsid w:val="008A6987"/>
    <w:rsid w:val="008A770B"/>
    <w:rsid w:val="008A78EB"/>
    <w:rsid w:val="008B03EB"/>
    <w:rsid w:val="008B10FD"/>
    <w:rsid w:val="008B15C5"/>
    <w:rsid w:val="008B1795"/>
    <w:rsid w:val="008B1F00"/>
    <w:rsid w:val="008B238C"/>
    <w:rsid w:val="008B2DF0"/>
    <w:rsid w:val="008B30AB"/>
    <w:rsid w:val="008B3A0C"/>
    <w:rsid w:val="008B419E"/>
    <w:rsid w:val="008B52B5"/>
    <w:rsid w:val="008B5495"/>
    <w:rsid w:val="008B65D6"/>
    <w:rsid w:val="008B6E03"/>
    <w:rsid w:val="008B730A"/>
    <w:rsid w:val="008B7691"/>
    <w:rsid w:val="008B7ABC"/>
    <w:rsid w:val="008B7B34"/>
    <w:rsid w:val="008B7F82"/>
    <w:rsid w:val="008C0504"/>
    <w:rsid w:val="008C07B5"/>
    <w:rsid w:val="008C0C2F"/>
    <w:rsid w:val="008C0FA4"/>
    <w:rsid w:val="008C2828"/>
    <w:rsid w:val="008C40A7"/>
    <w:rsid w:val="008C57E6"/>
    <w:rsid w:val="008C6462"/>
    <w:rsid w:val="008C68EE"/>
    <w:rsid w:val="008C6F46"/>
    <w:rsid w:val="008C760D"/>
    <w:rsid w:val="008D0F30"/>
    <w:rsid w:val="008D10F0"/>
    <w:rsid w:val="008D2851"/>
    <w:rsid w:val="008D2B25"/>
    <w:rsid w:val="008D3F26"/>
    <w:rsid w:val="008D43B9"/>
    <w:rsid w:val="008D5218"/>
    <w:rsid w:val="008D569F"/>
    <w:rsid w:val="008D594D"/>
    <w:rsid w:val="008D5DDE"/>
    <w:rsid w:val="008D6626"/>
    <w:rsid w:val="008D6708"/>
    <w:rsid w:val="008D7884"/>
    <w:rsid w:val="008E0FF7"/>
    <w:rsid w:val="008E1F79"/>
    <w:rsid w:val="008E1F8A"/>
    <w:rsid w:val="008E2403"/>
    <w:rsid w:val="008E2976"/>
    <w:rsid w:val="008E3C20"/>
    <w:rsid w:val="008E5713"/>
    <w:rsid w:val="008E5A08"/>
    <w:rsid w:val="008E6383"/>
    <w:rsid w:val="008E6919"/>
    <w:rsid w:val="008E69AD"/>
    <w:rsid w:val="008E6E13"/>
    <w:rsid w:val="008F1438"/>
    <w:rsid w:val="008F2712"/>
    <w:rsid w:val="008F32B9"/>
    <w:rsid w:val="008F3648"/>
    <w:rsid w:val="008F3743"/>
    <w:rsid w:val="008F3933"/>
    <w:rsid w:val="008F3B1A"/>
    <w:rsid w:val="008F3ED5"/>
    <w:rsid w:val="008F425B"/>
    <w:rsid w:val="008F48DA"/>
    <w:rsid w:val="008F4C2F"/>
    <w:rsid w:val="008F5228"/>
    <w:rsid w:val="008F5467"/>
    <w:rsid w:val="008F5EB9"/>
    <w:rsid w:val="008F7EDE"/>
    <w:rsid w:val="00900A03"/>
    <w:rsid w:val="00901F48"/>
    <w:rsid w:val="00902B66"/>
    <w:rsid w:val="00903242"/>
    <w:rsid w:val="0090395A"/>
    <w:rsid w:val="00903E7C"/>
    <w:rsid w:val="00904118"/>
    <w:rsid w:val="0090468D"/>
    <w:rsid w:val="00904E0E"/>
    <w:rsid w:val="00906310"/>
    <w:rsid w:val="00907533"/>
    <w:rsid w:val="0090756A"/>
    <w:rsid w:val="00907C14"/>
    <w:rsid w:val="00907E91"/>
    <w:rsid w:val="00907EDD"/>
    <w:rsid w:val="0091036F"/>
    <w:rsid w:val="009115FA"/>
    <w:rsid w:val="009117F7"/>
    <w:rsid w:val="0091228B"/>
    <w:rsid w:val="00912A9A"/>
    <w:rsid w:val="00912EB7"/>
    <w:rsid w:val="00912F6A"/>
    <w:rsid w:val="00915277"/>
    <w:rsid w:val="009154FF"/>
    <w:rsid w:val="00916080"/>
    <w:rsid w:val="009162D4"/>
    <w:rsid w:val="00917453"/>
    <w:rsid w:val="009201B7"/>
    <w:rsid w:val="009212BC"/>
    <w:rsid w:val="009213B7"/>
    <w:rsid w:val="009226A3"/>
    <w:rsid w:val="0092298E"/>
    <w:rsid w:val="0092307A"/>
    <w:rsid w:val="00923670"/>
    <w:rsid w:val="00925064"/>
    <w:rsid w:val="009254E4"/>
    <w:rsid w:val="009256BB"/>
    <w:rsid w:val="00927882"/>
    <w:rsid w:val="00931233"/>
    <w:rsid w:val="00931D92"/>
    <w:rsid w:val="009327FF"/>
    <w:rsid w:val="009328D8"/>
    <w:rsid w:val="00932D1A"/>
    <w:rsid w:val="00934089"/>
    <w:rsid w:val="009350E6"/>
    <w:rsid w:val="00935F71"/>
    <w:rsid w:val="0093628B"/>
    <w:rsid w:val="00936EA2"/>
    <w:rsid w:val="009378DB"/>
    <w:rsid w:val="00940AE3"/>
    <w:rsid w:val="00940DE6"/>
    <w:rsid w:val="00941338"/>
    <w:rsid w:val="00941FCA"/>
    <w:rsid w:val="0094207D"/>
    <w:rsid w:val="009426A3"/>
    <w:rsid w:val="00942B27"/>
    <w:rsid w:val="00942C5F"/>
    <w:rsid w:val="00942D61"/>
    <w:rsid w:val="00944A75"/>
    <w:rsid w:val="009452AB"/>
    <w:rsid w:val="009476E1"/>
    <w:rsid w:val="00947914"/>
    <w:rsid w:val="00951F10"/>
    <w:rsid w:val="009523F9"/>
    <w:rsid w:val="00952ADD"/>
    <w:rsid w:val="009532FB"/>
    <w:rsid w:val="009539AF"/>
    <w:rsid w:val="009543D6"/>
    <w:rsid w:val="00954C13"/>
    <w:rsid w:val="0095534B"/>
    <w:rsid w:val="00955693"/>
    <w:rsid w:val="0095572F"/>
    <w:rsid w:val="00955A22"/>
    <w:rsid w:val="00955AC0"/>
    <w:rsid w:val="009600FD"/>
    <w:rsid w:val="00960EBE"/>
    <w:rsid w:val="009611DF"/>
    <w:rsid w:val="00961309"/>
    <w:rsid w:val="009616E9"/>
    <w:rsid w:val="009619E8"/>
    <w:rsid w:val="00962074"/>
    <w:rsid w:val="00963708"/>
    <w:rsid w:val="009640AC"/>
    <w:rsid w:val="00964294"/>
    <w:rsid w:val="009645A0"/>
    <w:rsid w:val="00964799"/>
    <w:rsid w:val="00964A9F"/>
    <w:rsid w:val="00964CED"/>
    <w:rsid w:val="00965504"/>
    <w:rsid w:val="009658AE"/>
    <w:rsid w:val="00966F2B"/>
    <w:rsid w:val="009678A0"/>
    <w:rsid w:val="0097008A"/>
    <w:rsid w:val="009703DE"/>
    <w:rsid w:val="00970CC1"/>
    <w:rsid w:val="00970DE0"/>
    <w:rsid w:val="0097142E"/>
    <w:rsid w:val="00971C8A"/>
    <w:rsid w:val="009743EE"/>
    <w:rsid w:val="0097695B"/>
    <w:rsid w:val="0097785F"/>
    <w:rsid w:val="00981492"/>
    <w:rsid w:val="009815AD"/>
    <w:rsid w:val="00981893"/>
    <w:rsid w:val="00981F84"/>
    <w:rsid w:val="009820D6"/>
    <w:rsid w:val="00982E9D"/>
    <w:rsid w:val="009830A6"/>
    <w:rsid w:val="0098343F"/>
    <w:rsid w:val="009839C3"/>
    <w:rsid w:val="0098448B"/>
    <w:rsid w:val="009848FC"/>
    <w:rsid w:val="00984EEF"/>
    <w:rsid w:val="0098515C"/>
    <w:rsid w:val="009859ED"/>
    <w:rsid w:val="009863FA"/>
    <w:rsid w:val="0098659F"/>
    <w:rsid w:val="00987B5C"/>
    <w:rsid w:val="00987F1A"/>
    <w:rsid w:val="00990D79"/>
    <w:rsid w:val="00992349"/>
    <w:rsid w:val="0099305A"/>
    <w:rsid w:val="00994A19"/>
    <w:rsid w:val="00994DE5"/>
    <w:rsid w:val="00995D95"/>
    <w:rsid w:val="00995EF7"/>
    <w:rsid w:val="00996B1F"/>
    <w:rsid w:val="0099741B"/>
    <w:rsid w:val="009A0946"/>
    <w:rsid w:val="009A0A93"/>
    <w:rsid w:val="009A1102"/>
    <w:rsid w:val="009A1F88"/>
    <w:rsid w:val="009A2932"/>
    <w:rsid w:val="009A2B90"/>
    <w:rsid w:val="009A2B9E"/>
    <w:rsid w:val="009A2F80"/>
    <w:rsid w:val="009A3D29"/>
    <w:rsid w:val="009A525A"/>
    <w:rsid w:val="009A7556"/>
    <w:rsid w:val="009A766A"/>
    <w:rsid w:val="009B067F"/>
    <w:rsid w:val="009B41AF"/>
    <w:rsid w:val="009B41C2"/>
    <w:rsid w:val="009B4586"/>
    <w:rsid w:val="009B45C2"/>
    <w:rsid w:val="009B49FA"/>
    <w:rsid w:val="009B66A8"/>
    <w:rsid w:val="009B6AB0"/>
    <w:rsid w:val="009B7D1C"/>
    <w:rsid w:val="009C0F8C"/>
    <w:rsid w:val="009C1091"/>
    <w:rsid w:val="009C3D48"/>
    <w:rsid w:val="009C3D8D"/>
    <w:rsid w:val="009C4CBB"/>
    <w:rsid w:val="009C5F12"/>
    <w:rsid w:val="009C63C8"/>
    <w:rsid w:val="009C64FC"/>
    <w:rsid w:val="009C7380"/>
    <w:rsid w:val="009D0901"/>
    <w:rsid w:val="009D0A7E"/>
    <w:rsid w:val="009D0FE2"/>
    <w:rsid w:val="009D125C"/>
    <w:rsid w:val="009D13DF"/>
    <w:rsid w:val="009D16ED"/>
    <w:rsid w:val="009D1916"/>
    <w:rsid w:val="009D2FF0"/>
    <w:rsid w:val="009D3218"/>
    <w:rsid w:val="009D35C0"/>
    <w:rsid w:val="009D476E"/>
    <w:rsid w:val="009D4772"/>
    <w:rsid w:val="009D58B9"/>
    <w:rsid w:val="009D5909"/>
    <w:rsid w:val="009D67D8"/>
    <w:rsid w:val="009D691D"/>
    <w:rsid w:val="009D7FDD"/>
    <w:rsid w:val="009E19E5"/>
    <w:rsid w:val="009E21F9"/>
    <w:rsid w:val="009E2B31"/>
    <w:rsid w:val="009E3386"/>
    <w:rsid w:val="009E3962"/>
    <w:rsid w:val="009E39E9"/>
    <w:rsid w:val="009E65A1"/>
    <w:rsid w:val="009E7BDE"/>
    <w:rsid w:val="009E7F0C"/>
    <w:rsid w:val="009E7F81"/>
    <w:rsid w:val="009F0F36"/>
    <w:rsid w:val="009F3C29"/>
    <w:rsid w:val="009F3CE9"/>
    <w:rsid w:val="009F3FB0"/>
    <w:rsid w:val="009F45CD"/>
    <w:rsid w:val="009F49BB"/>
    <w:rsid w:val="009F560A"/>
    <w:rsid w:val="009F5AA9"/>
    <w:rsid w:val="009F5FAF"/>
    <w:rsid w:val="009F6B8E"/>
    <w:rsid w:val="00A02297"/>
    <w:rsid w:val="00A034FF"/>
    <w:rsid w:val="00A03BEE"/>
    <w:rsid w:val="00A04172"/>
    <w:rsid w:val="00A05741"/>
    <w:rsid w:val="00A062DA"/>
    <w:rsid w:val="00A06B24"/>
    <w:rsid w:val="00A10882"/>
    <w:rsid w:val="00A113C8"/>
    <w:rsid w:val="00A11C2B"/>
    <w:rsid w:val="00A129DD"/>
    <w:rsid w:val="00A12CB6"/>
    <w:rsid w:val="00A13315"/>
    <w:rsid w:val="00A13A2B"/>
    <w:rsid w:val="00A14658"/>
    <w:rsid w:val="00A14872"/>
    <w:rsid w:val="00A14FE8"/>
    <w:rsid w:val="00A151D6"/>
    <w:rsid w:val="00A15FC6"/>
    <w:rsid w:val="00A1625F"/>
    <w:rsid w:val="00A177D6"/>
    <w:rsid w:val="00A201A8"/>
    <w:rsid w:val="00A20F13"/>
    <w:rsid w:val="00A21101"/>
    <w:rsid w:val="00A21D1D"/>
    <w:rsid w:val="00A21F98"/>
    <w:rsid w:val="00A24CEF"/>
    <w:rsid w:val="00A24F3E"/>
    <w:rsid w:val="00A25B15"/>
    <w:rsid w:val="00A30BFA"/>
    <w:rsid w:val="00A33D1C"/>
    <w:rsid w:val="00A347A1"/>
    <w:rsid w:val="00A354D5"/>
    <w:rsid w:val="00A35659"/>
    <w:rsid w:val="00A35972"/>
    <w:rsid w:val="00A35E06"/>
    <w:rsid w:val="00A35F78"/>
    <w:rsid w:val="00A360DF"/>
    <w:rsid w:val="00A36AA5"/>
    <w:rsid w:val="00A372FF"/>
    <w:rsid w:val="00A4047A"/>
    <w:rsid w:val="00A424B9"/>
    <w:rsid w:val="00A42746"/>
    <w:rsid w:val="00A43294"/>
    <w:rsid w:val="00A448B7"/>
    <w:rsid w:val="00A44A1E"/>
    <w:rsid w:val="00A45460"/>
    <w:rsid w:val="00A45D96"/>
    <w:rsid w:val="00A4626F"/>
    <w:rsid w:val="00A463F7"/>
    <w:rsid w:val="00A46FF6"/>
    <w:rsid w:val="00A505FE"/>
    <w:rsid w:val="00A52132"/>
    <w:rsid w:val="00A527DB"/>
    <w:rsid w:val="00A52AAD"/>
    <w:rsid w:val="00A53072"/>
    <w:rsid w:val="00A54620"/>
    <w:rsid w:val="00A54745"/>
    <w:rsid w:val="00A5484F"/>
    <w:rsid w:val="00A56686"/>
    <w:rsid w:val="00A56728"/>
    <w:rsid w:val="00A56857"/>
    <w:rsid w:val="00A56A4E"/>
    <w:rsid w:val="00A6084F"/>
    <w:rsid w:val="00A615BC"/>
    <w:rsid w:val="00A61EAD"/>
    <w:rsid w:val="00A6277C"/>
    <w:rsid w:val="00A6292B"/>
    <w:rsid w:val="00A62F32"/>
    <w:rsid w:val="00A62F85"/>
    <w:rsid w:val="00A642C0"/>
    <w:rsid w:val="00A64C04"/>
    <w:rsid w:val="00A6583D"/>
    <w:rsid w:val="00A661B4"/>
    <w:rsid w:val="00A67058"/>
    <w:rsid w:val="00A670CE"/>
    <w:rsid w:val="00A71977"/>
    <w:rsid w:val="00A719AC"/>
    <w:rsid w:val="00A71A6E"/>
    <w:rsid w:val="00A73F33"/>
    <w:rsid w:val="00A74183"/>
    <w:rsid w:val="00A75881"/>
    <w:rsid w:val="00A767B7"/>
    <w:rsid w:val="00A77359"/>
    <w:rsid w:val="00A77E36"/>
    <w:rsid w:val="00A80BC4"/>
    <w:rsid w:val="00A80FD3"/>
    <w:rsid w:val="00A81441"/>
    <w:rsid w:val="00A82137"/>
    <w:rsid w:val="00A82E16"/>
    <w:rsid w:val="00A83512"/>
    <w:rsid w:val="00A83914"/>
    <w:rsid w:val="00A83ECF"/>
    <w:rsid w:val="00A8608B"/>
    <w:rsid w:val="00A8666C"/>
    <w:rsid w:val="00A86734"/>
    <w:rsid w:val="00A90220"/>
    <w:rsid w:val="00A90E19"/>
    <w:rsid w:val="00A9251E"/>
    <w:rsid w:val="00A93B9B"/>
    <w:rsid w:val="00A951B9"/>
    <w:rsid w:val="00A953E3"/>
    <w:rsid w:val="00A95426"/>
    <w:rsid w:val="00A95B4D"/>
    <w:rsid w:val="00A9699E"/>
    <w:rsid w:val="00A96C09"/>
    <w:rsid w:val="00A97C83"/>
    <w:rsid w:val="00AA02E3"/>
    <w:rsid w:val="00AA070D"/>
    <w:rsid w:val="00AA0830"/>
    <w:rsid w:val="00AA194B"/>
    <w:rsid w:val="00AA1A9F"/>
    <w:rsid w:val="00AA4971"/>
    <w:rsid w:val="00AA5D4C"/>
    <w:rsid w:val="00AA6988"/>
    <w:rsid w:val="00AA732C"/>
    <w:rsid w:val="00AA7761"/>
    <w:rsid w:val="00AB2174"/>
    <w:rsid w:val="00AB338F"/>
    <w:rsid w:val="00AB3636"/>
    <w:rsid w:val="00AB46A8"/>
    <w:rsid w:val="00AB47CB"/>
    <w:rsid w:val="00AB514F"/>
    <w:rsid w:val="00AB536E"/>
    <w:rsid w:val="00AB56DB"/>
    <w:rsid w:val="00AB7028"/>
    <w:rsid w:val="00AB7489"/>
    <w:rsid w:val="00AB7E78"/>
    <w:rsid w:val="00AC0E4C"/>
    <w:rsid w:val="00AC22A9"/>
    <w:rsid w:val="00AC3437"/>
    <w:rsid w:val="00AC41F2"/>
    <w:rsid w:val="00AC437E"/>
    <w:rsid w:val="00AC45C1"/>
    <w:rsid w:val="00AC516C"/>
    <w:rsid w:val="00AC5277"/>
    <w:rsid w:val="00AC54B4"/>
    <w:rsid w:val="00AC576D"/>
    <w:rsid w:val="00AC57A1"/>
    <w:rsid w:val="00AC5B86"/>
    <w:rsid w:val="00AC64AF"/>
    <w:rsid w:val="00AC6FF1"/>
    <w:rsid w:val="00AC7240"/>
    <w:rsid w:val="00AD1474"/>
    <w:rsid w:val="00AD22AD"/>
    <w:rsid w:val="00AD2A6E"/>
    <w:rsid w:val="00AD380C"/>
    <w:rsid w:val="00AD3BA1"/>
    <w:rsid w:val="00AD43C3"/>
    <w:rsid w:val="00AD4608"/>
    <w:rsid w:val="00AD4EFE"/>
    <w:rsid w:val="00AD535D"/>
    <w:rsid w:val="00AD7447"/>
    <w:rsid w:val="00AD778A"/>
    <w:rsid w:val="00AE0193"/>
    <w:rsid w:val="00AE024A"/>
    <w:rsid w:val="00AE0718"/>
    <w:rsid w:val="00AE0958"/>
    <w:rsid w:val="00AE0CE0"/>
    <w:rsid w:val="00AE1BB2"/>
    <w:rsid w:val="00AE1E7D"/>
    <w:rsid w:val="00AE3517"/>
    <w:rsid w:val="00AE3C70"/>
    <w:rsid w:val="00AE4FB0"/>
    <w:rsid w:val="00AE54C8"/>
    <w:rsid w:val="00AE576D"/>
    <w:rsid w:val="00AE6763"/>
    <w:rsid w:val="00AE6FF5"/>
    <w:rsid w:val="00AE749E"/>
    <w:rsid w:val="00AF00BB"/>
    <w:rsid w:val="00AF039C"/>
    <w:rsid w:val="00AF134E"/>
    <w:rsid w:val="00AF1B4D"/>
    <w:rsid w:val="00AF2029"/>
    <w:rsid w:val="00AF259D"/>
    <w:rsid w:val="00AF3133"/>
    <w:rsid w:val="00AF36C5"/>
    <w:rsid w:val="00AF38AD"/>
    <w:rsid w:val="00AF437D"/>
    <w:rsid w:val="00AF4DA0"/>
    <w:rsid w:val="00AF4E7B"/>
    <w:rsid w:val="00AF66B2"/>
    <w:rsid w:val="00AF6CC6"/>
    <w:rsid w:val="00AF6EAA"/>
    <w:rsid w:val="00B00221"/>
    <w:rsid w:val="00B00BDA"/>
    <w:rsid w:val="00B00EE4"/>
    <w:rsid w:val="00B0106C"/>
    <w:rsid w:val="00B010B3"/>
    <w:rsid w:val="00B02120"/>
    <w:rsid w:val="00B02EDB"/>
    <w:rsid w:val="00B03B2D"/>
    <w:rsid w:val="00B03DD0"/>
    <w:rsid w:val="00B04064"/>
    <w:rsid w:val="00B05AC8"/>
    <w:rsid w:val="00B06320"/>
    <w:rsid w:val="00B07C79"/>
    <w:rsid w:val="00B1000A"/>
    <w:rsid w:val="00B11247"/>
    <w:rsid w:val="00B11BB2"/>
    <w:rsid w:val="00B11EE7"/>
    <w:rsid w:val="00B12220"/>
    <w:rsid w:val="00B133BE"/>
    <w:rsid w:val="00B13AC0"/>
    <w:rsid w:val="00B14727"/>
    <w:rsid w:val="00B15A3F"/>
    <w:rsid w:val="00B17189"/>
    <w:rsid w:val="00B22B97"/>
    <w:rsid w:val="00B23907"/>
    <w:rsid w:val="00B23BE2"/>
    <w:rsid w:val="00B23E21"/>
    <w:rsid w:val="00B244D7"/>
    <w:rsid w:val="00B24C81"/>
    <w:rsid w:val="00B25780"/>
    <w:rsid w:val="00B2581E"/>
    <w:rsid w:val="00B26536"/>
    <w:rsid w:val="00B26DD1"/>
    <w:rsid w:val="00B303FB"/>
    <w:rsid w:val="00B30CAB"/>
    <w:rsid w:val="00B320BC"/>
    <w:rsid w:val="00B32B0E"/>
    <w:rsid w:val="00B32C5C"/>
    <w:rsid w:val="00B33C39"/>
    <w:rsid w:val="00B34988"/>
    <w:rsid w:val="00B3656E"/>
    <w:rsid w:val="00B365A8"/>
    <w:rsid w:val="00B3715B"/>
    <w:rsid w:val="00B3722C"/>
    <w:rsid w:val="00B372B6"/>
    <w:rsid w:val="00B411AB"/>
    <w:rsid w:val="00B41CC1"/>
    <w:rsid w:val="00B42BD9"/>
    <w:rsid w:val="00B43132"/>
    <w:rsid w:val="00B43238"/>
    <w:rsid w:val="00B442B2"/>
    <w:rsid w:val="00B44B3A"/>
    <w:rsid w:val="00B44D86"/>
    <w:rsid w:val="00B45AE1"/>
    <w:rsid w:val="00B46A92"/>
    <w:rsid w:val="00B50E44"/>
    <w:rsid w:val="00B52BC4"/>
    <w:rsid w:val="00B52E82"/>
    <w:rsid w:val="00B537D2"/>
    <w:rsid w:val="00B5466D"/>
    <w:rsid w:val="00B54E61"/>
    <w:rsid w:val="00B5548B"/>
    <w:rsid w:val="00B554F9"/>
    <w:rsid w:val="00B570F0"/>
    <w:rsid w:val="00B579B9"/>
    <w:rsid w:val="00B60B97"/>
    <w:rsid w:val="00B61300"/>
    <w:rsid w:val="00B618BE"/>
    <w:rsid w:val="00B62553"/>
    <w:rsid w:val="00B63CDD"/>
    <w:rsid w:val="00B64422"/>
    <w:rsid w:val="00B64BCB"/>
    <w:rsid w:val="00B652DC"/>
    <w:rsid w:val="00B658B8"/>
    <w:rsid w:val="00B6781D"/>
    <w:rsid w:val="00B67BE1"/>
    <w:rsid w:val="00B71DF0"/>
    <w:rsid w:val="00B721ED"/>
    <w:rsid w:val="00B75BC1"/>
    <w:rsid w:val="00B75D04"/>
    <w:rsid w:val="00B762A1"/>
    <w:rsid w:val="00B76D80"/>
    <w:rsid w:val="00B76F1E"/>
    <w:rsid w:val="00B775FF"/>
    <w:rsid w:val="00B77810"/>
    <w:rsid w:val="00B77E1E"/>
    <w:rsid w:val="00B802B9"/>
    <w:rsid w:val="00B81B89"/>
    <w:rsid w:val="00B81FAB"/>
    <w:rsid w:val="00B82161"/>
    <w:rsid w:val="00B82AEC"/>
    <w:rsid w:val="00B82CD5"/>
    <w:rsid w:val="00B83A5A"/>
    <w:rsid w:val="00B83CE1"/>
    <w:rsid w:val="00B840A1"/>
    <w:rsid w:val="00B8492E"/>
    <w:rsid w:val="00B84A81"/>
    <w:rsid w:val="00B858FF"/>
    <w:rsid w:val="00B86A52"/>
    <w:rsid w:val="00B87AAA"/>
    <w:rsid w:val="00B9045B"/>
    <w:rsid w:val="00B905C8"/>
    <w:rsid w:val="00B91729"/>
    <w:rsid w:val="00B91776"/>
    <w:rsid w:val="00B92A30"/>
    <w:rsid w:val="00B92C15"/>
    <w:rsid w:val="00B92C76"/>
    <w:rsid w:val="00B92CCE"/>
    <w:rsid w:val="00B92CE3"/>
    <w:rsid w:val="00B9310B"/>
    <w:rsid w:val="00B9359B"/>
    <w:rsid w:val="00B94113"/>
    <w:rsid w:val="00B94909"/>
    <w:rsid w:val="00B94921"/>
    <w:rsid w:val="00B949DE"/>
    <w:rsid w:val="00B94ADA"/>
    <w:rsid w:val="00B9605A"/>
    <w:rsid w:val="00BA0A2D"/>
    <w:rsid w:val="00BA0DB4"/>
    <w:rsid w:val="00BA0DFB"/>
    <w:rsid w:val="00BA14A2"/>
    <w:rsid w:val="00BA275F"/>
    <w:rsid w:val="00BA295D"/>
    <w:rsid w:val="00BA2F4F"/>
    <w:rsid w:val="00BA3522"/>
    <w:rsid w:val="00BA41C0"/>
    <w:rsid w:val="00BA4CA8"/>
    <w:rsid w:val="00BA4DEE"/>
    <w:rsid w:val="00BA56E5"/>
    <w:rsid w:val="00BA602D"/>
    <w:rsid w:val="00BA626D"/>
    <w:rsid w:val="00BA6A6F"/>
    <w:rsid w:val="00BA7169"/>
    <w:rsid w:val="00BB07A4"/>
    <w:rsid w:val="00BB0E71"/>
    <w:rsid w:val="00BB10FA"/>
    <w:rsid w:val="00BB1315"/>
    <w:rsid w:val="00BB1BCD"/>
    <w:rsid w:val="00BB2353"/>
    <w:rsid w:val="00BB2A30"/>
    <w:rsid w:val="00BB2AE6"/>
    <w:rsid w:val="00BB3611"/>
    <w:rsid w:val="00BB3876"/>
    <w:rsid w:val="00BB3914"/>
    <w:rsid w:val="00BB3E66"/>
    <w:rsid w:val="00BB4F25"/>
    <w:rsid w:val="00BB74EE"/>
    <w:rsid w:val="00BB7C26"/>
    <w:rsid w:val="00BC047C"/>
    <w:rsid w:val="00BC0920"/>
    <w:rsid w:val="00BC10A7"/>
    <w:rsid w:val="00BC164E"/>
    <w:rsid w:val="00BC2EB1"/>
    <w:rsid w:val="00BC3212"/>
    <w:rsid w:val="00BC40AB"/>
    <w:rsid w:val="00BC47AA"/>
    <w:rsid w:val="00BC5562"/>
    <w:rsid w:val="00BC6112"/>
    <w:rsid w:val="00BC65B5"/>
    <w:rsid w:val="00BC6CC8"/>
    <w:rsid w:val="00BC7FD1"/>
    <w:rsid w:val="00BD0989"/>
    <w:rsid w:val="00BD139D"/>
    <w:rsid w:val="00BD1932"/>
    <w:rsid w:val="00BD23BA"/>
    <w:rsid w:val="00BD266E"/>
    <w:rsid w:val="00BD3DFE"/>
    <w:rsid w:val="00BD4096"/>
    <w:rsid w:val="00BD42BD"/>
    <w:rsid w:val="00BD46DC"/>
    <w:rsid w:val="00BD52D0"/>
    <w:rsid w:val="00BD567D"/>
    <w:rsid w:val="00BD5ACB"/>
    <w:rsid w:val="00BD60D3"/>
    <w:rsid w:val="00BD71D9"/>
    <w:rsid w:val="00BD7C3A"/>
    <w:rsid w:val="00BE03D4"/>
    <w:rsid w:val="00BE0A5B"/>
    <w:rsid w:val="00BE0C94"/>
    <w:rsid w:val="00BE0F01"/>
    <w:rsid w:val="00BE10BB"/>
    <w:rsid w:val="00BE1263"/>
    <w:rsid w:val="00BE128C"/>
    <w:rsid w:val="00BE1433"/>
    <w:rsid w:val="00BE2351"/>
    <w:rsid w:val="00BE2790"/>
    <w:rsid w:val="00BE2D47"/>
    <w:rsid w:val="00BE30CD"/>
    <w:rsid w:val="00BE4830"/>
    <w:rsid w:val="00BE5AE0"/>
    <w:rsid w:val="00BE733F"/>
    <w:rsid w:val="00BF0084"/>
    <w:rsid w:val="00BF012F"/>
    <w:rsid w:val="00BF0D07"/>
    <w:rsid w:val="00BF2EEA"/>
    <w:rsid w:val="00BF3886"/>
    <w:rsid w:val="00BF42F8"/>
    <w:rsid w:val="00BF4666"/>
    <w:rsid w:val="00BF5285"/>
    <w:rsid w:val="00BF6328"/>
    <w:rsid w:val="00BF7200"/>
    <w:rsid w:val="00BF77A5"/>
    <w:rsid w:val="00BF7861"/>
    <w:rsid w:val="00BF7EC5"/>
    <w:rsid w:val="00C002EA"/>
    <w:rsid w:val="00C00AA8"/>
    <w:rsid w:val="00C00B25"/>
    <w:rsid w:val="00C00B8D"/>
    <w:rsid w:val="00C01B35"/>
    <w:rsid w:val="00C03386"/>
    <w:rsid w:val="00C037EF"/>
    <w:rsid w:val="00C03CEB"/>
    <w:rsid w:val="00C041FF"/>
    <w:rsid w:val="00C0450E"/>
    <w:rsid w:val="00C04B53"/>
    <w:rsid w:val="00C04EEB"/>
    <w:rsid w:val="00C051FA"/>
    <w:rsid w:val="00C0584C"/>
    <w:rsid w:val="00C058F0"/>
    <w:rsid w:val="00C05BCE"/>
    <w:rsid w:val="00C06338"/>
    <w:rsid w:val="00C067DC"/>
    <w:rsid w:val="00C077A7"/>
    <w:rsid w:val="00C1021A"/>
    <w:rsid w:val="00C105E3"/>
    <w:rsid w:val="00C108CB"/>
    <w:rsid w:val="00C11D63"/>
    <w:rsid w:val="00C14022"/>
    <w:rsid w:val="00C17010"/>
    <w:rsid w:val="00C17E1A"/>
    <w:rsid w:val="00C221DD"/>
    <w:rsid w:val="00C2292B"/>
    <w:rsid w:val="00C22B3B"/>
    <w:rsid w:val="00C235F6"/>
    <w:rsid w:val="00C24000"/>
    <w:rsid w:val="00C2464E"/>
    <w:rsid w:val="00C24E58"/>
    <w:rsid w:val="00C25A53"/>
    <w:rsid w:val="00C25ABD"/>
    <w:rsid w:val="00C25EE3"/>
    <w:rsid w:val="00C2743A"/>
    <w:rsid w:val="00C3001D"/>
    <w:rsid w:val="00C3050D"/>
    <w:rsid w:val="00C31203"/>
    <w:rsid w:val="00C31BFE"/>
    <w:rsid w:val="00C33219"/>
    <w:rsid w:val="00C333E8"/>
    <w:rsid w:val="00C33DB3"/>
    <w:rsid w:val="00C33DE6"/>
    <w:rsid w:val="00C33E5D"/>
    <w:rsid w:val="00C365BE"/>
    <w:rsid w:val="00C3674F"/>
    <w:rsid w:val="00C40559"/>
    <w:rsid w:val="00C4299A"/>
    <w:rsid w:val="00C42D34"/>
    <w:rsid w:val="00C45BEF"/>
    <w:rsid w:val="00C45DD6"/>
    <w:rsid w:val="00C46C1B"/>
    <w:rsid w:val="00C46CE5"/>
    <w:rsid w:val="00C46DCA"/>
    <w:rsid w:val="00C5158F"/>
    <w:rsid w:val="00C519A9"/>
    <w:rsid w:val="00C52D4A"/>
    <w:rsid w:val="00C52E0F"/>
    <w:rsid w:val="00C54370"/>
    <w:rsid w:val="00C5468F"/>
    <w:rsid w:val="00C550ED"/>
    <w:rsid w:val="00C5536F"/>
    <w:rsid w:val="00C553E5"/>
    <w:rsid w:val="00C55FCC"/>
    <w:rsid w:val="00C566CA"/>
    <w:rsid w:val="00C57627"/>
    <w:rsid w:val="00C57CBF"/>
    <w:rsid w:val="00C603A8"/>
    <w:rsid w:val="00C603BB"/>
    <w:rsid w:val="00C61E15"/>
    <w:rsid w:val="00C622AE"/>
    <w:rsid w:val="00C62443"/>
    <w:rsid w:val="00C636D4"/>
    <w:rsid w:val="00C64927"/>
    <w:rsid w:val="00C64E96"/>
    <w:rsid w:val="00C64EDF"/>
    <w:rsid w:val="00C653AD"/>
    <w:rsid w:val="00C65816"/>
    <w:rsid w:val="00C6650B"/>
    <w:rsid w:val="00C66553"/>
    <w:rsid w:val="00C67470"/>
    <w:rsid w:val="00C67E72"/>
    <w:rsid w:val="00C71AFB"/>
    <w:rsid w:val="00C74327"/>
    <w:rsid w:val="00C75220"/>
    <w:rsid w:val="00C772A6"/>
    <w:rsid w:val="00C77AFA"/>
    <w:rsid w:val="00C77BBD"/>
    <w:rsid w:val="00C77C60"/>
    <w:rsid w:val="00C805C5"/>
    <w:rsid w:val="00C81BBB"/>
    <w:rsid w:val="00C82CF4"/>
    <w:rsid w:val="00C8369B"/>
    <w:rsid w:val="00C8399C"/>
    <w:rsid w:val="00C84169"/>
    <w:rsid w:val="00C86062"/>
    <w:rsid w:val="00C86546"/>
    <w:rsid w:val="00C8667C"/>
    <w:rsid w:val="00C9016E"/>
    <w:rsid w:val="00C9071A"/>
    <w:rsid w:val="00C90A51"/>
    <w:rsid w:val="00C92329"/>
    <w:rsid w:val="00C92512"/>
    <w:rsid w:val="00C93249"/>
    <w:rsid w:val="00C9355D"/>
    <w:rsid w:val="00C9378B"/>
    <w:rsid w:val="00C93C24"/>
    <w:rsid w:val="00C94F81"/>
    <w:rsid w:val="00C9587D"/>
    <w:rsid w:val="00C95BF7"/>
    <w:rsid w:val="00C96091"/>
    <w:rsid w:val="00C966BC"/>
    <w:rsid w:val="00C97336"/>
    <w:rsid w:val="00C97741"/>
    <w:rsid w:val="00C97913"/>
    <w:rsid w:val="00C97BF2"/>
    <w:rsid w:val="00CA06ED"/>
    <w:rsid w:val="00CA08B8"/>
    <w:rsid w:val="00CA0F20"/>
    <w:rsid w:val="00CA11F5"/>
    <w:rsid w:val="00CA1548"/>
    <w:rsid w:val="00CA2AC0"/>
    <w:rsid w:val="00CA2D57"/>
    <w:rsid w:val="00CA3F9D"/>
    <w:rsid w:val="00CA45DC"/>
    <w:rsid w:val="00CA49DB"/>
    <w:rsid w:val="00CA4CB4"/>
    <w:rsid w:val="00CA5D67"/>
    <w:rsid w:val="00CA6970"/>
    <w:rsid w:val="00CA714A"/>
    <w:rsid w:val="00CA714F"/>
    <w:rsid w:val="00CA7449"/>
    <w:rsid w:val="00CA7E50"/>
    <w:rsid w:val="00CB0F45"/>
    <w:rsid w:val="00CB2DA1"/>
    <w:rsid w:val="00CB31BF"/>
    <w:rsid w:val="00CB365E"/>
    <w:rsid w:val="00CB39C3"/>
    <w:rsid w:val="00CB59CB"/>
    <w:rsid w:val="00CB67CA"/>
    <w:rsid w:val="00CB6D0E"/>
    <w:rsid w:val="00CB6E5E"/>
    <w:rsid w:val="00CB7557"/>
    <w:rsid w:val="00CC016F"/>
    <w:rsid w:val="00CC0E2E"/>
    <w:rsid w:val="00CC1BB5"/>
    <w:rsid w:val="00CC2034"/>
    <w:rsid w:val="00CC2A3B"/>
    <w:rsid w:val="00CC33B5"/>
    <w:rsid w:val="00CC4945"/>
    <w:rsid w:val="00CC494B"/>
    <w:rsid w:val="00CC4E30"/>
    <w:rsid w:val="00CC5618"/>
    <w:rsid w:val="00CC663A"/>
    <w:rsid w:val="00CC72E6"/>
    <w:rsid w:val="00CC78A8"/>
    <w:rsid w:val="00CD0240"/>
    <w:rsid w:val="00CD0C90"/>
    <w:rsid w:val="00CD162E"/>
    <w:rsid w:val="00CD1CAE"/>
    <w:rsid w:val="00CD2499"/>
    <w:rsid w:val="00CD299E"/>
    <w:rsid w:val="00CD4B1C"/>
    <w:rsid w:val="00CD576B"/>
    <w:rsid w:val="00CD6959"/>
    <w:rsid w:val="00CD6A90"/>
    <w:rsid w:val="00CD7E04"/>
    <w:rsid w:val="00CE056F"/>
    <w:rsid w:val="00CE093E"/>
    <w:rsid w:val="00CE0949"/>
    <w:rsid w:val="00CE1438"/>
    <w:rsid w:val="00CE1D2E"/>
    <w:rsid w:val="00CE2419"/>
    <w:rsid w:val="00CE263D"/>
    <w:rsid w:val="00CE37FC"/>
    <w:rsid w:val="00CE4658"/>
    <w:rsid w:val="00CE58DC"/>
    <w:rsid w:val="00CE619D"/>
    <w:rsid w:val="00CE63AB"/>
    <w:rsid w:val="00CE6963"/>
    <w:rsid w:val="00CE7287"/>
    <w:rsid w:val="00CE756D"/>
    <w:rsid w:val="00CF14B1"/>
    <w:rsid w:val="00CF177E"/>
    <w:rsid w:val="00CF20AC"/>
    <w:rsid w:val="00CF23EA"/>
    <w:rsid w:val="00CF2D88"/>
    <w:rsid w:val="00CF43DF"/>
    <w:rsid w:val="00CF5087"/>
    <w:rsid w:val="00CF69F8"/>
    <w:rsid w:val="00CF6BFB"/>
    <w:rsid w:val="00CF7094"/>
    <w:rsid w:val="00CF7958"/>
    <w:rsid w:val="00D001B3"/>
    <w:rsid w:val="00D007B0"/>
    <w:rsid w:val="00D00FF6"/>
    <w:rsid w:val="00D01208"/>
    <w:rsid w:val="00D01CA9"/>
    <w:rsid w:val="00D022CA"/>
    <w:rsid w:val="00D03069"/>
    <w:rsid w:val="00D0344C"/>
    <w:rsid w:val="00D038C9"/>
    <w:rsid w:val="00D038FA"/>
    <w:rsid w:val="00D03C9B"/>
    <w:rsid w:val="00D05207"/>
    <w:rsid w:val="00D0551D"/>
    <w:rsid w:val="00D06B97"/>
    <w:rsid w:val="00D06E25"/>
    <w:rsid w:val="00D10C28"/>
    <w:rsid w:val="00D1120E"/>
    <w:rsid w:val="00D123AC"/>
    <w:rsid w:val="00D12576"/>
    <w:rsid w:val="00D135D9"/>
    <w:rsid w:val="00D15E73"/>
    <w:rsid w:val="00D17AAE"/>
    <w:rsid w:val="00D20539"/>
    <w:rsid w:val="00D21262"/>
    <w:rsid w:val="00D21D2B"/>
    <w:rsid w:val="00D223D0"/>
    <w:rsid w:val="00D239A2"/>
    <w:rsid w:val="00D2481E"/>
    <w:rsid w:val="00D24826"/>
    <w:rsid w:val="00D26700"/>
    <w:rsid w:val="00D2787B"/>
    <w:rsid w:val="00D30062"/>
    <w:rsid w:val="00D3099B"/>
    <w:rsid w:val="00D30A5C"/>
    <w:rsid w:val="00D30BDE"/>
    <w:rsid w:val="00D32D93"/>
    <w:rsid w:val="00D337D2"/>
    <w:rsid w:val="00D339B8"/>
    <w:rsid w:val="00D33BB8"/>
    <w:rsid w:val="00D35A5E"/>
    <w:rsid w:val="00D36DB4"/>
    <w:rsid w:val="00D371AA"/>
    <w:rsid w:val="00D37DD3"/>
    <w:rsid w:val="00D41240"/>
    <w:rsid w:val="00D4233C"/>
    <w:rsid w:val="00D45075"/>
    <w:rsid w:val="00D4522F"/>
    <w:rsid w:val="00D464B9"/>
    <w:rsid w:val="00D4673A"/>
    <w:rsid w:val="00D473BB"/>
    <w:rsid w:val="00D47E7E"/>
    <w:rsid w:val="00D507C6"/>
    <w:rsid w:val="00D50AB3"/>
    <w:rsid w:val="00D50F94"/>
    <w:rsid w:val="00D5197E"/>
    <w:rsid w:val="00D5277F"/>
    <w:rsid w:val="00D53468"/>
    <w:rsid w:val="00D53E23"/>
    <w:rsid w:val="00D544AD"/>
    <w:rsid w:val="00D55903"/>
    <w:rsid w:val="00D55CCF"/>
    <w:rsid w:val="00D57D10"/>
    <w:rsid w:val="00D57E4D"/>
    <w:rsid w:val="00D57F2B"/>
    <w:rsid w:val="00D60610"/>
    <w:rsid w:val="00D60DCD"/>
    <w:rsid w:val="00D6215C"/>
    <w:rsid w:val="00D6303B"/>
    <w:rsid w:val="00D63225"/>
    <w:rsid w:val="00D63F80"/>
    <w:rsid w:val="00D64C07"/>
    <w:rsid w:val="00D65204"/>
    <w:rsid w:val="00D656FA"/>
    <w:rsid w:val="00D65F5E"/>
    <w:rsid w:val="00D66E68"/>
    <w:rsid w:val="00D67016"/>
    <w:rsid w:val="00D678B7"/>
    <w:rsid w:val="00D67C5A"/>
    <w:rsid w:val="00D7057B"/>
    <w:rsid w:val="00D7105F"/>
    <w:rsid w:val="00D73C40"/>
    <w:rsid w:val="00D73E12"/>
    <w:rsid w:val="00D744B5"/>
    <w:rsid w:val="00D746F6"/>
    <w:rsid w:val="00D777E3"/>
    <w:rsid w:val="00D77D84"/>
    <w:rsid w:val="00D80065"/>
    <w:rsid w:val="00D808F7"/>
    <w:rsid w:val="00D81725"/>
    <w:rsid w:val="00D82242"/>
    <w:rsid w:val="00D82B9C"/>
    <w:rsid w:val="00D83AAC"/>
    <w:rsid w:val="00D83EAA"/>
    <w:rsid w:val="00D83EFA"/>
    <w:rsid w:val="00D858E8"/>
    <w:rsid w:val="00D86D05"/>
    <w:rsid w:val="00D86D51"/>
    <w:rsid w:val="00D87437"/>
    <w:rsid w:val="00D87B97"/>
    <w:rsid w:val="00D91FDB"/>
    <w:rsid w:val="00D935B5"/>
    <w:rsid w:val="00D935C4"/>
    <w:rsid w:val="00D94947"/>
    <w:rsid w:val="00D952AB"/>
    <w:rsid w:val="00D95EE9"/>
    <w:rsid w:val="00D96018"/>
    <w:rsid w:val="00D9716E"/>
    <w:rsid w:val="00D9754F"/>
    <w:rsid w:val="00D97CF9"/>
    <w:rsid w:val="00DA16A6"/>
    <w:rsid w:val="00DA1BCC"/>
    <w:rsid w:val="00DA22E9"/>
    <w:rsid w:val="00DA2C1D"/>
    <w:rsid w:val="00DA4308"/>
    <w:rsid w:val="00DA5AD0"/>
    <w:rsid w:val="00DA6161"/>
    <w:rsid w:val="00DA6428"/>
    <w:rsid w:val="00DA66B3"/>
    <w:rsid w:val="00DA6D46"/>
    <w:rsid w:val="00DA7820"/>
    <w:rsid w:val="00DB04FB"/>
    <w:rsid w:val="00DB10D4"/>
    <w:rsid w:val="00DB1C60"/>
    <w:rsid w:val="00DB1E58"/>
    <w:rsid w:val="00DB2D69"/>
    <w:rsid w:val="00DB2FD7"/>
    <w:rsid w:val="00DB38F8"/>
    <w:rsid w:val="00DB3CE0"/>
    <w:rsid w:val="00DB3D30"/>
    <w:rsid w:val="00DB4195"/>
    <w:rsid w:val="00DB54F0"/>
    <w:rsid w:val="00DB5FDA"/>
    <w:rsid w:val="00DB68EA"/>
    <w:rsid w:val="00DB713A"/>
    <w:rsid w:val="00DB75E3"/>
    <w:rsid w:val="00DB7964"/>
    <w:rsid w:val="00DB7FC0"/>
    <w:rsid w:val="00DC0C16"/>
    <w:rsid w:val="00DC14EA"/>
    <w:rsid w:val="00DC1BCA"/>
    <w:rsid w:val="00DC1D56"/>
    <w:rsid w:val="00DC245A"/>
    <w:rsid w:val="00DC4AEE"/>
    <w:rsid w:val="00DC6799"/>
    <w:rsid w:val="00DC69F1"/>
    <w:rsid w:val="00DC6A07"/>
    <w:rsid w:val="00DC7E1C"/>
    <w:rsid w:val="00DD0470"/>
    <w:rsid w:val="00DD06FF"/>
    <w:rsid w:val="00DD0709"/>
    <w:rsid w:val="00DD262C"/>
    <w:rsid w:val="00DD29E2"/>
    <w:rsid w:val="00DD3DCE"/>
    <w:rsid w:val="00DD5F8C"/>
    <w:rsid w:val="00DD6D76"/>
    <w:rsid w:val="00DD709C"/>
    <w:rsid w:val="00DD7380"/>
    <w:rsid w:val="00DD78AD"/>
    <w:rsid w:val="00DE0166"/>
    <w:rsid w:val="00DE0708"/>
    <w:rsid w:val="00DE0D31"/>
    <w:rsid w:val="00DE1DE5"/>
    <w:rsid w:val="00DE27BB"/>
    <w:rsid w:val="00DE2F29"/>
    <w:rsid w:val="00DE35CE"/>
    <w:rsid w:val="00DE394B"/>
    <w:rsid w:val="00DE4B45"/>
    <w:rsid w:val="00DE5027"/>
    <w:rsid w:val="00DE572B"/>
    <w:rsid w:val="00DE59F2"/>
    <w:rsid w:val="00DE5A95"/>
    <w:rsid w:val="00DE5AAB"/>
    <w:rsid w:val="00DE6007"/>
    <w:rsid w:val="00DE635A"/>
    <w:rsid w:val="00DE742C"/>
    <w:rsid w:val="00DF07E1"/>
    <w:rsid w:val="00DF135B"/>
    <w:rsid w:val="00DF168A"/>
    <w:rsid w:val="00DF1A9D"/>
    <w:rsid w:val="00DF1F88"/>
    <w:rsid w:val="00DF25BE"/>
    <w:rsid w:val="00DF2779"/>
    <w:rsid w:val="00DF3BCE"/>
    <w:rsid w:val="00DF4233"/>
    <w:rsid w:val="00DF4EB6"/>
    <w:rsid w:val="00DF6B63"/>
    <w:rsid w:val="00DF7420"/>
    <w:rsid w:val="00DF7839"/>
    <w:rsid w:val="00DF7947"/>
    <w:rsid w:val="00DF7BCA"/>
    <w:rsid w:val="00E01762"/>
    <w:rsid w:val="00E01799"/>
    <w:rsid w:val="00E01B67"/>
    <w:rsid w:val="00E021BB"/>
    <w:rsid w:val="00E03104"/>
    <w:rsid w:val="00E0337F"/>
    <w:rsid w:val="00E03496"/>
    <w:rsid w:val="00E036B3"/>
    <w:rsid w:val="00E03897"/>
    <w:rsid w:val="00E0399A"/>
    <w:rsid w:val="00E03DCF"/>
    <w:rsid w:val="00E040D4"/>
    <w:rsid w:val="00E05252"/>
    <w:rsid w:val="00E055B2"/>
    <w:rsid w:val="00E0681A"/>
    <w:rsid w:val="00E07153"/>
    <w:rsid w:val="00E109C4"/>
    <w:rsid w:val="00E10E83"/>
    <w:rsid w:val="00E11B58"/>
    <w:rsid w:val="00E11D82"/>
    <w:rsid w:val="00E11EEF"/>
    <w:rsid w:val="00E12505"/>
    <w:rsid w:val="00E128BB"/>
    <w:rsid w:val="00E139BC"/>
    <w:rsid w:val="00E13EBB"/>
    <w:rsid w:val="00E14A87"/>
    <w:rsid w:val="00E1502E"/>
    <w:rsid w:val="00E16049"/>
    <w:rsid w:val="00E16DFE"/>
    <w:rsid w:val="00E17848"/>
    <w:rsid w:val="00E17C2E"/>
    <w:rsid w:val="00E2262D"/>
    <w:rsid w:val="00E2381E"/>
    <w:rsid w:val="00E243F9"/>
    <w:rsid w:val="00E24591"/>
    <w:rsid w:val="00E24912"/>
    <w:rsid w:val="00E256C0"/>
    <w:rsid w:val="00E27401"/>
    <w:rsid w:val="00E2762D"/>
    <w:rsid w:val="00E27B1D"/>
    <w:rsid w:val="00E31DCE"/>
    <w:rsid w:val="00E3251A"/>
    <w:rsid w:val="00E32526"/>
    <w:rsid w:val="00E328D1"/>
    <w:rsid w:val="00E33CC9"/>
    <w:rsid w:val="00E3487F"/>
    <w:rsid w:val="00E34BC6"/>
    <w:rsid w:val="00E40B9A"/>
    <w:rsid w:val="00E418C2"/>
    <w:rsid w:val="00E43537"/>
    <w:rsid w:val="00E44076"/>
    <w:rsid w:val="00E4484D"/>
    <w:rsid w:val="00E44D4D"/>
    <w:rsid w:val="00E4585A"/>
    <w:rsid w:val="00E468CD"/>
    <w:rsid w:val="00E475C0"/>
    <w:rsid w:val="00E47F54"/>
    <w:rsid w:val="00E504DD"/>
    <w:rsid w:val="00E511D7"/>
    <w:rsid w:val="00E51330"/>
    <w:rsid w:val="00E51521"/>
    <w:rsid w:val="00E527B6"/>
    <w:rsid w:val="00E53781"/>
    <w:rsid w:val="00E53932"/>
    <w:rsid w:val="00E53AC6"/>
    <w:rsid w:val="00E5431F"/>
    <w:rsid w:val="00E548FE"/>
    <w:rsid w:val="00E54B75"/>
    <w:rsid w:val="00E54C88"/>
    <w:rsid w:val="00E555BE"/>
    <w:rsid w:val="00E56343"/>
    <w:rsid w:val="00E56B74"/>
    <w:rsid w:val="00E56C1E"/>
    <w:rsid w:val="00E56EDE"/>
    <w:rsid w:val="00E6001C"/>
    <w:rsid w:val="00E60914"/>
    <w:rsid w:val="00E60B81"/>
    <w:rsid w:val="00E62B3D"/>
    <w:rsid w:val="00E6398A"/>
    <w:rsid w:val="00E6484A"/>
    <w:rsid w:val="00E64F3A"/>
    <w:rsid w:val="00E651C2"/>
    <w:rsid w:val="00E655A6"/>
    <w:rsid w:val="00E66159"/>
    <w:rsid w:val="00E67E3D"/>
    <w:rsid w:val="00E702BA"/>
    <w:rsid w:val="00E71817"/>
    <w:rsid w:val="00E729AD"/>
    <w:rsid w:val="00E735D4"/>
    <w:rsid w:val="00E73823"/>
    <w:rsid w:val="00E73DA6"/>
    <w:rsid w:val="00E75287"/>
    <w:rsid w:val="00E7679C"/>
    <w:rsid w:val="00E76820"/>
    <w:rsid w:val="00E77550"/>
    <w:rsid w:val="00E77902"/>
    <w:rsid w:val="00E77938"/>
    <w:rsid w:val="00E80584"/>
    <w:rsid w:val="00E816DD"/>
    <w:rsid w:val="00E8203E"/>
    <w:rsid w:val="00E82588"/>
    <w:rsid w:val="00E82D29"/>
    <w:rsid w:val="00E830ED"/>
    <w:rsid w:val="00E83F2E"/>
    <w:rsid w:val="00E8425F"/>
    <w:rsid w:val="00E84B35"/>
    <w:rsid w:val="00E8512E"/>
    <w:rsid w:val="00E85237"/>
    <w:rsid w:val="00E85648"/>
    <w:rsid w:val="00E85B8F"/>
    <w:rsid w:val="00E8642B"/>
    <w:rsid w:val="00E8714A"/>
    <w:rsid w:val="00E87244"/>
    <w:rsid w:val="00E93868"/>
    <w:rsid w:val="00E93AFC"/>
    <w:rsid w:val="00E944E9"/>
    <w:rsid w:val="00E946D6"/>
    <w:rsid w:val="00E950FC"/>
    <w:rsid w:val="00E955A0"/>
    <w:rsid w:val="00E95CBE"/>
    <w:rsid w:val="00E95F82"/>
    <w:rsid w:val="00E964B4"/>
    <w:rsid w:val="00EA019D"/>
    <w:rsid w:val="00EA0861"/>
    <w:rsid w:val="00EA12B4"/>
    <w:rsid w:val="00EA1ED0"/>
    <w:rsid w:val="00EA24FA"/>
    <w:rsid w:val="00EA318A"/>
    <w:rsid w:val="00EA3FE0"/>
    <w:rsid w:val="00EA4BFC"/>
    <w:rsid w:val="00EA5485"/>
    <w:rsid w:val="00EA55E1"/>
    <w:rsid w:val="00EA5E1E"/>
    <w:rsid w:val="00EA61CA"/>
    <w:rsid w:val="00EA629F"/>
    <w:rsid w:val="00EA66DA"/>
    <w:rsid w:val="00EA685C"/>
    <w:rsid w:val="00EA7FF7"/>
    <w:rsid w:val="00EB018F"/>
    <w:rsid w:val="00EB0EDE"/>
    <w:rsid w:val="00EB16B5"/>
    <w:rsid w:val="00EB1FA2"/>
    <w:rsid w:val="00EB25D6"/>
    <w:rsid w:val="00EB260D"/>
    <w:rsid w:val="00EB4408"/>
    <w:rsid w:val="00EB4AF2"/>
    <w:rsid w:val="00EB4C01"/>
    <w:rsid w:val="00EB5258"/>
    <w:rsid w:val="00EB5B84"/>
    <w:rsid w:val="00EB68CE"/>
    <w:rsid w:val="00EB6AA8"/>
    <w:rsid w:val="00EB7D09"/>
    <w:rsid w:val="00EC010D"/>
    <w:rsid w:val="00EC183B"/>
    <w:rsid w:val="00EC2982"/>
    <w:rsid w:val="00EC2B2F"/>
    <w:rsid w:val="00EC2B7D"/>
    <w:rsid w:val="00EC2DD3"/>
    <w:rsid w:val="00EC30E0"/>
    <w:rsid w:val="00EC3BB2"/>
    <w:rsid w:val="00EC6629"/>
    <w:rsid w:val="00EC694B"/>
    <w:rsid w:val="00EC71DD"/>
    <w:rsid w:val="00ED1090"/>
    <w:rsid w:val="00ED25CC"/>
    <w:rsid w:val="00ED2E9C"/>
    <w:rsid w:val="00ED2E9F"/>
    <w:rsid w:val="00ED2F85"/>
    <w:rsid w:val="00ED3FCA"/>
    <w:rsid w:val="00ED4589"/>
    <w:rsid w:val="00ED4C3B"/>
    <w:rsid w:val="00ED4CBC"/>
    <w:rsid w:val="00ED508E"/>
    <w:rsid w:val="00ED52F1"/>
    <w:rsid w:val="00ED6506"/>
    <w:rsid w:val="00ED73EC"/>
    <w:rsid w:val="00EE0C2C"/>
    <w:rsid w:val="00EE10CD"/>
    <w:rsid w:val="00EE16DD"/>
    <w:rsid w:val="00EE320A"/>
    <w:rsid w:val="00EE33F9"/>
    <w:rsid w:val="00EE3AAF"/>
    <w:rsid w:val="00EE43EF"/>
    <w:rsid w:val="00EE7069"/>
    <w:rsid w:val="00EE770B"/>
    <w:rsid w:val="00EE7768"/>
    <w:rsid w:val="00EF0170"/>
    <w:rsid w:val="00EF09D3"/>
    <w:rsid w:val="00EF0C36"/>
    <w:rsid w:val="00EF3033"/>
    <w:rsid w:val="00EF38CF"/>
    <w:rsid w:val="00EF38FD"/>
    <w:rsid w:val="00EF4B1E"/>
    <w:rsid w:val="00EF4C9B"/>
    <w:rsid w:val="00EF4CA7"/>
    <w:rsid w:val="00EF4D1B"/>
    <w:rsid w:val="00EF619A"/>
    <w:rsid w:val="00EF6E04"/>
    <w:rsid w:val="00EF7018"/>
    <w:rsid w:val="00EF707D"/>
    <w:rsid w:val="00EF72A4"/>
    <w:rsid w:val="00EF79A2"/>
    <w:rsid w:val="00F00041"/>
    <w:rsid w:val="00F0054F"/>
    <w:rsid w:val="00F00615"/>
    <w:rsid w:val="00F00755"/>
    <w:rsid w:val="00F00EBD"/>
    <w:rsid w:val="00F01095"/>
    <w:rsid w:val="00F0109D"/>
    <w:rsid w:val="00F01418"/>
    <w:rsid w:val="00F05900"/>
    <w:rsid w:val="00F069B2"/>
    <w:rsid w:val="00F07E4D"/>
    <w:rsid w:val="00F10AF7"/>
    <w:rsid w:val="00F10C37"/>
    <w:rsid w:val="00F11FBB"/>
    <w:rsid w:val="00F12C2E"/>
    <w:rsid w:val="00F12C39"/>
    <w:rsid w:val="00F14136"/>
    <w:rsid w:val="00F14869"/>
    <w:rsid w:val="00F14CCF"/>
    <w:rsid w:val="00F14CE1"/>
    <w:rsid w:val="00F17303"/>
    <w:rsid w:val="00F173E6"/>
    <w:rsid w:val="00F20052"/>
    <w:rsid w:val="00F21600"/>
    <w:rsid w:val="00F22890"/>
    <w:rsid w:val="00F22F3C"/>
    <w:rsid w:val="00F23089"/>
    <w:rsid w:val="00F2460F"/>
    <w:rsid w:val="00F24E6E"/>
    <w:rsid w:val="00F250B8"/>
    <w:rsid w:val="00F26D6A"/>
    <w:rsid w:val="00F275D3"/>
    <w:rsid w:val="00F27F47"/>
    <w:rsid w:val="00F301BF"/>
    <w:rsid w:val="00F308D8"/>
    <w:rsid w:val="00F3157F"/>
    <w:rsid w:val="00F31946"/>
    <w:rsid w:val="00F36081"/>
    <w:rsid w:val="00F37D96"/>
    <w:rsid w:val="00F40A76"/>
    <w:rsid w:val="00F411FE"/>
    <w:rsid w:val="00F423DA"/>
    <w:rsid w:val="00F428AC"/>
    <w:rsid w:val="00F431A0"/>
    <w:rsid w:val="00F436F7"/>
    <w:rsid w:val="00F43794"/>
    <w:rsid w:val="00F44B27"/>
    <w:rsid w:val="00F44E91"/>
    <w:rsid w:val="00F4522B"/>
    <w:rsid w:val="00F45AC3"/>
    <w:rsid w:val="00F4621E"/>
    <w:rsid w:val="00F471A1"/>
    <w:rsid w:val="00F5083D"/>
    <w:rsid w:val="00F51208"/>
    <w:rsid w:val="00F5171B"/>
    <w:rsid w:val="00F525C0"/>
    <w:rsid w:val="00F52DF3"/>
    <w:rsid w:val="00F532CA"/>
    <w:rsid w:val="00F537DB"/>
    <w:rsid w:val="00F53C42"/>
    <w:rsid w:val="00F545C2"/>
    <w:rsid w:val="00F556CF"/>
    <w:rsid w:val="00F558A8"/>
    <w:rsid w:val="00F55C38"/>
    <w:rsid w:val="00F55EBF"/>
    <w:rsid w:val="00F57411"/>
    <w:rsid w:val="00F5749C"/>
    <w:rsid w:val="00F57B7A"/>
    <w:rsid w:val="00F602F1"/>
    <w:rsid w:val="00F604FE"/>
    <w:rsid w:val="00F6070B"/>
    <w:rsid w:val="00F60A90"/>
    <w:rsid w:val="00F6251B"/>
    <w:rsid w:val="00F62B36"/>
    <w:rsid w:val="00F632FC"/>
    <w:rsid w:val="00F6484E"/>
    <w:rsid w:val="00F655A9"/>
    <w:rsid w:val="00F65BEB"/>
    <w:rsid w:val="00F67219"/>
    <w:rsid w:val="00F675D7"/>
    <w:rsid w:val="00F700F0"/>
    <w:rsid w:val="00F70721"/>
    <w:rsid w:val="00F70A98"/>
    <w:rsid w:val="00F71CC9"/>
    <w:rsid w:val="00F7214D"/>
    <w:rsid w:val="00F72E94"/>
    <w:rsid w:val="00F7382B"/>
    <w:rsid w:val="00F73CEC"/>
    <w:rsid w:val="00F757CF"/>
    <w:rsid w:val="00F75809"/>
    <w:rsid w:val="00F75DF2"/>
    <w:rsid w:val="00F76554"/>
    <w:rsid w:val="00F76834"/>
    <w:rsid w:val="00F76B0C"/>
    <w:rsid w:val="00F77D79"/>
    <w:rsid w:val="00F77F6C"/>
    <w:rsid w:val="00F8058C"/>
    <w:rsid w:val="00F80A8C"/>
    <w:rsid w:val="00F810B4"/>
    <w:rsid w:val="00F811B8"/>
    <w:rsid w:val="00F81C57"/>
    <w:rsid w:val="00F822B6"/>
    <w:rsid w:val="00F82C5B"/>
    <w:rsid w:val="00F83A38"/>
    <w:rsid w:val="00F83E81"/>
    <w:rsid w:val="00F844FC"/>
    <w:rsid w:val="00F84525"/>
    <w:rsid w:val="00F84F5C"/>
    <w:rsid w:val="00F851BC"/>
    <w:rsid w:val="00F85386"/>
    <w:rsid w:val="00F85919"/>
    <w:rsid w:val="00F85F12"/>
    <w:rsid w:val="00F8642A"/>
    <w:rsid w:val="00F86878"/>
    <w:rsid w:val="00F87FE2"/>
    <w:rsid w:val="00F90A67"/>
    <w:rsid w:val="00F927E8"/>
    <w:rsid w:val="00F933C6"/>
    <w:rsid w:val="00F93E22"/>
    <w:rsid w:val="00F95B75"/>
    <w:rsid w:val="00F95BDC"/>
    <w:rsid w:val="00F96791"/>
    <w:rsid w:val="00F96B5B"/>
    <w:rsid w:val="00F9708E"/>
    <w:rsid w:val="00F97A59"/>
    <w:rsid w:val="00FA0D33"/>
    <w:rsid w:val="00FA21C6"/>
    <w:rsid w:val="00FA24DA"/>
    <w:rsid w:val="00FA3806"/>
    <w:rsid w:val="00FA40E4"/>
    <w:rsid w:val="00FA4141"/>
    <w:rsid w:val="00FA414D"/>
    <w:rsid w:val="00FA5705"/>
    <w:rsid w:val="00FA622F"/>
    <w:rsid w:val="00FA6880"/>
    <w:rsid w:val="00FA6AA8"/>
    <w:rsid w:val="00FA727F"/>
    <w:rsid w:val="00FB0868"/>
    <w:rsid w:val="00FB1137"/>
    <w:rsid w:val="00FB15A1"/>
    <w:rsid w:val="00FB2369"/>
    <w:rsid w:val="00FB3385"/>
    <w:rsid w:val="00FB367F"/>
    <w:rsid w:val="00FB50AE"/>
    <w:rsid w:val="00FB5CA5"/>
    <w:rsid w:val="00FB5DD8"/>
    <w:rsid w:val="00FB5FDE"/>
    <w:rsid w:val="00FC03CC"/>
    <w:rsid w:val="00FC1029"/>
    <w:rsid w:val="00FC12C1"/>
    <w:rsid w:val="00FC2956"/>
    <w:rsid w:val="00FC34BE"/>
    <w:rsid w:val="00FC3983"/>
    <w:rsid w:val="00FC4815"/>
    <w:rsid w:val="00FC4E1A"/>
    <w:rsid w:val="00FC6CEB"/>
    <w:rsid w:val="00FC6E5E"/>
    <w:rsid w:val="00FD000F"/>
    <w:rsid w:val="00FD00F1"/>
    <w:rsid w:val="00FD0A8C"/>
    <w:rsid w:val="00FD11BE"/>
    <w:rsid w:val="00FD1FF0"/>
    <w:rsid w:val="00FD2700"/>
    <w:rsid w:val="00FD3A11"/>
    <w:rsid w:val="00FD3FEA"/>
    <w:rsid w:val="00FD4330"/>
    <w:rsid w:val="00FD48FC"/>
    <w:rsid w:val="00FD53CC"/>
    <w:rsid w:val="00FD54A8"/>
    <w:rsid w:val="00FD606C"/>
    <w:rsid w:val="00FD622E"/>
    <w:rsid w:val="00FD6940"/>
    <w:rsid w:val="00FD707E"/>
    <w:rsid w:val="00FD7220"/>
    <w:rsid w:val="00FE08FE"/>
    <w:rsid w:val="00FE203D"/>
    <w:rsid w:val="00FE4438"/>
    <w:rsid w:val="00FE5F5E"/>
    <w:rsid w:val="00FE6AC1"/>
    <w:rsid w:val="00FE72D3"/>
    <w:rsid w:val="00FF0C8E"/>
    <w:rsid w:val="00FF2DBC"/>
    <w:rsid w:val="00FF3BD5"/>
    <w:rsid w:val="00FF3CFA"/>
    <w:rsid w:val="00FF6515"/>
    <w:rsid w:val="00FF75C2"/>
    <w:rsid w:val="013933CF"/>
    <w:rsid w:val="01425A8E"/>
    <w:rsid w:val="014D28C9"/>
    <w:rsid w:val="01F26E28"/>
    <w:rsid w:val="01FE30EC"/>
    <w:rsid w:val="0200543E"/>
    <w:rsid w:val="02417ABC"/>
    <w:rsid w:val="027F1432"/>
    <w:rsid w:val="02890D3B"/>
    <w:rsid w:val="02947CF3"/>
    <w:rsid w:val="029A4DDE"/>
    <w:rsid w:val="02C87D97"/>
    <w:rsid w:val="02FE36A5"/>
    <w:rsid w:val="031B2171"/>
    <w:rsid w:val="0345124A"/>
    <w:rsid w:val="034651BC"/>
    <w:rsid w:val="03550F8F"/>
    <w:rsid w:val="03C13441"/>
    <w:rsid w:val="03F60087"/>
    <w:rsid w:val="040973CE"/>
    <w:rsid w:val="042751F8"/>
    <w:rsid w:val="04305887"/>
    <w:rsid w:val="04374132"/>
    <w:rsid w:val="045F1950"/>
    <w:rsid w:val="0467367A"/>
    <w:rsid w:val="04830CEC"/>
    <w:rsid w:val="04B43308"/>
    <w:rsid w:val="05245A40"/>
    <w:rsid w:val="05BE2460"/>
    <w:rsid w:val="05D215EF"/>
    <w:rsid w:val="06064696"/>
    <w:rsid w:val="061B51F6"/>
    <w:rsid w:val="06433A29"/>
    <w:rsid w:val="064E3A38"/>
    <w:rsid w:val="06814323"/>
    <w:rsid w:val="06863C94"/>
    <w:rsid w:val="06893D94"/>
    <w:rsid w:val="073B6DE4"/>
    <w:rsid w:val="074B4581"/>
    <w:rsid w:val="07556B14"/>
    <w:rsid w:val="07730701"/>
    <w:rsid w:val="07981C80"/>
    <w:rsid w:val="07C91934"/>
    <w:rsid w:val="08B06CBC"/>
    <w:rsid w:val="08CD563E"/>
    <w:rsid w:val="08EE2378"/>
    <w:rsid w:val="091E4CC5"/>
    <w:rsid w:val="093A5366"/>
    <w:rsid w:val="096858A0"/>
    <w:rsid w:val="096A51B2"/>
    <w:rsid w:val="09CA5FBB"/>
    <w:rsid w:val="09D915D1"/>
    <w:rsid w:val="09E54219"/>
    <w:rsid w:val="0A031800"/>
    <w:rsid w:val="0A3C5935"/>
    <w:rsid w:val="0A541D36"/>
    <w:rsid w:val="0A840B51"/>
    <w:rsid w:val="0A911B32"/>
    <w:rsid w:val="0AA64715"/>
    <w:rsid w:val="0B022C15"/>
    <w:rsid w:val="0B1C4BEC"/>
    <w:rsid w:val="0B9E6AFE"/>
    <w:rsid w:val="0BEB56F0"/>
    <w:rsid w:val="0C096A37"/>
    <w:rsid w:val="0C424CC3"/>
    <w:rsid w:val="0C463C1E"/>
    <w:rsid w:val="0C5559DE"/>
    <w:rsid w:val="0C832374"/>
    <w:rsid w:val="0C8547AA"/>
    <w:rsid w:val="0CC83675"/>
    <w:rsid w:val="0D045654"/>
    <w:rsid w:val="0D5770DD"/>
    <w:rsid w:val="0D6A60FE"/>
    <w:rsid w:val="0D8232DF"/>
    <w:rsid w:val="0DA0725B"/>
    <w:rsid w:val="0DB51BC8"/>
    <w:rsid w:val="0DB64A0A"/>
    <w:rsid w:val="0E981675"/>
    <w:rsid w:val="0E9F34D7"/>
    <w:rsid w:val="0EC64AE8"/>
    <w:rsid w:val="0ED26745"/>
    <w:rsid w:val="0EE517DE"/>
    <w:rsid w:val="0EF04BEC"/>
    <w:rsid w:val="0F277AFD"/>
    <w:rsid w:val="0F6A2898"/>
    <w:rsid w:val="0F7D25CB"/>
    <w:rsid w:val="0FA17DD3"/>
    <w:rsid w:val="0FAE12CF"/>
    <w:rsid w:val="0FCB64E8"/>
    <w:rsid w:val="0FDE27D0"/>
    <w:rsid w:val="101C4B04"/>
    <w:rsid w:val="103D5866"/>
    <w:rsid w:val="10683111"/>
    <w:rsid w:val="10C02F91"/>
    <w:rsid w:val="10FD43F6"/>
    <w:rsid w:val="11006C26"/>
    <w:rsid w:val="114C31CF"/>
    <w:rsid w:val="115A18B4"/>
    <w:rsid w:val="116964A2"/>
    <w:rsid w:val="1185694F"/>
    <w:rsid w:val="120D47F5"/>
    <w:rsid w:val="121911B3"/>
    <w:rsid w:val="124851B6"/>
    <w:rsid w:val="12CF3334"/>
    <w:rsid w:val="131E43ED"/>
    <w:rsid w:val="13454DCC"/>
    <w:rsid w:val="13731EDC"/>
    <w:rsid w:val="138F24F9"/>
    <w:rsid w:val="13954F8F"/>
    <w:rsid w:val="13B9788D"/>
    <w:rsid w:val="13DA5A2E"/>
    <w:rsid w:val="14473FAF"/>
    <w:rsid w:val="144D42EA"/>
    <w:rsid w:val="146579CB"/>
    <w:rsid w:val="146A7A3A"/>
    <w:rsid w:val="146B54FE"/>
    <w:rsid w:val="147E667D"/>
    <w:rsid w:val="14A40180"/>
    <w:rsid w:val="14B63A54"/>
    <w:rsid w:val="14C814BA"/>
    <w:rsid w:val="14E21C24"/>
    <w:rsid w:val="14F04815"/>
    <w:rsid w:val="1516070A"/>
    <w:rsid w:val="154926F0"/>
    <w:rsid w:val="15B03422"/>
    <w:rsid w:val="15F83E6B"/>
    <w:rsid w:val="161A398E"/>
    <w:rsid w:val="161C2E21"/>
    <w:rsid w:val="165C7696"/>
    <w:rsid w:val="16755D09"/>
    <w:rsid w:val="16AC7CE9"/>
    <w:rsid w:val="16CC7B79"/>
    <w:rsid w:val="175F4854"/>
    <w:rsid w:val="179010EF"/>
    <w:rsid w:val="17932FC3"/>
    <w:rsid w:val="17994B59"/>
    <w:rsid w:val="17AD1D33"/>
    <w:rsid w:val="17DF3DF9"/>
    <w:rsid w:val="18225867"/>
    <w:rsid w:val="183C4EF4"/>
    <w:rsid w:val="18584266"/>
    <w:rsid w:val="186962FE"/>
    <w:rsid w:val="18927F88"/>
    <w:rsid w:val="18995838"/>
    <w:rsid w:val="18BE6F41"/>
    <w:rsid w:val="18CA50EC"/>
    <w:rsid w:val="18D85DF0"/>
    <w:rsid w:val="18EB281E"/>
    <w:rsid w:val="194F7487"/>
    <w:rsid w:val="19A96355"/>
    <w:rsid w:val="19CB4F83"/>
    <w:rsid w:val="1A29289B"/>
    <w:rsid w:val="1A315DFB"/>
    <w:rsid w:val="1A6321A1"/>
    <w:rsid w:val="1A6D162A"/>
    <w:rsid w:val="1AA82AB2"/>
    <w:rsid w:val="1AC45F3B"/>
    <w:rsid w:val="1ADB362A"/>
    <w:rsid w:val="1B0066F4"/>
    <w:rsid w:val="1B1C6EEF"/>
    <w:rsid w:val="1B3F6259"/>
    <w:rsid w:val="1B7A3E97"/>
    <w:rsid w:val="1BBB7566"/>
    <w:rsid w:val="1BC93F48"/>
    <w:rsid w:val="1BD178F4"/>
    <w:rsid w:val="1C151F43"/>
    <w:rsid w:val="1C811D88"/>
    <w:rsid w:val="1C931204"/>
    <w:rsid w:val="1CE27061"/>
    <w:rsid w:val="1CFB0587"/>
    <w:rsid w:val="1D3B73E7"/>
    <w:rsid w:val="1D871B4D"/>
    <w:rsid w:val="1DC43C61"/>
    <w:rsid w:val="1DDD11A3"/>
    <w:rsid w:val="1E017CB6"/>
    <w:rsid w:val="1E144E18"/>
    <w:rsid w:val="1E691F94"/>
    <w:rsid w:val="1E6D4D57"/>
    <w:rsid w:val="1E7D5E35"/>
    <w:rsid w:val="1E9D6D8E"/>
    <w:rsid w:val="1ED12A92"/>
    <w:rsid w:val="1FEE6341"/>
    <w:rsid w:val="1FF2060C"/>
    <w:rsid w:val="20160072"/>
    <w:rsid w:val="203D5735"/>
    <w:rsid w:val="208D07B9"/>
    <w:rsid w:val="20981B2F"/>
    <w:rsid w:val="20E10C38"/>
    <w:rsid w:val="210063D6"/>
    <w:rsid w:val="210A16BF"/>
    <w:rsid w:val="21322302"/>
    <w:rsid w:val="21781BB8"/>
    <w:rsid w:val="218E32A2"/>
    <w:rsid w:val="219D17DA"/>
    <w:rsid w:val="220849D9"/>
    <w:rsid w:val="2222760E"/>
    <w:rsid w:val="22273102"/>
    <w:rsid w:val="22413873"/>
    <w:rsid w:val="22AE21D4"/>
    <w:rsid w:val="22B32015"/>
    <w:rsid w:val="22D42838"/>
    <w:rsid w:val="22F25944"/>
    <w:rsid w:val="22FF52E6"/>
    <w:rsid w:val="233803D3"/>
    <w:rsid w:val="23532073"/>
    <w:rsid w:val="238D008A"/>
    <w:rsid w:val="238F7516"/>
    <w:rsid w:val="2390786E"/>
    <w:rsid w:val="23981F0D"/>
    <w:rsid w:val="23E40A13"/>
    <w:rsid w:val="240900AA"/>
    <w:rsid w:val="24A02E2E"/>
    <w:rsid w:val="24AD6B52"/>
    <w:rsid w:val="24D64FE8"/>
    <w:rsid w:val="24E712E5"/>
    <w:rsid w:val="24F651B5"/>
    <w:rsid w:val="252E1EC1"/>
    <w:rsid w:val="25360851"/>
    <w:rsid w:val="25370464"/>
    <w:rsid w:val="257162B5"/>
    <w:rsid w:val="257F647C"/>
    <w:rsid w:val="258C4BD0"/>
    <w:rsid w:val="25E2506D"/>
    <w:rsid w:val="26012632"/>
    <w:rsid w:val="2601765A"/>
    <w:rsid w:val="263934FE"/>
    <w:rsid w:val="26473182"/>
    <w:rsid w:val="26481AAA"/>
    <w:rsid w:val="2661634B"/>
    <w:rsid w:val="268A78EE"/>
    <w:rsid w:val="26DB111B"/>
    <w:rsid w:val="26EA0676"/>
    <w:rsid w:val="272A2024"/>
    <w:rsid w:val="273835EC"/>
    <w:rsid w:val="273B1F1B"/>
    <w:rsid w:val="27662DC4"/>
    <w:rsid w:val="27766A8F"/>
    <w:rsid w:val="279B6B4A"/>
    <w:rsid w:val="27F02D08"/>
    <w:rsid w:val="283A479C"/>
    <w:rsid w:val="283F20E2"/>
    <w:rsid w:val="28942C64"/>
    <w:rsid w:val="28AA30AD"/>
    <w:rsid w:val="28AD72C9"/>
    <w:rsid w:val="28E57F77"/>
    <w:rsid w:val="29700301"/>
    <w:rsid w:val="297E4ABA"/>
    <w:rsid w:val="2991410B"/>
    <w:rsid w:val="29E21671"/>
    <w:rsid w:val="2A26675B"/>
    <w:rsid w:val="2A2E4796"/>
    <w:rsid w:val="2A46090E"/>
    <w:rsid w:val="2A562671"/>
    <w:rsid w:val="2AC119E6"/>
    <w:rsid w:val="2ACA653E"/>
    <w:rsid w:val="2ACC4C3E"/>
    <w:rsid w:val="2ADA66CC"/>
    <w:rsid w:val="2AFD73FA"/>
    <w:rsid w:val="2B442C52"/>
    <w:rsid w:val="2B5C5333"/>
    <w:rsid w:val="2B707A83"/>
    <w:rsid w:val="2B741E26"/>
    <w:rsid w:val="2B8F23FE"/>
    <w:rsid w:val="2BB37EE3"/>
    <w:rsid w:val="2BB939AB"/>
    <w:rsid w:val="2BDA1191"/>
    <w:rsid w:val="2C1179CC"/>
    <w:rsid w:val="2C194B8B"/>
    <w:rsid w:val="2C3F38CE"/>
    <w:rsid w:val="2C5E6119"/>
    <w:rsid w:val="2C79695E"/>
    <w:rsid w:val="2CCC3CE8"/>
    <w:rsid w:val="2D2B0F66"/>
    <w:rsid w:val="2D726112"/>
    <w:rsid w:val="2DCB6A78"/>
    <w:rsid w:val="2E1623E3"/>
    <w:rsid w:val="2E30489C"/>
    <w:rsid w:val="2E88409D"/>
    <w:rsid w:val="2EAA0E53"/>
    <w:rsid w:val="2EC56DAD"/>
    <w:rsid w:val="2EC96F32"/>
    <w:rsid w:val="2EE10169"/>
    <w:rsid w:val="2EE84AD4"/>
    <w:rsid w:val="2EF0528F"/>
    <w:rsid w:val="2EF96AC3"/>
    <w:rsid w:val="2F184082"/>
    <w:rsid w:val="2F1A7E75"/>
    <w:rsid w:val="2F852F4C"/>
    <w:rsid w:val="2FBE722E"/>
    <w:rsid w:val="2FC2570E"/>
    <w:rsid w:val="300D749D"/>
    <w:rsid w:val="30117C59"/>
    <w:rsid w:val="301207F7"/>
    <w:rsid w:val="301F72D6"/>
    <w:rsid w:val="30234AEB"/>
    <w:rsid w:val="305C4CFD"/>
    <w:rsid w:val="30900E1C"/>
    <w:rsid w:val="3094686B"/>
    <w:rsid w:val="30C6074A"/>
    <w:rsid w:val="30E14471"/>
    <w:rsid w:val="310D02CF"/>
    <w:rsid w:val="3184412F"/>
    <w:rsid w:val="31931DE5"/>
    <w:rsid w:val="319D1D2F"/>
    <w:rsid w:val="31B912D3"/>
    <w:rsid w:val="320408AF"/>
    <w:rsid w:val="32361DA1"/>
    <w:rsid w:val="32407089"/>
    <w:rsid w:val="325B1302"/>
    <w:rsid w:val="326D71D8"/>
    <w:rsid w:val="32BA270E"/>
    <w:rsid w:val="32C42B99"/>
    <w:rsid w:val="33036DF4"/>
    <w:rsid w:val="330E79F3"/>
    <w:rsid w:val="334B6668"/>
    <w:rsid w:val="336E470D"/>
    <w:rsid w:val="33C96BFD"/>
    <w:rsid w:val="34065AA4"/>
    <w:rsid w:val="3509298F"/>
    <w:rsid w:val="35244BD4"/>
    <w:rsid w:val="354070C6"/>
    <w:rsid w:val="35601188"/>
    <w:rsid w:val="35663D6D"/>
    <w:rsid w:val="35973066"/>
    <w:rsid w:val="35D16496"/>
    <w:rsid w:val="36415851"/>
    <w:rsid w:val="36734321"/>
    <w:rsid w:val="3674015A"/>
    <w:rsid w:val="367F6EAD"/>
    <w:rsid w:val="36B0780D"/>
    <w:rsid w:val="370E42FB"/>
    <w:rsid w:val="372D53DE"/>
    <w:rsid w:val="373C025B"/>
    <w:rsid w:val="375B195B"/>
    <w:rsid w:val="3760397C"/>
    <w:rsid w:val="37650E5B"/>
    <w:rsid w:val="37AB37BE"/>
    <w:rsid w:val="37B0647C"/>
    <w:rsid w:val="37CD1CCA"/>
    <w:rsid w:val="37DA6EE1"/>
    <w:rsid w:val="381F206C"/>
    <w:rsid w:val="382264CD"/>
    <w:rsid w:val="385E30D3"/>
    <w:rsid w:val="38901128"/>
    <w:rsid w:val="389F7C10"/>
    <w:rsid w:val="38B131BA"/>
    <w:rsid w:val="38BA08E0"/>
    <w:rsid w:val="38C213F9"/>
    <w:rsid w:val="38C4197A"/>
    <w:rsid w:val="3931162D"/>
    <w:rsid w:val="393A3031"/>
    <w:rsid w:val="39431A0F"/>
    <w:rsid w:val="395235FD"/>
    <w:rsid w:val="395A14D6"/>
    <w:rsid w:val="3976677C"/>
    <w:rsid w:val="39835940"/>
    <w:rsid w:val="39933600"/>
    <w:rsid w:val="39A878A0"/>
    <w:rsid w:val="39B9081F"/>
    <w:rsid w:val="3A1D5893"/>
    <w:rsid w:val="3A37232F"/>
    <w:rsid w:val="3A6B5876"/>
    <w:rsid w:val="3A7D2081"/>
    <w:rsid w:val="3AED01BE"/>
    <w:rsid w:val="3AF06BA9"/>
    <w:rsid w:val="3AF546C1"/>
    <w:rsid w:val="3B1A432D"/>
    <w:rsid w:val="3B8C10EB"/>
    <w:rsid w:val="3C38119D"/>
    <w:rsid w:val="3CDC4047"/>
    <w:rsid w:val="3CDD3BA0"/>
    <w:rsid w:val="3CF30618"/>
    <w:rsid w:val="3CFD4F87"/>
    <w:rsid w:val="3D146E96"/>
    <w:rsid w:val="3D2B5D0A"/>
    <w:rsid w:val="3D7173BA"/>
    <w:rsid w:val="3D9D7421"/>
    <w:rsid w:val="3DB3549C"/>
    <w:rsid w:val="3DDA224F"/>
    <w:rsid w:val="3E005586"/>
    <w:rsid w:val="3E044AD3"/>
    <w:rsid w:val="3E2401C6"/>
    <w:rsid w:val="3E366DFA"/>
    <w:rsid w:val="3E527040"/>
    <w:rsid w:val="3E6C6D9C"/>
    <w:rsid w:val="3E6D3907"/>
    <w:rsid w:val="3EAF3CA0"/>
    <w:rsid w:val="3EC05EAD"/>
    <w:rsid w:val="3F0C1985"/>
    <w:rsid w:val="3F0D1961"/>
    <w:rsid w:val="3F423F4F"/>
    <w:rsid w:val="3F715648"/>
    <w:rsid w:val="3F731768"/>
    <w:rsid w:val="3F806644"/>
    <w:rsid w:val="3F843298"/>
    <w:rsid w:val="401704C1"/>
    <w:rsid w:val="40184052"/>
    <w:rsid w:val="4030521F"/>
    <w:rsid w:val="405368AD"/>
    <w:rsid w:val="407A7F3B"/>
    <w:rsid w:val="409958BB"/>
    <w:rsid w:val="40D145D3"/>
    <w:rsid w:val="40DE6132"/>
    <w:rsid w:val="40E2354F"/>
    <w:rsid w:val="40F5730B"/>
    <w:rsid w:val="412505DC"/>
    <w:rsid w:val="412A255A"/>
    <w:rsid w:val="413552BE"/>
    <w:rsid w:val="413566F8"/>
    <w:rsid w:val="41473215"/>
    <w:rsid w:val="416F7C6F"/>
    <w:rsid w:val="4177231B"/>
    <w:rsid w:val="41A609DE"/>
    <w:rsid w:val="41D74A58"/>
    <w:rsid w:val="41E2613A"/>
    <w:rsid w:val="42424E28"/>
    <w:rsid w:val="425665D3"/>
    <w:rsid w:val="42C23A86"/>
    <w:rsid w:val="42E73F37"/>
    <w:rsid w:val="43145DAB"/>
    <w:rsid w:val="43433EB2"/>
    <w:rsid w:val="4371478A"/>
    <w:rsid w:val="43846FF0"/>
    <w:rsid w:val="43D52566"/>
    <w:rsid w:val="43E36B40"/>
    <w:rsid w:val="43FF5824"/>
    <w:rsid w:val="444C423A"/>
    <w:rsid w:val="448616DC"/>
    <w:rsid w:val="44BB1131"/>
    <w:rsid w:val="44EF7495"/>
    <w:rsid w:val="44F65CBD"/>
    <w:rsid w:val="452930AD"/>
    <w:rsid w:val="453C58F0"/>
    <w:rsid w:val="455140E2"/>
    <w:rsid w:val="455D4534"/>
    <w:rsid w:val="45676984"/>
    <w:rsid w:val="457356F1"/>
    <w:rsid w:val="458378CF"/>
    <w:rsid w:val="45C97296"/>
    <w:rsid w:val="46F72A93"/>
    <w:rsid w:val="472359DB"/>
    <w:rsid w:val="477F1038"/>
    <w:rsid w:val="47844504"/>
    <w:rsid w:val="47CA4745"/>
    <w:rsid w:val="47F836EF"/>
    <w:rsid w:val="48741AB6"/>
    <w:rsid w:val="4875178E"/>
    <w:rsid w:val="48A228F4"/>
    <w:rsid w:val="49044886"/>
    <w:rsid w:val="49BD7C90"/>
    <w:rsid w:val="4A195BCC"/>
    <w:rsid w:val="4A4518E7"/>
    <w:rsid w:val="4A597A57"/>
    <w:rsid w:val="4A815D6D"/>
    <w:rsid w:val="4AE97E40"/>
    <w:rsid w:val="4AF47BB3"/>
    <w:rsid w:val="4B0C1E61"/>
    <w:rsid w:val="4B1228C9"/>
    <w:rsid w:val="4B252554"/>
    <w:rsid w:val="4B5F178F"/>
    <w:rsid w:val="4BB14430"/>
    <w:rsid w:val="4BBC759B"/>
    <w:rsid w:val="4BBD7BF4"/>
    <w:rsid w:val="4BEF3C39"/>
    <w:rsid w:val="4C4C0A66"/>
    <w:rsid w:val="4CE00060"/>
    <w:rsid w:val="4CE66081"/>
    <w:rsid w:val="4D195508"/>
    <w:rsid w:val="4D1B5596"/>
    <w:rsid w:val="4D8157F4"/>
    <w:rsid w:val="4DF32A32"/>
    <w:rsid w:val="4E13505A"/>
    <w:rsid w:val="4E2D5348"/>
    <w:rsid w:val="4E307A48"/>
    <w:rsid w:val="4EC70B92"/>
    <w:rsid w:val="4EF51614"/>
    <w:rsid w:val="4F165675"/>
    <w:rsid w:val="4F280925"/>
    <w:rsid w:val="4F343AAA"/>
    <w:rsid w:val="4F854409"/>
    <w:rsid w:val="4F9F25D5"/>
    <w:rsid w:val="4FC3058A"/>
    <w:rsid w:val="4FCA5CEA"/>
    <w:rsid w:val="50546B88"/>
    <w:rsid w:val="509053A4"/>
    <w:rsid w:val="509F59AE"/>
    <w:rsid w:val="50A429EC"/>
    <w:rsid w:val="50B826F8"/>
    <w:rsid w:val="5105743A"/>
    <w:rsid w:val="51385D77"/>
    <w:rsid w:val="517F5E89"/>
    <w:rsid w:val="518C5515"/>
    <w:rsid w:val="518E357F"/>
    <w:rsid w:val="51A0531B"/>
    <w:rsid w:val="51BE68CE"/>
    <w:rsid w:val="51D95AD6"/>
    <w:rsid w:val="51F63F9D"/>
    <w:rsid w:val="51FD617E"/>
    <w:rsid w:val="52142A3F"/>
    <w:rsid w:val="52187EEE"/>
    <w:rsid w:val="52252053"/>
    <w:rsid w:val="522B2FD0"/>
    <w:rsid w:val="524B4183"/>
    <w:rsid w:val="528850EE"/>
    <w:rsid w:val="52B93B44"/>
    <w:rsid w:val="535F6E5F"/>
    <w:rsid w:val="53BF45C4"/>
    <w:rsid w:val="53CB4B19"/>
    <w:rsid w:val="53DA2F25"/>
    <w:rsid w:val="53E329A4"/>
    <w:rsid w:val="53F35F85"/>
    <w:rsid w:val="540A518E"/>
    <w:rsid w:val="54420E94"/>
    <w:rsid w:val="54484032"/>
    <w:rsid w:val="54554E92"/>
    <w:rsid w:val="546546D5"/>
    <w:rsid w:val="54717268"/>
    <w:rsid w:val="547B574B"/>
    <w:rsid w:val="54813932"/>
    <w:rsid w:val="549E6958"/>
    <w:rsid w:val="54AA0321"/>
    <w:rsid w:val="54E14A94"/>
    <w:rsid w:val="54F64507"/>
    <w:rsid w:val="555F1851"/>
    <w:rsid w:val="5566704B"/>
    <w:rsid w:val="55791389"/>
    <w:rsid w:val="55854F53"/>
    <w:rsid w:val="559C0E89"/>
    <w:rsid w:val="55C9638F"/>
    <w:rsid w:val="55E004F5"/>
    <w:rsid w:val="55E21112"/>
    <w:rsid w:val="56112EA7"/>
    <w:rsid w:val="562552BC"/>
    <w:rsid w:val="564D67F3"/>
    <w:rsid w:val="565421F0"/>
    <w:rsid w:val="56A553BC"/>
    <w:rsid w:val="571C1644"/>
    <w:rsid w:val="5727495C"/>
    <w:rsid w:val="578542A5"/>
    <w:rsid w:val="57E11D9D"/>
    <w:rsid w:val="58775FF5"/>
    <w:rsid w:val="588C5984"/>
    <w:rsid w:val="58AC2E10"/>
    <w:rsid w:val="58BF1335"/>
    <w:rsid w:val="58C82CC6"/>
    <w:rsid w:val="58CD1DBD"/>
    <w:rsid w:val="58DB1423"/>
    <w:rsid w:val="590D7D83"/>
    <w:rsid w:val="593F1F7E"/>
    <w:rsid w:val="594F4CAE"/>
    <w:rsid w:val="595437F5"/>
    <w:rsid w:val="59600C9F"/>
    <w:rsid w:val="59757737"/>
    <w:rsid w:val="5A2D2B02"/>
    <w:rsid w:val="5A3B1010"/>
    <w:rsid w:val="5A610D19"/>
    <w:rsid w:val="5A850050"/>
    <w:rsid w:val="5A931B9C"/>
    <w:rsid w:val="5AAF74A3"/>
    <w:rsid w:val="5AC7098A"/>
    <w:rsid w:val="5B4312EB"/>
    <w:rsid w:val="5B4777A0"/>
    <w:rsid w:val="5B585462"/>
    <w:rsid w:val="5B693C49"/>
    <w:rsid w:val="5B775876"/>
    <w:rsid w:val="5B7A5E96"/>
    <w:rsid w:val="5BA93F5D"/>
    <w:rsid w:val="5BFA17BF"/>
    <w:rsid w:val="5C127D29"/>
    <w:rsid w:val="5C5F6C22"/>
    <w:rsid w:val="5C674F6F"/>
    <w:rsid w:val="5CEA2BCF"/>
    <w:rsid w:val="5D346979"/>
    <w:rsid w:val="5D397565"/>
    <w:rsid w:val="5D4174AC"/>
    <w:rsid w:val="5D925F30"/>
    <w:rsid w:val="5D95600F"/>
    <w:rsid w:val="5DF86D4D"/>
    <w:rsid w:val="5E0832F4"/>
    <w:rsid w:val="5E5C138C"/>
    <w:rsid w:val="5E656134"/>
    <w:rsid w:val="5E8D033A"/>
    <w:rsid w:val="5EBF695C"/>
    <w:rsid w:val="5EC21603"/>
    <w:rsid w:val="5EDD398D"/>
    <w:rsid w:val="5EF30663"/>
    <w:rsid w:val="5F1A706C"/>
    <w:rsid w:val="5F453716"/>
    <w:rsid w:val="5F4B3F6E"/>
    <w:rsid w:val="5F50315D"/>
    <w:rsid w:val="5F7E6154"/>
    <w:rsid w:val="5F8306FB"/>
    <w:rsid w:val="5F8B6604"/>
    <w:rsid w:val="5F962473"/>
    <w:rsid w:val="5F9F7DAD"/>
    <w:rsid w:val="5FB733F3"/>
    <w:rsid w:val="5FB73B11"/>
    <w:rsid w:val="5FCA07B0"/>
    <w:rsid w:val="603C6849"/>
    <w:rsid w:val="60673224"/>
    <w:rsid w:val="60943544"/>
    <w:rsid w:val="60FA5B41"/>
    <w:rsid w:val="60FD04F5"/>
    <w:rsid w:val="6106026A"/>
    <w:rsid w:val="61134C29"/>
    <w:rsid w:val="616E74B4"/>
    <w:rsid w:val="61C9172A"/>
    <w:rsid w:val="61D940B2"/>
    <w:rsid w:val="61DB4133"/>
    <w:rsid w:val="620033C8"/>
    <w:rsid w:val="621059C4"/>
    <w:rsid w:val="62202BFA"/>
    <w:rsid w:val="62790AD5"/>
    <w:rsid w:val="62877783"/>
    <w:rsid w:val="62934689"/>
    <w:rsid w:val="62C14A1E"/>
    <w:rsid w:val="62DA3768"/>
    <w:rsid w:val="62E33669"/>
    <w:rsid w:val="631544B0"/>
    <w:rsid w:val="63162D9D"/>
    <w:rsid w:val="632E2A67"/>
    <w:rsid w:val="63556182"/>
    <w:rsid w:val="6398656B"/>
    <w:rsid w:val="63A4273E"/>
    <w:rsid w:val="63D33618"/>
    <w:rsid w:val="644E1353"/>
    <w:rsid w:val="64916770"/>
    <w:rsid w:val="64DD0FBC"/>
    <w:rsid w:val="64F32289"/>
    <w:rsid w:val="64FB0B4D"/>
    <w:rsid w:val="654670A6"/>
    <w:rsid w:val="65656CC1"/>
    <w:rsid w:val="65B54450"/>
    <w:rsid w:val="65B723CE"/>
    <w:rsid w:val="65D46B7C"/>
    <w:rsid w:val="65F82D58"/>
    <w:rsid w:val="65FE43CF"/>
    <w:rsid w:val="6655643A"/>
    <w:rsid w:val="666B35ED"/>
    <w:rsid w:val="66910EBA"/>
    <w:rsid w:val="669B6734"/>
    <w:rsid w:val="66A139DE"/>
    <w:rsid w:val="66A41B8F"/>
    <w:rsid w:val="66BB623C"/>
    <w:rsid w:val="66C47FE8"/>
    <w:rsid w:val="66CE407C"/>
    <w:rsid w:val="66E00F33"/>
    <w:rsid w:val="670965B7"/>
    <w:rsid w:val="67195E05"/>
    <w:rsid w:val="672D321A"/>
    <w:rsid w:val="67451E2F"/>
    <w:rsid w:val="675543B3"/>
    <w:rsid w:val="67B27681"/>
    <w:rsid w:val="67D77F19"/>
    <w:rsid w:val="68063EF6"/>
    <w:rsid w:val="683B0BD7"/>
    <w:rsid w:val="686A3A5F"/>
    <w:rsid w:val="68707383"/>
    <w:rsid w:val="68BC2955"/>
    <w:rsid w:val="68EA628B"/>
    <w:rsid w:val="692E11CF"/>
    <w:rsid w:val="69BE4424"/>
    <w:rsid w:val="69C25983"/>
    <w:rsid w:val="69C94FE1"/>
    <w:rsid w:val="69DE19D0"/>
    <w:rsid w:val="69FF24B7"/>
    <w:rsid w:val="6A026ACA"/>
    <w:rsid w:val="6A9571B1"/>
    <w:rsid w:val="6AD6266F"/>
    <w:rsid w:val="6B013E10"/>
    <w:rsid w:val="6B815ECD"/>
    <w:rsid w:val="6B9040CB"/>
    <w:rsid w:val="6C3A495A"/>
    <w:rsid w:val="6C4C6D7F"/>
    <w:rsid w:val="6C96295D"/>
    <w:rsid w:val="6CA852A0"/>
    <w:rsid w:val="6CF30049"/>
    <w:rsid w:val="6CF44BC6"/>
    <w:rsid w:val="6CFA43E7"/>
    <w:rsid w:val="6D0B5428"/>
    <w:rsid w:val="6D433955"/>
    <w:rsid w:val="6D435584"/>
    <w:rsid w:val="6D942BDD"/>
    <w:rsid w:val="6DFA4326"/>
    <w:rsid w:val="6E3C2532"/>
    <w:rsid w:val="6EE75676"/>
    <w:rsid w:val="6EF3496D"/>
    <w:rsid w:val="6EF9242C"/>
    <w:rsid w:val="6F192098"/>
    <w:rsid w:val="6F1C349A"/>
    <w:rsid w:val="6F6D3A5A"/>
    <w:rsid w:val="6FC248D7"/>
    <w:rsid w:val="6FDF6D82"/>
    <w:rsid w:val="700977DF"/>
    <w:rsid w:val="701E6F66"/>
    <w:rsid w:val="707F0506"/>
    <w:rsid w:val="70A36E1C"/>
    <w:rsid w:val="70B331D4"/>
    <w:rsid w:val="70C552E2"/>
    <w:rsid w:val="7101188A"/>
    <w:rsid w:val="71F641B4"/>
    <w:rsid w:val="720158B9"/>
    <w:rsid w:val="722E14DD"/>
    <w:rsid w:val="72340314"/>
    <w:rsid w:val="72774307"/>
    <w:rsid w:val="72796D26"/>
    <w:rsid w:val="72A0755F"/>
    <w:rsid w:val="72B00A55"/>
    <w:rsid w:val="72EB3CDD"/>
    <w:rsid w:val="730A53F0"/>
    <w:rsid w:val="73136936"/>
    <w:rsid w:val="735B7197"/>
    <w:rsid w:val="738221D0"/>
    <w:rsid w:val="73A779F8"/>
    <w:rsid w:val="74225E02"/>
    <w:rsid w:val="746C7BB0"/>
    <w:rsid w:val="747B3A08"/>
    <w:rsid w:val="74EE0546"/>
    <w:rsid w:val="74F11B8B"/>
    <w:rsid w:val="7509506F"/>
    <w:rsid w:val="75721991"/>
    <w:rsid w:val="757E3B50"/>
    <w:rsid w:val="75D629D6"/>
    <w:rsid w:val="7647291E"/>
    <w:rsid w:val="76694E40"/>
    <w:rsid w:val="76DD6C63"/>
    <w:rsid w:val="776823B2"/>
    <w:rsid w:val="77A8714B"/>
    <w:rsid w:val="77A9111D"/>
    <w:rsid w:val="77ED13AF"/>
    <w:rsid w:val="77FC3EA4"/>
    <w:rsid w:val="78183436"/>
    <w:rsid w:val="78261B50"/>
    <w:rsid w:val="789255CB"/>
    <w:rsid w:val="78AA6AAA"/>
    <w:rsid w:val="78FF05F2"/>
    <w:rsid w:val="79194198"/>
    <w:rsid w:val="79293D52"/>
    <w:rsid w:val="792D1F3A"/>
    <w:rsid w:val="79435739"/>
    <w:rsid w:val="798521C1"/>
    <w:rsid w:val="79866BFD"/>
    <w:rsid w:val="79884CFD"/>
    <w:rsid w:val="79DB70F5"/>
    <w:rsid w:val="79E13BB0"/>
    <w:rsid w:val="7A1A0FA8"/>
    <w:rsid w:val="7A6E70F5"/>
    <w:rsid w:val="7A9D2032"/>
    <w:rsid w:val="7A9D2582"/>
    <w:rsid w:val="7AE3724E"/>
    <w:rsid w:val="7B3F083E"/>
    <w:rsid w:val="7B547B15"/>
    <w:rsid w:val="7B8C3649"/>
    <w:rsid w:val="7B9E0DFF"/>
    <w:rsid w:val="7BF02607"/>
    <w:rsid w:val="7C55086A"/>
    <w:rsid w:val="7C5F38DB"/>
    <w:rsid w:val="7C6647DE"/>
    <w:rsid w:val="7D0C1CE2"/>
    <w:rsid w:val="7D2072A7"/>
    <w:rsid w:val="7D211035"/>
    <w:rsid w:val="7D9A5049"/>
    <w:rsid w:val="7DBB310D"/>
    <w:rsid w:val="7E3F7F64"/>
    <w:rsid w:val="7E640B15"/>
    <w:rsid w:val="7E7C22CD"/>
    <w:rsid w:val="7E86674D"/>
    <w:rsid w:val="7ECE69CA"/>
    <w:rsid w:val="7EEC3FAB"/>
    <w:rsid w:val="7EF4611B"/>
    <w:rsid w:val="7F350DA4"/>
    <w:rsid w:val="7F3B509F"/>
    <w:rsid w:val="7F604567"/>
    <w:rsid w:val="7F6A45DE"/>
    <w:rsid w:val="7F8D7694"/>
    <w:rsid w:val="7FD66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5">
    <w:name w:val="heading 1"/>
    <w:basedOn w:val="1"/>
    <w:next w:val="1"/>
    <w:link w:val="42"/>
    <w:qFormat/>
    <w:uiPriority w:val="9"/>
    <w:pPr>
      <w:keepNext/>
      <w:jc w:val="center"/>
      <w:outlineLvl w:val="0"/>
    </w:pPr>
    <w:rPr>
      <w:rFonts w:ascii="Tahoma" w:eastAsia="Tahoma" w:cs="Times New Roman"/>
      <w:b/>
      <w:bCs/>
      <w:lang w:val="zh-CN"/>
    </w:rPr>
  </w:style>
  <w:style w:type="paragraph" w:styleId="6">
    <w:name w:val="heading 2"/>
    <w:basedOn w:val="1"/>
    <w:next w:val="1"/>
    <w:link w:val="43"/>
    <w:qFormat/>
    <w:uiPriority w:val="0"/>
    <w:pPr>
      <w:keepNext/>
      <w:keepLines/>
      <w:spacing w:before="260" w:after="260" w:line="415" w:lineRule="auto"/>
      <w:outlineLvl w:val="1"/>
    </w:pPr>
    <w:rPr>
      <w:rFonts w:ascii="Arial Unicode MS" w:hAnsi="Arial Unicode MS" w:eastAsia="Wingdings" w:cs="Times New Roman"/>
      <w:b/>
      <w:bCs/>
      <w:sz w:val="32"/>
      <w:szCs w:val="32"/>
      <w:lang w:val="zh-CN"/>
    </w:rPr>
  </w:style>
  <w:style w:type="paragraph" w:styleId="7">
    <w:name w:val="heading 3"/>
    <w:basedOn w:val="1"/>
    <w:next w:val="1"/>
    <w:link w:val="44"/>
    <w:autoRedefine/>
    <w:qFormat/>
    <w:uiPriority w:val="9"/>
    <w:pPr>
      <w:keepLines/>
      <w:widowControl/>
      <w:autoSpaceDE w:val="0"/>
      <w:autoSpaceDN w:val="0"/>
      <w:adjustRightInd w:val="0"/>
      <w:spacing w:before="60"/>
      <w:jc w:val="left"/>
      <w:outlineLvl w:val="2"/>
    </w:pPr>
    <w:rPr>
      <w:rFonts w:eastAsia="Wingdings"/>
      <w:kern w:val="0"/>
      <w:sz w:val="24"/>
      <w:szCs w:val="20"/>
    </w:rPr>
  </w:style>
  <w:style w:type="paragraph" w:styleId="8">
    <w:name w:val="heading 4"/>
    <w:basedOn w:val="1"/>
    <w:next w:val="1"/>
    <w:link w:val="45"/>
    <w:autoRedefine/>
    <w:qFormat/>
    <w:uiPriority w:val="0"/>
    <w:pPr>
      <w:keepLines/>
      <w:widowControl/>
      <w:autoSpaceDE w:val="0"/>
      <w:autoSpaceDN w:val="0"/>
      <w:adjustRightInd w:val="0"/>
      <w:snapToGrid w:val="0"/>
      <w:jc w:val="left"/>
      <w:outlineLvl w:val="3"/>
    </w:pPr>
    <w:rPr>
      <w:rFonts w:eastAsia="Tahoma" w:cs="Times New Roman"/>
      <w:b/>
      <w:kern w:val="0"/>
      <w:sz w:val="24"/>
      <w:szCs w:val="20"/>
      <w:lang w:val="zh-CN"/>
    </w:rPr>
  </w:style>
  <w:style w:type="character" w:default="1" w:styleId="34">
    <w:name w:val="Default Paragraph Font"/>
    <w:autoRedefine/>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8"/>
    <w:autoRedefine/>
    <w:qFormat/>
    <w:uiPriority w:val="0"/>
    <w:pPr>
      <w:spacing w:after="120"/>
    </w:pPr>
    <w:rPr>
      <w:rFonts w:eastAsia="宋体,Verdana,Arial"/>
    </w:rPr>
  </w:style>
  <w:style w:type="paragraph" w:styleId="3">
    <w:name w:val="Body Text First Indent"/>
    <w:basedOn w:val="2"/>
    <w:next w:val="4"/>
    <w:link w:val="57"/>
    <w:autoRedefine/>
    <w:qFormat/>
    <w:uiPriority w:val="0"/>
    <w:pPr>
      <w:ind w:firstLine="420" w:firstLineChars="100"/>
    </w:pPr>
    <w:rPr>
      <w:rFonts w:eastAsia="宋体"/>
    </w:rPr>
  </w:style>
  <w:style w:type="paragraph" w:styleId="4">
    <w:name w:val="toc 6"/>
    <w:basedOn w:val="1"/>
    <w:next w:val="1"/>
    <w:autoRedefine/>
    <w:qFormat/>
    <w:uiPriority w:val="0"/>
    <w:pPr>
      <w:ind w:left="2100" w:leftChars="1000"/>
    </w:pPr>
    <w:rPr>
      <w:rFonts w:ascii="Times New Roman" w:hAnsi="Times New Roman" w:cs="Times New Roman"/>
    </w:rPr>
  </w:style>
  <w:style w:type="paragraph" w:styleId="9">
    <w:name w:val="Normal Indent"/>
    <w:basedOn w:val="1"/>
    <w:link w:val="46"/>
    <w:autoRedefine/>
    <w:qFormat/>
    <w:uiPriority w:val="99"/>
    <w:pPr>
      <w:adjustRightInd w:val="0"/>
      <w:spacing w:line="312" w:lineRule="atLeast"/>
      <w:ind w:firstLine="420"/>
      <w:textAlignment w:val="baseline"/>
    </w:pPr>
    <w:rPr>
      <w:rFonts w:eastAsia="宋体,Verdana,Arial"/>
      <w:kern w:val="0"/>
      <w:szCs w:val="20"/>
    </w:rPr>
  </w:style>
  <w:style w:type="paragraph" w:styleId="10">
    <w:name w:val="caption"/>
    <w:basedOn w:val="1"/>
    <w:next w:val="1"/>
    <w:autoRedefine/>
    <w:unhideWhenUsed/>
    <w:qFormat/>
    <w:uiPriority w:val="0"/>
    <w:rPr>
      <w:rFonts w:eastAsia="黑体" w:asciiTheme="majorHAnsi" w:hAnsiTheme="majorHAnsi" w:cstheme="majorBidi"/>
      <w:sz w:val="20"/>
      <w:szCs w:val="20"/>
    </w:rPr>
  </w:style>
  <w:style w:type="paragraph" w:styleId="11">
    <w:name w:val="Document Map"/>
    <w:basedOn w:val="1"/>
    <w:link w:val="245"/>
    <w:autoRedefine/>
    <w:qFormat/>
    <w:uiPriority w:val="0"/>
    <w:pPr>
      <w:shd w:val="clear" w:color="auto" w:fill="000080"/>
    </w:pPr>
  </w:style>
  <w:style w:type="paragraph" w:styleId="12">
    <w:name w:val="annotation text"/>
    <w:basedOn w:val="1"/>
    <w:link w:val="47"/>
    <w:autoRedefine/>
    <w:qFormat/>
    <w:uiPriority w:val="0"/>
    <w:pPr>
      <w:jc w:val="left"/>
    </w:pPr>
    <w:rPr>
      <w:rFonts w:cs="Times New Roman"/>
      <w:lang w:val="zh-CN"/>
    </w:rPr>
  </w:style>
  <w:style w:type="paragraph" w:styleId="13">
    <w:name w:val="Salutation"/>
    <w:basedOn w:val="1"/>
    <w:next w:val="1"/>
    <w:link w:val="246"/>
    <w:autoRedefine/>
    <w:qFormat/>
    <w:uiPriority w:val="0"/>
    <w:rPr>
      <w:sz w:val="24"/>
    </w:rPr>
  </w:style>
  <w:style w:type="paragraph" w:styleId="14">
    <w:name w:val="Body Text Indent"/>
    <w:basedOn w:val="1"/>
    <w:link w:val="247"/>
    <w:autoRedefine/>
    <w:qFormat/>
    <w:uiPriority w:val="99"/>
    <w:pPr>
      <w:spacing w:after="120"/>
      <w:ind w:left="420"/>
    </w:pPr>
  </w:style>
  <w:style w:type="paragraph" w:styleId="15">
    <w:name w:val="toc 3"/>
    <w:basedOn w:val="1"/>
    <w:next w:val="1"/>
    <w:autoRedefine/>
    <w:qFormat/>
    <w:uiPriority w:val="39"/>
    <w:pPr>
      <w:ind w:left="840" w:leftChars="400"/>
    </w:pPr>
  </w:style>
  <w:style w:type="paragraph" w:styleId="16">
    <w:name w:val="Plain Text"/>
    <w:basedOn w:val="1"/>
    <w:link w:val="49"/>
    <w:autoRedefine/>
    <w:qFormat/>
    <w:uiPriority w:val="0"/>
    <w:pPr>
      <w:widowControl/>
      <w:overflowPunct w:val="0"/>
      <w:autoSpaceDE w:val="0"/>
      <w:autoSpaceDN w:val="0"/>
      <w:adjustRightInd w:val="0"/>
      <w:jc w:val="left"/>
      <w:textAlignment w:val="baseline"/>
    </w:pPr>
    <w:rPr>
      <w:rFonts w:ascii="宋体,Verdana,Arial" w:hAnsi="Tahoma" w:eastAsia="宋体,Verdana,Arial"/>
      <w:kern w:val="0"/>
      <w:szCs w:val="21"/>
    </w:rPr>
  </w:style>
  <w:style w:type="paragraph" w:styleId="17">
    <w:name w:val="Date"/>
    <w:basedOn w:val="1"/>
    <w:next w:val="1"/>
    <w:link w:val="248"/>
    <w:autoRedefine/>
    <w:qFormat/>
    <w:uiPriority w:val="0"/>
    <w:rPr>
      <w:rFonts w:hint="eastAsia" w:ascii="宋体,Verdana,Arial"/>
      <w:sz w:val="24"/>
      <w:szCs w:val="20"/>
    </w:rPr>
  </w:style>
  <w:style w:type="paragraph" w:styleId="18">
    <w:name w:val="Body Text Indent 2"/>
    <w:basedOn w:val="1"/>
    <w:link w:val="249"/>
    <w:autoRedefine/>
    <w:qFormat/>
    <w:uiPriority w:val="0"/>
    <w:pPr>
      <w:spacing w:line="500" w:lineRule="exact"/>
      <w:ind w:firstLine="511" w:firstLineChars="213"/>
    </w:pPr>
    <w:rPr>
      <w:sz w:val="24"/>
    </w:rPr>
  </w:style>
  <w:style w:type="paragraph" w:styleId="19">
    <w:name w:val="Balloon Text"/>
    <w:basedOn w:val="1"/>
    <w:link w:val="50"/>
    <w:autoRedefine/>
    <w:qFormat/>
    <w:uiPriority w:val="0"/>
    <w:rPr>
      <w:rFonts w:cs="Times New Roman"/>
      <w:sz w:val="18"/>
      <w:szCs w:val="18"/>
      <w:lang w:val="zh-CN"/>
    </w:rPr>
  </w:style>
  <w:style w:type="paragraph" w:styleId="20">
    <w:name w:val="footer"/>
    <w:basedOn w:val="1"/>
    <w:link w:val="51"/>
    <w:autoRedefine/>
    <w:qFormat/>
    <w:uiPriority w:val="0"/>
    <w:pPr>
      <w:tabs>
        <w:tab w:val="center" w:pos="4153"/>
        <w:tab w:val="right" w:pos="8306"/>
      </w:tabs>
      <w:snapToGrid w:val="0"/>
      <w:jc w:val="left"/>
    </w:pPr>
    <w:rPr>
      <w:rFonts w:cs="Times New Roman"/>
      <w:sz w:val="18"/>
      <w:szCs w:val="18"/>
      <w:lang w:val="zh-CN"/>
    </w:rPr>
  </w:style>
  <w:style w:type="paragraph" w:styleId="21">
    <w:name w:val="header"/>
    <w:basedOn w:val="1"/>
    <w:link w:val="52"/>
    <w:autoRedefine/>
    <w:qFormat/>
    <w:uiPriority w:val="0"/>
    <w:pPr>
      <w:pBdr>
        <w:bottom w:val="single" w:color="auto" w:sz="6" w:space="1"/>
      </w:pBdr>
      <w:tabs>
        <w:tab w:val="center" w:pos="4153"/>
        <w:tab w:val="right" w:pos="8306"/>
      </w:tabs>
      <w:snapToGrid w:val="0"/>
      <w:jc w:val="center"/>
    </w:pPr>
    <w:rPr>
      <w:rFonts w:cs="Times New Roman"/>
      <w:sz w:val="18"/>
      <w:szCs w:val="18"/>
      <w:lang w:val="zh-CN"/>
    </w:rPr>
  </w:style>
  <w:style w:type="paragraph" w:styleId="22">
    <w:name w:val="toc 1"/>
    <w:basedOn w:val="1"/>
    <w:next w:val="1"/>
    <w:autoRedefine/>
    <w:qFormat/>
    <w:uiPriority w:val="39"/>
    <w:pPr>
      <w:tabs>
        <w:tab w:val="right" w:leader="dot" w:pos="9660"/>
      </w:tabs>
      <w:spacing w:line="480" w:lineRule="auto"/>
    </w:pPr>
  </w:style>
  <w:style w:type="paragraph" w:styleId="23">
    <w:name w:val="List"/>
    <w:basedOn w:val="1"/>
    <w:autoRedefine/>
    <w:qFormat/>
    <w:uiPriority w:val="0"/>
    <w:pPr>
      <w:ind w:left="200" w:hanging="200" w:hangingChars="200"/>
    </w:pPr>
    <w:rPr>
      <w:rFonts w:ascii="Times New Roman" w:hAnsi="Times New Roman" w:cs="Times New Roman"/>
      <w:szCs w:val="22"/>
    </w:rPr>
  </w:style>
  <w:style w:type="paragraph" w:styleId="24">
    <w:name w:val="Body Text Indent 3"/>
    <w:basedOn w:val="1"/>
    <w:link w:val="53"/>
    <w:autoRedefine/>
    <w:qFormat/>
    <w:uiPriority w:val="0"/>
    <w:pPr>
      <w:spacing w:line="500" w:lineRule="exact"/>
      <w:ind w:left="511" w:hanging="511" w:hangingChars="213"/>
    </w:pPr>
    <w:rPr>
      <w:rFonts w:cs="Times New Roman"/>
      <w:sz w:val="24"/>
      <w:lang w:val="zh-CN"/>
    </w:rPr>
  </w:style>
  <w:style w:type="paragraph" w:styleId="25">
    <w:name w:val="toc 2"/>
    <w:basedOn w:val="1"/>
    <w:next w:val="1"/>
    <w:autoRedefine/>
    <w:qFormat/>
    <w:uiPriority w:val="39"/>
    <w:pPr>
      <w:ind w:left="420" w:leftChars="200"/>
    </w:pPr>
  </w:style>
  <w:style w:type="paragraph" w:styleId="26">
    <w:name w:val="Body Text 2"/>
    <w:basedOn w:val="1"/>
    <w:link w:val="54"/>
    <w:autoRedefine/>
    <w:qFormat/>
    <w:uiPriority w:val="0"/>
    <w:pPr>
      <w:spacing w:after="120" w:line="480" w:lineRule="auto"/>
    </w:pPr>
  </w:style>
  <w:style w:type="paragraph" w:styleId="27">
    <w:name w:val="HTML Preformatted"/>
    <w:basedOn w:val="1"/>
    <w:link w:val="244"/>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paragraph" w:styleId="28">
    <w:name w:val="Normal (Web)"/>
    <w:basedOn w:val="1"/>
    <w:autoRedefine/>
    <w:qFormat/>
    <w:uiPriority w:val="99"/>
    <w:pPr>
      <w:widowControl/>
      <w:spacing w:before="100" w:beforeAutospacing="1" w:after="100" w:afterAutospacing="1"/>
      <w:jc w:val="left"/>
    </w:pPr>
    <w:rPr>
      <w:rFonts w:ascii="宋体,Verdana,Arial" w:hAnsi="宋体,Verdana,Arial" w:cs="宋体,Verdana,Arial"/>
      <w:kern w:val="0"/>
      <w:sz w:val="24"/>
    </w:rPr>
  </w:style>
  <w:style w:type="paragraph" w:styleId="29">
    <w:name w:val="Title"/>
    <w:basedOn w:val="1"/>
    <w:link w:val="55"/>
    <w:autoRedefine/>
    <w:qFormat/>
    <w:uiPriority w:val="10"/>
    <w:pPr>
      <w:spacing w:before="240" w:after="60"/>
      <w:jc w:val="center"/>
      <w:outlineLvl w:val="0"/>
    </w:pPr>
    <w:rPr>
      <w:rFonts w:ascii="Arial" w:hAnsi="Arial" w:cs="Times New Roman"/>
      <w:b/>
      <w:bCs/>
      <w:sz w:val="32"/>
      <w:szCs w:val="32"/>
      <w:lang w:val="zh-CN"/>
    </w:rPr>
  </w:style>
  <w:style w:type="paragraph" w:styleId="30">
    <w:name w:val="annotation subject"/>
    <w:basedOn w:val="12"/>
    <w:next w:val="12"/>
    <w:link w:val="56"/>
    <w:autoRedefine/>
    <w:qFormat/>
    <w:uiPriority w:val="0"/>
    <w:rPr>
      <w:b/>
      <w:bCs/>
    </w:rPr>
  </w:style>
  <w:style w:type="paragraph" w:styleId="31">
    <w:name w:val="Body Text First Indent 2"/>
    <w:basedOn w:val="14"/>
    <w:link w:val="255"/>
    <w:autoRedefine/>
    <w:qFormat/>
    <w:uiPriority w:val="0"/>
    <w:pPr>
      <w:ind w:left="200" w:leftChars="200" w:firstLine="420" w:firstLineChars="200"/>
    </w:pPr>
    <w:rPr>
      <w:rFonts w:ascii="Times New Roman" w:hAnsi="Times New Roman" w:cs="Times New Roman"/>
    </w:rPr>
  </w:style>
  <w:style w:type="table" w:styleId="33">
    <w:name w:val="Table Grid"/>
    <w:basedOn w:val="32"/>
    <w:autoRedefine/>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autoRedefine/>
    <w:qFormat/>
    <w:uiPriority w:val="22"/>
    <w:rPr>
      <w:b/>
      <w:bCs/>
    </w:rPr>
  </w:style>
  <w:style w:type="character" w:styleId="36">
    <w:name w:val="page number"/>
    <w:basedOn w:val="34"/>
    <w:autoRedefine/>
    <w:qFormat/>
    <w:uiPriority w:val="0"/>
  </w:style>
  <w:style w:type="character" w:styleId="37">
    <w:name w:val="FollowedHyperlink"/>
    <w:autoRedefine/>
    <w:unhideWhenUsed/>
    <w:qFormat/>
    <w:uiPriority w:val="99"/>
    <w:rPr>
      <w:color w:val="800080"/>
      <w:u w:val="single"/>
    </w:rPr>
  </w:style>
  <w:style w:type="character" w:styleId="38">
    <w:name w:val="Emphasis"/>
    <w:autoRedefine/>
    <w:qFormat/>
    <w:uiPriority w:val="0"/>
  </w:style>
  <w:style w:type="character" w:styleId="39">
    <w:name w:val="Hyperlink"/>
    <w:autoRedefine/>
    <w:qFormat/>
    <w:uiPriority w:val="99"/>
    <w:rPr>
      <w:color w:val="0000FF"/>
      <w:u w:val="single"/>
    </w:rPr>
  </w:style>
  <w:style w:type="character" w:styleId="40">
    <w:name w:val="annotation reference"/>
    <w:autoRedefine/>
    <w:qFormat/>
    <w:uiPriority w:val="0"/>
    <w:rPr>
      <w:sz w:val="21"/>
      <w:szCs w:val="21"/>
    </w:rPr>
  </w:style>
  <w:style w:type="character" w:styleId="41">
    <w:name w:val="HTML Sample"/>
    <w:basedOn w:val="34"/>
    <w:autoRedefine/>
    <w:qFormat/>
    <w:uiPriority w:val="0"/>
    <w:rPr>
      <w:rFonts w:ascii="Courier New" w:hAnsi="Courier New"/>
    </w:rPr>
  </w:style>
  <w:style w:type="character" w:customStyle="1" w:styleId="42">
    <w:name w:val="标题 1 字符"/>
    <w:link w:val="5"/>
    <w:qFormat/>
    <w:uiPriority w:val="0"/>
    <w:rPr>
      <w:rFonts w:ascii="Tahoma" w:eastAsia="Tahoma"/>
      <w:b/>
      <w:bCs/>
      <w:kern w:val="2"/>
      <w:sz w:val="21"/>
      <w:szCs w:val="24"/>
    </w:rPr>
  </w:style>
  <w:style w:type="character" w:customStyle="1" w:styleId="43">
    <w:name w:val="标题 2 字符"/>
    <w:link w:val="6"/>
    <w:qFormat/>
    <w:uiPriority w:val="9"/>
    <w:rPr>
      <w:rFonts w:ascii="Arial Unicode MS" w:hAnsi="Arial Unicode MS" w:eastAsia="Wingdings"/>
      <w:b/>
      <w:bCs/>
      <w:kern w:val="2"/>
      <w:sz w:val="32"/>
      <w:szCs w:val="32"/>
    </w:rPr>
  </w:style>
  <w:style w:type="character" w:customStyle="1" w:styleId="44">
    <w:name w:val="标题 3 字符"/>
    <w:link w:val="7"/>
    <w:autoRedefine/>
    <w:qFormat/>
    <w:uiPriority w:val="0"/>
    <w:rPr>
      <w:rFonts w:eastAsia="Wingdings"/>
      <w:sz w:val="24"/>
      <w:lang w:val="en-US" w:eastAsia="zh-CN" w:bidi="ar-SA"/>
    </w:rPr>
  </w:style>
  <w:style w:type="character" w:customStyle="1" w:styleId="45">
    <w:name w:val="标题 4 字符1"/>
    <w:link w:val="8"/>
    <w:autoRedefine/>
    <w:qFormat/>
    <w:uiPriority w:val="0"/>
    <w:rPr>
      <w:rFonts w:eastAsia="Tahoma"/>
      <w:b/>
      <w:sz w:val="24"/>
    </w:rPr>
  </w:style>
  <w:style w:type="character" w:customStyle="1" w:styleId="46">
    <w:name w:val="正文缩进 字符"/>
    <w:link w:val="9"/>
    <w:autoRedefine/>
    <w:qFormat/>
    <w:uiPriority w:val="0"/>
    <w:rPr>
      <w:rFonts w:eastAsia="宋体,Verdana,Arial"/>
      <w:sz w:val="21"/>
      <w:lang w:val="en-US" w:eastAsia="zh-CN" w:bidi="ar-SA"/>
    </w:rPr>
  </w:style>
  <w:style w:type="character" w:customStyle="1" w:styleId="47">
    <w:name w:val="批注文字 字符"/>
    <w:link w:val="12"/>
    <w:autoRedefine/>
    <w:qFormat/>
    <w:uiPriority w:val="0"/>
    <w:rPr>
      <w:kern w:val="2"/>
      <w:sz w:val="21"/>
      <w:szCs w:val="24"/>
    </w:rPr>
  </w:style>
  <w:style w:type="character" w:customStyle="1" w:styleId="48">
    <w:name w:val="正文文本 字符"/>
    <w:link w:val="2"/>
    <w:qFormat/>
    <w:uiPriority w:val="99"/>
    <w:rPr>
      <w:rFonts w:eastAsia="宋体,Verdana,Arial"/>
      <w:kern w:val="2"/>
      <w:sz w:val="21"/>
      <w:szCs w:val="24"/>
      <w:lang w:val="en-US" w:eastAsia="zh-CN" w:bidi="ar-SA"/>
    </w:rPr>
  </w:style>
  <w:style w:type="character" w:customStyle="1" w:styleId="49">
    <w:name w:val="纯文本 字符"/>
    <w:link w:val="16"/>
    <w:autoRedefine/>
    <w:qFormat/>
    <w:uiPriority w:val="0"/>
    <w:rPr>
      <w:rFonts w:ascii="宋体,Verdana,Arial" w:hAnsi="Tahoma" w:eastAsia="宋体,Verdana,Arial"/>
      <w:sz w:val="21"/>
      <w:szCs w:val="21"/>
      <w:lang w:val="en-US" w:eastAsia="zh-CN" w:bidi="ar-SA"/>
    </w:rPr>
  </w:style>
  <w:style w:type="character" w:customStyle="1" w:styleId="50">
    <w:name w:val="批注框文本 字符1"/>
    <w:link w:val="19"/>
    <w:autoRedefine/>
    <w:qFormat/>
    <w:uiPriority w:val="99"/>
    <w:rPr>
      <w:kern w:val="2"/>
      <w:sz w:val="18"/>
      <w:szCs w:val="18"/>
    </w:rPr>
  </w:style>
  <w:style w:type="character" w:customStyle="1" w:styleId="51">
    <w:name w:val="页脚 字符1"/>
    <w:link w:val="20"/>
    <w:autoRedefine/>
    <w:qFormat/>
    <w:uiPriority w:val="99"/>
    <w:rPr>
      <w:kern w:val="2"/>
      <w:sz w:val="18"/>
      <w:szCs w:val="18"/>
    </w:rPr>
  </w:style>
  <w:style w:type="character" w:customStyle="1" w:styleId="52">
    <w:name w:val="页眉 字符1"/>
    <w:link w:val="21"/>
    <w:autoRedefine/>
    <w:qFormat/>
    <w:locked/>
    <w:uiPriority w:val="99"/>
    <w:rPr>
      <w:kern w:val="2"/>
      <w:sz w:val="18"/>
      <w:szCs w:val="18"/>
    </w:rPr>
  </w:style>
  <w:style w:type="character" w:customStyle="1" w:styleId="53">
    <w:name w:val="正文文本缩进 3 字符1"/>
    <w:link w:val="24"/>
    <w:qFormat/>
    <w:uiPriority w:val="0"/>
    <w:rPr>
      <w:kern w:val="2"/>
      <w:sz w:val="24"/>
      <w:szCs w:val="24"/>
    </w:rPr>
  </w:style>
  <w:style w:type="character" w:customStyle="1" w:styleId="54">
    <w:name w:val="正文文本 2 字符"/>
    <w:basedOn w:val="34"/>
    <w:link w:val="26"/>
    <w:qFormat/>
    <w:uiPriority w:val="0"/>
    <w:rPr>
      <w:kern w:val="2"/>
      <w:sz w:val="21"/>
      <w:szCs w:val="24"/>
    </w:rPr>
  </w:style>
  <w:style w:type="character" w:customStyle="1" w:styleId="55">
    <w:name w:val="标题 字符"/>
    <w:link w:val="29"/>
    <w:qFormat/>
    <w:uiPriority w:val="10"/>
    <w:rPr>
      <w:rFonts w:ascii="Arial" w:hAnsi="Arial"/>
      <w:b/>
      <w:bCs/>
      <w:kern w:val="2"/>
      <w:sz w:val="32"/>
      <w:szCs w:val="32"/>
    </w:rPr>
  </w:style>
  <w:style w:type="character" w:customStyle="1" w:styleId="56">
    <w:name w:val="批注主题 字符"/>
    <w:link w:val="30"/>
    <w:qFormat/>
    <w:uiPriority w:val="0"/>
    <w:rPr>
      <w:b/>
      <w:bCs/>
      <w:kern w:val="2"/>
      <w:sz w:val="21"/>
      <w:szCs w:val="24"/>
    </w:rPr>
  </w:style>
  <w:style w:type="character" w:customStyle="1" w:styleId="57">
    <w:name w:val="正文文本首行缩进 字符"/>
    <w:basedOn w:val="48"/>
    <w:link w:val="3"/>
    <w:autoRedefine/>
    <w:qFormat/>
    <w:uiPriority w:val="0"/>
    <w:rPr>
      <w:rFonts w:eastAsia="宋体,Verdana,Arial"/>
      <w:kern w:val="2"/>
      <w:sz w:val="21"/>
      <w:szCs w:val="24"/>
      <w:lang w:val="en-US" w:eastAsia="zh-CN" w:bidi="ar-SA"/>
    </w:rPr>
  </w:style>
  <w:style w:type="character" w:customStyle="1" w:styleId="58">
    <w:name w:val="正文缩进 Char"/>
    <w:autoRedefine/>
    <w:qFormat/>
    <w:uiPriority w:val="0"/>
    <w:rPr>
      <w:rFonts w:eastAsia="宋体,Verdana,Arial"/>
      <w:sz w:val="21"/>
      <w:lang w:val="en-US" w:eastAsia="zh-CN"/>
    </w:rPr>
  </w:style>
  <w:style w:type="character" w:customStyle="1" w:styleId="59">
    <w:name w:val="Texte Char Char"/>
    <w:qFormat/>
    <w:uiPriority w:val="0"/>
    <w:rPr>
      <w:rFonts w:ascii="宋体" w:hAnsi="Courier New" w:eastAsia="宋体"/>
      <w:sz w:val="21"/>
      <w:szCs w:val="21"/>
      <w:lang w:val="en-US" w:eastAsia="zh-CN" w:bidi="ar-SA"/>
    </w:rPr>
  </w:style>
  <w:style w:type="character" w:customStyle="1" w:styleId="60">
    <w:name w:val="列出段落 Char"/>
    <w:link w:val="61"/>
    <w:autoRedefine/>
    <w:qFormat/>
    <w:uiPriority w:val="34"/>
    <w:rPr>
      <w:rFonts w:ascii="Courier New" w:hAnsi="Courier New"/>
      <w:kern w:val="2"/>
      <w:sz w:val="21"/>
      <w:szCs w:val="22"/>
    </w:rPr>
  </w:style>
  <w:style w:type="paragraph" w:customStyle="1" w:styleId="61">
    <w:name w:val="列出段落1"/>
    <w:basedOn w:val="1"/>
    <w:link w:val="60"/>
    <w:autoRedefine/>
    <w:qFormat/>
    <w:uiPriority w:val="34"/>
    <w:pPr>
      <w:ind w:firstLine="420" w:firstLineChars="200"/>
    </w:pPr>
    <w:rPr>
      <w:rFonts w:ascii="Courier New" w:hAnsi="Courier New" w:cs="Times New Roman"/>
      <w:szCs w:val="22"/>
      <w:lang w:val="zh-CN"/>
    </w:rPr>
  </w:style>
  <w:style w:type="character" w:customStyle="1" w:styleId="62">
    <w:name w:val="Char Char2"/>
    <w:autoRedefine/>
    <w:qFormat/>
    <w:uiPriority w:val="0"/>
    <w:rPr>
      <w:rFonts w:ascii="Univers LT Std 57 Cn" w:hAnsi="宋体,Verdana,Arial" w:eastAsia="Univers LT Std 57 Cn"/>
      <w:kern w:val="2"/>
      <w:sz w:val="21"/>
      <w:lang w:val="en-US" w:eastAsia="zh-CN" w:bidi="ar-SA"/>
    </w:rPr>
  </w:style>
  <w:style w:type="character" w:customStyle="1" w:styleId="63">
    <w:name w:val="p141"/>
    <w:autoRedefine/>
    <w:qFormat/>
    <w:uiPriority w:val="0"/>
    <w:rPr>
      <w:sz w:val="21"/>
      <w:szCs w:val="21"/>
    </w:rPr>
  </w:style>
  <w:style w:type="character" w:customStyle="1" w:styleId="64">
    <w:name w:val="纯文本 Char1"/>
    <w:autoRedefine/>
    <w:qFormat/>
    <w:uiPriority w:val="0"/>
    <w:rPr>
      <w:rFonts w:ascii="宋体,Verdana,Arial" w:hAnsi="Tahoma" w:eastAsia="宋体,Verdana,Arial"/>
      <w:sz w:val="21"/>
      <w:szCs w:val="21"/>
    </w:rPr>
  </w:style>
  <w:style w:type="character" w:customStyle="1" w:styleId="65">
    <w:name w:val="正文文本 (2)_"/>
    <w:link w:val="66"/>
    <w:autoRedefine/>
    <w:qFormat/>
    <w:uiPriority w:val="99"/>
    <w:rPr>
      <w:rFonts w:ascii="Times New Roman" w:hAnsi="Times New Roman" w:cs="Times New Roman"/>
      <w:shd w:val="clear" w:color="auto" w:fill="FFFFFF"/>
    </w:rPr>
  </w:style>
  <w:style w:type="paragraph" w:customStyle="1" w:styleId="66">
    <w:name w:val="正文文本 (2)"/>
    <w:basedOn w:val="1"/>
    <w:link w:val="65"/>
    <w:autoRedefine/>
    <w:qFormat/>
    <w:uiPriority w:val="99"/>
    <w:pPr>
      <w:shd w:val="clear" w:color="auto" w:fill="FFFFFF"/>
      <w:jc w:val="left"/>
    </w:pPr>
    <w:rPr>
      <w:rFonts w:ascii="Times New Roman" w:hAnsi="Times New Roman" w:cs="Times New Roman"/>
      <w:kern w:val="0"/>
      <w:sz w:val="20"/>
      <w:szCs w:val="20"/>
      <w:lang w:val="zh-CN"/>
    </w:rPr>
  </w:style>
  <w:style w:type="character" w:customStyle="1" w:styleId="67">
    <w:name w:val="正文文本 (2) + MingLiU1"/>
    <w:autoRedefine/>
    <w:qFormat/>
    <w:uiPriority w:val="99"/>
    <w:rPr>
      <w:rFonts w:ascii="MingLiU" w:hAnsi="Times New Roman" w:eastAsia="MingLiU" w:cs="MingLiU"/>
      <w:w w:val="100"/>
      <w:sz w:val="13"/>
      <w:szCs w:val="13"/>
      <w:shd w:val="clear" w:color="auto" w:fill="FFFFFF"/>
      <w:lang w:val="en-US" w:eastAsia="en-US"/>
    </w:rPr>
  </w:style>
  <w:style w:type="character" w:customStyle="1" w:styleId="68">
    <w:name w:val="ändrad Char"/>
    <w:autoRedefine/>
    <w:qFormat/>
    <w:uiPriority w:val="0"/>
    <w:rPr>
      <w:rFonts w:eastAsia="Univers LT Std 57 Cn"/>
      <w:kern w:val="2"/>
      <w:sz w:val="21"/>
      <w:szCs w:val="24"/>
      <w:lang w:val="en-US" w:eastAsia="zh-CN" w:bidi="ar-SA"/>
    </w:rPr>
  </w:style>
  <w:style w:type="character" w:customStyle="1" w:styleId="69">
    <w:name w:val="正文文本 (2) + MingLiU"/>
    <w:autoRedefine/>
    <w:qFormat/>
    <w:uiPriority w:val="99"/>
    <w:rPr>
      <w:rFonts w:ascii="MingLiU" w:hAnsi="Times New Roman" w:eastAsia="MingLiU" w:cs="MingLiU"/>
      <w:sz w:val="13"/>
      <w:szCs w:val="13"/>
      <w:shd w:val="clear" w:color="auto" w:fill="FFFFFF"/>
    </w:rPr>
  </w:style>
  <w:style w:type="character" w:customStyle="1" w:styleId="70">
    <w:name w:val="font31"/>
    <w:autoRedefine/>
    <w:qFormat/>
    <w:uiPriority w:val="0"/>
    <w:rPr>
      <w:rFonts w:hint="eastAsia" w:ascii="宋体" w:hAnsi="宋体" w:eastAsia="宋体" w:cs="宋体"/>
      <w:color w:val="000000"/>
      <w:sz w:val="24"/>
      <w:szCs w:val="24"/>
    </w:rPr>
  </w:style>
  <w:style w:type="character" w:customStyle="1" w:styleId="71">
    <w:name w:val="正文文本缩进 3 Char1"/>
    <w:autoRedefine/>
    <w:semiHidden/>
    <w:qFormat/>
    <w:uiPriority w:val="99"/>
    <w:rPr>
      <w:rFonts w:ascii="Times New Roman" w:hAnsi="Times New Roman"/>
      <w:kern w:val="2"/>
      <w:sz w:val="16"/>
      <w:szCs w:val="16"/>
    </w:rPr>
  </w:style>
  <w:style w:type="character" w:customStyle="1" w:styleId="72">
    <w:name w:val="页脚 字符"/>
    <w:autoRedefine/>
    <w:qFormat/>
    <w:uiPriority w:val="0"/>
    <w:rPr>
      <w:rFonts w:ascii="Times New Roman" w:hAnsi="Times New Roman" w:eastAsia="宋体" w:cs="Times New Roman"/>
      <w:sz w:val="18"/>
      <w:szCs w:val="18"/>
    </w:rPr>
  </w:style>
  <w:style w:type="character" w:customStyle="1" w:styleId="73">
    <w:name w:val="apple-converted-space"/>
    <w:autoRedefine/>
    <w:qFormat/>
    <w:uiPriority w:val="0"/>
  </w:style>
  <w:style w:type="character" w:customStyle="1" w:styleId="74">
    <w:name w:val="页眉 字符"/>
    <w:autoRedefine/>
    <w:qFormat/>
    <w:uiPriority w:val="0"/>
    <w:rPr>
      <w:rFonts w:ascii="Times New Roman" w:hAnsi="Times New Roman" w:eastAsia="宋体" w:cs="Times New Roman"/>
      <w:sz w:val="18"/>
      <w:szCs w:val="18"/>
    </w:rPr>
  </w:style>
  <w:style w:type="character" w:customStyle="1" w:styleId="75">
    <w:name w:val="批注框文本 字符"/>
    <w:qFormat/>
    <w:uiPriority w:val="0"/>
    <w:rPr>
      <w:rFonts w:ascii="Times New Roman" w:hAnsi="Times New Roman" w:eastAsia="宋体" w:cs="Times New Roman"/>
      <w:sz w:val="18"/>
      <w:szCs w:val="18"/>
    </w:rPr>
  </w:style>
  <w:style w:type="character" w:customStyle="1" w:styleId="76">
    <w:name w:val="标题 4 字符"/>
    <w:autoRedefine/>
    <w:qFormat/>
    <w:uiPriority w:val="0"/>
    <w:rPr>
      <w:rFonts w:ascii="Arial" w:hAnsi="Arial" w:eastAsia="黑体" w:cs="Times New Roman"/>
      <w:b/>
      <w:sz w:val="28"/>
      <w:szCs w:val="20"/>
    </w:rPr>
  </w:style>
  <w:style w:type="character" w:customStyle="1" w:styleId="77">
    <w:name w:val="正文文本缩进 3 字符"/>
    <w:autoRedefine/>
    <w:qFormat/>
    <w:locked/>
    <w:uiPriority w:val="0"/>
    <w:rPr>
      <w:rFonts w:ascii="仿宋_GB2312" w:hAnsi="宋体" w:eastAsia="仿宋_GB2312"/>
      <w:color w:val="000000"/>
      <w:sz w:val="24"/>
      <w:szCs w:val="24"/>
    </w:rPr>
  </w:style>
  <w:style w:type="paragraph" w:customStyle="1" w:styleId="78">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79">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18"/>
      <w:szCs w:val="18"/>
    </w:rPr>
  </w:style>
  <w:style w:type="paragraph" w:customStyle="1" w:styleId="80">
    <w:name w:val="正文1"/>
    <w:basedOn w:val="1"/>
    <w:autoRedefine/>
    <w:qFormat/>
    <w:uiPriority w:val="0"/>
    <w:pPr>
      <w:adjustRightInd w:val="0"/>
      <w:spacing w:line="360" w:lineRule="atLeast"/>
      <w:jc w:val="left"/>
    </w:pPr>
    <w:rPr>
      <w:rFonts w:eastAsia="Tahoma"/>
      <w:kern w:val="0"/>
      <w:sz w:val="24"/>
      <w:szCs w:val="20"/>
    </w:rPr>
  </w:style>
  <w:style w:type="paragraph" w:customStyle="1" w:styleId="81">
    <w:name w:val="保留正文"/>
    <w:basedOn w:val="2"/>
    <w:autoRedefine/>
    <w:qFormat/>
    <w:uiPriority w:val="0"/>
    <w:pPr>
      <w:keepNext/>
      <w:spacing w:after="160"/>
    </w:pPr>
    <w:rPr>
      <w:rFonts w:ascii="Arial" w:hAnsi="Arial" w:eastAsia="Univers LT Std 57 Cn"/>
    </w:rPr>
  </w:style>
  <w:style w:type="paragraph" w:customStyle="1" w:styleId="82">
    <w:name w:val="Char Char Char Char Char Char Char Char Char Char Char Char Char"/>
    <w:basedOn w:val="1"/>
    <w:autoRedefine/>
    <w:qFormat/>
    <w:uiPriority w:val="0"/>
    <w:rPr>
      <w:rFonts w:ascii="Arial Unicode MS" w:hAnsi="Arial Unicode MS"/>
      <w:sz w:val="24"/>
      <w:szCs w:val="20"/>
    </w:rPr>
  </w:style>
  <w:style w:type="paragraph" w:customStyle="1" w:styleId="83">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宋体,Verdana,Arial" w:hAnsi="宋体,Verdana,Arial" w:eastAsia="宋体,Verdana,Arial"/>
      <w:kern w:val="0"/>
      <w:sz w:val="24"/>
    </w:rPr>
  </w:style>
  <w:style w:type="paragraph" w:customStyle="1" w:styleId="84">
    <w:name w:val="xl90"/>
    <w:basedOn w:val="1"/>
    <w:autoRedefine/>
    <w:qFormat/>
    <w:uiPriority w:val="0"/>
    <w:pPr>
      <w:widowControl/>
      <w:spacing w:before="100" w:beforeAutospacing="1" w:after="100" w:afterAutospacing="1"/>
      <w:jc w:val="left"/>
    </w:pPr>
    <w:rPr>
      <w:rFonts w:ascii="Arial" w:hAnsi="Arial"/>
      <w:kern w:val="0"/>
      <w:sz w:val="24"/>
    </w:rPr>
  </w:style>
  <w:style w:type="paragraph" w:customStyle="1" w:styleId="85">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s="Times New Roman"/>
      <w:color w:val="000000"/>
      <w:kern w:val="0"/>
      <w:sz w:val="18"/>
      <w:szCs w:val="18"/>
    </w:rPr>
  </w:style>
  <w:style w:type="paragraph" w:customStyle="1" w:styleId="86">
    <w:name w:val="正文2"/>
    <w:next w:val="22"/>
    <w:autoRedefine/>
    <w:qFormat/>
    <w:uiPriority w:val="0"/>
    <w:pPr>
      <w:widowControl w:val="0"/>
      <w:spacing w:before="156" w:line="360" w:lineRule="auto"/>
      <w:ind w:firstLine="200" w:firstLineChars="200"/>
      <w:jc w:val="both"/>
    </w:pPr>
    <w:rPr>
      <w:rFonts w:ascii="Times New Roman" w:hAnsi="Times New Roman" w:eastAsia="宋体" w:cs="Times New Roman"/>
      <w:kern w:val="2"/>
      <w:sz w:val="24"/>
      <w:lang w:val="en-US" w:eastAsia="zh-CN" w:bidi="ar-SA"/>
    </w:rPr>
  </w:style>
  <w:style w:type="paragraph" w:customStyle="1" w:styleId="87">
    <w:name w:val="Char Char Char Char"/>
    <w:basedOn w:val="1"/>
    <w:autoRedefine/>
    <w:qFormat/>
    <w:uiPriority w:val="0"/>
    <w:rPr>
      <w:rFonts w:ascii="Arial Unicode MS" w:hAnsi="Arial Unicode MS"/>
      <w:sz w:val="24"/>
      <w:szCs w:val="20"/>
    </w:rPr>
  </w:style>
  <w:style w:type="paragraph" w:customStyle="1" w:styleId="88">
    <w:name w:val="aspnumfaautoadjustrightr"/>
    <w:autoRedefine/>
    <w:qFormat/>
    <w:uiPriority w:val="0"/>
    <w:pPr>
      <w:widowControl w:val="0"/>
      <w:autoSpaceDE w:val="0"/>
      <w:autoSpaceDN w:val="0"/>
      <w:adjustRightInd w:val="0"/>
      <w:ind w:firstLine="720"/>
      <w:jc w:val="both"/>
    </w:pPr>
    <w:rPr>
      <w:rFonts w:ascii="Calibri" w:hAnsi="Calibri" w:eastAsia="宋体" w:cs="Arial"/>
      <w:lang w:val="en-US" w:eastAsia="zh-CN" w:bidi="ar-SA"/>
    </w:rPr>
  </w:style>
  <w:style w:type="paragraph" w:customStyle="1" w:styleId="89">
    <w:name w:val="msolistparagraph"/>
    <w:basedOn w:val="1"/>
    <w:autoRedefine/>
    <w:qFormat/>
    <w:uiPriority w:val="0"/>
    <w:pPr>
      <w:widowControl/>
      <w:ind w:firstLine="420"/>
      <w:jc w:val="left"/>
    </w:pPr>
    <w:rPr>
      <w:rFonts w:ascii="宋体" w:hAnsi="宋体" w:cs="宋体"/>
      <w:kern w:val="0"/>
      <w:sz w:val="24"/>
    </w:rPr>
  </w:style>
  <w:style w:type="paragraph" w:customStyle="1" w:styleId="90">
    <w:name w:val="xl55"/>
    <w:basedOn w:val="1"/>
    <w:autoRedefine/>
    <w:qFormat/>
    <w:uiPriority w:val="0"/>
    <w:pPr>
      <w:widowControl/>
      <w:spacing w:before="100" w:beforeAutospacing="1" w:after="100" w:afterAutospacing="1"/>
      <w:textAlignment w:val="center"/>
    </w:pPr>
    <w:rPr>
      <w:rFonts w:ascii="宋体,Verdana,Arial" w:hAnsi="宋体,Verdana,Arial" w:eastAsia="Tahoma"/>
      <w:kern w:val="0"/>
      <w:sz w:val="24"/>
      <w:szCs w:val="20"/>
    </w:rPr>
  </w:style>
  <w:style w:type="paragraph" w:customStyle="1" w:styleId="91">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000000"/>
      <w:kern w:val="0"/>
      <w:sz w:val="18"/>
      <w:szCs w:val="18"/>
    </w:rPr>
  </w:style>
  <w:style w:type="paragraph" w:customStyle="1" w:styleId="92">
    <w:name w:val="xl9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w:hAnsi="Arial"/>
      <w:color w:val="000000"/>
      <w:kern w:val="0"/>
      <w:sz w:val="18"/>
      <w:szCs w:val="18"/>
    </w:rPr>
  </w:style>
  <w:style w:type="paragraph" w:customStyle="1" w:styleId="93">
    <w:name w:val="Char Char Char Char1"/>
    <w:basedOn w:val="11"/>
    <w:autoRedefine/>
    <w:qFormat/>
    <w:uiPriority w:val="0"/>
    <w:rPr>
      <w:rFonts w:ascii="Arial Unicode MS" w:hAnsi="Arial Unicode MS"/>
      <w:sz w:val="24"/>
    </w:rPr>
  </w:style>
  <w:style w:type="paragraph" w:customStyle="1" w:styleId="94">
    <w:name w:val="xl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pPr>
    <w:rPr>
      <w:rFonts w:ascii="宋体" w:hAnsi="宋体" w:cs="宋体"/>
      <w:b/>
      <w:bCs/>
      <w:color w:val="000000"/>
      <w:kern w:val="0"/>
      <w:sz w:val="20"/>
      <w:szCs w:val="20"/>
    </w:rPr>
  </w:style>
  <w:style w:type="paragraph" w:customStyle="1" w:styleId="95">
    <w:name w:val="xl10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6">
    <w:name w:val="xl15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w:hAnsi="Arial"/>
      <w:b/>
      <w:bCs/>
      <w:color w:val="000000"/>
      <w:kern w:val="0"/>
      <w:sz w:val="20"/>
      <w:szCs w:val="20"/>
    </w:rPr>
  </w:style>
  <w:style w:type="paragraph" w:customStyle="1" w:styleId="97">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000000"/>
      <w:kern w:val="0"/>
      <w:sz w:val="18"/>
      <w:szCs w:val="18"/>
    </w:rPr>
  </w:style>
  <w:style w:type="paragraph" w:customStyle="1" w:styleId="98">
    <w:name w:val="font9"/>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99">
    <w:name w:val="font15"/>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00">
    <w:name w:val="Char Char7 Char"/>
    <w:basedOn w:val="1"/>
    <w:autoRedefine/>
    <w:qFormat/>
    <w:uiPriority w:val="0"/>
    <w:pPr>
      <w:tabs>
        <w:tab w:val="left" w:pos="425"/>
      </w:tabs>
      <w:ind w:left="420" w:leftChars="200" w:firstLine="270" w:firstLineChars="150"/>
    </w:pPr>
    <w:rPr>
      <w:rFonts w:ascii="Times New Roman" w:hAnsi="Times New Roman" w:cs="Times New Roman"/>
    </w:rPr>
  </w:style>
  <w:style w:type="paragraph" w:customStyle="1" w:styleId="101">
    <w:name w:val="1.1.1"/>
    <w:basedOn w:val="1"/>
    <w:autoRedefine/>
    <w:qFormat/>
    <w:uiPriority w:val="0"/>
    <w:pPr>
      <w:tabs>
        <w:tab w:val="left" w:pos="0"/>
        <w:tab w:val="left" w:pos="1134"/>
        <w:tab w:val="left" w:pos="8505"/>
      </w:tabs>
      <w:autoSpaceDE w:val="0"/>
      <w:autoSpaceDN w:val="0"/>
      <w:adjustRightInd w:val="0"/>
      <w:spacing w:before="240" w:after="60" w:line="360" w:lineRule="atLeast"/>
    </w:pPr>
    <w:rPr>
      <w:rFonts w:ascii="宋体,Verdana,Arial"/>
      <w:b/>
      <w:kern w:val="0"/>
      <w:sz w:val="24"/>
      <w:szCs w:val="20"/>
    </w:rPr>
  </w:style>
  <w:style w:type="paragraph" w:customStyle="1" w:styleId="102">
    <w:name w:val="xl10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w:hAnsi="Arial"/>
      <w:color w:val="000000"/>
      <w:kern w:val="0"/>
      <w:sz w:val="18"/>
      <w:szCs w:val="18"/>
    </w:rPr>
  </w:style>
  <w:style w:type="paragraph" w:customStyle="1" w:styleId="103">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000000"/>
      <w:kern w:val="0"/>
      <w:sz w:val="18"/>
      <w:szCs w:val="18"/>
    </w:rPr>
  </w:style>
  <w:style w:type="paragraph" w:customStyle="1" w:styleId="104">
    <w:name w:val="修订1"/>
    <w:autoRedefine/>
    <w:semiHidden/>
    <w:qFormat/>
    <w:uiPriority w:val="99"/>
    <w:rPr>
      <w:rFonts w:ascii="Calibri" w:hAnsi="Calibri" w:eastAsia="宋体" w:cs="Arial"/>
      <w:kern w:val="2"/>
      <w:sz w:val="21"/>
      <w:szCs w:val="24"/>
      <w:lang w:val="en-US" w:eastAsia="zh-CN" w:bidi="ar-SA"/>
    </w:rPr>
  </w:style>
  <w:style w:type="paragraph" w:customStyle="1" w:styleId="105">
    <w:name w:val="Char Char"/>
    <w:basedOn w:val="1"/>
    <w:autoRedefine/>
    <w:qFormat/>
    <w:uiPriority w:val="0"/>
    <w:rPr>
      <w:rFonts w:ascii="Courier New" w:eastAsia="Courier New"/>
      <w:b/>
      <w:sz w:val="32"/>
      <w:szCs w:val="32"/>
    </w:rPr>
  </w:style>
  <w:style w:type="paragraph" w:customStyle="1" w:styleId="106">
    <w:name w:val="表内文字"/>
    <w:basedOn w:val="1"/>
    <w:autoRedefine/>
    <w:qFormat/>
    <w:uiPriority w:val="0"/>
    <w:pPr>
      <w:spacing w:line="240" w:lineRule="atLeast"/>
      <w:jc w:val="center"/>
    </w:pPr>
    <w:rPr>
      <w:rFonts w:ascii="Arial Unicode MS" w:hAnsi="Arial Unicode MS" w:cs="Arial Unicode MS"/>
      <w:b/>
      <w:bCs/>
    </w:rPr>
  </w:style>
  <w:style w:type="paragraph" w:customStyle="1" w:styleId="107">
    <w:name w:val="xl130"/>
    <w:basedOn w:val="1"/>
    <w:autoRedefine/>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left"/>
    </w:pPr>
    <w:rPr>
      <w:rFonts w:ascii="Arial" w:hAnsi="Arial"/>
      <w:b/>
      <w:bCs/>
      <w:kern w:val="0"/>
      <w:sz w:val="18"/>
      <w:szCs w:val="18"/>
    </w:rPr>
  </w:style>
  <w:style w:type="paragraph" w:customStyle="1" w:styleId="108">
    <w:name w:val="_Style 5"/>
    <w:basedOn w:val="11"/>
    <w:autoRedefine/>
    <w:qFormat/>
    <w:uiPriority w:val="0"/>
    <w:rPr>
      <w:rFonts w:ascii="Times New Roman" w:hAnsi="Times New Roman" w:cs="Times New Roman"/>
    </w:rPr>
  </w:style>
  <w:style w:type="paragraph" w:customStyle="1" w:styleId="109">
    <w:name w:val="Char Char6 Char Char"/>
    <w:basedOn w:val="11"/>
    <w:autoRedefine/>
    <w:qFormat/>
    <w:uiPriority w:val="0"/>
    <w:rPr>
      <w:rFonts w:ascii="Times New Roman" w:hAnsi="Times New Roman" w:cs="Times New Roman"/>
    </w:rPr>
  </w:style>
  <w:style w:type="paragraph" w:customStyle="1" w:styleId="110">
    <w:name w:val="font16"/>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11">
    <w:name w:val="xl9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12">
    <w:name w:val="font5"/>
    <w:basedOn w:val="1"/>
    <w:autoRedefine/>
    <w:qFormat/>
    <w:uiPriority w:val="0"/>
    <w:pPr>
      <w:widowControl/>
      <w:spacing w:before="100" w:beforeAutospacing="1" w:after="100" w:afterAutospacing="1"/>
      <w:jc w:val="left"/>
    </w:pPr>
    <w:rPr>
      <w:rFonts w:ascii="Arial" w:hAnsi="Arial"/>
      <w:kern w:val="0"/>
      <w:sz w:val="18"/>
      <w:szCs w:val="18"/>
    </w:rPr>
  </w:style>
  <w:style w:type="paragraph" w:customStyle="1" w:styleId="113">
    <w:name w:val="font6"/>
    <w:basedOn w:val="1"/>
    <w:autoRedefine/>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114">
    <w:name w:val="font7"/>
    <w:basedOn w:val="1"/>
    <w:autoRedefine/>
    <w:qFormat/>
    <w:uiPriority w:val="0"/>
    <w:pPr>
      <w:widowControl/>
      <w:spacing w:before="100" w:beforeAutospacing="1" w:after="100" w:afterAutospacing="1"/>
      <w:jc w:val="left"/>
    </w:pPr>
    <w:rPr>
      <w:rFonts w:ascii="Arial" w:hAnsi="Arial"/>
      <w:b/>
      <w:bCs/>
      <w:color w:val="000000"/>
      <w:kern w:val="0"/>
      <w:sz w:val="18"/>
      <w:szCs w:val="18"/>
    </w:rPr>
  </w:style>
  <w:style w:type="paragraph" w:customStyle="1" w:styleId="115">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000000"/>
      <w:kern w:val="0"/>
      <w:sz w:val="18"/>
      <w:szCs w:val="18"/>
    </w:rPr>
  </w:style>
  <w:style w:type="paragraph" w:customStyle="1" w:styleId="116">
    <w:name w:val="font8"/>
    <w:basedOn w:val="1"/>
    <w:autoRedefine/>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117">
    <w:name w:val="font10"/>
    <w:basedOn w:val="1"/>
    <w:autoRedefine/>
    <w:qFormat/>
    <w:uiPriority w:val="0"/>
    <w:pPr>
      <w:widowControl/>
      <w:spacing w:before="100" w:beforeAutospacing="1" w:after="100" w:afterAutospacing="1"/>
      <w:jc w:val="left"/>
    </w:pPr>
    <w:rPr>
      <w:rFonts w:ascii="Arial" w:hAnsi="Arial"/>
      <w:color w:val="000000"/>
      <w:kern w:val="0"/>
      <w:sz w:val="18"/>
      <w:szCs w:val="18"/>
    </w:rPr>
  </w:style>
  <w:style w:type="paragraph" w:customStyle="1" w:styleId="118">
    <w:name w:val="font11"/>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19">
    <w:name w:val="font12"/>
    <w:basedOn w:val="1"/>
    <w:autoRedefine/>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120">
    <w:name w:val="font13"/>
    <w:basedOn w:val="1"/>
    <w:autoRedefine/>
    <w:qFormat/>
    <w:uiPriority w:val="0"/>
    <w:pPr>
      <w:widowControl/>
      <w:spacing w:before="100" w:beforeAutospacing="1" w:after="100" w:afterAutospacing="1"/>
      <w:jc w:val="left"/>
    </w:pPr>
    <w:rPr>
      <w:rFonts w:ascii="Arial" w:hAnsi="Arial"/>
      <w:color w:val="000000"/>
      <w:kern w:val="0"/>
      <w:sz w:val="18"/>
      <w:szCs w:val="18"/>
    </w:rPr>
  </w:style>
  <w:style w:type="paragraph" w:customStyle="1" w:styleId="12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18"/>
    </w:rPr>
  </w:style>
  <w:style w:type="paragraph" w:customStyle="1" w:styleId="122">
    <w:name w:val="font14"/>
    <w:basedOn w:val="1"/>
    <w:autoRedefine/>
    <w:qFormat/>
    <w:uiPriority w:val="0"/>
    <w:pPr>
      <w:widowControl/>
      <w:spacing w:before="100" w:beforeAutospacing="1" w:after="100" w:afterAutospacing="1"/>
      <w:jc w:val="left"/>
    </w:pPr>
    <w:rPr>
      <w:rFonts w:ascii="Arial" w:hAnsi="Arial"/>
      <w:color w:val="000000"/>
      <w:kern w:val="0"/>
      <w:sz w:val="18"/>
      <w:szCs w:val="18"/>
    </w:rPr>
  </w:style>
  <w:style w:type="paragraph" w:customStyle="1" w:styleId="123">
    <w:name w:val="font1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24">
    <w:name w:val="font18"/>
    <w:basedOn w:val="1"/>
    <w:autoRedefine/>
    <w:qFormat/>
    <w:uiPriority w:val="0"/>
    <w:pPr>
      <w:widowControl/>
      <w:spacing w:before="100" w:beforeAutospacing="1" w:after="100" w:afterAutospacing="1"/>
      <w:jc w:val="left"/>
    </w:pPr>
    <w:rPr>
      <w:rFonts w:ascii="Arial" w:hAnsi="Arial"/>
      <w:color w:val="000000"/>
      <w:kern w:val="0"/>
      <w:sz w:val="18"/>
      <w:szCs w:val="18"/>
    </w:rPr>
  </w:style>
  <w:style w:type="paragraph" w:customStyle="1" w:styleId="125">
    <w:name w:val="font19"/>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26">
    <w:name w:val="font20"/>
    <w:basedOn w:val="1"/>
    <w:autoRedefine/>
    <w:qFormat/>
    <w:uiPriority w:val="0"/>
    <w:pPr>
      <w:widowControl/>
      <w:spacing w:before="100" w:beforeAutospacing="1" w:after="100" w:afterAutospacing="1"/>
      <w:jc w:val="left"/>
    </w:pPr>
    <w:rPr>
      <w:rFonts w:ascii="Arial" w:hAnsi="Arial"/>
      <w:color w:val="000000"/>
      <w:kern w:val="0"/>
      <w:sz w:val="18"/>
      <w:szCs w:val="18"/>
    </w:rPr>
  </w:style>
  <w:style w:type="paragraph" w:customStyle="1" w:styleId="127">
    <w:name w:val="font21"/>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28">
    <w:name w:val="xl69"/>
    <w:basedOn w:val="1"/>
    <w:autoRedefine/>
    <w:qFormat/>
    <w:uiPriority w:val="0"/>
    <w:pPr>
      <w:widowControl/>
      <w:spacing w:before="100" w:beforeAutospacing="1" w:after="100" w:afterAutospacing="1"/>
      <w:jc w:val="left"/>
    </w:pPr>
    <w:rPr>
      <w:rFonts w:ascii="Arial" w:hAnsi="Arial"/>
      <w:kern w:val="0"/>
      <w:sz w:val="20"/>
      <w:szCs w:val="20"/>
    </w:rPr>
  </w:style>
  <w:style w:type="paragraph" w:customStyle="1" w:styleId="129">
    <w:name w:val="xl70"/>
    <w:basedOn w:val="1"/>
    <w:autoRedefine/>
    <w:qFormat/>
    <w:uiPriority w:val="0"/>
    <w:pPr>
      <w:widowControl/>
      <w:spacing w:before="100" w:beforeAutospacing="1" w:after="100" w:afterAutospacing="1"/>
      <w:jc w:val="center"/>
    </w:pPr>
    <w:rPr>
      <w:rFonts w:ascii="Times New Roman" w:hAnsi="Times New Roman" w:cs="Times New Roman"/>
      <w:color w:val="000000"/>
      <w:kern w:val="0"/>
      <w:sz w:val="20"/>
      <w:szCs w:val="20"/>
    </w:rPr>
  </w:style>
  <w:style w:type="paragraph" w:customStyle="1" w:styleId="130">
    <w:name w:val="xl71"/>
    <w:basedOn w:val="1"/>
    <w:autoRedefine/>
    <w:qFormat/>
    <w:uiPriority w:val="0"/>
    <w:pPr>
      <w:widowControl/>
      <w:spacing w:before="100" w:beforeAutospacing="1" w:after="100" w:afterAutospacing="1"/>
      <w:jc w:val="left"/>
    </w:pPr>
    <w:rPr>
      <w:rFonts w:ascii="Times New Roman" w:hAnsi="Times New Roman" w:cs="Times New Roman"/>
      <w:color w:val="000000"/>
      <w:kern w:val="0"/>
      <w:sz w:val="20"/>
      <w:szCs w:val="20"/>
    </w:rPr>
  </w:style>
  <w:style w:type="paragraph" w:customStyle="1" w:styleId="131">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18"/>
    </w:rPr>
  </w:style>
  <w:style w:type="paragraph" w:customStyle="1" w:styleId="132">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18"/>
      <w:szCs w:val="18"/>
    </w:rPr>
  </w:style>
  <w:style w:type="paragraph" w:customStyle="1" w:styleId="133">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18"/>
      <w:szCs w:val="18"/>
    </w:rPr>
  </w:style>
  <w:style w:type="paragraph" w:customStyle="1" w:styleId="134">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18"/>
      <w:szCs w:val="18"/>
    </w:rPr>
  </w:style>
  <w:style w:type="paragraph" w:customStyle="1" w:styleId="135">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6">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7">
    <w:name w:val="xl79"/>
    <w:basedOn w:val="1"/>
    <w:autoRedefine/>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138">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18"/>
    </w:rPr>
  </w:style>
  <w:style w:type="paragraph" w:customStyle="1" w:styleId="139">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18"/>
      <w:szCs w:val="18"/>
    </w:rPr>
  </w:style>
  <w:style w:type="paragraph" w:customStyle="1" w:styleId="140">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18"/>
    </w:rPr>
  </w:style>
  <w:style w:type="paragraph" w:customStyle="1" w:styleId="141">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18"/>
      <w:szCs w:val="18"/>
    </w:rPr>
  </w:style>
  <w:style w:type="paragraph" w:customStyle="1" w:styleId="142">
    <w:name w:val="xl9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w:hAnsi="Arial"/>
      <w:color w:val="000000"/>
      <w:kern w:val="0"/>
      <w:sz w:val="18"/>
      <w:szCs w:val="18"/>
    </w:rPr>
  </w:style>
  <w:style w:type="paragraph" w:customStyle="1" w:styleId="143">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000000"/>
      <w:kern w:val="0"/>
      <w:sz w:val="18"/>
      <w:szCs w:val="18"/>
    </w:rPr>
  </w:style>
  <w:style w:type="paragraph" w:customStyle="1" w:styleId="144">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000000"/>
      <w:kern w:val="0"/>
      <w:sz w:val="18"/>
      <w:szCs w:val="18"/>
    </w:rPr>
  </w:style>
  <w:style w:type="paragraph" w:customStyle="1" w:styleId="145">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6">
    <w:name w:val="xl14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7">
    <w:name w:val="xl91"/>
    <w:basedOn w:val="1"/>
    <w:autoRedefine/>
    <w:qFormat/>
    <w:uiPriority w:val="0"/>
    <w:pPr>
      <w:widowControl/>
      <w:spacing w:before="100" w:beforeAutospacing="1" w:after="100" w:afterAutospacing="1"/>
      <w:jc w:val="left"/>
    </w:pPr>
    <w:rPr>
      <w:rFonts w:ascii="宋体" w:hAnsi="宋体" w:cs="宋体"/>
      <w:kern w:val="0"/>
      <w:sz w:val="22"/>
      <w:szCs w:val="22"/>
    </w:rPr>
  </w:style>
  <w:style w:type="paragraph" w:customStyle="1" w:styleId="148">
    <w:name w:val="xl1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9">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pPr>
    <w:rPr>
      <w:rFonts w:ascii="宋体" w:hAnsi="宋体" w:cs="宋体"/>
      <w:b/>
      <w:bCs/>
      <w:color w:val="000000"/>
      <w:kern w:val="0"/>
      <w:sz w:val="20"/>
      <w:szCs w:val="20"/>
    </w:rPr>
  </w:style>
  <w:style w:type="paragraph" w:customStyle="1" w:styleId="15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000000"/>
      <w:kern w:val="0"/>
      <w:sz w:val="18"/>
      <w:szCs w:val="18"/>
    </w:rPr>
  </w:style>
  <w:style w:type="paragraph" w:customStyle="1" w:styleId="151">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52">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53">
    <w:name w:val="xl1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olor w:val="000000"/>
      <w:kern w:val="0"/>
      <w:sz w:val="18"/>
      <w:szCs w:val="18"/>
    </w:rPr>
  </w:style>
  <w:style w:type="paragraph" w:customStyle="1" w:styleId="154">
    <w:name w:val="xl10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olor w:val="000000"/>
      <w:kern w:val="0"/>
      <w:sz w:val="18"/>
      <w:szCs w:val="18"/>
    </w:rPr>
  </w:style>
  <w:style w:type="paragraph" w:customStyle="1" w:styleId="155">
    <w:name w:val="xl10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olor w:val="000000"/>
      <w:kern w:val="0"/>
      <w:sz w:val="18"/>
      <w:szCs w:val="18"/>
    </w:rPr>
  </w:style>
  <w:style w:type="paragraph" w:customStyle="1" w:styleId="156">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57">
    <w:name w:val="xl123"/>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 w:val="32"/>
      <w:szCs w:val="32"/>
    </w:rPr>
  </w:style>
  <w:style w:type="paragraph" w:customStyle="1" w:styleId="158">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000000"/>
      <w:kern w:val="0"/>
      <w:sz w:val="18"/>
      <w:szCs w:val="18"/>
    </w:rPr>
  </w:style>
  <w:style w:type="paragraph" w:customStyle="1" w:styleId="159">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000000"/>
      <w:kern w:val="0"/>
      <w:sz w:val="18"/>
      <w:szCs w:val="18"/>
    </w:rPr>
  </w:style>
  <w:style w:type="paragraph" w:customStyle="1" w:styleId="160">
    <w:name w:val="xl110"/>
    <w:basedOn w:val="1"/>
    <w:autoRedefine/>
    <w:qFormat/>
    <w:uiPriority w:val="0"/>
    <w:pPr>
      <w:widowControl/>
      <w:pBdr>
        <w:top w:val="single" w:color="auto" w:sz="4" w:space="0"/>
        <w:bottom w:val="single" w:color="auto" w:sz="4" w:space="0"/>
      </w:pBdr>
      <w:spacing w:before="100" w:beforeAutospacing="1" w:after="100" w:afterAutospacing="1"/>
      <w:jc w:val="left"/>
    </w:pPr>
    <w:rPr>
      <w:rFonts w:ascii="Arial" w:hAnsi="Arial"/>
      <w:color w:val="000000"/>
      <w:kern w:val="0"/>
      <w:sz w:val="18"/>
      <w:szCs w:val="18"/>
    </w:rPr>
  </w:style>
  <w:style w:type="paragraph" w:customStyle="1" w:styleId="161">
    <w:name w:val="xl15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w:hAnsi="Arial"/>
      <w:b/>
      <w:bCs/>
      <w:color w:val="000000"/>
      <w:kern w:val="0"/>
      <w:sz w:val="20"/>
      <w:szCs w:val="20"/>
    </w:rPr>
  </w:style>
  <w:style w:type="paragraph" w:customStyle="1" w:styleId="162">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w:hAnsi="Arial"/>
      <w:color w:val="000000"/>
      <w:kern w:val="0"/>
      <w:sz w:val="18"/>
      <w:szCs w:val="18"/>
    </w:rPr>
  </w:style>
  <w:style w:type="paragraph" w:customStyle="1" w:styleId="163">
    <w:name w:val="xl154"/>
    <w:basedOn w:val="1"/>
    <w:autoRedefine/>
    <w:qFormat/>
    <w:uiPriority w:val="0"/>
    <w:pPr>
      <w:widowControl/>
      <w:pBdr>
        <w:top w:val="single" w:color="auto" w:sz="4" w:space="0"/>
        <w:bottom w:val="single" w:color="auto" w:sz="4" w:space="0"/>
      </w:pBdr>
      <w:spacing w:before="100" w:beforeAutospacing="1" w:after="100" w:afterAutospacing="1"/>
      <w:jc w:val="left"/>
    </w:pPr>
    <w:rPr>
      <w:rFonts w:ascii="Arial" w:hAnsi="Arial"/>
      <w:b/>
      <w:bCs/>
      <w:color w:val="000000"/>
      <w:kern w:val="0"/>
      <w:sz w:val="20"/>
      <w:szCs w:val="20"/>
    </w:rPr>
  </w:style>
  <w:style w:type="paragraph" w:customStyle="1" w:styleId="164">
    <w:name w:val="xl12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kern w:val="0"/>
      <w:sz w:val="18"/>
      <w:szCs w:val="18"/>
    </w:rPr>
  </w:style>
  <w:style w:type="paragraph" w:customStyle="1" w:styleId="165">
    <w:name w:val="xl11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olor w:val="000000"/>
      <w:kern w:val="0"/>
      <w:sz w:val="18"/>
      <w:szCs w:val="18"/>
    </w:rPr>
  </w:style>
  <w:style w:type="paragraph" w:customStyle="1" w:styleId="166">
    <w:name w:val="xl15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w:hAnsi="Arial"/>
      <w:b/>
      <w:bCs/>
      <w:color w:val="000000"/>
      <w:kern w:val="0"/>
      <w:sz w:val="18"/>
      <w:szCs w:val="18"/>
    </w:rPr>
  </w:style>
  <w:style w:type="paragraph" w:customStyle="1" w:styleId="167">
    <w:name w:val="xl1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kern w:val="0"/>
      <w:sz w:val="18"/>
      <w:szCs w:val="18"/>
    </w:rPr>
  </w:style>
  <w:style w:type="paragraph" w:customStyle="1" w:styleId="168">
    <w:name w:val="xl157"/>
    <w:basedOn w:val="1"/>
    <w:autoRedefine/>
    <w:qFormat/>
    <w:uiPriority w:val="0"/>
    <w:pPr>
      <w:widowControl/>
      <w:pBdr>
        <w:top w:val="single" w:color="auto" w:sz="4" w:space="0"/>
        <w:bottom w:val="single" w:color="auto" w:sz="4" w:space="0"/>
      </w:pBdr>
      <w:spacing w:before="100" w:beforeAutospacing="1" w:after="100" w:afterAutospacing="1"/>
      <w:jc w:val="left"/>
    </w:pPr>
    <w:rPr>
      <w:rFonts w:ascii="Arial" w:hAnsi="Arial"/>
      <w:b/>
      <w:bCs/>
      <w:color w:val="000000"/>
      <w:kern w:val="0"/>
      <w:sz w:val="18"/>
      <w:szCs w:val="18"/>
    </w:rPr>
  </w:style>
  <w:style w:type="paragraph" w:customStyle="1" w:styleId="169">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olor w:val="000000"/>
      <w:kern w:val="0"/>
      <w:sz w:val="18"/>
      <w:szCs w:val="18"/>
    </w:rPr>
  </w:style>
  <w:style w:type="paragraph" w:customStyle="1" w:styleId="170">
    <w:name w:val="xl158"/>
    <w:basedOn w:val="1"/>
    <w:autoRedefine/>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left"/>
    </w:pPr>
    <w:rPr>
      <w:rFonts w:ascii="宋体" w:hAnsi="宋体" w:cs="宋体"/>
      <w:b/>
      <w:bCs/>
      <w:kern w:val="0"/>
      <w:sz w:val="18"/>
      <w:szCs w:val="18"/>
    </w:rPr>
  </w:style>
  <w:style w:type="paragraph" w:customStyle="1" w:styleId="171">
    <w:name w:val="xl12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kern w:val="0"/>
      <w:sz w:val="18"/>
      <w:szCs w:val="18"/>
    </w:rPr>
  </w:style>
  <w:style w:type="paragraph" w:customStyle="1" w:styleId="172">
    <w:name w:val="xl1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73">
    <w:name w:val="xl159"/>
    <w:basedOn w:val="1"/>
    <w:autoRedefine/>
    <w:qFormat/>
    <w:uiPriority w:val="0"/>
    <w:pPr>
      <w:widowControl/>
      <w:pBdr>
        <w:top w:val="single" w:color="auto" w:sz="4" w:space="0"/>
        <w:bottom w:val="single" w:color="auto" w:sz="4" w:space="0"/>
      </w:pBdr>
      <w:shd w:val="clear" w:color="000000" w:fill="C0C0C0"/>
      <w:spacing w:before="100" w:beforeAutospacing="1" w:after="100" w:afterAutospacing="1"/>
      <w:jc w:val="left"/>
    </w:pPr>
    <w:rPr>
      <w:rFonts w:ascii="宋体" w:hAnsi="宋体" w:cs="宋体"/>
      <w:b/>
      <w:bCs/>
      <w:kern w:val="0"/>
      <w:sz w:val="18"/>
      <w:szCs w:val="18"/>
    </w:rPr>
  </w:style>
  <w:style w:type="paragraph" w:customStyle="1" w:styleId="174">
    <w:name w:val="Default"/>
    <w:autoRedefine/>
    <w:qFormat/>
    <w:uiPriority w:val="0"/>
    <w:pPr>
      <w:widowControl w:val="0"/>
      <w:autoSpaceDE w:val="0"/>
      <w:autoSpaceDN w:val="0"/>
      <w:adjustRightInd w:val="0"/>
    </w:pPr>
    <w:rPr>
      <w:rFonts w:ascii="Cambria" w:hAnsi="黑体" w:eastAsia="宋体" w:cs="Cambria"/>
      <w:color w:val="000000"/>
      <w:sz w:val="24"/>
      <w:szCs w:val="24"/>
      <w:lang w:val="en-US" w:eastAsia="zh-CN" w:bidi="ar-SA"/>
    </w:rPr>
  </w:style>
  <w:style w:type="paragraph" w:customStyle="1" w:styleId="175">
    <w:name w:val="xl11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76">
    <w:name w:val="xl160"/>
    <w:basedOn w:val="1"/>
    <w:autoRedefine/>
    <w:qFormat/>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b/>
      <w:bCs/>
      <w:kern w:val="0"/>
      <w:sz w:val="18"/>
      <w:szCs w:val="18"/>
    </w:rPr>
  </w:style>
  <w:style w:type="paragraph" w:customStyle="1" w:styleId="177">
    <w:name w:val="xl1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b/>
      <w:bCs/>
      <w:color w:val="000000"/>
      <w:kern w:val="0"/>
      <w:sz w:val="20"/>
      <w:szCs w:val="20"/>
    </w:rPr>
  </w:style>
  <w:style w:type="paragraph" w:customStyle="1" w:styleId="178">
    <w:name w:val="xl161"/>
    <w:basedOn w:val="1"/>
    <w:autoRedefine/>
    <w:qFormat/>
    <w:uiPriority w:val="0"/>
    <w:pPr>
      <w:widowControl/>
      <w:pBdr>
        <w:bottom w:val="single" w:color="auto" w:sz="8" w:space="0"/>
      </w:pBdr>
      <w:spacing w:before="100" w:beforeAutospacing="1" w:after="100" w:afterAutospacing="1"/>
      <w:jc w:val="center"/>
    </w:pPr>
    <w:rPr>
      <w:rFonts w:ascii="宋体" w:hAnsi="宋体" w:cs="宋体"/>
      <w:b/>
      <w:bCs/>
      <w:color w:val="000000"/>
      <w:kern w:val="0"/>
      <w:sz w:val="32"/>
      <w:szCs w:val="32"/>
    </w:rPr>
  </w:style>
  <w:style w:type="paragraph" w:customStyle="1" w:styleId="179">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b/>
      <w:bCs/>
      <w:kern w:val="0"/>
      <w:sz w:val="18"/>
      <w:szCs w:val="18"/>
    </w:rPr>
  </w:style>
  <w:style w:type="paragraph" w:customStyle="1" w:styleId="180">
    <w:name w:val="xl162"/>
    <w:basedOn w:val="1"/>
    <w:autoRedefine/>
    <w:qFormat/>
    <w:uiPriority w:val="0"/>
    <w:pPr>
      <w:widowControl/>
      <w:pBdr>
        <w:top w:val="single" w:color="auto" w:sz="8" w:space="0"/>
        <w:left w:val="single" w:color="auto" w:sz="4" w:space="0"/>
        <w:bottom w:val="single" w:color="auto" w:sz="4" w:space="0"/>
      </w:pBdr>
      <w:shd w:val="clear" w:color="000000" w:fill="C0C0C0"/>
      <w:spacing w:before="100" w:beforeAutospacing="1" w:after="100" w:afterAutospacing="1"/>
      <w:jc w:val="left"/>
    </w:pPr>
    <w:rPr>
      <w:rFonts w:ascii="宋体" w:hAnsi="宋体" w:cs="宋体"/>
      <w:b/>
      <w:bCs/>
      <w:kern w:val="0"/>
      <w:sz w:val="18"/>
      <w:szCs w:val="18"/>
    </w:rPr>
  </w:style>
  <w:style w:type="paragraph" w:customStyle="1" w:styleId="181">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b/>
      <w:bCs/>
      <w:color w:val="000000"/>
      <w:kern w:val="0"/>
      <w:sz w:val="18"/>
      <w:szCs w:val="18"/>
    </w:rPr>
  </w:style>
  <w:style w:type="paragraph" w:customStyle="1" w:styleId="182">
    <w:name w:val="xl163"/>
    <w:basedOn w:val="1"/>
    <w:autoRedefine/>
    <w:qFormat/>
    <w:uiPriority w:val="0"/>
    <w:pPr>
      <w:widowControl/>
      <w:pBdr>
        <w:top w:val="single" w:color="auto" w:sz="8" w:space="0"/>
        <w:bottom w:val="single" w:color="auto" w:sz="4" w:space="0"/>
      </w:pBdr>
      <w:shd w:val="clear" w:color="000000" w:fill="C0C0C0"/>
      <w:spacing w:before="100" w:beforeAutospacing="1" w:after="100" w:afterAutospacing="1"/>
      <w:jc w:val="left"/>
    </w:pPr>
    <w:rPr>
      <w:rFonts w:ascii="宋体" w:hAnsi="宋体" w:cs="宋体"/>
      <w:b/>
      <w:bCs/>
      <w:kern w:val="0"/>
      <w:sz w:val="18"/>
      <w:szCs w:val="18"/>
    </w:rPr>
  </w:style>
  <w:style w:type="paragraph" w:customStyle="1" w:styleId="183">
    <w:name w:val="xl12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w:hAnsi="Arial"/>
      <w:color w:val="000000"/>
      <w:kern w:val="0"/>
      <w:sz w:val="18"/>
      <w:szCs w:val="18"/>
    </w:rPr>
  </w:style>
  <w:style w:type="paragraph" w:customStyle="1" w:styleId="184">
    <w:name w:val="define_text00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5">
    <w:name w:val="xl164"/>
    <w:basedOn w:val="1"/>
    <w:autoRedefine/>
    <w:qFormat/>
    <w:uiPriority w:val="0"/>
    <w:pPr>
      <w:widowControl/>
      <w:pBdr>
        <w:top w:val="single" w:color="auto" w:sz="8" w:space="0"/>
        <w:bottom w:val="single" w:color="auto" w:sz="4" w:space="0"/>
        <w:right w:val="single" w:color="auto" w:sz="4" w:space="0"/>
      </w:pBdr>
      <w:shd w:val="clear" w:color="000000" w:fill="C0C0C0"/>
      <w:spacing w:before="100" w:beforeAutospacing="1" w:after="100" w:afterAutospacing="1"/>
      <w:jc w:val="left"/>
    </w:pPr>
    <w:rPr>
      <w:rFonts w:ascii="宋体" w:hAnsi="宋体" w:cs="宋体"/>
      <w:b/>
      <w:bCs/>
      <w:kern w:val="0"/>
      <w:sz w:val="18"/>
      <w:szCs w:val="18"/>
    </w:rPr>
  </w:style>
  <w:style w:type="paragraph" w:customStyle="1" w:styleId="186">
    <w:name w:val="xl12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w:hAnsi="Arial"/>
      <w:color w:val="000000"/>
      <w:kern w:val="0"/>
      <w:sz w:val="18"/>
      <w:szCs w:val="18"/>
    </w:rPr>
  </w:style>
  <w:style w:type="paragraph" w:customStyle="1" w:styleId="187">
    <w:name w:val="xl12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olor w:val="000000"/>
      <w:kern w:val="0"/>
      <w:sz w:val="18"/>
      <w:szCs w:val="18"/>
    </w:rPr>
  </w:style>
  <w:style w:type="paragraph" w:customStyle="1" w:styleId="188">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18"/>
      <w:szCs w:val="18"/>
    </w:rPr>
  </w:style>
  <w:style w:type="paragraph" w:customStyle="1" w:styleId="189">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4"/>
    </w:rPr>
  </w:style>
  <w:style w:type="paragraph" w:customStyle="1" w:styleId="190">
    <w:name w:val="xl131"/>
    <w:basedOn w:val="1"/>
    <w:autoRedefine/>
    <w:qFormat/>
    <w:uiPriority w:val="0"/>
    <w:pPr>
      <w:widowControl/>
      <w:pBdr>
        <w:top w:val="single" w:color="auto" w:sz="4" w:space="0"/>
        <w:bottom w:val="single" w:color="auto" w:sz="4" w:space="0"/>
      </w:pBdr>
      <w:shd w:val="clear" w:color="000000" w:fill="C0C0C0"/>
      <w:spacing w:before="100" w:beforeAutospacing="1" w:after="100" w:afterAutospacing="1"/>
      <w:jc w:val="left"/>
    </w:pPr>
    <w:rPr>
      <w:rFonts w:ascii="Arial" w:hAnsi="Arial"/>
      <w:b/>
      <w:bCs/>
      <w:kern w:val="0"/>
      <w:sz w:val="18"/>
      <w:szCs w:val="18"/>
    </w:rPr>
  </w:style>
  <w:style w:type="paragraph" w:customStyle="1" w:styleId="191">
    <w:name w:val="xl132"/>
    <w:basedOn w:val="1"/>
    <w:autoRedefine/>
    <w:qFormat/>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left"/>
    </w:pPr>
    <w:rPr>
      <w:rFonts w:ascii="Arial" w:hAnsi="Arial"/>
      <w:b/>
      <w:bCs/>
      <w:kern w:val="0"/>
      <w:sz w:val="18"/>
      <w:szCs w:val="18"/>
    </w:rPr>
  </w:style>
  <w:style w:type="paragraph" w:customStyle="1" w:styleId="192">
    <w:name w:val="xl133"/>
    <w:basedOn w:val="1"/>
    <w:autoRedefine/>
    <w:qFormat/>
    <w:uiPriority w:val="0"/>
    <w:pPr>
      <w:widowControl/>
      <w:pBdr>
        <w:left w:val="single" w:color="auto" w:sz="4" w:space="0"/>
        <w:bottom w:val="single" w:color="auto" w:sz="4" w:space="0"/>
      </w:pBdr>
      <w:shd w:val="clear" w:color="000000" w:fill="C0C0C0"/>
      <w:spacing w:before="100" w:beforeAutospacing="1" w:after="100" w:afterAutospacing="1"/>
      <w:jc w:val="left"/>
    </w:pPr>
    <w:rPr>
      <w:rFonts w:ascii="Arial" w:hAnsi="Arial"/>
      <w:b/>
      <w:bCs/>
      <w:kern w:val="0"/>
      <w:sz w:val="18"/>
      <w:szCs w:val="18"/>
    </w:rPr>
  </w:style>
  <w:style w:type="paragraph" w:customStyle="1" w:styleId="193">
    <w:name w:val="xl134"/>
    <w:basedOn w:val="1"/>
    <w:autoRedefine/>
    <w:qFormat/>
    <w:uiPriority w:val="0"/>
    <w:pPr>
      <w:widowControl/>
      <w:pBdr>
        <w:bottom w:val="single" w:color="auto" w:sz="4" w:space="0"/>
      </w:pBdr>
      <w:shd w:val="clear" w:color="000000" w:fill="C0C0C0"/>
      <w:spacing w:before="100" w:beforeAutospacing="1" w:after="100" w:afterAutospacing="1"/>
      <w:jc w:val="left"/>
    </w:pPr>
    <w:rPr>
      <w:rFonts w:ascii="Arial" w:hAnsi="Arial"/>
      <w:b/>
      <w:bCs/>
      <w:kern w:val="0"/>
      <w:sz w:val="18"/>
      <w:szCs w:val="18"/>
    </w:rPr>
  </w:style>
  <w:style w:type="paragraph" w:customStyle="1" w:styleId="194">
    <w:name w:val="xl135"/>
    <w:basedOn w:val="1"/>
    <w:autoRedefine/>
    <w:qFormat/>
    <w:uiPriority w:val="0"/>
    <w:pPr>
      <w:widowControl/>
      <w:pBdr>
        <w:bottom w:val="single" w:color="auto" w:sz="4" w:space="0"/>
        <w:right w:val="single" w:color="auto" w:sz="4" w:space="0"/>
      </w:pBdr>
      <w:shd w:val="clear" w:color="000000" w:fill="C0C0C0"/>
      <w:spacing w:before="100" w:beforeAutospacing="1" w:after="100" w:afterAutospacing="1"/>
      <w:jc w:val="left"/>
    </w:pPr>
    <w:rPr>
      <w:rFonts w:ascii="Arial" w:hAnsi="Arial"/>
      <w:b/>
      <w:bCs/>
      <w:kern w:val="0"/>
      <w:sz w:val="18"/>
      <w:szCs w:val="18"/>
    </w:rPr>
  </w:style>
  <w:style w:type="paragraph" w:customStyle="1" w:styleId="195">
    <w:name w:val="xl1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96">
    <w:name w:val="xl1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000000"/>
      <w:kern w:val="0"/>
      <w:sz w:val="18"/>
      <w:szCs w:val="18"/>
    </w:rPr>
  </w:style>
  <w:style w:type="paragraph" w:customStyle="1" w:styleId="197">
    <w:name w:val="xl13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98">
    <w:name w:val="xl1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99">
    <w:name w:val="xl140"/>
    <w:basedOn w:val="1"/>
    <w:autoRedefine/>
    <w:qFormat/>
    <w:uiPriority w:val="0"/>
    <w:pPr>
      <w:widowControl/>
      <w:pBdr>
        <w:bottom w:val="single" w:color="auto" w:sz="4" w:space="0"/>
      </w:pBdr>
      <w:spacing w:before="100" w:beforeAutospacing="1" w:after="100" w:afterAutospacing="1"/>
      <w:jc w:val="left"/>
    </w:pPr>
    <w:rPr>
      <w:rFonts w:ascii="Arial" w:hAnsi="Arial"/>
      <w:color w:val="000000"/>
      <w:kern w:val="0"/>
      <w:sz w:val="18"/>
      <w:szCs w:val="18"/>
    </w:rPr>
  </w:style>
  <w:style w:type="paragraph" w:customStyle="1" w:styleId="200">
    <w:name w:val="xl1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01">
    <w:name w:val="xl142"/>
    <w:basedOn w:val="1"/>
    <w:autoRedefine/>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1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18"/>
      <w:szCs w:val="18"/>
    </w:rPr>
  </w:style>
  <w:style w:type="paragraph" w:customStyle="1" w:styleId="203">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04">
    <w:name w:val="xl14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18"/>
      <w:szCs w:val="18"/>
    </w:rPr>
  </w:style>
  <w:style w:type="paragraph" w:customStyle="1" w:styleId="205">
    <w:name w:val="xl14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w:hAnsi="Arial"/>
      <w:color w:val="000000"/>
      <w:kern w:val="0"/>
      <w:sz w:val="18"/>
      <w:szCs w:val="18"/>
    </w:rPr>
  </w:style>
  <w:style w:type="paragraph" w:customStyle="1" w:styleId="206">
    <w:name w:val="xl14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w:hAnsi="Arial"/>
      <w:kern w:val="0"/>
      <w:sz w:val="18"/>
      <w:szCs w:val="18"/>
    </w:rPr>
  </w:style>
  <w:style w:type="paragraph" w:customStyle="1" w:styleId="207">
    <w:name w:val="xl14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8">
    <w:name w:val="xl151"/>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 w:val="32"/>
      <w:szCs w:val="32"/>
    </w:rPr>
  </w:style>
  <w:style w:type="paragraph" w:customStyle="1" w:styleId="209">
    <w:name w:val="xl152"/>
    <w:basedOn w:val="1"/>
    <w:autoRedefine/>
    <w:qFormat/>
    <w:uiPriority w:val="0"/>
    <w:pPr>
      <w:widowControl/>
      <w:pBdr>
        <w:bottom w:val="single" w:color="auto" w:sz="4" w:space="0"/>
      </w:pBdr>
      <w:spacing w:before="100" w:beforeAutospacing="1" w:after="100" w:afterAutospacing="1"/>
      <w:jc w:val="center"/>
    </w:pPr>
    <w:rPr>
      <w:rFonts w:ascii="Arial" w:hAnsi="Arial"/>
      <w:b/>
      <w:bCs/>
      <w:color w:val="000000"/>
      <w:kern w:val="0"/>
      <w:sz w:val="32"/>
      <w:szCs w:val="32"/>
    </w:rPr>
  </w:style>
  <w:style w:type="paragraph" w:customStyle="1" w:styleId="210">
    <w:name w:val="define_head000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11">
    <w:name w:val="列出段落3"/>
    <w:autoRedefine/>
    <w:qFormat/>
    <w:uiPriority w:val="0"/>
    <w:pPr>
      <w:ind w:firstLine="420" w:firstLineChars="200"/>
    </w:pPr>
    <w:rPr>
      <w:rFonts w:ascii="Times New Roman" w:hAnsi="Times New Roman" w:eastAsia="宋体" w:cs="Times New Roman"/>
      <w:lang w:val="en-US" w:eastAsia="zh-CN" w:bidi="ar-SA"/>
    </w:rPr>
  </w:style>
  <w:style w:type="paragraph" w:customStyle="1" w:styleId="212">
    <w:name w:val="列出段落11"/>
    <w:basedOn w:val="1"/>
    <w:autoRedefine/>
    <w:qFormat/>
    <w:uiPriority w:val="34"/>
    <w:pPr>
      <w:ind w:firstLine="420" w:firstLineChars="200"/>
    </w:pPr>
    <w:rPr>
      <w:rFonts w:cs="Times New Roman"/>
    </w:rPr>
  </w:style>
  <w:style w:type="character" w:customStyle="1" w:styleId="213">
    <w:name w:val="普通文字 Char Char2"/>
    <w:autoRedefine/>
    <w:qFormat/>
    <w:uiPriority w:val="0"/>
    <w:rPr>
      <w:rFonts w:ascii="宋体" w:hAnsi="Courier New" w:eastAsia="宋体"/>
      <w:kern w:val="2"/>
      <w:sz w:val="21"/>
      <w:lang w:val="en-US" w:eastAsia="zh-CN" w:bidi="ar-SA"/>
    </w:rPr>
  </w:style>
  <w:style w:type="paragraph" w:customStyle="1" w:styleId="214">
    <w:name w:val="列出段落2"/>
    <w:basedOn w:val="1"/>
    <w:autoRedefine/>
    <w:qFormat/>
    <w:uiPriority w:val="34"/>
    <w:pPr>
      <w:ind w:firstLine="420" w:firstLineChars="200"/>
    </w:pPr>
    <w:rPr>
      <w:rFonts w:ascii="Times New Roman" w:hAnsi="Times New Roman" w:cs="Times New Roman"/>
      <w:szCs w:val="20"/>
    </w:rPr>
  </w:style>
  <w:style w:type="paragraph" w:customStyle="1" w:styleId="215">
    <w:name w:val="样式2"/>
    <w:basedOn w:val="2"/>
    <w:autoRedefine/>
    <w:qFormat/>
    <w:uiPriority w:val="0"/>
    <w:pPr>
      <w:spacing w:before="100" w:beforeAutospacing="1" w:after="100" w:afterAutospacing="1" w:line="500" w:lineRule="exact"/>
      <w:jc w:val="center"/>
    </w:pPr>
    <w:rPr>
      <w:rFonts w:ascii="宋体" w:hAnsi="宋体" w:eastAsia="宋体" w:cs="Times New Roman"/>
      <w:kern w:val="44"/>
      <w:sz w:val="28"/>
      <w:szCs w:val="28"/>
      <w:lang w:val="en-GB"/>
    </w:rPr>
  </w:style>
  <w:style w:type="paragraph" w:customStyle="1" w:styleId="216">
    <w:name w:val="列出段落4"/>
    <w:basedOn w:val="1"/>
    <w:autoRedefine/>
    <w:qFormat/>
    <w:uiPriority w:val="34"/>
    <w:pPr>
      <w:ind w:firstLine="420" w:firstLineChars="200"/>
    </w:pPr>
  </w:style>
  <w:style w:type="character" w:customStyle="1" w:styleId="217">
    <w:name w:val="占位符文本1"/>
    <w:basedOn w:val="34"/>
    <w:autoRedefine/>
    <w:semiHidden/>
    <w:qFormat/>
    <w:uiPriority w:val="99"/>
    <w:rPr>
      <w:color w:val="808080"/>
    </w:rPr>
  </w:style>
  <w:style w:type="paragraph" w:customStyle="1" w:styleId="218">
    <w:name w:val="TOC 标题1"/>
    <w:basedOn w:val="5"/>
    <w:next w:val="1"/>
    <w:autoRedefine/>
    <w:unhideWhenUsed/>
    <w:qFormat/>
    <w:uiPriority w:val="39"/>
    <w:pPr>
      <w:keepLines/>
      <w:widowControl/>
      <w:spacing w:before="240" w:line="259" w:lineRule="auto"/>
      <w:jc w:val="left"/>
      <w:outlineLvl w:val="9"/>
    </w:pPr>
    <w:rPr>
      <w:rFonts w:asciiTheme="majorHAnsi" w:hAnsiTheme="majorHAnsi" w:eastAsiaTheme="majorEastAsia" w:cstheme="majorBidi"/>
      <w:b w:val="0"/>
      <w:bCs w:val="0"/>
      <w:color w:val="2E75B6" w:themeColor="accent1" w:themeShade="BF"/>
      <w:kern w:val="0"/>
      <w:sz w:val="32"/>
      <w:szCs w:val="32"/>
      <w:lang w:val="en-US"/>
    </w:rPr>
  </w:style>
  <w:style w:type="paragraph" w:customStyle="1" w:styleId="219">
    <w:name w:val="列表段落1"/>
    <w:basedOn w:val="1"/>
    <w:link w:val="220"/>
    <w:autoRedefine/>
    <w:qFormat/>
    <w:uiPriority w:val="34"/>
    <w:pPr>
      <w:ind w:firstLine="420" w:firstLineChars="200"/>
    </w:pPr>
  </w:style>
  <w:style w:type="character" w:customStyle="1" w:styleId="220">
    <w:name w:val="列表段落 字符"/>
    <w:link w:val="219"/>
    <w:autoRedefine/>
    <w:qFormat/>
    <w:uiPriority w:val="34"/>
    <w:rPr>
      <w:kern w:val="2"/>
      <w:sz w:val="21"/>
      <w:szCs w:val="24"/>
    </w:rPr>
  </w:style>
  <w:style w:type="paragraph" w:customStyle="1" w:styleId="221">
    <w:name w:val="[Normal]"/>
    <w:autoRedefine/>
    <w:qFormat/>
    <w:uiPriority w:val="0"/>
    <w:rPr>
      <w:rFonts w:ascii="宋体" w:hAnsi="宋体" w:eastAsia="宋体" w:cs="Times New Roman"/>
      <w:sz w:val="24"/>
      <w:szCs w:val="22"/>
      <w:lang w:val="zh-CN" w:eastAsia="zh-CN" w:bidi="ar-SA"/>
    </w:rPr>
  </w:style>
  <w:style w:type="character" w:customStyle="1" w:styleId="222">
    <w:name w:val="纯文本 字符1"/>
    <w:autoRedefine/>
    <w:qFormat/>
    <w:uiPriority w:val="0"/>
    <w:rPr>
      <w:rFonts w:ascii="??" w:hAnsi="??" w:eastAsia="??" w:cs="宋体"/>
      <w:kern w:val="2"/>
      <w:sz w:val="21"/>
      <w:szCs w:val="21"/>
    </w:rPr>
  </w:style>
  <w:style w:type="paragraph" w:customStyle="1" w:styleId="223">
    <w:name w:val="_Style 214"/>
    <w:basedOn w:val="2"/>
    <w:next w:val="3"/>
    <w:link w:val="224"/>
    <w:autoRedefine/>
    <w:qFormat/>
    <w:uiPriority w:val="0"/>
    <w:pPr>
      <w:ind w:firstLine="420" w:firstLineChars="100"/>
    </w:pPr>
    <w:rPr>
      <w:rFonts w:eastAsia="宋体"/>
    </w:rPr>
  </w:style>
  <w:style w:type="character" w:customStyle="1" w:styleId="224">
    <w:name w:val="正文首行缩进 字符"/>
    <w:link w:val="223"/>
    <w:autoRedefine/>
    <w:qFormat/>
    <w:uiPriority w:val="0"/>
    <w:rPr>
      <w:kern w:val="2"/>
      <w:sz w:val="21"/>
      <w:szCs w:val="24"/>
    </w:rPr>
  </w:style>
  <w:style w:type="paragraph" w:customStyle="1" w:styleId="225">
    <w:name w:val="默认段落字体 Para Char Char Char Char Char Char Char Char Char1 Char Char Char Char"/>
    <w:basedOn w:val="1"/>
    <w:autoRedefine/>
    <w:qFormat/>
    <w:uiPriority w:val="0"/>
    <w:rPr>
      <w:rFonts w:ascii="Tahoma" w:hAnsi="Tahoma" w:eastAsia="仿宋_GB2312" w:cs="宋体"/>
      <w:b/>
      <w:bCs/>
      <w:color w:val="000000"/>
      <w:kern w:val="0"/>
      <w:sz w:val="24"/>
      <w:szCs w:val="20"/>
    </w:rPr>
  </w:style>
  <w:style w:type="character" w:customStyle="1" w:styleId="226">
    <w:name w:val="style91"/>
    <w:autoRedefine/>
    <w:qFormat/>
    <w:uiPriority w:val="0"/>
    <w:rPr>
      <w:sz w:val="24"/>
      <w:szCs w:val="24"/>
    </w:rPr>
  </w:style>
  <w:style w:type="paragraph" w:customStyle="1" w:styleId="227">
    <w:name w:val="l正文"/>
    <w:basedOn w:val="1"/>
    <w:autoRedefine/>
    <w:qFormat/>
    <w:uiPriority w:val="0"/>
    <w:pPr>
      <w:spacing w:line="300" w:lineRule="auto"/>
      <w:ind w:firstLine="200" w:firstLineChars="200"/>
      <w:jc w:val="left"/>
    </w:pPr>
    <w:rPr>
      <w:rFonts w:ascii="楷体_GB2312" w:hAnsi="Times" w:eastAsia="楷体_GB2312" w:cs="等线"/>
      <w:sz w:val="24"/>
    </w:rPr>
  </w:style>
  <w:style w:type="character" w:customStyle="1" w:styleId="228">
    <w:name w:val="未处理的提及1"/>
    <w:basedOn w:val="34"/>
    <w:autoRedefine/>
    <w:unhideWhenUsed/>
    <w:qFormat/>
    <w:uiPriority w:val="99"/>
    <w:rPr>
      <w:color w:val="605E5C"/>
      <w:shd w:val="clear" w:color="auto" w:fill="E1DFDD"/>
    </w:rPr>
  </w:style>
  <w:style w:type="table" w:customStyle="1" w:styleId="229">
    <w:name w:val="Table Normal"/>
    <w:autoRedefine/>
    <w:unhideWhenUsed/>
    <w:qFormat/>
    <w:uiPriority w:val="2"/>
    <w:pPr>
      <w:widowControl w:val="0"/>
      <w:autoSpaceDE w:val="0"/>
      <w:autoSpaceDN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230">
    <w:name w:val="Table Paragraph"/>
    <w:basedOn w:val="1"/>
    <w:autoRedefine/>
    <w:qFormat/>
    <w:uiPriority w:val="1"/>
    <w:pPr>
      <w:autoSpaceDE w:val="0"/>
      <w:autoSpaceDN w:val="0"/>
      <w:jc w:val="left"/>
    </w:pPr>
    <w:rPr>
      <w:rFonts w:ascii="宋体" w:hAnsi="宋体" w:cs="宋体"/>
      <w:kern w:val="0"/>
      <w:sz w:val="22"/>
      <w:szCs w:val="22"/>
      <w:lang w:val="zh-CN" w:bidi="zh-CN"/>
    </w:rPr>
  </w:style>
  <w:style w:type="paragraph" w:styleId="231">
    <w:name w:val="List Paragraph"/>
    <w:basedOn w:val="1"/>
    <w:autoRedefine/>
    <w:qFormat/>
    <w:uiPriority w:val="34"/>
    <w:pPr>
      <w:ind w:firstLine="420" w:firstLineChars="200"/>
    </w:pPr>
  </w:style>
  <w:style w:type="paragraph" w:customStyle="1" w:styleId="232">
    <w:name w:val="无间隔1"/>
    <w:autoRedefine/>
    <w:qFormat/>
    <w:uiPriority w:val="1"/>
    <w:pPr>
      <w:widowControl w:val="0"/>
      <w:snapToGrid w:val="0"/>
      <w:jc w:val="both"/>
    </w:pPr>
    <w:rPr>
      <w:rFonts w:ascii="Calibri" w:hAnsi="Calibri" w:eastAsia="宋体" w:cs="Times New Roman"/>
      <w:kern w:val="2"/>
      <w:sz w:val="21"/>
      <w:szCs w:val="24"/>
      <w:lang w:val="en-US" w:eastAsia="zh-CN" w:bidi="ar-SA"/>
    </w:rPr>
  </w:style>
  <w:style w:type="character" w:customStyle="1" w:styleId="233">
    <w:name w:val="font41"/>
    <w:basedOn w:val="34"/>
    <w:autoRedefine/>
    <w:qFormat/>
    <w:uiPriority w:val="0"/>
    <w:rPr>
      <w:rFonts w:hint="eastAsia" w:ascii="宋体" w:hAnsi="宋体" w:eastAsia="宋体" w:cs="宋体"/>
      <w:color w:val="000000"/>
      <w:sz w:val="18"/>
      <w:szCs w:val="18"/>
      <w:u w:val="none"/>
    </w:rPr>
  </w:style>
  <w:style w:type="paragraph" w:customStyle="1" w:styleId="234">
    <w:name w:val="正文 New New New New"/>
    <w:autoRedefine/>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235">
    <w:name w:val="纯文本1"/>
    <w:basedOn w:val="1"/>
    <w:autoRedefine/>
    <w:qFormat/>
    <w:uiPriority w:val="0"/>
    <w:rPr>
      <w:rFonts w:ascii="宋体" w:hAnsi="Courier New" w:cs="Times New Roman"/>
      <w:kern w:val="0"/>
      <w:sz w:val="20"/>
      <w:szCs w:val="20"/>
    </w:rPr>
  </w:style>
  <w:style w:type="paragraph" w:customStyle="1" w:styleId="236">
    <w:name w:val="正文缩进1"/>
    <w:basedOn w:val="1"/>
    <w:next w:val="14"/>
    <w:autoRedefine/>
    <w:qFormat/>
    <w:uiPriority w:val="0"/>
    <w:pPr>
      <w:autoSpaceDE w:val="0"/>
      <w:autoSpaceDN w:val="0"/>
      <w:adjustRightInd w:val="0"/>
      <w:snapToGrid w:val="0"/>
      <w:spacing w:after="120" w:line="360" w:lineRule="auto"/>
      <w:ind w:left="420" w:leftChars="200" w:firstLine="480" w:firstLineChars="200"/>
    </w:pPr>
    <w:rPr>
      <w:rFonts w:ascii="Times New Roman" w:hAnsi="Times New Roman" w:cs="Times New Roman"/>
      <w:sz w:val="24"/>
      <w:szCs w:val="20"/>
    </w:rPr>
  </w:style>
  <w:style w:type="paragraph" w:customStyle="1" w:styleId="237">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38">
    <w:name w:val="xl63"/>
    <w:basedOn w:val="1"/>
    <w:autoRedefine/>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宋体" w:hAnsi="宋体" w:cs="宋体"/>
      <w:b/>
      <w:bCs/>
      <w:color w:val="000000"/>
      <w:kern w:val="0"/>
      <w:sz w:val="20"/>
      <w:szCs w:val="20"/>
    </w:rPr>
  </w:style>
  <w:style w:type="paragraph" w:customStyle="1" w:styleId="239">
    <w:name w:val="xl64"/>
    <w:basedOn w:val="1"/>
    <w:autoRedefine/>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b/>
      <w:bCs/>
      <w:color w:val="000000"/>
      <w:kern w:val="0"/>
      <w:sz w:val="20"/>
      <w:szCs w:val="20"/>
    </w:rPr>
  </w:style>
  <w:style w:type="paragraph" w:customStyle="1" w:styleId="240">
    <w:name w:val="xl65"/>
    <w:basedOn w:val="1"/>
    <w:autoRedefine/>
    <w:qFormat/>
    <w:uiPriority w:val="0"/>
    <w:pPr>
      <w:widowControl/>
      <w:pBdr>
        <w:left w:val="single" w:color="000000"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41">
    <w:name w:val="xl66"/>
    <w:basedOn w:val="1"/>
    <w:autoRedefine/>
    <w:qFormat/>
    <w:uiPriority w:val="0"/>
    <w:pPr>
      <w:widowControl/>
      <w:pBdr>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42">
    <w:name w:val="xl67"/>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43">
    <w:name w:val="xl68"/>
    <w:basedOn w:val="1"/>
    <w:autoRedefine/>
    <w:qFormat/>
    <w:uiPriority w:val="0"/>
    <w:pPr>
      <w:widowControl/>
      <w:pBdr>
        <w:right w:val="single" w:color="000000" w:sz="8" w:space="0"/>
      </w:pBdr>
      <w:spacing w:before="100" w:beforeAutospacing="1" w:after="100" w:afterAutospacing="1"/>
      <w:jc w:val="left"/>
    </w:pPr>
    <w:rPr>
      <w:rFonts w:ascii="宋体" w:hAnsi="宋体" w:cs="宋体"/>
      <w:color w:val="000000"/>
      <w:kern w:val="0"/>
      <w:sz w:val="20"/>
      <w:szCs w:val="20"/>
    </w:rPr>
  </w:style>
  <w:style w:type="character" w:customStyle="1" w:styleId="244">
    <w:name w:val="HTML 预设格式 字符"/>
    <w:basedOn w:val="34"/>
    <w:link w:val="27"/>
    <w:autoRedefine/>
    <w:qFormat/>
    <w:uiPriority w:val="0"/>
    <w:rPr>
      <w:rFonts w:ascii="宋体" w:hAnsi="宋体"/>
      <w:sz w:val="24"/>
      <w:szCs w:val="24"/>
    </w:rPr>
  </w:style>
  <w:style w:type="character" w:customStyle="1" w:styleId="245">
    <w:name w:val="文档结构图 字符"/>
    <w:basedOn w:val="34"/>
    <w:link w:val="11"/>
    <w:autoRedefine/>
    <w:qFormat/>
    <w:uiPriority w:val="0"/>
    <w:rPr>
      <w:rFonts w:cs="Arial"/>
      <w:kern w:val="2"/>
      <w:sz w:val="21"/>
      <w:szCs w:val="24"/>
      <w:shd w:val="clear" w:color="auto" w:fill="000080"/>
    </w:rPr>
  </w:style>
  <w:style w:type="character" w:customStyle="1" w:styleId="246">
    <w:name w:val="称呼 字符"/>
    <w:basedOn w:val="34"/>
    <w:link w:val="13"/>
    <w:autoRedefine/>
    <w:qFormat/>
    <w:uiPriority w:val="0"/>
    <w:rPr>
      <w:rFonts w:cs="Arial"/>
      <w:kern w:val="2"/>
      <w:sz w:val="24"/>
      <w:szCs w:val="24"/>
    </w:rPr>
  </w:style>
  <w:style w:type="character" w:customStyle="1" w:styleId="247">
    <w:name w:val="正文文本缩进 字符"/>
    <w:basedOn w:val="34"/>
    <w:link w:val="14"/>
    <w:autoRedefine/>
    <w:qFormat/>
    <w:uiPriority w:val="0"/>
    <w:rPr>
      <w:rFonts w:cs="Arial"/>
      <w:kern w:val="2"/>
      <w:sz w:val="21"/>
      <w:szCs w:val="24"/>
    </w:rPr>
  </w:style>
  <w:style w:type="character" w:customStyle="1" w:styleId="248">
    <w:name w:val="日期 字符"/>
    <w:basedOn w:val="34"/>
    <w:link w:val="17"/>
    <w:autoRedefine/>
    <w:qFormat/>
    <w:uiPriority w:val="0"/>
    <w:rPr>
      <w:rFonts w:ascii="宋体,Verdana,Arial" w:cs="Arial"/>
      <w:kern w:val="2"/>
      <w:sz w:val="24"/>
    </w:rPr>
  </w:style>
  <w:style w:type="character" w:customStyle="1" w:styleId="249">
    <w:name w:val="正文文本缩进 2 字符"/>
    <w:basedOn w:val="34"/>
    <w:link w:val="18"/>
    <w:autoRedefine/>
    <w:qFormat/>
    <w:uiPriority w:val="0"/>
    <w:rPr>
      <w:rFonts w:cs="Arial"/>
      <w:kern w:val="2"/>
      <w:sz w:val="24"/>
      <w:szCs w:val="24"/>
    </w:rPr>
  </w:style>
  <w:style w:type="paragraph" w:customStyle="1" w:styleId="250">
    <w:name w:val="正文段"/>
    <w:basedOn w:val="1"/>
    <w:autoRedefine/>
    <w:qFormat/>
    <w:uiPriority w:val="0"/>
    <w:pPr>
      <w:widowControl/>
      <w:snapToGrid w:val="0"/>
      <w:spacing w:afterLines="50"/>
      <w:ind w:firstLine="200" w:firstLineChars="200"/>
    </w:pPr>
    <w:rPr>
      <w:rFonts w:ascii="Times New Roman" w:hAnsi="Times New Roman" w:cs="Times New Roman"/>
      <w:kern w:val="0"/>
      <w:sz w:val="24"/>
      <w:szCs w:val="20"/>
    </w:rPr>
  </w:style>
  <w:style w:type="character" w:customStyle="1" w:styleId="251">
    <w:name w:val="纯文本 字符2"/>
    <w:autoRedefine/>
    <w:qFormat/>
    <w:uiPriority w:val="0"/>
    <w:rPr>
      <w:rFonts w:ascii="宋体" w:hAnsi="Courier New" w:eastAsia="宋体"/>
      <w:sz w:val="21"/>
      <w:szCs w:val="21"/>
      <w:lang w:val="en-US" w:eastAsia="zh-CN" w:bidi="ar-SA"/>
    </w:rPr>
  </w:style>
  <w:style w:type="character" w:customStyle="1" w:styleId="252">
    <w:name w:val="NormalCharacter"/>
    <w:autoRedefine/>
    <w:semiHidden/>
    <w:qFormat/>
    <w:uiPriority w:val="0"/>
    <w:rPr>
      <w:rFonts w:ascii="Calibri" w:hAnsi="Calibri" w:eastAsia="宋体" w:cs="Arial"/>
      <w:kern w:val="2"/>
      <w:sz w:val="21"/>
      <w:szCs w:val="24"/>
      <w:lang w:val="en-US" w:eastAsia="zh-CN" w:bidi="ar-SA"/>
    </w:rPr>
  </w:style>
  <w:style w:type="paragraph" w:customStyle="1" w:styleId="253">
    <w:name w:val="表 靠左"/>
    <w:basedOn w:val="254"/>
    <w:autoRedefine/>
    <w:qFormat/>
    <w:uiPriority w:val="0"/>
    <w:pPr>
      <w:jc w:val="left"/>
    </w:pPr>
    <w:rPr>
      <w:rFonts w:asciiTheme="minorEastAsia" w:hAnsiTheme="minorEastAsia"/>
    </w:rPr>
  </w:style>
  <w:style w:type="paragraph" w:customStyle="1" w:styleId="254">
    <w:name w:val="表"/>
    <w:basedOn w:val="1"/>
    <w:next w:val="1"/>
    <w:autoRedefine/>
    <w:qFormat/>
    <w:uiPriority w:val="7"/>
    <w:pPr>
      <w:jc w:val="center"/>
    </w:pPr>
  </w:style>
  <w:style w:type="character" w:customStyle="1" w:styleId="255">
    <w:name w:val="正文文本首行缩进 2 字符"/>
    <w:basedOn w:val="247"/>
    <w:link w:val="31"/>
    <w:autoRedefine/>
    <w:qFormat/>
    <w:uiPriority w:val="0"/>
    <w:rPr>
      <w:rFonts w:ascii="Times New Roman" w:hAnsi="Times New Roman" w:cs="Times New Roman"/>
      <w:kern w:val="2"/>
      <w:sz w:val="21"/>
      <w:szCs w:val="24"/>
    </w:rPr>
  </w:style>
  <w:style w:type="character" w:customStyle="1" w:styleId="256">
    <w:name w:val="bookmark-item"/>
    <w:basedOn w:val="34"/>
    <w:autoRedefine/>
    <w:qFormat/>
    <w:uiPriority w:val="0"/>
  </w:style>
  <w:style w:type="paragraph" w:customStyle="1" w:styleId="257">
    <w:name w:val="Revision"/>
    <w:autoRedefine/>
    <w:hidden/>
    <w:semiHidden/>
    <w:qFormat/>
    <w:uiPriority w:val="99"/>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5"/>
        <w:style w:val=""/>
        <w:category>
          <w:name w:val="常规"/>
          <w:gallery w:val="placeholder"/>
        </w:category>
        <w:types>
          <w:type w:val="bbPlcHdr"/>
        </w:types>
        <w:behaviors>
          <w:behavior w:val="content"/>
        </w:behaviors>
        <w:description w:val=""/>
        <w:guid w:val="{9485DD43-7715-4659-BEB2-0773A2F6DF8F}"/>
      </w:docPartPr>
      <w:docPartBody>
        <w:p>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5E"/>
    <w:rsid w:val="00007BD3"/>
    <w:rsid w:val="000374DC"/>
    <w:rsid w:val="000531E7"/>
    <w:rsid w:val="000700B2"/>
    <w:rsid w:val="00080623"/>
    <w:rsid w:val="00081D99"/>
    <w:rsid w:val="00083E29"/>
    <w:rsid w:val="00086036"/>
    <w:rsid w:val="00092C28"/>
    <w:rsid w:val="000A1219"/>
    <w:rsid w:val="000A5FA1"/>
    <w:rsid w:val="000A7C64"/>
    <w:rsid w:val="000B0C51"/>
    <w:rsid w:val="000B23D4"/>
    <w:rsid w:val="000C2996"/>
    <w:rsid w:val="000C5CDB"/>
    <w:rsid w:val="000D2ED8"/>
    <w:rsid w:val="000D642C"/>
    <w:rsid w:val="000D7A28"/>
    <w:rsid w:val="000E4A03"/>
    <w:rsid w:val="000E6186"/>
    <w:rsid w:val="000F0E0D"/>
    <w:rsid w:val="000F1048"/>
    <w:rsid w:val="000F4466"/>
    <w:rsid w:val="000F7584"/>
    <w:rsid w:val="00115895"/>
    <w:rsid w:val="00135402"/>
    <w:rsid w:val="001418A4"/>
    <w:rsid w:val="0014425E"/>
    <w:rsid w:val="00147658"/>
    <w:rsid w:val="001538E5"/>
    <w:rsid w:val="00153B63"/>
    <w:rsid w:val="00154F4E"/>
    <w:rsid w:val="00170FA1"/>
    <w:rsid w:val="00171650"/>
    <w:rsid w:val="001900DD"/>
    <w:rsid w:val="00193B3B"/>
    <w:rsid w:val="00194A95"/>
    <w:rsid w:val="001A716F"/>
    <w:rsid w:val="001B6DE8"/>
    <w:rsid w:val="001B745E"/>
    <w:rsid w:val="001C62D2"/>
    <w:rsid w:val="001C701B"/>
    <w:rsid w:val="001C712D"/>
    <w:rsid w:val="001E3CDF"/>
    <w:rsid w:val="001E56F3"/>
    <w:rsid w:val="001E7862"/>
    <w:rsid w:val="001E7E68"/>
    <w:rsid w:val="001F60BD"/>
    <w:rsid w:val="001F6A7B"/>
    <w:rsid w:val="002044AC"/>
    <w:rsid w:val="00205BFF"/>
    <w:rsid w:val="00210380"/>
    <w:rsid w:val="002204AD"/>
    <w:rsid w:val="00234FA2"/>
    <w:rsid w:val="00242A8C"/>
    <w:rsid w:val="0025734C"/>
    <w:rsid w:val="00262AFF"/>
    <w:rsid w:val="00272A65"/>
    <w:rsid w:val="0028038B"/>
    <w:rsid w:val="002912BE"/>
    <w:rsid w:val="00294DA0"/>
    <w:rsid w:val="002A555A"/>
    <w:rsid w:val="002B2738"/>
    <w:rsid w:val="002B38C7"/>
    <w:rsid w:val="002B7725"/>
    <w:rsid w:val="002C0118"/>
    <w:rsid w:val="002C2CE6"/>
    <w:rsid w:val="002D56C3"/>
    <w:rsid w:val="002E0952"/>
    <w:rsid w:val="002E299B"/>
    <w:rsid w:val="002E3D82"/>
    <w:rsid w:val="00300157"/>
    <w:rsid w:val="003071AD"/>
    <w:rsid w:val="00310E78"/>
    <w:rsid w:val="0031250A"/>
    <w:rsid w:val="00313604"/>
    <w:rsid w:val="0031380B"/>
    <w:rsid w:val="00340C93"/>
    <w:rsid w:val="00342BA3"/>
    <w:rsid w:val="0034644C"/>
    <w:rsid w:val="00346657"/>
    <w:rsid w:val="00354901"/>
    <w:rsid w:val="00366F3A"/>
    <w:rsid w:val="00370752"/>
    <w:rsid w:val="003745E5"/>
    <w:rsid w:val="003756F9"/>
    <w:rsid w:val="00391DD2"/>
    <w:rsid w:val="0039695E"/>
    <w:rsid w:val="003A54A0"/>
    <w:rsid w:val="003A741F"/>
    <w:rsid w:val="003B09CC"/>
    <w:rsid w:val="003C057E"/>
    <w:rsid w:val="003C0FEB"/>
    <w:rsid w:val="003C371E"/>
    <w:rsid w:val="003C40AC"/>
    <w:rsid w:val="003C4B25"/>
    <w:rsid w:val="003E3D3A"/>
    <w:rsid w:val="004010F5"/>
    <w:rsid w:val="00402307"/>
    <w:rsid w:val="00404555"/>
    <w:rsid w:val="00407A90"/>
    <w:rsid w:val="004113CD"/>
    <w:rsid w:val="00414132"/>
    <w:rsid w:val="0042121C"/>
    <w:rsid w:val="00424FE2"/>
    <w:rsid w:val="00426AA2"/>
    <w:rsid w:val="004329DE"/>
    <w:rsid w:val="00433F4A"/>
    <w:rsid w:val="00434778"/>
    <w:rsid w:val="00435DF8"/>
    <w:rsid w:val="004562F9"/>
    <w:rsid w:val="0046561E"/>
    <w:rsid w:val="004664FC"/>
    <w:rsid w:val="004707BF"/>
    <w:rsid w:val="00476802"/>
    <w:rsid w:val="00486844"/>
    <w:rsid w:val="004A79DB"/>
    <w:rsid w:val="004B09A5"/>
    <w:rsid w:val="004B6D5A"/>
    <w:rsid w:val="004C1C04"/>
    <w:rsid w:val="004C219A"/>
    <w:rsid w:val="004C4DD1"/>
    <w:rsid w:val="004C66D8"/>
    <w:rsid w:val="004D51D4"/>
    <w:rsid w:val="004D5553"/>
    <w:rsid w:val="004D5E1E"/>
    <w:rsid w:val="004D69B4"/>
    <w:rsid w:val="004E59CE"/>
    <w:rsid w:val="00501606"/>
    <w:rsid w:val="00504CFA"/>
    <w:rsid w:val="00520211"/>
    <w:rsid w:val="00532B4A"/>
    <w:rsid w:val="00532ED8"/>
    <w:rsid w:val="005361FD"/>
    <w:rsid w:val="00546AA6"/>
    <w:rsid w:val="005529D5"/>
    <w:rsid w:val="00556E71"/>
    <w:rsid w:val="005607C6"/>
    <w:rsid w:val="00562536"/>
    <w:rsid w:val="00567B5F"/>
    <w:rsid w:val="0057125D"/>
    <w:rsid w:val="00583A42"/>
    <w:rsid w:val="00583B21"/>
    <w:rsid w:val="005856C3"/>
    <w:rsid w:val="005867A1"/>
    <w:rsid w:val="00586DDA"/>
    <w:rsid w:val="005973BF"/>
    <w:rsid w:val="005A0308"/>
    <w:rsid w:val="005A6178"/>
    <w:rsid w:val="005A696A"/>
    <w:rsid w:val="005B6B94"/>
    <w:rsid w:val="005C2EE1"/>
    <w:rsid w:val="005D0A62"/>
    <w:rsid w:val="005D7944"/>
    <w:rsid w:val="005E5437"/>
    <w:rsid w:val="005E6C15"/>
    <w:rsid w:val="005F1E78"/>
    <w:rsid w:val="006011E6"/>
    <w:rsid w:val="00605ADC"/>
    <w:rsid w:val="0062565F"/>
    <w:rsid w:val="006275DF"/>
    <w:rsid w:val="00641CED"/>
    <w:rsid w:val="0064770D"/>
    <w:rsid w:val="00647BB1"/>
    <w:rsid w:val="00647EC8"/>
    <w:rsid w:val="006519D8"/>
    <w:rsid w:val="0065357D"/>
    <w:rsid w:val="00656C63"/>
    <w:rsid w:val="00675CCC"/>
    <w:rsid w:val="00681E6E"/>
    <w:rsid w:val="006C1CB0"/>
    <w:rsid w:val="006C537F"/>
    <w:rsid w:val="006D0F31"/>
    <w:rsid w:val="006D6C4D"/>
    <w:rsid w:val="006E0140"/>
    <w:rsid w:val="006E5B08"/>
    <w:rsid w:val="006F1EBB"/>
    <w:rsid w:val="006F3B9E"/>
    <w:rsid w:val="006F5E19"/>
    <w:rsid w:val="006F5E40"/>
    <w:rsid w:val="00700F46"/>
    <w:rsid w:val="007105ED"/>
    <w:rsid w:val="007361A9"/>
    <w:rsid w:val="0073661F"/>
    <w:rsid w:val="00743351"/>
    <w:rsid w:val="00760D88"/>
    <w:rsid w:val="007640EE"/>
    <w:rsid w:val="00783024"/>
    <w:rsid w:val="007A27B8"/>
    <w:rsid w:val="007B485D"/>
    <w:rsid w:val="007C7BC2"/>
    <w:rsid w:val="007E4CEB"/>
    <w:rsid w:val="00800E85"/>
    <w:rsid w:val="0080688A"/>
    <w:rsid w:val="00806A9D"/>
    <w:rsid w:val="00820F29"/>
    <w:rsid w:val="0082571C"/>
    <w:rsid w:val="00836A7A"/>
    <w:rsid w:val="0083797C"/>
    <w:rsid w:val="00840F4E"/>
    <w:rsid w:val="00841395"/>
    <w:rsid w:val="00847876"/>
    <w:rsid w:val="0085196E"/>
    <w:rsid w:val="00854121"/>
    <w:rsid w:val="008610DF"/>
    <w:rsid w:val="00870801"/>
    <w:rsid w:val="008A4E0A"/>
    <w:rsid w:val="008B0CDE"/>
    <w:rsid w:val="008C3822"/>
    <w:rsid w:val="008C6CB2"/>
    <w:rsid w:val="008D62DB"/>
    <w:rsid w:val="008D77EE"/>
    <w:rsid w:val="008E1D74"/>
    <w:rsid w:val="008E24E2"/>
    <w:rsid w:val="008E5FF8"/>
    <w:rsid w:val="008F219F"/>
    <w:rsid w:val="00901AA5"/>
    <w:rsid w:val="0092011B"/>
    <w:rsid w:val="00922265"/>
    <w:rsid w:val="00930D71"/>
    <w:rsid w:val="009330FE"/>
    <w:rsid w:val="00940949"/>
    <w:rsid w:val="00946BDA"/>
    <w:rsid w:val="009509FC"/>
    <w:rsid w:val="00953B7D"/>
    <w:rsid w:val="009572A4"/>
    <w:rsid w:val="00966A43"/>
    <w:rsid w:val="009942A0"/>
    <w:rsid w:val="009B1A97"/>
    <w:rsid w:val="009B2572"/>
    <w:rsid w:val="009B55FF"/>
    <w:rsid w:val="009C3C5E"/>
    <w:rsid w:val="009E0A46"/>
    <w:rsid w:val="009E30E1"/>
    <w:rsid w:val="009E4AFB"/>
    <w:rsid w:val="009F23A3"/>
    <w:rsid w:val="009F6C60"/>
    <w:rsid w:val="009F7A6E"/>
    <w:rsid w:val="00A03EEB"/>
    <w:rsid w:val="00A07AFD"/>
    <w:rsid w:val="00A12D19"/>
    <w:rsid w:val="00A137E7"/>
    <w:rsid w:val="00A1446C"/>
    <w:rsid w:val="00A241C7"/>
    <w:rsid w:val="00A316EC"/>
    <w:rsid w:val="00A46787"/>
    <w:rsid w:val="00A470A5"/>
    <w:rsid w:val="00A57D97"/>
    <w:rsid w:val="00A72DC1"/>
    <w:rsid w:val="00A8028D"/>
    <w:rsid w:val="00A81603"/>
    <w:rsid w:val="00A974C3"/>
    <w:rsid w:val="00AB19F8"/>
    <w:rsid w:val="00AB45C1"/>
    <w:rsid w:val="00AB49A2"/>
    <w:rsid w:val="00AC0C2D"/>
    <w:rsid w:val="00AC71D1"/>
    <w:rsid w:val="00AD00BD"/>
    <w:rsid w:val="00AD3A77"/>
    <w:rsid w:val="00B17CE5"/>
    <w:rsid w:val="00B2249D"/>
    <w:rsid w:val="00B3191A"/>
    <w:rsid w:val="00B32F8A"/>
    <w:rsid w:val="00B47BA0"/>
    <w:rsid w:val="00B50E75"/>
    <w:rsid w:val="00B52714"/>
    <w:rsid w:val="00B67B25"/>
    <w:rsid w:val="00B73AD7"/>
    <w:rsid w:val="00B74763"/>
    <w:rsid w:val="00B74C49"/>
    <w:rsid w:val="00B86240"/>
    <w:rsid w:val="00B86E30"/>
    <w:rsid w:val="00B87C88"/>
    <w:rsid w:val="00BA5758"/>
    <w:rsid w:val="00BB0F80"/>
    <w:rsid w:val="00BB3E2A"/>
    <w:rsid w:val="00BB7963"/>
    <w:rsid w:val="00BC1469"/>
    <w:rsid w:val="00BC41A0"/>
    <w:rsid w:val="00BC71F8"/>
    <w:rsid w:val="00BE00B0"/>
    <w:rsid w:val="00BE56FB"/>
    <w:rsid w:val="00BF1302"/>
    <w:rsid w:val="00BF3657"/>
    <w:rsid w:val="00BF51F9"/>
    <w:rsid w:val="00BF6716"/>
    <w:rsid w:val="00C0371F"/>
    <w:rsid w:val="00C043EC"/>
    <w:rsid w:val="00C05386"/>
    <w:rsid w:val="00C13EF1"/>
    <w:rsid w:val="00C20E65"/>
    <w:rsid w:val="00C21B60"/>
    <w:rsid w:val="00C2743E"/>
    <w:rsid w:val="00C31C81"/>
    <w:rsid w:val="00C31F80"/>
    <w:rsid w:val="00C37A6A"/>
    <w:rsid w:val="00C4051E"/>
    <w:rsid w:val="00C51D08"/>
    <w:rsid w:val="00C52C84"/>
    <w:rsid w:val="00C84A73"/>
    <w:rsid w:val="00CA4525"/>
    <w:rsid w:val="00CB4550"/>
    <w:rsid w:val="00CD4267"/>
    <w:rsid w:val="00CF2FA4"/>
    <w:rsid w:val="00CF49B2"/>
    <w:rsid w:val="00D04540"/>
    <w:rsid w:val="00D10A48"/>
    <w:rsid w:val="00D1576B"/>
    <w:rsid w:val="00D16002"/>
    <w:rsid w:val="00D22447"/>
    <w:rsid w:val="00D25C8B"/>
    <w:rsid w:val="00D275E9"/>
    <w:rsid w:val="00D33605"/>
    <w:rsid w:val="00D35D2D"/>
    <w:rsid w:val="00D36B21"/>
    <w:rsid w:val="00D45130"/>
    <w:rsid w:val="00D47745"/>
    <w:rsid w:val="00D57D4A"/>
    <w:rsid w:val="00D627CA"/>
    <w:rsid w:val="00D667EF"/>
    <w:rsid w:val="00D7261D"/>
    <w:rsid w:val="00D74692"/>
    <w:rsid w:val="00D7602A"/>
    <w:rsid w:val="00D841A8"/>
    <w:rsid w:val="00D93375"/>
    <w:rsid w:val="00DA42F9"/>
    <w:rsid w:val="00DA7802"/>
    <w:rsid w:val="00DC4D13"/>
    <w:rsid w:val="00DC64D7"/>
    <w:rsid w:val="00DE1F70"/>
    <w:rsid w:val="00DE4729"/>
    <w:rsid w:val="00DF04FD"/>
    <w:rsid w:val="00DF0BC8"/>
    <w:rsid w:val="00DF533B"/>
    <w:rsid w:val="00E001BB"/>
    <w:rsid w:val="00E051E9"/>
    <w:rsid w:val="00E05D67"/>
    <w:rsid w:val="00E060C5"/>
    <w:rsid w:val="00E0779B"/>
    <w:rsid w:val="00E17533"/>
    <w:rsid w:val="00E2014C"/>
    <w:rsid w:val="00E23413"/>
    <w:rsid w:val="00E31BF0"/>
    <w:rsid w:val="00E32721"/>
    <w:rsid w:val="00E36193"/>
    <w:rsid w:val="00E54A0F"/>
    <w:rsid w:val="00E7230C"/>
    <w:rsid w:val="00E74856"/>
    <w:rsid w:val="00E81D71"/>
    <w:rsid w:val="00EA2A0F"/>
    <w:rsid w:val="00EB76E1"/>
    <w:rsid w:val="00EC5BB2"/>
    <w:rsid w:val="00ED00EB"/>
    <w:rsid w:val="00EE26FA"/>
    <w:rsid w:val="00F054E3"/>
    <w:rsid w:val="00F07539"/>
    <w:rsid w:val="00F15B23"/>
    <w:rsid w:val="00F2143D"/>
    <w:rsid w:val="00F22D60"/>
    <w:rsid w:val="00F23803"/>
    <w:rsid w:val="00F328C9"/>
    <w:rsid w:val="00F334BA"/>
    <w:rsid w:val="00F353E2"/>
    <w:rsid w:val="00F42911"/>
    <w:rsid w:val="00F43547"/>
    <w:rsid w:val="00F5550A"/>
    <w:rsid w:val="00F70F52"/>
    <w:rsid w:val="00F72461"/>
    <w:rsid w:val="00F7307C"/>
    <w:rsid w:val="00F7354A"/>
    <w:rsid w:val="00F820A6"/>
    <w:rsid w:val="00F84999"/>
    <w:rsid w:val="00FA745F"/>
    <w:rsid w:val="00FB1850"/>
    <w:rsid w:val="00FC2F5B"/>
    <w:rsid w:val="00FC3FE4"/>
    <w:rsid w:val="00FD47E0"/>
    <w:rsid w:val="00FD5038"/>
    <w:rsid w:val="00FD74CF"/>
    <w:rsid w:val="00FF0061"/>
    <w:rsid w:val="00FF4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FDC63D-677B-40F9-B8C3-9D2AD05037D0}">
  <ds:schemaRefs/>
</ds:datastoreItem>
</file>

<file path=docProps/app.xml><?xml version="1.0" encoding="utf-8"?>
<Properties xmlns="http://schemas.openxmlformats.org/officeDocument/2006/extended-properties" xmlns:vt="http://schemas.openxmlformats.org/officeDocument/2006/docPropsVTypes">
  <Template>Normal</Template>
  <Company>zjmy</Company>
  <Pages>44</Pages>
  <Words>26302</Words>
  <Characters>27251</Characters>
  <Lines>234</Lines>
  <Paragraphs>65</Paragraphs>
  <TotalTime>9</TotalTime>
  <ScaleCrop>false</ScaleCrop>
  <LinksUpToDate>false</LinksUpToDate>
  <CharactersWithSpaces>28284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2022-10-06T13:10:00Z</dcterms:created>
  <dc:creator>yun</dc:creator>
  <cp:lastModifiedBy>遇安</cp:lastModifiedBy>
  <cp:lastPrinted>2022-09-19T11:39:00Z</cp:lastPrinted>
  <dcterms:modified xsi:type="dcterms:W3CDTF">2024-04-23T08:35:05Z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0C7685656FDB4EA9853EE3898EFC4F1D_13</vt:lpwstr>
  </property>
</Properties>
</file>