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 w:hAnsi="仿宋" w:eastAsia="仿宋" w:cs="仿宋"/>
          <w:b/>
          <w:color w:val="auto"/>
          <w:sz w:val="44"/>
          <w:szCs w:val="44"/>
          <w:highlight w:val="none"/>
        </w:rPr>
      </w:pPr>
    </w:p>
    <w:p>
      <w:pPr>
        <w:pStyle w:val="26"/>
        <w:jc w:val="center"/>
        <w:rPr>
          <w:rFonts w:hint="eastAsia" w:ascii="仿宋" w:hAnsi="仿宋" w:eastAsia="仿宋" w:cs="仿宋"/>
          <w:color w:val="auto"/>
          <w:spacing w:val="0"/>
          <w:sz w:val="28"/>
          <w:szCs w:val="21"/>
          <w:highlight w:val="none"/>
        </w:rPr>
      </w:pPr>
      <w:r>
        <w:rPr>
          <w:rFonts w:hint="eastAsia" w:ascii="仿宋" w:hAnsi="仿宋" w:eastAsia="仿宋" w:cs="仿宋"/>
          <w:b/>
          <w:bCs/>
          <w:color w:val="auto"/>
          <w:spacing w:val="0"/>
          <w:sz w:val="56"/>
          <w:szCs w:val="56"/>
          <w:highlight w:val="none"/>
          <w:lang w:eastAsia="zh-CN"/>
        </w:rPr>
        <w:t>十二埭横河河道清淤工程</w:t>
      </w:r>
    </w:p>
    <w:p>
      <w:pPr>
        <w:pStyle w:val="26"/>
        <w:jc w:val="center"/>
        <w:rPr>
          <w:rFonts w:hint="eastAsia" w:ascii="仿宋" w:hAnsi="仿宋" w:eastAsia="仿宋" w:cs="仿宋"/>
          <w:b/>
          <w:bCs/>
          <w:color w:val="auto"/>
          <w:spacing w:val="-17"/>
          <w:sz w:val="56"/>
          <w:szCs w:val="56"/>
          <w:highlight w:val="none"/>
          <w:lang w:eastAsia="zh-CN"/>
        </w:rPr>
      </w:pPr>
      <w:r>
        <w:rPr>
          <w:rFonts w:hint="eastAsia" w:ascii="仿宋" w:hAnsi="仿宋" w:eastAsia="仿宋" w:cs="仿宋"/>
          <w:b/>
          <w:bCs/>
          <w:color w:val="auto"/>
          <w:spacing w:val="-17"/>
          <w:sz w:val="56"/>
          <w:szCs w:val="56"/>
          <w:highlight w:val="none"/>
          <w:lang w:eastAsia="zh-CN"/>
        </w:rPr>
        <w:t>竞争性磋商文件</w:t>
      </w:r>
    </w:p>
    <w:p>
      <w:pPr>
        <w:adjustRightInd/>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color w:val="auto"/>
          <w:sz w:val="44"/>
          <w:szCs w:val="44"/>
          <w:highlight w:val="none"/>
        </w:rPr>
        <w:t xml:space="preserve"> （电子</w:t>
      </w:r>
      <w:r>
        <w:rPr>
          <w:rFonts w:hint="eastAsia" w:ascii="仿宋" w:hAnsi="仿宋" w:eastAsia="仿宋" w:cs="仿宋"/>
          <w:b/>
          <w:color w:val="auto"/>
          <w:sz w:val="44"/>
          <w:szCs w:val="44"/>
          <w:highlight w:val="none"/>
          <w:lang w:val="en-US" w:eastAsia="zh-CN"/>
        </w:rPr>
        <w:t>交易</w:t>
      </w:r>
      <w:r>
        <w:rPr>
          <w:rFonts w:hint="eastAsia" w:ascii="仿宋" w:hAnsi="仿宋" w:eastAsia="仿宋" w:cs="仿宋"/>
          <w:b/>
          <w:color w:val="auto"/>
          <w:sz w:val="44"/>
          <w:szCs w:val="44"/>
          <w:highlight w:val="none"/>
        </w:rPr>
        <w:t>）</w:t>
      </w:r>
    </w:p>
    <w:p>
      <w:pPr>
        <w:snapToGrid w:val="0"/>
        <w:spacing w:line="360" w:lineRule="auto"/>
        <w:ind w:firstLine="2530" w:firstLineChars="700"/>
        <w:jc w:val="both"/>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val="en-US" w:eastAsia="zh-CN"/>
        </w:rPr>
        <w:t>项目</w:t>
      </w:r>
      <w:r>
        <w:rPr>
          <w:rFonts w:hint="eastAsia" w:ascii="仿宋" w:hAnsi="仿宋" w:eastAsia="仿宋" w:cs="仿宋"/>
          <w:b/>
          <w:bCs/>
          <w:color w:val="auto"/>
          <w:sz w:val="36"/>
          <w:szCs w:val="36"/>
          <w:highlight w:val="none"/>
        </w:rPr>
        <w:t>编号:</w:t>
      </w: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"https://www.zcygov.cn/project-center/_procurement_/project-result-detail/7257905014074769454" \t "https://www.zcygov.cn/project-center/_procurement_/self-project/_blank" </w:instrText>
      </w:r>
      <w:r>
        <w:rPr>
          <w:rFonts w:hint="eastAsia" w:ascii="仿宋" w:hAnsi="仿宋" w:eastAsia="仿宋" w:cs="仿宋"/>
          <w:b/>
          <w:bCs/>
          <w:color w:val="auto"/>
          <w:sz w:val="36"/>
          <w:szCs w:val="36"/>
          <w:highlight w:val="none"/>
        </w:rPr>
        <w:fldChar w:fldCharType="separate"/>
      </w:r>
      <w:r>
        <w:rPr>
          <w:rFonts w:hint="eastAsia" w:ascii="仿宋" w:hAnsi="仿宋" w:eastAsia="仿宋" w:cs="仿宋"/>
          <w:b/>
          <w:bCs/>
          <w:color w:val="auto"/>
          <w:sz w:val="36"/>
          <w:szCs w:val="36"/>
          <w:highlight w:val="none"/>
        </w:rPr>
        <w:t>QTCG-CS-2024-006</w:t>
      </w:r>
      <w:r>
        <w:rPr>
          <w:rFonts w:hint="eastAsia" w:ascii="仿宋" w:hAnsi="仿宋" w:eastAsia="仿宋" w:cs="仿宋"/>
          <w:b/>
          <w:bCs/>
          <w:color w:val="auto"/>
          <w:sz w:val="36"/>
          <w:szCs w:val="36"/>
          <w:highlight w:val="none"/>
        </w:rPr>
        <w:fldChar w:fldCharType="end"/>
      </w:r>
      <w:r>
        <w:rPr>
          <w:rFonts w:hint="eastAsia" w:ascii="仿宋" w:hAnsi="仿宋" w:eastAsia="仿宋" w:cs="仿宋"/>
          <w:b/>
          <w:bCs/>
          <w:color w:val="auto"/>
          <w:sz w:val="36"/>
          <w:szCs w:val="36"/>
          <w:highlight w:val="none"/>
          <w:lang w:val="en-US" w:eastAsia="zh-CN"/>
        </w:rPr>
        <w:t xml:space="preserve"> </w:t>
      </w:r>
    </w:p>
    <w:p>
      <w:pPr>
        <w:spacing w:line="360" w:lineRule="auto"/>
        <w:jc w:val="both"/>
        <w:outlineLvl w:val="9"/>
        <w:rPr>
          <w:rFonts w:hint="eastAsia" w:ascii="仿宋" w:hAnsi="仿宋" w:eastAsia="仿宋" w:cs="仿宋"/>
          <w:color w:val="auto"/>
          <w:sz w:val="24"/>
          <w:highlight w:val="none"/>
        </w:rPr>
      </w:pPr>
    </w:p>
    <w:p>
      <w:pPr>
        <w:tabs>
          <w:tab w:val="left" w:pos="432"/>
        </w:tabs>
        <w:outlineLvl w:val="9"/>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tabs>
          <w:tab w:val="left" w:pos="432"/>
        </w:tabs>
        <w:ind w:left="0" w:leftChars="0" w:firstLine="0" w:firstLineChars="0"/>
        <w:outlineLvl w:val="9"/>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tabs>
          <w:tab w:val="left" w:pos="432"/>
        </w:tabs>
        <w:ind w:left="0" w:leftChars="0" w:firstLine="0" w:firstLineChars="0"/>
        <w:jc w:val="left"/>
        <w:outlineLvl w:val="9"/>
        <w:rPr>
          <w:rFonts w:hint="eastAsia" w:ascii="仿宋" w:hAnsi="仿宋" w:eastAsia="仿宋" w:cs="仿宋"/>
          <w:color w:val="auto"/>
          <w:highlight w:val="none"/>
        </w:rPr>
      </w:pPr>
    </w:p>
    <w:p>
      <w:pPr>
        <w:spacing w:line="360" w:lineRule="auto"/>
        <w:ind w:left="0" w:leftChars="0" w:firstLine="1285" w:firstLineChars="400"/>
        <w:jc w:val="lef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采</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购</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杭州市钱塘区农业农村局</w:t>
      </w:r>
    </w:p>
    <w:p>
      <w:pPr>
        <w:spacing w:line="360" w:lineRule="auto"/>
        <w:ind w:left="0" w:leftChars="0" w:firstLine="1285" w:firstLineChars="400"/>
        <w:jc w:val="left"/>
        <w:rPr>
          <w:rFonts w:hint="eastAsia" w:ascii="仿宋" w:hAnsi="仿宋" w:eastAsia="仿宋" w:cs="仿宋"/>
          <w:b/>
          <w:bCs/>
          <w:sz w:val="32"/>
          <w:szCs w:val="32"/>
          <w:highlight w:val="none"/>
        </w:rPr>
      </w:pPr>
      <w:r>
        <w:rPr>
          <w:rFonts w:hint="eastAsia" w:ascii="仿宋" w:hAnsi="仿宋" w:eastAsia="仿宋" w:cs="仿宋"/>
          <w:b/>
          <w:color w:val="auto"/>
          <w:sz w:val="32"/>
          <w:szCs w:val="32"/>
          <w:highlight w:val="none"/>
        </w:rPr>
        <w:t>采购代理机构：</w:t>
      </w:r>
      <w:r>
        <w:rPr>
          <w:rFonts w:hint="eastAsia" w:ascii="仿宋" w:hAnsi="仿宋" w:eastAsia="仿宋" w:cs="仿宋"/>
          <w:b/>
          <w:bCs/>
          <w:sz w:val="32"/>
          <w:szCs w:val="32"/>
          <w:highlight w:val="none"/>
        </w:rPr>
        <w:t>浙江华浦工程管理有限公司</w:t>
      </w:r>
    </w:p>
    <w:p>
      <w:pPr>
        <w:pStyle w:val="47"/>
        <w:spacing w:line="360" w:lineRule="auto"/>
        <w:ind w:firstLine="3213" w:firstLineChars="1000"/>
        <w:jc w:val="both"/>
        <w:rPr>
          <w:rFonts w:hint="eastAsia" w:ascii="仿宋" w:hAnsi="仿宋" w:eastAsia="仿宋" w:cs="仿宋"/>
          <w:color w:val="auto"/>
          <w:sz w:val="32"/>
          <w:highlight w:val="none"/>
        </w:rPr>
        <w:sectPr>
          <w:headerReference r:id="rId5" w:type="first"/>
          <w:footerReference r:id="rId7" w:type="first"/>
          <w:headerReference r:id="rId3" w:type="default"/>
          <w:headerReference r:id="rId4" w:type="even"/>
          <w:footerReference r:id="rId6" w:type="even"/>
          <w:pgSz w:w="11905" w:h="16838"/>
          <w:pgMar w:top="1440" w:right="1247" w:bottom="1440" w:left="1247" w:header="850" w:footer="992" w:gutter="0"/>
          <w:pgBorders>
            <w:top w:val="none" w:sz="0" w:space="0"/>
            <w:left w:val="none" w:sz="0" w:space="0"/>
            <w:bottom w:val="none" w:sz="0" w:space="0"/>
            <w:right w:val="none" w:sz="0" w:space="0"/>
          </w:pgBorders>
          <w:pgNumType w:fmt="decimal" w:start="0"/>
          <w:cols w:space="0" w:num="1"/>
          <w:titlePg/>
          <w:rtlGutter w:val="0"/>
          <w:docGrid w:linePitch="312" w:charSpace="0"/>
        </w:sectPr>
      </w:pPr>
      <w:r>
        <w:rPr>
          <w:rFonts w:hint="eastAsia" w:ascii="仿宋" w:hAnsi="仿宋" w:eastAsia="仿宋" w:cs="仿宋"/>
          <w:b/>
          <w:color w:val="auto"/>
          <w:sz w:val="32"/>
          <w:highlight w:val="none"/>
        </w:rPr>
        <w:t>二〇二</w:t>
      </w:r>
      <w:r>
        <w:rPr>
          <w:rFonts w:hint="eastAsia" w:ascii="仿宋" w:hAnsi="仿宋" w:eastAsia="仿宋" w:cs="仿宋"/>
          <w:b/>
          <w:color w:val="auto"/>
          <w:sz w:val="32"/>
          <w:highlight w:val="none"/>
          <w:lang w:val="en-US" w:eastAsia="zh-CN"/>
        </w:rPr>
        <w:t>四</w:t>
      </w:r>
      <w:r>
        <w:rPr>
          <w:rFonts w:hint="eastAsia" w:ascii="仿宋" w:hAnsi="仿宋" w:eastAsia="仿宋" w:cs="仿宋"/>
          <w:b/>
          <w:color w:val="auto"/>
          <w:sz w:val="32"/>
          <w:highlight w:val="none"/>
        </w:rPr>
        <w:t>年</w:t>
      </w:r>
      <w:r>
        <w:rPr>
          <w:rFonts w:hint="eastAsia" w:ascii="仿宋" w:hAnsi="仿宋" w:eastAsia="仿宋" w:cs="仿宋"/>
          <w:b/>
          <w:color w:val="auto"/>
          <w:sz w:val="32"/>
          <w:highlight w:val="none"/>
          <w:lang w:val="en-US" w:eastAsia="zh-CN"/>
        </w:rPr>
        <w:t>二</w:t>
      </w:r>
      <w:r>
        <w:rPr>
          <w:rFonts w:hint="eastAsia" w:ascii="仿宋" w:hAnsi="仿宋" w:eastAsia="仿宋" w:cs="仿宋"/>
          <w:b/>
          <w:color w:val="auto"/>
          <w:sz w:val="32"/>
          <w:highlight w:val="none"/>
        </w:rPr>
        <w:t>月</w:t>
      </w:r>
    </w:p>
    <w:p>
      <w:pPr>
        <w:spacing w:line="360" w:lineRule="auto"/>
        <w:jc w:val="center"/>
        <w:rPr>
          <w:rFonts w:hint="eastAsia" w:ascii="仿宋" w:hAnsi="仿宋" w:eastAsia="仿宋" w:cs="仿宋"/>
          <w:color w:val="auto"/>
          <w:sz w:val="24"/>
          <w:highlight w:val="none"/>
        </w:rPr>
      </w:pPr>
      <w:bookmarkStart w:id="0" w:name="_Hlt67893495"/>
      <w:bookmarkEnd w:id="0"/>
    </w:p>
    <w:p>
      <w:pPr>
        <w:spacing w:line="360" w:lineRule="auto"/>
        <w:jc w:val="center"/>
        <w:outlineLvl w:val="1"/>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keepNext w:val="0"/>
        <w:keepLines w:val="0"/>
        <w:pageBreakBefore w:val="0"/>
        <w:widowControl w:val="0"/>
        <w:kinsoku/>
        <w:wordWrap/>
        <w:overflowPunct/>
        <w:topLinePunct w:val="0"/>
        <w:autoSpaceDE/>
        <w:autoSpaceDN/>
        <w:bidi w:val="0"/>
        <w:adjustRightInd w:val="0"/>
        <w:snapToGrid/>
        <w:spacing w:line="360" w:lineRule="auto"/>
        <w:ind w:left="840" w:leftChars="400" w:firstLine="0" w:firstLineChars="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left="840" w:leftChars="400" w:firstLine="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val="en-US" w:eastAsia="zh-CN"/>
        </w:rPr>
        <w:t xml:space="preserve">   竞争性磋商</w:t>
      </w:r>
      <w:r>
        <w:rPr>
          <w:rFonts w:hint="eastAsia" w:ascii="仿宋" w:hAnsi="仿宋" w:eastAsia="仿宋" w:cs="仿宋"/>
          <w:color w:val="auto"/>
          <w:sz w:val="32"/>
          <w:szCs w:val="32"/>
          <w:highlight w:val="none"/>
        </w:rPr>
        <w:t>公告</w:t>
      </w:r>
    </w:p>
    <w:p>
      <w:pPr>
        <w:keepNext w:val="0"/>
        <w:keepLines w:val="0"/>
        <w:pageBreakBefore w:val="0"/>
        <w:widowControl w:val="0"/>
        <w:kinsoku/>
        <w:wordWrap/>
        <w:overflowPunct/>
        <w:topLinePunct w:val="0"/>
        <w:autoSpaceDE/>
        <w:autoSpaceDN/>
        <w:bidi w:val="0"/>
        <w:adjustRightInd w:val="0"/>
        <w:snapToGrid/>
        <w:spacing w:line="360" w:lineRule="auto"/>
        <w:ind w:left="840" w:leftChars="40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val="en-US" w:eastAsia="zh-CN"/>
        </w:rPr>
        <w:t xml:space="preserve">   供应商</w:t>
      </w:r>
      <w:r>
        <w:rPr>
          <w:rFonts w:hint="eastAsia" w:ascii="仿宋" w:hAnsi="仿宋" w:eastAsia="仿宋" w:cs="仿宋"/>
          <w:color w:val="auto"/>
          <w:sz w:val="32"/>
          <w:szCs w:val="32"/>
          <w:highlight w:val="none"/>
        </w:rPr>
        <w:t>须知</w:t>
      </w:r>
    </w:p>
    <w:p>
      <w:pPr>
        <w:keepNext w:val="0"/>
        <w:keepLines w:val="0"/>
        <w:pageBreakBefore w:val="0"/>
        <w:widowControl w:val="0"/>
        <w:kinsoku/>
        <w:wordWrap/>
        <w:overflowPunct/>
        <w:topLinePunct w:val="0"/>
        <w:autoSpaceDE/>
        <w:autoSpaceDN/>
        <w:bidi w:val="0"/>
        <w:adjustRightInd w:val="0"/>
        <w:snapToGrid/>
        <w:spacing w:line="360" w:lineRule="auto"/>
        <w:ind w:left="840" w:leftChars="400" w:firstLine="0" w:firstLineChars="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 xml:space="preserve">第三部分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采购需求</w:t>
      </w:r>
    </w:p>
    <w:p>
      <w:pPr>
        <w:keepNext w:val="0"/>
        <w:keepLines w:val="0"/>
        <w:pageBreakBefore w:val="0"/>
        <w:widowControl w:val="0"/>
        <w:kinsoku/>
        <w:wordWrap/>
        <w:overflowPunct/>
        <w:topLinePunct w:val="0"/>
        <w:autoSpaceDE/>
        <w:autoSpaceDN/>
        <w:bidi w:val="0"/>
        <w:adjustRightInd w:val="0"/>
        <w:snapToGrid/>
        <w:spacing w:line="360" w:lineRule="auto"/>
        <w:ind w:left="840" w:leftChars="400" w:firstLine="0" w:firstLineChars="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评</w:t>
      </w:r>
      <w:r>
        <w:rPr>
          <w:rFonts w:hint="eastAsia" w:ascii="仿宋" w:hAnsi="仿宋" w:eastAsia="仿宋" w:cs="仿宋"/>
          <w:color w:val="auto"/>
          <w:sz w:val="32"/>
          <w:szCs w:val="32"/>
          <w:highlight w:val="none"/>
          <w:lang w:val="en-US" w:eastAsia="zh-CN"/>
        </w:rPr>
        <w:t>审</w:t>
      </w:r>
      <w:r>
        <w:rPr>
          <w:rFonts w:hint="eastAsia" w:ascii="仿宋" w:hAnsi="仿宋" w:eastAsia="仿宋" w:cs="仿宋"/>
          <w:color w:val="auto"/>
          <w:sz w:val="32"/>
          <w:szCs w:val="32"/>
          <w:highlight w:val="none"/>
        </w:rPr>
        <w:t>办法</w:t>
      </w:r>
    </w:p>
    <w:p>
      <w:pPr>
        <w:keepNext w:val="0"/>
        <w:keepLines w:val="0"/>
        <w:pageBreakBefore w:val="0"/>
        <w:widowControl w:val="0"/>
        <w:kinsoku/>
        <w:wordWrap/>
        <w:overflowPunct/>
        <w:topLinePunct w:val="0"/>
        <w:autoSpaceDE/>
        <w:autoSpaceDN/>
        <w:bidi w:val="0"/>
        <w:adjustRightInd w:val="0"/>
        <w:snapToGrid/>
        <w:spacing w:line="360" w:lineRule="auto"/>
        <w:ind w:left="840" w:leftChars="400" w:firstLine="0" w:firstLineChars="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 xml:space="preserve">第五部分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拟签订的合同文本</w:t>
      </w:r>
    </w:p>
    <w:p>
      <w:pPr>
        <w:keepNext w:val="0"/>
        <w:keepLines w:val="0"/>
        <w:pageBreakBefore w:val="0"/>
        <w:widowControl w:val="0"/>
        <w:kinsoku/>
        <w:wordWrap/>
        <w:overflowPunct/>
        <w:topLinePunct w:val="0"/>
        <w:autoSpaceDE/>
        <w:autoSpaceDN/>
        <w:bidi w:val="0"/>
        <w:adjustRightInd w:val="0"/>
        <w:snapToGrid/>
        <w:spacing w:line="360" w:lineRule="auto"/>
        <w:ind w:left="840" w:leftChars="400" w:firstLine="0" w:firstLineChars="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 xml:space="preserve">第六部分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bookmarkEnd w:id="2"/>
    <w:p>
      <w:pPr>
        <w:adjustRightInd/>
        <w:spacing w:line="360" w:lineRule="auto"/>
        <w:jc w:val="center"/>
        <w:outlineLvl w:val="0"/>
        <w:rPr>
          <w:rFonts w:hint="eastAsia" w:ascii="仿宋" w:hAnsi="仿宋" w:eastAsia="仿宋" w:cs="仿宋"/>
          <w:b/>
          <w:color w:val="auto"/>
          <w:sz w:val="36"/>
          <w:szCs w:val="20"/>
          <w:highlight w:val="none"/>
        </w:rPr>
        <w:sectPr>
          <w:headerReference r:id="rId8" w:type="first"/>
          <w:footerReference r:id="rId11" w:type="first"/>
          <w:footerReference r:id="rId9" w:type="default"/>
          <w:footerReference r:id="rId10" w:type="even"/>
          <w:pgSz w:w="11905" w:h="16838"/>
          <w:pgMar w:top="1440" w:right="1247" w:bottom="1440" w:left="1247" w:header="850"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36" w:firstLineChars="200"/>
        <w:rPr>
          <w:rFonts w:hint="eastAsia" w:ascii="仿宋" w:hAnsi="仿宋" w:eastAsia="仿宋" w:cs="仿宋"/>
          <w:color w:val="auto"/>
          <w:sz w:val="24"/>
          <w:highlight w:val="none"/>
          <w:u w:val="single"/>
        </w:rPr>
      </w:pPr>
      <w:r>
        <w:rPr>
          <w:rFonts w:hint="eastAsia" w:ascii="仿宋" w:hAnsi="仿宋" w:eastAsia="仿宋" w:cs="仿宋"/>
          <w:color w:val="auto"/>
          <w:spacing w:val="-11"/>
          <w:sz w:val="24"/>
          <w:highlight w:val="none"/>
          <w:u w:val="single"/>
          <w:lang w:val="en-US" w:eastAsia="zh-CN"/>
        </w:rPr>
        <w:t>十二埭横河河道清淤工程</w:t>
      </w:r>
      <w:r>
        <w:rPr>
          <w:rFonts w:hint="eastAsia" w:ascii="仿宋" w:hAnsi="仿宋" w:eastAsia="仿宋" w:cs="仿宋"/>
          <w:color w:val="auto"/>
          <w:spacing w:val="-11"/>
          <w:sz w:val="24"/>
          <w:highlight w:val="none"/>
          <w:u w:val="none"/>
          <w:lang w:val="en-US" w:eastAsia="zh-CN"/>
        </w:rPr>
        <w:t>采购项目</w:t>
      </w:r>
      <w:r>
        <w:rPr>
          <w:rFonts w:hint="eastAsia" w:ascii="仿宋" w:hAnsi="仿宋" w:eastAsia="仿宋" w:cs="仿宋"/>
          <w:color w:val="auto"/>
          <w:spacing w:val="-11"/>
          <w:sz w:val="24"/>
          <w:highlight w:val="none"/>
        </w:rPr>
        <w:t>的潜在</w:t>
      </w:r>
      <w:r>
        <w:rPr>
          <w:rFonts w:hint="eastAsia" w:ascii="仿宋" w:hAnsi="仿宋" w:eastAsia="仿宋" w:cs="仿宋"/>
          <w:color w:val="auto"/>
          <w:spacing w:val="-11"/>
          <w:sz w:val="24"/>
          <w:highlight w:val="none"/>
          <w:lang w:val="en-US" w:eastAsia="zh-CN"/>
        </w:rPr>
        <w:t>供应商</w:t>
      </w:r>
      <w:r>
        <w:rPr>
          <w:rFonts w:hint="eastAsia" w:ascii="仿宋" w:hAnsi="仿宋" w:eastAsia="仿宋" w:cs="仿宋"/>
          <w:color w:val="auto"/>
          <w:spacing w:val="-11"/>
          <w:sz w:val="24"/>
          <w:highlight w:val="none"/>
        </w:rPr>
        <w:t>应在政采云平台</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w:t>
      </w:r>
      <w:r>
        <w:rPr>
          <w:rStyle w:val="78"/>
          <w:rFonts w:hint="eastAsia" w:ascii="仿宋" w:hAnsi="仿宋" w:eastAsia="仿宋" w:cs="仿宋"/>
          <w:snapToGrid/>
          <w:color w:val="auto"/>
          <w:kern w:val="2"/>
          <w:sz w:val="24"/>
          <w:szCs w:val="24"/>
          <w:highlight w:val="none"/>
          <w:lang w:val="en-US" w:eastAsia="zh-CN"/>
        </w:rPr>
        <w:t>采购</w:t>
      </w:r>
      <w:r>
        <w:rPr>
          <w:rStyle w:val="78"/>
          <w:rFonts w:hint="eastAsia" w:ascii="仿宋" w:hAnsi="仿宋" w:eastAsia="仿宋" w:cs="仿宋"/>
          <w:snapToGrid/>
          <w:color w:val="auto"/>
          <w:kern w:val="2"/>
          <w:sz w:val="24"/>
          <w:szCs w:val="24"/>
          <w:highlight w:val="none"/>
        </w:rPr>
        <w:t>文件，并于</w:t>
      </w:r>
      <w:r>
        <w:rPr>
          <w:rFonts w:hint="eastAsia" w:ascii="仿宋" w:hAnsi="仿宋" w:eastAsia="仿宋" w:cs="仿宋"/>
          <w:color w:val="auto"/>
          <w:sz w:val="24"/>
          <w:highlight w:val="none"/>
          <w:u w:val="none"/>
          <w:lang w:val="en-US" w:eastAsia="zh-CN"/>
        </w:rPr>
        <w:t>2024</w:t>
      </w:r>
      <w:r>
        <w:rPr>
          <w:rFonts w:hint="eastAsia" w:ascii="仿宋" w:hAnsi="仿宋" w:eastAsia="仿宋" w:cs="仿宋"/>
          <w:color w:val="auto"/>
          <w:sz w:val="24"/>
          <w:highlight w:val="none"/>
          <w:u w:val="none"/>
          <w:lang w:eastAsia="zh-CN"/>
        </w:rPr>
        <w:t>年</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23</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none"/>
          <w:lang w:val="en-US" w:eastAsia="zh-CN"/>
        </w:rPr>
        <w:t xml:space="preserve"> 9</w:t>
      </w:r>
      <w:r>
        <w:rPr>
          <w:rFonts w:hint="eastAsia" w:ascii="仿宋" w:hAnsi="仿宋" w:eastAsia="仿宋" w:cs="仿宋"/>
          <w:color w:val="auto"/>
          <w:sz w:val="24"/>
          <w:highlight w:val="none"/>
          <w:u w:val="none"/>
        </w:rPr>
        <w:t>点</w:t>
      </w:r>
      <w:r>
        <w:rPr>
          <w:rFonts w:hint="eastAsia" w:ascii="仿宋" w:hAnsi="仿宋" w:eastAsia="仿宋" w:cs="仿宋"/>
          <w:color w:val="auto"/>
          <w:sz w:val="24"/>
          <w:highlight w:val="none"/>
          <w:u w:val="none"/>
          <w:lang w:val="en-US" w:eastAsia="zh-CN"/>
        </w:rPr>
        <w:t>30</w:t>
      </w:r>
      <w:r>
        <w:rPr>
          <w:rFonts w:hint="eastAsia" w:ascii="仿宋" w:hAnsi="仿宋" w:eastAsia="仿宋" w:cs="仿宋"/>
          <w:color w:val="auto"/>
          <w:sz w:val="24"/>
          <w:highlight w:val="none"/>
          <w:u w:val="none"/>
        </w:rPr>
        <w:t>分</w:t>
      </w:r>
      <w:r>
        <w:rPr>
          <w:rFonts w:hint="eastAsia" w:ascii="仿宋" w:hAnsi="仿宋" w:eastAsia="仿宋" w:cs="仿宋"/>
          <w:bCs/>
          <w:color w:val="auto"/>
          <w:sz w:val="24"/>
          <w:highlight w:val="none"/>
          <w:u w:val="none"/>
          <w:lang w:val="en-US" w:eastAsia="zh-CN"/>
        </w:rPr>
        <w:t xml:space="preserve">00 </w:t>
      </w:r>
      <w:r>
        <w:rPr>
          <w:rFonts w:hint="eastAsia" w:ascii="仿宋" w:hAnsi="仿宋" w:eastAsia="仿宋" w:cs="仿宋"/>
          <w:bCs/>
          <w:color w:val="auto"/>
          <w:sz w:val="24"/>
          <w:highlight w:val="none"/>
          <w:u w:val="non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FFFF00"/>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HYPERLINK "https://www.zcygov.cn/project-center/_procurement_/project-result-detail/7257905014074769454" \t "https://www.zcygov.cn/project-center/_procurement_/self-project/_blank"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QTCG-CS-2024-006</w:t>
      </w:r>
      <w:r>
        <w:rPr>
          <w:rFonts w:hint="eastAsia" w:ascii="仿宋" w:hAnsi="仿宋" w:eastAsia="仿宋" w:cs="仿宋"/>
          <w:b/>
          <w:color w:val="auto"/>
          <w:sz w:val="24"/>
          <w:highlight w:val="none"/>
        </w:rPr>
        <w:fldChar w:fldCharType="end"/>
      </w:r>
      <w:r>
        <w:rPr>
          <w:rFonts w:hint="eastAsia" w:ascii="仿宋" w:hAnsi="仿宋" w:eastAsia="仿宋" w:cs="仿宋"/>
          <w:b w:val="0"/>
          <w:bCs/>
          <w:color w:val="auto"/>
          <w:sz w:val="24"/>
          <w:highlight w:val="none"/>
          <w:lang w:val="en-US" w:eastAsia="zh-CN"/>
        </w:rPr>
        <w:t xml:space="preserve">        </w:t>
      </w:r>
    </w:p>
    <w:p>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十二埭横河河道清淤工程</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 xml:space="preserve">3533892元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 xml:space="preserve">3533892元  </w:t>
      </w:r>
    </w:p>
    <w:p>
      <w:pPr>
        <w:pStyle w:val="17"/>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简要规格描述：十二埭横河河道清淤工程主要内容：</w:t>
      </w:r>
      <w:r>
        <w:rPr>
          <w:rFonts w:hint="eastAsia" w:ascii="仿宋" w:hAnsi="仿宋" w:eastAsia="仿宋" w:cs="仿宋"/>
          <w:b w:val="0"/>
          <w:bCs/>
          <w:color w:val="auto"/>
          <w:sz w:val="24"/>
          <w:highlight w:val="none"/>
          <w:lang w:val="en-US" w:eastAsia="zh-CN"/>
        </w:rPr>
        <w:t>详见</w:t>
      </w:r>
      <w:r>
        <w:rPr>
          <w:rFonts w:hint="eastAsia" w:ascii="仿宋" w:hAnsi="仿宋" w:eastAsia="仿宋" w:cs="仿宋"/>
          <w:b w:val="0"/>
          <w:bCs/>
          <w:color w:val="auto"/>
          <w:sz w:val="24"/>
          <w:highlight w:val="none"/>
          <w:lang w:eastAsia="zh-CN"/>
        </w:rPr>
        <w:t>竞争性磋商文件</w:t>
      </w:r>
      <w:r>
        <w:rPr>
          <w:rFonts w:hint="eastAsia" w:ascii="仿宋_GB2312" w:hAnsi="仿宋" w:eastAsia="仿宋_GB2312"/>
          <w:bCs/>
          <w:snapToGrid/>
          <w:color w:val="auto"/>
          <w:kern w:val="2"/>
          <w:sz w:val="24"/>
          <w:szCs w:val="24"/>
          <w:highlight w:val="none"/>
        </w:rPr>
        <w:t>第三部分采购需求</w:t>
      </w:r>
      <w:r>
        <w:rPr>
          <w:rFonts w:hint="eastAsia" w:ascii="仿宋" w:hAnsi="仿宋" w:eastAsia="仿宋" w:cs="仿宋"/>
          <w:b w:val="0"/>
          <w:bCs/>
          <w:color w:val="auto"/>
          <w:sz w:val="24"/>
          <w:highlight w:val="none"/>
          <w:lang w:eastAsia="zh-CN"/>
        </w:rPr>
        <w:t>、工程量清单及施工图范围内的所有内容。</w:t>
      </w:r>
    </w:p>
    <w:p>
      <w:pPr>
        <w:pStyle w:val="132"/>
        <w:ind w:firstLine="482"/>
        <w:outlineLvl w:val="9"/>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90日历天，</w:t>
      </w:r>
      <w:r>
        <w:rPr>
          <w:rFonts w:hint="eastAsia" w:ascii="仿宋" w:hAnsi="仿宋" w:eastAsia="仿宋" w:cs="仿宋"/>
          <w:bCs/>
          <w:snapToGrid/>
          <w:color w:val="auto"/>
          <w:kern w:val="2"/>
          <w:sz w:val="24"/>
          <w:szCs w:val="24"/>
          <w:highlight w:val="none"/>
          <w:lang w:val="en-US" w:eastAsia="zh-CN" w:bidi="ar-SA"/>
        </w:rPr>
        <w:t>保质保量如期完工</w:t>
      </w:r>
      <w:r>
        <w:rPr>
          <w:rFonts w:hint="eastAsia" w:ascii="仿宋" w:hAnsi="仿宋" w:eastAsia="仿宋" w:cs="仿宋"/>
          <w:bCs/>
          <w:snapToGrid/>
          <w:color w:val="auto"/>
          <w:kern w:val="2"/>
          <w:sz w:val="24"/>
          <w:szCs w:val="24"/>
          <w:highlight w:val="none"/>
          <w:lang w:eastAsia="zh-CN"/>
        </w:rPr>
        <w:t>。</w:t>
      </w:r>
    </w:p>
    <w:p>
      <w:pPr>
        <w:pStyle w:val="17"/>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snapToGrid w:val="0"/>
              <w:color w:val="auto"/>
              <w:kern w:val="0"/>
              <w:sz w:val="24"/>
              <w:szCs w:val="20"/>
              <w:highlight w:val="none"/>
              <w:lang w:val="en-US" w:eastAsia="zh-CN" w:bidi="ar-SA"/>
            </w:rPr>
            <w:t>þ</w:t>
          </w:r>
        </w:sdtContent>
      </w:sdt>
      <w:r>
        <w:rPr>
          <w:rFonts w:hint="eastAsia" w:ascii="仿宋" w:hAnsi="仿宋" w:eastAsia="仿宋" w:cs="仿宋"/>
          <w:b/>
          <w:bCs/>
          <w:color w:val="auto"/>
          <w:sz w:val="24"/>
          <w:highlight w:val="none"/>
        </w:rPr>
        <w:t>是</w:t>
      </w:r>
      <w:r>
        <w:rPr>
          <w:rFonts w:hint="eastAsia" w:ascii="仿宋" w:hAnsi="仿宋" w:eastAsia="仿宋" w:cs="仿宋"/>
          <w:b/>
          <w:color w:val="auto"/>
          <w:sz w:val="24"/>
          <w:highlight w:val="none"/>
        </w:rPr>
        <w:t>，</w:t>
      </w:r>
      <w:sdt>
        <w:sdtPr>
          <w:rPr>
            <w:rFonts w:hint="eastAsia" w:ascii="仿宋" w:hAnsi="仿宋" w:eastAsia="仿宋" w:cs="仿宋"/>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仿宋" w:hAnsi="仿宋" w:eastAsia="仿宋" w:cs="仿宋"/>
              <w:b w:val="0"/>
              <w:bCs w:val="0"/>
              <w:snapToGrid w:val="0"/>
              <w:color w:val="auto"/>
              <w:kern w:val="0"/>
              <w:sz w:val="24"/>
              <w:szCs w:val="20"/>
              <w:highlight w:val="none"/>
              <w:lang w:val="en-US" w:eastAsia="zh-CN" w:bidi="ar-SA"/>
            </w:rPr>
            <w:t>☐</w:t>
          </w:r>
        </w:sdtContent>
      </w:sdt>
      <w:r>
        <w:rPr>
          <w:rFonts w:hint="eastAsia" w:ascii="仿宋" w:hAnsi="仿宋" w:eastAsia="仿宋" w:cs="仿宋"/>
          <w:b w:val="0"/>
          <w:bCs w:val="0"/>
          <w:color w:val="auto"/>
          <w:sz w:val="24"/>
          <w:highlight w:val="none"/>
        </w:rPr>
        <w:t>否</w:t>
      </w:r>
      <w:r>
        <w:rPr>
          <w:rFonts w:hint="eastAsia" w:ascii="仿宋" w:hAnsi="仿宋" w:eastAsia="仿宋" w:cs="仿宋"/>
          <w:color w:val="auto"/>
          <w:kern w:val="0"/>
          <w:sz w:val="24"/>
          <w:highlight w:val="none"/>
        </w:rPr>
        <w:t>。</w:t>
      </w:r>
    </w:p>
    <w:p>
      <w:pPr>
        <w:pStyle w:val="132"/>
        <w:snapToGrid w:val="0"/>
        <w:spacing w:before="0"/>
        <w:ind w:firstLine="482"/>
        <w:outlineLvl w:val="2"/>
        <w:rPr>
          <w:rFonts w:hint="eastAsia" w:ascii="仿宋" w:hAnsi="仿宋" w:eastAsia="仿宋" w:cs="仿宋"/>
          <w:b/>
          <w:snapToGrid w:val="0"/>
          <w:color w:val="auto"/>
          <w:kern w:val="28"/>
          <w:sz w:val="24"/>
          <w:szCs w:val="20"/>
          <w:highlight w:val="none"/>
          <w:lang w:val="en-US" w:eastAsia="zh-CN" w:bidi="ar-SA"/>
        </w:rPr>
      </w:pPr>
      <w:r>
        <w:rPr>
          <w:rFonts w:hint="eastAsia" w:ascii="仿宋" w:hAnsi="仿宋" w:eastAsia="仿宋" w:cs="仿宋"/>
          <w:b/>
          <w:snapToGrid w:val="0"/>
          <w:color w:val="auto"/>
          <w:kern w:val="28"/>
          <w:sz w:val="24"/>
          <w:szCs w:val="20"/>
          <w:highlight w:val="none"/>
          <w:lang w:val="en-US" w:eastAsia="zh-CN" w:bidi="ar-SA"/>
        </w:rPr>
        <w:t>注：不得限制大中型企业与小微企业组成联合体参与。</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 以联合体形式参与的，提供联合协议(本项目不接受联合体或者供应商不以联合体形式参与的，则不需要提供) ；</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p>
    <w:p>
      <w:pPr>
        <w:pStyle w:val="5"/>
        <w:tabs>
          <w:tab w:val="left" w:pos="420"/>
          <w:tab w:val="clear" w:pos="432"/>
        </w:tabs>
        <w:ind w:left="432" w:leftChars="0" w:hanging="12" w:firstLineChars="0"/>
        <w:rPr>
          <w:rFonts w:hint="eastAsia" w:ascii="仿宋" w:hAnsi="仿宋" w:eastAsia="仿宋" w:cs="仿宋"/>
          <w:b w:val="0"/>
          <w:bCs w:val="0"/>
          <w:kern w:val="0"/>
          <w:sz w:val="24"/>
          <w:szCs w:val="24"/>
          <w:highlight w:val="none"/>
          <w:lang w:val="en-US" w:eastAsia="zh-CN" w:bidi="ar-SA"/>
        </w:rPr>
      </w:pPr>
      <w:sdt>
        <w:sdtPr>
          <w:rPr>
            <w:rFonts w:hint="eastAsia" w:ascii="仿宋" w:hAnsi="仿宋" w:eastAsia="仿宋" w:cs="仿宋"/>
            <w:b w:val="0"/>
            <w:bCs w:val="0"/>
            <w:kern w:val="0"/>
            <w:sz w:val="24"/>
            <w:szCs w:val="24"/>
            <w:highlight w:val="none"/>
            <w:lang w:val="en-US" w:eastAsia="zh-CN" w:bidi="ar-SA"/>
          </w:rPr>
          <w:id w:val="1928616923"/>
        </w:sdtPr>
        <w:sdtEndPr>
          <w:rPr>
            <w:rFonts w:hint="eastAsia" w:ascii="仿宋" w:hAnsi="仿宋" w:eastAsia="仿宋" w:cs="仿宋"/>
            <w:b w:val="0"/>
            <w:bCs w:val="0"/>
            <w:kern w:val="0"/>
            <w:sz w:val="24"/>
            <w:szCs w:val="24"/>
            <w:highlight w:val="none"/>
            <w:lang w:val="en-US" w:eastAsia="zh-CN" w:bidi="ar-SA"/>
          </w:rPr>
        </w:sdtEndPr>
        <w:sdtContent>
          <w:r>
            <w:rPr>
              <w:rFonts w:hint="eastAsia" w:ascii="仿宋" w:hAnsi="仿宋" w:eastAsia="仿宋" w:cs="仿宋"/>
              <w:b w:val="0"/>
              <w:bCs w:val="0"/>
              <w:kern w:val="0"/>
              <w:sz w:val="24"/>
              <w:szCs w:val="24"/>
              <w:highlight w:val="none"/>
              <w:lang w:val="en-US" w:eastAsia="zh-CN" w:bidi="ar-SA"/>
            </w:rPr>
            <w:t>☐</w:t>
          </w:r>
        </w:sdtContent>
      </w:sdt>
      <w:r>
        <w:rPr>
          <w:rFonts w:hint="eastAsia" w:ascii="仿宋" w:hAnsi="仿宋" w:eastAsia="仿宋" w:cs="仿宋"/>
          <w:b w:val="0"/>
          <w:bCs w:val="0"/>
          <w:kern w:val="0"/>
          <w:sz w:val="24"/>
          <w:szCs w:val="24"/>
          <w:highlight w:val="none"/>
          <w:lang w:val="en-US" w:eastAsia="zh-CN" w:bidi="ar-SA"/>
        </w:rPr>
        <w:t>无；</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02470430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hint="eastAsia" w:ascii="仿宋" w:hAnsi="仿宋" w:eastAsia="仿宋" w:cs="仿宋"/>
          <w:sz w:val="24"/>
          <w:highlight w:val="none"/>
          <w:u w:val="single"/>
        </w:rPr>
      </w:pPr>
      <w:sdt>
        <w:sdtPr>
          <w:rPr>
            <w:rFonts w:hint="eastAsia" w:ascii="仿宋" w:hAnsi="仿宋" w:eastAsia="仿宋" w:cs="仿宋"/>
            <w:kern w:val="0"/>
            <w:sz w:val="24"/>
            <w:highlight w:val="none"/>
          </w:rPr>
          <w:id w:val="-92473058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sz w:val="24"/>
          <w:highlight w:val="none"/>
        </w:rPr>
        <w:t>工程全部由符合政策要求的中小企业承建，提供中小企业声明函；</w:t>
      </w:r>
    </w:p>
    <w:p>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115260493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工程全部由符合政策要求的小微企业承建，提供中小企业声明函；</w:t>
      </w:r>
    </w:p>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98560779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bookmarkStart w:id="10" w:name="_Hlk101132524"/>
        </w:sdtContent>
      </w:sdt>
      <w:r>
        <w:rPr>
          <w:rFonts w:hint="eastAsia" w:ascii="仿宋" w:hAnsi="仿宋" w:eastAsia="仿宋" w:cs="仿宋"/>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sz w:val="24"/>
          <w:highlight w:val="none"/>
        </w:rPr>
        <w:t>；</w:t>
      </w:r>
    </w:p>
    <w:bookmarkEnd w:id="10"/>
    <w:p>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3463064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sz w:val="24"/>
          <w:highlight w:val="none"/>
        </w:rPr>
        <w:t>；</w:t>
      </w:r>
    </w:p>
    <w:p>
      <w:pPr>
        <w:numPr>
          <w:ilvl w:val="0"/>
          <w:numId w:val="1"/>
        </w:num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本项目的特定资格要求：</w:t>
      </w:r>
    </w:p>
    <w:p>
      <w:pPr>
        <w:numPr>
          <w:ilvl w:val="0"/>
          <w:numId w:val="0"/>
        </w:num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pacing w:val="-11"/>
          <w:sz w:val="24"/>
          <w:highlight w:val="none"/>
          <w:lang w:eastAsia="zh-CN"/>
        </w:rPr>
        <w:t>具备水利水电工程施工总承包三级及以上资质</w:t>
      </w:r>
      <w:r>
        <w:rPr>
          <w:rFonts w:hint="eastAsia" w:ascii="仿宋" w:hAnsi="仿宋" w:eastAsia="仿宋" w:cs="仿宋"/>
          <w:spacing w:val="-11"/>
          <w:sz w:val="24"/>
          <w:highlight w:val="none"/>
        </w:rPr>
        <w:t>，并具有安全生产许可证的独立法人；</w:t>
      </w:r>
    </w:p>
    <w:p>
      <w:pPr>
        <w:numPr>
          <w:ilvl w:val="0"/>
          <w:numId w:val="0"/>
        </w:num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pacing w:val="-11"/>
          <w:sz w:val="24"/>
          <w:highlight w:val="none"/>
        </w:rPr>
        <w:t>项目负责人为</w:t>
      </w:r>
      <w:r>
        <w:rPr>
          <w:rFonts w:hint="eastAsia" w:ascii="仿宋" w:hAnsi="仿宋" w:eastAsia="仿宋" w:cs="仿宋"/>
          <w:spacing w:val="-11"/>
          <w:sz w:val="24"/>
          <w:highlight w:val="none"/>
          <w:lang w:eastAsia="zh-CN"/>
        </w:rPr>
        <w:t>水利水电工程二</w:t>
      </w:r>
      <w:r>
        <w:rPr>
          <w:rFonts w:hint="eastAsia" w:ascii="仿宋" w:hAnsi="仿宋" w:eastAsia="仿宋" w:cs="仿宋"/>
          <w:spacing w:val="-11"/>
          <w:sz w:val="24"/>
          <w:highlight w:val="none"/>
        </w:rPr>
        <w:t>级及以上注册建造师，同时具有“三类人员”B类证书</w:t>
      </w:r>
      <w:r>
        <w:rPr>
          <w:rFonts w:hint="eastAsia" w:ascii="仿宋" w:hAnsi="仿宋" w:eastAsia="仿宋" w:cs="仿宋"/>
          <w:spacing w:val="-11"/>
          <w:sz w:val="24"/>
          <w:highlight w:val="none"/>
          <w:lang w:eastAsia="zh-CN"/>
        </w:rPr>
        <w:t>；</w:t>
      </w:r>
    </w:p>
    <w:p>
      <w:pPr>
        <w:numPr>
          <w:ilvl w:val="0"/>
          <w:numId w:val="0"/>
        </w:num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（3）具有有效的企业《营业执照》、企业《资质证书》、企业《安全生产许可证》</w:t>
      </w:r>
      <w:r>
        <w:rPr>
          <w:rFonts w:hint="eastAsia" w:ascii="仿宋" w:hAnsi="仿宋" w:eastAsia="仿宋" w:cs="仿宋"/>
          <w:sz w:val="24"/>
          <w:highlight w:val="none"/>
          <w:lang w:eastAsia="zh-CN"/>
        </w:rPr>
        <w:t>；</w:t>
      </w:r>
    </w:p>
    <w:p>
      <w:pPr>
        <w:numPr>
          <w:ilvl w:val="0"/>
          <w:numId w:val="0"/>
        </w:num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下载</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采购</w:t>
      </w:r>
      <w:r>
        <w:rPr>
          <w:rFonts w:hint="eastAsia" w:ascii="仿宋" w:hAnsi="仿宋" w:eastAsia="仿宋" w:cs="仿宋"/>
          <w:b/>
          <w:color w:val="auto"/>
          <w:sz w:val="24"/>
          <w:highlight w:val="none"/>
        </w:rPr>
        <w:t xml:space="preserve">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四、</w:t>
      </w:r>
      <w:r>
        <w:rPr>
          <w:rFonts w:hint="eastAsia" w:ascii="仿宋" w:hAnsi="仿宋" w:eastAsia="仿宋" w:cs="仿宋"/>
          <w:b/>
          <w:color w:val="auto"/>
          <w:sz w:val="24"/>
          <w:highlight w:val="none"/>
          <w:lang w:val="en-US" w:eastAsia="zh-CN"/>
        </w:rPr>
        <w:t>响应文件提交（上传）</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 xml:space="preserve">4 </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 分00秒</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响应文件开启</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w:t>
      </w:r>
      <w:r>
        <w:rPr>
          <w:rFonts w:hint="eastAsia" w:ascii="仿宋" w:hAnsi="仿宋" w:eastAsia="仿宋" w:cs="仿宋"/>
          <w:b/>
          <w:color w:val="auto"/>
          <w:sz w:val="24"/>
          <w:highlight w:val="none"/>
          <w:lang w:val="en-US" w:eastAsia="zh-CN"/>
        </w:rPr>
        <w:t>启</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 xml:space="preserve">4 </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30分00秒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numPr>
          <w:ilvl w:val="0"/>
          <w:numId w:val="0"/>
        </w:num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kinsoku/>
        <w:wordWrap/>
        <w:topLinePunct w:val="0"/>
        <w:bidi w:val="0"/>
        <w:snapToGrid w:val="0"/>
        <w:spacing w:beforeAutospacing="0" w:afterAutospacing="0" w:line="360" w:lineRule="auto"/>
        <w:ind w:left="0" w:leftChars="0" w:right="0" w:righ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pPr>
        <w:shd w:val="clear"/>
        <w:kinsoku/>
        <w:wordWrap/>
        <w:topLinePunct w:val="0"/>
        <w:bidi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（3）钱塘区政府采购支持中小企业信用融资</w:t>
      </w:r>
    </w:p>
    <w:p>
      <w:pPr>
        <w:shd w:val="clear"/>
        <w:kinsoku/>
        <w:wordWrap/>
        <w:topLinePunct w:val="0"/>
        <w:bidi w:val="0"/>
        <w:snapToGrid w:val="0"/>
        <w:spacing w:beforeAutospacing="0" w:afterAutospacing="0"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A.为支持和促进中小企业发展，进一步发挥政府采购政策功能，杭州市钱塘区财政 局发布了《关于钱塘新区政府采购支持中小企业信用融资有关事项的通知》，供应商若 有融资意向，详见《关于钱塘区政府采购支持中小企业信用融资相关事项通知》，或登 录杭州钱塘新区管理委员会官网（http://qt.hangzhou.gov.cn） “公告公示”专栏， 查看信用融资政策文件及各相关银行服务方案。 B.供应商中标后也可在“政采云”平台申请政采贷：操作路径：登录政采云平台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杭州市钱塘区农业农村局</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杭州钱塘区青六北路769号</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项目联系人（询问）：曹工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项目联系方式（询问）：</w:t>
      </w:r>
      <w:r>
        <w:rPr>
          <w:rFonts w:hint="eastAsia" w:ascii="仿宋" w:hAnsi="仿宋" w:eastAsia="仿宋" w:cs="仿宋"/>
          <w:color w:val="auto"/>
          <w:sz w:val="24"/>
          <w:highlight w:val="none"/>
        </w:rPr>
        <w:t>0571-89536271</w:t>
      </w:r>
      <w:r>
        <w:rPr>
          <w:rFonts w:hint="eastAsia" w:ascii="仿宋" w:hAnsi="仿宋" w:eastAsia="仿宋" w:cs="仿宋"/>
          <w:color w:val="auto"/>
          <w:sz w:val="24"/>
          <w:highlight w:val="none"/>
          <w:lang w:val="en-US" w:eastAsia="zh-CN"/>
        </w:rPr>
        <w:t xml:space="preserve"> </w:t>
      </w:r>
    </w:p>
    <w:p>
      <w:pPr>
        <w:spacing w:line="360" w:lineRule="auto"/>
        <w:ind w:firstLine="48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质疑联系人：高迪娜</w:t>
      </w:r>
      <w:r>
        <w:rPr>
          <w:rFonts w:hint="eastAsia" w:ascii="仿宋" w:hAnsi="仿宋" w:eastAsia="仿宋" w:cs="仿宋"/>
          <w:color w:val="auto"/>
          <w:sz w:val="24"/>
          <w:highlight w:val="none"/>
          <w:lang w:val="en-US" w:eastAsia="zh-CN"/>
        </w:rPr>
        <w:t xml:space="preserve"> </w:t>
      </w:r>
    </w:p>
    <w:p>
      <w:pPr>
        <w:spacing w:line="360" w:lineRule="auto"/>
        <w:ind w:firstLine="48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质疑联系方式：0571-89536221</w:t>
      </w:r>
      <w:r>
        <w:rPr>
          <w:rFonts w:hint="eastAsia" w:ascii="仿宋" w:hAnsi="仿宋" w:eastAsia="仿宋" w:cs="仿宋"/>
          <w:color w:val="auto"/>
          <w:sz w:val="24"/>
          <w:highlight w:val="none"/>
          <w:lang w:val="en-US" w:eastAsia="zh-CN"/>
        </w:rPr>
        <w:t xml:space="preserve"> </w:t>
      </w:r>
      <w:bookmarkStart w:id="399" w:name="_GoBack"/>
      <w:bookmarkEnd w:id="399"/>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浙江华浦工程管理有限公司</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址：杭州市萧山区蜀山街道南和城4幢1单元801室</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 xml:space="preserve"> 陈凯</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0571-82349853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沈伊琪</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 xml:space="preserve"> 0571-82349853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称：杭州市钱塘区财政局、浙江省政府采购行政裁决服务中心（杭州）</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地    址：杭州市上城区四季青街道新业路市民之家G03办公室（快递仅限ems或顺丰）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传    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联 系 人：朱女士、王女士</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监督投诉电话：0571-85252453</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供应商</w:t>
      </w:r>
      <w:r>
        <w:rPr>
          <w:rFonts w:hint="eastAsia" w:ascii="仿宋" w:hAnsi="仿宋" w:eastAsia="仿宋" w:cs="仿宋"/>
          <w:b/>
          <w:color w:val="auto"/>
          <w:sz w:val="36"/>
          <w:szCs w:val="20"/>
          <w:highlight w:val="none"/>
        </w:rPr>
        <w:t>须知</w:t>
      </w:r>
      <w:bookmarkEnd w:id="8"/>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bookmarkEnd w:id="9"/>
      <w:bookmarkStart w:id="11" w:name="_Toc164416483"/>
      <w:bookmarkStart w:id="12" w:name="第三部分"/>
    </w:p>
    <w:tbl>
      <w:tblPr>
        <w:tblStyle w:val="6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1"/>
        <w:gridCol w:w="2104"/>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075" w:type="pc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3561" w:type="pc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075" w:type="pc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3561" w:type="pct"/>
            <w:vAlign w:val="center"/>
          </w:tcPr>
          <w:p>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t>工程</w:t>
            </w:r>
            <w:r>
              <w:rPr>
                <w:rFonts w:hint="eastAsia" w:ascii="仿宋" w:hAnsi="仿宋" w:eastAsia="仿宋" w:cs="仿宋"/>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075" w:type="pc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3561" w:type="pct"/>
            <w:vAlign w:val="center"/>
          </w:tcPr>
          <w:p>
            <w:pPr>
              <w:pStyle w:val="5"/>
              <w:rPr>
                <w:rFonts w:hint="eastAsia" w:ascii="仿宋" w:hAnsi="仿宋" w:eastAsia="仿宋" w:cs="仿宋"/>
                <w:highlight w:val="none"/>
                <w:lang w:val="en-US"/>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u w:val="single"/>
              </w:rPr>
              <w:t>：</w:t>
            </w:r>
            <w:r>
              <w:rPr>
                <w:rFonts w:hint="eastAsia" w:ascii="仿宋" w:eastAsia="仿宋" w:cs="仿宋"/>
                <w:kern w:val="0"/>
                <w:sz w:val="24"/>
                <w:highlight w:val="none"/>
                <w:u w:val="single"/>
                <w:lang w:eastAsia="zh-CN"/>
              </w:rPr>
              <w:t>十二埭横河河道清淤工程</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建筑业</w:t>
            </w:r>
            <w:r>
              <w:rPr>
                <w:rFonts w:hint="eastAsia" w:ascii="仿宋" w:hAnsi="仿宋" w:eastAsia="仿宋" w:cs="仿宋"/>
                <w:kern w:val="0"/>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075" w:type="pc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3561" w:type="pct"/>
            <w:vAlign w:val="center"/>
          </w:tcPr>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828425707"/>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084064854"/>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692577485"/>
                      </w:sdtPr>
                      <w:sdtEndPr>
                        <w:rPr>
                          <w:rFonts w:hint="eastAsia" w:ascii="仿宋" w:hAnsi="仿宋" w:eastAsia="仿宋" w:cs="仿宋"/>
                          <w:kern w:val="0"/>
                          <w:sz w:val="24"/>
                          <w:highlight w:val="none"/>
                        </w:rPr>
                      </w:sdtEndPr>
                      <w:sdtContent>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sdtContent>
            </w:sdt>
            <w:r>
              <w:rPr>
                <w:rFonts w:hint="eastAsia" w:ascii="仿宋" w:hAnsi="仿宋" w:eastAsia="仿宋" w:cs="仿宋"/>
                <w:kern w:val="0"/>
                <w:sz w:val="24"/>
                <w:highlight w:val="none"/>
              </w:rPr>
              <w:t>本项目不允许采购进口产品。</w:t>
            </w:r>
          </w:p>
          <w:p>
            <w:pPr>
              <w:spacing w:line="360" w:lineRule="auto"/>
              <w:rPr>
                <w:rFonts w:hint="eastAsia" w:ascii="仿宋" w:hAnsi="仿宋" w:eastAsia="仿宋" w:cs="仿宋"/>
                <w:highlight w:val="none"/>
              </w:rPr>
            </w:pPr>
            <w:sdt>
              <w:sdtPr>
                <w:rPr>
                  <w:rFonts w:hint="eastAsia" w:ascii="仿宋" w:hAnsi="仿宋" w:eastAsia="仿宋" w:cs="仿宋"/>
                  <w:kern w:val="0"/>
                  <w:sz w:val="24"/>
                  <w:highlight w:val="none"/>
                </w:rPr>
                <w:id w:val="-52852824"/>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69257748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sdtContent>
            </w:sdt>
            <w:r>
              <w:rPr>
                <w:rFonts w:hint="eastAsia" w:ascii="仿宋" w:hAnsi="仿宋" w:eastAsia="仿宋" w:cs="仿宋"/>
                <w:kern w:val="0"/>
                <w:sz w:val="24"/>
                <w:highlight w:val="none"/>
              </w:rPr>
              <w:t>可以就</w:t>
            </w:r>
            <w:r>
              <w:rPr>
                <w:rFonts w:hint="eastAsia" w:ascii="仿宋" w:hAnsi="仿宋" w:eastAsia="仿宋" w:cs="仿宋"/>
                <w:sz w:val="24"/>
                <w:highlight w:val="none"/>
                <w:u w:val="single"/>
                <w:lang w:val="en-US" w:eastAsia="zh-CN"/>
              </w:rPr>
              <w:t xml:space="preserve">    </w:t>
            </w:r>
            <w:r>
              <w:rPr>
                <w:rFonts w:hint="eastAsia" w:ascii="仿宋" w:hAnsi="仿宋" w:eastAsia="仿宋" w:cs="仿宋"/>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075" w:type="pc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3561" w:type="pct"/>
            <w:vAlign w:val="center"/>
          </w:tcPr>
          <w:p>
            <w:pPr>
              <w:snapToGrid w:val="0"/>
              <w:spacing w:line="360" w:lineRule="auto"/>
              <w:rPr>
                <w:rFonts w:hint="eastAsia" w:ascii="仿宋" w:hAnsi="仿宋" w:eastAsia="仿宋" w:cs="仿宋"/>
                <w:b/>
                <w:bCs/>
                <w:color w:val="auto"/>
                <w:sz w:val="24"/>
                <w:szCs w:val="24"/>
                <w:highlight w:val="none"/>
              </w:rPr>
            </w:pPr>
            <w:sdt>
              <w:sdtPr>
                <w:rPr>
                  <w:rFonts w:hint="eastAsia" w:ascii="仿宋" w:hAnsi="仿宋" w:eastAsia="仿宋" w:cs="仿宋"/>
                  <w:kern w:val="0"/>
                  <w:sz w:val="24"/>
                  <w:highlight w:val="none"/>
                </w:rPr>
                <w:id w:val="-1477286927"/>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845238709"/>
                  </w:sdtPr>
                  <w:sdtEndPr>
                    <w:rPr>
                      <w:rFonts w:hint="eastAsia" w:ascii="仿宋" w:hAnsi="仿宋" w:eastAsia="仿宋" w:cs="仿宋"/>
                      <w:kern w:val="0"/>
                      <w:sz w:val="24"/>
                      <w:highlight w:val="none"/>
                    </w:rPr>
                  </w:sdtEndPr>
                  <w:sdtContent>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sdtContent>
            </w:sdt>
            <w:r>
              <w:rPr>
                <w:rFonts w:hint="eastAsia" w:ascii="仿宋" w:hAnsi="仿宋" w:eastAsia="仿宋" w:cs="仿宋"/>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69257748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kern w:val="0"/>
                <w:sz w:val="24"/>
                <w:highlight w:val="none"/>
              </w:rPr>
              <w:t>B</w:t>
            </w:r>
            <w:r>
              <w:rPr>
                <w:rFonts w:hint="eastAsia" w:ascii="仿宋" w:hAnsi="仿宋" w:eastAsia="仿宋" w:cs="仿宋"/>
                <w:b/>
                <w:bCs/>
                <w:color w:val="auto"/>
                <w:sz w:val="24"/>
                <w:highlight w:val="none"/>
                <w:lang w:val="en-US" w:eastAsia="zh-CN"/>
              </w:rPr>
              <w:t>同意大型企业向小微企业、中型企业向小微企业、小微企业向小微企业合理分包。</w:t>
            </w:r>
          </w:p>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69257748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r>
              <w:rPr>
                <w:rFonts w:hint="eastAsia" w:ascii="仿宋" w:hAnsi="仿宋" w:eastAsia="仿宋" w:cs="仿宋"/>
                <w:kern w:val="0"/>
                <w:sz w:val="24"/>
                <w:highlight w:val="none"/>
                <w:lang w:val="en-US" w:eastAsia="zh-CN"/>
              </w:rPr>
              <w:t>C</w:t>
            </w:r>
            <w:r>
              <w:rPr>
                <w:rFonts w:hint="eastAsia" w:ascii="仿宋" w:hAnsi="仿宋" w:eastAsia="仿宋" w:cs="仿宋"/>
                <w:sz w:val="24"/>
                <w:highlight w:val="none"/>
              </w:rPr>
              <w:t>不同意分包。</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075" w:type="pc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磋商前答疑会或现场考察</w:t>
            </w:r>
          </w:p>
        </w:tc>
        <w:tc>
          <w:tcPr>
            <w:tcW w:w="3561" w:type="pct"/>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21296641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spacing w:line="360" w:lineRule="auto"/>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99980297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时间：,地点：，联系人：，联系方式：</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075" w:type="pc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3561" w:type="pct"/>
            <w:vAlign w:val="center"/>
          </w:tcPr>
          <w:p>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639946486"/>
              </w:sdtPr>
              <w:sdtEndPr>
                <w:rPr>
                  <w:rFonts w:hint="eastAsia" w:ascii="仿宋" w:hAnsi="仿宋" w:eastAsia="仿宋" w:cs="仿宋"/>
                  <w:kern w:val="0"/>
                  <w:sz w:val="24"/>
                  <w:highlight w:val="none"/>
                </w:rPr>
              </w:sdtEndPr>
              <w:sdtContent>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02683198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kern w:val="0"/>
                <w:sz w:val="24"/>
                <w:highlight w:val="none"/>
              </w:rPr>
              <w:t>；</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kern w:val="0"/>
                <w:sz w:val="24"/>
                <w:highlight w:val="none"/>
              </w:rPr>
              <w:t>；</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评审办法</w:t>
            </w:r>
            <w:r>
              <w:rPr>
                <w:rFonts w:hint="eastAsia" w:ascii="仿宋" w:hAnsi="仿宋" w:eastAsia="仿宋" w:cs="仿宋"/>
                <w:kern w:val="0"/>
                <w:sz w:val="24"/>
                <w:highlight w:val="none"/>
              </w:rPr>
              <w:t>；</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kern w:val="0"/>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kern w:val="0"/>
                <w:sz w:val="24"/>
                <w:highlight w:val="none"/>
              </w:rPr>
              <w:t>；地点：；联系人</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rPr>
              <w:t>。请供应商在上述时间内提供样品并按规定位置安装完毕。超过截止时间的，采购人或采购代理机构将不予接收，并将清场并封闭样品现场。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075" w:type="pct"/>
            <w:vAlign w:val="center"/>
          </w:tcPr>
          <w:p>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3561" w:type="pct"/>
            <w:vAlign w:val="center"/>
          </w:tcPr>
          <w:p>
            <w:pPr>
              <w:snapToGrid w:val="0"/>
              <w:spacing w:line="360" w:lineRule="auto"/>
              <w:rPr>
                <w:rFonts w:hint="eastAsia" w:ascii="仿宋" w:hAnsi="仿宋" w:eastAsia="仿宋" w:cs="仿宋"/>
                <w:b/>
                <w:kern w:val="0"/>
                <w:sz w:val="24"/>
                <w:highlight w:val="none"/>
                <w:lang w:val="zh-CN"/>
              </w:rPr>
            </w:pPr>
            <w:sdt>
              <w:sdtPr>
                <w:rPr>
                  <w:rFonts w:hint="eastAsia" w:ascii="仿宋" w:hAnsi="仿宋" w:eastAsia="仿宋" w:cs="仿宋"/>
                  <w:kern w:val="0"/>
                  <w:sz w:val="24"/>
                  <w:highlight w:val="none"/>
                </w:rPr>
                <w:id w:val="-1859348549"/>
              </w:sdtPr>
              <w:sdtEndPr>
                <w:rPr>
                  <w:rFonts w:hint="eastAsia" w:ascii="仿宋" w:hAnsi="仿宋" w:eastAsia="仿宋" w:cs="仿宋"/>
                  <w:kern w:val="0"/>
                  <w:sz w:val="24"/>
                  <w:highlight w:val="none"/>
                </w:rPr>
              </w:sdtEndPr>
              <w:sdtContent>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Merge w:val="restar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075" w:type="pct"/>
            <w:vMerge w:val="restar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3561" w:type="pct"/>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（1）资格证明文件：见采购文件第二部分11.1。</w:t>
            </w:r>
          </w:p>
          <w:p>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Merge w:val="continue"/>
            <w:vAlign w:val="center"/>
          </w:tcPr>
          <w:p>
            <w:pPr>
              <w:snapToGrid w:val="0"/>
              <w:spacing w:line="360" w:lineRule="auto"/>
              <w:jc w:val="center"/>
              <w:rPr>
                <w:rFonts w:hint="eastAsia" w:ascii="仿宋" w:hAnsi="仿宋" w:eastAsia="仿宋" w:cs="仿宋"/>
                <w:sz w:val="24"/>
                <w:highlight w:val="none"/>
              </w:rPr>
            </w:pPr>
          </w:p>
        </w:tc>
        <w:tc>
          <w:tcPr>
            <w:tcW w:w="1075" w:type="pct"/>
            <w:vMerge w:val="continue"/>
            <w:vAlign w:val="center"/>
          </w:tcPr>
          <w:p>
            <w:pPr>
              <w:snapToGrid w:val="0"/>
              <w:spacing w:line="360" w:lineRule="auto"/>
              <w:jc w:val="center"/>
              <w:rPr>
                <w:rFonts w:hint="eastAsia" w:ascii="仿宋" w:hAnsi="仿宋" w:eastAsia="仿宋" w:cs="仿宋"/>
                <w:b/>
                <w:sz w:val="24"/>
                <w:highlight w:val="none"/>
              </w:rPr>
            </w:pPr>
          </w:p>
        </w:tc>
        <w:tc>
          <w:tcPr>
            <w:tcW w:w="3561" w:type="pct"/>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075" w:type="pc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3561" w:type="pct"/>
            <w:vAlign w:val="center"/>
          </w:tcPr>
          <w:p>
            <w:pPr>
              <w:snapToGrid w:val="0"/>
              <w:spacing w:line="360" w:lineRule="auto"/>
              <w:rPr>
                <w:rFonts w:hint="eastAsia"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075" w:type="pc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3561" w:type="pct"/>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Merge w:val="restar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075" w:type="pct"/>
            <w:vMerge w:val="restar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3561" w:type="pct"/>
            <w:vAlign w:val="center"/>
          </w:tcPr>
          <w:p>
            <w:pPr>
              <w:spacing w:line="360" w:lineRule="auto"/>
              <w:ind w:firstLine="240" w:firstLineChars="100"/>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Merge w:val="continue"/>
            <w:vAlign w:val="center"/>
          </w:tcPr>
          <w:p>
            <w:pPr>
              <w:spacing w:line="360" w:lineRule="auto"/>
              <w:ind w:firstLine="420" w:firstLineChars="200"/>
              <w:jc w:val="center"/>
              <w:rPr>
                <w:rFonts w:hint="eastAsia" w:ascii="仿宋" w:hAnsi="仿宋" w:eastAsia="仿宋" w:cs="仿宋"/>
                <w:highlight w:val="none"/>
              </w:rPr>
            </w:pPr>
          </w:p>
        </w:tc>
        <w:tc>
          <w:tcPr>
            <w:tcW w:w="1075" w:type="pct"/>
            <w:vMerge w:val="continue"/>
            <w:vAlign w:val="center"/>
          </w:tcPr>
          <w:p>
            <w:pPr>
              <w:snapToGrid w:val="0"/>
              <w:spacing w:line="360" w:lineRule="auto"/>
              <w:jc w:val="center"/>
              <w:rPr>
                <w:rFonts w:hint="eastAsia" w:ascii="仿宋" w:hAnsi="仿宋" w:eastAsia="仿宋" w:cs="仿宋"/>
                <w:highlight w:val="none"/>
              </w:rPr>
            </w:pPr>
          </w:p>
        </w:tc>
        <w:tc>
          <w:tcPr>
            <w:tcW w:w="3561" w:type="pct"/>
            <w:vAlign w:val="center"/>
          </w:tcPr>
          <w:p>
            <w:pPr>
              <w:spacing w:line="360" w:lineRule="auto"/>
              <w:ind w:firstLine="240" w:firstLineChars="1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Align w:val="center"/>
          </w:tcPr>
          <w:p>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075" w:type="pct"/>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备份响应文件送达地点和签收人员</w:t>
            </w:r>
          </w:p>
        </w:tc>
        <w:tc>
          <w:tcPr>
            <w:tcW w:w="3561" w:type="pct"/>
            <w:vAlign w:val="center"/>
          </w:tcPr>
          <w:p>
            <w:pPr>
              <w:pStyle w:val="37"/>
              <w:spacing w:line="360" w:lineRule="auto"/>
              <w:rPr>
                <w:rFonts w:hint="eastAsia" w:ascii="仿宋" w:hAnsi="仿宋" w:eastAsia="仿宋" w:cs="仿宋"/>
                <w:kern w:val="28"/>
                <w:sz w:val="24"/>
                <w:highlight w:val="none"/>
              </w:rPr>
            </w:pPr>
            <w:r>
              <w:rPr>
                <w:rFonts w:hint="eastAsia" w:ascii="仿宋" w:hAnsi="仿宋" w:eastAsia="仿宋" w:cs="仿宋"/>
                <w:kern w:val="28"/>
                <w:sz w:val="24"/>
                <w:szCs w:val="24"/>
                <w:highlight w:val="none"/>
              </w:rPr>
              <w:t>备份响应文件送达地点：</w:t>
            </w:r>
            <w:r>
              <w:rPr>
                <w:rFonts w:hint="eastAsia" w:ascii="仿宋" w:hAnsi="仿宋" w:eastAsia="仿宋" w:cs="仿宋"/>
                <w:sz w:val="24"/>
                <w:highlight w:val="none"/>
                <w:u w:val="single"/>
                <w:lang w:val="en-US" w:eastAsia="zh-CN"/>
              </w:rPr>
              <w:t xml:space="preserve"> </w:t>
            </w:r>
            <w:r>
              <w:rPr>
                <w:rFonts w:hint="eastAsia" w:ascii="仿宋" w:hAnsi="仿宋" w:eastAsia="仿宋" w:cs="仿宋"/>
                <w:color w:val="auto"/>
                <w:kern w:val="28"/>
                <w:sz w:val="24"/>
                <w:szCs w:val="24"/>
                <w:highlight w:val="none"/>
                <w:u w:val="single"/>
                <w:lang w:val="en-US" w:eastAsia="zh-CN"/>
              </w:rPr>
              <w:t>不收取</w:t>
            </w:r>
            <w:r>
              <w:rPr>
                <w:rFonts w:hint="eastAsia" w:ascii="仿宋" w:hAnsi="仿宋" w:eastAsia="仿宋" w:cs="仿宋"/>
                <w:sz w:val="24"/>
                <w:highlight w:val="none"/>
                <w:u w:val="single"/>
              </w:rPr>
              <w:t xml:space="preserve"> </w:t>
            </w:r>
            <w:r>
              <w:rPr>
                <w:rFonts w:hint="eastAsia" w:ascii="仿宋" w:hAnsi="仿宋" w:eastAsia="仿宋" w:cs="仿宋"/>
                <w:kern w:val="28"/>
                <w:sz w:val="24"/>
                <w:szCs w:val="24"/>
                <w:highlight w:val="none"/>
                <w:lang w:eastAsia="zh-CN"/>
              </w:rPr>
              <w:t>。</w:t>
            </w:r>
            <w:r>
              <w:rPr>
                <w:rFonts w:hint="eastAsia" w:ascii="仿宋" w:hAnsi="仿宋" w:eastAsia="仿宋" w:cs="仿宋"/>
                <w:b/>
                <w:sz w:val="24"/>
                <w:szCs w:val="24"/>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trPr>
        <w:tc>
          <w:tcPr>
            <w:tcW w:w="363" w:type="pct"/>
            <w:vAlign w:val="center"/>
          </w:tcPr>
          <w:p>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13</w:t>
            </w:r>
          </w:p>
        </w:tc>
        <w:tc>
          <w:tcPr>
            <w:tcW w:w="1075" w:type="pct"/>
            <w:vAlign w:val="center"/>
          </w:tcPr>
          <w:p>
            <w:pPr>
              <w:snapToGrid w:val="0"/>
              <w:spacing w:line="360" w:lineRule="auto"/>
              <w:jc w:val="center"/>
              <w:rPr>
                <w:rFonts w:hint="default"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履约保证金</w:t>
            </w:r>
          </w:p>
        </w:tc>
        <w:tc>
          <w:tcPr>
            <w:tcW w:w="3561" w:type="pct"/>
            <w:vAlign w:val="center"/>
          </w:tcPr>
          <w:p>
            <w:pPr>
              <w:spacing w:line="360" w:lineRule="auto"/>
              <w:rPr>
                <w:rFonts w:hint="eastAsia" w:ascii="仿宋" w:hAnsi="仿宋" w:eastAsia="仿宋" w:cs="仿宋"/>
                <w:snapToGrid w:val="0"/>
                <w:kern w:val="28"/>
                <w:sz w:val="24"/>
                <w:highlight w:val="none"/>
              </w:rPr>
            </w:pPr>
            <w:r>
              <w:rPr>
                <w:rFonts w:hint="eastAsia" w:ascii="仿宋" w:hAnsi="仿宋" w:eastAsia="仿宋" w:cs="仿宋"/>
                <w:color w:val="auto"/>
                <w:sz w:val="24"/>
                <w:highlight w:val="none"/>
                <w:lang w:val="en-US" w:eastAsia="zh-CN"/>
              </w:rPr>
              <w:t>中标金额的1%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4" w:hRule="atLeast"/>
        </w:trPr>
        <w:tc>
          <w:tcPr>
            <w:tcW w:w="363" w:type="pct"/>
            <w:vAlign w:val="center"/>
          </w:tcPr>
          <w:p>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1075" w:type="pct"/>
            <w:vAlign w:val="center"/>
          </w:tcPr>
          <w:p>
            <w:pPr>
              <w:snapToGrid w:val="0"/>
              <w:spacing w:line="360" w:lineRule="auto"/>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磋商费用</w:t>
            </w:r>
          </w:p>
        </w:tc>
        <w:tc>
          <w:tcPr>
            <w:tcW w:w="3561" w:type="pct"/>
            <w:vAlign w:val="center"/>
          </w:tcPr>
          <w:p>
            <w:pPr>
              <w:spacing w:line="360" w:lineRule="auto"/>
              <w:rPr>
                <w:rFonts w:hint="default"/>
                <w:highlight w:val="none"/>
                <w:lang w:val="en-US" w:eastAsia="zh-CN"/>
              </w:rPr>
            </w:pPr>
            <w:r>
              <w:rPr>
                <w:rFonts w:hint="eastAsia" w:ascii="仿宋" w:hAnsi="仿宋" w:eastAsia="仿宋" w:cs="仿宋"/>
                <w:snapToGrid w:val="0"/>
                <w:kern w:val="28"/>
                <w:sz w:val="24"/>
                <w:highlight w:val="none"/>
              </w:rPr>
              <w:t>1.不论磋商结果如何，</w:t>
            </w:r>
            <w:r>
              <w:rPr>
                <w:rFonts w:hint="eastAsia" w:ascii="仿宋" w:hAnsi="仿宋" w:eastAsia="仿宋" w:cs="仿宋"/>
                <w:snapToGrid w:val="0"/>
                <w:kern w:val="28"/>
                <w:sz w:val="24"/>
                <w:highlight w:val="none"/>
                <w:lang w:eastAsia="zh-CN"/>
              </w:rPr>
              <w:t>投标人</w:t>
            </w:r>
            <w:r>
              <w:rPr>
                <w:rFonts w:hint="eastAsia" w:ascii="仿宋" w:hAnsi="仿宋" w:eastAsia="仿宋" w:cs="仿宋"/>
                <w:snapToGrid w:val="0"/>
                <w:kern w:val="28"/>
                <w:sz w:val="24"/>
                <w:highlight w:val="none"/>
              </w:rPr>
              <w:t>均应自行承担所有与磋商有关的全部费用；2.中标供应商在</w:t>
            </w:r>
            <w:r>
              <w:rPr>
                <w:rFonts w:hint="eastAsia" w:ascii="仿宋" w:hAnsi="仿宋" w:eastAsia="仿宋" w:cs="仿宋"/>
                <w:snapToGrid w:val="0"/>
                <w:kern w:val="28"/>
                <w:sz w:val="24"/>
                <w:highlight w:val="none"/>
                <w:lang w:val="en-US" w:eastAsia="zh-CN"/>
              </w:rPr>
              <w:t>应</w:t>
            </w:r>
            <w:r>
              <w:rPr>
                <w:rFonts w:hint="eastAsia" w:ascii="仿宋" w:hAnsi="仿宋" w:eastAsia="仿宋" w:cs="仿宋"/>
                <w:snapToGrid w:val="0"/>
                <w:kern w:val="28"/>
                <w:sz w:val="24"/>
                <w:highlight w:val="none"/>
              </w:rPr>
              <w:t>领取中标通知书时，应向采购代理机构交纳</w:t>
            </w:r>
            <w:r>
              <w:rPr>
                <w:rFonts w:hint="eastAsia" w:ascii="仿宋" w:hAnsi="仿宋" w:eastAsia="仿宋" w:cs="仿宋"/>
                <w:snapToGrid w:val="0"/>
                <w:kern w:val="28"/>
                <w:sz w:val="24"/>
                <w:highlight w:val="none"/>
                <w:lang w:val="en-US" w:eastAsia="zh-CN"/>
              </w:rPr>
              <w:t>磋商</w:t>
            </w:r>
            <w:r>
              <w:rPr>
                <w:rFonts w:hint="eastAsia" w:ascii="仿宋" w:hAnsi="仿宋" w:eastAsia="仿宋" w:cs="仿宋"/>
                <w:snapToGrid w:val="0"/>
                <w:kern w:val="28"/>
                <w:sz w:val="24"/>
                <w:highlight w:val="none"/>
              </w:rPr>
              <w:t>服务费；3.</w:t>
            </w:r>
            <w:r>
              <w:rPr>
                <w:rFonts w:hint="eastAsia" w:ascii="仿宋" w:hAnsi="仿宋" w:eastAsia="仿宋" w:cs="仿宋"/>
                <w:snapToGrid w:val="0"/>
                <w:kern w:val="28"/>
                <w:sz w:val="24"/>
                <w:highlight w:val="none"/>
                <w:lang w:eastAsia="zh-CN"/>
              </w:rPr>
              <w:t>中标人</w:t>
            </w:r>
            <w:r>
              <w:rPr>
                <w:rFonts w:hint="eastAsia" w:ascii="仿宋" w:hAnsi="仿宋" w:eastAsia="仿宋" w:cs="仿宋"/>
                <w:snapToGrid w:val="0"/>
                <w:kern w:val="28"/>
                <w:sz w:val="24"/>
                <w:highlight w:val="none"/>
              </w:rPr>
              <w:t>逾期支付</w:t>
            </w:r>
            <w:r>
              <w:rPr>
                <w:rFonts w:hint="eastAsia" w:ascii="仿宋" w:hAnsi="仿宋" w:eastAsia="仿宋" w:cs="仿宋"/>
                <w:snapToGrid w:val="0"/>
                <w:kern w:val="28"/>
                <w:sz w:val="24"/>
                <w:highlight w:val="none"/>
                <w:lang w:val="en-US" w:eastAsia="zh-CN"/>
              </w:rPr>
              <w:t>磋商</w:t>
            </w:r>
            <w:r>
              <w:rPr>
                <w:rFonts w:hint="eastAsia" w:ascii="仿宋" w:hAnsi="仿宋" w:eastAsia="仿宋" w:cs="仿宋"/>
                <w:snapToGrid w:val="0"/>
                <w:kern w:val="28"/>
                <w:sz w:val="24"/>
                <w:highlight w:val="none"/>
              </w:rPr>
              <w:t>服务费，须承担</w:t>
            </w:r>
            <w:r>
              <w:rPr>
                <w:rFonts w:hint="eastAsia" w:ascii="仿宋" w:hAnsi="仿宋" w:eastAsia="仿宋" w:cs="仿宋"/>
                <w:snapToGrid w:val="0"/>
                <w:kern w:val="28"/>
                <w:sz w:val="24"/>
                <w:highlight w:val="none"/>
                <w:lang w:val="en-US" w:eastAsia="zh-CN"/>
              </w:rPr>
              <w:t>磋商</w:t>
            </w:r>
            <w:r>
              <w:rPr>
                <w:rFonts w:hint="eastAsia" w:ascii="仿宋" w:hAnsi="仿宋" w:eastAsia="仿宋" w:cs="仿宋"/>
                <w:snapToGrid w:val="0"/>
                <w:kern w:val="28"/>
                <w:sz w:val="24"/>
                <w:highlight w:val="none"/>
              </w:rPr>
              <w:t>服务费每日百分之三的违约金，逾期十日未支付的，采购代理机构有权向杭州仲裁委员会对</w:t>
            </w:r>
            <w:r>
              <w:rPr>
                <w:rFonts w:hint="eastAsia" w:ascii="仿宋" w:hAnsi="仿宋" w:eastAsia="仿宋" w:cs="仿宋"/>
                <w:snapToGrid w:val="0"/>
                <w:kern w:val="28"/>
                <w:sz w:val="24"/>
                <w:highlight w:val="none"/>
                <w:lang w:eastAsia="zh-CN"/>
              </w:rPr>
              <w:t>中标人</w:t>
            </w:r>
            <w:r>
              <w:rPr>
                <w:rFonts w:hint="eastAsia" w:ascii="仿宋" w:hAnsi="仿宋" w:eastAsia="仿宋" w:cs="仿宋"/>
                <w:snapToGrid w:val="0"/>
                <w:kern w:val="28"/>
                <w:sz w:val="24"/>
                <w:highlight w:val="none"/>
              </w:rPr>
              <w:t>提起仲裁，仲裁费用（包括仲裁受理费和仲裁处理费）均由</w:t>
            </w:r>
            <w:r>
              <w:rPr>
                <w:rFonts w:hint="eastAsia" w:ascii="仿宋" w:hAnsi="仿宋" w:eastAsia="仿宋" w:cs="仿宋"/>
                <w:snapToGrid w:val="0"/>
                <w:kern w:val="28"/>
                <w:sz w:val="24"/>
                <w:highlight w:val="none"/>
                <w:lang w:eastAsia="zh-CN"/>
              </w:rPr>
              <w:t>中标人</w:t>
            </w:r>
            <w:r>
              <w:rPr>
                <w:rFonts w:hint="eastAsia" w:ascii="仿宋" w:hAnsi="仿宋" w:eastAsia="仿宋" w:cs="仿宋"/>
                <w:snapToGrid w:val="0"/>
                <w:kern w:val="28"/>
                <w:sz w:val="24"/>
                <w:highlight w:val="none"/>
              </w:rPr>
              <w:t>承担。</w:t>
            </w:r>
            <w:r>
              <w:rPr>
                <w:rFonts w:hint="eastAsia" w:ascii="仿宋" w:hAnsi="仿宋" w:eastAsia="仿宋" w:cs="仿宋"/>
                <w:snapToGrid w:val="0"/>
                <w:kern w:val="28"/>
                <w:sz w:val="24"/>
                <w:highlight w:val="none"/>
                <w:lang w:val="en-US" w:eastAsia="zh-CN"/>
              </w:rPr>
              <w:t>4.磋商</w:t>
            </w:r>
            <w:r>
              <w:rPr>
                <w:rFonts w:hint="eastAsia" w:ascii="仿宋" w:hAnsi="仿宋" w:eastAsia="仿宋" w:cs="仿宋"/>
                <w:snapToGrid w:val="0"/>
                <w:kern w:val="28"/>
                <w:sz w:val="24"/>
                <w:highlight w:val="none"/>
              </w:rPr>
              <w:t>服务费收费：</w:t>
            </w:r>
            <w:r>
              <w:rPr>
                <w:rFonts w:hint="eastAsia" w:ascii="仿宋" w:hAnsi="仿宋" w:eastAsia="仿宋" w:cs="仿宋"/>
                <w:snapToGrid w:val="0"/>
                <w:kern w:val="28"/>
                <w:sz w:val="24"/>
                <w:highlight w:val="none"/>
                <w:lang w:val="en-US" w:eastAsia="zh-CN"/>
              </w:rPr>
              <w:t>40572元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3" w:type="pct"/>
            <w:vAlign w:val="center"/>
          </w:tcPr>
          <w:p>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1075" w:type="pct"/>
            <w:vAlign w:val="center"/>
          </w:tcPr>
          <w:p>
            <w:pPr>
              <w:snapToGrid w:val="0"/>
              <w:spacing w:line="360" w:lineRule="auto"/>
              <w:jc w:val="center"/>
              <w:rPr>
                <w:rFonts w:hint="default"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其他说明</w:t>
            </w:r>
          </w:p>
        </w:tc>
        <w:tc>
          <w:tcPr>
            <w:tcW w:w="3561" w:type="pct"/>
            <w:vAlign w:val="center"/>
          </w:tcPr>
          <w:p>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lang w:val="en-US" w:eastAsia="zh-CN"/>
              </w:rPr>
              <w:t>1、</w:t>
            </w:r>
            <w:r>
              <w:rPr>
                <w:rFonts w:hint="eastAsia" w:ascii="仿宋" w:hAnsi="仿宋" w:eastAsia="仿宋" w:cs="仿宋"/>
                <w:snapToGrid w:val="0"/>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p>
          <w:p>
            <w:pPr>
              <w:pStyle w:val="37"/>
              <w:snapToGrid w:val="0"/>
              <w:spacing w:line="400" w:lineRule="exact"/>
              <w:jc w:val="left"/>
              <w:rPr>
                <w:rFonts w:hint="eastAsia" w:hAnsi="宋体" w:eastAsia="宋体" w:cs="宋体"/>
                <w:kern w:val="28"/>
                <w:sz w:val="24"/>
                <w:szCs w:val="24"/>
                <w:highlight w:val="none"/>
                <w:lang w:val="en-US" w:eastAsia="zh-CN"/>
              </w:rPr>
            </w:pPr>
            <w:r>
              <w:rPr>
                <w:rFonts w:hint="eastAsia" w:ascii="仿宋" w:hAnsi="仿宋" w:eastAsia="仿宋" w:cs="仿宋"/>
                <w:snapToGrid w:val="0"/>
                <w:kern w:val="28"/>
                <w:sz w:val="24"/>
                <w:highlight w:val="none"/>
                <w:lang w:val="en-US" w:eastAsia="zh-CN"/>
              </w:rPr>
              <w:t>2、竞争性磋商报价以最终报价为准，单价同比例下浮。</w:t>
            </w:r>
          </w:p>
        </w:tc>
      </w:tr>
      <w:bookmarkEnd w:id="11"/>
      <w:bookmarkEnd w:id="12"/>
    </w:tbl>
    <w:p>
      <w:pPr>
        <w:rPr>
          <w:rFonts w:hint="eastAsia" w:ascii="仿宋" w:hAnsi="仿宋" w:eastAsia="仿宋" w:cs="仿宋"/>
          <w:b/>
          <w:sz w:val="32"/>
          <w:szCs w:val="20"/>
          <w:highlight w:val="none"/>
        </w:rPr>
      </w:pPr>
      <w:bookmarkStart w:id="13" w:name="第四部分"/>
      <w:r>
        <w:rPr>
          <w:rFonts w:hint="eastAsia" w:ascii="仿宋" w:hAnsi="仿宋" w:eastAsia="仿宋" w:cs="仿宋"/>
          <w:b/>
          <w:sz w:val="32"/>
          <w:szCs w:val="20"/>
          <w:highlight w:val="none"/>
        </w:rPr>
        <w:br w:type="page"/>
      </w:r>
    </w:p>
    <w:p>
      <w:pPr>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p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2.定义</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“采购人”系指竞争性磋商公告中载明的本项目的采购人。</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“采购机构”系指竞争性磋商公告中载明的本项目的采购机构。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“供应商”系指是指提交响应文件和报价、参与竞争性磋商采购活动的法人、其他组织或者自然人。</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w:t>
      </w:r>
      <w:sdt>
        <w:sdtPr>
          <w:rPr>
            <w:rFonts w:hint="eastAsia" w:ascii="仿宋" w:hAnsi="仿宋" w:eastAsia="仿宋" w:cs="仿宋"/>
            <w:kern w:val="0"/>
            <w:sz w:val="24"/>
            <w:highlight w:val="none"/>
          </w:rPr>
          <w:id w:val="512970236"/>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404888855"/>
            </w:sdtPr>
            <w:sdtEndPr>
              <w:rPr>
                <w:rFonts w:hint="eastAsia" w:ascii="仿宋" w:hAnsi="仿宋" w:eastAsia="仿宋" w:cs="仿宋"/>
                <w:kern w:val="0"/>
                <w:sz w:val="24"/>
                <w:highlight w:val="none"/>
              </w:rPr>
            </w:sdtEndPr>
            <w:sdtContent>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kern w:val="0"/>
              <w:sz w:val="24"/>
              <w:highlight w:val="none"/>
              <w:lang w:val="en-US" w:eastAsia="zh-CN"/>
            </w:rPr>
            <w:t xml:space="preserve"> </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系指不适用本项目的要求，“※”系指磋商过程中可能实质性变动的内容。</w:t>
      </w:r>
    </w:p>
    <w:p>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3.采购项目需要落实的政府采购政策</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支持绿色发展</w:t>
      </w:r>
    </w:p>
    <w:p>
      <w:pPr>
        <w:snapToGrid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修缮、装修类项目采购建材的，采购人应将绿色建筑和绿色建材性能、指标等作为实质性条件纳入采购文件和合同。</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在政府采购活动中，供应商提供的工程符合下列情形的，享受中小企业扶持政策：</w:t>
      </w:r>
      <w:r>
        <w:rPr>
          <w:rFonts w:hint="eastAsia" w:ascii="仿宋" w:hAnsi="仿宋" w:eastAsia="仿宋" w:cs="仿宋"/>
          <w:sz w:val="24"/>
          <w:highlight w:val="none"/>
        </w:rPr>
        <w:t>在工程采购项目中，工程由中小企业承建，即工程施工单位为中小企业</w:t>
      </w:r>
      <w:r>
        <w:rPr>
          <w:rFonts w:hint="eastAsia" w:ascii="仿宋" w:hAnsi="仿宋" w:eastAsia="仿宋" w:cs="仿宋"/>
          <w:kern w:val="0"/>
          <w:sz w:val="24"/>
          <w:highlight w:val="none"/>
        </w:rPr>
        <w:t>。</w:t>
      </w:r>
    </w:p>
    <w:p>
      <w:pPr>
        <w:widowControl/>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仿宋" w:hAnsi="仿宋" w:eastAsia="仿宋" w:cs="仿宋"/>
          <w:sz w:val="24"/>
          <w:highlight w:val="none"/>
        </w:rPr>
        <w:t>联合协议或者分包意向协议约定小微企业的合同份额占到合同总金额30%以上的</w:t>
      </w:r>
      <w:bookmarkEnd w:id="14"/>
      <w:r>
        <w:rPr>
          <w:rFonts w:hint="eastAsia" w:ascii="仿宋" w:hAnsi="仿宋" w:eastAsia="仿宋" w:cs="仿宋"/>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3.4.2首台套产品被纳入《首台套产品推广应用指导目录》之日起</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年内，以及产品核心技术高于国内领先水平，并具有明晰自主知识产权的“制造精品”产品，自认定之日起2年内视同已具备相应销售业绩，参</w:t>
      </w:r>
      <w:r>
        <w:rPr>
          <w:rFonts w:hint="eastAsia" w:ascii="仿宋" w:hAnsi="仿宋" w:eastAsia="仿宋" w:cs="仿宋"/>
          <w:color w:val="auto"/>
          <w:sz w:val="24"/>
          <w:highlight w:val="none"/>
        </w:rPr>
        <w:t>加政府采购活动时业绩分值为满分。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平等对待内外资企业和符合条件的破产重整企业：</w:t>
      </w:r>
    </w:p>
    <w:p>
      <w:pPr>
        <w:snapToGrid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 询问、质疑、投诉</w:t>
      </w:r>
    </w:p>
    <w:p>
      <w:pPr>
        <w:autoSpaceDE w:val="0"/>
        <w:autoSpaceDN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pPr>
        <w:autoSpaceDE w:val="0"/>
        <w:autoSpaceDN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pPr>
        <w:pStyle w:val="37"/>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.1提出质疑的供应商应当是参与所质疑项目采购活动的供应商。潜在供应商已依法获取其可质疑的采购文件的，可以对该文件提出质疑。</w:t>
      </w:r>
    </w:p>
    <w:p>
      <w:pPr>
        <w:pStyle w:val="37"/>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4.2.2.1对采购文件提出质疑的，质疑期限为供应商获得采购文件之日或者采购文件公告期限届满之日起计算。</w:t>
      </w:r>
    </w:p>
    <w:p>
      <w:pPr>
        <w:pStyle w:val="37"/>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w:t>
      </w:r>
    </w:p>
    <w:p>
      <w:pPr>
        <w:pStyle w:val="37"/>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pPr>
        <w:pStyle w:val="37"/>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pPr>
        <w:pStyle w:val="37"/>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4.2.3.1供应商的姓名或者名称、地址、邮编、联系人及联系电话；</w:t>
      </w:r>
    </w:p>
    <w:p>
      <w:pPr>
        <w:pStyle w:val="37"/>
        <w:snapToGrid w:val="0"/>
        <w:spacing w:line="360" w:lineRule="auto"/>
        <w:ind w:firstLine="720" w:firstLineChars="3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4.2.3.2质疑项目的名称、编号；</w:t>
      </w:r>
    </w:p>
    <w:p>
      <w:pPr>
        <w:pStyle w:val="37"/>
        <w:snapToGrid w:val="0"/>
        <w:spacing w:line="360" w:lineRule="auto"/>
        <w:ind w:firstLine="720" w:firstLineChars="3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4.2.3.3具体、明确的质疑事项和与质疑事项相关的请求；</w:t>
      </w:r>
    </w:p>
    <w:p>
      <w:pPr>
        <w:pStyle w:val="37"/>
        <w:snapToGrid w:val="0"/>
        <w:spacing w:line="360" w:lineRule="auto"/>
        <w:ind w:firstLine="720" w:firstLineChars="3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4.2.3.4事实依据；</w:t>
      </w:r>
    </w:p>
    <w:p>
      <w:pPr>
        <w:pStyle w:val="37"/>
        <w:snapToGrid w:val="0"/>
        <w:spacing w:line="360" w:lineRule="auto"/>
        <w:ind w:firstLine="720" w:firstLineChars="3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4.2.3.5必要的法律依据；</w:t>
      </w:r>
    </w:p>
    <w:p>
      <w:pPr>
        <w:pStyle w:val="37"/>
        <w:snapToGrid w:val="0"/>
        <w:spacing w:line="360" w:lineRule="auto"/>
        <w:ind w:firstLine="720" w:firstLineChars="3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4.2.4对同一采购程序环节的质疑，供应商须在法定质疑期内一次性提出。</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4.3.5 以联合体形式参加政府采购活动的，其投诉应当由组成联合体的所有供应商共同提出。</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4.4在线质疑、投诉。</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2"/>
        <w:snapToGrid w:val="0"/>
        <w:spacing w:before="0"/>
        <w:ind w:firstLine="360"/>
        <w:rPr>
          <w:rFonts w:hint="eastAsia" w:ascii="仿宋" w:hAnsi="仿宋" w:eastAsia="仿宋" w:cs="仿宋"/>
          <w:sz w:val="18"/>
          <w:szCs w:val="18"/>
          <w:highlight w:val="none"/>
        </w:rPr>
      </w:pPr>
    </w:p>
    <w:p>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二、采购文件的构成、澄清、修改</w:t>
      </w:r>
    </w:p>
    <w:p>
      <w:pPr>
        <w:pStyle w:val="37"/>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5．采购文件的构成</w:t>
      </w:r>
    </w:p>
    <w:p>
      <w:pPr>
        <w:pStyle w:val="37"/>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采购文件包括下列文件及附件：</w:t>
      </w:r>
    </w:p>
    <w:p>
      <w:pPr>
        <w:pStyle w:val="37"/>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5.1.1竞争性磋商公告；</w:t>
      </w:r>
    </w:p>
    <w:p>
      <w:pPr>
        <w:pStyle w:val="37"/>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5.1.2供应商须知；</w:t>
      </w:r>
    </w:p>
    <w:p>
      <w:pPr>
        <w:pStyle w:val="37"/>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37"/>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5.1.4评审办法；</w:t>
      </w:r>
    </w:p>
    <w:p>
      <w:pPr>
        <w:pStyle w:val="37"/>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37"/>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澄清或者修改的内容为采购文件的组成部分</w:t>
      </w:r>
      <w:r>
        <w:rPr>
          <w:rFonts w:hint="eastAsia" w:ascii="仿宋" w:hAnsi="仿宋" w:eastAsia="仿宋" w:cs="仿宋"/>
          <w:sz w:val="24"/>
          <w:highlight w:val="none"/>
        </w:rPr>
        <w:t>。</w:t>
      </w:r>
    </w:p>
    <w:p>
      <w:pPr>
        <w:pStyle w:val="37"/>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 采购文件的澄清、修改</w:t>
      </w:r>
    </w:p>
    <w:p>
      <w:pPr>
        <w:pStyle w:val="132"/>
        <w:snapToGrid w:val="0"/>
        <w:spacing w:before="0"/>
        <w:ind w:firstLine="480"/>
        <w:rPr>
          <w:rFonts w:hint="eastAsia" w:ascii="仿宋" w:hAnsi="仿宋" w:eastAsia="仿宋" w:cs="仿宋"/>
          <w:highlight w:val="none"/>
        </w:rPr>
      </w:pPr>
      <w:r>
        <w:rPr>
          <w:rFonts w:hint="eastAsia" w:ascii="仿宋" w:hAnsi="仿宋" w:eastAsia="仿宋" w:cs="仿宋"/>
          <w:highlight w:val="none"/>
        </w:rPr>
        <w:t>6.1已获取采购文件的潜在供应商，若有问题需要澄清，应于响应文件提交（上传）截止时间前，以书面形式向采购机构提出。</w:t>
      </w:r>
    </w:p>
    <w:p>
      <w:pPr>
        <w:pStyle w:val="132"/>
        <w:snapToGrid w:val="0"/>
        <w:spacing w:before="0"/>
        <w:ind w:firstLine="480"/>
        <w:rPr>
          <w:rFonts w:hint="eastAsia" w:ascii="仿宋" w:hAnsi="仿宋" w:eastAsia="仿宋" w:cs="仿宋"/>
          <w:highlight w:val="none"/>
        </w:rPr>
      </w:pPr>
      <w:r>
        <w:rPr>
          <w:rFonts w:hint="eastAsia" w:ascii="仿宋" w:hAnsi="仿宋" w:eastAsia="仿宋" w:cs="仿宋"/>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5"/>
        <w:rPr>
          <w:rFonts w:hint="eastAsia" w:ascii="仿宋" w:hAnsi="仿宋" w:eastAsia="仿宋" w:cs="仿宋"/>
          <w:sz w:val="18"/>
          <w:szCs w:val="18"/>
          <w:highlight w:val="none"/>
          <w:lang w:val="en-US"/>
        </w:rPr>
      </w:pPr>
    </w:p>
    <w:p>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三、提交响应文件</w:t>
      </w:r>
    </w:p>
    <w:p>
      <w:pPr>
        <w:pStyle w:val="37"/>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 采购文件的获取</w:t>
      </w:r>
    </w:p>
    <w:p>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详见竞争性磋商公告中获取采购文件的时间期限、地点、方式及采购文件售价。</w:t>
      </w:r>
    </w:p>
    <w:p>
      <w:pPr>
        <w:pStyle w:val="37"/>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8.磋商前答疑会或现场考察</w:t>
      </w:r>
    </w:p>
    <w:p>
      <w:pPr>
        <w:pStyle w:val="37"/>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采购人组织潜在供应商现场考察或者召开磋商前答疑会的，潜在供应商按第二部分供应商须知前附表的规定参加现场考察或者磋商前答疑会。</w:t>
      </w:r>
    </w:p>
    <w:p>
      <w:pPr>
        <w:pStyle w:val="37"/>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9.磋商保证金</w:t>
      </w:r>
    </w:p>
    <w:p>
      <w:pPr>
        <w:pStyle w:val="1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pPr>
        <w:pStyle w:val="37"/>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响应文件的语言</w:t>
      </w:r>
    </w:p>
    <w:p>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响应文件及供应商与采购有关的来往通知、函件和文件均应使用中文。</w:t>
      </w:r>
    </w:p>
    <w:p>
      <w:pPr>
        <w:pStyle w:val="37"/>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响应文件的组成</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sz w:val="24"/>
          <w:highlight w:val="none"/>
          <w:lang w:val="en-US" w:eastAsia="zh-CN"/>
        </w:rPr>
      </w:pPr>
      <w:r>
        <w:rPr>
          <w:rFonts w:hint="eastAsia" w:ascii="仿宋" w:hAnsi="仿宋" w:eastAsia="仿宋" w:cs="仿宋"/>
          <w:sz w:val="24"/>
          <w:highlight w:val="none"/>
        </w:rPr>
        <w:t>11.1.</w:t>
      </w:r>
      <w:r>
        <w:rPr>
          <w:rFonts w:hint="eastAsia" w:ascii="仿宋" w:hAnsi="仿宋" w:eastAsia="仿宋" w:cs="仿宋"/>
          <w:sz w:val="24"/>
          <w:highlight w:val="none"/>
          <w:lang w:val="en-US" w:eastAsia="zh-CN"/>
        </w:rPr>
        <w:t>2联合协议（如果有)；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w:t>
      </w:r>
    </w:p>
    <w:p>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2商务技术</w:t>
      </w:r>
      <w:r>
        <w:rPr>
          <w:rFonts w:hint="eastAsia" w:ascii="仿宋" w:hAnsi="仿宋" w:eastAsia="仿宋" w:cs="仿宋"/>
          <w:sz w:val="24"/>
          <w:highlight w:val="none"/>
          <w:lang w:val="zh-CN"/>
        </w:rPr>
        <w:t>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响应函；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11.2.3分包意向协议（如果有)；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11.2.4符合性审查资料；</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11.2.5评审标准相应的商务技术资料；</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11.2.6商务技术偏离表；</w:t>
      </w:r>
    </w:p>
    <w:p>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11.3.1报价单；</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11.3.2已标价工程量清单；</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11.3.3中小企业声明函</w:t>
      </w:r>
      <w:r>
        <w:rPr>
          <w:rFonts w:hint="eastAsia" w:ascii="仿宋" w:hAnsi="仿宋" w:eastAsia="仿宋" w:cs="仿宋"/>
          <w:sz w:val="24"/>
          <w:highlight w:val="none"/>
          <w:lang w:eastAsia="zh-CN"/>
        </w:rPr>
        <w:t>（</w:t>
      </w:r>
      <w:r>
        <w:rPr>
          <w:rFonts w:hint="eastAsia" w:ascii="仿宋" w:hAnsi="仿宋" w:eastAsia="仿宋" w:cs="仿宋"/>
          <w:sz w:val="24"/>
          <w:highlight w:val="none"/>
        </w:rPr>
        <w:t>如果有</w:t>
      </w:r>
      <w:r>
        <w:rPr>
          <w:rFonts w:hint="eastAsia" w:ascii="仿宋" w:hAnsi="仿宋" w:eastAsia="仿宋" w:cs="仿宋"/>
          <w:sz w:val="24"/>
          <w:highlight w:val="none"/>
          <w:lang w:eastAsia="zh-CN"/>
        </w:rPr>
        <w:t>）</w:t>
      </w:r>
      <w:r>
        <w:rPr>
          <w:rFonts w:hint="eastAsia" w:ascii="仿宋" w:hAnsi="仿宋" w:eastAsia="仿宋" w:cs="仿宋"/>
          <w:sz w:val="24"/>
          <w:highlight w:val="none"/>
        </w:rPr>
        <w:t>。</w:t>
      </w:r>
    </w:p>
    <w:p>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响应文件含有采购人不能接受的附加条件的，响应文件无效；</w:t>
      </w:r>
    </w:p>
    <w:p>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供应商提供虚假材料的，响应文件无效。</w:t>
      </w:r>
    </w:p>
    <w:p>
      <w:pPr>
        <w:pStyle w:val="132"/>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响应文件的编制</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13.响应文件的签署、盖章</w:t>
      </w:r>
    </w:p>
    <w:p>
      <w:pPr>
        <w:pStyle w:val="132"/>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13.1响应文件按照采购文件第六部分格式要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▲供应商的响应文件未按照采购文件要求签署、盖章的，其响应文件无效</w:t>
      </w:r>
      <w:r>
        <w:rPr>
          <w:rFonts w:hint="eastAsia" w:ascii="仿宋" w:hAnsi="仿宋" w:eastAsia="仿宋" w:cs="仿宋"/>
          <w:szCs w:val="24"/>
          <w:highlight w:val="none"/>
        </w:rPr>
        <w:t>。</w:t>
      </w:r>
    </w:p>
    <w:p>
      <w:pPr>
        <w:pStyle w:val="132"/>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2"/>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13.3采购文件对响应文件签署、盖章的要求适用于电子签名。</w:t>
      </w:r>
    </w:p>
    <w:p>
      <w:pPr>
        <w:pStyle w:val="132"/>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 响应文件的提交、补充、修改、撤回</w:t>
      </w:r>
    </w:p>
    <w:p>
      <w:pPr>
        <w:pStyle w:val="132"/>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2"/>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2"/>
        <w:snapToGrid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37"/>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15.备份响应文件</w:t>
      </w:r>
    </w:p>
    <w:p>
      <w:pPr>
        <w:pStyle w:val="37"/>
        <w:snapToGrid w:val="0"/>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sz w:val="24"/>
          <w:szCs w:val="24"/>
          <w:highlight w:val="none"/>
        </w:rPr>
        <w:t>但采购人、采购机构不强制或变相强制供应商提交备份响应文件。</w:t>
      </w:r>
    </w:p>
    <w:p>
      <w:pPr>
        <w:pStyle w:val="37"/>
        <w:snapToGrid w:val="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15.2备份响应文件须在“政采云投标客户端”制作生成，并储存在</w:t>
      </w:r>
      <w:r>
        <w:rPr>
          <w:rFonts w:hint="eastAsia" w:ascii="仿宋" w:hAnsi="仿宋" w:eastAsia="仿宋" w:cs="仿宋"/>
          <w:sz w:val="24"/>
          <w:highlight w:val="none"/>
        </w:rPr>
        <w:t>DVD光盘</w:t>
      </w:r>
      <w:r>
        <w:rPr>
          <w:rFonts w:hint="eastAsia" w:ascii="仿宋" w:hAnsi="仿宋" w:eastAsia="仿宋" w:cs="仿宋"/>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存储、密封规定的备份响应文件将被视为无效或者被拒绝接收。</w:t>
      </w:r>
    </w:p>
    <w:p>
      <w:pPr>
        <w:pStyle w:val="37"/>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37"/>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highlight w:val="none"/>
        </w:rPr>
        <w:t>采购文件第二部分供应商须知前附表规定的备份响应文件送达地点；</w:t>
      </w:r>
      <w:r>
        <w:rPr>
          <w:rFonts w:hint="eastAsia" w:ascii="仿宋" w:hAnsi="仿宋" w:eastAsia="仿宋" w:cs="仿宋"/>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37"/>
        <w:snapToGrid w:val="0"/>
        <w:spacing w:line="360" w:lineRule="auto"/>
        <w:ind w:firstLine="479" w:firstLineChars="199"/>
        <w:rPr>
          <w:rFonts w:hint="eastAsia" w:ascii="仿宋" w:hAnsi="仿宋" w:eastAsia="仿宋" w:cs="仿宋"/>
          <w:b/>
          <w:sz w:val="24"/>
          <w:szCs w:val="24"/>
          <w:highlight w:val="none"/>
        </w:rPr>
      </w:pPr>
      <w:r>
        <w:rPr>
          <w:rFonts w:hint="eastAsia" w:ascii="仿宋" w:hAnsi="仿宋" w:eastAsia="仿宋" w:cs="仿宋"/>
          <w:b/>
          <w:sz w:val="24"/>
          <w:szCs w:val="24"/>
          <w:highlight w:val="none"/>
        </w:rPr>
        <w:t>15.5供应商仅提交备份响应文件，未在电子交易平台传输递交响应文件的，响应文件无效。</w:t>
      </w:r>
    </w:p>
    <w:p>
      <w:pPr>
        <w:pStyle w:val="132"/>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16.响应文件的无效处理</w:t>
      </w:r>
    </w:p>
    <w:p>
      <w:pPr>
        <w:pStyle w:val="28"/>
        <w:spacing w:line="360" w:lineRule="auto"/>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有采购文件第四部分</w:t>
      </w:r>
      <w:r>
        <w:rPr>
          <w:rFonts w:hint="eastAsia" w:ascii="仿宋" w:hAnsi="仿宋" w:eastAsia="仿宋" w:cs="仿宋"/>
          <w:highlight w:val="none"/>
        </w:rPr>
        <w:t>4.2规定</w:t>
      </w:r>
      <w:r>
        <w:rPr>
          <w:rFonts w:hint="eastAsia" w:ascii="仿宋" w:hAnsi="仿宋" w:eastAsia="仿宋" w:cs="仿宋"/>
          <w:szCs w:val="21"/>
          <w:highlight w:val="none"/>
        </w:rPr>
        <w:t>的情形之一的，响应文件无效：</w:t>
      </w:r>
    </w:p>
    <w:p>
      <w:pPr>
        <w:pStyle w:val="132"/>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17.响应文件有效期</w:t>
      </w:r>
    </w:p>
    <w:p>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17.1响应文件有效期为从提交响应文件的截止之日起90天。▲</w:t>
      </w:r>
      <w:r>
        <w:rPr>
          <w:rFonts w:hint="eastAsia" w:ascii="仿宋" w:hAnsi="仿宋" w:eastAsia="仿宋" w:cs="仿宋"/>
          <w:b/>
          <w:sz w:val="24"/>
          <w:szCs w:val="20"/>
          <w:highlight w:val="none"/>
        </w:rPr>
        <w:t>供应商的响应文件中承</w:t>
      </w:r>
      <w:r>
        <w:rPr>
          <w:rFonts w:hint="eastAsia" w:ascii="仿宋" w:hAnsi="仿宋" w:eastAsia="仿宋" w:cs="仿宋"/>
          <w:b/>
          <w:sz w:val="24"/>
          <w:szCs w:val="21"/>
          <w:highlight w:val="none"/>
        </w:rPr>
        <w:t>诺的响应文件有效期少于采购文件中载明的响应文件有效期的，响应文件无效。</w:t>
      </w:r>
    </w:p>
    <w:p>
      <w:pPr>
        <w:pStyle w:val="132"/>
        <w:spacing w:before="0"/>
        <w:ind w:firstLine="480"/>
        <w:rPr>
          <w:rFonts w:hint="eastAsia" w:ascii="仿宋" w:hAnsi="仿宋" w:eastAsia="仿宋" w:cs="仿宋"/>
          <w:highlight w:val="none"/>
        </w:rPr>
      </w:pPr>
      <w:r>
        <w:rPr>
          <w:rFonts w:hint="eastAsia" w:ascii="仿宋" w:hAnsi="仿宋" w:eastAsia="仿宋" w:cs="仿宋"/>
          <w:highlight w:val="none"/>
        </w:rPr>
        <w:t>17.2响应文件合格投递后，自响应文件提交截止时间起，在响应文件有效期内有效。</w:t>
      </w:r>
    </w:p>
    <w:p>
      <w:pPr>
        <w:pStyle w:val="132"/>
        <w:spacing w:before="0"/>
        <w:ind w:firstLine="480"/>
        <w:rPr>
          <w:rFonts w:hint="eastAsia" w:ascii="仿宋" w:hAnsi="仿宋" w:eastAsia="仿宋" w:cs="仿宋"/>
          <w:highlight w:val="none"/>
        </w:rPr>
      </w:pPr>
      <w:r>
        <w:rPr>
          <w:rFonts w:hint="eastAsia" w:ascii="仿宋" w:hAnsi="仿宋" w:eastAsia="仿宋" w:cs="仿宋"/>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32"/>
        <w:spacing w:before="0"/>
        <w:ind w:firstLine="643"/>
        <w:rPr>
          <w:rFonts w:hint="eastAsia" w:ascii="仿宋" w:hAnsi="仿宋" w:eastAsia="仿宋" w:cs="仿宋"/>
          <w:b/>
          <w:sz w:val="32"/>
          <w:highlight w:val="none"/>
        </w:rPr>
      </w:pPr>
    </w:p>
    <w:p>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四、响应文件开启、资格审查与信用信息查询</w:t>
      </w:r>
    </w:p>
    <w:p>
      <w:pPr>
        <w:pStyle w:val="559"/>
        <w:spacing w:before="0" w:line="360" w:lineRule="auto"/>
        <w:ind w:left="0" w:firstLine="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18.响应文件开启</w:t>
      </w:r>
    </w:p>
    <w:p>
      <w:pPr>
        <w:pStyle w:val="559"/>
        <w:snapToGrid w:val="0"/>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18.1采购机构按照采购文件规定的时间通过电子交易平台组织响应文件开启，所有供应商均应当准时在线参加。供应商不足3家的，不得开启。</w:t>
      </w:r>
    </w:p>
    <w:p>
      <w:pPr>
        <w:pStyle w:val="559"/>
        <w:snapToGrid w:val="0"/>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59"/>
        <w:snapToGrid w:val="0"/>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18.3</w:t>
      </w:r>
      <w:r>
        <w:rPr>
          <w:rFonts w:hint="eastAsia" w:ascii="仿宋" w:hAnsi="仿宋" w:eastAsia="仿宋" w:cs="仿宋"/>
          <w:b/>
          <w:bCs/>
          <w:sz w:val="24"/>
          <w:highlight w:val="none"/>
        </w:rPr>
        <w:t>响应文件未按时解密，供应商提供了备份响应文件的，以备份响应文件作为依据，否则视为响应文件撤回。响应文件已按时解密的，备份响应文件自动失效。</w:t>
      </w:r>
    </w:p>
    <w:p>
      <w:pPr>
        <w:pStyle w:val="559"/>
        <w:spacing w:before="0" w:line="360" w:lineRule="auto"/>
        <w:ind w:left="0" w:firstLine="0"/>
        <w:contextualSpacing/>
        <w:rPr>
          <w:rFonts w:hint="eastAsia" w:ascii="仿宋" w:hAnsi="仿宋" w:eastAsia="仿宋" w:cs="仿宋"/>
          <w:b/>
          <w:sz w:val="24"/>
          <w:szCs w:val="24"/>
          <w:highlight w:val="none"/>
        </w:rPr>
      </w:pPr>
      <w:r>
        <w:rPr>
          <w:rFonts w:hint="eastAsia" w:ascii="仿宋" w:hAnsi="仿宋" w:eastAsia="仿宋" w:cs="仿宋"/>
          <w:b/>
          <w:sz w:val="24"/>
          <w:szCs w:val="24"/>
          <w:highlight w:val="none"/>
        </w:rPr>
        <w:t>19、资格审查</w:t>
      </w:r>
    </w:p>
    <w:p>
      <w:pPr>
        <w:pStyle w:val="13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19.1响应文件开启后，采购人或采购机构将依法对供应商的资格进行审查。</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采购人或采购机构依据法律法规和采购文件的规定，对供应商的资格进行审查。</w:t>
      </w:r>
    </w:p>
    <w:p>
      <w:pPr>
        <w:pStyle w:val="132"/>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19.3供应商未按照采购文件要求提供与</w:t>
      </w:r>
      <w:r>
        <w:rPr>
          <w:rFonts w:hint="eastAsia" w:ascii="仿宋" w:hAnsi="仿宋" w:eastAsia="仿宋" w:cs="仿宋"/>
          <w:highlight w:val="none"/>
        </w:rPr>
        <w:t>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供应商不具备采购文件中规定的资格要求，其响应文件无效。</w:t>
      </w:r>
    </w:p>
    <w:p>
      <w:pPr>
        <w:pStyle w:val="132"/>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4对未通过资格审查的供应商，采购人或采购机构告知其未通过的原因。</w:t>
      </w:r>
    </w:p>
    <w:p>
      <w:pPr>
        <w:pStyle w:val="132"/>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5合格供应商不足3家的，不再评审。</w:t>
      </w:r>
    </w:p>
    <w:p>
      <w:pPr>
        <w:pStyle w:val="132"/>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pPr>
        <w:pStyle w:val="132"/>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20.1信用信息查询渠道及截止时间：采购机构将在资格审查时通过“信用中国”网站(www.creditchina.gov.cn)、中国政府采购网(www.ccgp.gov.cn)渠道查询供应商接受资格审查时的信用记录。</w:t>
      </w:r>
    </w:p>
    <w:p>
      <w:pPr>
        <w:pStyle w:val="132"/>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20.2信用信息查询记录和证据留存的具体方式：现场查询的供应商的信用记录、查询结果经确认后将与采购文件一起存档。</w:t>
      </w:r>
    </w:p>
    <w:p>
      <w:pPr>
        <w:pStyle w:val="132"/>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2"/>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132"/>
        <w:spacing w:before="0"/>
        <w:ind w:firstLine="0" w:firstLineChars="0"/>
        <w:rPr>
          <w:rFonts w:hint="eastAsia" w:ascii="仿宋" w:hAnsi="仿宋" w:eastAsia="仿宋" w:cs="仿宋"/>
          <w:kern w:val="0"/>
          <w:szCs w:val="24"/>
          <w:highlight w:val="none"/>
        </w:rPr>
      </w:pPr>
    </w:p>
    <w:p>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五、评审</w:t>
      </w:r>
    </w:p>
    <w:p>
      <w:pPr>
        <w:spacing w:line="360" w:lineRule="auto"/>
        <w:rPr>
          <w:rFonts w:hint="eastAsia" w:ascii="仿宋" w:hAnsi="仿宋" w:eastAsia="仿宋" w:cs="仿宋"/>
          <w:b/>
          <w:sz w:val="24"/>
          <w:highlight w:val="none"/>
        </w:rPr>
      </w:pPr>
      <w:bookmarkStart w:id="15" w:name="_Toc91899903"/>
      <w:r>
        <w:rPr>
          <w:rFonts w:hint="eastAsia" w:ascii="仿宋" w:hAnsi="仿宋" w:eastAsia="仿宋" w:cs="仿宋"/>
          <w:b/>
          <w:sz w:val="24"/>
          <w:highlight w:val="none"/>
        </w:rPr>
        <w:t>21.</w:t>
      </w:r>
      <w:r>
        <w:rPr>
          <w:rFonts w:hint="eastAsia" w:ascii="仿宋" w:hAnsi="仿宋" w:eastAsia="仿宋" w:cs="仿宋"/>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highlight w:val="none"/>
        </w:rPr>
        <w:t>详见采购文件第四部分评审办法。</w:t>
      </w:r>
    </w:p>
    <w:p>
      <w:pPr>
        <w:spacing w:line="360" w:lineRule="auto"/>
        <w:rPr>
          <w:rFonts w:hint="eastAsia" w:ascii="仿宋" w:hAnsi="仿宋" w:eastAsia="仿宋" w:cs="仿宋"/>
          <w:b/>
          <w:sz w:val="24"/>
          <w:highlight w:val="none"/>
        </w:rPr>
      </w:pPr>
    </w:p>
    <w:p>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六、成交供应商确定</w:t>
      </w:r>
    </w:p>
    <w:p>
      <w:pPr>
        <w:pStyle w:val="28"/>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 确定成交供应商</w:t>
      </w:r>
    </w:p>
    <w:p>
      <w:pPr>
        <w:pStyle w:val="132"/>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成交通知与成交结果公告</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23.1自成交供应商确定之日起</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23.4</w:t>
      </w:r>
      <w:r>
        <w:rPr>
          <w:rFonts w:hint="eastAsia" w:ascii="仿宋" w:hAnsi="仿宋" w:eastAsia="仿宋" w:cs="仿宋"/>
          <w:sz w:val="24"/>
          <w:highlight w:val="none"/>
        </w:rPr>
        <w:t>由于成交供应商原因导致重新采购的，应当承担支付代理费和专家评审费等费用在内的赔偿责任。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仿宋" w:hAnsi="仿宋" w:eastAsia="仿宋" w:cs="仿宋"/>
          <w:b/>
          <w:sz w:val="32"/>
          <w:highlight w:val="none"/>
        </w:rPr>
      </w:pPr>
    </w:p>
    <w:p>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七、合同授予</w:t>
      </w:r>
    </w:p>
    <w:p>
      <w:pPr>
        <w:pStyle w:val="28"/>
        <w:snapToGrid w:val="0"/>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pPr>
        <w:pStyle w:val="28"/>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highlight w:val="none"/>
        </w:rPr>
        <w:t>25. 合同的签订</w:t>
      </w:r>
    </w:p>
    <w:p>
      <w:pPr>
        <w:widowControl/>
        <w:shd w:val="clear" w:color="auto" w:fill="FFFFFF"/>
        <w:snapToGrid w:val="0"/>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w:t>
      </w:r>
      <w:r>
        <w:rPr>
          <w:rFonts w:hint="eastAsia" w:ascii="仿宋" w:hAnsi="仿宋" w:eastAsia="仿宋" w:cs="仿宋"/>
          <w:color w:val="auto"/>
          <w:kern w:val="0"/>
          <w:sz w:val="24"/>
          <w:highlight w:val="none"/>
          <w:lang w:val="en-US" w:eastAsia="zh-CN"/>
        </w:rPr>
        <w:t>起十个工作日内</w:t>
      </w:r>
      <w:r>
        <w:rPr>
          <w:rFonts w:hint="eastAsia" w:ascii="仿宋" w:hAnsi="仿宋" w:eastAsia="仿宋" w:cs="仿宋"/>
          <w:color w:val="auto"/>
          <w:kern w:val="0"/>
          <w:sz w:val="24"/>
          <w:highlight w:val="none"/>
        </w:rPr>
        <w:t>，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w:t>
      </w:r>
      <w:r>
        <w:rPr>
          <w:rFonts w:hint="eastAsia" w:ascii="仿宋" w:hAnsi="仿宋" w:eastAsia="仿宋" w:cs="仿宋"/>
          <w:kern w:val="0"/>
          <w:sz w:val="24"/>
          <w:highlight w:val="none"/>
        </w:rPr>
        <w:t>特殊情况外，原则上应当在成交通知书发出之日起10个工作日内，与成交供应商按照采购文件确定的事项签订政府采购合同。</w:t>
      </w:r>
    </w:p>
    <w:p>
      <w:pPr>
        <w:pStyle w:val="132"/>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2"/>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pPr>
        <w:pStyle w:val="132"/>
        <w:snapToGrid w:val="0"/>
        <w:spacing w:before="0"/>
        <w:ind w:firstLine="480"/>
        <w:rPr>
          <w:rFonts w:hint="eastAsia" w:ascii="仿宋" w:hAnsi="仿宋" w:eastAsia="仿宋" w:cs="仿宋"/>
          <w:highlight w:val="none"/>
        </w:rPr>
      </w:pPr>
      <w:r>
        <w:rPr>
          <w:rFonts w:hint="eastAsia" w:ascii="仿宋" w:hAnsi="仿宋" w:eastAsia="仿宋" w:cs="仿宋"/>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2"/>
        <w:snapToGrid w:val="0"/>
        <w:spacing w:before="0"/>
        <w:ind w:firstLine="480"/>
        <w:rPr>
          <w:rFonts w:hint="eastAsia" w:ascii="仿宋" w:hAnsi="仿宋" w:eastAsia="仿宋" w:cs="仿宋"/>
          <w:highlight w:val="none"/>
        </w:rPr>
      </w:pPr>
      <w:r>
        <w:rPr>
          <w:rFonts w:hint="eastAsia" w:ascii="仿宋" w:hAnsi="仿宋" w:eastAsia="仿宋" w:cs="仿宋"/>
          <w:highlight w:val="none"/>
        </w:rPr>
        <w:t>25.5采购合同由采购人与成交供应商根据采购文件、响应文件等内容通过政府采购电子交易平台在线签订，自动备案。</w:t>
      </w:r>
    </w:p>
    <w:p>
      <w:pPr>
        <w:pStyle w:val="28"/>
        <w:snapToGrid w:val="0"/>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pPr>
        <w:tabs>
          <w:tab w:val="left" w:pos="0"/>
        </w:tabs>
        <w:snapToGrid w:val="0"/>
        <w:spacing w:line="360" w:lineRule="auto"/>
        <w:ind w:firstLine="482"/>
        <w:rPr>
          <w:rFonts w:hint="eastAsia" w:ascii="仿宋" w:hAnsi="仿宋" w:eastAsia="仿宋" w:cs="仿宋"/>
          <w:sz w:val="24"/>
          <w:highlight w:val="none"/>
        </w:rPr>
      </w:pPr>
      <w:r>
        <w:rPr>
          <w:rFonts w:hint="eastAsia" w:ascii="仿宋" w:hAnsi="仿宋" w:eastAsia="仿宋" w:cs="仿宋"/>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napToGrid w:val="0"/>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w:t>
      </w:r>
      <w:r>
        <w:rPr>
          <w:rFonts w:hint="eastAsia" w:ascii="仿宋" w:hAnsi="仿宋" w:eastAsia="仿宋" w:cs="仿宋"/>
          <w:color w:val="auto"/>
          <w:sz w:val="24"/>
          <w:szCs w:val="20"/>
          <w:highlight w:val="none"/>
          <w:lang w:val="en-US" w:eastAsia="zh-CN"/>
        </w:rPr>
        <w:t>100</w:t>
      </w:r>
      <w:r>
        <w:rPr>
          <w:rFonts w:hint="eastAsia" w:ascii="仿宋" w:hAnsi="仿宋" w:eastAsia="仿宋" w:cs="仿宋"/>
          <w:color w:val="auto"/>
          <w:sz w:val="24"/>
          <w:szCs w:val="20"/>
          <w:highlight w:val="none"/>
        </w:rPr>
        <w:t>分以下或者暂无评分的，收取履约保证金不得高于合同金额</w:t>
      </w: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w:t>
      </w:r>
    </w:p>
    <w:p>
      <w:pPr>
        <w:pStyle w:val="5"/>
        <w:snapToGrid w:val="0"/>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highlight w:val="none"/>
        </w:rPr>
      </w:pPr>
    </w:p>
    <w:p>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八、电子交易活动的中止</w:t>
      </w:r>
    </w:p>
    <w:p>
      <w:pPr>
        <w:pStyle w:val="132"/>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7.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pPr>
        <w:pStyle w:val="132"/>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pPr>
        <w:pStyle w:val="132"/>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pPr>
        <w:pStyle w:val="132"/>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pPr>
        <w:pStyle w:val="132"/>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pPr>
        <w:pStyle w:val="132"/>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highlight w:val="none"/>
        </w:rPr>
      </w:pPr>
    </w:p>
    <w:p>
      <w:pPr>
        <w:snapToGrid w:val="0"/>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九、验收</w:t>
      </w:r>
    </w:p>
    <w:p>
      <w:pPr>
        <w:pStyle w:val="28"/>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29.验收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hint="eastAsia" w:ascii="仿宋" w:hAnsi="仿宋" w:eastAsia="仿宋" w:cs="仿宋"/>
          <w:kern w:val="0"/>
          <w:sz w:val="24"/>
          <w:highlight w:val="none"/>
        </w:rPr>
        <w:sectPr>
          <w:headerReference r:id="rId13" w:type="first"/>
          <w:footerReference r:id="rId16" w:type="first"/>
          <w:headerReference r:id="rId12" w:type="default"/>
          <w:footerReference r:id="rId14" w:type="default"/>
          <w:footerReference r:id="rId15" w:type="even"/>
          <w:pgSz w:w="11906" w:h="16838"/>
          <w:pgMar w:top="1440" w:right="1080" w:bottom="1440" w:left="1080" w:header="851" w:footer="992" w:gutter="0"/>
          <w:pgNumType w:fmt="decimal"/>
          <w:cols w:space="720" w:num="1"/>
          <w:titlePg/>
          <w:docGrid w:linePitch="312" w:charSpace="0"/>
        </w:sectPr>
      </w:pPr>
      <w:bookmarkStart w:id="16" w:name="_Hlt74729768"/>
      <w:bookmarkEnd w:id="16"/>
      <w:bookmarkStart w:id="17" w:name="_Hlt68072998"/>
      <w:bookmarkEnd w:id="17"/>
      <w:bookmarkStart w:id="18" w:name="_Hlt75236290"/>
      <w:bookmarkEnd w:id="18"/>
      <w:bookmarkStart w:id="19" w:name="_Hlt74730295"/>
      <w:bookmarkEnd w:id="19"/>
      <w:bookmarkStart w:id="20" w:name="_Hlt68057669"/>
      <w:bookmarkEnd w:id="20"/>
      <w:bookmarkStart w:id="21" w:name="_Hlt74707468"/>
      <w:bookmarkEnd w:id="21"/>
      <w:bookmarkStart w:id="22" w:name="_Hlt75236101"/>
      <w:bookmarkEnd w:id="22"/>
      <w:bookmarkStart w:id="23" w:name="_Hlt68072990"/>
      <w:bookmarkEnd w:id="23"/>
      <w:bookmarkStart w:id="24" w:name="_Hlt74714665"/>
      <w:bookmarkEnd w:id="24"/>
      <w:bookmarkStart w:id="25" w:name="_Hlt68403820"/>
      <w:bookmarkEnd w:id="25"/>
      <w:bookmarkStart w:id="26" w:name="_Hlt75236011"/>
      <w:bookmarkEnd w:id="26"/>
      <w:bookmarkStart w:id="27" w:name="_Hlt68073093"/>
      <w:bookmarkEnd w:id="27"/>
    </w:p>
    <w:p>
      <w:pPr>
        <w:numPr>
          <w:ilvl w:val="0"/>
          <w:numId w:val="2"/>
        </w:num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、总则</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1.本技术规范要求提出的是最低限度的基本技术要求，并未对所有技术细节作出规定，供应商应提供符合本技术要求和国家标准、行业标准的优质施工。</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提供的施工与本技术要求不一致时，供应商应在响应文件中予以说明，并由磋商小组鉴定供应商施工能否达到要求。如供应商没有在响应文件中提出异议，则视为供应商提供的施工完全按照本磋商文件要求。</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3.技术要求及标准的执行</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供的施工应标明所执行的质量标准，若同一标准已颁发新标准，则按最新标准执行。若同一施工同时有几个标准（国际标准、国家标准、行业标准、企业标准等），则按最高层次的标准执行。供应商须按国家有关规定及标准完成本项目所需做的所有施工。</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二、项目概况</w:t>
      </w:r>
    </w:p>
    <w:p>
      <w:pPr>
        <w:shd w:val="clear"/>
        <w:spacing w:line="360" w:lineRule="auto"/>
        <w:ind w:firstLine="120" w:firstLineChars="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采购项目：</w:t>
      </w:r>
      <w:r>
        <w:rPr>
          <w:rFonts w:hint="eastAsia" w:ascii="仿宋" w:hAnsi="仿宋" w:eastAsia="仿宋" w:cs="仿宋"/>
          <w:color w:val="auto"/>
          <w:sz w:val="24"/>
          <w:highlight w:val="none"/>
          <w:lang w:eastAsia="zh-CN"/>
        </w:rPr>
        <w:t>十二埭横河河道清淤工程</w:t>
      </w:r>
    </w:p>
    <w:p>
      <w:pPr>
        <w:shd w:val="clear"/>
        <w:spacing w:line="360" w:lineRule="auto"/>
        <w:ind w:firstLine="120" w:firstLineChars="5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▲采购预算：人民币</w:t>
      </w:r>
      <w:r>
        <w:rPr>
          <w:rFonts w:hint="eastAsia" w:ascii="仿宋" w:hAnsi="仿宋" w:eastAsia="仿宋" w:cs="仿宋"/>
          <w:color w:val="auto"/>
          <w:sz w:val="24"/>
          <w:highlight w:val="none"/>
          <w:lang w:val="en-US" w:eastAsia="zh-CN"/>
        </w:rPr>
        <w:t>3533892</w:t>
      </w:r>
      <w:r>
        <w:rPr>
          <w:rFonts w:hint="eastAsia" w:ascii="仿宋" w:hAnsi="仿宋" w:eastAsia="仿宋" w:cs="仿宋"/>
          <w:color w:val="auto"/>
          <w:sz w:val="24"/>
          <w:highlight w:val="none"/>
        </w:rPr>
        <w:t>元整</w:t>
      </w:r>
      <w:r>
        <w:rPr>
          <w:rFonts w:hint="eastAsia" w:ascii="仿宋" w:hAnsi="仿宋" w:eastAsia="仿宋" w:cs="仿宋"/>
          <w:b/>
          <w:color w:val="auto"/>
          <w:sz w:val="24"/>
          <w:highlight w:val="none"/>
          <w:lang w:val="en-US" w:eastAsia="zh-CN"/>
        </w:rPr>
        <w:t xml:space="preserve"> </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▲最高限价：人民币</w:t>
      </w:r>
      <w:r>
        <w:rPr>
          <w:rFonts w:hint="eastAsia" w:ascii="仿宋" w:hAnsi="仿宋" w:eastAsia="仿宋" w:cs="仿宋"/>
          <w:color w:val="auto"/>
          <w:sz w:val="24"/>
          <w:highlight w:val="none"/>
          <w:lang w:val="en-US" w:eastAsia="zh-CN"/>
        </w:rPr>
        <w:t>3533892</w:t>
      </w:r>
      <w:r>
        <w:rPr>
          <w:rFonts w:hint="eastAsia" w:ascii="仿宋" w:hAnsi="仿宋" w:eastAsia="仿宋" w:cs="仿宋"/>
          <w:color w:val="auto"/>
          <w:sz w:val="24"/>
          <w:highlight w:val="none"/>
        </w:rPr>
        <w:t>元整</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▲工期：</w:t>
      </w:r>
      <w:r>
        <w:rPr>
          <w:rFonts w:hint="eastAsia" w:ascii="仿宋" w:hAnsi="仿宋" w:eastAsia="仿宋" w:cs="仿宋"/>
          <w:color w:val="auto"/>
          <w:sz w:val="24"/>
          <w:highlight w:val="none"/>
          <w:lang w:val="en-US" w:eastAsia="zh-CN"/>
        </w:rPr>
        <w:t>90日历天</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▲质量目标：合格</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三、采购范围及要求</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1.采购范围：本工程为</w:t>
      </w:r>
      <w:r>
        <w:rPr>
          <w:rFonts w:hint="eastAsia" w:ascii="仿宋" w:hAnsi="仿宋" w:eastAsia="仿宋" w:cs="仿宋"/>
          <w:color w:val="auto"/>
          <w:sz w:val="24"/>
          <w:highlight w:val="none"/>
          <w:lang w:eastAsia="zh-CN"/>
        </w:rPr>
        <w:t>十二埭横河河道清淤工程</w:t>
      </w:r>
      <w:r>
        <w:rPr>
          <w:rFonts w:hint="eastAsia" w:ascii="仿宋" w:hAnsi="仿宋" w:eastAsia="仿宋" w:cs="仿宋"/>
          <w:color w:val="auto"/>
          <w:sz w:val="24"/>
          <w:highlight w:val="none"/>
        </w:rPr>
        <w:t>，主要工作内容为</w:t>
      </w:r>
      <w:r>
        <w:rPr>
          <w:rFonts w:hint="eastAsia" w:ascii="仿宋" w:hAnsi="仿宋" w:eastAsia="仿宋" w:cs="仿宋"/>
          <w:color w:val="auto"/>
          <w:sz w:val="24"/>
          <w:highlight w:val="none"/>
          <w:lang w:eastAsia="zh-CN"/>
        </w:rPr>
        <w:t>十二埭横河河道清淤工程</w:t>
      </w:r>
      <w:r>
        <w:rPr>
          <w:rFonts w:hint="eastAsia" w:ascii="仿宋" w:hAnsi="仿宋" w:eastAsia="仿宋" w:cs="仿宋"/>
          <w:color w:val="auto"/>
          <w:sz w:val="24"/>
          <w:highlight w:val="none"/>
        </w:rPr>
        <w:t>的竞争性磋商文件、工程量清单及施工图范围内的所有内容。</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采购要求：实行包工、包料、包质量、包工期、包安全文明施工总承包。</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3.质量要求：符合现行国家有关工程施工验收规范和标准的合格要求。</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四、其他</w:t>
      </w:r>
    </w:p>
    <w:p>
      <w:pPr>
        <w:shd w:val="clear"/>
        <w:spacing w:line="360" w:lineRule="auto"/>
        <w:ind w:firstLine="120" w:firstLineChars="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1.现行国家、省、市有关工程设计规范，强制性标准</w:t>
      </w:r>
      <w:r>
        <w:rPr>
          <w:rFonts w:hint="eastAsia" w:ascii="仿宋" w:hAnsi="仿宋" w:eastAsia="仿宋" w:cs="仿宋"/>
          <w:color w:val="auto"/>
          <w:sz w:val="24"/>
          <w:highlight w:val="none"/>
          <w:lang w:eastAsia="zh-CN"/>
        </w:rPr>
        <w:t>。</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2.与本工程有关的资料和供应商现场踏勘后的实际情况和业主要求。</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3.供应商应按第七章“工程量清单”的要求填写相应表格。</w:t>
      </w:r>
    </w:p>
    <w:p>
      <w:pPr>
        <w:shd w:val="clear"/>
        <w:spacing w:line="360" w:lineRule="auto"/>
        <w:ind w:firstLine="120" w:firstLineChars="50"/>
        <w:rPr>
          <w:rFonts w:hint="eastAsia" w:ascii="仿宋" w:hAnsi="仿宋" w:eastAsia="仿宋" w:cs="仿宋"/>
          <w:color w:val="0000FF"/>
          <w:sz w:val="24"/>
          <w:highlight w:val="none"/>
          <w:lang w:eastAsia="zh-CN"/>
        </w:rPr>
      </w:pPr>
      <w:r>
        <w:rPr>
          <w:rFonts w:hint="eastAsia" w:ascii="仿宋" w:hAnsi="仿宋" w:eastAsia="仿宋" w:cs="仿宋"/>
          <w:color w:val="auto"/>
          <w:sz w:val="24"/>
          <w:highlight w:val="none"/>
        </w:rPr>
        <w:t>4.计价方法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浙江省水利厅浙水建〔2019〕4号文颁发的《浙江省水利厅关于重新调整水利工程计价依据增值税税率的通知》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水利部办公厅《关于调整水利工程计价依据增值税计算标准的通知》办财涵[2019]448号、</w:t>
      </w:r>
      <w:r>
        <w:rPr>
          <w:rFonts w:hint="eastAsia" w:ascii="仿宋" w:hAnsi="仿宋" w:eastAsia="仿宋" w:cs="仿宋"/>
          <w:color w:val="auto"/>
          <w:sz w:val="24"/>
          <w:highlight w:val="none"/>
          <w:lang w:eastAsia="zh-CN"/>
        </w:rPr>
        <w:t>《浙江省水利工程造价计价依据（2021年）》（浙水建〔2021〕4号）、《浙江省水利水电工程概（预）算编制规定（2021年）》、《浙江省水利水电建筑工程预算定额（2021年）》、《浙江省水利水电工程施工机械台班费定额（2021年）》、国家、行业主管部门和地方其他有关工程造价的政策和规定，</w:t>
      </w:r>
      <w:r>
        <w:rPr>
          <w:rFonts w:hint="eastAsia" w:ascii="仿宋" w:hAnsi="仿宋" w:eastAsia="仿宋" w:cs="仿宋"/>
          <w:color w:val="auto"/>
          <w:sz w:val="24"/>
          <w:highlight w:val="none"/>
          <w:lang w:val="en-US" w:eastAsia="zh-CN"/>
        </w:rPr>
        <w:t>主要材料预算单价参考2023年11月杭州市（钱塘区）造价管理信息和市场调查价</w:t>
      </w:r>
      <w:r>
        <w:rPr>
          <w:rFonts w:hint="eastAsia" w:ascii="仿宋" w:hAnsi="仿宋" w:eastAsia="仿宋" w:cs="仿宋"/>
          <w:color w:val="auto"/>
          <w:sz w:val="24"/>
          <w:highlight w:val="none"/>
          <w:lang w:eastAsia="zh-CN"/>
        </w:rPr>
        <w:t>计算，其他材料预算单价按工程所在地区的市场价格水平，参照近期其他工程资料分析确定。实际市场价超过限价的价差在计取税金后列入相应项目的单价中。</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5.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6.措施项目（包括施工技术措施和施工组织措施）是为完成工程项目施工，发生于该工程施工前和施工过程中技术、生活、安全等方面的非工程实体项目。</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7.供应商应对所有的措施项目按“措施项目分析表”进行报价分析，措施费用为包干费用。</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8.规费是指国家及地方政府规定必须交纳的费用，包括工程排污费、社会保障费、住房公积金、危险作业意外伤害保险费等。</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.供应商需充分考虑以下影响因素，由此产生的费用计入磋商报价中：</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r>
        <w:rPr>
          <w:rFonts w:hint="eastAsia" w:ascii="仿宋" w:hAnsi="仿宋" w:eastAsia="仿宋" w:cs="仿宋"/>
          <w:sz w:val="24"/>
          <w:highlight w:val="none"/>
        </w:rPr>
        <w:t>本工程采用包工、包料、包工期、包质量、包安全的形式，根据中标价一次性 (固定单价) 包干，施工期间如遇国家政策性调价，市场材料价格发生变化等，本工程均不予调整</w:t>
      </w:r>
      <w:r>
        <w:rPr>
          <w:rFonts w:hint="eastAsia" w:ascii="仿宋" w:hAnsi="仿宋" w:eastAsia="仿宋" w:cs="仿宋"/>
          <w:spacing w:val="2"/>
          <w:sz w:val="24"/>
          <w:highlight w:val="none"/>
        </w:rPr>
        <w:t>。若施工安装材料及工程质量不符合合同约定的，则</w:t>
      </w:r>
      <w:r>
        <w:rPr>
          <w:rFonts w:hint="eastAsia" w:ascii="仿宋" w:hAnsi="仿宋" w:eastAsia="仿宋" w:cs="仿宋"/>
          <w:spacing w:val="2"/>
          <w:sz w:val="24"/>
          <w:highlight w:val="none"/>
          <w:lang w:eastAsia="zh-CN"/>
        </w:rPr>
        <w:t>中标人</w:t>
      </w:r>
      <w:r>
        <w:rPr>
          <w:rFonts w:hint="eastAsia" w:ascii="仿宋" w:hAnsi="仿宋" w:eastAsia="仿宋" w:cs="仿宋"/>
          <w:spacing w:val="2"/>
          <w:sz w:val="24"/>
          <w:highlight w:val="none"/>
        </w:rPr>
        <w:t>应进行免费更换并无条件修复，工期不予顺延；工程费用的结算最终以结算审计价为准。若遇到工程变更，经甲方同意，双方签订工程联系单，</w:t>
      </w:r>
      <w:r>
        <w:rPr>
          <w:rFonts w:hint="eastAsia" w:ascii="仿宋" w:hAnsi="仿宋" w:eastAsia="仿宋" w:cs="仿宋"/>
          <w:sz w:val="24"/>
          <w:highlight w:val="none"/>
        </w:rPr>
        <w:t>设计变更工程量方可按实调整，但均按中标让利率让利。</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spacing w:val="2"/>
          <w:sz w:val="24"/>
          <w:highlight w:val="none"/>
        </w:rPr>
        <w:t>本工程由</w:t>
      </w:r>
      <w:r>
        <w:rPr>
          <w:rFonts w:hint="eastAsia" w:ascii="仿宋" w:hAnsi="仿宋" w:eastAsia="仿宋" w:cs="仿宋"/>
          <w:spacing w:val="2"/>
          <w:sz w:val="24"/>
          <w:highlight w:val="none"/>
          <w:lang w:eastAsia="zh-CN"/>
        </w:rPr>
        <w:t>中标人</w:t>
      </w:r>
      <w:r>
        <w:rPr>
          <w:rFonts w:hint="eastAsia" w:ascii="仿宋" w:hAnsi="仿宋" w:eastAsia="仿宋" w:cs="仿宋"/>
          <w:spacing w:val="2"/>
          <w:sz w:val="24"/>
          <w:highlight w:val="none"/>
        </w:rPr>
        <w:t>实行总承包，不得转包，一旦发现转包者，甲方有权提前解除或者终止承包合同，并向</w:t>
      </w:r>
      <w:r>
        <w:rPr>
          <w:rFonts w:hint="eastAsia" w:ascii="仿宋" w:hAnsi="仿宋" w:eastAsia="仿宋" w:cs="仿宋"/>
          <w:spacing w:val="2"/>
          <w:sz w:val="24"/>
          <w:highlight w:val="none"/>
          <w:lang w:eastAsia="zh-CN"/>
        </w:rPr>
        <w:t>中标人</w:t>
      </w:r>
      <w:r>
        <w:rPr>
          <w:rFonts w:hint="eastAsia" w:ascii="仿宋" w:hAnsi="仿宋" w:eastAsia="仿宋" w:cs="仿宋"/>
          <w:spacing w:val="2"/>
          <w:sz w:val="24"/>
          <w:highlight w:val="none"/>
        </w:rPr>
        <w:t>索赔合同价10%的违约金。部分专业工程</w:t>
      </w:r>
      <w:r>
        <w:rPr>
          <w:rFonts w:hint="eastAsia" w:ascii="仿宋" w:hAnsi="仿宋" w:eastAsia="仿宋" w:cs="仿宋"/>
          <w:spacing w:val="2"/>
          <w:sz w:val="24"/>
          <w:highlight w:val="none"/>
          <w:lang w:eastAsia="zh-CN"/>
        </w:rPr>
        <w:t>中标人</w:t>
      </w:r>
      <w:r>
        <w:rPr>
          <w:rFonts w:hint="eastAsia" w:ascii="仿宋" w:hAnsi="仿宋" w:eastAsia="仿宋" w:cs="仿宋"/>
          <w:spacing w:val="2"/>
          <w:sz w:val="24"/>
          <w:highlight w:val="none"/>
        </w:rPr>
        <w:t>无资质或有资质但资质等级未达到该工程专业资质要求的，允许分包，但必须征得甲方书面同意后，</w:t>
      </w:r>
      <w:r>
        <w:rPr>
          <w:rFonts w:hint="eastAsia" w:ascii="仿宋" w:hAnsi="仿宋" w:eastAsia="仿宋" w:cs="仿宋"/>
          <w:spacing w:val="2"/>
          <w:sz w:val="24"/>
          <w:highlight w:val="none"/>
          <w:lang w:eastAsia="zh-CN"/>
        </w:rPr>
        <w:t>中标人</w:t>
      </w:r>
      <w:r>
        <w:rPr>
          <w:rFonts w:hint="eastAsia" w:ascii="仿宋" w:hAnsi="仿宋" w:eastAsia="仿宋" w:cs="仿宋"/>
          <w:spacing w:val="2"/>
          <w:sz w:val="24"/>
          <w:highlight w:val="none"/>
        </w:rPr>
        <w:t>方可分包给具有相应资质的单位，</w:t>
      </w:r>
      <w:r>
        <w:rPr>
          <w:rFonts w:hint="eastAsia" w:ascii="仿宋" w:hAnsi="仿宋" w:eastAsia="仿宋" w:cs="仿宋"/>
          <w:spacing w:val="2"/>
          <w:sz w:val="24"/>
          <w:highlight w:val="none"/>
          <w:lang w:eastAsia="zh-CN"/>
        </w:rPr>
        <w:t>中标人</w:t>
      </w:r>
      <w:r>
        <w:rPr>
          <w:rFonts w:hint="eastAsia" w:ascii="仿宋" w:hAnsi="仿宋" w:eastAsia="仿宋" w:cs="仿宋"/>
          <w:spacing w:val="2"/>
          <w:sz w:val="24"/>
          <w:highlight w:val="none"/>
        </w:rPr>
        <w:t>与分包单位对该分包工程承担连带责任。</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投标人在投标文件中明确的项目负责人必须到位，不能更换，同时，项目负责人必须在施工现场到岗，且每月至少要到岗25天，到岗期间每天不少于8小时，否则视为未到岗，缺席一天扣300元，并列入考核内容，和招标人另行签订管理合同。中标人在收到中标通知书后2天内必须进场施工，收取中标通知书后5天内不进场施工招标人可终止合同且扣除全部履约保证金（招标人同意延迟开工除外），期间发生的一切费用由中标人承担。中标人拒绝或者拖延与招标人签订合同的，招标人有权取消中标人的中标资格。</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、进场材料须由监理单位验收合格后方可施工。</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、中标人在履约合同过程中，</w:t>
      </w:r>
      <w:r>
        <w:rPr>
          <w:rFonts w:hint="eastAsia" w:ascii="仿宋" w:hAnsi="仿宋" w:eastAsia="仿宋" w:cs="仿宋"/>
          <w:color w:val="auto"/>
          <w:sz w:val="24"/>
          <w:highlight w:val="none"/>
          <w:lang w:eastAsia="zh-CN"/>
        </w:rPr>
        <w:t>若出现一次以上施工</w:t>
      </w:r>
      <w:r>
        <w:rPr>
          <w:rFonts w:hint="eastAsia" w:ascii="仿宋" w:hAnsi="仿宋" w:eastAsia="仿宋" w:cs="仿宋"/>
          <w:color w:val="auto"/>
          <w:sz w:val="24"/>
          <w:highlight w:val="none"/>
        </w:rPr>
        <w:t>检查不合格（包括质量、安全、工期等），招标人有权终止合同。</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、安全文明施工要求</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1、施工现场用水、用电、施工便道由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自行解决，费用由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自理。</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2、施工期间与各经营户关系的协调由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负责。</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3、</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必须做好与有关专业管线单位的配合工作。</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4、</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必须严格遵守安全、文明施工的操作规程，完善相关制度，落实安全措施，做好各项保险等工作，在工程开展期间发生安全事故均由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负责。</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5、本工程凡涉及治安、市政、市容、环保、交通、计划生育、所在地承包户关系协调等发生的问题和费用均由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负责解决并承担经济支出。</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6、施工时不得损坏一切公共设施、道路周边承包户个人财物等，如有损坏必须照价赔偿或修复，费用由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承担。</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7、施工期间应在显眼且安全的地方设置告示牌，告示牌的内容包括施工内容、施工工期、施工单位、项目负责人姓名与联系方式等。</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8、施工期间，实行封闭管理，施工地段和施工设计范围必须设置有效安全设施和标志、标牌、警示灯，施工场地内外（材料、人员、车辆交通等）的安全责任由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负责，如发生各种事故，一切法律及经济责任由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承担，与甲方无涉。工程施工中和竣工后因质量问题而引发的事故一切法律责任及经济责任由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承担。</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9、现场用电的安装、设置、使用必须符合规范要求，现场用电接线及安装电器作业必须由电工完成，他人不得随意乱接乱挂，发现电线老化，破皮等要及时整改，由此引发的事故一切法律责任及经济责任由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承担。</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10、在施工过程中应注意环境卫生，确保工地现场周围的清洁、施工废料及时清理干净，由此产生的费用由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承担，如</w:t>
      </w:r>
      <w:r>
        <w:rPr>
          <w:rFonts w:hint="eastAsia" w:ascii="仿宋" w:hAnsi="仿宋" w:eastAsia="仿宋" w:cs="仿宋"/>
          <w:spacing w:val="2"/>
          <w:sz w:val="24"/>
          <w:szCs w:val="24"/>
          <w:highlight w:val="none"/>
          <w:lang w:eastAsia="zh-CN"/>
        </w:rPr>
        <w:t>中标人</w:t>
      </w:r>
      <w:r>
        <w:rPr>
          <w:rFonts w:hint="eastAsia" w:ascii="仿宋" w:hAnsi="仿宋" w:eastAsia="仿宋" w:cs="仿宋"/>
          <w:spacing w:val="2"/>
          <w:sz w:val="24"/>
          <w:szCs w:val="24"/>
          <w:highlight w:val="none"/>
        </w:rPr>
        <w:t>未按时清理的，甲方有权委托第三人清理，由此产生的所有费用由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承担。</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11、所有施工工作人员的用工手续、保险手续需齐全，费用由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承担，施工人员上下班途中及施工期间发生的一切安全事故责任由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自行负责，与甲方无涉。施工现场必须按规定正确戴好安全帽；各相关工种必须按规定持证上岗。施工期间甲方有权随时对施工现场和施工人员相关资质进行的监督检查，发现违章作业及危及人身、设备安全时，可及时制止、纠正，并向</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提出整改要求。</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必须接受甲方的监督、检查，对甲方提出的安全整改意见必须及时整改，若</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未及时整改的，甲方有权要求停工或者解除本合同，</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应承担中标造价的10%的违约金。</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12、</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应委派专人负责交通安全，引导过往车辆和行人通行，确保无交通安全事故发生，如发生交通安全事故，一切法律及经济责任由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承担，与甲方无涉。</w:t>
      </w:r>
    </w:p>
    <w:p>
      <w:pPr>
        <w:keepNext w:val="0"/>
        <w:keepLines w:val="0"/>
        <w:pageBreakBefore w:val="0"/>
        <w:widowControl w:val="0"/>
        <w:shd w:val="clear"/>
        <w:kinsoku/>
        <w:wordWrap/>
        <w:overflowPunct/>
        <w:topLinePunct w:val="0"/>
        <w:bidi w:val="0"/>
        <w:adjustRightInd/>
        <w:snapToGrid/>
        <w:spacing w:beforeAutospacing="0" w:afterAutospacing="0" w:line="360" w:lineRule="auto"/>
        <w:ind w:left="0" w:leftChars="0" w:right="0" w:rightChars="0" w:firstLine="48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pacing w:val="2"/>
          <w:sz w:val="24"/>
          <w:szCs w:val="24"/>
          <w:highlight w:val="none"/>
        </w:rPr>
        <w:t>13、施工现场用水、用电、施工便道由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自行解决，费用自理。施工现场、土方及建筑材料运输途中等与本工程相关的所有安全事宜均由</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负责，并承担由此支出的一切费用，若由甲方先行承担的，甲方有权向</w:t>
      </w:r>
      <w:r>
        <w:rPr>
          <w:rFonts w:hint="eastAsia" w:ascii="仿宋" w:hAnsi="仿宋" w:eastAsia="仿宋" w:cs="仿宋"/>
          <w:spacing w:val="2"/>
          <w:sz w:val="24"/>
          <w:szCs w:val="24"/>
          <w:highlight w:val="none"/>
          <w:lang w:val="en-US" w:eastAsia="zh-CN"/>
        </w:rPr>
        <w:t>中标人</w:t>
      </w:r>
      <w:r>
        <w:rPr>
          <w:rFonts w:hint="eastAsia" w:ascii="仿宋" w:hAnsi="仿宋" w:eastAsia="仿宋" w:cs="仿宋"/>
          <w:spacing w:val="2"/>
          <w:sz w:val="24"/>
          <w:szCs w:val="24"/>
          <w:highlight w:val="none"/>
        </w:rPr>
        <w:t>追偿并可在工程款中优先扣除。</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、商务要求</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工期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90日历天</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质保期(保修期)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w:t>
      </w:r>
    </w:p>
    <w:p>
      <w:pPr>
        <w:shd w:val="clear"/>
        <w:spacing w:line="360" w:lineRule="auto"/>
        <w:ind w:firstLine="120" w:firstLineChars="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工程款支付及结算：工程竣工验收合格后退还履约保证金（</w:t>
      </w:r>
      <w:r>
        <w:rPr>
          <w:rFonts w:hint="eastAsia" w:ascii="仿宋" w:hAnsi="仿宋" w:eastAsia="仿宋" w:cs="仿宋"/>
          <w:sz w:val="24"/>
          <w:highlight w:val="none"/>
        </w:rPr>
        <w:t>履约保证金由乙方自本合同签订当日缴纳，不计息</w:t>
      </w:r>
      <w:r>
        <w:rPr>
          <w:rFonts w:hint="eastAsia" w:ascii="仿宋" w:hAnsi="仿宋" w:eastAsia="仿宋" w:cs="仿宋"/>
          <w:color w:val="auto"/>
          <w:sz w:val="24"/>
          <w:highlight w:val="none"/>
          <w:lang w:val="en-US" w:eastAsia="zh-CN"/>
        </w:rPr>
        <w:t>）；合同生效及具备实施条件后7个工作日内由乙方出具预付款保函（合同价的40%）后甲方支付合同价的40%作为预付款，竣工验收合格后支付至合同价的70%；工程审计完成、完整的资料归档后支付至审计价的98.5%，剩余1.5%的尾款，在工程竣工验收合格之日起满壹年后结清。质保期内的养护和维保由中标单位负责。</w:t>
      </w:r>
    </w:p>
    <w:p>
      <w:pPr>
        <w:pStyle w:val="25"/>
        <w:shd w:val="clear"/>
        <w:rPr>
          <w:rFonts w:hint="eastAsia" w:ascii="仿宋" w:hAnsi="仿宋" w:eastAsia="仿宋" w:cs="仿宋"/>
          <w:snapToGrid/>
          <w:color w:val="auto"/>
          <w:szCs w:val="24"/>
          <w:highlight w:val="none"/>
          <w:lang w:val="en-US"/>
        </w:rPr>
      </w:pPr>
      <w:r>
        <w:rPr>
          <w:rFonts w:hint="eastAsia" w:ascii="仿宋" w:hAnsi="仿宋" w:eastAsia="仿宋" w:cs="仿宋"/>
          <w:snapToGrid/>
          <w:color w:val="auto"/>
          <w:szCs w:val="24"/>
          <w:highlight w:val="none"/>
          <w:lang w:val="en-US"/>
        </w:rPr>
        <w:t>其它详见合同条款格式部分</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、其他要求</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1.本磋商文件中带“▲”的条款内容，为本次磋商的实质性内容，供应商必须全部响应，否则将作无效标处理。“★”的条款内容为重要性条款。</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2.磋商响应供应商认为优于磋商需求的其他相关证明材料。</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3.磋商报价要求：总报价指包括为完成本项目服务所支付的人工费、材料费、机械费、制作标书费、税费及其他一切费用。</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4.文件中所提的是基本服务要求，供应商应根据相关法律法规及采购人机构特点，提供更为完善的服务。</w:t>
      </w:r>
    </w:p>
    <w:p>
      <w:pPr>
        <w:rPr>
          <w:rFonts w:hint="eastAsia" w:ascii="仿宋" w:hAnsi="仿宋" w:eastAsia="仿宋" w:cs="仿宋"/>
          <w:sz w:val="24"/>
          <w:highlight w:val="none"/>
        </w:rPr>
      </w:pPr>
      <w:r>
        <w:rPr>
          <w:rFonts w:hint="eastAsia" w:ascii="仿宋" w:hAnsi="仿宋" w:eastAsia="仿宋" w:cs="仿宋"/>
          <w:sz w:val="24"/>
          <w:highlight w:val="none"/>
        </w:rPr>
        <w:br w:type="page"/>
      </w:r>
    </w:p>
    <w:p>
      <w:pPr>
        <w:pStyle w:val="25"/>
        <w:rPr>
          <w:rFonts w:hint="eastAsia"/>
          <w:highlight w:val="none"/>
        </w:rPr>
      </w:pPr>
    </w:p>
    <w:p>
      <w:pPr>
        <w:numPr>
          <w:ilvl w:val="0"/>
          <w:numId w:val="2"/>
        </w:numPr>
        <w:snapToGrid w:val="0"/>
        <w:spacing w:line="360" w:lineRule="auto"/>
        <w:ind w:left="0" w:leftChars="0" w:firstLine="0" w:firstLine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bookmarkStart w:id="28" w:name="_Toc184310283"/>
      <w:bookmarkEnd w:id="28"/>
      <w:bookmarkStart w:id="29" w:name="_Toc184308093"/>
      <w:bookmarkEnd w:id="29"/>
      <w:bookmarkStart w:id="30" w:name="_Toc184310332"/>
      <w:bookmarkEnd w:id="30"/>
      <w:bookmarkStart w:id="31" w:name="_Toc184314438"/>
      <w:bookmarkEnd w:id="31"/>
      <w:bookmarkStart w:id="32" w:name="_Toc184308044"/>
      <w:bookmarkEnd w:id="32"/>
      <w:bookmarkStart w:id="33" w:name="_Toc184310273"/>
      <w:bookmarkEnd w:id="33"/>
      <w:bookmarkStart w:id="34" w:name="_Toc184313305"/>
      <w:bookmarkEnd w:id="34"/>
      <w:bookmarkStart w:id="35" w:name="_Toc184314433"/>
      <w:bookmarkEnd w:id="35"/>
      <w:bookmarkStart w:id="36" w:name="_Toc184314472"/>
      <w:bookmarkEnd w:id="36"/>
      <w:bookmarkStart w:id="37" w:name="_Toc184310335"/>
      <w:bookmarkEnd w:id="37"/>
      <w:bookmarkStart w:id="38" w:name="_Toc184310312"/>
      <w:bookmarkEnd w:id="38"/>
      <w:bookmarkStart w:id="39" w:name="_Toc184313282"/>
      <w:bookmarkEnd w:id="39"/>
      <w:bookmarkStart w:id="40" w:name="_Toc184313309"/>
      <w:bookmarkEnd w:id="40"/>
      <w:bookmarkStart w:id="41" w:name="_Toc184314428"/>
      <w:bookmarkEnd w:id="41"/>
      <w:bookmarkStart w:id="42" w:name="_Toc184313242"/>
      <w:bookmarkEnd w:id="42"/>
      <w:bookmarkStart w:id="43" w:name="_Toc184314410"/>
      <w:bookmarkEnd w:id="43"/>
      <w:bookmarkStart w:id="44" w:name="_Toc184314432"/>
      <w:bookmarkEnd w:id="44"/>
      <w:bookmarkStart w:id="45" w:name="_Toc184313255"/>
      <w:bookmarkEnd w:id="45"/>
      <w:bookmarkStart w:id="46" w:name="_Toc184310315"/>
      <w:bookmarkEnd w:id="46"/>
      <w:bookmarkStart w:id="47" w:name="_Toc184310276"/>
      <w:bookmarkEnd w:id="47"/>
      <w:bookmarkStart w:id="48" w:name="_Toc184313244"/>
      <w:bookmarkEnd w:id="48"/>
      <w:bookmarkStart w:id="49" w:name="_Toc184310324"/>
      <w:bookmarkEnd w:id="49"/>
      <w:bookmarkStart w:id="50" w:name="_Toc184310278"/>
      <w:bookmarkEnd w:id="50"/>
      <w:bookmarkStart w:id="51" w:name="_Toc184314460"/>
      <w:bookmarkEnd w:id="51"/>
      <w:bookmarkStart w:id="52" w:name="_Toc184310337"/>
      <w:bookmarkEnd w:id="52"/>
      <w:bookmarkStart w:id="53" w:name="_Toc184314439"/>
      <w:bookmarkEnd w:id="53"/>
      <w:bookmarkStart w:id="54" w:name="_Toc184310310"/>
      <w:bookmarkEnd w:id="54"/>
      <w:bookmarkStart w:id="55" w:name="_Toc184314471"/>
      <w:bookmarkEnd w:id="55"/>
      <w:bookmarkStart w:id="56" w:name="_Toc184314475"/>
      <w:bookmarkEnd w:id="56"/>
      <w:bookmarkStart w:id="57" w:name="_Toc184310303"/>
      <w:bookmarkEnd w:id="57"/>
      <w:bookmarkStart w:id="58" w:name="_Toc184314430"/>
      <w:bookmarkEnd w:id="58"/>
      <w:bookmarkStart w:id="59" w:name="_Toc184308103"/>
      <w:bookmarkEnd w:id="59"/>
      <w:bookmarkStart w:id="60" w:name="_Toc184313310"/>
      <w:bookmarkEnd w:id="60"/>
      <w:bookmarkStart w:id="61" w:name="_Toc184313285"/>
      <w:bookmarkEnd w:id="61"/>
      <w:bookmarkStart w:id="62" w:name="_Toc184313290"/>
      <w:bookmarkEnd w:id="62"/>
      <w:bookmarkStart w:id="63" w:name="_Toc184308041"/>
      <w:bookmarkEnd w:id="63"/>
      <w:bookmarkStart w:id="64" w:name="_Toc184313245"/>
      <w:bookmarkEnd w:id="64"/>
      <w:bookmarkStart w:id="65" w:name="_Toc184313268"/>
      <w:bookmarkEnd w:id="65"/>
      <w:bookmarkStart w:id="66" w:name="_Toc184312090"/>
      <w:bookmarkEnd w:id="66"/>
      <w:bookmarkStart w:id="67" w:name="_Toc184308057"/>
      <w:bookmarkEnd w:id="67"/>
      <w:bookmarkStart w:id="68" w:name="_Toc184308058"/>
      <w:bookmarkEnd w:id="68"/>
      <w:bookmarkStart w:id="69" w:name="_Toc184314435"/>
      <w:bookmarkEnd w:id="69"/>
      <w:bookmarkStart w:id="70" w:name="_Toc184314444"/>
      <w:bookmarkEnd w:id="70"/>
      <w:bookmarkStart w:id="71" w:name="_Toc184312127"/>
      <w:bookmarkEnd w:id="71"/>
      <w:bookmarkStart w:id="72" w:name="_Toc184312067"/>
      <w:bookmarkEnd w:id="72"/>
      <w:bookmarkStart w:id="73" w:name="_Toc184308100"/>
      <w:bookmarkEnd w:id="73"/>
      <w:bookmarkStart w:id="74" w:name="_Toc184314463"/>
      <w:bookmarkEnd w:id="74"/>
      <w:bookmarkStart w:id="75" w:name="_Toc184314431"/>
      <w:bookmarkEnd w:id="75"/>
      <w:bookmarkStart w:id="76" w:name="_Toc184314474"/>
      <w:bookmarkEnd w:id="76"/>
      <w:bookmarkStart w:id="77" w:name="_Toc184313280"/>
      <w:bookmarkEnd w:id="77"/>
      <w:bookmarkStart w:id="78" w:name="_Toc184314473"/>
      <w:bookmarkEnd w:id="78"/>
      <w:bookmarkStart w:id="79" w:name="_Toc184313240"/>
      <w:bookmarkEnd w:id="79"/>
      <w:bookmarkStart w:id="80" w:name="_Toc184308060"/>
      <w:bookmarkEnd w:id="80"/>
      <w:bookmarkStart w:id="81" w:name="_Toc184314429"/>
      <w:bookmarkEnd w:id="81"/>
      <w:bookmarkStart w:id="82" w:name="_Toc184308072"/>
      <w:bookmarkEnd w:id="82"/>
      <w:bookmarkStart w:id="83" w:name="_Toc184313239"/>
      <w:bookmarkEnd w:id="83"/>
      <w:bookmarkStart w:id="84" w:name="_Toc184313241"/>
      <w:bookmarkEnd w:id="84"/>
      <w:bookmarkStart w:id="85" w:name="_Toc184313248"/>
      <w:bookmarkEnd w:id="85"/>
      <w:bookmarkStart w:id="86" w:name="_Toc184308083"/>
      <w:bookmarkEnd w:id="86"/>
      <w:bookmarkStart w:id="87" w:name="_Toc184308101"/>
      <w:bookmarkEnd w:id="87"/>
      <w:bookmarkStart w:id="88" w:name="_Toc184314448"/>
      <w:bookmarkEnd w:id="88"/>
      <w:bookmarkStart w:id="89" w:name="_Toc184310331"/>
      <w:bookmarkEnd w:id="89"/>
      <w:bookmarkStart w:id="90" w:name="_Toc184308077"/>
      <w:bookmarkEnd w:id="90"/>
      <w:bookmarkStart w:id="91" w:name="_Toc184310318"/>
      <w:bookmarkEnd w:id="91"/>
      <w:bookmarkStart w:id="92" w:name="_Toc184314450"/>
      <w:bookmarkEnd w:id="92"/>
      <w:bookmarkStart w:id="93" w:name="_Toc184312082"/>
      <w:bookmarkEnd w:id="93"/>
      <w:bookmarkStart w:id="94" w:name="_Toc184314481"/>
      <w:bookmarkEnd w:id="94"/>
      <w:bookmarkStart w:id="95" w:name="_Toc184310285"/>
      <w:bookmarkEnd w:id="95"/>
      <w:bookmarkStart w:id="96" w:name="_Toc184310338"/>
      <w:bookmarkEnd w:id="96"/>
      <w:bookmarkStart w:id="97" w:name="_Toc184310294"/>
      <w:bookmarkEnd w:id="97"/>
      <w:bookmarkStart w:id="98" w:name="_Toc184313292"/>
      <w:bookmarkEnd w:id="98"/>
      <w:bookmarkStart w:id="99" w:name="_Toc184312121"/>
      <w:bookmarkEnd w:id="99"/>
      <w:bookmarkStart w:id="100" w:name="_Toc184312085"/>
      <w:bookmarkEnd w:id="100"/>
      <w:bookmarkStart w:id="101" w:name="_Toc184314453"/>
      <w:bookmarkEnd w:id="101"/>
      <w:bookmarkStart w:id="102" w:name="_Toc184308105"/>
      <w:bookmarkEnd w:id="102"/>
      <w:bookmarkStart w:id="103" w:name="_Toc184312104"/>
      <w:bookmarkEnd w:id="103"/>
      <w:bookmarkStart w:id="104" w:name="_Toc184312095"/>
      <w:bookmarkEnd w:id="104"/>
      <w:bookmarkStart w:id="105" w:name="_Toc184314421"/>
      <w:bookmarkEnd w:id="105"/>
      <w:bookmarkStart w:id="106" w:name="_Toc184314462"/>
      <w:bookmarkEnd w:id="106"/>
      <w:bookmarkStart w:id="107" w:name="_Toc184314468"/>
      <w:bookmarkEnd w:id="107"/>
      <w:bookmarkStart w:id="108" w:name="_Toc184312073"/>
      <w:bookmarkEnd w:id="108"/>
      <w:bookmarkStart w:id="109" w:name="_Toc184313243"/>
      <w:bookmarkEnd w:id="109"/>
      <w:bookmarkStart w:id="110" w:name="_Toc184313286"/>
      <w:bookmarkEnd w:id="110"/>
      <w:bookmarkStart w:id="111" w:name="_Toc184312138"/>
      <w:bookmarkEnd w:id="111"/>
      <w:bookmarkStart w:id="112" w:name="_Toc184313281"/>
      <w:bookmarkEnd w:id="112"/>
      <w:bookmarkStart w:id="113" w:name="_Toc184312069"/>
      <w:bookmarkEnd w:id="113"/>
      <w:bookmarkStart w:id="114" w:name="_Toc184314417"/>
      <w:bookmarkEnd w:id="114"/>
      <w:bookmarkStart w:id="115" w:name="_Toc184314465"/>
      <w:bookmarkEnd w:id="115"/>
      <w:bookmarkStart w:id="116" w:name="_Toc184314442"/>
      <w:bookmarkEnd w:id="116"/>
      <w:bookmarkStart w:id="117" w:name="_Toc184314436"/>
      <w:bookmarkEnd w:id="117"/>
      <w:bookmarkStart w:id="118" w:name="_Toc184312087"/>
      <w:bookmarkEnd w:id="118"/>
      <w:bookmarkStart w:id="119" w:name="_Toc184314467"/>
      <w:bookmarkEnd w:id="119"/>
      <w:bookmarkStart w:id="120" w:name="_Toc184313277"/>
      <w:bookmarkEnd w:id="120"/>
      <w:bookmarkStart w:id="121" w:name="_Toc184308054"/>
      <w:bookmarkEnd w:id="121"/>
      <w:bookmarkStart w:id="122" w:name="_Toc184313287"/>
      <w:bookmarkEnd w:id="122"/>
      <w:bookmarkStart w:id="123" w:name="_Toc184310323"/>
      <w:bookmarkEnd w:id="123"/>
      <w:bookmarkStart w:id="124" w:name="_Toc184312130"/>
      <w:bookmarkEnd w:id="124"/>
      <w:bookmarkStart w:id="125" w:name="_Toc184313260"/>
      <w:bookmarkEnd w:id="125"/>
      <w:bookmarkStart w:id="126" w:name="_Toc184308081"/>
      <w:bookmarkEnd w:id="126"/>
      <w:bookmarkStart w:id="127" w:name="_Toc184312093"/>
      <w:bookmarkEnd w:id="127"/>
      <w:bookmarkStart w:id="128" w:name="_Toc184310280"/>
      <w:bookmarkEnd w:id="128"/>
      <w:bookmarkStart w:id="129" w:name="_Toc184312131"/>
      <w:bookmarkEnd w:id="129"/>
      <w:bookmarkStart w:id="130" w:name="_Toc184312098"/>
      <w:bookmarkEnd w:id="130"/>
      <w:bookmarkStart w:id="131" w:name="_Toc184308047"/>
      <w:bookmarkEnd w:id="131"/>
      <w:bookmarkStart w:id="132" w:name="_Toc184312083"/>
      <w:bookmarkEnd w:id="132"/>
      <w:bookmarkStart w:id="133" w:name="_Toc184308084"/>
      <w:bookmarkEnd w:id="133"/>
      <w:bookmarkStart w:id="134" w:name="_Toc184312134"/>
      <w:bookmarkEnd w:id="134"/>
      <w:bookmarkStart w:id="135" w:name="_Toc184310308"/>
      <w:bookmarkEnd w:id="135"/>
      <w:bookmarkStart w:id="136" w:name="_Toc184312075"/>
      <w:bookmarkEnd w:id="136"/>
      <w:bookmarkStart w:id="137" w:name="_Toc184308092"/>
      <w:bookmarkEnd w:id="137"/>
      <w:bookmarkStart w:id="138" w:name="_Toc184314476"/>
      <w:bookmarkEnd w:id="138"/>
      <w:bookmarkStart w:id="139" w:name="_Toc184308075"/>
      <w:bookmarkEnd w:id="139"/>
      <w:bookmarkStart w:id="140" w:name="_Toc184313266"/>
      <w:bookmarkEnd w:id="140"/>
      <w:bookmarkStart w:id="141" w:name="_Toc184310295"/>
      <w:bookmarkEnd w:id="141"/>
      <w:bookmarkStart w:id="142" w:name="_Toc184308078"/>
      <w:bookmarkEnd w:id="142"/>
      <w:bookmarkStart w:id="143" w:name="_Toc184310299"/>
      <w:bookmarkEnd w:id="143"/>
      <w:bookmarkStart w:id="144" w:name="_Toc184308061"/>
      <w:bookmarkEnd w:id="144"/>
      <w:bookmarkStart w:id="145" w:name="_Toc184310289"/>
      <w:bookmarkEnd w:id="145"/>
      <w:bookmarkStart w:id="146" w:name="_Toc184310281"/>
      <w:bookmarkEnd w:id="146"/>
      <w:bookmarkStart w:id="147" w:name="_Toc184313296"/>
      <w:bookmarkEnd w:id="147"/>
      <w:bookmarkStart w:id="148" w:name="_Toc184312088"/>
      <w:bookmarkEnd w:id="148"/>
      <w:bookmarkStart w:id="149" w:name="_Toc184310336"/>
      <w:bookmarkEnd w:id="149"/>
      <w:bookmarkStart w:id="150" w:name="_Toc184314413"/>
      <w:bookmarkEnd w:id="150"/>
      <w:bookmarkStart w:id="151" w:name="_Toc184313273"/>
      <w:bookmarkEnd w:id="151"/>
      <w:bookmarkStart w:id="152" w:name="_Toc184310311"/>
      <w:bookmarkEnd w:id="152"/>
      <w:bookmarkStart w:id="153" w:name="_Toc184308086"/>
      <w:bookmarkEnd w:id="153"/>
      <w:bookmarkStart w:id="154" w:name="_Toc184308095"/>
      <w:bookmarkEnd w:id="154"/>
      <w:bookmarkStart w:id="155" w:name="_Toc184310282"/>
      <w:bookmarkEnd w:id="155"/>
      <w:bookmarkStart w:id="156" w:name="_Toc184312071"/>
      <w:bookmarkEnd w:id="156"/>
      <w:bookmarkStart w:id="157" w:name="_Toc184312135"/>
      <w:bookmarkEnd w:id="157"/>
      <w:bookmarkStart w:id="158" w:name="_Toc184312117"/>
      <w:bookmarkEnd w:id="158"/>
      <w:bookmarkStart w:id="159" w:name="_Toc184312122"/>
      <w:bookmarkEnd w:id="159"/>
      <w:bookmarkStart w:id="160" w:name="_Toc184310334"/>
      <w:bookmarkEnd w:id="160"/>
      <w:bookmarkStart w:id="161" w:name="_Toc184312105"/>
      <w:bookmarkEnd w:id="161"/>
      <w:bookmarkStart w:id="162" w:name="_Toc184310302"/>
      <w:bookmarkEnd w:id="162"/>
      <w:bookmarkStart w:id="163" w:name="_Toc184308074"/>
      <w:bookmarkEnd w:id="163"/>
      <w:bookmarkStart w:id="164" w:name="_Toc184308079"/>
      <w:bookmarkEnd w:id="164"/>
      <w:bookmarkStart w:id="165" w:name="_Toc184310325"/>
      <w:bookmarkEnd w:id="165"/>
      <w:bookmarkStart w:id="166" w:name="_Toc184310317"/>
      <w:bookmarkEnd w:id="166"/>
      <w:bookmarkStart w:id="167" w:name="_Toc184314440"/>
      <w:bookmarkEnd w:id="167"/>
      <w:bookmarkStart w:id="168" w:name="_Toc184314419"/>
      <w:bookmarkEnd w:id="168"/>
      <w:bookmarkStart w:id="169" w:name="_Toc184310327"/>
      <w:bookmarkEnd w:id="169"/>
      <w:bookmarkStart w:id="170" w:name="_Toc184313289"/>
      <w:bookmarkEnd w:id="170"/>
      <w:bookmarkStart w:id="171" w:name="_Toc184308089"/>
      <w:bookmarkEnd w:id="171"/>
      <w:bookmarkStart w:id="172" w:name="_Toc184312114"/>
      <w:bookmarkEnd w:id="172"/>
      <w:bookmarkStart w:id="173" w:name="_Toc184310291"/>
      <w:bookmarkEnd w:id="173"/>
      <w:bookmarkStart w:id="174" w:name="_Toc184313263"/>
      <w:bookmarkEnd w:id="174"/>
      <w:bookmarkStart w:id="175" w:name="_Toc184308036"/>
      <w:bookmarkEnd w:id="175"/>
      <w:bookmarkStart w:id="176" w:name="_Toc184312116"/>
      <w:bookmarkEnd w:id="176"/>
      <w:bookmarkStart w:id="177" w:name="_Toc184313278"/>
      <w:bookmarkEnd w:id="177"/>
      <w:bookmarkStart w:id="178" w:name="_Toc184312077"/>
      <w:bookmarkEnd w:id="178"/>
      <w:bookmarkStart w:id="179" w:name="_Toc184312133"/>
      <w:bookmarkEnd w:id="179"/>
      <w:bookmarkStart w:id="180" w:name="_Toc184308108"/>
      <w:bookmarkEnd w:id="180"/>
      <w:bookmarkStart w:id="181" w:name="_Toc184314451"/>
      <w:bookmarkEnd w:id="181"/>
      <w:bookmarkStart w:id="182" w:name="_Toc184314458"/>
      <w:bookmarkEnd w:id="182"/>
      <w:bookmarkStart w:id="183" w:name="_Toc184308040"/>
      <w:bookmarkEnd w:id="183"/>
      <w:bookmarkStart w:id="184" w:name="_Toc184308082"/>
      <w:bookmarkEnd w:id="184"/>
      <w:bookmarkStart w:id="185" w:name="_Toc184308050"/>
      <w:bookmarkEnd w:id="185"/>
      <w:bookmarkStart w:id="186" w:name="_Toc184313261"/>
      <w:bookmarkEnd w:id="186"/>
      <w:bookmarkStart w:id="187" w:name="_Toc184308049"/>
      <w:bookmarkEnd w:id="187"/>
      <w:bookmarkStart w:id="188" w:name="_Toc184314456"/>
      <w:bookmarkEnd w:id="188"/>
      <w:bookmarkStart w:id="189" w:name="_Toc184310322"/>
      <w:bookmarkEnd w:id="189"/>
      <w:bookmarkStart w:id="190" w:name="_Toc184313302"/>
      <w:bookmarkEnd w:id="190"/>
      <w:bookmarkStart w:id="191" w:name="_Toc184313250"/>
      <w:bookmarkEnd w:id="191"/>
      <w:bookmarkStart w:id="192" w:name="_Toc184314412"/>
      <w:bookmarkEnd w:id="192"/>
      <w:bookmarkStart w:id="193" w:name="_Toc184313262"/>
      <w:bookmarkEnd w:id="193"/>
      <w:bookmarkStart w:id="194" w:name="_Toc184312102"/>
      <w:bookmarkEnd w:id="194"/>
      <w:bookmarkStart w:id="195" w:name="_Toc184314469"/>
      <w:bookmarkEnd w:id="195"/>
      <w:bookmarkStart w:id="196" w:name="_Toc184314420"/>
      <w:bookmarkEnd w:id="196"/>
      <w:bookmarkStart w:id="197" w:name="_Toc184313265"/>
      <w:bookmarkEnd w:id="197"/>
      <w:bookmarkStart w:id="198" w:name="_Toc184314423"/>
      <w:bookmarkEnd w:id="198"/>
      <w:bookmarkStart w:id="199" w:name="_Toc184310320"/>
      <w:bookmarkEnd w:id="199"/>
      <w:bookmarkStart w:id="200" w:name="_Toc184308088"/>
      <w:bookmarkEnd w:id="200"/>
      <w:bookmarkStart w:id="201" w:name="_Toc184312124"/>
      <w:bookmarkEnd w:id="201"/>
      <w:bookmarkStart w:id="202" w:name="_Toc184312106"/>
      <w:bookmarkEnd w:id="202"/>
      <w:bookmarkStart w:id="203" w:name="_Toc184312080"/>
      <w:bookmarkEnd w:id="203"/>
      <w:bookmarkStart w:id="204" w:name="_Toc184313258"/>
      <w:bookmarkEnd w:id="204"/>
      <w:bookmarkStart w:id="205" w:name="_Toc184308073"/>
      <w:bookmarkEnd w:id="205"/>
      <w:bookmarkStart w:id="206" w:name="_Toc184314425"/>
      <w:bookmarkEnd w:id="206"/>
      <w:bookmarkStart w:id="207" w:name="_Toc184308045"/>
      <w:bookmarkEnd w:id="207"/>
      <w:bookmarkStart w:id="208" w:name="_Toc184312079"/>
      <w:bookmarkEnd w:id="208"/>
      <w:bookmarkStart w:id="209" w:name="_Toc184310292"/>
      <w:bookmarkEnd w:id="209"/>
      <w:bookmarkStart w:id="210" w:name="_Toc184313308"/>
      <w:bookmarkEnd w:id="210"/>
      <w:bookmarkStart w:id="211" w:name="_Toc184314418"/>
      <w:bookmarkEnd w:id="211"/>
      <w:bookmarkStart w:id="212" w:name="_Toc184314427"/>
      <w:bookmarkEnd w:id="212"/>
      <w:bookmarkStart w:id="213" w:name="_Toc184308052"/>
      <w:bookmarkEnd w:id="213"/>
      <w:bookmarkStart w:id="214" w:name="_Toc184308059"/>
      <w:bookmarkEnd w:id="214"/>
      <w:bookmarkStart w:id="215" w:name="_Toc184308064"/>
      <w:bookmarkEnd w:id="215"/>
      <w:bookmarkStart w:id="216" w:name="_Toc184310341"/>
      <w:bookmarkEnd w:id="216"/>
      <w:bookmarkStart w:id="217" w:name="_Toc184312111"/>
      <w:bookmarkEnd w:id="217"/>
      <w:bookmarkStart w:id="218" w:name="_Toc184313257"/>
      <w:bookmarkEnd w:id="218"/>
      <w:bookmarkStart w:id="219" w:name="_Toc184312107"/>
      <w:bookmarkEnd w:id="219"/>
      <w:bookmarkStart w:id="220" w:name="_Toc184308038"/>
      <w:bookmarkEnd w:id="220"/>
      <w:bookmarkStart w:id="221" w:name="_Toc184310328"/>
      <w:bookmarkEnd w:id="221"/>
      <w:bookmarkStart w:id="222" w:name="_Toc184314464"/>
      <w:bookmarkEnd w:id="222"/>
      <w:bookmarkStart w:id="223" w:name="_Toc184310287"/>
      <w:bookmarkEnd w:id="223"/>
      <w:bookmarkStart w:id="224" w:name="_Toc184313298"/>
      <w:bookmarkEnd w:id="224"/>
      <w:bookmarkStart w:id="225" w:name="_Toc184310330"/>
      <w:bookmarkEnd w:id="225"/>
      <w:bookmarkStart w:id="226" w:name="_Toc184313284"/>
      <w:bookmarkEnd w:id="226"/>
      <w:bookmarkStart w:id="227" w:name="_Toc184314411"/>
      <w:bookmarkEnd w:id="227"/>
      <w:bookmarkStart w:id="228" w:name="_Toc184314455"/>
      <w:bookmarkEnd w:id="228"/>
      <w:bookmarkStart w:id="229" w:name="_Toc184308039"/>
      <w:bookmarkEnd w:id="229"/>
      <w:bookmarkStart w:id="230" w:name="_Toc184313300"/>
      <w:bookmarkEnd w:id="230"/>
      <w:bookmarkStart w:id="231" w:name="_Toc184314441"/>
      <w:bookmarkEnd w:id="231"/>
      <w:bookmarkStart w:id="232" w:name="_Toc184314477"/>
      <w:bookmarkEnd w:id="232"/>
      <w:bookmarkStart w:id="233" w:name="_Toc184308106"/>
      <w:bookmarkEnd w:id="233"/>
      <w:bookmarkStart w:id="234" w:name="_Toc184312128"/>
      <w:bookmarkEnd w:id="234"/>
      <w:bookmarkStart w:id="235" w:name="_Toc184310279"/>
      <w:bookmarkEnd w:id="235"/>
      <w:bookmarkStart w:id="236" w:name="_Toc184308087"/>
      <w:bookmarkEnd w:id="236"/>
      <w:bookmarkStart w:id="237" w:name="_Toc184308091"/>
      <w:bookmarkEnd w:id="237"/>
      <w:bookmarkStart w:id="238" w:name="_Toc184313301"/>
      <w:bookmarkEnd w:id="238"/>
      <w:bookmarkStart w:id="239" w:name="_Toc184314426"/>
      <w:bookmarkEnd w:id="239"/>
      <w:bookmarkStart w:id="240" w:name="_Toc184313283"/>
      <w:bookmarkEnd w:id="240"/>
      <w:bookmarkStart w:id="241" w:name="_Toc184312119"/>
      <w:bookmarkEnd w:id="241"/>
      <w:bookmarkStart w:id="242" w:name="_Toc184310329"/>
      <w:bookmarkEnd w:id="242"/>
      <w:bookmarkStart w:id="243" w:name="_Toc184314454"/>
      <w:bookmarkEnd w:id="243"/>
      <w:bookmarkStart w:id="244" w:name="_Toc184312072"/>
      <w:bookmarkEnd w:id="244"/>
      <w:bookmarkStart w:id="245" w:name="_Toc184310277"/>
      <w:bookmarkEnd w:id="245"/>
      <w:bookmarkStart w:id="246" w:name="_Toc184314480"/>
      <w:bookmarkEnd w:id="246"/>
      <w:bookmarkStart w:id="247" w:name="_Toc184314452"/>
      <w:bookmarkEnd w:id="247"/>
      <w:bookmarkStart w:id="248" w:name="_Toc184312097"/>
      <w:bookmarkEnd w:id="248"/>
      <w:bookmarkStart w:id="249" w:name="_Toc184314415"/>
      <w:bookmarkEnd w:id="249"/>
      <w:bookmarkStart w:id="250" w:name="_Toc184310343"/>
      <w:bookmarkEnd w:id="250"/>
      <w:bookmarkStart w:id="251" w:name="_Toc184310301"/>
      <w:bookmarkEnd w:id="251"/>
      <w:bookmarkStart w:id="252" w:name="_Toc184310319"/>
      <w:bookmarkEnd w:id="252"/>
      <w:bookmarkStart w:id="253" w:name="_Toc184312137"/>
      <w:bookmarkEnd w:id="253"/>
      <w:bookmarkStart w:id="254" w:name="_Toc184308066"/>
      <w:bookmarkEnd w:id="254"/>
      <w:bookmarkStart w:id="255" w:name="_Toc184314470"/>
      <w:bookmarkEnd w:id="255"/>
      <w:bookmarkStart w:id="256" w:name="_Toc184312118"/>
      <w:bookmarkEnd w:id="256"/>
      <w:bookmarkStart w:id="257" w:name="_Toc184310284"/>
      <w:bookmarkEnd w:id="257"/>
      <w:bookmarkStart w:id="258" w:name="_Toc184313307"/>
      <w:bookmarkEnd w:id="258"/>
      <w:bookmarkStart w:id="259" w:name="_Toc184312096"/>
      <w:bookmarkEnd w:id="259"/>
      <w:bookmarkStart w:id="260" w:name="_Toc184312094"/>
      <w:bookmarkEnd w:id="260"/>
      <w:bookmarkStart w:id="261" w:name="_Toc184308037"/>
      <w:bookmarkEnd w:id="261"/>
      <w:bookmarkStart w:id="262" w:name="_Toc184313270"/>
      <w:bookmarkEnd w:id="262"/>
      <w:bookmarkStart w:id="263" w:name="_Toc184310344"/>
      <w:bookmarkEnd w:id="263"/>
      <w:bookmarkStart w:id="264" w:name="_Toc184308107"/>
      <w:bookmarkEnd w:id="264"/>
      <w:bookmarkStart w:id="265" w:name="_Toc184308056"/>
      <w:bookmarkEnd w:id="265"/>
      <w:bookmarkStart w:id="266" w:name="_Toc184308063"/>
      <w:bookmarkEnd w:id="266"/>
      <w:bookmarkStart w:id="267" w:name="_Toc184313246"/>
      <w:bookmarkEnd w:id="267"/>
      <w:bookmarkStart w:id="268" w:name="_Toc184313252"/>
      <w:bookmarkEnd w:id="268"/>
      <w:bookmarkStart w:id="269" w:name="_Toc184308098"/>
      <w:bookmarkEnd w:id="269"/>
      <w:bookmarkStart w:id="270" w:name="_Toc184310298"/>
      <w:bookmarkEnd w:id="270"/>
      <w:bookmarkStart w:id="271" w:name="_Toc184310286"/>
      <w:bookmarkEnd w:id="271"/>
      <w:bookmarkStart w:id="272" w:name="_Toc184313254"/>
      <w:bookmarkEnd w:id="272"/>
      <w:bookmarkStart w:id="273" w:name="_Toc184312110"/>
      <w:bookmarkEnd w:id="273"/>
      <w:bookmarkStart w:id="274" w:name="_Toc184310297"/>
      <w:bookmarkEnd w:id="274"/>
      <w:bookmarkStart w:id="275" w:name="_Toc184313259"/>
      <w:bookmarkEnd w:id="275"/>
      <w:bookmarkStart w:id="276" w:name="_Toc184313293"/>
      <w:bookmarkEnd w:id="276"/>
      <w:bookmarkStart w:id="277" w:name="_Toc184312084"/>
      <w:bookmarkEnd w:id="277"/>
      <w:bookmarkStart w:id="278" w:name="_Toc184314422"/>
      <w:bookmarkEnd w:id="278"/>
      <w:bookmarkStart w:id="279" w:name="_Toc184313253"/>
      <w:bookmarkEnd w:id="279"/>
      <w:bookmarkStart w:id="280" w:name="_Toc184310342"/>
      <w:bookmarkEnd w:id="280"/>
      <w:bookmarkStart w:id="281" w:name="_Toc184314447"/>
      <w:bookmarkEnd w:id="281"/>
      <w:bookmarkStart w:id="282" w:name="_Toc184312070"/>
      <w:bookmarkEnd w:id="282"/>
      <w:bookmarkStart w:id="283" w:name="_Toc184313276"/>
      <w:bookmarkEnd w:id="283"/>
      <w:bookmarkStart w:id="284" w:name="_Toc184313271"/>
      <w:bookmarkEnd w:id="284"/>
      <w:bookmarkStart w:id="285" w:name="_Toc184310309"/>
      <w:bookmarkEnd w:id="285"/>
      <w:bookmarkStart w:id="286" w:name="_Toc184308099"/>
      <w:bookmarkEnd w:id="286"/>
      <w:bookmarkStart w:id="287" w:name="_Toc184312076"/>
      <w:bookmarkEnd w:id="287"/>
      <w:bookmarkStart w:id="288" w:name="_Toc184312125"/>
      <w:bookmarkEnd w:id="288"/>
      <w:bookmarkStart w:id="289" w:name="_Toc184313264"/>
      <w:bookmarkEnd w:id="289"/>
      <w:bookmarkStart w:id="290" w:name="_Toc184308053"/>
      <w:bookmarkEnd w:id="290"/>
      <w:bookmarkStart w:id="291" w:name="_Toc184308080"/>
      <w:bookmarkEnd w:id="291"/>
      <w:bookmarkStart w:id="292" w:name="_Toc184312086"/>
      <w:bookmarkEnd w:id="292"/>
      <w:bookmarkStart w:id="293" w:name="_Toc184312081"/>
      <w:bookmarkEnd w:id="293"/>
      <w:bookmarkStart w:id="294" w:name="_Toc184313279"/>
      <w:bookmarkEnd w:id="294"/>
      <w:bookmarkStart w:id="295" w:name="_Toc184313299"/>
      <w:bookmarkEnd w:id="295"/>
      <w:bookmarkStart w:id="296" w:name="_Toc184308068"/>
      <w:bookmarkEnd w:id="296"/>
      <w:bookmarkStart w:id="297" w:name="_Toc184310333"/>
      <w:bookmarkEnd w:id="297"/>
      <w:bookmarkStart w:id="298" w:name="_Toc184314424"/>
      <w:bookmarkEnd w:id="298"/>
      <w:bookmarkStart w:id="299" w:name="_Toc184308097"/>
      <w:bookmarkEnd w:id="299"/>
      <w:bookmarkStart w:id="300" w:name="_Toc184310306"/>
      <w:bookmarkEnd w:id="300"/>
      <w:bookmarkStart w:id="301" w:name="_Toc184314434"/>
      <w:bookmarkEnd w:id="301"/>
      <w:bookmarkStart w:id="302" w:name="_Toc184310274"/>
      <w:bookmarkEnd w:id="302"/>
      <w:bookmarkStart w:id="303" w:name="_Toc184310326"/>
      <w:bookmarkEnd w:id="303"/>
      <w:bookmarkStart w:id="304" w:name="_Toc184313272"/>
      <w:bookmarkEnd w:id="304"/>
      <w:bookmarkStart w:id="305" w:name="_Toc184310305"/>
      <w:bookmarkEnd w:id="305"/>
      <w:bookmarkStart w:id="306" w:name="_Toc184312078"/>
      <w:bookmarkEnd w:id="306"/>
      <w:bookmarkStart w:id="307" w:name="_Toc184313291"/>
      <w:bookmarkEnd w:id="307"/>
      <w:bookmarkStart w:id="308" w:name="_Toc184313269"/>
      <w:bookmarkEnd w:id="308"/>
      <w:bookmarkStart w:id="309" w:name="_Toc184308062"/>
      <w:bookmarkEnd w:id="309"/>
      <w:bookmarkStart w:id="310" w:name="_Toc184308094"/>
      <w:bookmarkEnd w:id="310"/>
      <w:bookmarkStart w:id="311" w:name="_Toc184313274"/>
      <w:bookmarkEnd w:id="311"/>
      <w:bookmarkStart w:id="312" w:name="_Toc184314459"/>
      <w:bookmarkEnd w:id="312"/>
      <w:bookmarkStart w:id="313" w:name="_Toc184308070"/>
      <w:bookmarkEnd w:id="313"/>
      <w:bookmarkStart w:id="314" w:name="_Toc184313238"/>
      <w:bookmarkEnd w:id="314"/>
      <w:bookmarkStart w:id="315" w:name="_Toc184312099"/>
      <w:bookmarkEnd w:id="315"/>
      <w:bookmarkStart w:id="316" w:name="_Toc184310290"/>
      <w:bookmarkEnd w:id="316"/>
      <w:bookmarkStart w:id="317" w:name="_Toc184313256"/>
      <w:bookmarkEnd w:id="317"/>
      <w:bookmarkStart w:id="318" w:name="_Toc184312115"/>
      <w:bookmarkEnd w:id="318"/>
      <w:bookmarkStart w:id="319" w:name="_Toc184312139"/>
      <w:bookmarkEnd w:id="319"/>
      <w:bookmarkStart w:id="320" w:name="_Toc184312136"/>
      <w:bookmarkEnd w:id="320"/>
      <w:bookmarkStart w:id="321" w:name="_Toc184313288"/>
      <w:bookmarkEnd w:id="321"/>
      <w:bookmarkStart w:id="322" w:name="_Toc184310296"/>
      <w:bookmarkEnd w:id="322"/>
      <w:bookmarkStart w:id="323" w:name="_Toc184308096"/>
      <w:bookmarkEnd w:id="323"/>
      <w:bookmarkStart w:id="324" w:name="_Toc184310314"/>
      <w:bookmarkEnd w:id="324"/>
      <w:bookmarkStart w:id="325" w:name="_Toc184314416"/>
      <w:bookmarkEnd w:id="325"/>
      <w:bookmarkStart w:id="326" w:name="_Toc184313297"/>
      <w:bookmarkEnd w:id="326"/>
      <w:bookmarkStart w:id="327" w:name="_Toc184314457"/>
      <w:bookmarkEnd w:id="327"/>
      <w:bookmarkStart w:id="328" w:name="_Toc184310316"/>
      <w:bookmarkEnd w:id="328"/>
      <w:bookmarkStart w:id="329" w:name="_Toc184310339"/>
      <w:bookmarkEnd w:id="329"/>
      <w:bookmarkStart w:id="330" w:name="_Toc184313275"/>
      <w:bookmarkEnd w:id="330"/>
      <w:bookmarkStart w:id="331" w:name="_Toc184314482"/>
      <w:bookmarkEnd w:id="331"/>
      <w:bookmarkStart w:id="332" w:name="_Toc184313247"/>
      <w:bookmarkEnd w:id="332"/>
      <w:bookmarkStart w:id="333" w:name="_Toc184310340"/>
      <w:bookmarkEnd w:id="333"/>
      <w:bookmarkStart w:id="334" w:name="_Toc184308085"/>
      <w:bookmarkEnd w:id="334"/>
      <w:bookmarkStart w:id="335" w:name="_Toc184312123"/>
      <w:bookmarkEnd w:id="335"/>
      <w:bookmarkStart w:id="336" w:name="_Toc184314443"/>
      <w:bookmarkEnd w:id="336"/>
      <w:bookmarkStart w:id="337" w:name="_Toc184308076"/>
      <w:bookmarkEnd w:id="337"/>
      <w:bookmarkStart w:id="338" w:name="_Toc184308046"/>
      <w:bookmarkEnd w:id="338"/>
      <w:bookmarkStart w:id="339" w:name="_Toc184313251"/>
      <w:bookmarkEnd w:id="339"/>
      <w:bookmarkStart w:id="340" w:name="_Toc184312101"/>
      <w:bookmarkEnd w:id="340"/>
      <w:bookmarkStart w:id="341" w:name="_Toc184314479"/>
      <w:bookmarkEnd w:id="341"/>
      <w:bookmarkStart w:id="342" w:name="_Toc184310313"/>
      <w:bookmarkEnd w:id="342"/>
      <w:bookmarkStart w:id="343" w:name="_Toc184308055"/>
      <w:bookmarkEnd w:id="343"/>
      <w:bookmarkStart w:id="344" w:name="_Toc184308065"/>
      <w:bookmarkEnd w:id="344"/>
      <w:bookmarkStart w:id="345" w:name="_Toc184310275"/>
      <w:bookmarkEnd w:id="345"/>
      <w:bookmarkStart w:id="346" w:name="_Toc184308102"/>
      <w:bookmarkEnd w:id="346"/>
      <w:bookmarkStart w:id="347" w:name="_Toc184314446"/>
      <w:bookmarkEnd w:id="347"/>
      <w:bookmarkStart w:id="348" w:name="_Toc184308048"/>
      <w:bookmarkEnd w:id="348"/>
      <w:bookmarkStart w:id="349" w:name="_Toc184308090"/>
      <w:bookmarkEnd w:id="349"/>
      <w:bookmarkStart w:id="350" w:name="_Toc184312074"/>
      <w:bookmarkEnd w:id="350"/>
      <w:bookmarkStart w:id="351" w:name="_Toc184312103"/>
      <w:bookmarkEnd w:id="351"/>
      <w:bookmarkStart w:id="352" w:name="_Toc184313306"/>
      <w:bookmarkEnd w:id="352"/>
      <w:bookmarkStart w:id="353" w:name="_Toc184312113"/>
      <w:bookmarkEnd w:id="353"/>
      <w:bookmarkStart w:id="354" w:name="_Toc184312132"/>
      <w:bookmarkEnd w:id="354"/>
      <w:bookmarkStart w:id="355" w:name="_Toc184314461"/>
      <w:bookmarkEnd w:id="355"/>
      <w:bookmarkStart w:id="356" w:name="_Toc184313249"/>
      <w:bookmarkEnd w:id="356"/>
      <w:bookmarkStart w:id="357" w:name="_Toc184312109"/>
      <w:bookmarkEnd w:id="357"/>
      <w:bookmarkStart w:id="358" w:name="_Toc184312068"/>
      <w:bookmarkEnd w:id="358"/>
      <w:bookmarkStart w:id="359" w:name="_Toc184314466"/>
      <w:bookmarkEnd w:id="359"/>
      <w:bookmarkStart w:id="360" w:name="_Toc184314449"/>
      <w:bookmarkEnd w:id="360"/>
      <w:bookmarkStart w:id="361" w:name="_Toc184312112"/>
      <w:bookmarkEnd w:id="361"/>
      <w:bookmarkStart w:id="362" w:name="_Toc184312108"/>
      <w:bookmarkEnd w:id="362"/>
      <w:bookmarkStart w:id="363" w:name="_Toc184308051"/>
      <w:bookmarkEnd w:id="363"/>
      <w:bookmarkStart w:id="364" w:name="_Toc184310300"/>
      <w:bookmarkEnd w:id="364"/>
      <w:bookmarkStart w:id="365" w:name="_Toc184312091"/>
      <w:bookmarkEnd w:id="365"/>
      <w:bookmarkStart w:id="366" w:name="_Toc184312129"/>
      <w:bookmarkEnd w:id="366"/>
      <w:bookmarkStart w:id="367" w:name="_Toc184312092"/>
      <w:bookmarkEnd w:id="367"/>
      <w:bookmarkStart w:id="368" w:name="_Toc184312126"/>
      <w:bookmarkEnd w:id="368"/>
      <w:bookmarkStart w:id="369" w:name="_Toc184314437"/>
      <w:bookmarkEnd w:id="369"/>
      <w:bookmarkStart w:id="370" w:name="_Toc184308043"/>
      <w:bookmarkEnd w:id="370"/>
      <w:bookmarkStart w:id="371" w:name="_Toc184310307"/>
      <w:bookmarkEnd w:id="371"/>
      <w:bookmarkStart w:id="372" w:name="_Toc184308071"/>
      <w:bookmarkEnd w:id="372"/>
      <w:bookmarkStart w:id="373" w:name="_Toc184313304"/>
      <w:bookmarkEnd w:id="373"/>
      <w:bookmarkStart w:id="374" w:name="_Toc184310272"/>
      <w:bookmarkEnd w:id="374"/>
      <w:bookmarkStart w:id="375" w:name="_Toc184312120"/>
      <w:bookmarkEnd w:id="375"/>
      <w:bookmarkStart w:id="376" w:name="_Toc184310304"/>
      <w:bookmarkEnd w:id="376"/>
      <w:bookmarkStart w:id="377" w:name="_Toc184308069"/>
      <w:bookmarkEnd w:id="377"/>
      <w:bookmarkStart w:id="378" w:name="_Toc184310288"/>
      <w:bookmarkEnd w:id="378"/>
      <w:bookmarkStart w:id="379" w:name="_Toc184313303"/>
      <w:bookmarkEnd w:id="379"/>
      <w:bookmarkStart w:id="380" w:name="_Toc184314478"/>
      <w:bookmarkEnd w:id="380"/>
      <w:bookmarkStart w:id="381" w:name="_Toc184313267"/>
      <w:bookmarkEnd w:id="381"/>
      <w:bookmarkStart w:id="382" w:name="_Toc184313295"/>
      <w:bookmarkEnd w:id="382"/>
      <w:bookmarkStart w:id="383" w:name="_Toc184310321"/>
      <w:bookmarkEnd w:id="383"/>
      <w:bookmarkStart w:id="384" w:name="_Toc184312100"/>
      <w:bookmarkEnd w:id="384"/>
      <w:bookmarkStart w:id="385" w:name="_Toc184308104"/>
      <w:bookmarkEnd w:id="385"/>
      <w:bookmarkStart w:id="386" w:name="_Toc184308067"/>
      <w:bookmarkEnd w:id="386"/>
      <w:bookmarkStart w:id="387" w:name="_Toc184312089"/>
      <w:bookmarkEnd w:id="387"/>
      <w:bookmarkStart w:id="388" w:name="_Toc184310293"/>
      <w:bookmarkEnd w:id="388"/>
      <w:bookmarkStart w:id="389" w:name="_Toc184308042"/>
      <w:bookmarkEnd w:id="389"/>
      <w:bookmarkStart w:id="390" w:name="_Toc184313294"/>
      <w:bookmarkEnd w:id="390"/>
      <w:bookmarkStart w:id="391" w:name="_Toc184314445"/>
      <w:bookmarkEnd w:id="391"/>
      <w:bookmarkStart w:id="392" w:name="_Toc184314414"/>
      <w:bookmarkEnd w:id="392"/>
      <w:r>
        <w:rPr>
          <w:rFonts w:hint="eastAsia" w:ascii="仿宋" w:hAnsi="仿宋" w:eastAsia="仿宋" w:cs="仿宋"/>
          <w:b/>
          <w:color w:val="auto"/>
          <w:sz w:val="36"/>
          <w:szCs w:val="36"/>
          <w:highlight w:val="none"/>
          <w:lang w:eastAsia="zh-CN"/>
        </w:rPr>
        <w:t>评审</w:t>
      </w:r>
      <w:r>
        <w:rPr>
          <w:rFonts w:hint="eastAsia" w:ascii="仿宋" w:hAnsi="仿宋" w:eastAsia="仿宋" w:cs="仿宋"/>
          <w:b/>
          <w:color w:val="auto"/>
          <w:sz w:val="36"/>
          <w:szCs w:val="36"/>
          <w:highlight w:val="none"/>
        </w:rPr>
        <w:t>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评审</w:t>
      </w:r>
      <w:r>
        <w:rPr>
          <w:rFonts w:hint="eastAsia" w:ascii="仿宋" w:hAnsi="仿宋" w:eastAsia="仿宋" w:cs="仿宋"/>
          <w:b/>
          <w:color w:val="auto"/>
          <w:sz w:val="32"/>
          <w:szCs w:val="20"/>
          <w:highlight w:val="none"/>
        </w:rPr>
        <w:t>办法前附表</w:t>
      </w:r>
    </w:p>
    <w:tbl>
      <w:tblPr>
        <w:tblStyle w:val="64"/>
        <w:tblpPr w:leftFromText="180" w:rightFromText="180" w:vertAnchor="text" w:horzAnchor="page" w:tblpX="1031" w:tblpY="126"/>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4487"/>
        <w:gridCol w:w="77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90" w:type="dxa"/>
            <w:vAlign w:val="center"/>
          </w:tcPr>
          <w:p>
            <w:pPr>
              <w:spacing w:line="360" w:lineRule="auto"/>
              <w:jc w:val="center"/>
              <w:outlineLvl w:val="0"/>
              <w:rPr>
                <w:rFonts w:ascii="仿宋" w:hAnsi="仿宋" w:eastAsia="仿宋" w:cs="仿宋"/>
                <w:bCs/>
                <w:sz w:val="24"/>
                <w:highlight w:val="none"/>
              </w:rPr>
            </w:pPr>
            <w:r>
              <w:rPr>
                <w:rFonts w:hint="eastAsia" w:ascii="仿宋" w:hAnsi="仿宋" w:eastAsia="仿宋" w:cs="仿宋"/>
                <w:bCs/>
                <w:sz w:val="24"/>
                <w:highlight w:val="none"/>
              </w:rPr>
              <w:t>序号</w:t>
            </w:r>
          </w:p>
        </w:tc>
        <w:tc>
          <w:tcPr>
            <w:tcW w:w="5759" w:type="dxa"/>
            <w:gridSpan w:val="3"/>
            <w:vAlign w:val="center"/>
          </w:tcPr>
          <w:p>
            <w:pPr>
              <w:spacing w:line="360" w:lineRule="auto"/>
              <w:ind w:firstLine="1560" w:firstLineChars="650"/>
              <w:outlineLvl w:val="0"/>
              <w:rPr>
                <w:rFonts w:ascii="仿宋" w:hAnsi="仿宋" w:eastAsia="仿宋" w:cs="仿宋"/>
                <w:bCs/>
                <w:sz w:val="24"/>
                <w:highlight w:val="none"/>
              </w:rPr>
            </w:pPr>
            <w:r>
              <w:rPr>
                <w:rFonts w:hint="eastAsia" w:ascii="仿宋" w:hAnsi="仿宋" w:eastAsia="仿宋" w:cs="仿宋"/>
                <w:bCs/>
                <w:sz w:val="24"/>
                <w:highlight w:val="none"/>
              </w:rPr>
              <w:t>评标标准</w:t>
            </w:r>
          </w:p>
        </w:tc>
        <w:tc>
          <w:tcPr>
            <w:tcW w:w="776" w:type="dxa"/>
            <w:vAlign w:val="center"/>
          </w:tcPr>
          <w:p>
            <w:pPr>
              <w:spacing w:line="360" w:lineRule="auto"/>
              <w:outlineLvl w:val="0"/>
              <w:rPr>
                <w:rFonts w:ascii="仿宋" w:hAnsi="仿宋" w:eastAsia="仿宋" w:cs="仿宋"/>
                <w:bCs/>
                <w:sz w:val="24"/>
                <w:highlight w:val="none"/>
              </w:rPr>
            </w:pPr>
            <w:r>
              <w:rPr>
                <w:rFonts w:hint="eastAsia" w:ascii="仿宋" w:hAnsi="仿宋" w:eastAsia="仿宋" w:cs="仿宋"/>
                <w:bCs/>
                <w:sz w:val="24"/>
                <w:highlight w:val="none"/>
              </w:rPr>
              <w:t>权重</w:t>
            </w:r>
          </w:p>
        </w:tc>
        <w:tc>
          <w:tcPr>
            <w:tcW w:w="2084" w:type="dxa"/>
          </w:tcPr>
          <w:p>
            <w:pPr>
              <w:spacing w:line="360" w:lineRule="auto"/>
              <w:outlineLvl w:val="0"/>
              <w:rPr>
                <w:rFonts w:ascii="仿宋" w:hAnsi="仿宋" w:eastAsia="仿宋" w:cs="仿宋"/>
                <w:bCs/>
                <w:sz w:val="24"/>
                <w:highlight w:val="none"/>
              </w:rPr>
            </w:pPr>
            <w:r>
              <w:rPr>
                <w:rFonts w:hint="eastAsia" w:ascii="仿宋" w:hAnsi="仿宋" w:eastAsia="仿宋" w:cs="仿宋"/>
                <w:bCs/>
                <w:sz w:val="24"/>
                <w:highlight w:val="none"/>
              </w:rPr>
              <w:t>投标文件中评标标准相应的商务技术资料目录</w:t>
            </w:r>
            <w:r>
              <w:rPr>
                <w:rFonts w:hint="eastAsia" w:ascii="仿宋" w:hAnsi="仿宋" w:eastAsia="仿宋" w:cs="仿宋"/>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5759" w:type="dxa"/>
            <w:gridSpan w:val="3"/>
            <w:vAlign w:val="center"/>
          </w:tcPr>
          <w:p>
            <w:pPr>
              <w:jc w:val="left"/>
              <w:rPr>
                <w:rFonts w:ascii="仿宋" w:hAnsi="仿宋" w:eastAsia="仿宋" w:cs="仿宋"/>
                <w:sz w:val="24"/>
                <w:highlight w:val="none"/>
              </w:rPr>
            </w:pPr>
            <w:r>
              <w:rPr>
                <w:rFonts w:hint="eastAsia" w:ascii="仿宋" w:hAnsi="仿宋" w:eastAsia="仿宋" w:cs="仿宋"/>
                <w:sz w:val="24"/>
                <w:highlight w:val="none"/>
              </w:rPr>
              <w:t>投标人自20</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年1月1日以来（以合同签订时间为准）具有类似工程业绩的，每个得1分，本项最高得3分。</w:t>
            </w:r>
          </w:p>
          <w:p>
            <w:pPr>
              <w:rPr>
                <w:rFonts w:ascii="仿宋" w:hAnsi="仿宋" w:eastAsia="仿宋" w:cs="仿宋"/>
                <w:sz w:val="24"/>
                <w:highlight w:val="none"/>
              </w:rPr>
            </w:pPr>
            <w:r>
              <w:rPr>
                <w:rFonts w:hint="eastAsia" w:ascii="仿宋" w:hAnsi="仿宋" w:eastAsia="仿宋" w:cs="仿宋"/>
                <w:sz w:val="24"/>
                <w:highlight w:val="none"/>
              </w:rPr>
              <w:t>【提供中标通知书、合同、竣工验收合格证书原件的扫描件，未按要求提供完整证明材料的，不予得分】</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5759" w:type="dxa"/>
            <w:gridSpan w:val="3"/>
            <w:vAlign w:val="center"/>
          </w:tcPr>
          <w:p>
            <w:pPr>
              <w:jc w:val="left"/>
              <w:outlineLvl w:val="0"/>
              <w:rPr>
                <w:rFonts w:ascii="仿宋" w:hAnsi="仿宋" w:eastAsia="仿宋" w:cs="仿宋"/>
                <w:sz w:val="24"/>
                <w:highlight w:val="none"/>
              </w:rPr>
            </w:pPr>
            <w:r>
              <w:rPr>
                <w:rFonts w:hint="eastAsia" w:ascii="仿宋" w:hAnsi="仿宋" w:eastAsia="仿宋" w:cs="仿宋"/>
                <w:color w:val="auto"/>
                <w:sz w:val="24"/>
                <w:highlight w:val="none"/>
                <w:lang w:val="en-US" w:eastAsia="zh-CN"/>
              </w:rPr>
              <w:t>投标人具备质量管理体系认证、职业健康安全管理体系认证、环境管理体系认证且在有效期内的得每个得1分。本项最高得3分。（有效证明材料为认证证书复印件及在全国认证认可信息公共服务平台（http://cx.cnca.cn/）查询的截图，两者缺一不可，否则不得分，复印件加盖公章）</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2084" w:type="dxa"/>
            <w:vAlign w:val="center"/>
          </w:tcPr>
          <w:p>
            <w:pPr>
              <w:jc w:val="center"/>
              <w:outlineLvl w:val="0"/>
              <w:rPr>
                <w:rFonts w:ascii="仿宋" w:hAnsi="仿宋" w:eastAsia="仿宋" w:cs="仿宋"/>
                <w:bCs/>
                <w:sz w:val="24"/>
                <w:highlight w:val="none"/>
              </w:rPr>
            </w:pPr>
            <w:r>
              <w:rPr>
                <w:rFonts w:hint="eastAsia" w:ascii="仿宋" w:hAnsi="仿宋" w:eastAsia="仿宋" w:cs="仿宋"/>
                <w:bCs/>
                <w:sz w:val="24"/>
                <w:highlight w:val="none"/>
              </w:rPr>
              <w:t>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5759" w:type="dxa"/>
            <w:gridSpan w:val="3"/>
            <w:vAlign w:val="center"/>
          </w:tcPr>
          <w:p>
            <w:pPr>
              <w:jc w:val="left"/>
              <w:outlineLvl w:val="0"/>
              <w:rPr>
                <w:rFonts w:ascii="仿宋" w:hAnsi="仿宋" w:eastAsia="仿宋" w:cs="仿宋"/>
                <w:sz w:val="24"/>
                <w:highlight w:val="none"/>
              </w:rPr>
            </w:pPr>
            <w:r>
              <w:rPr>
                <w:rFonts w:hint="eastAsia" w:ascii="仿宋" w:hAnsi="仿宋" w:eastAsia="仿宋" w:cs="仿宋"/>
                <w:sz w:val="24"/>
                <w:highlight w:val="none"/>
              </w:rPr>
              <w:t>拟派项目负责人具有中级及以上技术职称的得2分。</w:t>
            </w:r>
          </w:p>
          <w:p>
            <w:pPr>
              <w:jc w:val="left"/>
              <w:outlineLvl w:val="0"/>
              <w:rPr>
                <w:rFonts w:ascii="仿宋" w:hAnsi="仿宋" w:eastAsia="仿宋" w:cs="仿宋"/>
                <w:sz w:val="24"/>
                <w:highlight w:val="none"/>
              </w:rPr>
            </w:pPr>
            <w:r>
              <w:rPr>
                <w:rFonts w:hint="eastAsia" w:ascii="仿宋" w:hAnsi="仿宋" w:eastAsia="仿宋" w:cs="仿宋"/>
                <w:sz w:val="24"/>
                <w:highlight w:val="none"/>
              </w:rPr>
              <w:t>【需提供相关有效证书及人员近三个月在本单位缴纳社保证明，未提供或提供不全的不得分】</w:t>
            </w:r>
          </w:p>
        </w:tc>
        <w:tc>
          <w:tcPr>
            <w:tcW w:w="776" w:type="dxa"/>
            <w:vAlign w:val="center"/>
          </w:tcPr>
          <w:p>
            <w:pPr>
              <w:jc w:val="center"/>
              <w:outlineLvl w:val="0"/>
              <w:rPr>
                <w:rFonts w:ascii="仿宋" w:hAnsi="仿宋" w:eastAsia="仿宋" w:cs="仿宋"/>
                <w:sz w:val="24"/>
                <w:highlight w:val="none"/>
              </w:rPr>
            </w:pPr>
            <w:r>
              <w:rPr>
                <w:rFonts w:hint="eastAsia" w:ascii="仿宋" w:hAnsi="仿宋" w:eastAsia="仿宋" w:cs="仿宋"/>
                <w:sz w:val="24"/>
                <w:highlight w:val="none"/>
              </w:rPr>
              <w:t>2</w:t>
            </w:r>
          </w:p>
        </w:tc>
        <w:tc>
          <w:tcPr>
            <w:tcW w:w="2084" w:type="dxa"/>
            <w:vMerge w:val="restart"/>
            <w:vAlign w:val="center"/>
          </w:tcPr>
          <w:p>
            <w:pPr>
              <w:jc w:val="center"/>
              <w:rPr>
                <w:rFonts w:ascii="仿宋" w:hAnsi="仿宋" w:eastAsia="仿宋" w:cs="仿宋"/>
                <w:sz w:val="24"/>
                <w:highlight w:val="none"/>
              </w:rPr>
            </w:pPr>
            <w:r>
              <w:rPr>
                <w:rFonts w:hint="eastAsia" w:ascii="仿宋" w:hAnsi="仿宋" w:eastAsia="仿宋" w:cs="仿宋"/>
                <w:sz w:val="24"/>
                <w:highlight w:val="none"/>
              </w:rPr>
              <w:t>项目组人员配置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5759" w:type="dxa"/>
            <w:gridSpan w:val="3"/>
            <w:vAlign w:val="center"/>
          </w:tcPr>
          <w:p>
            <w:pPr>
              <w:widowControl/>
              <w:jc w:val="left"/>
              <w:rPr>
                <w:rFonts w:ascii="仿宋" w:hAnsi="仿宋" w:eastAsia="仿宋" w:cs="仿宋"/>
                <w:sz w:val="24"/>
                <w:highlight w:val="none"/>
              </w:rPr>
            </w:pPr>
            <w:r>
              <w:rPr>
                <w:rFonts w:hint="eastAsia" w:ascii="仿宋" w:hAnsi="仿宋" w:eastAsia="仿宋" w:cs="仿宋"/>
                <w:sz w:val="24"/>
                <w:highlight w:val="none"/>
              </w:rPr>
              <w:t>针对本项目拟派人员中除拟派项目负责人以外每增加一名</w:t>
            </w:r>
            <w:r>
              <w:rPr>
                <w:rFonts w:hint="eastAsia" w:ascii="仿宋" w:hAnsi="仿宋" w:eastAsia="仿宋" w:cs="仿宋"/>
                <w:sz w:val="24"/>
                <w:highlight w:val="none"/>
                <w:lang w:val="en-US" w:eastAsia="zh-CN"/>
              </w:rPr>
              <w:t>水利</w:t>
            </w:r>
            <w:r>
              <w:rPr>
                <w:rFonts w:hint="eastAsia" w:ascii="仿宋" w:hAnsi="仿宋" w:eastAsia="仿宋" w:cs="仿宋"/>
                <w:sz w:val="24"/>
                <w:highlight w:val="none"/>
              </w:rPr>
              <w:t>类二级注册建造师</w:t>
            </w:r>
            <w:r>
              <w:rPr>
                <w:rFonts w:hint="eastAsia" w:ascii="仿宋" w:hAnsi="仿宋" w:eastAsia="仿宋" w:cs="仿宋"/>
                <w:sz w:val="24"/>
                <w:highlight w:val="none"/>
                <w:lang w:val="en-US" w:eastAsia="zh-CN"/>
              </w:rPr>
              <w:t>及以上</w:t>
            </w:r>
            <w:r>
              <w:rPr>
                <w:rFonts w:hint="eastAsia" w:ascii="仿宋" w:hAnsi="仿宋" w:eastAsia="仿宋" w:cs="仿宋"/>
                <w:sz w:val="24"/>
                <w:highlight w:val="none"/>
              </w:rPr>
              <w:t>得0.5分，本项最高得1分。</w:t>
            </w:r>
          </w:p>
          <w:p>
            <w:pPr>
              <w:jc w:val="left"/>
              <w:rPr>
                <w:rFonts w:ascii="仿宋" w:hAnsi="仿宋" w:eastAsia="仿宋" w:cs="仿宋"/>
                <w:sz w:val="24"/>
                <w:highlight w:val="none"/>
              </w:rPr>
            </w:pPr>
            <w:r>
              <w:rPr>
                <w:rFonts w:hint="eastAsia" w:ascii="仿宋" w:hAnsi="仿宋" w:eastAsia="仿宋" w:cs="仿宋"/>
                <w:sz w:val="24"/>
                <w:highlight w:val="none"/>
              </w:rPr>
              <w:t>【需提供相关有效证书及人员近三个月在本单位缴纳社保证明，未提供或提供不全的不得分】</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2084" w:type="dxa"/>
            <w:vMerge w:val="continue"/>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5759" w:type="dxa"/>
            <w:gridSpan w:val="3"/>
            <w:vAlign w:val="center"/>
          </w:tcPr>
          <w:p>
            <w:pPr>
              <w:rPr>
                <w:rFonts w:hint="eastAsia" w:ascii="仿宋" w:hAnsi="仿宋" w:eastAsia="仿宋" w:cs="仿宋"/>
                <w:sz w:val="24"/>
                <w:highlight w:val="none"/>
                <w:lang w:eastAsia="zh-CN"/>
              </w:rPr>
            </w:pPr>
            <w:r>
              <w:rPr>
                <w:rFonts w:hint="eastAsia" w:ascii="仿宋" w:hAnsi="仿宋" w:eastAsia="仿宋" w:cs="仿宋"/>
                <w:sz w:val="24"/>
                <w:highlight w:val="none"/>
              </w:rPr>
              <w:t>针对本项目拟派人员中除拟派项目负责人以外每增加一名相关专业中级工程师</w:t>
            </w:r>
            <w:r>
              <w:rPr>
                <w:rFonts w:hint="eastAsia" w:ascii="仿宋" w:hAnsi="仿宋" w:eastAsia="仿宋" w:cs="仿宋"/>
                <w:sz w:val="24"/>
                <w:highlight w:val="none"/>
                <w:lang w:val="en-US" w:eastAsia="zh-CN"/>
              </w:rPr>
              <w:t>及以上职称</w:t>
            </w:r>
            <w:r>
              <w:rPr>
                <w:rFonts w:hint="eastAsia" w:ascii="仿宋" w:hAnsi="仿宋" w:eastAsia="仿宋" w:cs="仿宋"/>
                <w:sz w:val="24"/>
                <w:highlight w:val="none"/>
              </w:rPr>
              <w:t>得1分，最高得2分</w:t>
            </w:r>
            <w:r>
              <w:rPr>
                <w:rFonts w:hint="eastAsia" w:ascii="仿宋" w:hAnsi="仿宋" w:eastAsia="仿宋" w:cs="仿宋"/>
                <w:sz w:val="24"/>
                <w:highlight w:val="none"/>
                <w:lang w:eastAsia="zh-CN"/>
              </w:rPr>
              <w:t>。</w:t>
            </w:r>
          </w:p>
          <w:p>
            <w:pPr>
              <w:widowControl/>
              <w:jc w:val="left"/>
              <w:rPr>
                <w:rFonts w:ascii="仿宋" w:hAnsi="仿宋" w:eastAsia="仿宋" w:cs="仿宋"/>
                <w:sz w:val="24"/>
                <w:highlight w:val="none"/>
              </w:rPr>
            </w:pPr>
            <w:r>
              <w:rPr>
                <w:rFonts w:hint="eastAsia" w:ascii="仿宋" w:hAnsi="仿宋" w:eastAsia="仿宋" w:cs="仿宋"/>
                <w:sz w:val="24"/>
                <w:highlight w:val="none"/>
              </w:rPr>
              <w:t>【提供职称证书及人员近三个月在本单位缴纳社保证明，未提供的不得分】</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2084" w:type="dxa"/>
            <w:vMerge w:val="continue"/>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6</w:t>
            </w:r>
          </w:p>
        </w:tc>
        <w:tc>
          <w:tcPr>
            <w:tcW w:w="5759" w:type="dxa"/>
            <w:gridSpan w:val="3"/>
            <w:vAlign w:val="center"/>
          </w:tcPr>
          <w:p>
            <w:pPr>
              <w:widowControl/>
              <w:jc w:val="left"/>
              <w:rPr>
                <w:rFonts w:ascii="仿宋" w:hAnsi="仿宋" w:eastAsia="仿宋" w:cs="仿宋"/>
                <w:sz w:val="24"/>
                <w:highlight w:val="none"/>
              </w:rPr>
            </w:pPr>
            <w:r>
              <w:rPr>
                <w:rFonts w:hint="eastAsia" w:ascii="仿宋" w:hAnsi="仿宋" w:eastAsia="仿宋" w:cs="仿宋"/>
                <w:sz w:val="24"/>
                <w:highlight w:val="none"/>
              </w:rPr>
              <w:t>针对本项目拟派人员中具有施工员、安全员、质量员、材料员、资料员，每一个得1分，单个五大员证书只计1次，单个人员有多个五大员证书的只计 1 次，本项最高得 5 分。</w:t>
            </w:r>
          </w:p>
          <w:p>
            <w:pPr>
              <w:widowControl/>
              <w:jc w:val="left"/>
              <w:rPr>
                <w:rFonts w:ascii="仿宋" w:hAnsi="仿宋" w:eastAsia="仿宋" w:cs="仿宋"/>
                <w:sz w:val="24"/>
                <w:highlight w:val="none"/>
              </w:rPr>
            </w:pPr>
            <w:r>
              <w:rPr>
                <w:rFonts w:hint="eastAsia" w:ascii="仿宋" w:hAnsi="仿宋" w:eastAsia="仿宋" w:cs="仿宋"/>
                <w:sz w:val="24"/>
                <w:highlight w:val="none"/>
              </w:rPr>
              <w:t>【需提供相关有效证书及人员近三个月在本单位缴纳社保证明，未提供或提供不全的不得分】</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2084" w:type="dxa"/>
            <w:vMerge w:val="continue"/>
            <w:vAlign w:val="center"/>
          </w:tcPr>
          <w:p>
            <w:pPr>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90" w:type="dxa"/>
            <w:vMerge w:val="restart"/>
            <w:vAlign w:val="center"/>
          </w:tcPr>
          <w:p>
            <w:pPr>
              <w:jc w:val="center"/>
              <w:rPr>
                <w:rFonts w:ascii="仿宋" w:hAnsi="仿宋" w:eastAsia="仿宋" w:cs="仿宋"/>
                <w:sz w:val="24"/>
                <w:highlight w:val="none"/>
              </w:rPr>
            </w:pPr>
            <w:r>
              <w:rPr>
                <w:rFonts w:hint="eastAsia" w:ascii="仿宋" w:hAnsi="仿宋" w:eastAsia="仿宋" w:cs="仿宋"/>
                <w:sz w:val="24"/>
                <w:highlight w:val="none"/>
              </w:rPr>
              <w:t>7</w:t>
            </w:r>
          </w:p>
        </w:tc>
        <w:tc>
          <w:tcPr>
            <w:tcW w:w="1272" w:type="dxa"/>
            <w:gridSpan w:val="2"/>
            <w:vMerge w:val="restart"/>
            <w:vAlign w:val="center"/>
          </w:tcPr>
          <w:p>
            <w:pPr>
              <w:jc w:val="center"/>
              <w:rPr>
                <w:rFonts w:ascii="仿宋" w:hAnsi="仿宋" w:eastAsia="仿宋" w:cs="仿宋"/>
                <w:sz w:val="24"/>
                <w:highlight w:val="none"/>
              </w:rPr>
            </w:pPr>
            <w:r>
              <w:rPr>
                <w:rFonts w:hint="eastAsia" w:ascii="仿宋" w:hAnsi="仿宋" w:eastAsia="仿宋" w:cs="仿宋"/>
                <w:sz w:val="24"/>
                <w:highlight w:val="none"/>
              </w:rPr>
              <w:t>施工方案总体情况评价</w:t>
            </w:r>
          </w:p>
        </w:tc>
        <w:tc>
          <w:tcPr>
            <w:tcW w:w="4487" w:type="dxa"/>
            <w:vAlign w:val="center"/>
          </w:tcPr>
          <w:p>
            <w:pPr>
              <w:jc w:val="left"/>
              <w:rPr>
                <w:rFonts w:hint="eastAsia" w:ascii="仿宋" w:hAnsi="仿宋" w:eastAsia="仿宋" w:cs="仿宋"/>
                <w:sz w:val="24"/>
                <w:highlight w:val="none"/>
                <w:lang w:eastAsia="zh-CN"/>
              </w:rPr>
            </w:pPr>
            <w:r>
              <w:rPr>
                <w:rFonts w:hint="eastAsia" w:ascii="仿宋" w:hAnsi="仿宋" w:eastAsia="仿宋" w:cs="仿宋"/>
                <w:sz w:val="24"/>
                <w:highlight w:val="none"/>
              </w:rPr>
              <w:t>方案内容全面、合理、条理清晰，涵盖本次工程实施有关的内容，且具有针对性得4分，方案内容全面合理得3分，方案内容基本合理，满足采购需求得2分，方案内容有提及得1分。严重缺失不得分</w:t>
            </w:r>
            <w:r>
              <w:rPr>
                <w:rFonts w:hint="eastAsia" w:ascii="仿宋" w:hAnsi="仿宋" w:eastAsia="仿宋" w:cs="仿宋"/>
                <w:sz w:val="24"/>
                <w:highlight w:val="none"/>
                <w:lang w:eastAsia="zh-CN"/>
              </w:rPr>
              <w:t>。</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pPr>
              <w:jc w:val="center"/>
              <w:rPr>
                <w:rFonts w:ascii="仿宋" w:hAnsi="仿宋" w:eastAsia="仿宋" w:cs="仿宋"/>
                <w:sz w:val="24"/>
                <w:highlight w:val="none"/>
              </w:rPr>
            </w:pPr>
          </w:p>
        </w:tc>
        <w:tc>
          <w:tcPr>
            <w:tcW w:w="1272" w:type="dxa"/>
            <w:gridSpan w:val="2"/>
            <w:vMerge w:val="continue"/>
            <w:vAlign w:val="center"/>
          </w:tcPr>
          <w:p>
            <w:pPr>
              <w:jc w:val="center"/>
              <w:rPr>
                <w:rFonts w:ascii="仿宋" w:hAnsi="仿宋" w:eastAsia="仿宋" w:cs="仿宋"/>
                <w:sz w:val="24"/>
                <w:highlight w:val="none"/>
              </w:rPr>
            </w:pPr>
          </w:p>
        </w:tc>
        <w:tc>
          <w:tcPr>
            <w:tcW w:w="4487" w:type="dxa"/>
            <w:vAlign w:val="center"/>
          </w:tcPr>
          <w:p>
            <w:pPr>
              <w:jc w:val="left"/>
              <w:rPr>
                <w:rFonts w:hint="eastAsia" w:ascii="仿宋" w:hAnsi="仿宋" w:eastAsia="仿宋" w:cs="仿宋"/>
                <w:sz w:val="24"/>
                <w:highlight w:val="none"/>
                <w:lang w:eastAsia="zh-CN"/>
              </w:rPr>
            </w:pPr>
            <w:r>
              <w:rPr>
                <w:rFonts w:hint="eastAsia" w:ascii="仿宋" w:hAnsi="仿宋" w:eastAsia="仿宋" w:cs="仿宋"/>
                <w:sz w:val="24"/>
                <w:highlight w:val="none"/>
              </w:rPr>
              <w:t>针对本项目特殊施工环境需要采取的专门的施工技术内容科学合理，针对性强的得4分；措施内容基本合理，针对性较强得3分；措施内容基本合理得2分；措施内容一般，有提及得1分。内容缺失严重不得分</w:t>
            </w:r>
            <w:r>
              <w:rPr>
                <w:rFonts w:hint="eastAsia" w:ascii="仿宋" w:hAnsi="仿宋" w:eastAsia="仿宋" w:cs="仿宋"/>
                <w:sz w:val="24"/>
                <w:highlight w:val="none"/>
                <w:lang w:eastAsia="zh-CN"/>
              </w:rPr>
              <w:t>。</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pPr>
              <w:jc w:val="center"/>
              <w:rPr>
                <w:rFonts w:ascii="仿宋" w:hAnsi="仿宋" w:eastAsia="仿宋" w:cs="仿宋"/>
                <w:sz w:val="24"/>
                <w:highlight w:val="none"/>
              </w:rPr>
            </w:pPr>
          </w:p>
        </w:tc>
        <w:tc>
          <w:tcPr>
            <w:tcW w:w="1272" w:type="dxa"/>
            <w:gridSpan w:val="2"/>
            <w:vMerge w:val="continue"/>
            <w:vAlign w:val="center"/>
          </w:tcPr>
          <w:p>
            <w:pPr>
              <w:jc w:val="center"/>
              <w:rPr>
                <w:rFonts w:ascii="仿宋" w:hAnsi="仿宋" w:eastAsia="仿宋" w:cs="仿宋"/>
                <w:sz w:val="24"/>
                <w:highlight w:val="none"/>
              </w:rPr>
            </w:pPr>
          </w:p>
        </w:tc>
        <w:tc>
          <w:tcPr>
            <w:tcW w:w="4487" w:type="dxa"/>
            <w:vAlign w:val="center"/>
          </w:tcPr>
          <w:p>
            <w:pPr>
              <w:jc w:val="left"/>
              <w:rPr>
                <w:rFonts w:hint="eastAsia" w:ascii="仿宋" w:hAnsi="仿宋" w:eastAsia="仿宋" w:cs="仿宋"/>
                <w:sz w:val="24"/>
                <w:highlight w:val="none"/>
                <w:lang w:eastAsia="zh-CN"/>
              </w:rPr>
            </w:pPr>
            <w:r>
              <w:rPr>
                <w:rFonts w:hint="eastAsia" w:ascii="仿宋" w:hAnsi="仿宋" w:eastAsia="仿宋" w:cs="仿宋"/>
                <w:sz w:val="24"/>
                <w:highlight w:val="none"/>
              </w:rPr>
              <w:t>组织措施内容科学合理，针对性强的得4分；措施内容基本合理，针对性较强得3分；措施内容基本合理得2分；措施内容一般，有提及得1分。内容缺失严重不得分</w:t>
            </w:r>
            <w:r>
              <w:rPr>
                <w:rFonts w:hint="eastAsia" w:ascii="仿宋" w:hAnsi="仿宋" w:eastAsia="仿宋" w:cs="仿宋"/>
                <w:sz w:val="24"/>
                <w:highlight w:val="none"/>
                <w:lang w:eastAsia="zh-CN"/>
              </w:rPr>
              <w:t>。</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8</w:t>
            </w:r>
          </w:p>
        </w:tc>
        <w:tc>
          <w:tcPr>
            <w:tcW w:w="5759" w:type="dxa"/>
            <w:gridSpan w:val="3"/>
            <w:vAlign w:val="center"/>
          </w:tcPr>
          <w:p>
            <w:pPr>
              <w:jc w:val="left"/>
              <w:rPr>
                <w:rFonts w:hint="eastAsia" w:ascii="仿宋" w:hAnsi="仿宋" w:eastAsia="仿宋" w:cs="仿宋"/>
                <w:sz w:val="24"/>
                <w:highlight w:val="none"/>
                <w:lang w:eastAsia="zh-CN"/>
              </w:rPr>
            </w:pPr>
            <w:r>
              <w:rPr>
                <w:rFonts w:hint="eastAsia" w:ascii="仿宋" w:hAnsi="仿宋" w:eastAsia="仿宋" w:cs="仿宋"/>
                <w:sz w:val="24"/>
                <w:highlight w:val="none"/>
              </w:rPr>
              <w:t>投标人针对本项目施工重点难点分析到位，针对性强的得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分，施工重点难度内容分析合理得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分，施工重点难度内容分析基本合理得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分，内容有提及得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分。内容缺失严重不得分</w:t>
            </w:r>
            <w:r>
              <w:rPr>
                <w:rFonts w:hint="eastAsia" w:ascii="仿宋" w:hAnsi="仿宋" w:eastAsia="仿宋" w:cs="仿宋"/>
                <w:sz w:val="24"/>
                <w:highlight w:val="none"/>
                <w:lang w:eastAsia="zh-CN"/>
              </w:rPr>
              <w:t>。</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9</w:t>
            </w:r>
          </w:p>
        </w:tc>
        <w:tc>
          <w:tcPr>
            <w:tcW w:w="5759" w:type="dxa"/>
            <w:gridSpan w:val="3"/>
            <w:vAlign w:val="center"/>
          </w:tcPr>
          <w:p>
            <w:pPr>
              <w:jc w:val="left"/>
              <w:rPr>
                <w:rFonts w:hint="eastAsia" w:ascii="仿宋" w:hAnsi="仿宋" w:eastAsia="仿宋" w:cs="仿宋"/>
                <w:sz w:val="24"/>
                <w:highlight w:val="none"/>
                <w:lang w:eastAsia="zh-CN"/>
              </w:rPr>
            </w:pPr>
            <w:r>
              <w:rPr>
                <w:rFonts w:hint="eastAsia" w:ascii="仿宋" w:hAnsi="仿宋" w:eastAsia="仿宋" w:cs="仿宋"/>
                <w:sz w:val="24"/>
                <w:highlight w:val="none"/>
              </w:rPr>
              <w:t>投标人针对本项目施工重点难点措施内容科学合理，针对性强的得4分；措施内容基本合理，针对性较强得3分；措施内容基本合理得2分；措施内容一般，有提及得1分。内容缺失严重不得分</w:t>
            </w:r>
            <w:r>
              <w:rPr>
                <w:rFonts w:hint="eastAsia" w:ascii="仿宋" w:hAnsi="仿宋" w:eastAsia="仿宋" w:cs="仿宋"/>
                <w:sz w:val="24"/>
                <w:highlight w:val="none"/>
                <w:lang w:eastAsia="zh-CN"/>
              </w:rPr>
              <w:t>。</w:t>
            </w:r>
          </w:p>
        </w:tc>
        <w:tc>
          <w:tcPr>
            <w:tcW w:w="776" w:type="dxa"/>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重点难点措施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0" w:type="dxa"/>
            <w:vMerge w:val="restart"/>
            <w:vAlign w:val="center"/>
          </w:tcPr>
          <w:p>
            <w:pPr>
              <w:jc w:val="center"/>
              <w:rPr>
                <w:rFonts w:ascii="仿宋" w:hAnsi="仿宋" w:eastAsia="仿宋" w:cs="仿宋"/>
                <w:sz w:val="24"/>
                <w:highlight w:val="none"/>
              </w:rPr>
            </w:pPr>
            <w:r>
              <w:rPr>
                <w:rFonts w:hint="eastAsia" w:ascii="仿宋" w:hAnsi="仿宋" w:eastAsia="仿宋" w:cs="仿宋"/>
                <w:sz w:val="24"/>
                <w:highlight w:val="none"/>
              </w:rPr>
              <w:t>10</w:t>
            </w:r>
          </w:p>
        </w:tc>
        <w:tc>
          <w:tcPr>
            <w:tcW w:w="1205" w:type="dxa"/>
            <w:vMerge w:val="restart"/>
            <w:vAlign w:val="center"/>
          </w:tcPr>
          <w:p>
            <w:pPr>
              <w:jc w:val="center"/>
              <w:rPr>
                <w:rFonts w:ascii="仿宋" w:hAnsi="仿宋" w:eastAsia="仿宋" w:cs="仿宋"/>
                <w:sz w:val="24"/>
                <w:highlight w:val="none"/>
              </w:rPr>
            </w:pPr>
            <w:r>
              <w:rPr>
                <w:rFonts w:hint="eastAsia" w:ascii="仿宋" w:hAnsi="仿宋" w:eastAsia="仿宋" w:cs="仿宋"/>
                <w:sz w:val="24"/>
                <w:highlight w:val="none"/>
              </w:rPr>
              <w:t>专项施工方案</w:t>
            </w:r>
          </w:p>
        </w:tc>
        <w:tc>
          <w:tcPr>
            <w:tcW w:w="4554" w:type="dxa"/>
            <w:gridSpan w:val="2"/>
            <w:vAlign w:val="center"/>
          </w:tcPr>
          <w:p>
            <w:pPr>
              <w:jc w:val="left"/>
              <w:rPr>
                <w:rFonts w:hint="eastAsia" w:ascii="仿宋" w:hAnsi="仿宋" w:eastAsia="仿宋" w:cs="仿宋"/>
                <w:sz w:val="24"/>
                <w:highlight w:val="none"/>
                <w:lang w:eastAsia="zh-CN"/>
              </w:rPr>
            </w:pPr>
            <w:r>
              <w:rPr>
                <w:rFonts w:hint="eastAsia" w:ascii="仿宋" w:hAnsi="仿宋" w:eastAsia="仿宋" w:cs="仿宋"/>
                <w:sz w:val="24"/>
                <w:highlight w:val="none"/>
              </w:rPr>
              <w:t>专项施工方案内容科学合理，主要分部施工方法符合项目实际针对性强得4分，方案内容全面合理得3分，方案内容基本合理，满足采购需求得2分，方案内容有提及得1分。严重缺失不得分</w:t>
            </w:r>
            <w:r>
              <w:rPr>
                <w:rFonts w:hint="eastAsia" w:ascii="仿宋" w:hAnsi="仿宋" w:eastAsia="仿宋" w:cs="仿宋"/>
                <w:sz w:val="24"/>
                <w:highlight w:val="none"/>
                <w:lang w:eastAsia="zh-CN"/>
              </w:rPr>
              <w:t>。</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0" w:type="dxa"/>
            <w:vMerge w:val="continue"/>
            <w:vAlign w:val="center"/>
          </w:tcPr>
          <w:p>
            <w:pPr>
              <w:jc w:val="center"/>
              <w:rPr>
                <w:rFonts w:ascii="仿宋" w:hAnsi="仿宋" w:eastAsia="仿宋" w:cs="仿宋"/>
                <w:sz w:val="24"/>
                <w:highlight w:val="none"/>
              </w:rPr>
            </w:pPr>
          </w:p>
        </w:tc>
        <w:tc>
          <w:tcPr>
            <w:tcW w:w="1205" w:type="dxa"/>
            <w:vMerge w:val="continue"/>
            <w:vAlign w:val="center"/>
          </w:tcPr>
          <w:p>
            <w:pPr>
              <w:jc w:val="center"/>
              <w:rPr>
                <w:rFonts w:ascii="仿宋" w:hAnsi="仿宋" w:eastAsia="仿宋" w:cs="仿宋"/>
                <w:sz w:val="24"/>
                <w:highlight w:val="none"/>
              </w:rPr>
            </w:pPr>
          </w:p>
        </w:tc>
        <w:tc>
          <w:tcPr>
            <w:tcW w:w="4554" w:type="dxa"/>
            <w:gridSpan w:val="2"/>
            <w:vAlign w:val="center"/>
          </w:tcPr>
          <w:p>
            <w:pPr>
              <w:jc w:val="left"/>
              <w:rPr>
                <w:rFonts w:hint="eastAsia" w:ascii="仿宋" w:hAnsi="仿宋" w:eastAsia="仿宋" w:cs="仿宋"/>
                <w:sz w:val="24"/>
                <w:highlight w:val="none"/>
                <w:lang w:eastAsia="zh-CN"/>
              </w:rPr>
            </w:pPr>
            <w:r>
              <w:rPr>
                <w:rFonts w:hint="eastAsia" w:ascii="仿宋" w:hAnsi="仿宋" w:eastAsia="仿宋" w:cs="仿宋"/>
                <w:sz w:val="24"/>
                <w:highlight w:val="none"/>
              </w:rPr>
              <w:t>关键工序、复杂环节的相应技术措施内容科学合理，针对性强的得4分；措施内容基本合理，针对性较强得3分；措施内容基本合理得2分；措施内容一般，有提及得1分。内容缺失严重不得分</w:t>
            </w:r>
            <w:r>
              <w:rPr>
                <w:rFonts w:hint="eastAsia" w:ascii="仿宋" w:hAnsi="仿宋" w:eastAsia="仿宋" w:cs="仿宋"/>
                <w:sz w:val="24"/>
                <w:highlight w:val="none"/>
                <w:lang w:eastAsia="zh-CN"/>
              </w:rPr>
              <w:t>。</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关键工序、复杂环节的相应技术措施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11</w:t>
            </w:r>
          </w:p>
        </w:tc>
        <w:tc>
          <w:tcPr>
            <w:tcW w:w="5759" w:type="dxa"/>
            <w:gridSpan w:val="3"/>
            <w:vAlign w:val="center"/>
          </w:tcPr>
          <w:p>
            <w:pPr>
              <w:jc w:val="left"/>
              <w:rPr>
                <w:rFonts w:hint="eastAsia" w:ascii="仿宋" w:hAnsi="仿宋" w:eastAsia="仿宋" w:cs="仿宋"/>
                <w:sz w:val="24"/>
                <w:highlight w:val="none"/>
                <w:lang w:eastAsia="zh-CN"/>
              </w:rPr>
            </w:pPr>
            <w:r>
              <w:rPr>
                <w:rFonts w:hint="eastAsia" w:ascii="仿宋" w:hAnsi="仿宋" w:eastAsia="仿宋" w:cs="仿宋"/>
                <w:sz w:val="24"/>
                <w:highlight w:val="none"/>
              </w:rPr>
              <w:t>施工质量目标明确，质量控制措施科学、合理，且有技术支撑的得4分，质量措施合理得2分，质量措施基本合理得1分。严重缺失不得分</w:t>
            </w:r>
            <w:r>
              <w:rPr>
                <w:rFonts w:hint="eastAsia" w:ascii="仿宋" w:hAnsi="仿宋" w:eastAsia="仿宋" w:cs="仿宋"/>
                <w:sz w:val="24"/>
                <w:highlight w:val="none"/>
                <w:lang w:eastAsia="zh-CN"/>
              </w:rPr>
              <w:t>。</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12</w:t>
            </w:r>
          </w:p>
        </w:tc>
        <w:tc>
          <w:tcPr>
            <w:tcW w:w="5759" w:type="dxa"/>
            <w:gridSpan w:val="3"/>
            <w:vAlign w:val="center"/>
          </w:tcPr>
          <w:p>
            <w:pPr>
              <w:jc w:val="left"/>
              <w:rPr>
                <w:rFonts w:ascii="仿宋" w:hAnsi="仿宋" w:eastAsia="仿宋" w:cs="仿宋"/>
                <w:sz w:val="24"/>
                <w:highlight w:val="none"/>
              </w:rPr>
            </w:pPr>
            <w:r>
              <w:rPr>
                <w:rFonts w:hint="eastAsia" w:ascii="仿宋" w:hAnsi="仿宋" w:eastAsia="仿宋" w:cs="仿宋"/>
                <w:sz w:val="24"/>
                <w:highlight w:val="none"/>
              </w:rPr>
              <w:t>安全、文明施工及市政、市容、环保、消防等的保证措施科学、合理、到位的得4分，措施合理得2分，措施基本合理得1分。严重缺失不得分。</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安全、文明施工及市政、市容、环保、消防等的保证措施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13</w:t>
            </w:r>
          </w:p>
        </w:tc>
        <w:tc>
          <w:tcPr>
            <w:tcW w:w="5759" w:type="dxa"/>
            <w:gridSpan w:val="3"/>
            <w:vAlign w:val="center"/>
          </w:tcPr>
          <w:p>
            <w:pPr>
              <w:jc w:val="left"/>
              <w:rPr>
                <w:rFonts w:ascii="仿宋" w:hAnsi="仿宋" w:eastAsia="仿宋" w:cs="仿宋"/>
                <w:sz w:val="24"/>
                <w:highlight w:val="none"/>
              </w:rPr>
            </w:pPr>
            <w:r>
              <w:rPr>
                <w:rFonts w:hint="eastAsia" w:ascii="仿宋" w:hAnsi="仿宋" w:eastAsia="仿宋" w:cs="仿宋"/>
                <w:sz w:val="24"/>
                <w:highlight w:val="none"/>
              </w:rPr>
              <w:t>施工机具和检验仪器的投入能够优于工程实施的需要，且与项目相适应针对性强得4分，施工机具和检验仪器的投入满足工程实施需求且针对性强得3分，施工机具和检验仪器的投入基本满足工程实施需求得1分。严重缺失不得分</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14</w:t>
            </w:r>
          </w:p>
        </w:tc>
        <w:tc>
          <w:tcPr>
            <w:tcW w:w="5759" w:type="dxa"/>
            <w:gridSpan w:val="3"/>
            <w:vAlign w:val="center"/>
          </w:tcPr>
          <w:p>
            <w:pPr>
              <w:jc w:val="left"/>
              <w:rPr>
                <w:rFonts w:ascii="仿宋" w:hAnsi="仿宋" w:eastAsia="仿宋" w:cs="仿宋"/>
                <w:sz w:val="24"/>
                <w:highlight w:val="none"/>
              </w:rPr>
            </w:pPr>
            <w:r>
              <w:rPr>
                <w:rFonts w:hint="eastAsia" w:ascii="仿宋" w:hAnsi="仿宋" w:eastAsia="仿宋" w:cs="仿宋"/>
                <w:sz w:val="24"/>
                <w:highlight w:val="none"/>
              </w:rPr>
              <w:t>材料设备进场计划及施工计划情况：具有详细的材料设备进场计划且计划周密的，得4分， 材料设备进场计划合理可行的，得3分，基本合理可行的，得1分。严重缺失不得分。</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15</w:t>
            </w:r>
          </w:p>
        </w:tc>
        <w:tc>
          <w:tcPr>
            <w:tcW w:w="5759" w:type="dxa"/>
            <w:gridSpan w:val="3"/>
            <w:vAlign w:val="center"/>
          </w:tcPr>
          <w:p>
            <w:pPr>
              <w:jc w:val="left"/>
              <w:rPr>
                <w:rFonts w:ascii="仿宋" w:hAnsi="仿宋" w:eastAsia="仿宋" w:cs="仿宋"/>
                <w:sz w:val="24"/>
                <w:highlight w:val="none"/>
              </w:rPr>
            </w:pPr>
            <w:r>
              <w:rPr>
                <w:rFonts w:hint="eastAsia" w:ascii="仿宋" w:hAnsi="仿宋" w:eastAsia="仿宋" w:cs="仿宋"/>
                <w:sz w:val="24"/>
                <w:highlight w:val="none"/>
              </w:rPr>
              <w:t>投标人对成品保护的保证措施合理、科学，具有可操作性得4分，措施合理得3分，措施基本合理得1分。严重缺失不得分。</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成品保护的保证措施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16</w:t>
            </w:r>
          </w:p>
        </w:tc>
        <w:tc>
          <w:tcPr>
            <w:tcW w:w="5759" w:type="dxa"/>
            <w:gridSpan w:val="3"/>
            <w:vAlign w:val="center"/>
          </w:tcPr>
          <w:p>
            <w:pPr>
              <w:jc w:val="left"/>
              <w:rPr>
                <w:rFonts w:ascii="仿宋" w:hAnsi="仿宋" w:eastAsia="仿宋" w:cs="仿宋"/>
                <w:sz w:val="24"/>
                <w:highlight w:val="none"/>
              </w:rPr>
            </w:pPr>
            <w:r>
              <w:rPr>
                <w:rFonts w:hint="eastAsia" w:ascii="仿宋" w:hAnsi="仿宋" w:eastAsia="仿宋" w:cs="仿宋"/>
                <w:sz w:val="24"/>
                <w:highlight w:val="none"/>
              </w:rPr>
              <w:t>投标人的降噪措施合理、具有可操作性得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分，措施合理得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分，措施基本合理得1分。严重缺失不得分。</w:t>
            </w:r>
          </w:p>
        </w:tc>
        <w:tc>
          <w:tcPr>
            <w:tcW w:w="776" w:type="dxa"/>
            <w:vAlign w:val="center"/>
          </w:tcPr>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17</w:t>
            </w:r>
          </w:p>
        </w:tc>
        <w:tc>
          <w:tcPr>
            <w:tcW w:w="5759" w:type="dxa"/>
            <w:gridSpan w:val="3"/>
            <w:vAlign w:val="center"/>
          </w:tcPr>
          <w:p>
            <w:pPr>
              <w:jc w:val="left"/>
              <w:rPr>
                <w:rFonts w:ascii="仿宋" w:hAnsi="仿宋" w:eastAsia="仿宋" w:cs="仿宋"/>
                <w:sz w:val="24"/>
                <w:highlight w:val="none"/>
              </w:rPr>
            </w:pPr>
            <w:r>
              <w:rPr>
                <w:rFonts w:hint="eastAsia" w:ascii="仿宋" w:hAnsi="仿宋" w:eastAsia="仿宋" w:cs="仿宋"/>
                <w:sz w:val="24"/>
                <w:highlight w:val="none"/>
              </w:rPr>
              <w:t>投标人提供的合理化建议合理、具有可操作性、针对性</w:t>
            </w:r>
            <w:r>
              <w:rPr>
                <w:rFonts w:hint="eastAsia" w:ascii="仿宋" w:hAnsi="仿宋" w:eastAsia="仿宋" w:cs="仿宋"/>
                <w:sz w:val="24"/>
                <w:highlight w:val="none"/>
                <w:lang w:eastAsia="zh-CN"/>
              </w:rPr>
              <w:t>，</w:t>
            </w:r>
            <w:r>
              <w:rPr>
                <w:rFonts w:hint="eastAsia" w:ascii="仿宋" w:hAnsi="仿宋" w:eastAsia="仿宋" w:cs="仿宋"/>
                <w:sz w:val="24"/>
                <w:highlight w:val="none"/>
              </w:rPr>
              <w:t>得3分，内容合理得2分，内容基本合理得1分。严重缺失不得分。</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89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18</w:t>
            </w:r>
          </w:p>
        </w:tc>
        <w:tc>
          <w:tcPr>
            <w:tcW w:w="5759" w:type="dxa"/>
            <w:gridSpan w:val="3"/>
          </w:tcPr>
          <w:p>
            <w:pPr>
              <w:jc w:val="left"/>
              <w:rPr>
                <w:rFonts w:ascii="仿宋" w:hAnsi="仿宋" w:eastAsia="仿宋" w:cs="仿宋"/>
                <w:sz w:val="24"/>
                <w:highlight w:val="none"/>
              </w:rPr>
            </w:pPr>
            <w:r>
              <w:rPr>
                <w:rFonts w:hint="eastAsia" w:ascii="仿宋" w:hAnsi="仿宋" w:eastAsia="仿宋" w:cs="仿宋"/>
                <w:sz w:val="24"/>
                <w:highlight w:val="none"/>
              </w:rPr>
              <w:t>有效投标报价的最低价作为评标基准价，其最低报价为满分；按［投标报价得分=（评标基准价/投标最后报价）*30］的计算公式计算。</w:t>
            </w:r>
          </w:p>
          <w:p>
            <w:pPr>
              <w:jc w:val="left"/>
              <w:rPr>
                <w:rFonts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pPr>
              <w:jc w:val="left"/>
              <w:rPr>
                <w:rFonts w:ascii="仿宋" w:hAnsi="仿宋" w:eastAsia="仿宋" w:cs="仿宋"/>
                <w:sz w:val="24"/>
                <w:highlight w:val="none"/>
              </w:rPr>
            </w:pPr>
            <w:r>
              <w:rPr>
                <w:rFonts w:hint="eastAsia" w:ascii="仿宋" w:hAnsi="仿宋" w:eastAsia="仿宋" w:cs="仿宋"/>
                <w:sz w:val="24"/>
                <w:highlight w:val="none"/>
              </w:rPr>
              <w:t>因落实政府采购政策需要进行价格调整的，以调整后的价格计算评标基准价和投标报价。</w:t>
            </w:r>
          </w:p>
        </w:tc>
        <w:tc>
          <w:tcPr>
            <w:tcW w:w="776"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30</w:t>
            </w:r>
          </w:p>
        </w:tc>
        <w:tc>
          <w:tcPr>
            <w:tcW w:w="2084"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w:t>
            </w:r>
          </w:p>
        </w:tc>
      </w:tr>
    </w:tbl>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编制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（商务技术文件部分）时，建议按此目录（序号和内容）</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标准相应的商务技术资料。</w:t>
      </w:r>
    </w:p>
    <w:bookmarkEnd w:id="13"/>
    <w:p>
      <w:pPr>
        <w:snapToGrid w:val="0"/>
        <w:spacing w:line="360" w:lineRule="auto"/>
        <w:jc w:val="center"/>
        <w:rPr>
          <w:rFonts w:hint="eastAsia" w:ascii="仿宋" w:hAnsi="仿宋" w:eastAsia="仿宋" w:cs="仿宋"/>
          <w:b/>
          <w:sz w:val="28"/>
          <w:szCs w:val="28"/>
          <w:highlight w:val="none"/>
        </w:rPr>
      </w:pPr>
      <w:bookmarkStart w:id="393" w:name="第五部分"/>
      <w:bookmarkStart w:id="394" w:name="_Toc86217003"/>
      <w:r>
        <w:rPr>
          <w:rFonts w:hint="eastAsia" w:ascii="仿宋" w:hAnsi="仿宋" w:eastAsia="仿宋" w:cs="仿宋"/>
          <w:b/>
          <w:sz w:val="32"/>
          <w:highlight w:val="none"/>
        </w:rPr>
        <w:t>一、评审方法</w:t>
      </w:r>
    </w:p>
    <w:p>
      <w:pPr>
        <w:adjustRightInd/>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hint="eastAsia" w:ascii="仿宋" w:hAnsi="仿宋" w:eastAsia="仿宋" w:cs="仿宋"/>
          <w:b/>
          <w:sz w:val="32"/>
          <w:highlight w:val="none"/>
        </w:rPr>
      </w:pPr>
      <w:r>
        <w:rPr>
          <w:rFonts w:hint="eastAsia" w:ascii="仿宋" w:hAnsi="仿宋" w:eastAsia="仿宋" w:cs="仿宋"/>
          <w:b/>
          <w:sz w:val="32"/>
          <w:highlight w:val="none"/>
        </w:rPr>
        <w:t>二、评审标准</w:t>
      </w:r>
    </w:p>
    <w:p>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2.评审标准：</w:t>
      </w:r>
      <w:r>
        <w:rPr>
          <w:rFonts w:hint="eastAsia" w:ascii="仿宋" w:hAnsi="仿宋" w:eastAsia="仿宋" w:cs="仿宋"/>
          <w:kern w:val="0"/>
          <w:sz w:val="24"/>
          <w:highlight w:val="none"/>
        </w:rPr>
        <w:t>见评审办法前附表。</w:t>
      </w:r>
    </w:p>
    <w:p>
      <w:pPr>
        <w:snapToGrid w:val="0"/>
        <w:spacing w:line="360" w:lineRule="auto"/>
        <w:jc w:val="center"/>
        <w:rPr>
          <w:rFonts w:hint="eastAsia" w:ascii="仿宋" w:hAnsi="仿宋" w:eastAsia="仿宋" w:cs="仿宋"/>
          <w:b/>
          <w:sz w:val="32"/>
          <w:highlight w:val="none"/>
        </w:rPr>
      </w:pPr>
      <w:r>
        <w:rPr>
          <w:rFonts w:hint="eastAsia" w:ascii="仿宋" w:hAnsi="仿宋" w:eastAsia="仿宋" w:cs="仿宋"/>
          <w:b/>
          <w:sz w:val="32"/>
          <w:highlight w:val="none"/>
        </w:rPr>
        <w:t>三、评审程序</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hint="eastAsia" w:ascii="仿宋" w:hAnsi="仿宋" w:eastAsia="仿宋" w:cs="仿宋"/>
          <w:sz w:val="24"/>
          <w:highlight w:val="none"/>
        </w:rPr>
      </w:pPr>
      <w:r>
        <w:rPr>
          <w:rFonts w:hint="eastAsia" w:ascii="仿宋" w:hAnsi="仿宋" w:eastAsia="仿宋" w:cs="仿宋"/>
          <w:b/>
          <w:kern w:val="0"/>
          <w:sz w:val="24"/>
          <w:highlight w:val="none"/>
        </w:rPr>
        <w:t>3.2 磋商。</w:t>
      </w:r>
      <w:r>
        <w:rPr>
          <w:rFonts w:hint="eastAsia" w:ascii="仿宋" w:hAnsi="仿宋" w:eastAsia="仿宋" w:cs="仿宋"/>
          <w:sz w:val="24"/>
          <w:highlight w:val="none"/>
        </w:rPr>
        <w:t>磋商小组将对确定为实质性响应本采购文件的响应文件进行详细评价和比较，主要就商务报价、资信、服务方案内容、服务承诺等磋商小组认为与本次采购有关的因素与</w:t>
      </w:r>
      <w:r>
        <w:rPr>
          <w:rFonts w:hint="eastAsia" w:ascii="仿宋" w:hAnsi="仿宋" w:eastAsia="仿宋" w:cs="仿宋"/>
          <w:kern w:val="0"/>
          <w:sz w:val="24"/>
          <w:highlight w:val="none"/>
        </w:rPr>
        <w:t>符合性审查合格的</w:t>
      </w:r>
      <w:r>
        <w:rPr>
          <w:rFonts w:hint="eastAsia" w:ascii="仿宋" w:hAnsi="仿宋" w:eastAsia="仿宋" w:cs="仿宋"/>
          <w:sz w:val="24"/>
          <w:highlight w:val="none"/>
        </w:rPr>
        <w:t>供应商逐一进行磋商。</w:t>
      </w:r>
    </w:p>
    <w:p>
      <w:pPr>
        <w:spacing w:line="360" w:lineRule="auto"/>
        <w:ind w:firstLine="470" w:firstLineChars="196"/>
        <w:rPr>
          <w:rFonts w:hint="eastAsia" w:ascii="仿宋" w:hAnsi="仿宋" w:eastAsia="仿宋" w:cs="仿宋"/>
          <w:b/>
          <w:sz w:val="24"/>
          <w:highlight w:val="none"/>
        </w:rPr>
      </w:pPr>
      <w:r>
        <w:rPr>
          <w:rFonts w:hint="eastAsia" w:ascii="仿宋" w:hAnsi="仿宋" w:eastAsia="仿宋" w:cs="仿宋"/>
          <w:bCs/>
          <w:sz w:val="24"/>
          <w:highlight w:val="none"/>
        </w:rPr>
        <w:t xml:space="preserve">3.2.1 </w:t>
      </w:r>
      <w:r>
        <w:rPr>
          <w:rFonts w:hint="eastAsia" w:ascii="仿宋" w:hAnsi="仿宋" w:eastAsia="仿宋" w:cs="仿宋"/>
          <w:sz w:val="24"/>
          <w:highlight w:val="none"/>
        </w:rPr>
        <w:t>供应商逐家回答磋商小组的提问；</w:t>
      </w:r>
      <w:r>
        <w:rPr>
          <w:rFonts w:hint="eastAsia" w:ascii="仿宋" w:hAnsi="仿宋" w:eastAsia="仿宋" w:cs="仿宋"/>
          <w:b/>
          <w:sz w:val="24"/>
          <w:highlight w:val="none"/>
        </w:rPr>
        <w:t>逐家磋商一次为一个轮次，磋商轮次根据实际情况进行</w:t>
      </w:r>
      <w:r>
        <w:rPr>
          <w:rFonts w:hint="eastAsia" w:ascii="仿宋" w:hAnsi="仿宋" w:eastAsia="仿宋" w:cs="仿宋"/>
          <w:b/>
          <w:sz w:val="24"/>
          <w:highlight w:val="none"/>
          <w:u w:val="single"/>
        </w:rPr>
        <w:t>（本项目磋商轮次为二轮报价即为最终报价）</w:t>
      </w:r>
      <w:r>
        <w:rPr>
          <w:rFonts w:hint="eastAsia" w:ascii="仿宋" w:hAnsi="仿宋" w:eastAsia="仿宋" w:cs="仿宋"/>
          <w:b/>
          <w:sz w:val="24"/>
          <w:highlight w:val="none"/>
        </w:rPr>
        <w:t>。</w:t>
      </w:r>
    </w:p>
    <w:p>
      <w:pPr>
        <w:spacing w:line="360" w:lineRule="auto"/>
        <w:ind w:firstLine="470" w:firstLineChars="196"/>
        <w:rPr>
          <w:rFonts w:hint="eastAsia" w:ascii="仿宋" w:hAnsi="仿宋" w:eastAsia="仿宋" w:cs="仿宋"/>
          <w:sz w:val="24"/>
          <w:highlight w:val="none"/>
        </w:rPr>
      </w:pPr>
      <w:r>
        <w:rPr>
          <w:rFonts w:hint="eastAsia" w:ascii="仿宋" w:hAnsi="仿宋" w:eastAsia="仿宋" w:cs="仿宋"/>
          <w:bCs/>
          <w:sz w:val="24"/>
          <w:highlight w:val="none"/>
        </w:rPr>
        <w:t xml:space="preserve">3.2.2 </w:t>
      </w:r>
      <w:r>
        <w:rPr>
          <w:rFonts w:hint="eastAsia" w:ascii="仿宋" w:hAnsi="仿宋" w:eastAsia="仿宋" w:cs="仿宋"/>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hint="eastAsia" w:ascii="仿宋" w:hAnsi="仿宋" w:eastAsia="仿宋" w:cs="仿宋"/>
          <w:bCs/>
          <w:kern w:val="0"/>
          <w:sz w:val="24"/>
          <w:highlight w:val="none"/>
        </w:rPr>
      </w:pPr>
      <w:r>
        <w:rPr>
          <w:rFonts w:hint="eastAsia" w:ascii="仿宋" w:hAnsi="仿宋" w:eastAsia="仿宋" w:cs="仿宋"/>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kern w:val="0"/>
          <w:sz w:val="24"/>
          <w:highlight w:val="none"/>
        </w:rPr>
        <w:t>符合性审查合格的</w:t>
      </w:r>
      <w:r>
        <w:rPr>
          <w:rFonts w:hint="eastAsia" w:ascii="仿宋" w:hAnsi="仿宋" w:eastAsia="仿宋" w:cs="仿宋"/>
          <w:sz w:val="24"/>
          <w:highlight w:val="none"/>
        </w:rPr>
        <w:t xml:space="preserve">供应商。 </w:t>
      </w:r>
    </w:p>
    <w:p>
      <w:pPr>
        <w:spacing w:line="360" w:lineRule="auto"/>
        <w:ind w:firstLine="472" w:firstLineChars="196"/>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3.3最后报价</w:t>
      </w:r>
    </w:p>
    <w:p>
      <w:pPr>
        <w:spacing w:line="360" w:lineRule="auto"/>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3.3.3 符合《政府采购竞争性磋商采购方式管理暂行办法》第三条第四项情形及财库〔2015〕124号文件规定情形的，提交最后报价的供应商可以为2家 </w:t>
      </w:r>
    </w:p>
    <w:p>
      <w:pPr>
        <w:spacing w:line="360" w:lineRule="auto"/>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3.3.4 已提交响应文件的供应商，在提交最后报价之前，可以根据磋商情况退出磋商</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3.4 综合评分。</w:t>
      </w:r>
      <w:r>
        <w:rPr>
          <w:rFonts w:hint="eastAsia" w:ascii="仿宋" w:hAnsi="仿宋" w:eastAsia="仿宋" w:cs="仿宋"/>
          <w:bCs/>
          <w:kern w:val="0"/>
          <w:sz w:val="24"/>
          <w:highlight w:val="none"/>
        </w:rPr>
        <w:t>经磋商确定最终采购需求和提交最后报价的供应商后，</w:t>
      </w:r>
      <w:r>
        <w:rPr>
          <w:rFonts w:hint="eastAsia" w:ascii="仿宋" w:hAnsi="仿宋" w:eastAsia="仿宋" w:cs="仿宋"/>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3.5汇总商务技术得分。</w:t>
      </w:r>
      <w:r>
        <w:rPr>
          <w:rFonts w:hint="eastAsia" w:ascii="仿宋" w:hAnsi="仿宋" w:eastAsia="仿宋" w:cs="仿宋"/>
          <w:kern w:val="0"/>
          <w:sz w:val="24"/>
          <w:highlight w:val="none"/>
        </w:rPr>
        <w:t>磋商小组各成员应当独立对每个供应商的商务和技术文件进行评价，并汇总商务技术得分情况。</w:t>
      </w:r>
    </w:p>
    <w:p>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3.6报价评审。</w:t>
      </w:r>
    </w:p>
    <w:p>
      <w:pPr>
        <w:pStyle w:val="132"/>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3.6.1响应文件报价出现前后不一致的，按照下列规定修正：</w:t>
      </w:r>
    </w:p>
    <w:p>
      <w:pPr>
        <w:pStyle w:val="13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3.6.1.1响应文件中已标价工程量清单内容与响应文件中相应内容不一致的，以已标价工程量清单为准;</w:t>
      </w:r>
    </w:p>
    <w:p>
      <w:pPr>
        <w:pStyle w:val="13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3.6.1.2大写金额和小写金额不一致的，以大写金额为准;</w:t>
      </w:r>
    </w:p>
    <w:p>
      <w:pPr>
        <w:pStyle w:val="13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3.6.1.3单价金额小数点或者百分比有明显错位的，以已标价工程量清单的总价为准，并修改单价;</w:t>
      </w:r>
    </w:p>
    <w:p>
      <w:pPr>
        <w:pStyle w:val="13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3.6.1.4总价金额与按单价汇总金额不一致的，以单价金额计算结果为准。</w:t>
      </w:r>
    </w:p>
    <w:p>
      <w:pPr>
        <w:pStyle w:val="13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3.6.2响应文件出现不是唯一的、有选择性最后报价的，响应文件无效。</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3.6.3最后报价超过采购文件中规定的预算金额或者最高限价的，响应文件无效。</w:t>
      </w:r>
    </w:p>
    <w:p>
      <w:pPr>
        <w:pStyle w:val="132"/>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3.7排序与推荐。</w:t>
      </w:r>
      <w:r>
        <w:rPr>
          <w:rFonts w:hint="eastAsia" w:ascii="仿宋" w:hAnsi="仿宋" w:eastAsia="仿宋" w:cs="仿宋"/>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最高的供应商为排名第一的成交候选供应商。</w:t>
      </w:r>
    </w:p>
    <w:p>
      <w:pPr>
        <w:spacing w:line="360" w:lineRule="auto"/>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候选供应商推荐资格；评审得分相同的，采取随机抽取方式确定，其他同品牌供应商不作为成交候选供应商。</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3.8编写评审报告。</w:t>
      </w:r>
      <w:r>
        <w:rPr>
          <w:rFonts w:hint="eastAsia" w:ascii="仿宋" w:hAnsi="仿宋" w:eastAsia="仿宋" w:cs="仿宋"/>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hint="eastAsia" w:ascii="仿宋" w:hAnsi="仿宋" w:eastAsia="仿宋" w:cs="仿宋"/>
          <w:b/>
          <w:sz w:val="32"/>
          <w:highlight w:val="none"/>
        </w:rPr>
      </w:pPr>
      <w:r>
        <w:rPr>
          <w:rFonts w:hint="eastAsia" w:ascii="仿宋" w:hAnsi="仿宋" w:eastAsia="仿宋" w:cs="仿宋"/>
          <w:b/>
          <w:sz w:val="32"/>
          <w:highlight w:val="none"/>
        </w:rPr>
        <w:t>四、评审中的其他事项</w:t>
      </w:r>
    </w:p>
    <w:p>
      <w:pPr>
        <w:pStyle w:val="132"/>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4.1供应商澄清、说明或者补正。</w:t>
      </w:r>
      <w:r>
        <w:rPr>
          <w:rFonts w:hint="eastAsia" w:ascii="仿宋" w:hAnsi="仿宋" w:eastAsia="仿宋" w:cs="仿宋"/>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8"/>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4.2响应文件无效。</w:t>
      </w:r>
      <w:r>
        <w:rPr>
          <w:rFonts w:hint="eastAsia" w:ascii="仿宋" w:hAnsi="仿宋" w:eastAsia="仿宋" w:cs="仿宋"/>
          <w:szCs w:val="21"/>
          <w:highlight w:val="none"/>
        </w:rPr>
        <w:t>有下列情形之一的，响应文件无效：</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4.2.2响应文件未按照采购文件要求签署、盖章的；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4.2.4响应文件含有采购人不能接受的附加条件的；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4.2.5响应文件中承诺的响应文件有效期少于采购文件中载明的响应文件有效期的；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4.2.6响应文件出现不是唯一的、有选择性最后报价的;</w:t>
      </w:r>
    </w:p>
    <w:p>
      <w:pPr>
        <w:keepNext w:val="0"/>
        <w:keepLines w:val="0"/>
        <w:pageBreakBefore w:val="0"/>
        <w:widowControl w:val="0"/>
        <w:kinsoku/>
        <w:wordWrap/>
        <w:overflowPunct/>
        <w:topLinePunct w:val="0"/>
        <w:autoSpaceDE/>
        <w:autoSpaceDN/>
        <w:bidi w:val="0"/>
        <w:adjustRightInd w:val="0"/>
        <w:spacing w:line="43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4.2.7最后报价超过采购文件中规定的预算金额或者最高限价的;</w:t>
      </w:r>
    </w:p>
    <w:p>
      <w:pPr>
        <w:keepNext w:val="0"/>
        <w:keepLines w:val="0"/>
        <w:pageBreakBefore w:val="0"/>
        <w:widowControl w:val="0"/>
        <w:kinsoku/>
        <w:wordWrap/>
        <w:overflowPunct/>
        <w:topLinePunct w:val="0"/>
        <w:autoSpaceDE/>
        <w:autoSpaceDN/>
        <w:bidi w:val="0"/>
        <w:adjustRightInd w:val="0"/>
        <w:spacing w:line="43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autoSpaceDE/>
        <w:autoSpaceDN/>
        <w:bidi w:val="0"/>
        <w:adjustRightInd w:val="0"/>
        <w:spacing w:line="43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4.2.9供应商对根据修正原则修正后的报价不确认的；</w:t>
      </w:r>
    </w:p>
    <w:p>
      <w:pPr>
        <w:keepNext w:val="0"/>
        <w:keepLines w:val="0"/>
        <w:pageBreakBefore w:val="0"/>
        <w:widowControl w:val="0"/>
        <w:kinsoku/>
        <w:wordWrap/>
        <w:overflowPunct/>
        <w:topLinePunct w:val="0"/>
        <w:autoSpaceDE/>
        <w:autoSpaceDN/>
        <w:bidi w:val="0"/>
        <w:adjustRightInd w:val="0"/>
        <w:spacing w:line="43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4.2.10供应商提供虚假材料投标的；</w:t>
      </w:r>
    </w:p>
    <w:p>
      <w:pPr>
        <w:keepNext w:val="0"/>
        <w:keepLines w:val="0"/>
        <w:pageBreakBefore w:val="0"/>
        <w:widowControl w:val="0"/>
        <w:kinsoku/>
        <w:wordWrap/>
        <w:overflowPunct/>
        <w:topLinePunct w:val="0"/>
        <w:autoSpaceDE/>
        <w:autoSpaceDN/>
        <w:bidi w:val="0"/>
        <w:adjustRightInd w:val="0"/>
        <w:spacing w:line="43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4.2.11供应商有恶意串通、妨碍其他供应商的竞争行为、损害采购人或者其他供应商的合法权益情形的；</w:t>
      </w:r>
    </w:p>
    <w:p>
      <w:pPr>
        <w:keepNext w:val="0"/>
        <w:keepLines w:val="0"/>
        <w:pageBreakBefore w:val="0"/>
        <w:widowControl w:val="0"/>
        <w:kinsoku/>
        <w:wordWrap/>
        <w:overflowPunct/>
        <w:topLinePunct w:val="0"/>
        <w:autoSpaceDE/>
        <w:autoSpaceDN/>
        <w:bidi w:val="0"/>
        <w:adjustRightInd w:val="0"/>
        <w:spacing w:line="43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4.2.12供应商仅提交备份响应文件，未在电子交易平台传输递交响应文件的，响应文件无效；</w:t>
      </w:r>
    </w:p>
    <w:p>
      <w:pPr>
        <w:keepNext w:val="0"/>
        <w:keepLines w:val="0"/>
        <w:pageBreakBefore w:val="0"/>
        <w:widowControl w:val="0"/>
        <w:kinsoku/>
        <w:wordWrap/>
        <w:overflowPunct/>
        <w:topLinePunct w:val="0"/>
        <w:autoSpaceDE/>
        <w:autoSpaceDN/>
        <w:bidi w:val="0"/>
        <w:adjustRightInd w:val="0"/>
        <w:spacing w:line="43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4.2.13 响应文件不满足采购文件的其它实质性要求的；</w:t>
      </w:r>
    </w:p>
    <w:p>
      <w:pPr>
        <w:keepNext w:val="0"/>
        <w:keepLines w:val="0"/>
        <w:pageBreakBefore w:val="0"/>
        <w:widowControl w:val="0"/>
        <w:kinsoku/>
        <w:wordWrap/>
        <w:overflowPunct/>
        <w:topLinePunct w:val="0"/>
        <w:autoSpaceDE/>
        <w:autoSpaceDN/>
        <w:bidi w:val="0"/>
        <w:adjustRightInd w:val="0"/>
        <w:spacing w:line="43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pPr>
        <w:pStyle w:val="28"/>
        <w:keepNext w:val="0"/>
        <w:keepLines w:val="0"/>
        <w:pageBreakBefore w:val="0"/>
        <w:widowControl w:val="0"/>
        <w:kinsoku/>
        <w:wordWrap/>
        <w:overflowPunct/>
        <w:topLinePunct w:val="0"/>
        <w:autoSpaceDE/>
        <w:autoSpaceDN/>
        <w:bidi w:val="0"/>
        <w:adjustRightInd w:val="0"/>
        <w:snapToGrid w:val="0"/>
        <w:spacing w:line="430" w:lineRule="exact"/>
        <w:ind w:firstLine="472" w:firstLineChars="196"/>
        <w:textAlignment w:val="auto"/>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28"/>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hint="eastAsia" w:ascii="仿宋" w:hAnsi="仿宋" w:eastAsia="仿宋" w:cs="仿宋"/>
          <w:highlight w:val="none"/>
        </w:rPr>
      </w:pPr>
      <w:r>
        <w:rPr>
          <w:rFonts w:hint="eastAsia" w:ascii="仿宋" w:hAnsi="仿宋" w:eastAsia="仿宋" w:cs="仿宋"/>
          <w:highlight w:val="none"/>
        </w:rPr>
        <w:t>5.1符合专业条件的供应商或者对采购文件作实质响应的供应商不足3家的（符合《政府采购竞争性磋商采购方式管理暂行办法》第三条第四项情形及财库〔2015〕124号文件规定情形的，提交最后报价的供应商可以为2家）；</w:t>
      </w:r>
    </w:p>
    <w:p>
      <w:pPr>
        <w:pStyle w:val="28"/>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pPr>
        <w:pStyle w:val="28"/>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hint="eastAsia" w:ascii="仿宋" w:hAnsi="仿宋" w:eastAsia="仿宋" w:cs="仿宋"/>
          <w:highlight w:val="none"/>
        </w:rPr>
      </w:pPr>
      <w:r>
        <w:rPr>
          <w:rFonts w:hint="eastAsia" w:ascii="仿宋" w:hAnsi="仿宋" w:eastAsia="仿宋" w:cs="仿宋"/>
          <w:highlight w:val="none"/>
        </w:rPr>
        <w:t>5.3供应商的报价均超过了采购预算，采购人不能支付的；</w:t>
      </w:r>
    </w:p>
    <w:p>
      <w:pPr>
        <w:pStyle w:val="28"/>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hint="eastAsia" w:ascii="仿宋" w:hAnsi="仿宋" w:eastAsia="仿宋" w:cs="仿宋"/>
          <w:highlight w:val="none"/>
        </w:rPr>
      </w:pPr>
      <w:r>
        <w:rPr>
          <w:rFonts w:hint="eastAsia" w:ascii="仿宋" w:hAnsi="仿宋" w:eastAsia="仿宋" w:cs="仿宋"/>
          <w:highlight w:val="none"/>
        </w:rPr>
        <w:t>5.4 在采购活动中因重大变故，采购任务取消的，采购人或者采购代理机构应当终止采购活动，通知所有参加采购活动的供应商，并将项目实施情况和采购任务取消原因报送本级财政部门。</w:t>
      </w:r>
    </w:p>
    <w:p>
      <w:pPr>
        <w:pStyle w:val="28"/>
        <w:keepNext w:val="0"/>
        <w:keepLines w:val="0"/>
        <w:pageBreakBefore w:val="0"/>
        <w:widowControl w:val="0"/>
        <w:kinsoku/>
        <w:wordWrap/>
        <w:overflowPunct/>
        <w:topLinePunct w:val="0"/>
        <w:autoSpaceDE/>
        <w:autoSpaceDN/>
        <w:bidi w:val="0"/>
        <w:adjustRightInd w:val="0"/>
        <w:snapToGrid w:val="0"/>
        <w:spacing w:line="430" w:lineRule="exact"/>
        <w:ind w:firstLine="482"/>
        <w:textAlignment w:val="auto"/>
        <w:rPr>
          <w:rFonts w:hint="eastAsia" w:ascii="仿宋" w:hAnsi="仿宋" w:eastAsia="仿宋" w:cs="仿宋"/>
          <w:highlight w:val="none"/>
        </w:rPr>
      </w:pPr>
      <w:r>
        <w:rPr>
          <w:rFonts w:hint="eastAsia" w:ascii="仿宋" w:hAnsi="仿宋" w:eastAsia="仿宋" w:cs="仿宋"/>
          <w:b/>
          <w:kern w:val="0"/>
          <w:highlight w:val="none"/>
        </w:rPr>
        <w:t>6.重新开展采购。</w:t>
      </w:r>
      <w:r>
        <w:rPr>
          <w:rFonts w:hint="eastAsia" w:ascii="仿宋" w:hAnsi="仿宋" w:eastAsia="仿宋" w:cs="仿宋"/>
          <w:highlight w:val="none"/>
        </w:rPr>
        <w:t>有政府采购法第七十一条、第七十二条规定的违法行为之一，影响或者可能影响成交结果的，依照下列规定处理：</w:t>
      </w:r>
    </w:p>
    <w:p>
      <w:pPr>
        <w:pStyle w:val="28"/>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hint="eastAsia" w:ascii="仿宋" w:hAnsi="仿宋" w:eastAsia="仿宋" w:cs="仿宋"/>
          <w:highlight w:val="none"/>
        </w:rPr>
      </w:pPr>
      <w:r>
        <w:rPr>
          <w:rFonts w:hint="eastAsia" w:ascii="仿宋" w:hAnsi="仿宋" w:eastAsia="仿宋" w:cs="仿宋"/>
          <w:highlight w:val="none"/>
        </w:rPr>
        <w:t>6.1未确定成交供应商的，终止本次政府采购活动，重新开展政府采购活动。</w:t>
      </w:r>
    </w:p>
    <w:p>
      <w:pPr>
        <w:pStyle w:val="28"/>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hint="eastAsia" w:ascii="仿宋" w:hAnsi="仿宋" w:eastAsia="仿宋" w:cs="仿宋"/>
          <w:highlight w:val="none"/>
        </w:rPr>
      </w:pPr>
      <w:r>
        <w:rPr>
          <w:rFonts w:hint="eastAsia" w:ascii="仿宋" w:hAnsi="仿宋" w:eastAsia="仿宋" w:cs="仿宋"/>
          <w:highlight w:val="none"/>
        </w:rPr>
        <w:t>6.2已确定成交供应商但尚未签订政府采购合同的，成交结果无效，从合格的成交候选供应商中另行确定成交供应商；没有合格的成交候选供应商的，重新开展政府采购活动。</w:t>
      </w:r>
    </w:p>
    <w:p>
      <w:pPr>
        <w:pStyle w:val="28"/>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hint="eastAsia" w:ascii="仿宋" w:hAnsi="仿宋" w:eastAsia="仿宋" w:cs="仿宋"/>
          <w:highlight w:val="none"/>
        </w:rPr>
      </w:pPr>
      <w:r>
        <w:rPr>
          <w:rFonts w:hint="eastAsia" w:ascii="仿宋" w:hAnsi="仿宋" w:eastAsia="仿宋" w:cs="仿宋"/>
          <w:highlight w:val="none"/>
        </w:rPr>
        <w:t>6.3政府采购合同已签订但尚未履行的，撤销合同，从合格的成交候选供应商中另行确定成交供应商；没有合格的成交候选供应商的，重新开展政府采购活动。</w:t>
      </w:r>
    </w:p>
    <w:p>
      <w:pPr>
        <w:pStyle w:val="28"/>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hint="eastAsia" w:ascii="仿宋" w:hAnsi="仿宋" w:eastAsia="仿宋" w:cs="仿宋"/>
          <w:highlight w:val="none"/>
        </w:rPr>
      </w:pPr>
      <w:r>
        <w:rPr>
          <w:rFonts w:hint="eastAsia" w:ascii="仿宋" w:hAnsi="仿宋" w:eastAsia="仿宋" w:cs="仿宋"/>
          <w:highlight w:val="none"/>
        </w:rPr>
        <w:t>6.4政府采购合同已经履行，给采购人、供应商造成损失的，由责任人承担赔偿责任。</w:t>
      </w:r>
    </w:p>
    <w:p>
      <w:pPr>
        <w:pStyle w:val="28"/>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hint="eastAsia" w:ascii="仿宋" w:hAnsi="仿宋" w:eastAsia="仿宋" w:cs="仿宋"/>
          <w:highlight w:val="none"/>
        </w:rPr>
      </w:pPr>
      <w:r>
        <w:rPr>
          <w:rFonts w:hint="eastAsia" w:ascii="仿宋" w:hAnsi="仿宋" w:eastAsia="仿宋" w:cs="仿宋"/>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8"/>
        <w:snapToGrid w:val="0"/>
        <w:spacing w:line="360" w:lineRule="auto"/>
        <w:ind w:firstLine="0" w:firstLineChars="0"/>
        <w:rPr>
          <w:rFonts w:hint="eastAsia" w:ascii="仿宋" w:hAnsi="仿宋" w:eastAsia="仿宋" w:cs="仿宋"/>
          <w:highlight w:val="none"/>
        </w:rPr>
        <w:sectPr>
          <w:footerReference r:id="rId17" w:type="default"/>
          <w:pgSz w:w="11907" w:h="16840"/>
          <w:pgMar w:top="1440" w:right="1080" w:bottom="1440" w:left="1080" w:header="851" w:footer="851" w:gutter="0"/>
          <w:pgNumType w:fmt="decimal"/>
          <w:cols w:space="720" w:num="1"/>
        </w:sect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hd w:val="clear"/>
        <w:snapToGrid w:val="0"/>
        <w:spacing w:line="360" w:lineRule="auto"/>
        <w:ind w:firstLine="480" w:firstLineChars="200"/>
        <w:jc w:val="left"/>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使用住房城乡建设部、原国家工商行政管理总局制定的《建设工程施工合同（示范文本）》（GF-2017-0201）。</w:t>
      </w:r>
    </w:p>
    <w:p>
      <w:pPr>
        <w:pStyle w:val="4"/>
        <w:shd w:val="clear"/>
        <w:rPr>
          <w:rFonts w:hint="eastAsia" w:ascii="宋体" w:hAnsi="宋体" w:eastAsia="宋体" w:cs="宋体"/>
          <w:color w:val="auto"/>
          <w:sz w:val="36"/>
          <w:szCs w:val="36"/>
          <w:highlight w:val="none"/>
        </w:rPr>
      </w:pPr>
      <w:r>
        <w:rPr>
          <w:rFonts w:hint="eastAsia" w:ascii="宋体" w:hAnsi="宋体" w:eastAsia="宋体" w:cs="宋体"/>
          <w:b w:val="0"/>
          <w:bCs w:val="0"/>
          <w:color w:val="auto"/>
          <w:sz w:val="36"/>
          <w:szCs w:val="36"/>
          <w:highlight w:val="none"/>
        </w:rPr>
        <w:t>GF-2017-0201</w:t>
      </w:r>
    </w:p>
    <w:p>
      <w:pPr>
        <w:shd w:val="clear"/>
        <w:ind w:left="840" w:leftChars="0" w:hanging="840" w:hangingChars="3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shd w:val="clear"/>
        <w:jc w:val="center"/>
        <w:rPr>
          <w:rFonts w:hint="eastAsia" w:ascii="宋体" w:hAnsi="宋体" w:eastAsia="宋体" w:cs="宋体"/>
          <w:b/>
          <w:bCs/>
          <w:color w:val="auto"/>
          <w:sz w:val="80"/>
          <w:szCs w:val="80"/>
          <w:highlight w:val="none"/>
        </w:rPr>
      </w:pPr>
      <w:r>
        <w:rPr>
          <w:rFonts w:hint="eastAsia" w:ascii="宋体" w:hAnsi="宋体" w:eastAsia="宋体" w:cs="宋体"/>
          <w:b/>
          <w:bCs/>
          <w:color w:val="auto"/>
          <w:sz w:val="80"/>
          <w:szCs w:val="80"/>
          <w:highlight w:val="none"/>
        </w:rPr>
        <w:t>建设工程施工合同</w:t>
      </w:r>
    </w:p>
    <w:p>
      <w:pPr>
        <w:shd w:val="clear"/>
        <w:jc w:val="center"/>
        <w:rPr>
          <w:rFonts w:hint="eastAsia" w:ascii="宋体" w:hAnsi="宋体" w:eastAsia="宋体" w:cs="宋体"/>
          <w:b/>
          <w:bCs/>
          <w:color w:val="auto"/>
          <w:spacing w:val="26"/>
          <w:sz w:val="32"/>
          <w:szCs w:val="32"/>
          <w:highlight w:val="none"/>
        </w:rPr>
      </w:pPr>
      <w:r>
        <w:rPr>
          <w:rFonts w:hint="eastAsia" w:ascii="宋体" w:hAnsi="宋体" w:eastAsia="宋体" w:cs="宋体"/>
          <w:b/>
          <w:bCs/>
          <w:color w:val="auto"/>
          <w:spacing w:val="26"/>
          <w:sz w:val="32"/>
          <w:szCs w:val="32"/>
          <w:highlight w:val="none"/>
        </w:rPr>
        <w:t>（示范文本）</w:t>
      </w:r>
    </w:p>
    <w:p>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pPr>
        <w:pStyle w:val="25"/>
        <w:rPr>
          <w:rFonts w:hint="eastAsia" w:ascii="宋体" w:hAnsi="宋体" w:eastAsia="宋体" w:cs="宋体"/>
          <w:b/>
          <w:bCs/>
          <w:color w:val="auto"/>
          <w:sz w:val="28"/>
          <w:szCs w:val="28"/>
          <w:highlight w:val="none"/>
        </w:rPr>
      </w:pPr>
    </w:p>
    <w:p>
      <w:pPr>
        <w:pStyle w:val="26"/>
        <w:rPr>
          <w:rFonts w:hint="eastAsia"/>
          <w:highlight w:val="none"/>
        </w:rPr>
      </w:pPr>
    </w:p>
    <w:p>
      <w:pPr>
        <w:shd w:val="clear"/>
        <w:jc w:val="center"/>
        <w:rPr>
          <w:rFonts w:hint="eastAsia" w:ascii="宋体" w:hAnsi="宋体" w:eastAsia="宋体" w:cs="宋体"/>
          <w:b/>
          <w:bCs/>
          <w:color w:val="auto"/>
          <w:sz w:val="28"/>
          <w:szCs w:val="28"/>
          <w:highlight w:val="none"/>
        </w:rPr>
      </w:pPr>
    </w:p>
    <w:p>
      <w:pPr>
        <w:shd w:val="clear"/>
        <w:jc w:val="center"/>
        <w:rPr>
          <w:rFonts w:hint="eastAsia" w:ascii="宋体" w:hAnsi="宋体" w:eastAsia="宋体" w:cs="宋体"/>
          <w:b/>
          <w:bCs/>
          <w:color w:val="auto"/>
          <w:sz w:val="28"/>
          <w:szCs w:val="28"/>
          <w:highlight w:val="none"/>
        </w:rPr>
      </w:pPr>
    </w:p>
    <w:p>
      <w:pPr>
        <w:shd w:val="clear"/>
        <w:jc w:val="center"/>
        <w:rPr>
          <w:rFonts w:hint="eastAsia" w:ascii="宋体" w:hAnsi="宋体" w:eastAsia="宋体" w:cs="宋体"/>
          <w:b/>
          <w:bCs/>
          <w:color w:val="auto"/>
          <w:sz w:val="28"/>
          <w:szCs w:val="28"/>
          <w:highlight w:val="none"/>
        </w:rPr>
      </w:pPr>
    </w:p>
    <w:p>
      <w:pPr>
        <w:shd w:val="clear"/>
        <w:jc w:val="center"/>
        <w:rPr>
          <w:rFonts w:hint="eastAsia" w:ascii="宋体" w:hAnsi="宋体" w:eastAsia="宋体" w:cs="宋体"/>
          <w:b/>
          <w:bCs/>
          <w:color w:val="auto"/>
          <w:sz w:val="28"/>
          <w:szCs w:val="28"/>
          <w:highlight w:val="none"/>
        </w:rPr>
      </w:pPr>
    </w:p>
    <w:p>
      <w:pPr>
        <w:shd w:val="clear"/>
        <w:jc w:val="center"/>
        <w:rPr>
          <w:rFonts w:hint="eastAsia" w:ascii="宋体" w:hAnsi="宋体" w:eastAsia="宋体" w:cs="宋体"/>
          <w:b/>
          <w:bCs/>
          <w:color w:val="auto"/>
          <w:sz w:val="28"/>
          <w:szCs w:val="28"/>
          <w:highlight w:val="none"/>
        </w:rPr>
      </w:pPr>
    </w:p>
    <w:p>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pPr>
        <w:shd w:val="clear"/>
        <w:spacing w:line="400" w:lineRule="exact"/>
        <w:ind w:firstLine="2160" w:firstLineChars="633"/>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中华人民共和国建设部</w:t>
      </w:r>
    </w:p>
    <w:p>
      <w:pPr>
        <w:shd w:val="clear"/>
        <w:spacing w:line="400" w:lineRule="exact"/>
        <w:ind w:firstLine="5940" w:firstLineChars="1850"/>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制定</w:t>
      </w:r>
    </w:p>
    <w:p>
      <w:pPr>
        <w:shd w:val="clear"/>
        <w:spacing w:line="400" w:lineRule="exact"/>
        <w:ind w:firstLine="2161" w:firstLineChars="579"/>
        <w:rPr>
          <w:rFonts w:hint="eastAsia" w:ascii="宋体" w:hAnsi="宋体" w:eastAsia="宋体" w:cs="宋体"/>
          <w:b/>
          <w:bCs/>
          <w:color w:val="auto"/>
          <w:spacing w:val="36"/>
          <w:sz w:val="30"/>
          <w:szCs w:val="30"/>
          <w:highlight w:val="none"/>
        </w:rPr>
      </w:pPr>
      <w:r>
        <w:rPr>
          <w:rFonts w:hint="eastAsia" w:ascii="宋体" w:hAnsi="宋体" w:eastAsia="宋体" w:cs="宋体"/>
          <w:b/>
          <w:bCs/>
          <w:color w:val="auto"/>
          <w:spacing w:val="36"/>
          <w:sz w:val="30"/>
          <w:szCs w:val="30"/>
          <w:highlight w:val="none"/>
        </w:rPr>
        <w:t>国家工商行政管理局</w:t>
      </w:r>
    </w:p>
    <w:p>
      <w:pPr>
        <w:shd w:val="clear"/>
        <w:rPr>
          <w:rFonts w:hint="eastAsia"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 xml:space="preserve"> </w:t>
      </w:r>
    </w:p>
    <w:p>
      <w:pPr>
        <w:pStyle w:val="37"/>
        <w:shd w:val="clear"/>
        <w:spacing w:line="440" w:lineRule="exact"/>
        <w:ind w:firstLine="504" w:firstLineChars="180"/>
        <w:rPr>
          <w:rFonts w:hint="eastAsia" w:ascii="宋体" w:hAnsi="宋体" w:eastAsia="宋体" w:cs="宋体"/>
          <w:color w:val="auto"/>
          <w:sz w:val="28"/>
          <w:szCs w:val="28"/>
          <w:highlight w:val="none"/>
        </w:rPr>
      </w:pPr>
    </w:p>
    <w:p>
      <w:pPr>
        <w:pStyle w:val="37"/>
        <w:shd w:val="clear"/>
        <w:snapToGrid w:val="0"/>
        <w:spacing w:line="440" w:lineRule="exact"/>
        <w:ind w:right="-512" w:rightChars="-244"/>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1、合同协议书</w:t>
      </w:r>
    </w:p>
    <w:p>
      <w:pPr>
        <w:pStyle w:val="37"/>
        <w:shd w:val="clear"/>
        <w:spacing w:line="440" w:lineRule="exact"/>
        <w:ind w:left="423" w:leftChars="183" w:hanging="39" w:hangingChars="16"/>
        <w:rPr>
          <w:rFonts w:hint="eastAsia" w:ascii="仿宋" w:hAnsi="仿宋" w:eastAsia="仿宋" w:cs="仿宋"/>
          <w:color w:val="auto"/>
          <w:spacing w:val="2"/>
          <w:sz w:val="24"/>
          <w:szCs w:val="24"/>
          <w:highlight w:val="none"/>
        </w:rPr>
      </w:pPr>
    </w:p>
    <w:p>
      <w:pPr>
        <w:pStyle w:val="37"/>
        <w:shd w:val="clear"/>
        <w:spacing w:line="440" w:lineRule="exact"/>
        <w:ind w:left="423" w:leftChars="183" w:hanging="39" w:hangingChars="16"/>
        <w:rPr>
          <w:rFonts w:hint="default"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rPr>
        <w:t>甲方：</w:t>
      </w:r>
      <w:r>
        <w:rPr>
          <w:rFonts w:hint="eastAsia" w:ascii="仿宋" w:hAnsi="仿宋" w:eastAsia="仿宋" w:cs="仿宋"/>
          <w:color w:val="auto"/>
          <w:spacing w:val="2"/>
          <w:sz w:val="24"/>
          <w:szCs w:val="24"/>
          <w:highlight w:val="none"/>
          <w:u w:val="single"/>
          <w:lang w:val="en-US" w:eastAsia="zh-CN"/>
        </w:rPr>
        <w:t xml:space="preserve"> </w:t>
      </w:r>
      <w:r>
        <w:rPr>
          <w:rFonts w:hint="eastAsia" w:ascii="华文仿宋" w:hAnsi="华文仿宋" w:eastAsia="华文仿宋"/>
          <w:color w:val="auto"/>
          <w:sz w:val="24"/>
          <w:highlight w:val="none"/>
          <w:u w:val="single"/>
          <w:lang w:eastAsia="zh-CN"/>
        </w:rPr>
        <w:t>杭州市钱塘区农业农村局</w:t>
      </w:r>
      <w:r>
        <w:rPr>
          <w:rFonts w:hint="eastAsia" w:ascii="仿宋" w:hAnsi="仿宋" w:eastAsia="仿宋" w:cs="仿宋"/>
          <w:color w:val="auto"/>
          <w:spacing w:val="2"/>
          <w:sz w:val="24"/>
          <w:szCs w:val="24"/>
          <w:highlight w:val="none"/>
          <w:u w:val="single"/>
          <w:lang w:val="en-US" w:eastAsia="zh-CN"/>
        </w:rPr>
        <w:t xml:space="preserve">             </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乙方：</w:t>
      </w:r>
      <w:r>
        <w:rPr>
          <w:rFonts w:hint="eastAsia" w:ascii="仿宋" w:hAnsi="仿宋" w:eastAsia="仿宋" w:cs="仿宋"/>
          <w:color w:val="auto"/>
          <w:spacing w:val="2"/>
          <w:sz w:val="24"/>
          <w:szCs w:val="24"/>
          <w:highlight w:val="none"/>
          <w:u w:val="single"/>
        </w:rPr>
        <w:t xml:space="preserve">                                   </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依据《中华人民共和国</w:t>
      </w:r>
      <w:r>
        <w:rPr>
          <w:rFonts w:hint="eastAsia" w:ascii="仿宋" w:hAnsi="仿宋" w:eastAsia="仿宋" w:cs="仿宋"/>
          <w:color w:val="auto"/>
          <w:spacing w:val="2"/>
          <w:sz w:val="24"/>
          <w:szCs w:val="24"/>
          <w:highlight w:val="none"/>
          <w:lang w:eastAsia="zh-CN"/>
        </w:rPr>
        <w:t>民法典</w:t>
      </w:r>
      <w:r>
        <w:rPr>
          <w:rFonts w:hint="eastAsia" w:ascii="仿宋" w:hAnsi="仿宋" w:eastAsia="仿宋" w:cs="仿宋"/>
          <w:color w:val="auto"/>
          <w:spacing w:val="2"/>
          <w:sz w:val="24"/>
          <w:szCs w:val="24"/>
          <w:highlight w:val="none"/>
        </w:rPr>
        <w:t>》、《中华人民共和国建筑法》及其他有关法律、行政法规，遵循平等、自愿、公平和诚实信用的原则，双方就本建设工程施工事项协商一致，订立本合同。</w:t>
      </w:r>
    </w:p>
    <w:p>
      <w:pPr>
        <w:pStyle w:val="37"/>
        <w:shd w:val="clear"/>
        <w:snapToGrid w:val="0"/>
        <w:spacing w:line="440" w:lineRule="exact"/>
        <w:ind w:firstLine="488"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一、工程概况</w:t>
      </w:r>
    </w:p>
    <w:p>
      <w:pPr>
        <w:pStyle w:val="37"/>
        <w:shd w:val="clear"/>
        <w:snapToGrid w:val="0"/>
        <w:spacing w:line="440" w:lineRule="exact"/>
        <w:ind w:firstLine="610" w:firstLineChars="25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pacing w:val="2"/>
          <w:sz w:val="24"/>
          <w:szCs w:val="24"/>
          <w:highlight w:val="none"/>
        </w:rPr>
        <w:t>1、工程名称：</w:t>
      </w:r>
      <w:r>
        <w:rPr>
          <w:rFonts w:hint="eastAsia" w:ascii="仿宋" w:hAnsi="仿宋" w:eastAsia="仿宋" w:cs="仿宋"/>
          <w:color w:val="auto"/>
          <w:spacing w:val="2"/>
          <w:sz w:val="24"/>
          <w:szCs w:val="24"/>
          <w:highlight w:val="none"/>
          <w:u w:val="single"/>
          <w:lang w:eastAsia="zh-CN"/>
        </w:rPr>
        <w:t>十二埭横河河道清淤工程</w:t>
      </w:r>
    </w:p>
    <w:p>
      <w:pPr>
        <w:pStyle w:val="37"/>
        <w:shd w:val="clear"/>
        <w:snapToGrid w:val="0"/>
        <w:spacing w:line="440" w:lineRule="exact"/>
        <w:ind w:firstLine="610" w:firstLineChars="250"/>
        <w:rPr>
          <w:rFonts w:hint="default"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rPr>
        <w:t>2、工程地点：</w:t>
      </w:r>
      <w:r>
        <w:rPr>
          <w:rFonts w:hint="eastAsia" w:ascii="仿宋" w:hAnsi="仿宋" w:eastAsia="仿宋" w:cs="仿宋"/>
          <w:color w:val="auto"/>
          <w:sz w:val="24"/>
          <w:szCs w:val="24"/>
          <w:highlight w:val="none"/>
          <w:lang w:val="en-US" w:eastAsia="zh-CN"/>
        </w:rPr>
        <w:t xml:space="preserve"> 杭州市钱塘区</w:t>
      </w:r>
    </w:p>
    <w:p>
      <w:pPr>
        <w:pStyle w:val="37"/>
        <w:shd w:val="clear"/>
        <w:snapToGrid w:val="0"/>
        <w:spacing w:line="440" w:lineRule="exact"/>
        <w:ind w:firstLine="610" w:firstLineChars="25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3、工程内容与承包范围：</w:t>
      </w:r>
      <w:r>
        <w:rPr>
          <w:rFonts w:hint="eastAsia" w:ascii="仿宋" w:hAnsi="仿宋" w:eastAsia="仿宋" w:cs="仿宋"/>
          <w:color w:val="auto"/>
          <w:sz w:val="24"/>
          <w:szCs w:val="24"/>
          <w:highlight w:val="none"/>
        </w:rPr>
        <w:t>具体为预算审核说明及施工图范围内的所有工程。</w:t>
      </w:r>
    </w:p>
    <w:p>
      <w:pPr>
        <w:pStyle w:val="37"/>
        <w:shd w:val="clear"/>
        <w:snapToGrid w:val="0"/>
        <w:spacing w:line="440" w:lineRule="exact"/>
        <w:ind w:firstLine="610" w:firstLineChars="25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4．质量要</w:t>
      </w:r>
      <w:r>
        <w:rPr>
          <w:rFonts w:hint="eastAsia" w:ascii="仿宋" w:hAnsi="仿宋" w:eastAsia="仿宋" w:cs="仿宋"/>
          <w:color w:val="auto"/>
          <w:sz w:val="24"/>
          <w:szCs w:val="24"/>
          <w:highlight w:val="none"/>
        </w:rPr>
        <w:t>求：合格（符合工程施工质量验收规范标准）。</w:t>
      </w:r>
    </w:p>
    <w:p>
      <w:pPr>
        <w:shd w:val="clear"/>
        <w:spacing w:line="440" w:lineRule="exac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 xml:space="preserve">    二、工程承包方式： </w:t>
      </w:r>
    </w:p>
    <w:p>
      <w:pPr>
        <w:shd w:val="clear"/>
        <w:spacing w:line="440"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rPr>
        <w:t>本工程采用包工、包料、包工期、包质量、包安全的形式，根据中标价一次性 (固定单价) 包干，施工期间如遇国家政策性调价，市场材料价格发生变化等，本工程均不予调整</w:t>
      </w:r>
      <w:r>
        <w:rPr>
          <w:rFonts w:hint="eastAsia" w:ascii="仿宋" w:hAnsi="仿宋" w:eastAsia="仿宋" w:cs="仿宋"/>
          <w:spacing w:val="2"/>
          <w:sz w:val="24"/>
          <w:highlight w:val="none"/>
        </w:rPr>
        <w:t>。若施工安装材料及工程质量不符合合同约定的，则</w:t>
      </w:r>
      <w:r>
        <w:rPr>
          <w:rFonts w:hint="eastAsia" w:ascii="仿宋" w:hAnsi="仿宋" w:eastAsia="仿宋" w:cs="仿宋"/>
          <w:spacing w:val="2"/>
          <w:sz w:val="24"/>
          <w:highlight w:val="none"/>
          <w:lang w:eastAsia="zh-CN"/>
        </w:rPr>
        <w:t>中标人</w:t>
      </w:r>
      <w:r>
        <w:rPr>
          <w:rFonts w:hint="eastAsia" w:ascii="仿宋" w:hAnsi="仿宋" w:eastAsia="仿宋" w:cs="仿宋"/>
          <w:spacing w:val="2"/>
          <w:sz w:val="24"/>
          <w:highlight w:val="none"/>
        </w:rPr>
        <w:t>应进行免费更换并无条件修复，工期不予顺延；工程费用的结算最终以结算审计价为准。若遇到工程变更，经甲方同意，双方签订工程联系单，</w:t>
      </w:r>
      <w:r>
        <w:rPr>
          <w:rFonts w:hint="eastAsia" w:ascii="仿宋" w:hAnsi="仿宋" w:eastAsia="仿宋" w:cs="仿宋"/>
          <w:sz w:val="24"/>
          <w:highlight w:val="none"/>
        </w:rPr>
        <w:t>设计变更工程量方可按实调整，但均按中标让利率让利。</w:t>
      </w:r>
    </w:p>
    <w:p>
      <w:pPr>
        <w:spacing w:line="440" w:lineRule="exact"/>
        <w:ind w:firstLine="610" w:firstLineChars="250"/>
        <w:rPr>
          <w:rFonts w:ascii="仿宋" w:hAnsi="仿宋" w:eastAsia="仿宋" w:cs="仿宋"/>
          <w:spacing w:val="2"/>
          <w:sz w:val="24"/>
          <w:highlight w:val="none"/>
        </w:rPr>
      </w:pPr>
      <w:r>
        <w:rPr>
          <w:rFonts w:hint="eastAsia" w:ascii="仿宋" w:hAnsi="仿宋" w:eastAsia="仿宋" w:cs="仿宋"/>
          <w:spacing w:val="2"/>
          <w:sz w:val="24"/>
          <w:highlight w:val="none"/>
        </w:rPr>
        <w:t>本工程由乙方实行总承包，不得转包，一旦发现转包者，甲方有权提前解除或者终止承包合同，并向乙方索赔合同价10%的违约金。部分专业工程乙方无资质或有资质但资质等级未达到该工程专业资质要求的，允许分包，但必须征得甲方书面同意后，乙方方可分包给具有相应资质的单位，乙方与分包单位对该分包工程承担连带责任。</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三、中标价、服务期限</w:t>
      </w:r>
    </w:p>
    <w:p>
      <w:pPr>
        <w:shd w:val="clear"/>
        <w:adjustRightInd w:val="0"/>
        <w:snapToGrid w:val="0"/>
        <w:spacing w:line="440" w:lineRule="exact"/>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中标价为人民币（大写）：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元 。                     </w:t>
      </w:r>
      <w:r>
        <w:rPr>
          <w:rFonts w:hint="eastAsia" w:ascii="仿宋" w:hAnsi="仿宋" w:eastAsia="仿宋" w:cs="仿宋"/>
          <w:color w:val="auto"/>
          <w:kern w:val="0"/>
          <w:sz w:val="24"/>
          <w:szCs w:val="24"/>
          <w:highlight w:val="none"/>
          <w:u w:val="single"/>
        </w:rPr>
        <w:t xml:space="preserve">                                    </w:t>
      </w:r>
    </w:p>
    <w:p>
      <w:pPr>
        <w:pStyle w:val="37"/>
        <w:shd w:val="clear"/>
        <w:spacing w:line="440" w:lineRule="exact"/>
        <w:ind w:firstLine="561" w:firstLineChars="23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服务期限：     年  月  日-    年  月  日</w:t>
      </w:r>
    </w:p>
    <w:p>
      <w:pPr>
        <w:shd w:val="clear"/>
        <w:spacing w:line="440" w:lineRule="exact"/>
        <w:ind w:firstLine="4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本工程工期为：</w:t>
      </w:r>
      <w:r>
        <w:rPr>
          <w:rFonts w:hint="eastAsia" w:ascii="仿宋" w:hAnsi="仿宋" w:eastAsia="仿宋" w:cs="仿宋"/>
          <w:color w:val="auto"/>
          <w:spacing w:val="2"/>
          <w:sz w:val="24"/>
          <w:szCs w:val="24"/>
          <w:highlight w:val="none"/>
          <w:lang w:val="en-US" w:eastAsia="zh-CN"/>
        </w:rPr>
        <w:t>90日历天</w:t>
      </w:r>
      <w:r>
        <w:rPr>
          <w:rFonts w:hint="eastAsia" w:ascii="仿宋" w:hAnsi="仿宋" w:eastAsia="仿宋" w:cs="仿宋"/>
          <w:color w:val="auto"/>
          <w:spacing w:val="2"/>
          <w:sz w:val="24"/>
          <w:szCs w:val="24"/>
          <w:highlight w:val="none"/>
        </w:rPr>
        <w:t>，如无故不完成的，工期延误每天按中标造价的万分之五进行处罚。</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四、项目经理</w:t>
      </w:r>
    </w:p>
    <w:p>
      <w:pPr>
        <w:shd w:val="clear"/>
        <w:spacing w:line="440" w:lineRule="exact"/>
        <w:ind w:firstLine="488" w:firstLineChars="200"/>
        <w:contextualSpacing/>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乙方派驻项目经理：</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，资质：</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6"/>
          <w:sz w:val="24"/>
          <w:szCs w:val="24"/>
          <w:highlight w:val="none"/>
        </w:rPr>
        <w:t>注册证</w:t>
      </w:r>
      <w:r>
        <w:rPr>
          <w:rFonts w:hint="eastAsia" w:ascii="仿宋" w:hAnsi="仿宋" w:eastAsia="仿宋" w:cs="仿宋"/>
          <w:color w:val="auto"/>
          <w:spacing w:val="-6"/>
          <w:sz w:val="24"/>
          <w:szCs w:val="24"/>
          <w:highlight w:val="none"/>
          <w:lang w:val="en-US" w:eastAsia="zh-CN"/>
        </w:rPr>
        <w:t>号</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w:t>
      </w:r>
    </w:p>
    <w:p>
      <w:pPr>
        <w:shd w:val="clear"/>
        <w:spacing w:line="440" w:lineRule="exact"/>
        <w:ind w:firstLine="480" w:firstLineChars="200"/>
        <w:contextualSpacing/>
        <w:jc w:val="left"/>
        <w:rPr>
          <w:rFonts w:hint="eastAsia" w:ascii="仿宋" w:hAnsi="仿宋" w:eastAsia="仿宋" w:cs="仿宋"/>
          <w:color w:val="auto"/>
          <w:spacing w:val="2"/>
          <w:sz w:val="24"/>
          <w:szCs w:val="24"/>
          <w:highlight w:val="none"/>
        </w:rPr>
      </w:pPr>
      <w:r>
        <w:rPr>
          <w:rFonts w:hint="eastAsia" w:ascii="仿宋" w:hAnsi="仿宋" w:eastAsia="仿宋" w:cs="仿宋"/>
          <w:color w:val="auto"/>
          <w:sz w:val="24"/>
          <w:szCs w:val="24"/>
          <w:highlight w:val="none"/>
        </w:rPr>
        <w:t>乙方在投标文件中明确的项目负责人必须到位，不能更换，同时，项目负责人必须在施工现场到岗，且每月至少要到岗25天，到岗期间每天不少于8小时，否则视为未到岗，缺席一天扣300元，并列入考核内容，和甲方另行签订管理合同。</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五、工程质量和检查验收</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1、本工程质量标准合格。</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2、工程质量标准应当达到国家或行业的质量检验评定标准。因乙方原因工程质量达不到规定标准的，乙方应承担违约责任。</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3、双方对工程质量有争议，由双方同意的工程质监站鉴定，所需费用由责任方承担。双方均有责任，根据责任分别承担。</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隐蔽工程由乙方自检后，填写《隐蔽工程验收单》通知现场监理工程师及甲方代表验收认可签证后，方可进行下一道工序施工。签证记录将作为结算依据。无签证记录建设方不予结算。重要节点验收中，有一次验收不合格扣除30%的履约保证金，两次验收不合格扣除全部的履约保证金。竣工验收中，第一次验收不合格扣除30%的履约保证金,整改必须到位，第二次验收不合格扣除全部的履约保证金。验收不合格不予结算。</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整理完整的技术档案资料移交给甲方。</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工程竣工验收合格后，工程质量保修按国家、省、区的工程建设施工招投标的有关规定执行。保修期内，如发现工程质量问题，乙方应在7日内修复；如乙方无故不修复的，由甲方派人维修，维修费用由乙方承担，在预留工程款中扣除。</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w:t>
      </w:r>
      <w:r>
        <w:rPr>
          <w:rFonts w:hint="eastAsia" w:ascii="仿宋" w:hAnsi="仿宋" w:eastAsia="仿宋" w:cs="仿宋"/>
          <w:spacing w:val="2"/>
          <w:sz w:val="24"/>
          <w:szCs w:val="24"/>
          <w:highlight w:val="none"/>
        </w:rPr>
        <w:t>进场材料须由监理单位验收合格后方可施工，否则甲方有权要求乙方免费拆除、返工并重新安装合格材料。</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8、乙方在履约合同过程中，若出现</w:t>
      </w:r>
      <w:r>
        <w:rPr>
          <w:rFonts w:hint="eastAsia" w:ascii="仿宋" w:hAnsi="仿宋" w:eastAsia="仿宋" w:cs="仿宋"/>
          <w:color w:val="auto"/>
          <w:spacing w:val="2"/>
          <w:sz w:val="24"/>
          <w:szCs w:val="24"/>
          <w:highlight w:val="none"/>
          <w:lang w:val="en-US" w:eastAsia="zh-CN"/>
        </w:rPr>
        <w:t>一次以上</w:t>
      </w:r>
      <w:r>
        <w:rPr>
          <w:rFonts w:hint="eastAsia" w:ascii="仿宋" w:hAnsi="仿宋" w:eastAsia="仿宋" w:cs="仿宋"/>
          <w:color w:val="auto"/>
          <w:spacing w:val="2"/>
          <w:sz w:val="24"/>
          <w:szCs w:val="24"/>
          <w:highlight w:val="none"/>
        </w:rPr>
        <w:t>因乙方原因导致施工验收不合格，甲方有权终止合同且之前乙方所做的施工作为免费施工。</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六、安全文明施工要求</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1、施工现场用水、用电、施工便道由乙方自行解决，费用由乙方自理。</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2、施工期间与各经营户关系的协调由乙方负责。</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3、乙方必须做好与有关专业管线单位的配合工作。</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4、乙方必须严格遵守安全、文明施工的操作规程，完善相关制度，落实安全措施，做好各项保险等工作，在工程开展期间发生安全事故均由乙方负责。</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5、本工程凡涉及治安、市政、市容、环保、交通、计划生育、所在地承包户关系协调等发生的问题和费用均由乙方负责解决并承担经济支出。</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6、施工时不得损坏一切公共设施、道路周边承包户个人财物等，如有损坏必须照价赔偿或修复，费用由乙方承担。</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7、施工期间应在显眼且安全的地方设置告示牌，告示牌的内容包括施工内容、施工工期、施工单位、项目负责人姓名与联系方式等。</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9、现场用电的安装、设置、使用必须符合规范要求，现场用电接线及安装电器作业必须由电工完成，他人不得随意乱接乱挂，发现电线老化，破皮等要及时整改，由此引发的事故一切法律责任及经济责任由乙方承担。</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10、在施工过程中应注意环境卫生，确保工地现场周围的清洁、施工废料及时清理干净，由此产生的费用由乙方承担，如乙方未按时清理的，甲方有权委托第三人清理，由此产生的所有费用由乙方承担。</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11、所有施工工作人员的用工手续、保险手续需齐全，费用由乙方承担，施工人员上下班途中及施工期间发生的一切安全事故责任由乙方自行负责，与甲方无涉。施工现场必须按规定正确戴好安全帽；各相关工种必须按规定持证上岗。施工期间甲方有权随时对施工现场和施工人员相关资质进行的监督检查，发现违章作业及危及人身、设备安全时，可及时制止、纠正，并向乙方提出整改要求。乙方必须接受甲方的监督、检查，对甲方提出的安全整改意见必须及时整改，若乙方未及时整改的，甲方有权要求停工或者解除本合同，乙方应承担中标造价的10%的违约金。</w:t>
      </w:r>
    </w:p>
    <w:p>
      <w:pPr>
        <w:pStyle w:val="37"/>
        <w:adjustRightInd/>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12、乙方应委派专人负责交通安全，引导过往车辆和行人通行，确保无交通安全事故发生，如发生交通安全事故，一切法律及经济责任由乙方承担，与甲方无涉。</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spacing w:val="2"/>
          <w:sz w:val="24"/>
          <w:szCs w:val="24"/>
          <w:highlight w:val="none"/>
        </w:rPr>
        <w:t>13、施工现场用水、用电、施工便道由乙方自行解决，费用自理。施工现场、土方及建筑材料运输途中等与本工程相关的所有安全事宜均由乙方负责，并承担由此支出的一切费用，若由甲方先行承担的，甲方有权向乙方追偿并可在工程款中优先扣除。</w:t>
      </w:r>
    </w:p>
    <w:p>
      <w:pPr>
        <w:pStyle w:val="37"/>
        <w:shd w:val="clear"/>
        <w:spacing w:line="440" w:lineRule="exact"/>
        <w:ind w:firstLine="439" w:firstLineChars="180"/>
        <w:rPr>
          <w:rFonts w:hint="eastAsia" w:ascii="仿宋" w:hAnsi="仿宋" w:eastAsia="仿宋" w:cs="仿宋"/>
          <w:color w:val="auto"/>
          <w:spacing w:val="2"/>
          <w:sz w:val="24"/>
          <w:szCs w:val="24"/>
          <w:highlight w:val="none"/>
        </w:rPr>
        <w:sectPr>
          <w:footerReference r:id="rId20" w:type="first"/>
          <w:headerReference r:id="rId18" w:type="default"/>
          <w:footerReference r:id="rId19" w:type="default"/>
          <w:pgSz w:w="11906" w:h="16838"/>
          <w:pgMar w:top="1440" w:right="1080" w:bottom="1440" w:left="1080" w:header="851" w:footer="992" w:gutter="0"/>
          <w:pgNumType w:fmt="decimal"/>
          <w:cols w:space="720" w:num="1"/>
          <w:titlePg/>
          <w:docGrid w:linePitch="312" w:charSpace="0"/>
        </w:sectPr>
      </w:pPr>
    </w:p>
    <w:p>
      <w:pPr>
        <w:pStyle w:val="37"/>
        <w:spacing w:line="440" w:lineRule="exact"/>
        <w:ind w:firstLine="439" w:firstLineChars="180"/>
        <w:rPr>
          <w:rFonts w:ascii="仿宋" w:hAnsi="仿宋" w:eastAsia="仿宋" w:cs="仿宋"/>
          <w:spacing w:val="2"/>
          <w:sz w:val="24"/>
          <w:szCs w:val="24"/>
          <w:highlight w:val="none"/>
        </w:rPr>
      </w:pPr>
      <w:r>
        <w:rPr>
          <w:rFonts w:hint="eastAsia" w:ascii="仿宋" w:hAnsi="仿宋" w:eastAsia="仿宋" w:cs="仿宋"/>
          <w:color w:val="auto"/>
          <w:spacing w:val="2"/>
          <w:sz w:val="24"/>
          <w:szCs w:val="24"/>
          <w:highlight w:val="none"/>
        </w:rPr>
        <w:t>七、</w:t>
      </w:r>
      <w:r>
        <w:rPr>
          <w:rFonts w:hint="eastAsia" w:ascii="仿宋" w:hAnsi="仿宋" w:eastAsia="仿宋" w:cs="仿宋"/>
          <w:spacing w:val="2"/>
          <w:sz w:val="24"/>
          <w:szCs w:val="24"/>
          <w:highlight w:val="none"/>
        </w:rPr>
        <w:t>履约保证金</w:t>
      </w:r>
    </w:p>
    <w:p>
      <w:pPr>
        <w:pStyle w:val="37"/>
        <w:spacing w:line="440" w:lineRule="exact"/>
        <w:ind w:firstLine="432" w:firstLineChars="180"/>
        <w:rPr>
          <w:rFonts w:hint="eastAsia" w:ascii="仿宋" w:hAnsi="仿宋" w:eastAsia="仿宋" w:cs="仿宋"/>
          <w:spacing w:val="2"/>
          <w:sz w:val="24"/>
          <w:szCs w:val="24"/>
          <w:highlight w:val="none"/>
        </w:rPr>
      </w:pPr>
      <w:r>
        <w:rPr>
          <w:rFonts w:hint="eastAsia" w:ascii="仿宋" w:hAnsi="仿宋" w:eastAsia="仿宋" w:cs="仿宋"/>
          <w:sz w:val="24"/>
          <w:highlight w:val="none"/>
        </w:rPr>
        <w:t>履约保证金为合同金额的1%。</w:t>
      </w:r>
    </w:p>
    <w:p>
      <w:pPr>
        <w:pStyle w:val="37"/>
        <w:spacing w:line="440" w:lineRule="exact"/>
        <w:ind w:firstLine="432" w:firstLineChars="180"/>
        <w:rPr>
          <w:rFonts w:ascii="仿宋" w:hAnsi="仿宋" w:eastAsia="仿宋" w:cs="仿宋"/>
          <w:spacing w:val="2"/>
          <w:sz w:val="24"/>
          <w:szCs w:val="24"/>
          <w:highlight w:val="none"/>
        </w:rPr>
      </w:pPr>
      <w:r>
        <w:rPr>
          <w:rFonts w:hint="eastAsia" w:ascii="仿宋" w:hAnsi="仿宋" w:eastAsia="仿宋" w:cs="仿宋"/>
          <w:kern w:val="0"/>
          <w:sz w:val="24"/>
          <w:highlight w:val="none"/>
        </w:rPr>
        <w:t>以支票、汇票、本票或者金融机构、担保机构出具的保函等非现金形式提交</w:t>
      </w:r>
      <w:r>
        <w:rPr>
          <w:rFonts w:hint="eastAsia" w:ascii="仿宋" w:hAnsi="仿宋" w:eastAsia="仿宋" w:cs="仿宋"/>
          <w:sz w:val="24"/>
          <w:highlight w:val="none"/>
        </w:rPr>
        <w:t>。</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八、</w:t>
      </w:r>
      <w:r>
        <w:rPr>
          <w:rFonts w:hint="eastAsia" w:ascii="仿宋" w:hAnsi="仿宋" w:eastAsia="仿宋" w:cs="仿宋"/>
          <w:color w:val="auto"/>
          <w:spacing w:val="2"/>
          <w:sz w:val="24"/>
          <w:szCs w:val="24"/>
          <w:highlight w:val="none"/>
        </w:rPr>
        <w:t>工程结算及支付</w:t>
      </w:r>
    </w:p>
    <w:p>
      <w:pPr>
        <w:shd w:val="clear"/>
        <w:spacing w:line="360" w:lineRule="auto"/>
        <w:ind w:firstLine="480" w:firstLineChars="200"/>
        <w:rPr>
          <w:rFonts w:hint="eastAsia" w:ascii="仿宋" w:hAnsi="仿宋" w:eastAsia="仿宋" w:cs="仿宋"/>
          <w:b w:val="0"/>
          <w:bCs w:val="0"/>
          <w:color w:val="auto"/>
          <w:sz w:val="24"/>
          <w:szCs w:val="24"/>
          <w:highlight w:val="none"/>
          <w:u w:val="single"/>
        </w:rPr>
        <w:sectPr>
          <w:type w:val="continuous"/>
          <w:pgSz w:w="11906" w:h="16838"/>
          <w:pgMar w:top="1440" w:right="1080" w:bottom="1440" w:left="1080" w:header="851" w:footer="992" w:gutter="0"/>
          <w:pgNumType w:fmt="decimal"/>
          <w:cols w:space="425" w:num="1"/>
          <w:titlePg/>
          <w:docGrid w:linePitch="312" w:charSpace="0"/>
        </w:sectPr>
      </w:pPr>
    </w:p>
    <w:p>
      <w:pPr>
        <w:shd w:val="clea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工程竣工验收合格后退还履约保证金（</w:t>
      </w:r>
      <w:r>
        <w:rPr>
          <w:rFonts w:hint="eastAsia" w:ascii="仿宋" w:hAnsi="仿宋" w:eastAsia="仿宋" w:cs="仿宋"/>
          <w:sz w:val="24"/>
          <w:highlight w:val="none"/>
        </w:rPr>
        <w:t>履约保证金由乙方自本合同签订当日缴纳，不计息</w:t>
      </w:r>
      <w:r>
        <w:rPr>
          <w:rFonts w:hint="eastAsia" w:ascii="仿宋" w:hAnsi="仿宋" w:eastAsia="仿宋" w:cs="仿宋"/>
          <w:color w:val="auto"/>
          <w:sz w:val="24"/>
          <w:szCs w:val="24"/>
          <w:highlight w:val="none"/>
          <w:lang w:val="en-US" w:eastAsia="zh-CN"/>
        </w:rPr>
        <w:t>）；合同生效及具备实施条件后7个工作日内由乙方出具预付款保函（合同价的40%）后甲方支付合同价的40%作为预付款，竣工验收合格后支付至合同价的70%；工程审计完成、完整的资料归档后支付至审计价的98.5%，剩余1.5%的尾款，在工程竣工验收合格之日起满壹年后结清。质保期内的养护和维保由中标单位负责</w:t>
      </w:r>
      <w:r>
        <w:rPr>
          <w:rFonts w:hint="eastAsia" w:ascii="仿宋" w:hAnsi="仿宋" w:eastAsia="仿宋" w:cs="仿宋"/>
          <w:color w:val="auto"/>
          <w:sz w:val="24"/>
          <w:szCs w:val="24"/>
          <w:highlight w:val="none"/>
          <w:lang w:eastAsia="zh-CN"/>
        </w:rPr>
        <w:t>。</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质保期自工程竣工验收合格之日起1年，质保期内一旦出现质量问题，乙方应随叫随到，若超过6小时不作响应，罚5000元/次，直接总工程款中扣除，且甲方有权另聘施工单位维修，所需费用由乙方承担，直接从工程款中扣除。</w:t>
      </w:r>
    </w:p>
    <w:p>
      <w:pPr>
        <w:shd w:val="clea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3、工程结算按中标价及优惠条件结合变更联系单进行结算，无价材料以甲方单位签证为准。</w:t>
      </w:r>
    </w:p>
    <w:p>
      <w:pPr>
        <w:shd w:val="clear"/>
        <w:spacing w:line="440" w:lineRule="exact"/>
        <w:ind w:left="420" w:leftChars="2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4、工程结算最终以甲方委托相应资质的审价单位审核后为准；</w:t>
      </w:r>
    </w:p>
    <w:p>
      <w:pPr>
        <w:shd w:val="clear"/>
        <w:spacing w:line="440" w:lineRule="exact"/>
        <w:ind w:left="420" w:leftChars="2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z w:val="24"/>
          <w:highlight w:val="none"/>
        </w:rPr>
        <w:t>付款前乙方须提供工程发票, 否则甲方有权迟延付款，且无需承担任何违约责任及利息，税费由乙方承担</w:t>
      </w:r>
    </w:p>
    <w:p>
      <w:pPr>
        <w:shd w:val="clear"/>
        <w:spacing w:line="440" w:lineRule="exact"/>
        <w:ind w:left="420" w:leftChars="2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八、安全生产</w:t>
      </w:r>
    </w:p>
    <w:p>
      <w:pPr>
        <w:pStyle w:val="37"/>
        <w:spacing w:line="440" w:lineRule="exact"/>
        <w:ind w:firstLine="439" w:firstLineChars="18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在施工期间，乙方应做好安全生产工作，做到持证上岗。如在施工期间发生安全事故，由乙方负全责，与甲方无涉。乙方应确保施工质量，规范施工，在施工时如使用机械，用电设备，应做好施工安全防范措施。乙方应为其施工人员购买保险，并及时足额支付工资报酬和社保等。如乙方施工人员与乙方发生劳动纠纷或者工伤事故的由乙方自行负责解决，与甲方无关。若因此给甲方造成损失的，甲方有权向乙方追偿。</w:t>
      </w:r>
    </w:p>
    <w:p>
      <w:pPr>
        <w:shd w:val="clear"/>
        <w:spacing w:line="440" w:lineRule="exact"/>
        <w:ind w:left="420" w:leftChars="2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九、竣工结算：按照国家相关条款执行。 </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pPr>
        <w:shd w:val="clear"/>
        <w:spacing w:line="440" w:lineRule="exact"/>
        <w:ind w:left="420" w:leftChars="2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十、违约责任</w:t>
      </w:r>
    </w:p>
    <w:p>
      <w:pPr>
        <w:shd w:val="clear"/>
        <w:spacing w:line="440" w:lineRule="exact"/>
        <w:ind w:firstLine="488" w:firstLineChars="200"/>
        <w:contextualSpacing/>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1、因甲方原因未能按合同约定支付合同价款的违约责任：按照央行公布的同期贷款基准利率计算，工期顺延。</w:t>
      </w:r>
    </w:p>
    <w:p>
      <w:pPr>
        <w:shd w:val="clear"/>
        <w:spacing w:line="440" w:lineRule="exact"/>
        <w:ind w:firstLine="488" w:firstLineChars="200"/>
        <w:contextualSpacing/>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2、乙方违约责任的承担方式和计算方法：按照合同总价款每日万分之五计算违约金，但合同另有约定的除外。</w:t>
      </w:r>
    </w:p>
    <w:p>
      <w:pPr>
        <w:shd w:val="clear"/>
        <w:spacing w:before="120" w:after="120" w:line="440" w:lineRule="exact"/>
        <w:ind w:left="139" w:leftChars="66" w:firstLine="356" w:firstLineChars="146"/>
        <w:contextualSpacing/>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 xml:space="preserve">3、因乙方违约工期延误超过7日以上的，甲方有权解除合同。乙方应在收到解除通知后7日内自动清场，并注销施工许可证（如有）；逾期未清场的，视为放弃施工现场的一切物品，甲方有权自行处分。乙方未注销施工许可证，造成甲方无法建设的，相应的法律后果由乙方承担。 </w:t>
      </w:r>
    </w:p>
    <w:p>
      <w:pPr>
        <w:spacing w:before="120" w:after="120" w:line="440" w:lineRule="exact"/>
        <w:ind w:left="139" w:leftChars="66" w:firstLine="356" w:firstLineChars="146"/>
        <w:contextualSpacing/>
        <w:rPr>
          <w:rFonts w:ascii="仿宋" w:hAnsi="仿宋" w:eastAsia="仿宋" w:cs="仿宋"/>
          <w:spacing w:val="2"/>
          <w:sz w:val="24"/>
          <w:highlight w:val="none"/>
        </w:rPr>
      </w:pPr>
      <w:r>
        <w:rPr>
          <w:rFonts w:hint="eastAsia" w:ascii="仿宋" w:hAnsi="仿宋" w:eastAsia="仿宋" w:cs="仿宋"/>
          <w:spacing w:val="2"/>
          <w:sz w:val="24"/>
          <w:highlight w:val="none"/>
        </w:rPr>
        <w:t>4、若乙方无正当理由提前解除或者终止本合同或者未经甲方同意擅自转包、分包的，除承担由此给甲方造成的经济损失外，还应向甲方支付合同总价的10%的违约金。</w:t>
      </w:r>
    </w:p>
    <w:p>
      <w:pPr>
        <w:shd w:val="clear"/>
        <w:spacing w:before="120" w:after="120" w:line="440" w:lineRule="exact"/>
        <w:ind w:left="139" w:leftChars="66" w:firstLine="356" w:firstLineChars="146"/>
        <w:contextualSpacing/>
        <w:rPr>
          <w:rFonts w:hint="eastAsia" w:ascii="仿宋" w:hAnsi="仿宋" w:eastAsia="仿宋" w:cs="仿宋"/>
          <w:color w:val="auto"/>
          <w:spacing w:val="2"/>
          <w:sz w:val="24"/>
          <w:szCs w:val="24"/>
          <w:highlight w:val="none"/>
        </w:rPr>
      </w:pPr>
      <w:r>
        <w:rPr>
          <w:rFonts w:hint="eastAsia" w:ascii="仿宋" w:hAnsi="仿宋" w:eastAsia="仿宋" w:cs="仿宋"/>
          <w:spacing w:val="2"/>
          <w:sz w:val="24"/>
          <w:highlight w:val="none"/>
        </w:rPr>
        <w:t>5、本合同内约定的违约金、罚款均可由甲方在工程款中优先扣除，违约金不足以弥补甲方损失（包括但不限于诉讼费、律师费、鉴定费、担保费、保全费、差旅费等）的，乙方应继续承担赔偿责任。</w:t>
      </w:r>
    </w:p>
    <w:p>
      <w:pPr>
        <w:widowControl/>
        <w:shd w:val="clear"/>
        <w:spacing w:before="120" w:after="120" w:line="440" w:lineRule="exact"/>
        <w:ind w:firstLine="480"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十一、合同文件构成</w:t>
      </w:r>
    </w:p>
    <w:p>
      <w:pPr>
        <w:widowControl/>
        <w:shd w:val="clear"/>
        <w:spacing w:before="120" w:after="120" w:line="440" w:lineRule="exact"/>
        <w:ind w:firstLine="488" w:firstLineChars="200"/>
        <w:outlineLvl w:val="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本协议书与下列文件一起构成合同文件：</w:t>
      </w:r>
    </w:p>
    <w:p>
      <w:pPr>
        <w:widowControl/>
        <w:shd w:val="clear"/>
        <w:spacing w:line="440" w:lineRule="exact"/>
        <w:ind w:firstLine="719" w:firstLineChars="29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 本合同协议书；</w:t>
      </w:r>
    </w:p>
    <w:p>
      <w:pPr>
        <w:widowControl/>
        <w:shd w:val="clear"/>
        <w:spacing w:line="440" w:lineRule="exact"/>
        <w:ind w:firstLine="600"/>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（2）招标文件；</w:t>
      </w:r>
    </w:p>
    <w:p>
      <w:pPr>
        <w:widowControl/>
        <w:shd w:val="clear"/>
        <w:spacing w:line="440" w:lineRule="exact"/>
        <w:ind w:firstLine="600"/>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 xml:space="preserve">（3）中标通知书； </w:t>
      </w:r>
    </w:p>
    <w:p>
      <w:pPr>
        <w:widowControl/>
        <w:shd w:val="clear"/>
        <w:spacing w:line="440" w:lineRule="exact"/>
        <w:ind w:firstLine="600"/>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（4）投标函及其附录；</w:t>
      </w:r>
    </w:p>
    <w:p>
      <w:pPr>
        <w:widowControl/>
        <w:shd w:val="clear"/>
        <w:spacing w:line="440" w:lineRule="exact"/>
        <w:ind w:firstLine="600"/>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 xml:space="preserve"> (5) 标准规范及有关技术文件；</w:t>
      </w:r>
    </w:p>
    <w:p>
      <w:pPr>
        <w:widowControl/>
        <w:shd w:val="clear"/>
        <w:spacing w:line="440" w:lineRule="exact"/>
        <w:ind w:firstLine="600"/>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（6）图纸；</w:t>
      </w:r>
    </w:p>
    <w:p>
      <w:pPr>
        <w:widowControl/>
        <w:shd w:val="clear"/>
        <w:spacing w:line="440" w:lineRule="exact"/>
        <w:ind w:firstLine="600"/>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（7）已标价工程量清单或预算书；</w:t>
      </w:r>
    </w:p>
    <w:p>
      <w:pPr>
        <w:widowControl/>
        <w:shd w:val="clear"/>
        <w:spacing w:line="440" w:lineRule="exact"/>
        <w:ind w:firstLine="600"/>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（8）其他合同文件；</w:t>
      </w:r>
    </w:p>
    <w:p>
      <w:pPr>
        <w:widowControl/>
        <w:shd w:val="clear"/>
        <w:spacing w:line="440" w:lineRule="exact"/>
        <w:ind w:firstLine="600"/>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在合同订立及履行过程中形成的与合同有关的文件均构成合同文件组成部分。</w:t>
      </w:r>
    </w:p>
    <w:p>
      <w:pPr>
        <w:widowControl/>
        <w:shd w:val="clear"/>
        <w:spacing w:line="440" w:lineRule="exact"/>
        <w:ind w:firstLine="600"/>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十二、特殊条款</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本合同条款如对特殊情况有未尽事宜，双方可根据具体情况结合有关规定议定特殊条款。</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十三、附则</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本合同其他未言明事项，一律按《中华人民共和国</w:t>
      </w:r>
      <w:r>
        <w:rPr>
          <w:rFonts w:hint="eastAsia" w:ascii="仿宋" w:hAnsi="仿宋" w:eastAsia="仿宋" w:cs="仿宋"/>
          <w:color w:val="auto"/>
          <w:spacing w:val="2"/>
          <w:sz w:val="24"/>
          <w:szCs w:val="24"/>
          <w:highlight w:val="none"/>
          <w:lang w:eastAsia="zh-CN"/>
        </w:rPr>
        <w:t>民法典</w:t>
      </w:r>
      <w:r>
        <w:rPr>
          <w:rFonts w:hint="eastAsia" w:ascii="仿宋" w:hAnsi="仿宋" w:eastAsia="仿宋" w:cs="仿宋"/>
          <w:color w:val="auto"/>
          <w:spacing w:val="2"/>
          <w:sz w:val="24"/>
          <w:szCs w:val="24"/>
          <w:highlight w:val="none"/>
        </w:rPr>
        <w:t>》和《建筑安装工程承包合同条例》规定执行。</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本合同经双方签字盖章后生效，至合同工程竣工交验，结清工程尾款，保修期满后自动失效。</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十四、合同生效</w:t>
      </w:r>
    </w:p>
    <w:p>
      <w:pPr>
        <w:widowControl/>
        <w:shd w:val="clear"/>
        <w:spacing w:line="440" w:lineRule="exact"/>
        <w:ind w:firstLine="6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本合同自双方盖章、签字后生效。</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十五、工程保险由乙方投保并承担全部费用。</w:t>
      </w:r>
    </w:p>
    <w:p>
      <w:pPr>
        <w:shd w:val="clear"/>
        <w:snapToGrid w:val="0"/>
        <w:spacing w:line="440" w:lineRule="exact"/>
        <w:ind w:firstLine="488" w:firstLineChars="200"/>
        <w:outlineLvl w:val="0"/>
        <w:rPr>
          <w:rFonts w:hint="eastAsia" w:ascii="仿宋" w:hAnsi="仿宋" w:eastAsia="仿宋" w:cs="仿宋"/>
          <w:b/>
          <w:bCs/>
          <w:color w:val="auto"/>
          <w:sz w:val="24"/>
          <w:szCs w:val="24"/>
          <w:highlight w:val="none"/>
        </w:rPr>
      </w:pPr>
      <w:r>
        <w:rPr>
          <w:rFonts w:hint="eastAsia" w:ascii="仿宋" w:hAnsi="仿宋" w:eastAsia="仿宋" w:cs="仿宋"/>
          <w:color w:val="auto"/>
          <w:spacing w:val="2"/>
          <w:sz w:val="24"/>
          <w:szCs w:val="24"/>
          <w:highlight w:val="none"/>
        </w:rPr>
        <w:t>十六、</w:t>
      </w:r>
      <w:r>
        <w:rPr>
          <w:rFonts w:hint="eastAsia" w:ascii="仿宋" w:hAnsi="仿宋" w:eastAsia="仿宋" w:cs="仿宋"/>
          <w:color w:val="auto"/>
          <w:sz w:val="24"/>
          <w:szCs w:val="24"/>
          <w:highlight w:val="none"/>
        </w:rPr>
        <w:t>争议解决</w:t>
      </w:r>
    </w:p>
    <w:p>
      <w:pPr>
        <w:shd w:val="clear"/>
        <w:snapToGrid w:val="0"/>
        <w:spacing w:line="44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16.1调解</w:t>
      </w:r>
    </w:p>
    <w:p>
      <w:pPr>
        <w:shd w:val="clear"/>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本合同争议进行调解时，可提交</w:t>
      </w:r>
      <w:r>
        <w:rPr>
          <w:rFonts w:hint="eastAsia" w:ascii="仿宋" w:hAnsi="仿宋" w:eastAsia="仿宋" w:cs="仿宋"/>
          <w:color w:val="auto"/>
          <w:sz w:val="24"/>
          <w:szCs w:val="24"/>
          <w:highlight w:val="none"/>
          <w:u w:val="single"/>
        </w:rPr>
        <w:t xml:space="preserve"> 建设行政主管部门 </w:t>
      </w:r>
      <w:r>
        <w:rPr>
          <w:rFonts w:hint="eastAsia" w:ascii="仿宋" w:hAnsi="仿宋" w:eastAsia="仿宋" w:cs="仿宋"/>
          <w:color w:val="auto"/>
          <w:sz w:val="24"/>
          <w:szCs w:val="24"/>
          <w:highlight w:val="none"/>
        </w:rPr>
        <w:t>进行调解。</w:t>
      </w:r>
    </w:p>
    <w:p>
      <w:pPr>
        <w:shd w:val="clear"/>
        <w:snapToGrid w:val="0"/>
        <w:spacing w:line="44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16.2仲裁或诉讼</w:t>
      </w:r>
    </w:p>
    <w:p>
      <w:pPr>
        <w:shd w:val="clea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合同争议的最终解决方式为下列第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w:t>
      </w:r>
    </w:p>
    <w:p>
      <w:pPr>
        <w:shd w:val="clea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（1）提请</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仲裁委员会进行仲裁。</w:t>
      </w:r>
    </w:p>
    <w:p>
      <w:pPr>
        <w:shd w:val="clea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（2）向</w:t>
      </w:r>
      <w:r>
        <w:rPr>
          <w:rFonts w:hint="eastAsia" w:ascii="仿宋" w:hAnsi="仿宋" w:eastAsia="仿宋" w:cs="仿宋"/>
          <w:color w:val="auto"/>
          <w:sz w:val="24"/>
          <w:szCs w:val="24"/>
          <w:highlight w:val="none"/>
          <w:u w:val="single"/>
        </w:rPr>
        <w:t xml:space="preserve">   工程所在地   </w:t>
      </w:r>
      <w:r>
        <w:rPr>
          <w:rFonts w:hint="eastAsia" w:ascii="仿宋" w:hAnsi="仿宋" w:eastAsia="仿宋" w:cs="仿宋"/>
          <w:color w:val="auto"/>
          <w:sz w:val="24"/>
          <w:szCs w:val="24"/>
          <w:highlight w:val="none"/>
        </w:rPr>
        <w:t>人民法院提起诉讼。</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十七、其他特别约定</w:t>
      </w:r>
    </w:p>
    <w:p>
      <w:pPr>
        <w:pStyle w:val="37"/>
        <w:spacing w:line="440" w:lineRule="exact"/>
        <w:ind w:firstLine="439" w:firstLineChars="18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1、甲方指定联系人：      ；地址：        ；联系电话：    ；邮箱：     。乙方指定联系人：       ；地址       ；联系电话：        邮箱：     。双方指定联系人无权修改协议条款。</w:t>
      </w:r>
    </w:p>
    <w:p>
      <w:pPr>
        <w:pStyle w:val="37"/>
        <w:shd w:val="clear"/>
        <w:spacing w:line="44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spacing w:val="2"/>
          <w:sz w:val="24"/>
          <w:szCs w:val="24"/>
          <w:highlight w:val="none"/>
        </w:rPr>
        <w:t>2、根据本合同发出的任何批准、证书、同意、决定、通知、索赔等文件，双方同意通过邮寄、电子邮件的方式送达。任何一方变更地址或联系人的，应提前3日以明确的书面方式通知，否则任何通知或文件均以送达至对方在本协议明确的地址或者联系人后生效。</w:t>
      </w:r>
    </w:p>
    <w:p>
      <w:pPr>
        <w:pStyle w:val="37"/>
        <w:shd w:val="clear"/>
        <w:spacing w:line="440" w:lineRule="exact"/>
        <w:ind w:firstLine="439" w:firstLineChars="180"/>
        <w:rPr>
          <w:rFonts w:hint="eastAsia" w:ascii="仿宋" w:hAnsi="仿宋" w:eastAsia="仿宋" w:cs="仿宋"/>
          <w:b/>
          <w:bCs/>
          <w:color w:val="auto"/>
          <w:kern w:val="0"/>
          <w:sz w:val="24"/>
          <w:szCs w:val="24"/>
          <w:highlight w:val="none"/>
        </w:rPr>
      </w:pPr>
      <w:r>
        <w:rPr>
          <w:rFonts w:hint="eastAsia" w:ascii="仿宋" w:hAnsi="仿宋" w:eastAsia="仿宋" w:cs="仿宋"/>
          <w:color w:val="auto"/>
          <w:spacing w:val="2"/>
          <w:sz w:val="24"/>
          <w:szCs w:val="24"/>
          <w:highlight w:val="none"/>
        </w:rPr>
        <w:t>十八、合同份数</w:t>
      </w:r>
    </w:p>
    <w:p>
      <w:pPr>
        <w:keepNext w:val="0"/>
        <w:keepLines w:val="0"/>
        <w:pageBreakBefore w:val="0"/>
        <w:widowControl/>
        <w:shd w:val="clear"/>
        <w:kinsoku/>
        <w:wordWrap/>
        <w:overflowPunct/>
        <w:topLinePunct w:val="0"/>
        <w:autoSpaceDE/>
        <w:autoSpaceDN/>
        <w:bidi w:val="0"/>
        <w:adjustRightInd w:val="0"/>
        <w:snapToGrid/>
        <w:spacing w:line="400" w:lineRule="exact"/>
        <w:ind w:firstLine="600"/>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本合同一式</w:t>
      </w:r>
      <w:r>
        <w:rPr>
          <w:rFonts w:hint="eastAsia" w:ascii="仿宋" w:hAnsi="仿宋" w:eastAsia="仿宋" w:cs="仿宋"/>
          <w:color w:val="auto"/>
          <w:spacing w:val="2"/>
          <w:sz w:val="24"/>
          <w:szCs w:val="24"/>
          <w:highlight w:val="none"/>
          <w:u w:val="single"/>
        </w:rPr>
        <w:t>陆</w:t>
      </w:r>
      <w:r>
        <w:rPr>
          <w:rFonts w:hint="eastAsia" w:ascii="仿宋" w:hAnsi="仿宋" w:eastAsia="仿宋" w:cs="仿宋"/>
          <w:color w:val="auto"/>
          <w:spacing w:val="2"/>
          <w:sz w:val="24"/>
          <w:szCs w:val="24"/>
          <w:highlight w:val="none"/>
        </w:rPr>
        <w:t>份，均具有同等法律效力，甲方执</w:t>
      </w:r>
      <w:r>
        <w:rPr>
          <w:rFonts w:hint="eastAsia" w:ascii="仿宋" w:hAnsi="仿宋" w:eastAsia="仿宋" w:cs="仿宋"/>
          <w:color w:val="auto"/>
          <w:spacing w:val="2"/>
          <w:sz w:val="24"/>
          <w:szCs w:val="24"/>
          <w:highlight w:val="none"/>
          <w:u w:val="single"/>
        </w:rPr>
        <w:t>肆</w:t>
      </w:r>
      <w:r>
        <w:rPr>
          <w:rFonts w:hint="eastAsia" w:ascii="仿宋" w:hAnsi="仿宋" w:eastAsia="仿宋" w:cs="仿宋"/>
          <w:color w:val="auto"/>
          <w:spacing w:val="2"/>
          <w:sz w:val="24"/>
          <w:szCs w:val="24"/>
          <w:highlight w:val="none"/>
        </w:rPr>
        <w:t>份，乙方执</w:t>
      </w:r>
      <w:r>
        <w:rPr>
          <w:rFonts w:hint="eastAsia" w:ascii="仿宋" w:hAnsi="仿宋" w:eastAsia="仿宋" w:cs="仿宋"/>
          <w:color w:val="auto"/>
          <w:spacing w:val="2"/>
          <w:sz w:val="24"/>
          <w:szCs w:val="24"/>
          <w:highlight w:val="none"/>
          <w:u w:val="single"/>
        </w:rPr>
        <w:t>贰</w:t>
      </w:r>
      <w:r>
        <w:rPr>
          <w:rFonts w:hint="eastAsia" w:ascii="仿宋" w:hAnsi="仿宋" w:eastAsia="仿宋" w:cs="仿宋"/>
          <w:color w:val="auto"/>
          <w:spacing w:val="2"/>
          <w:sz w:val="24"/>
          <w:szCs w:val="24"/>
          <w:highlight w:val="none"/>
        </w:rPr>
        <w:t>份。</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发包人：  (公章)             承包人：  (公章)                           </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  法定代表人或其委托代理人：</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w:t>
      </w:r>
    </w:p>
    <w:p>
      <w:pPr>
        <w:keepNext w:val="0"/>
        <w:keepLines w:val="0"/>
        <w:pageBreakBefore w:val="0"/>
        <w:tabs>
          <w:tab w:val="left" w:pos="4410"/>
        </w:tabs>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组织机构代码：</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组织机构代码：</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地  址：</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 xml:space="preserve"> 邮政编码：</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委托代理人：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电子信箱：</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开户银行：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账  号：</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仿宋" w:hAnsi="仿宋" w:eastAsia="仿宋" w:cs="仿宋"/>
          <w:b/>
          <w:bCs/>
          <w:sz w:val="32"/>
          <w:szCs w:val="32"/>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sz w:val="30"/>
          <w:szCs w:val="30"/>
          <w:highlight w:val="none"/>
        </w:rPr>
        <w:t>2、</w:t>
      </w:r>
      <w:r>
        <w:rPr>
          <w:rFonts w:hint="eastAsia" w:ascii="仿宋" w:hAnsi="仿宋" w:eastAsia="仿宋" w:cs="仿宋"/>
          <w:b/>
          <w:bCs/>
          <w:sz w:val="32"/>
          <w:szCs w:val="32"/>
          <w:highlight w:val="none"/>
        </w:rPr>
        <w:t>建设廉政合同</w:t>
      </w:r>
    </w:p>
    <w:p>
      <w:pPr>
        <w:pStyle w:val="37"/>
        <w:snapToGrid w:val="0"/>
        <w:spacing w:line="360" w:lineRule="auto"/>
        <w:ind w:firstLine="480" w:firstLineChars="200"/>
        <w:jc w:val="left"/>
        <w:rPr>
          <w:rFonts w:ascii="仿宋" w:hAnsi="仿宋" w:eastAsia="仿宋" w:cs="仿宋"/>
          <w:spacing w:val="2"/>
          <w:sz w:val="24"/>
          <w:szCs w:val="24"/>
          <w:highlight w:val="none"/>
        </w:rPr>
      </w:pPr>
      <w:r>
        <w:rPr>
          <w:rFonts w:hint="eastAsia" w:ascii="仿宋" w:hAnsi="仿宋" w:eastAsia="仿宋" w:cs="仿宋"/>
          <w:sz w:val="24"/>
          <w:szCs w:val="24"/>
          <w:highlight w:val="none"/>
        </w:rPr>
        <w:t>根据上级有关工程建设、廉政建设的规定，为做好工程建设中的党风廉政建设，保证工程建设高效优质，保证建设资金的安全和有效使用以及投资效益，</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的项目法人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以下简称甲方）与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（以下简称乙方），特订立如下合同。</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第一条  甲乙双方的权利和义务</w:t>
      </w:r>
    </w:p>
    <w:p>
      <w:pPr>
        <w:pStyle w:val="28"/>
        <w:spacing w:line="360" w:lineRule="auto"/>
        <w:rPr>
          <w:rFonts w:ascii="仿宋" w:hAnsi="仿宋" w:eastAsia="仿宋" w:cs="仿宋"/>
          <w:highlight w:val="none"/>
        </w:rPr>
      </w:pPr>
      <w:r>
        <w:rPr>
          <w:rFonts w:hint="eastAsia" w:ascii="仿宋" w:hAnsi="仿宋" w:eastAsia="仿宋" w:cs="仿宋"/>
          <w:highlight w:val="none"/>
        </w:rPr>
        <w:t>（一）严格遵守党和国家有关法律法规及建设部、省、市的有关规定。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（二）严格执行</w:t>
      </w:r>
      <w:r>
        <w:rPr>
          <w:rFonts w:hint="eastAsia" w:ascii="仿宋" w:hAnsi="仿宋" w:eastAsia="仿宋" w:cs="仿宋"/>
          <w:sz w:val="24"/>
          <w:highlight w:val="none"/>
          <w:lang w:eastAsia="zh-CN"/>
        </w:rPr>
        <w:t>十二埭横河河道清淤工程</w:t>
      </w:r>
      <w:r>
        <w:rPr>
          <w:rFonts w:hint="eastAsia" w:ascii="仿宋" w:hAnsi="仿宋" w:eastAsia="仿宋" w:cs="仿宋"/>
          <w:sz w:val="24"/>
          <w:highlight w:val="none"/>
        </w:rPr>
        <w:t>建设的合同文件，自觉按合同办事。</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（三）双方的业务活动坚持公开、公正、诚信、透明的原则（除法律认定的商业秘密和合同文件另有规定之处），不得损害国家和集体利益，不得违反工程建设管理规章制度。</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（四）建立健全廉政制度，开展廉政教育，设立廉政告示牌，公布举报电话，监督并认真查处违法违纪行为。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（五）发现对方在业务活动中有违反廉政规定的行为，有及时提醒对方纠正的权利和义务。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（六）发现对方严重违反本合同义务条款的行为，有向其上级有关部门举报，建议给予处理并要求告知处理结果的权利。</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第二条  甲方的义务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（一）甲方及其工作人员不得索要或接受乙方的礼金、有价证券和贵重物品，不得在乙方报销任何应由甲方或个人支付的费用等。</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（二）甲方工作人员不得参加乙方安排的宴请和娱乐活动；不得接受乙方提供的通讯工具、交通工具和高档办公用品等。</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（三）甲方及其工作人员不得要求或者接受乙方为其住房装修、婚丧嫁娶活动、配偶子女的工作安排以及出国出境、旅游等提供方便等。</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（四）甲方工作人员的配偶、子女不得从事与甲方工程有关的材料设施供应、工程分包、劳务等经济活动。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（五）甲方及其工作人员不得以任何理由向乙方推荐分包单位，不得要求乙方购买合同规定外的材料和设备。</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第三条  乙方义务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（一）乙方不得以任何理由向甲方及其工作人员行贿或馈赠礼金、有价证券、贵重礼品。</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（二）乙方不得以任何名义为甲方及其工作人员报销应由甲方单位或个人支付的任何费用。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（三）乙方不得以任何理由安排甲方工作人员参加宴请及娱乐活动。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（四）乙方不得为甲方单位和个人购置或提供通讯工具、交通工具和高档办公用品等。</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第四条  违约责任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乙方及其工作人员违反本合同第一、三条，按管理权限，依据有关规定，给予党纪、政纪或组织处理；给甲方单位造成经济损失的，应予以赔偿；情节严重的，甲方建议建筑工程建设主管部门给予乙方一至三年内不得进入其主管的建筑工程建设市场的处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第五条  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第六条  本合同有限期为甲乙双方签署之日起至该工程项目竣工验收后止。</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第七条  本合同作为</w:t>
      </w:r>
      <w:r>
        <w:rPr>
          <w:rFonts w:hint="eastAsia" w:ascii="仿宋" w:hAnsi="仿宋" w:eastAsia="仿宋" w:cs="仿宋"/>
          <w:sz w:val="24"/>
          <w:highlight w:val="none"/>
          <w:lang w:eastAsia="zh-CN"/>
        </w:rPr>
        <w:t>十二埭横河河道清淤工程</w:t>
      </w:r>
      <w:r>
        <w:rPr>
          <w:rFonts w:hint="eastAsia" w:ascii="仿宋" w:hAnsi="仿宋" w:eastAsia="仿宋" w:cs="仿宋"/>
          <w:sz w:val="24"/>
          <w:highlight w:val="none"/>
        </w:rPr>
        <w:t>的建设施工合同的附件，与工程施工合同具有同等的法律效力，经合同双方签署后生效。</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第八条  本合同一式陆份，甲、乙双方各执贰份，街道招投标中心备案贰份。</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w:t>
      </w:r>
      <w:r>
        <w:rPr>
          <w:rFonts w:hint="eastAsia" w:ascii="仿宋" w:hAnsi="仿宋" w:eastAsia="仿宋" w:cs="仿宋"/>
          <w:sz w:val="24"/>
          <w:highlight w:val="none"/>
          <w:lang w:eastAsia="zh-CN"/>
        </w:rPr>
        <w:t>杭州市钱塘区农业农村局</w:t>
      </w:r>
      <w:r>
        <w:rPr>
          <w:rFonts w:hint="eastAsia" w:ascii="仿宋" w:hAnsi="仿宋" w:eastAsia="仿宋" w:cs="仿宋"/>
          <w:sz w:val="24"/>
          <w:highlight w:val="none"/>
        </w:rPr>
        <w:t xml:space="preserve"> （盖章）</w:t>
      </w:r>
    </w:p>
    <w:p>
      <w:pPr>
        <w:pStyle w:val="37"/>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法定代表人或授权委托人（签字）：</w:t>
      </w:r>
    </w:p>
    <w:p>
      <w:pPr>
        <w:pStyle w:val="37"/>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乙方：</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（盖章）：</w:t>
      </w:r>
    </w:p>
    <w:p>
      <w:pPr>
        <w:pStyle w:val="37"/>
        <w:spacing w:line="360" w:lineRule="auto"/>
        <w:ind w:firstLine="488" w:firstLineChars="200"/>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法定代表人（盖法人章）：</w:t>
      </w:r>
    </w:p>
    <w:p>
      <w:pPr>
        <w:rPr>
          <w:rFonts w:ascii="华文仿宋" w:hAnsi="华文仿宋" w:eastAsia="华文仿宋"/>
          <w:spacing w:val="60"/>
          <w:highlight w:val="none"/>
        </w:rPr>
      </w:pPr>
      <w:r>
        <w:rPr>
          <w:rFonts w:hint="eastAsia" w:ascii="仿宋" w:hAnsi="仿宋" w:eastAsia="仿宋" w:cs="仿宋"/>
          <w:sz w:val="24"/>
          <w:highlight w:val="none"/>
        </w:rPr>
        <w:t xml:space="preserve">           二O二</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年    月    日</w:t>
      </w:r>
    </w:p>
    <w:p>
      <w:pPr>
        <w:rPr>
          <w:rFonts w:ascii="华文仿宋" w:hAnsi="华文仿宋" w:eastAsia="华文仿宋"/>
          <w:spacing w:val="60"/>
          <w:highlight w:val="none"/>
        </w:rPr>
      </w:pPr>
      <w:r>
        <w:rPr>
          <w:rFonts w:hint="eastAsia" w:ascii="华文仿宋" w:hAnsi="华文仿宋" w:eastAsia="华文仿宋"/>
          <w:spacing w:val="60"/>
          <w:highlight w:val="none"/>
        </w:rPr>
        <w:br w:type="page"/>
      </w:r>
    </w:p>
    <w:p>
      <w:pPr>
        <w:rPr>
          <w:rFonts w:hint="eastAsia" w:ascii="华文仿宋" w:hAnsi="华文仿宋" w:eastAsia="华文仿宋"/>
          <w:color w:val="auto"/>
          <w:spacing w:val="60"/>
          <w:highlight w:val="none"/>
          <w:lang w:val="en-US" w:eastAsia="zh-CN"/>
        </w:rPr>
      </w:pPr>
    </w:p>
    <w:p>
      <w:pPr>
        <w:pStyle w:val="62"/>
        <w:shd w:val="clear"/>
        <w:rPr>
          <w:rFonts w:hint="eastAsia" w:ascii="华文仿宋" w:hAnsi="华文仿宋" w:eastAsia="华文仿宋"/>
          <w:color w:val="auto"/>
          <w:highlight w:val="none"/>
        </w:rPr>
      </w:pPr>
      <w:r>
        <w:rPr>
          <w:rFonts w:hint="eastAsia" w:ascii="华文仿宋" w:hAnsi="华文仿宋" w:eastAsia="华文仿宋"/>
          <w:color w:val="auto"/>
          <w:spacing w:val="60"/>
          <w:highlight w:val="none"/>
          <w:lang w:val="en-US" w:eastAsia="zh-CN"/>
        </w:rPr>
        <w:t>3</w:t>
      </w:r>
      <w:r>
        <w:rPr>
          <w:rFonts w:hint="eastAsia" w:ascii="华文仿宋" w:hAnsi="华文仿宋" w:eastAsia="华文仿宋"/>
          <w:color w:val="auto"/>
          <w:spacing w:val="60"/>
          <w:highlight w:val="none"/>
        </w:rPr>
        <w:t>、</w:t>
      </w:r>
      <w:r>
        <w:rPr>
          <w:rFonts w:hint="eastAsia" w:ascii="华文仿宋" w:hAnsi="华文仿宋" w:eastAsia="华文仿宋"/>
          <w:color w:val="auto"/>
          <w:highlight w:val="none"/>
        </w:rPr>
        <w:t>工程质量保修书</w:t>
      </w:r>
    </w:p>
    <w:p>
      <w:pPr>
        <w:shd w:val="clear"/>
        <w:spacing w:before="120" w:beforeLines="50" w:after="120" w:afterLines="50" w:line="440" w:lineRule="exact"/>
        <w:ind w:firstLine="2048" w:firstLineChars="850"/>
        <w:rPr>
          <w:rFonts w:hint="eastAsia" w:ascii="华文仿宋" w:hAnsi="华文仿宋" w:eastAsia="华文仿宋"/>
          <w:b/>
          <w:bCs/>
          <w:color w:val="auto"/>
          <w:sz w:val="24"/>
          <w:highlight w:val="none"/>
        </w:rPr>
      </w:pPr>
      <w:r>
        <w:rPr>
          <w:rFonts w:hint="eastAsia" w:ascii="华文仿宋" w:hAnsi="华文仿宋" w:eastAsia="华文仿宋"/>
          <w:b/>
          <w:bCs/>
          <w:color w:val="auto"/>
          <w:sz w:val="24"/>
          <w:highlight w:val="none"/>
        </w:rPr>
        <w:t xml:space="preserve"> </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发包人（全称）：</w:t>
      </w:r>
      <w:r>
        <w:rPr>
          <w:rFonts w:hint="eastAsia" w:ascii="华文仿宋" w:hAnsi="华文仿宋" w:eastAsia="华文仿宋"/>
          <w:color w:val="auto"/>
          <w:sz w:val="24"/>
          <w:highlight w:val="none"/>
          <w:u w:val="single"/>
          <w:lang w:eastAsia="zh-CN"/>
        </w:rPr>
        <w:t>杭州市钱塘区农业农村局</w:t>
      </w:r>
      <w:r>
        <w:rPr>
          <w:rFonts w:hint="eastAsia" w:ascii="华文仿宋" w:hAnsi="华文仿宋" w:eastAsia="华文仿宋"/>
          <w:color w:val="auto"/>
          <w:sz w:val="24"/>
          <w:highlight w:val="none"/>
          <w:u w:val="single"/>
        </w:rPr>
        <w:t xml:space="preserve"> </w:t>
      </w:r>
    </w:p>
    <w:p>
      <w:pPr>
        <w:shd w:val="clear"/>
        <w:spacing w:line="440" w:lineRule="exact"/>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承包人（全称）：</w:t>
      </w:r>
      <w:r>
        <w:rPr>
          <w:rFonts w:hint="eastAsia" w:ascii="华文仿宋" w:hAnsi="华文仿宋" w:eastAsia="华文仿宋"/>
          <w:color w:val="auto"/>
          <w:sz w:val="24"/>
          <w:highlight w:val="none"/>
          <w:u w:val="single"/>
        </w:rPr>
        <w:t xml:space="preserve">                                      </w:t>
      </w:r>
    </w:p>
    <w:p>
      <w:pPr>
        <w:shd w:val="clear"/>
        <w:spacing w:line="440" w:lineRule="exact"/>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发包人和承包人根据《中华人民共和国建筑法》和《建设工程质量管理条例》，经协商一致就</w:t>
      </w:r>
      <w:r>
        <w:rPr>
          <w:rFonts w:hint="eastAsia" w:ascii="华文仿宋" w:hAnsi="华文仿宋" w:eastAsia="华文仿宋"/>
          <w:color w:val="auto"/>
          <w:sz w:val="24"/>
          <w:highlight w:val="none"/>
          <w:u w:val="single"/>
        </w:rPr>
        <w:t xml:space="preserve"> </w:t>
      </w:r>
      <w:r>
        <w:rPr>
          <w:rFonts w:hint="eastAsia" w:ascii="仿宋" w:hAnsi="仿宋" w:eastAsia="仿宋" w:cs="仿宋"/>
          <w:color w:val="auto"/>
          <w:sz w:val="24"/>
          <w:szCs w:val="24"/>
          <w:highlight w:val="none"/>
          <w:u w:val="single"/>
          <w:lang w:eastAsia="zh-CN"/>
        </w:rPr>
        <w:t>十二埭横河河道清淤工程</w:t>
      </w:r>
      <w:r>
        <w:rPr>
          <w:rFonts w:hint="eastAsia" w:ascii="华文仿宋" w:hAnsi="华文仿宋" w:eastAsia="华文仿宋"/>
          <w:color w:val="auto"/>
          <w:sz w:val="24"/>
          <w:highlight w:val="none"/>
          <w:u w:val="single"/>
          <w:lang w:val="en-US" w:eastAsia="zh-CN"/>
        </w:rPr>
        <w:t xml:space="preserve"> </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签订工程质量保修书。</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一、工程质量保修范围和内容</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承包人在质量保修期内，按照有关法律规定和合同约定，承担工程质量保修责任。</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b/>
          <w:bCs/>
          <w:color w:val="auto"/>
          <w:sz w:val="24"/>
          <w:highlight w:val="none"/>
        </w:rPr>
        <w:t xml:space="preserve">  </w:t>
      </w:r>
      <w:r>
        <w:rPr>
          <w:rFonts w:hint="eastAsia" w:ascii="华文仿宋" w:hAnsi="华文仿宋" w:eastAsia="华文仿宋"/>
          <w:color w:val="auto"/>
          <w:sz w:val="24"/>
          <w:highlight w:val="none"/>
        </w:rPr>
        <w:t>二、质量保修期</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根据《建设工程质量管理条例》及有关规定，工程的质量保修期如下：</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1．地基基础工程和主体结构工程为设计文件规定的工程合理使用年限；</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2．屋面防水工程、有防水要求的卫生间、房间和外墙面的防渗漏为</w:t>
      </w:r>
      <w:r>
        <w:rPr>
          <w:rFonts w:hint="eastAsia" w:ascii="华文仿宋" w:hAnsi="华文仿宋" w:eastAsia="华文仿宋"/>
          <w:color w:val="auto"/>
          <w:sz w:val="24"/>
          <w:highlight w:val="none"/>
          <w:u w:val="single"/>
        </w:rPr>
        <w:t>5</w:t>
      </w:r>
      <w:r>
        <w:rPr>
          <w:rFonts w:hint="eastAsia" w:ascii="华文仿宋" w:hAnsi="华文仿宋" w:eastAsia="华文仿宋"/>
          <w:color w:val="auto"/>
          <w:sz w:val="24"/>
          <w:highlight w:val="none"/>
        </w:rPr>
        <w:t>年；</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3．装修工程为</w:t>
      </w:r>
      <w:r>
        <w:rPr>
          <w:rFonts w:hint="eastAsia" w:ascii="华文仿宋" w:hAnsi="华文仿宋" w:eastAsia="华文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年；</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4．电气管线、给排水管道、设备安装工程为</w:t>
      </w:r>
      <w:r>
        <w:rPr>
          <w:rFonts w:hint="eastAsia" w:ascii="华文仿宋" w:hAnsi="华文仿宋" w:eastAsia="华文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年；</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5．供热与供冷系统为</w:t>
      </w:r>
      <w:r>
        <w:rPr>
          <w:rFonts w:hint="eastAsia" w:ascii="华文仿宋" w:hAnsi="华文仿宋" w:eastAsia="华文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个采暖期、供冷期；</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6．住宅小区内的给排水设施、道路等配套工程为</w:t>
      </w:r>
      <w:r>
        <w:rPr>
          <w:rFonts w:hint="eastAsia" w:ascii="华文仿宋" w:hAnsi="华文仿宋" w:eastAsia="华文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年；</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7．其他项目保修期限约定如下：</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u w:val="single"/>
        </w:rPr>
        <w:t>本工程质保期为壹年，从取得竣工验收证书后起算。同时在质保期内由承包人负责免费维护与系统的升级工作。</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质量保修期自工程竣工验收合格之日起计算。</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三、缺陷责任期</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工程缺陷责任期为</w:t>
      </w:r>
      <w:r>
        <w:rPr>
          <w:rFonts w:hint="eastAsia" w:ascii="华文仿宋" w:hAnsi="华文仿宋" w:eastAsia="华文仿宋"/>
          <w:color w:val="auto"/>
          <w:sz w:val="24"/>
          <w:highlight w:val="none"/>
          <w:u w:val="single"/>
        </w:rPr>
        <w:t xml:space="preserve"> 24 </w:t>
      </w:r>
      <w:r>
        <w:rPr>
          <w:rFonts w:hint="eastAsia" w:ascii="华文仿宋" w:hAnsi="华文仿宋" w:eastAsia="华文仿宋"/>
          <w:color w:val="auto"/>
          <w:sz w:val="24"/>
          <w:highlight w:val="none"/>
        </w:rPr>
        <w:t>个月，缺陷责任期自工程竣工验收合格之日起计算。单位工程先于全部工程进行验收，单位工程缺陷责任期自单位工程验收合格之日起算。</w:t>
      </w:r>
    </w:p>
    <w:p>
      <w:pPr>
        <w:shd w:val="clear"/>
        <w:spacing w:line="360" w:lineRule="auto"/>
        <w:ind w:firstLine="480" w:firstLineChars="20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缺陷责任期终止后，发包人应退还剩余的质量保证金。</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四、质量保修责任</w:t>
      </w:r>
    </w:p>
    <w:p>
      <w:pPr>
        <w:shd w:val="clear"/>
        <w:spacing w:line="360" w:lineRule="auto"/>
        <w:ind w:left="105" w:leftChars="50" w:firstLine="489" w:firstLineChars="204"/>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1．属于保修范围、内容的项目，承包人应当在接到保修通知之日起7天内派人保修。承包人不在约定期限内派人保修的，发包人可以委托他人修理。</w:t>
      </w:r>
    </w:p>
    <w:p>
      <w:pPr>
        <w:shd w:val="clear"/>
        <w:spacing w:line="360" w:lineRule="auto"/>
        <w:ind w:left="105" w:leftChars="50" w:firstLine="489" w:firstLineChars="204"/>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2．发生紧急事故需抢修的，承包人在接到事故通知后，应当立即到达事故现场抢修。</w:t>
      </w:r>
    </w:p>
    <w:p>
      <w:pPr>
        <w:shd w:val="clear"/>
        <w:spacing w:line="360" w:lineRule="auto"/>
        <w:ind w:left="105" w:leftChars="50" w:firstLine="489" w:firstLineChars="204"/>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hd w:val="clear"/>
        <w:spacing w:line="360" w:lineRule="auto"/>
        <w:ind w:left="420" w:leftChars="200" w:firstLine="120" w:firstLineChars="5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4．质量保修完成后，由发包人组织验收。</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五、保修费用</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保修费用由造成质量缺陷的责任方承担。</w:t>
      </w:r>
    </w:p>
    <w:p>
      <w:pPr>
        <w:shd w:val="clear"/>
        <w:spacing w:line="360" w:lineRule="auto"/>
        <w:ind w:firstLine="600"/>
        <w:jc w:val="left"/>
        <w:rPr>
          <w:rFonts w:hint="eastAsia" w:ascii="华文仿宋" w:hAnsi="华文仿宋" w:eastAsia="华文仿宋"/>
          <w:color w:val="auto"/>
          <w:sz w:val="24"/>
          <w:highlight w:val="none"/>
        </w:rPr>
      </w:pPr>
      <w:r>
        <w:rPr>
          <w:rFonts w:hint="eastAsia" w:ascii="华文仿宋" w:hAnsi="华文仿宋" w:eastAsia="华文仿宋"/>
          <w:b/>
          <w:bCs/>
          <w:color w:val="auto"/>
          <w:sz w:val="24"/>
          <w:highlight w:val="none"/>
        </w:rPr>
        <w:t>六</w:t>
      </w:r>
      <w:r>
        <w:rPr>
          <w:rFonts w:hint="eastAsia" w:ascii="华文仿宋" w:hAnsi="华文仿宋" w:eastAsia="华文仿宋"/>
          <w:color w:val="auto"/>
          <w:sz w:val="24"/>
          <w:highlight w:val="none"/>
        </w:rPr>
        <w:t>、双方约定的其他工程质量保修事项：</w:t>
      </w:r>
      <w:r>
        <w:rPr>
          <w:rFonts w:hint="eastAsia" w:ascii="华文仿宋" w:hAnsi="华文仿宋" w:eastAsia="华文仿宋"/>
          <w:color w:val="auto"/>
          <w:sz w:val="24"/>
          <w:highlight w:val="none"/>
          <w:u w:val="single"/>
        </w:rPr>
        <w:t xml:space="preserve">                   。</w:t>
      </w:r>
    </w:p>
    <w:p>
      <w:pPr>
        <w:shd w:val="clear"/>
        <w:spacing w:line="360" w:lineRule="auto"/>
        <w:ind w:firstLine="456" w:firstLineChars="19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工程质量保修书由发包人、承包人在工程竣工验收前共同签署，作为施工合同附件，其有效期限至保修期满。</w:t>
      </w:r>
    </w:p>
    <w:p>
      <w:pPr>
        <w:shd w:val="clear"/>
        <w:spacing w:line="360" w:lineRule="auto"/>
        <w:ind w:firstLine="456" w:firstLineChars="190"/>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 xml:space="preserve"> </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发包人(公章)：</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承包人(公章)：</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地  址：</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地  址：</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法定代表人(签字或盖章)：</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法定代表人(签字或盖章)：</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委托代理人(签字)：</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委托代理人(签字)：</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电  话：</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电  话：</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传  真：</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传  真：</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开户银行：</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开户银行：</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pPr>
        <w:shd w:val="clear"/>
        <w:spacing w:line="360" w:lineRule="auto"/>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账  号：</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账  号：</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pPr>
        <w:shd w:val="clear"/>
        <w:spacing w:line="360" w:lineRule="auto"/>
        <w:rPr>
          <w:rFonts w:hint="eastAsia" w:ascii="仿宋" w:hAnsi="仿宋" w:eastAsia="仿宋" w:cs="仿宋"/>
          <w:b/>
          <w:color w:val="auto"/>
          <w:sz w:val="36"/>
          <w:szCs w:val="20"/>
          <w:highlight w:val="none"/>
        </w:rPr>
      </w:pPr>
      <w:r>
        <w:rPr>
          <w:rFonts w:hint="eastAsia" w:ascii="华文仿宋" w:hAnsi="华文仿宋" w:eastAsia="华文仿宋"/>
          <w:color w:val="auto"/>
          <w:sz w:val="24"/>
          <w:highlight w:val="none"/>
        </w:rPr>
        <w:t>邮政编码：</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r>
        <w:rPr>
          <w:rFonts w:hint="eastAsia" w:ascii="华文仿宋" w:hAnsi="华文仿宋" w:eastAsia="华文仿宋"/>
          <w:color w:val="auto"/>
          <w:sz w:val="24"/>
          <w:highlight w:val="none"/>
        </w:rPr>
        <w:t xml:space="preserve"> 邮政编码：</w:t>
      </w:r>
      <w:r>
        <w:rPr>
          <w:rFonts w:hint="eastAsia" w:ascii="华文仿宋" w:hAnsi="华文仿宋" w:eastAsia="华文仿宋" w:cs="宋体"/>
          <w:color w:val="auto"/>
          <w:sz w:val="24"/>
          <w:highlight w:val="none"/>
          <w:u w:val="single"/>
        </w:rPr>
        <w:t></w:t>
      </w:r>
      <w:r>
        <w:rPr>
          <w:rFonts w:hint="eastAsia" w:ascii="华文仿宋" w:hAnsi="华文仿宋" w:eastAsia="华文仿宋"/>
          <w:color w:val="auto"/>
          <w:sz w:val="24"/>
          <w:highlight w:val="none"/>
          <w:u w:val="single"/>
        </w:rPr>
        <w:t xml:space="preserve">   </w:t>
      </w: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9"/>
        <w:rPr>
          <w:rFonts w:hint="eastAsia" w:ascii="仿宋" w:hAnsi="仿宋" w:eastAsia="仿宋" w:cs="仿宋"/>
          <w:b/>
          <w:color w:val="auto"/>
          <w:kern w:val="0"/>
          <w:sz w:val="36"/>
          <w:szCs w:val="36"/>
          <w:highlight w:val="none"/>
        </w:rPr>
      </w:pPr>
    </w:p>
    <w:p>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9"/>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snapToGrid w:val="0"/>
          <w:kern w:val="28"/>
          <w:sz w:val="24"/>
          <w:szCs w:val="20"/>
          <w:highlight w:val="none"/>
        </w:rPr>
        <w:t>联合协议（如果有)</w:t>
      </w:r>
      <w:r>
        <w:rPr>
          <w:rFonts w:hint="eastAsia" w:ascii="仿宋" w:hAnsi="仿宋" w:eastAsia="仿宋" w:cs="仿宋"/>
          <w:snapToGrid w:val="0"/>
          <w:kern w:val="28"/>
          <w:sz w:val="24"/>
          <w:szCs w:val="20"/>
          <w:highlight w:val="none"/>
          <w:lang w:val="en-US" w:eastAsia="zh-CN"/>
        </w:rPr>
        <w:t xml:space="preserve"> </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lang w:val="en-US" w:eastAsia="zh-CN"/>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杭州市钱塘区农业农村局、浙江华浦工程管理有限公司</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val="en-US" w:eastAsia="zh-CN"/>
        </w:rPr>
        <w:t xml:space="preserve">  （工程名称）  </w:t>
      </w:r>
      <w:r>
        <w:rPr>
          <w:rFonts w:hint="eastAsia" w:ascii="仿宋" w:hAnsi="仿宋" w:eastAsia="仿宋" w:cs="仿宋"/>
          <w:color w:val="auto"/>
          <w:sz w:val="24"/>
          <w:highlight w:val="none"/>
        </w:rPr>
        <w:t>【</w:t>
      </w:r>
      <w:r>
        <w:rPr>
          <w:rFonts w:hint="eastAsia" w:ascii="仿宋" w:hAnsi="仿宋" w:eastAsia="仿宋" w:cs="仿宋"/>
          <w:color w:val="auto"/>
          <w:spacing w:val="-11"/>
          <w:sz w:val="24"/>
          <w:highlight w:val="none"/>
          <w:lang w:val="en-US" w:eastAsia="zh-CN"/>
        </w:rPr>
        <w:t>项目</w:t>
      </w:r>
      <w:r>
        <w:rPr>
          <w:rFonts w:hint="eastAsia" w:ascii="仿宋" w:hAnsi="仿宋" w:eastAsia="仿宋" w:cs="仿宋"/>
          <w:color w:val="auto"/>
          <w:spacing w:val="-11"/>
          <w:sz w:val="24"/>
          <w:highlight w:val="none"/>
        </w:rPr>
        <w:t>编号：</w:t>
      </w:r>
      <w:r>
        <w:rPr>
          <w:rFonts w:hint="eastAsia" w:ascii="仿宋" w:hAnsi="仿宋" w:eastAsia="仿宋" w:cs="仿宋"/>
          <w:color w:val="auto"/>
          <w:spacing w:val="-11"/>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37"/>
        <w:spacing w:line="360" w:lineRule="auto"/>
        <w:ind w:firstLine="480" w:firstLineChars="200"/>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3、投标建造师无在建施工工程项目（有在建工程已经业主同意调离并在当地行业主管部门备案，并已在投标文件中附相应资料）</w:t>
      </w:r>
      <w:r>
        <w:rPr>
          <w:rFonts w:hint="eastAsia" w:ascii="仿宋" w:hAnsi="仿宋" w:eastAsia="仿宋" w:cs="仿宋"/>
          <w:b/>
          <w:bCs/>
          <w:snapToGrid/>
          <w:color w:val="auto"/>
          <w:kern w:val="2"/>
          <w:sz w:val="24"/>
          <w:szCs w:val="24"/>
          <w:highlight w:val="none"/>
          <w:lang w:val="en-US" w:eastAsia="zh-CN" w:bidi="ar-SA"/>
        </w:rPr>
        <w:t>。</w:t>
      </w:r>
    </w:p>
    <w:p>
      <w:pPr>
        <w:pStyle w:val="47"/>
        <w:rPr>
          <w:rFonts w:hint="eastAsia" w:ascii="仿宋" w:hAnsi="仿宋" w:eastAsia="仿宋" w:cs="仿宋"/>
          <w:highlight w:val="none"/>
        </w:rPr>
      </w:pP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供应商名称(盖章</w:t>
      </w:r>
      <w:r>
        <w:rPr>
          <w:rFonts w:hint="eastAsia" w:ascii="仿宋" w:hAnsi="仿宋" w:eastAsia="仿宋" w:cs="仿宋"/>
          <w:color w:val="auto"/>
          <w:kern w:val="0"/>
          <w:sz w:val="24"/>
          <w:highlight w:val="none"/>
          <w:lang w:val="en-US" w:eastAsia="zh-CN"/>
        </w:rPr>
        <w:t>或电子签章</w:t>
      </w: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firstLine="643" w:firstLineChars="20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hint="eastAsia" w:ascii="仿宋" w:hAnsi="仿宋" w:eastAsia="仿宋" w:cs="仿宋"/>
          <w:b/>
          <w:kern w:val="0"/>
          <w:sz w:val="32"/>
          <w:szCs w:val="32"/>
          <w:highlight w:val="none"/>
        </w:rPr>
        <w:sectPr>
          <w:type w:val="continuous"/>
          <w:pgSz w:w="11906" w:h="16838"/>
          <w:pgMar w:top="1440" w:right="1080" w:bottom="1440" w:left="1080" w:header="851" w:footer="992" w:gutter="0"/>
          <w:pgNumType w:fmt="decimal"/>
          <w:cols w:space="720" w:num="1"/>
          <w:titlePg/>
          <w:docGrid w:linePitch="312" w:charSpace="0"/>
        </w:sectPr>
      </w:pPr>
    </w:p>
    <w:p>
      <w:pPr>
        <w:snapToGrid w:val="0"/>
        <w:spacing w:line="360" w:lineRule="auto"/>
        <w:ind w:right="480"/>
        <w:jc w:val="center"/>
        <w:rPr>
          <w:rFonts w:hint="eastAsia" w:ascii="仿宋" w:hAnsi="仿宋" w:eastAsia="仿宋" w:cs="仿宋"/>
          <w:sz w:val="24"/>
          <w:highlight w:val="none"/>
        </w:rPr>
      </w:pPr>
      <w:r>
        <w:rPr>
          <w:rFonts w:hint="eastAsia" w:ascii="仿宋" w:hAnsi="仿宋" w:eastAsia="仿宋" w:cs="仿宋"/>
          <w:b/>
          <w:kern w:val="0"/>
          <w:sz w:val="32"/>
          <w:szCs w:val="32"/>
          <w:highlight w:val="none"/>
        </w:rPr>
        <w:t>三、落实政府采购政策需满足的资格要求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.专门面向中小企业，工程全部由符合政策要求的中小企业（或小微企业）承建的，提供相应的中小企业声明函（附件7）。 </w:t>
      </w:r>
    </w:p>
    <w:p>
      <w:pPr>
        <w:widowControl/>
        <w:spacing w:line="360" w:lineRule="auto"/>
        <w:ind w:firstLine="480"/>
        <w:jc w:val="left"/>
        <w:rPr>
          <w:rFonts w:hint="eastAsia" w:ascii="仿宋" w:hAnsi="仿宋" w:eastAsia="仿宋" w:cs="仿宋"/>
          <w:sz w:val="24"/>
          <w:highlight w:val="none"/>
        </w:rPr>
      </w:pPr>
    </w:p>
    <w:p>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竞争性磋商公告载明的比例；如果供应商本身提供所有标的均由中小企业承建，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highlight w:val="none"/>
        </w:rPr>
      </w:pPr>
    </w:p>
    <w:p>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（根据竞争性磋商公告本项目的特定资格要求提供相应的材料；未要求的，无需提供）</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9"/>
        <w:rPr>
          <w:rFonts w:hint="eastAsia" w:ascii="仿宋" w:hAnsi="仿宋" w:eastAsia="仿宋" w:cs="仿宋"/>
          <w:b/>
          <w:color w:val="auto"/>
          <w:kern w:val="0"/>
          <w:sz w:val="24"/>
          <w:highlight w:val="none"/>
        </w:rPr>
      </w:pPr>
    </w:p>
    <w:p>
      <w:pPr>
        <w:spacing w:line="360" w:lineRule="auto"/>
        <w:jc w:val="center"/>
        <w:outlineLvl w:val="9"/>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磋商响应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9"/>
        <w:rPr>
          <w:rFonts w:hint="eastAsia" w:ascii="仿宋" w:hAnsi="仿宋" w:eastAsia="仿宋" w:cs="仿宋"/>
          <w:b/>
          <w:color w:val="auto"/>
          <w:kern w:val="0"/>
          <w:sz w:val="32"/>
          <w:szCs w:val="32"/>
          <w:highlight w:val="none"/>
        </w:rPr>
      </w:pPr>
    </w:p>
    <w:p>
      <w:pPr>
        <w:snapToGrid w:val="0"/>
        <w:spacing w:line="360" w:lineRule="auto"/>
        <w:jc w:val="center"/>
        <w:outlineLvl w:val="9"/>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9"/>
        <w:rPr>
          <w:rFonts w:hint="eastAsia" w:ascii="仿宋" w:hAnsi="仿宋" w:eastAsia="仿宋" w:cs="仿宋"/>
          <w:b/>
          <w:color w:val="auto"/>
          <w:kern w:val="0"/>
          <w:sz w:val="32"/>
          <w:szCs w:val="32"/>
          <w:highlight w:val="none"/>
        </w:rPr>
      </w:pPr>
    </w:p>
    <w:p>
      <w:pPr>
        <w:snapToGrid w:val="0"/>
        <w:spacing w:line="360" w:lineRule="auto"/>
        <w:jc w:val="center"/>
        <w:outlineLvl w:val="9"/>
        <w:rPr>
          <w:rFonts w:hint="eastAsia" w:ascii="仿宋" w:hAnsi="仿宋" w:eastAsia="仿宋" w:cs="仿宋"/>
          <w:b/>
          <w:color w:val="auto"/>
          <w:kern w:val="0"/>
          <w:sz w:val="32"/>
          <w:szCs w:val="32"/>
          <w:highlight w:val="none"/>
        </w:rPr>
      </w:pPr>
    </w:p>
    <w:p>
      <w:pPr>
        <w:snapToGrid w:val="0"/>
        <w:spacing w:line="360" w:lineRule="auto"/>
        <w:jc w:val="center"/>
        <w:outlineLvl w:val="9"/>
        <w:rPr>
          <w:rFonts w:hint="eastAsia" w:ascii="仿宋" w:hAnsi="仿宋" w:eastAsia="仿宋" w:cs="仿宋"/>
          <w:b/>
          <w:color w:val="auto"/>
          <w:kern w:val="0"/>
          <w:sz w:val="32"/>
          <w:szCs w:val="32"/>
          <w:highlight w:val="none"/>
        </w:rPr>
      </w:pPr>
    </w:p>
    <w:p>
      <w:pPr>
        <w:snapToGrid w:val="0"/>
        <w:spacing w:line="360" w:lineRule="auto"/>
        <w:jc w:val="center"/>
        <w:outlineLvl w:val="9"/>
        <w:rPr>
          <w:rFonts w:hint="eastAsia" w:ascii="仿宋" w:hAnsi="仿宋" w:eastAsia="仿宋" w:cs="仿宋"/>
          <w:b/>
          <w:color w:val="auto"/>
          <w:kern w:val="0"/>
          <w:sz w:val="32"/>
          <w:szCs w:val="32"/>
          <w:highlight w:val="none"/>
        </w:rPr>
      </w:pPr>
    </w:p>
    <w:p>
      <w:pPr>
        <w:snapToGrid w:val="0"/>
        <w:spacing w:line="360" w:lineRule="auto"/>
        <w:jc w:val="center"/>
        <w:outlineLvl w:val="9"/>
        <w:rPr>
          <w:rFonts w:hint="eastAsia" w:ascii="仿宋" w:hAnsi="仿宋" w:eastAsia="仿宋" w:cs="仿宋"/>
          <w:b/>
          <w:color w:val="auto"/>
          <w:kern w:val="0"/>
          <w:sz w:val="32"/>
          <w:szCs w:val="32"/>
          <w:highlight w:val="none"/>
        </w:rPr>
      </w:pPr>
    </w:p>
    <w:p>
      <w:pPr>
        <w:snapToGrid w:val="0"/>
        <w:spacing w:line="360" w:lineRule="auto"/>
        <w:jc w:val="both"/>
        <w:outlineLvl w:val="9"/>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val="en-US" w:eastAsia="zh-CN"/>
        </w:rPr>
        <w:t>磋商响应</w:t>
      </w:r>
      <w:r>
        <w:rPr>
          <w:rFonts w:hint="eastAsia" w:ascii="仿宋" w:hAnsi="仿宋" w:eastAsia="仿宋" w:cs="仿宋"/>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杭州市钱塘区农业农村局、浙江华浦工程管理有限公司</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val="en-US" w:eastAsia="zh-CN"/>
        </w:rPr>
        <w:t xml:space="preserve">   （项目名称）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lang w:eastAsia="zh-CN"/>
        </w:rPr>
        <w:t>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。为此：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磋商有效期</w:t>
      </w:r>
      <w:r>
        <w:rPr>
          <w:rFonts w:hint="eastAsia" w:ascii="仿宋" w:hAnsi="仿宋" w:eastAsia="仿宋" w:cs="仿宋"/>
          <w:color w:val="auto"/>
          <w:sz w:val="24"/>
          <w:highlight w:val="none"/>
        </w:rPr>
        <w:t>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磋商有效期</w:t>
      </w:r>
      <w:r>
        <w:rPr>
          <w:rFonts w:hint="eastAsia" w:ascii="仿宋" w:hAnsi="仿宋" w:eastAsia="仿宋" w:cs="仿宋"/>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磋商响应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2.3.1报价单；</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通知书后，在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 xml:space="preserve">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按磋商文件要求支付采购代理机构磋商服务费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600" w:firstLineChars="1500"/>
        <w:textAlignment w:val="auto"/>
        <w:rPr>
          <w:rFonts w:hint="eastAsia" w:ascii="仿宋" w:hAnsi="仿宋" w:eastAsia="仿宋" w:cs="仿宋"/>
          <w:color w:val="auto"/>
          <w:sz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3600" w:firstLineChars="1500"/>
        <w:textAlignment w:val="auto"/>
        <w:rPr>
          <w:rFonts w:hint="eastAsia" w:ascii="仿宋" w:hAnsi="仿宋" w:eastAsia="仿宋" w:cs="仿宋"/>
          <w:color w:val="auto"/>
          <w:sz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kern w:val="0"/>
          <w:sz w:val="24"/>
          <w:highlight w:val="none"/>
          <w:lang w:val="zh-CN"/>
        </w:rPr>
        <w:t>盖章</w:t>
      </w:r>
      <w:r>
        <w:rPr>
          <w:rFonts w:hint="eastAsia" w:ascii="仿宋" w:hAnsi="仿宋" w:eastAsia="仿宋" w:cs="仿宋"/>
          <w:color w:val="auto"/>
          <w:kern w:val="0"/>
          <w:sz w:val="24"/>
          <w:highlight w:val="none"/>
          <w:lang w:val="en-US" w:eastAsia="zh-CN"/>
        </w:rPr>
        <w:t>或电子签章</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pStyle w:val="6"/>
        <w:rPr>
          <w:rFonts w:hint="eastAsia" w:ascii="仿宋" w:hAnsi="仿宋" w:eastAsia="仿宋" w:cs="仿宋"/>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snapToGrid w:val="0"/>
        <w:jc w:val="center"/>
        <w:rPr>
          <w:rFonts w:hint="eastAsia" w:ascii="仿宋" w:hAnsi="仿宋" w:eastAsia="仿宋" w:cs="仿宋"/>
          <w:b/>
          <w:bCs/>
          <w:sz w:val="32"/>
          <w:szCs w:val="32"/>
          <w:highlight w:val="none"/>
          <w:lang w:val="zh-CN"/>
        </w:rPr>
      </w:pPr>
      <w:r>
        <w:rPr>
          <w:rFonts w:hint="eastAsia" w:ascii="仿宋" w:hAnsi="仿宋" w:eastAsia="仿宋" w:cs="仿宋"/>
          <w:b/>
          <w:bCs/>
          <w:sz w:val="30"/>
          <w:szCs w:val="30"/>
          <w:highlight w:val="none"/>
          <w:lang w:val="zh-CN"/>
        </w:rPr>
        <w:t>二、授权委托书或法定代表人（单位负责人、自然人本人）身份证明</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napToGrid w:val="0"/>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授权委托书（适用于非联合体投标）</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杭州市钱塘区农业农村局、浙江华浦工程管理有限公司</w:t>
      </w:r>
      <w:r>
        <w:rPr>
          <w:rFonts w:hint="eastAsia" w:ascii="仿宋" w:hAnsi="仿宋" w:eastAsia="仿宋" w:cs="仿宋"/>
          <w:kern w:val="0"/>
          <w:sz w:val="24"/>
          <w:highlight w:val="none"/>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lang w:val="zh-CN" w:eastAsia="zh-CN"/>
        </w:rPr>
        <w:t>十二埭横河河道清淤工程</w:t>
      </w:r>
      <w:r>
        <w:rPr>
          <w:rFonts w:hint="eastAsia" w:ascii="仿宋" w:hAnsi="仿宋" w:eastAsia="仿宋" w:cs="仿宋"/>
          <w:sz w:val="24"/>
          <w:highlight w:val="none"/>
        </w:rPr>
        <w:t>【项目编号：</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rPr>
      </w:pPr>
    </w:p>
    <w:p>
      <w:pPr>
        <w:snapToGrid w:val="0"/>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授权委托书（适用于联合体投标）</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lang w:val="zh-CN" w:eastAsia="zh-CN"/>
        </w:rPr>
        <w:t>十二埭横河河道清淤工程</w:t>
      </w:r>
      <w:r>
        <w:rPr>
          <w:rFonts w:hint="eastAsia" w:ascii="仿宋" w:hAnsi="仿宋" w:eastAsia="仿宋" w:cs="仿宋"/>
          <w:sz w:val="24"/>
          <w:highlight w:val="none"/>
        </w:rPr>
        <w:t>【项目编号：</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napToGrid w:val="0"/>
        <w:jc w:val="center"/>
        <w:rPr>
          <w:rFonts w:hint="eastAsia" w:ascii="仿宋" w:hAnsi="仿宋" w:eastAsia="仿宋" w:cs="仿宋"/>
          <w:b/>
          <w:bCs/>
          <w:sz w:val="32"/>
          <w:szCs w:val="32"/>
          <w:highlight w:val="none"/>
          <w:lang w:val="zh-CN"/>
        </w:rPr>
      </w:pPr>
    </w:p>
    <w:p>
      <w:pPr>
        <w:snapToGrid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zh-CN"/>
        </w:rPr>
        <w:t>法定代表人、单位负责人或自然人本人</w:t>
      </w:r>
      <w:r>
        <w:rPr>
          <w:rFonts w:hint="eastAsia" w:ascii="仿宋" w:hAnsi="仿宋" w:eastAsia="仿宋" w:cs="仿宋"/>
          <w:b/>
          <w:bCs/>
          <w:sz w:val="32"/>
          <w:szCs w:val="32"/>
          <w:highlight w:val="none"/>
        </w:rPr>
        <w:t>的身份证明（适用于法定代表人、单位负责人或者自然人本人代表供应商参加投标）</w:t>
      </w:r>
    </w:p>
    <w:p>
      <w:pPr>
        <w:pStyle w:val="15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pPr>
              <w:pStyle w:val="150"/>
              <w:adjustRightInd w:val="0"/>
              <w:spacing w:line="360" w:lineRule="auto"/>
              <w:rPr>
                <w:rFonts w:hint="eastAsia" w:ascii="仿宋" w:hAnsi="仿宋" w:eastAsia="仿宋" w:cs="仿宋"/>
                <w:bCs/>
                <w:sz w:val="24"/>
                <w:highlight w:val="none"/>
              </w:rPr>
            </w:pPr>
          </w:p>
        </w:tc>
      </w:tr>
    </w:tbl>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pPr>
        <w:snapToGrid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三、分包意向协议</w:t>
      </w:r>
    </w:p>
    <w:p>
      <w:pPr>
        <w:widowControl/>
        <w:spacing w:line="360" w:lineRule="auto"/>
        <w:ind w:firstLine="120" w:firstLineChars="50"/>
        <w:jc w:val="left"/>
        <w:rPr>
          <w:rFonts w:hint="eastAsia" w:ascii="仿宋" w:hAnsi="仿宋" w:eastAsia="仿宋" w:cs="仿宋"/>
          <w:sz w:val="24"/>
          <w:highlight w:val="none"/>
        </w:rPr>
      </w:pPr>
      <w:bookmarkStart w:id="395" w:name="_Hlk101169080"/>
      <w:r>
        <w:rPr>
          <w:rFonts w:hint="eastAsia" w:ascii="仿宋" w:hAnsi="仿宋" w:eastAsia="仿宋" w:cs="仿宋"/>
          <w:sz w:val="24"/>
          <w:highlight w:val="none"/>
        </w:rPr>
        <w:t>[</w:t>
      </w:r>
      <w:r>
        <w:rPr>
          <w:rFonts w:hint="eastAsia" w:ascii="仿宋" w:hAnsi="仿宋" w:eastAsia="仿宋" w:cs="仿宋"/>
          <w:b/>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sz w:val="24"/>
          <w:highlight w:val="none"/>
        </w:rPr>
        <w:t>]</w:t>
      </w:r>
    </w:p>
    <w:bookmarkEnd w:id="395"/>
    <w:p>
      <w:pPr>
        <w:snapToGrid w:val="0"/>
        <w:spacing w:line="360" w:lineRule="auto"/>
        <w:rPr>
          <w:rFonts w:hint="eastAsia" w:ascii="仿宋" w:hAnsi="仿宋" w:eastAsia="仿宋" w:cs="仿宋"/>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pPr>
              <w:pStyle w:val="5"/>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磋商有效期</w:t>
            </w:r>
            <w:r>
              <w:rPr>
                <w:rFonts w:hint="eastAsia" w:ascii="仿宋" w:hAnsi="仿宋" w:eastAsia="仿宋" w:cs="仿宋"/>
                <w:color w:val="auto"/>
                <w:sz w:val="24"/>
                <w:highlight w:val="none"/>
              </w:rPr>
              <w:t>不少于</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磋商有效期</w:t>
            </w:r>
            <w:r>
              <w:rPr>
                <w:rFonts w:hint="eastAsia" w:ascii="仿宋" w:hAnsi="仿宋" w:eastAsia="仿宋" w:cs="仿宋"/>
                <w:color w:val="auto"/>
                <w:sz w:val="24"/>
                <w:highlight w:val="none"/>
              </w:rPr>
              <w:t>。</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磋商响应</w:t>
            </w:r>
            <w:r>
              <w:rPr>
                <w:rFonts w:hint="eastAsia" w:ascii="仿宋" w:hAnsi="仿宋" w:eastAsia="仿宋" w:cs="仿宋"/>
                <w:color w:val="auto"/>
                <w:sz w:val="24"/>
                <w:highlight w:val="none"/>
              </w:rPr>
              <w:t>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评审</w:t>
      </w:r>
      <w:r>
        <w:rPr>
          <w:rFonts w:hint="eastAsia" w:ascii="仿宋" w:hAnsi="仿宋" w:eastAsia="仿宋" w:cs="仿宋"/>
          <w:b/>
          <w:color w:val="auto"/>
          <w:kern w:val="0"/>
          <w:sz w:val="32"/>
          <w:szCs w:val="32"/>
          <w:highlight w:val="none"/>
        </w:rPr>
        <w:t>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第四部分</w:t>
      </w:r>
      <w:r>
        <w:rPr>
          <w:rFonts w:hint="eastAsia" w:ascii="仿宋" w:hAnsi="仿宋" w:eastAsia="仿宋" w:cs="仿宋"/>
          <w:b/>
          <w:color w:val="auto"/>
          <w:sz w:val="24"/>
          <w:highlight w:val="none"/>
          <w:lang w:eastAsia="zh-CN"/>
        </w:rPr>
        <w:t>评审</w:t>
      </w:r>
      <w:r>
        <w:rPr>
          <w:rFonts w:hint="eastAsia" w:ascii="仿宋" w:hAnsi="仿宋" w:eastAsia="仿宋" w:cs="仿宋"/>
          <w:b/>
          <w:color w:val="auto"/>
          <w:sz w:val="24"/>
          <w:highlight w:val="none"/>
        </w:rPr>
        <w:t>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w:t>
      </w:r>
      <w:r>
        <w:rPr>
          <w:rFonts w:hint="eastAsia" w:ascii="仿宋" w:hAnsi="仿宋" w:eastAsia="仿宋" w:cs="仿宋"/>
          <w:b/>
          <w:color w:val="auto"/>
          <w:sz w:val="24"/>
          <w:highlight w:val="none"/>
          <w:lang w:eastAsia="zh-CN"/>
        </w:rPr>
        <w:t>评审</w:t>
      </w:r>
      <w:r>
        <w:rPr>
          <w:rFonts w:hint="eastAsia" w:ascii="仿宋" w:hAnsi="仿宋" w:eastAsia="仿宋" w:cs="仿宋"/>
          <w:b/>
          <w:color w:val="auto"/>
          <w:sz w:val="24"/>
          <w:highlight w:val="none"/>
        </w:rPr>
        <w:t>标准相应的商务技术资料目录”提供资料）</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kern w:val="0"/>
          <w:sz w:val="24"/>
          <w:szCs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、商务技术偏离表</w:t>
      </w:r>
    </w:p>
    <w:tbl>
      <w:tblPr>
        <w:tblStyle w:val="6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3572"/>
        <w:gridCol w:w="3439"/>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30"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572"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采购文件</w:t>
            </w:r>
            <w:r>
              <w:rPr>
                <w:rFonts w:hint="eastAsia" w:ascii="仿宋" w:hAnsi="仿宋" w:eastAsia="仿宋" w:cs="仿宋"/>
                <w:b/>
                <w:bCs/>
                <w:color w:val="auto"/>
                <w:sz w:val="24"/>
                <w:highlight w:val="none"/>
              </w:rPr>
              <w:t>章节及具体内容</w:t>
            </w:r>
          </w:p>
        </w:tc>
        <w:tc>
          <w:tcPr>
            <w:tcW w:w="343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37"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0"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72" w:type="dxa"/>
          </w:tcPr>
          <w:p>
            <w:pPr>
              <w:jc w:val="center"/>
              <w:rPr>
                <w:rFonts w:hint="eastAsia" w:ascii="仿宋" w:hAnsi="仿宋" w:eastAsia="仿宋" w:cs="仿宋"/>
                <w:b/>
                <w:color w:val="auto"/>
                <w:kern w:val="0"/>
                <w:sz w:val="32"/>
                <w:szCs w:val="32"/>
                <w:highlight w:val="none"/>
              </w:rPr>
            </w:pPr>
          </w:p>
        </w:tc>
        <w:tc>
          <w:tcPr>
            <w:tcW w:w="3439" w:type="dxa"/>
          </w:tcPr>
          <w:p>
            <w:pPr>
              <w:jc w:val="center"/>
              <w:rPr>
                <w:rFonts w:hint="eastAsia" w:ascii="仿宋" w:hAnsi="仿宋" w:eastAsia="仿宋" w:cs="仿宋"/>
                <w:b/>
                <w:color w:val="auto"/>
                <w:kern w:val="0"/>
                <w:sz w:val="32"/>
                <w:szCs w:val="32"/>
                <w:highlight w:val="none"/>
              </w:rPr>
            </w:pPr>
          </w:p>
        </w:tc>
        <w:tc>
          <w:tcPr>
            <w:tcW w:w="1237"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0"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572" w:type="dxa"/>
          </w:tcPr>
          <w:p>
            <w:pPr>
              <w:jc w:val="center"/>
              <w:rPr>
                <w:rFonts w:hint="eastAsia" w:ascii="仿宋" w:hAnsi="仿宋" w:eastAsia="仿宋" w:cs="仿宋"/>
                <w:b/>
                <w:color w:val="auto"/>
                <w:kern w:val="0"/>
                <w:sz w:val="32"/>
                <w:szCs w:val="32"/>
                <w:highlight w:val="none"/>
              </w:rPr>
            </w:pPr>
          </w:p>
        </w:tc>
        <w:tc>
          <w:tcPr>
            <w:tcW w:w="3439" w:type="dxa"/>
          </w:tcPr>
          <w:p>
            <w:pPr>
              <w:jc w:val="center"/>
              <w:rPr>
                <w:rFonts w:hint="eastAsia" w:ascii="仿宋" w:hAnsi="仿宋" w:eastAsia="仿宋" w:cs="仿宋"/>
                <w:b/>
                <w:color w:val="auto"/>
                <w:kern w:val="0"/>
                <w:sz w:val="32"/>
                <w:szCs w:val="32"/>
                <w:highlight w:val="none"/>
              </w:rPr>
            </w:pPr>
          </w:p>
        </w:tc>
        <w:tc>
          <w:tcPr>
            <w:tcW w:w="1237"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30"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572" w:type="dxa"/>
          </w:tcPr>
          <w:p>
            <w:pPr>
              <w:jc w:val="center"/>
              <w:rPr>
                <w:rFonts w:hint="eastAsia" w:ascii="仿宋" w:hAnsi="仿宋" w:eastAsia="仿宋" w:cs="仿宋"/>
                <w:b/>
                <w:color w:val="auto"/>
                <w:kern w:val="0"/>
                <w:sz w:val="32"/>
                <w:szCs w:val="32"/>
                <w:highlight w:val="none"/>
              </w:rPr>
            </w:pPr>
          </w:p>
        </w:tc>
        <w:tc>
          <w:tcPr>
            <w:tcW w:w="3439" w:type="dxa"/>
          </w:tcPr>
          <w:p>
            <w:pPr>
              <w:jc w:val="center"/>
              <w:rPr>
                <w:rFonts w:hint="eastAsia" w:ascii="仿宋" w:hAnsi="仿宋" w:eastAsia="仿宋" w:cs="仿宋"/>
                <w:b/>
                <w:color w:val="auto"/>
                <w:kern w:val="0"/>
                <w:sz w:val="32"/>
                <w:szCs w:val="32"/>
                <w:highlight w:val="none"/>
              </w:rPr>
            </w:pPr>
          </w:p>
        </w:tc>
        <w:tc>
          <w:tcPr>
            <w:tcW w:w="1237"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杭州市钱塘区农业农村局、浙江华浦工程管理有限公司</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w:t>
      </w:r>
      <w:r>
        <w:rPr>
          <w:rFonts w:hint="eastAsia" w:ascii="仿宋" w:hAnsi="仿宋" w:eastAsia="仿宋" w:cs="仿宋"/>
          <w:color w:val="auto"/>
          <w:kern w:val="0"/>
          <w:sz w:val="24"/>
          <w:highlight w:val="none"/>
          <w:lang w:val="en-US" w:eastAsia="zh-CN"/>
        </w:rPr>
        <w:t>磋商</w:t>
      </w:r>
      <w:r>
        <w:rPr>
          <w:rFonts w:hint="eastAsia" w:ascii="仿宋" w:hAnsi="仿宋" w:eastAsia="仿宋" w:cs="仿宋"/>
          <w:color w:val="auto"/>
          <w:kern w:val="0"/>
          <w:sz w:val="24"/>
          <w:highlight w:val="none"/>
          <w:lang w:val="zh-CN"/>
        </w:rPr>
        <w:t>要求参加</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。在这次</w:t>
      </w:r>
      <w:r>
        <w:rPr>
          <w:rFonts w:hint="eastAsia" w:ascii="仿宋" w:hAnsi="仿宋" w:eastAsia="仿宋" w:cs="仿宋"/>
          <w:color w:val="auto"/>
          <w:kern w:val="0"/>
          <w:sz w:val="24"/>
          <w:highlight w:val="none"/>
          <w:lang w:val="en-US" w:eastAsia="zh-CN"/>
        </w:rPr>
        <w:t>磋商</w:t>
      </w:r>
      <w:r>
        <w:rPr>
          <w:rFonts w:hint="eastAsia" w:ascii="仿宋" w:hAnsi="仿宋" w:eastAsia="仿宋" w:cs="仿宋"/>
          <w:color w:val="auto"/>
          <w:kern w:val="0"/>
          <w:sz w:val="24"/>
          <w:highlight w:val="none"/>
          <w:lang w:val="zh-CN"/>
        </w:rPr>
        <w:t>过程中和</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pPr>
        <w:autoSpaceDE w:val="0"/>
        <w:autoSpaceDN w:val="0"/>
        <w:spacing w:line="360" w:lineRule="auto"/>
        <w:ind w:left="0" w:leftChars="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供应商名称（盖章</w:t>
      </w:r>
      <w:r>
        <w:rPr>
          <w:rFonts w:hint="eastAsia" w:ascii="仿宋" w:hAnsi="仿宋" w:eastAsia="仿宋" w:cs="仿宋"/>
          <w:color w:val="auto"/>
          <w:kern w:val="0"/>
          <w:sz w:val="24"/>
          <w:highlight w:val="none"/>
          <w:lang w:val="en-US" w:eastAsia="zh-CN"/>
        </w:rPr>
        <w:t>或电子签章</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pgSz w:w="11905" w:h="16838"/>
          <w:pgMar w:top="1440" w:right="1247" w:bottom="1440" w:left="124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9"/>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（1）报价单……………………………………………………………………………（页码）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（2）已标价工程量清单………………………………………………………………（页码）</w:t>
      </w:r>
    </w:p>
    <w:p>
      <w:pPr>
        <w:snapToGrid w:val="0"/>
        <w:spacing w:line="360" w:lineRule="auto"/>
        <w:ind w:right="30" w:rightChars="0"/>
        <w:jc w:val="both"/>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footerReference r:id="rId23" w:type="first"/>
          <w:headerReference r:id="rId21" w:type="default"/>
          <w:footerReference r:id="rId22" w:type="default"/>
          <w:pgSz w:w="11905" w:h="16838"/>
          <w:pgMar w:top="1440" w:right="1247" w:bottom="1440" w:left="124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95"/>
        <w:keepNext w:val="0"/>
        <w:pageBreakBefore w:val="0"/>
        <w:tabs>
          <w:tab w:val="clear" w:pos="720"/>
        </w:tabs>
        <w:snapToGrid w:val="0"/>
        <w:spacing w:before="120" w:after="120"/>
        <w:ind w:firstLine="643"/>
        <w:outlineLvl w:val="9"/>
        <w:rPr>
          <w:rFonts w:hint="eastAsia" w:ascii="仿宋" w:hAnsi="仿宋" w:eastAsia="仿宋" w:cs="仿宋"/>
          <w:sz w:val="24"/>
          <w:highlight w:val="none"/>
          <w:lang w:eastAsia="zh-CN"/>
        </w:rPr>
      </w:pPr>
      <w:r>
        <w:rPr>
          <w:rFonts w:hint="eastAsia" w:ascii="仿宋" w:hAnsi="仿宋" w:eastAsia="仿宋" w:cs="仿宋"/>
          <w:kern w:val="2"/>
          <w:sz w:val="32"/>
          <w:szCs w:val="32"/>
          <w:highlight w:val="none"/>
        </w:rPr>
        <w:t>一、报价单</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杭州市钱塘区农业农村局、浙江华浦工程管理有限公司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lang w:eastAsia="zh-CN"/>
        </w:rPr>
        <w:t>十二埭横河河道清淤工程</w:t>
      </w:r>
      <w:r>
        <w:rPr>
          <w:rFonts w:hint="eastAsia" w:ascii="仿宋" w:hAnsi="仿宋" w:eastAsia="仿宋" w:cs="仿宋"/>
          <w:kern w:val="0"/>
          <w:sz w:val="24"/>
          <w:highlight w:val="none"/>
          <w:lang w:val="zh-CN"/>
        </w:rPr>
        <w:t>【项目编号：</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报价单(单位均为人民币元)</w:t>
      </w:r>
    </w:p>
    <w:tbl>
      <w:tblPr>
        <w:tblStyle w:val="64"/>
        <w:tblW w:w="14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3118"/>
        <w:gridCol w:w="3469"/>
        <w:gridCol w:w="2689"/>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3794"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3118"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施工工期</w:t>
            </w:r>
          </w:p>
        </w:tc>
        <w:tc>
          <w:tcPr>
            <w:tcW w:w="3469"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项目经理</w:t>
            </w:r>
          </w:p>
        </w:tc>
        <w:tc>
          <w:tcPr>
            <w:tcW w:w="2689" w:type="dxa"/>
            <w:vAlign w:val="center"/>
          </w:tcPr>
          <w:p>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rPr>
              <w:t>执业证书</w:t>
            </w:r>
            <w:r>
              <w:rPr>
                <w:rFonts w:hint="eastAsia" w:ascii="仿宋" w:hAnsi="仿宋" w:eastAsia="仿宋" w:cs="仿宋"/>
                <w:b/>
                <w:sz w:val="24"/>
                <w:highlight w:val="none"/>
                <w:lang w:val="en-US" w:eastAsia="zh-CN"/>
              </w:rPr>
              <w:t>编号</w:t>
            </w:r>
          </w:p>
        </w:tc>
        <w:tc>
          <w:tcPr>
            <w:tcW w:w="1085" w:type="dxa"/>
            <w:vAlign w:val="center"/>
          </w:tcPr>
          <w:p>
            <w:pPr>
              <w:spacing w:line="360" w:lineRule="auto"/>
              <w:ind w:right="1163" w:rightChars="554"/>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p>
            <w:pPr>
              <w:spacing w:line="360" w:lineRule="auto"/>
              <w:jc w:val="center"/>
              <w:rPr>
                <w:rFonts w:hint="eastAsia"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794" w:type="dxa"/>
            <w:vAlign w:val="center"/>
          </w:tcPr>
          <w:p>
            <w:pPr>
              <w:snapToGrid w:val="0"/>
              <w:spacing w:line="360" w:lineRule="auto"/>
              <w:jc w:val="center"/>
              <w:rPr>
                <w:rFonts w:hint="eastAsia" w:ascii="仿宋" w:hAnsi="仿宋" w:eastAsia="仿宋" w:cs="仿宋"/>
                <w:sz w:val="24"/>
                <w:highlight w:val="none"/>
              </w:rPr>
            </w:pPr>
          </w:p>
        </w:tc>
        <w:tc>
          <w:tcPr>
            <w:tcW w:w="3118" w:type="dxa"/>
            <w:vAlign w:val="center"/>
          </w:tcPr>
          <w:p>
            <w:pPr>
              <w:snapToGrid w:val="0"/>
              <w:spacing w:line="360" w:lineRule="auto"/>
              <w:jc w:val="center"/>
              <w:rPr>
                <w:rFonts w:hint="eastAsia" w:ascii="仿宋" w:hAnsi="仿宋" w:eastAsia="仿宋" w:cs="仿宋"/>
                <w:sz w:val="24"/>
                <w:highlight w:val="none"/>
              </w:rPr>
            </w:pPr>
          </w:p>
        </w:tc>
        <w:tc>
          <w:tcPr>
            <w:tcW w:w="3469" w:type="dxa"/>
            <w:vAlign w:val="center"/>
          </w:tcPr>
          <w:p>
            <w:pPr>
              <w:spacing w:line="360" w:lineRule="auto"/>
              <w:jc w:val="center"/>
              <w:rPr>
                <w:rFonts w:hint="eastAsia" w:ascii="仿宋" w:hAnsi="仿宋" w:eastAsia="仿宋" w:cs="仿宋"/>
                <w:sz w:val="24"/>
                <w:highlight w:val="none"/>
              </w:rPr>
            </w:pPr>
          </w:p>
        </w:tc>
        <w:tc>
          <w:tcPr>
            <w:tcW w:w="2689" w:type="dxa"/>
            <w:vAlign w:val="center"/>
          </w:tcPr>
          <w:p>
            <w:pPr>
              <w:spacing w:line="360" w:lineRule="auto"/>
              <w:jc w:val="center"/>
              <w:rPr>
                <w:rFonts w:hint="eastAsia" w:ascii="仿宋" w:hAnsi="仿宋" w:eastAsia="仿宋" w:cs="仿宋"/>
                <w:sz w:val="24"/>
                <w:highlight w:val="none"/>
              </w:rPr>
            </w:pPr>
          </w:p>
        </w:tc>
        <w:tc>
          <w:tcPr>
            <w:tcW w:w="1085"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2"/>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磋商报价（小写）</w:t>
            </w:r>
          </w:p>
        </w:tc>
        <w:tc>
          <w:tcPr>
            <w:tcW w:w="7243" w:type="dxa"/>
            <w:gridSpan w:val="3"/>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2"/>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磋商报价（大写）</w:t>
            </w:r>
          </w:p>
        </w:tc>
        <w:tc>
          <w:tcPr>
            <w:tcW w:w="7243" w:type="dxa"/>
            <w:gridSpan w:val="3"/>
            <w:vAlign w:val="center"/>
          </w:tcPr>
          <w:p>
            <w:pPr>
              <w:spacing w:line="360" w:lineRule="auto"/>
              <w:jc w:val="center"/>
              <w:rPr>
                <w:rFonts w:hint="eastAsia" w:ascii="仿宋" w:hAnsi="仿宋" w:eastAsia="仿宋" w:cs="仿宋"/>
                <w:sz w:val="24"/>
                <w:highlight w:val="none"/>
              </w:rPr>
            </w:pPr>
          </w:p>
        </w:tc>
      </w:tr>
    </w:tbl>
    <w:p>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kern w:val="0"/>
          <w:sz w:val="24"/>
          <w:highlight w:val="none"/>
          <w:lang w:val="zh-CN"/>
        </w:rPr>
        <w:t>1、供应商</w:t>
      </w:r>
      <w:r>
        <w:rPr>
          <w:rFonts w:hint="eastAsia" w:ascii="仿宋" w:hAnsi="仿宋" w:eastAsia="仿宋" w:cs="仿宋"/>
          <w:color w:val="auto"/>
          <w:kern w:val="0"/>
          <w:sz w:val="24"/>
          <w:highlight w:val="none"/>
          <w:lang w:val="zh-CN"/>
        </w:rPr>
        <w:t>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；采购内容未包含在《报价单》名称栏中，供应商不能作出合理解释的，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响应文件含有采购人不能接受的附加条件的，响应文件无效。</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w:t>
      </w:r>
      <w:r>
        <w:rPr>
          <w:rFonts w:hint="eastAsia" w:ascii="仿宋" w:hAnsi="仿宋" w:eastAsia="仿宋" w:cs="仿宋"/>
          <w:kern w:val="0"/>
          <w:sz w:val="24"/>
          <w:highlight w:val="none"/>
          <w:lang w:val="zh-CN"/>
        </w:rPr>
        <w:t>编号，成交供应商名称、地址和成交金额，主要成交标的名称、品牌（如果有）、规格型号、数量、单价等予以公示。</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4、</w:t>
      </w:r>
      <w:r>
        <w:rPr>
          <w:rFonts w:hint="eastAsia" w:ascii="仿宋" w:hAnsi="仿宋" w:eastAsia="仿宋" w:cs="仿宋"/>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26"/>
        <w:rPr>
          <w:rFonts w:hint="eastAsia" w:ascii="仿宋" w:hAnsi="仿宋" w:eastAsia="仿宋" w:cs="仿宋"/>
          <w:highlight w:val="none"/>
          <w:lang w:val="zh-CN"/>
        </w:rPr>
      </w:pPr>
      <w:r>
        <w:rPr>
          <w:rFonts w:hint="eastAsia" w:ascii="仿宋" w:hAnsi="仿宋" w:eastAsia="仿宋" w:cs="仿宋"/>
          <w:b/>
          <w:color w:val="auto"/>
          <w:kern w:val="0"/>
          <w:sz w:val="24"/>
          <w:highlight w:val="none"/>
          <w:lang w:val="en-US" w:eastAsia="zh-CN"/>
        </w:rPr>
        <w:t>5</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spacing w:line="360" w:lineRule="auto"/>
        <w:ind w:firstLine="482" w:firstLineChars="200"/>
        <w:rPr>
          <w:rFonts w:hint="default" w:ascii="仿宋" w:hAnsi="仿宋" w:eastAsia="仿宋" w:cs="仿宋"/>
          <w:b/>
          <w:color w:val="auto"/>
          <w:kern w:val="0"/>
          <w:sz w:val="24"/>
          <w:highlight w:val="none"/>
          <w:lang w:val="en-US" w:eastAsia="zh-CN"/>
        </w:r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5" w:orient="landscape"/>
          <w:pgMar w:top="1247" w:right="1440" w:bottom="1247" w:left="1440"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695"/>
        <w:keepNext w:val="0"/>
        <w:pageBreakBefore w:val="0"/>
        <w:tabs>
          <w:tab w:val="clear" w:pos="720"/>
        </w:tabs>
        <w:snapToGrid w:val="0"/>
        <w:spacing w:before="120" w:after="120"/>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二、已标价工程量清单</w:t>
      </w:r>
    </w:p>
    <w:p>
      <w:pPr>
        <w:ind w:right="420"/>
        <w:rPr>
          <w:rFonts w:hint="eastAsia" w:ascii="仿宋" w:hAnsi="仿宋" w:eastAsia="仿宋" w:cs="仿宋"/>
          <w:sz w:val="24"/>
          <w:highlight w:val="none"/>
        </w:rPr>
        <w:sectPr>
          <w:footerReference r:id="rId27" w:type="first"/>
          <w:headerReference r:id="rId24" w:type="default"/>
          <w:footerReference r:id="rId25" w:type="default"/>
          <w:footerReference r:id="rId26" w:type="even"/>
          <w:pgSz w:w="11906" w:h="16838"/>
          <w:pgMar w:top="1440" w:right="1080" w:bottom="1440" w:left="1080" w:header="851" w:footer="992" w:gutter="0"/>
          <w:pgNumType w:fmt="decimal"/>
          <w:cols w:space="720" w:num="1"/>
          <w:titlePg/>
          <w:docGrid w:linePitch="312" w:charSpace="0"/>
        </w:sectPr>
      </w:pPr>
      <w:r>
        <w:rPr>
          <w:rFonts w:hint="eastAsia" w:ascii="仿宋" w:hAnsi="仿宋" w:eastAsia="仿宋" w:cs="仿宋"/>
          <w:sz w:val="24"/>
          <w:highlight w:val="none"/>
        </w:rPr>
        <w:t>注：按采购文件工程量清单编制</w:t>
      </w:r>
    </w:p>
    <w:p>
      <w:pPr>
        <w:pStyle w:val="695"/>
        <w:keepNext w:val="0"/>
        <w:pageBreakBefore w:val="0"/>
        <w:tabs>
          <w:tab w:val="clear" w:pos="720"/>
        </w:tabs>
        <w:snapToGrid w:val="0"/>
        <w:spacing w:before="120" w:after="120"/>
        <w:ind w:firstLine="643"/>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rPr>
        <w:t>三、</w:t>
      </w:r>
      <w:r>
        <w:rPr>
          <w:rFonts w:hint="eastAsia" w:ascii="仿宋" w:hAnsi="仿宋" w:eastAsia="仿宋" w:cs="仿宋"/>
          <w:sz w:val="32"/>
          <w:szCs w:val="32"/>
          <w:highlight w:val="none"/>
        </w:rPr>
        <w:t>中小企业声明函</w:t>
      </w:r>
      <w:bookmarkStart w:id="396" w:name="_Hlk101259491"/>
      <w:r>
        <w:rPr>
          <w:rFonts w:hint="eastAsia" w:ascii="仿宋" w:hAnsi="仿宋" w:eastAsia="仿宋" w:cs="仿宋"/>
          <w:sz w:val="32"/>
          <w:szCs w:val="32"/>
          <w:highlight w:val="none"/>
        </w:rPr>
        <w:t>（如果有）</w:t>
      </w:r>
      <w:bookmarkEnd w:id="396"/>
    </w:p>
    <w:p>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5"/>
        <w:keepNext w:val="0"/>
        <w:pageBreakBefore w:val="0"/>
        <w:tabs>
          <w:tab w:val="clear" w:pos="720"/>
        </w:tabs>
        <w:snapToGrid w:val="0"/>
        <w:spacing w:before="120" w:after="120"/>
        <w:ind w:firstLine="643"/>
        <w:outlineLvl w:val="9"/>
        <w:rPr>
          <w:rFonts w:hint="eastAsia" w:ascii="仿宋" w:hAnsi="仿宋" w:eastAsia="仿宋" w:cs="仿宋"/>
          <w:b w:val="0"/>
          <w:sz w:val="32"/>
          <w:szCs w:val="32"/>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关于钱塘区政府采购支持中小企业信用融资相关事项通知</w:t>
      </w:r>
    </w:p>
    <w:p>
      <w:pPr>
        <w:spacing w:line="360" w:lineRule="auto"/>
        <w:jc w:val="center"/>
        <w:rPr>
          <w:rFonts w:hint="eastAsia" w:ascii="仿宋" w:hAnsi="仿宋" w:eastAsia="仿宋" w:cs="仿宋"/>
          <w:b w:val="0"/>
          <w:bCs/>
          <w:color w:val="auto"/>
          <w:szCs w:val="21"/>
          <w:highlight w:val="none"/>
        </w:rPr>
      </w:pP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一、适用对象</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在浙江“政采云”平台注册入库，并取得钱塘区政府采购合同的中小企业供应商。</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二、相关信息获取方式</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三、申请方式和步骤</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rPr>
        <w:t>4</w:t>
      </w:r>
      <w:r>
        <w:rPr>
          <w:rFonts w:hint="eastAsia" w:ascii="仿宋" w:hAnsi="仿宋" w:eastAsia="仿宋" w:cs="仿宋"/>
          <w:b w:val="0"/>
          <w:bCs/>
          <w:color w:val="auto"/>
          <w:kern w:val="0"/>
          <w:sz w:val="24"/>
          <w:highlight w:val="none"/>
          <w:lang w:val="zh-CN"/>
        </w:rPr>
        <w:t>、采购单位应及时将信用融资合同提交备案。</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四、注意事项</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0" w:firstLineChars="200"/>
        <w:jc w:val="left"/>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五、合作银行及联系方式</w:t>
      </w:r>
    </w:p>
    <w:tbl>
      <w:tblPr>
        <w:tblStyle w:val="64"/>
        <w:tblW w:w="0" w:type="auto"/>
        <w:jc w:val="center"/>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tblPrEx>
          <w:tblCellMar>
            <w:top w:w="0" w:type="dxa"/>
            <w:left w:w="108" w:type="dxa"/>
            <w:bottom w:w="0" w:type="dxa"/>
            <w:right w:w="108" w:type="dxa"/>
          </w:tblCellMar>
        </w:tblPrEx>
        <w:trPr>
          <w:trHeight w:val="555"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tblPrEx>
          <w:tblCellMar>
            <w:top w:w="0" w:type="dxa"/>
            <w:left w:w="108" w:type="dxa"/>
            <w:bottom w:w="0" w:type="dxa"/>
            <w:right w:w="108" w:type="dxa"/>
          </w:tblCellMar>
        </w:tblPrEx>
        <w:trPr>
          <w:trHeight w:val="48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tblPrEx>
          <w:tblCellMar>
            <w:top w:w="0" w:type="dxa"/>
            <w:left w:w="108" w:type="dxa"/>
            <w:bottom w:w="0" w:type="dxa"/>
            <w:right w:w="108" w:type="dxa"/>
          </w:tblCellMar>
        </w:tblPrEx>
        <w:trPr>
          <w:trHeight w:val="562"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pPr>
              <w:widowControl/>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pPr>
        <w:spacing w:line="360" w:lineRule="auto"/>
        <w:ind w:left="5060" w:hanging="5060" w:hangingChars="2100"/>
        <w:rPr>
          <w:rFonts w:hint="eastAsia" w:ascii="仿宋" w:hAnsi="仿宋" w:eastAsia="仿宋" w:cs="仿宋"/>
          <w:b/>
          <w:bCs/>
          <w:color w:val="auto"/>
          <w:kern w:val="0"/>
          <w:sz w:val="24"/>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r>
        <w:rPr>
          <w:rFonts w:hint="eastAsia" w:ascii="仿宋" w:hAnsi="仿宋" w:eastAsia="仿宋" w:cs="仿宋"/>
          <w:highlight w:val="none"/>
        </w:rPr>
        <w:t>附件</w:t>
      </w:r>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供应商名称（电子签名）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hint="eastAsia" w:ascii="仿宋" w:hAnsi="仿宋" w:eastAsia="仿宋" w:cs="仿宋"/>
          <w:sz w:val="24"/>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jc w:val="center"/>
        <w:rPr>
          <w:rFonts w:hint="eastAsia" w:ascii="仿宋" w:hAnsi="仿宋" w:eastAsia="仿宋" w:cs="仿宋"/>
          <w:b/>
          <w:bCs/>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你方组织的（项目名称）项目【项目编号：（采购编号）】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rPr>
          <w:rFonts w:hint="eastAsia" w:ascii="仿宋" w:hAnsi="仿宋" w:eastAsia="仿宋" w:cs="仿宋"/>
          <w:sz w:val="24"/>
          <w:highlight w:val="none"/>
        </w:rPr>
      </w:pPr>
      <w:r>
        <w:rPr>
          <w:rFonts w:hint="eastAsia" w:ascii="仿宋" w:hAnsi="仿宋" w:eastAsia="仿宋" w:cs="仿宋"/>
          <w:b/>
          <w:bCs/>
          <w:sz w:val="24"/>
          <w:highlight w:val="none"/>
        </w:rPr>
        <w:t>附：</w:t>
      </w:r>
    </w:p>
    <w:p>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LAsD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mLAsDkCAACA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FoGGC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w:t>
      </w:r>
      <w:r>
        <w:rPr>
          <w:rFonts w:hint="eastAsia" w:ascii="仿宋" w:hAnsi="仿宋" w:eastAsia="仿宋" w:cs="仿宋"/>
          <w:b/>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38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（以联合体形式参与的，提供联合协议；本项目不接受联合体或者供应商不以联合体形式参与的，则不需要提供）</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组成一个联合体，以一个供应商的身份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（项目名称）【项目编号：（采购编号）】</w:t>
      </w:r>
      <w:r>
        <w:rPr>
          <w:rFonts w:hint="eastAsia" w:ascii="仿宋" w:hAnsi="仿宋" w:eastAsia="仿宋" w:cs="仿宋"/>
          <w:kern w:val="0"/>
          <w:sz w:val="24"/>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授权代表根据采购文件规定及投标内容而对采购人、采购机构所作的任何合法承诺，包括书面澄清及相应等均对联合投标各方产生约束力。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bookmarkStart w:id="397" w:name="_Hlk101134295"/>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bookmarkEnd w:id="397"/>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（联合体成员X,……）</w:t>
      </w:r>
      <w:r>
        <w:rPr>
          <w:rFonts w:hint="eastAsia" w:ascii="仿宋" w:hAnsi="仿宋" w:eastAsia="仿宋" w:cs="仿宋"/>
          <w:kern w:val="0"/>
          <w:sz w:val="24"/>
          <w:highlight w:val="none"/>
        </w:rPr>
        <w:t>提供的全部工程由小微企业承建，其合同份额占到合同总金额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zh-CN"/>
        </w:rPr>
        <w:t>%的扣除。供应商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五、如果成交，</w:t>
      </w:r>
      <w:r>
        <w:rPr>
          <w:rFonts w:hint="eastAsia" w:ascii="仿宋" w:hAnsi="仿宋" w:eastAsia="仿宋" w:cs="仿宋"/>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38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380" w:lineRule="exact"/>
        <w:ind w:firstLine="5040" w:firstLineChars="21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keepNext w:val="0"/>
        <w:keepLines w:val="0"/>
        <w:pageBreakBefore w:val="0"/>
        <w:kinsoku/>
        <w:wordWrap/>
        <w:overflowPunct/>
        <w:topLinePunct w:val="0"/>
        <w:autoSpaceDE/>
        <w:autoSpaceDN/>
        <w:bidi w:val="0"/>
        <w:adjustRightInd w:val="0"/>
        <w:spacing w:line="380" w:lineRule="exact"/>
        <w:ind w:right="420"/>
        <w:textAlignment w:val="auto"/>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autoSpaceDE w:val="0"/>
        <w:autoSpaceDN w:val="0"/>
        <w:jc w:val="center"/>
        <w:rPr>
          <w:rFonts w:hint="eastAsia" w:ascii="仿宋" w:hAnsi="仿宋" w:eastAsia="仿宋" w:cs="仿宋"/>
          <w:b/>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pPr>
        <w:pageBreakBefore w:val="0"/>
        <w:widowControl/>
        <w:kinsoku/>
        <w:wordWrap/>
        <w:overflowPunct/>
        <w:topLinePunct w:val="0"/>
        <w:autoSpaceDE/>
        <w:autoSpaceDN/>
        <w:bidi w:val="0"/>
        <w:spacing w:line="420" w:lineRule="exact"/>
        <w:ind w:firstLine="120" w:firstLineChars="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sz w:val="24"/>
          <w:highlight w:val="none"/>
        </w:rPr>
        <w:t>）</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（项目名称）【项目编号：（采购编号）】</w:t>
      </w:r>
      <w:r>
        <w:rPr>
          <w:rFonts w:hint="eastAsia" w:ascii="仿宋" w:hAnsi="仿宋" w:eastAsia="仿宋" w:cs="仿宋"/>
          <w:kern w:val="0"/>
          <w:sz w:val="24"/>
          <w:highlight w:val="none"/>
          <w:lang w:val="zh-CN"/>
        </w:rPr>
        <w:t>的成交供应商，将依法采取分包方式履行合同。</w:t>
      </w: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pStyle w:val="5"/>
        <w:pageBreakBefore w:val="0"/>
        <w:kinsoku/>
        <w:wordWrap/>
        <w:overflowPunct/>
        <w:topLinePunct w:val="0"/>
        <w:autoSpaceDE/>
        <w:autoSpaceDN/>
        <w:bidi w:val="0"/>
        <w:spacing w:line="420" w:lineRule="exact"/>
        <w:ind w:left="664" w:leftChars="316" w:firstLine="229" w:firstLineChars="95"/>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（分包供应商X,……）提供的工程全部由小微企业承建，</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zh-CN"/>
        </w:rPr>
        <w:t>%的扣除。供应商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398"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要求合同分包形式参加的项目或采购包，供应商按采购文件第一部分竞争性磋商公告申请人的资格要求中规定的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bookmarkEnd w:id="398"/>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highlight w:val="none"/>
          <w:u w:val="single"/>
        </w:rPr>
      </w:pPr>
      <w:r>
        <w:rPr>
          <w:rFonts w:hint="eastAsia" w:ascii="仿宋" w:hAnsi="仿宋" w:eastAsia="仿宋" w:cs="仿宋"/>
          <w:highlight w:val="none"/>
          <w:u w:val="single"/>
        </w:rPr>
        <w:t xml:space="preserve">                                                                                  </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pPr>
        <w:pageBreakBefore w:val="0"/>
        <w:kinsoku/>
        <w:wordWrap/>
        <w:overflowPunct/>
        <w:topLinePunct w:val="0"/>
        <w:autoSpaceDE/>
        <w:autoSpaceDN/>
        <w:bidi w:val="0"/>
        <w:snapToGrid w:val="0"/>
        <w:spacing w:line="420" w:lineRule="exact"/>
        <w:ind w:left="573" w:leftChars="273"/>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pageBreakBefore w:val="0"/>
        <w:kinsoku/>
        <w:wordWrap/>
        <w:overflowPunct/>
        <w:topLinePunct w:val="0"/>
        <w:autoSpaceDE/>
        <w:autoSpaceDN/>
        <w:bidi w:val="0"/>
        <w:snapToGrid w:val="0"/>
        <w:spacing w:line="420" w:lineRule="exact"/>
        <w:ind w:left="573" w:leftChars="273"/>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pPr>
        <w:pageBreakBefore w:val="0"/>
        <w:kinsoku/>
        <w:wordWrap/>
        <w:overflowPunct/>
        <w:topLinePunct w:val="0"/>
        <w:autoSpaceDE/>
        <w:autoSpaceDN/>
        <w:bidi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pageBreakBefore w:val="0"/>
        <w:kinsoku/>
        <w:wordWrap/>
        <w:overflowPunct/>
        <w:topLinePunct w:val="0"/>
        <w:autoSpaceDE/>
        <w:autoSpaceDN/>
        <w:bidi w:val="0"/>
        <w:snapToGrid w:val="0"/>
        <w:spacing w:line="420" w:lineRule="exact"/>
        <w:ind w:left="5758" w:leftChars="342" w:hanging="5040" w:hangingChars="21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w:t>
      </w:r>
    </w:p>
    <w:p>
      <w:pPr>
        <w:pageBreakBefore w:val="0"/>
        <w:kinsoku/>
        <w:wordWrap/>
        <w:overflowPunct/>
        <w:topLinePunct w:val="0"/>
        <w:autoSpaceDE/>
        <w:autoSpaceDN/>
        <w:bidi w:val="0"/>
        <w:snapToGrid w:val="0"/>
        <w:spacing w:line="420" w:lineRule="exact"/>
        <w:ind w:firstLine="5640" w:firstLineChars="235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pPr>
        <w:pageBreakBefore w:val="0"/>
        <w:kinsoku/>
        <w:wordWrap/>
        <w:overflowPunct/>
        <w:topLinePunct w:val="0"/>
        <w:autoSpaceDE/>
        <w:autoSpaceDN/>
        <w:bidi w:val="0"/>
        <w:snapToGrid w:val="0"/>
        <w:spacing w:line="420" w:lineRule="exact"/>
        <w:ind w:firstLine="5760" w:firstLineChars="2400"/>
        <w:textAlignment w:val="auto"/>
        <w:rPr>
          <w:rFonts w:hint="eastAsia" w:ascii="仿宋" w:hAnsi="仿宋" w:eastAsia="仿宋" w:cs="仿宋"/>
          <w:highlight w:val="none"/>
        </w:rPr>
      </w:pPr>
      <w:r>
        <w:rPr>
          <w:rFonts w:hint="eastAsia" w:ascii="仿宋" w:hAnsi="仿宋" w:eastAsia="仿宋" w:cs="仿宋"/>
          <w:kern w:val="0"/>
          <w:sz w:val="24"/>
          <w:highlight w:val="none"/>
          <w:lang w:val="zh-CN"/>
        </w:rPr>
        <w:t>……</w:t>
      </w:r>
    </w:p>
    <w:p>
      <w:pPr>
        <w:pageBreakBefore w:val="0"/>
        <w:kinsoku/>
        <w:wordWrap/>
        <w:overflowPunct/>
        <w:topLinePunct w:val="0"/>
        <w:autoSpaceDE/>
        <w:autoSpaceDN/>
        <w:bidi w:val="0"/>
        <w:spacing w:line="420" w:lineRule="exact"/>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附件7：</w:t>
      </w:r>
      <w:r>
        <w:rPr>
          <w:rFonts w:hint="eastAsia" w:ascii="仿宋" w:hAnsi="仿宋" w:eastAsia="仿宋" w:cs="仿宋"/>
          <w:b/>
          <w:sz w:val="32"/>
          <w:szCs w:val="32"/>
          <w:highlight w:val="none"/>
        </w:rPr>
        <w:t>中小企业声明函</w:t>
      </w:r>
    </w:p>
    <w:p>
      <w:pPr>
        <w:spacing w:line="360" w:lineRule="auto"/>
        <w:jc w:val="center"/>
        <w:rPr>
          <w:rFonts w:hint="eastAsia" w:ascii="仿宋" w:hAnsi="仿宋" w:eastAsia="仿宋" w:cs="仿宋"/>
          <w:sz w:val="24"/>
          <w:highlight w:val="none"/>
          <w:u w:val="single"/>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中小企业声明函（工程）</w:t>
      </w:r>
    </w:p>
    <w:p>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（采购人）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firstLine="480" w:firstLineChars="200"/>
        <w:rPr>
          <w:rFonts w:hint="eastAsia" w:ascii="仿宋" w:hAnsi="仿宋" w:eastAsia="仿宋" w:cs="仿宋"/>
          <w:sz w:val="24"/>
          <w:highlight w:val="none"/>
        </w:rPr>
      </w:pPr>
    </w:p>
    <w:p>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rPr>
          <w:rFonts w:hint="eastAsia" w:ascii="仿宋" w:hAnsi="仿宋" w:eastAsia="仿宋" w:cs="仿宋"/>
          <w:bCs/>
          <w:sz w:val="24"/>
          <w:highlight w:val="none"/>
        </w:rPr>
        <w:sectPr>
          <w:pgSz w:w="11906" w:h="16838"/>
          <w:pgMar w:top="1440" w:right="1080" w:bottom="1440" w:left="1080" w:header="851" w:footer="992" w:gutter="0"/>
          <w:pgNumType w:fmt="decimal"/>
          <w:cols w:space="720" w:num="1"/>
          <w:titlePg/>
          <w:docGrid w:linePitch="312" w:charSpace="0"/>
        </w:sectPr>
      </w:pPr>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8</w:t>
      </w:r>
      <w:r>
        <w:rPr>
          <w:rFonts w:hint="eastAsia" w:ascii="仿宋" w:hAnsi="仿宋" w:eastAsia="仿宋" w:cs="仿宋"/>
          <w:b/>
          <w:spacing w:val="6"/>
          <w:sz w:val="32"/>
          <w:szCs w:val="32"/>
          <w:highlight w:val="none"/>
        </w:rPr>
        <w:t>：工程量清单（另附）</w:t>
      </w:r>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9</w:t>
      </w:r>
      <w:r>
        <w:rPr>
          <w:rFonts w:hint="eastAsia" w:ascii="仿宋" w:hAnsi="仿宋" w:eastAsia="仿宋" w:cs="仿宋"/>
          <w:b/>
          <w:spacing w:val="6"/>
          <w:sz w:val="32"/>
          <w:szCs w:val="32"/>
          <w:highlight w:val="none"/>
        </w:rPr>
        <w:t>：图纸（另附）</w:t>
      </w:r>
    </w:p>
    <w:p>
      <w:pPr>
        <w:spacing w:line="360" w:lineRule="auto"/>
        <w:rPr>
          <w:rFonts w:hint="eastAsia" w:ascii="仿宋" w:hAnsi="仿宋" w:eastAsia="仿宋" w:cs="仿宋"/>
          <w:b/>
          <w:spacing w:val="6"/>
          <w:sz w:val="32"/>
          <w:szCs w:val="32"/>
          <w:highlight w:val="none"/>
        </w:rPr>
      </w:pPr>
    </w:p>
    <w:sectPr>
      <w:footerReference r:id="rId30" w:type="first"/>
      <w:footerReference r:id="rId28" w:type="default"/>
      <w:footerReference r:id="rId29" w:type="even"/>
      <w:pgSz w:w="11905" w:h="16838"/>
      <w:pgMar w:top="1247" w:right="1247" w:bottom="1247" w:left="1247" w:header="850" w:footer="850" w:gutter="0"/>
      <w:pgBorders>
        <w:top w:val="none" w:sz="0" w:space="0"/>
        <w:left w:val="none" w:sz="0" w:space="0"/>
        <w:bottom w:val="none" w:sz="0" w:space="0"/>
        <w:right w:val="none" w:sz="0" w:space="0"/>
      </w:pgBorders>
      <w:pgNumType w:fmt="decimal"/>
      <w:cols w:space="0" w:num="1"/>
      <w:rtlGutter w:val="0"/>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right="360" w:firstLine="360"/>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47650"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4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438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&#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7FI4NAAAAADAQAADwAAAAAAAAABACAAAAAiAAAA&#10;ZHJzL2Rvd25yZXYueG1sUEsBAhQAFAAAAAgAh07iQIudR3oPAgAAEAQAAA4AAAAAAAAAAQAgAAAA&#10;HwEAAGRycy9lMm9Eb2MueG1sUEsFBgAAAAAGAAYAWQEAAKAFAAAAAA==&#10;">
              <v:fill on="f" focussize="0,0"/>
              <v:stroke on="f"/>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362585" cy="31178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62585" cy="311785"/>
                      </a:xfrm>
                      <a:prstGeom prst="rect">
                        <a:avLst/>
                      </a:prstGeom>
                      <a:noFill/>
                      <a:ln>
                        <a:noFill/>
                      </a:ln>
                      <a:effectLst/>
                    </wps:spPr>
                    <wps:txbx>
                      <w:txbxContent>
                        <w:p>
                          <w:pPr>
                            <w:pStyle w:val="44"/>
                            <w:ind w:right="210" w:rightChars="100" w:firstLine="180" w:firstLineChars="100"/>
                            <w:jc w:val="both"/>
                          </w:pPr>
                        </w:p>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4.55pt;width:28.55pt;mso-position-horizontal:left;mso-position-horizontal-relative:margin;mso-wrap-style:none;z-index:251663360;mso-width-relative:page;mso-height-relative:page;" filled="f" stroked="f" coordsize="21600,21600" o:gfxdata="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H/rhNIAAAADAQAADwAAAAAAAAABACAAAAAiAAAA&#10;ZHJzL2Rvd25yZXYueG1sUEsBAhQAFAAAAAgAh07iQMtqaQgNAgAAEAQAAA4AAAAAAAAAAQAgAAAA&#10;IQEAAGRycy9lMm9Eb2MueG1sUEsFBgAAAAAGAAYAWQEAAKAFAAAAAA==&#10;">
              <v:fill on="f" focussize="0,0"/>
              <v:stroke on="f"/>
              <v:imagedata o:title=""/>
              <o:lock v:ext="edit" aspectratio="f"/>
              <v:textbox inset="0mm,0mm,0mm,0mm" style="mso-fit-shape-to-text:t;">
                <w:txbxContent>
                  <w:p>
                    <w:pPr>
                      <w:pStyle w:val="44"/>
                      <w:ind w:right="210" w:rightChars="100" w:firstLine="180" w:firstLineChars="100"/>
                      <w:jc w:val="both"/>
                    </w:pPr>
                  </w:p>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4"/>
      </w:rPr>
    </w:pPr>
    <w:r>
      <w:fldChar w:fldCharType="begin"/>
    </w:r>
    <w:r>
      <w:rPr>
        <w:rStyle w:val="74"/>
      </w:rPr>
      <w:instrText xml:space="preserve">PAGE  </w:instrText>
    </w:r>
    <w:r>
      <w:fldChar w:fldCharType="end"/>
    </w:r>
  </w:p>
  <w:p>
    <w:pPr>
      <w:pStyle w:val="44"/>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4"/>
      </w:rPr>
    </w:pPr>
    <w:r>
      <w:fldChar w:fldCharType="begin"/>
    </w:r>
    <w:r>
      <w:rPr>
        <w:rStyle w:val="74"/>
      </w:rPr>
      <w:instrText xml:space="preserve">PAGE  </w:instrText>
    </w:r>
    <w:r>
      <w:fldChar w:fldCharType="end"/>
    </w:r>
  </w:p>
  <w:p>
    <w:pPr>
      <w:pStyle w:val="44"/>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133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133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4"/>
      </w:rPr>
    </w:pPr>
    <w:r>
      <w:fldChar w:fldCharType="begin"/>
    </w:r>
    <w:r>
      <w:rPr>
        <w:rStyle w:val="74"/>
      </w:rPr>
      <w:instrText xml:space="preserve">PAGE  </w:instrText>
    </w:r>
    <w:r>
      <w:fldChar w:fldCharType="end"/>
    </w:r>
  </w:p>
  <w:p>
    <w:pPr>
      <w:pStyle w:val="4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tabs>
        <w:tab w:val="clear" w:pos="4153"/>
      </w:tabs>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rPr>
                              <w:rFonts w:hint="eastAsia" w:ascii="仿宋" w:hAnsi="仿宋" w:eastAsia="仿宋" w:cs="仿宋"/>
                              <w:sz w:val="20"/>
                              <w:szCs w:val="20"/>
                            </w:rPr>
                          </w:pPr>
                          <w:r>
                            <w:rPr>
                              <w:rFonts w:hint="eastAsia" w:ascii="仿宋" w:hAnsi="仿宋" w:eastAsia="仿宋" w:cs="仿宋"/>
                              <w:sz w:val="20"/>
                              <w:szCs w:val="20"/>
                            </w:rPr>
                            <w:t xml:space="preserve">第 </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  \* MERGEFORMAT </w:instrText>
                          </w:r>
                          <w:r>
                            <w:rPr>
                              <w:rFonts w:hint="eastAsia" w:ascii="仿宋" w:hAnsi="仿宋" w:eastAsia="仿宋" w:cs="仿宋"/>
                              <w:sz w:val="20"/>
                              <w:szCs w:val="20"/>
                            </w:rPr>
                            <w:fldChar w:fldCharType="separate"/>
                          </w:r>
                          <w:r>
                            <w:rPr>
                              <w:rFonts w:hint="eastAsia" w:ascii="仿宋" w:hAnsi="仿宋" w:eastAsia="仿宋" w:cs="仿宋"/>
                              <w:sz w:val="20"/>
                              <w:szCs w:val="20"/>
                            </w:rPr>
                            <w:t>1</w:t>
                          </w:r>
                          <w:r>
                            <w:rPr>
                              <w:rFonts w:hint="eastAsia" w:ascii="仿宋" w:hAnsi="仿宋" w:eastAsia="仿宋" w:cs="仿宋"/>
                              <w:sz w:val="20"/>
                              <w:szCs w:val="20"/>
                            </w:rPr>
                            <w:fldChar w:fldCharType="end"/>
                          </w:r>
                          <w:r>
                            <w:rPr>
                              <w:rFonts w:hint="eastAsia" w:ascii="仿宋" w:hAnsi="仿宋" w:eastAsia="仿宋" w:cs="仿宋"/>
                              <w:sz w:val="20"/>
                              <w:szCs w:val="20"/>
                            </w:rPr>
                            <w:t xml:space="preserve"> 页 共 </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NUMPAGES  \* MERGEFORMAT </w:instrText>
                          </w:r>
                          <w:r>
                            <w:rPr>
                              <w:rFonts w:hint="eastAsia" w:ascii="仿宋" w:hAnsi="仿宋" w:eastAsia="仿宋" w:cs="仿宋"/>
                              <w:sz w:val="20"/>
                              <w:szCs w:val="20"/>
                            </w:rPr>
                            <w:fldChar w:fldCharType="separate"/>
                          </w:r>
                          <w:r>
                            <w:rPr>
                              <w:rFonts w:hint="eastAsia" w:ascii="仿宋" w:hAnsi="仿宋" w:eastAsia="仿宋" w:cs="仿宋"/>
                              <w:sz w:val="20"/>
                              <w:szCs w:val="20"/>
                            </w:rPr>
                            <w:t>71</w:t>
                          </w:r>
                          <w:r>
                            <w:rPr>
                              <w:rFonts w:hint="eastAsia" w:ascii="仿宋" w:hAnsi="仿宋" w:eastAsia="仿宋" w:cs="仿宋"/>
                              <w:sz w:val="20"/>
                              <w:szCs w:val="20"/>
                            </w:rPr>
                            <w:fldChar w:fldCharType="end"/>
                          </w:r>
                          <w:r>
                            <w:rPr>
                              <w:rFonts w:hint="eastAsia" w:ascii="仿宋" w:hAnsi="仿宋" w:eastAsia="仿宋" w:cs="仿宋"/>
                              <w:sz w:val="20"/>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4"/>
                      <w:rPr>
                        <w:rFonts w:hint="eastAsia" w:ascii="仿宋" w:hAnsi="仿宋" w:eastAsia="仿宋" w:cs="仿宋"/>
                        <w:sz w:val="20"/>
                        <w:szCs w:val="20"/>
                      </w:rPr>
                    </w:pPr>
                    <w:r>
                      <w:rPr>
                        <w:rFonts w:hint="eastAsia" w:ascii="仿宋" w:hAnsi="仿宋" w:eastAsia="仿宋" w:cs="仿宋"/>
                        <w:sz w:val="20"/>
                        <w:szCs w:val="20"/>
                      </w:rPr>
                      <w:t xml:space="preserve">第 </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  \* MERGEFORMAT </w:instrText>
                    </w:r>
                    <w:r>
                      <w:rPr>
                        <w:rFonts w:hint="eastAsia" w:ascii="仿宋" w:hAnsi="仿宋" w:eastAsia="仿宋" w:cs="仿宋"/>
                        <w:sz w:val="20"/>
                        <w:szCs w:val="20"/>
                      </w:rPr>
                      <w:fldChar w:fldCharType="separate"/>
                    </w:r>
                    <w:r>
                      <w:rPr>
                        <w:rFonts w:hint="eastAsia" w:ascii="仿宋" w:hAnsi="仿宋" w:eastAsia="仿宋" w:cs="仿宋"/>
                        <w:sz w:val="20"/>
                        <w:szCs w:val="20"/>
                      </w:rPr>
                      <w:t>1</w:t>
                    </w:r>
                    <w:r>
                      <w:rPr>
                        <w:rFonts w:hint="eastAsia" w:ascii="仿宋" w:hAnsi="仿宋" w:eastAsia="仿宋" w:cs="仿宋"/>
                        <w:sz w:val="20"/>
                        <w:szCs w:val="20"/>
                      </w:rPr>
                      <w:fldChar w:fldCharType="end"/>
                    </w:r>
                    <w:r>
                      <w:rPr>
                        <w:rFonts w:hint="eastAsia" w:ascii="仿宋" w:hAnsi="仿宋" w:eastAsia="仿宋" w:cs="仿宋"/>
                        <w:sz w:val="20"/>
                        <w:szCs w:val="20"/>
                      </w:rPr>
                      <w:t xml:space="preserve"> 页 共 </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NUMPAGES  \* MERGEFORMAT </w:instrText>
                    </w:r>
                    <w:r>
                      <w:rPr>
                        <w:rFonts w:hint="eastAsia" w:ascii="仿宋" w:hAnsi="仿宋" w:eastAsia="仿宋" w:cs="仿宋"/>
                        <w:sz w:val="20"/>
                        <w:szCs w:val="20"/>
                      </w:rPr>
                      <w:fldChar w:fldCharType="separate"/>
                    </w:r>
                    <w:r>
                      <w:rPr>
                        <w:rFonts w:hint="eastAsia" w:ascii="仿宋" w:hAnsi="仿宋" w:eastAsia="仿宋" w:cs="仿宋"/>
                        <w:sz w:val="20"/>
                        <w:szCs w:val="20"/>
                      </w:rPr>
                      <w:t>71</w:t>
                    </w:r>
                    <w:r>
                      <w:rPr>
                        <w:rFonts w:hint="eastAsia" w:ascii="仿宋" w:hAnsi="仿宋" w:eastAsia="仿宋" w:cs="仿宋"/>
                        <w:sz w:val="20"/>
                        <w:szCs w:val="20"/>
                      </w:rPr>
                      <w:fldChar w:fldCharType="end"/>
                    </w:r>
                    <w:r>
                      <w:rPr>
                        <w:rFonts w:hint="eastAsia" w:ascii="仿宋" w:hAnsi="仿宋" w:eastAsia="仿宋" w:cs="仿宋"/>
                        <w:sz w:val="20"/>
                        <w:szCs w:val="2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4"/>
      </w:rPr>
    </w:pPr>
    <w:r>
      <w:fldChar w:fldCharType="begin"/>
    </w:r>
    <w:r>
      <w:rPr>
        <w:rStyle w:val="74"/>
      </w:rPr>
      <w:instrText xml:space="preserve">PAGE  </w:instrText>
    </w:r>
    <w:r>
      <w:fldChar w:fldCharType="end"/>
    </w:r>
  </w:p>
  <w:p>
    <w:pPr>
      <w:pStyle w:val="4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0"/>
      </w:pBdr>
      <w:jc w:val="right"/>
    </w:pPr>
    <w:r>
      <w:t>杭州市</w:t>
    </w:r>
    <w:r>
      <w:rPr>
        <w:rFonts w:hint="eastAsia"/>
      </w:rPr>
      <w:t>钱塘区</w:t>
    </w:r>
    <w:r>
      <w:t>政</w:t>
    </w:r>
    <w:r>
      <w:rPr>
        <w:rFonts w:ascii="Times New Roman" w:hAnsi="Times New Roman" w:cs="Times New Roman"/>
      </w:rPr>
      <w:t>府采购</w:t>
    </w:r>
    <w:r>
      <w:rPr>
        <w:rFonts w:hint="eastAsia" w:ascii="Times New Roman" w:hAnsi="Times New Roman" w:cs="Times New Roman"/>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rPr>
        <w:rFonts w:hint="default" w:eastAsia="宋体"/>
        <w:lang w:val="en-US" w:eastAsia="zh-CN"/>
      </w:rPr>
    </w:pPr>
    <w:r>
      <w:rPr>
        <w:lang w:val="zh-CN"/>
      </w:rPr>
      <w:t></w:t>
    </w:r>
    <w:r>
      <w:tab/>
    </w:r>
    <w:r>
      <w:rPr>
        <w:lang w:val="zh-CN"/>
      </w:rPr>
      <w:t></w:t>
    </w:r>
    <w:r>
      <w:tab/>
    </w:r>
    <w:r>
      <w:rPr>
        <w:rFonts w:hint="eastAsia"/>
      </w:rPr>
      <w:t xml:space="preserve"> </w:t>
    </w:r>
    <w:r>
      <w:t>杭州市</w:t>
    </w:r>
    <w:r>
      <w:rPr>
        <w:rFonts w:hint="eastAsia"/>
      </w:rPr>
      <w:t>钱塘区</w:t>
    </w:r>
    <w:r>
      <w:t>政</w:t>
    </w:r>
    <w:r>
      <w:rPr>
        <w:rFonts w:ascii="Times New Roman" w:hAnsi="Times New Roman" w:cs="Times New Roman"/>
      </w:rPr>
      <w:t>府采购</w:t>
    </w:r>
    <w:r>
      <w:rPr>
        <w:rFonts w:hint="eastAsia" w:ascii="Times New Roman" w:hAnsi="Times New Roman" w:cs="Times New Roman"/>
        <w:lang w:val="en-US" w:eastAsia="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hint="eastAsia" w:ascii="仿宋_GB2312" w:eastAsia="宋体"/>
        <w:b/>
        <w:i/>
        <w:u w:val="single"/>
        <w:lang w:eastAsia="zh-CN"/>
      </w:rPr>
    </w:pPr>
    <w:r>
      <w:rPr>
        <w:rFonts w:hint="eastAsia"/>
      </w:rPr>
      <w:t xml:space="preserve">                                  </w:t>
    </w:r>
    <w:r>
      <w:rPr>
        <w:rFonts w:hint="eastAsia"/>
        <w:i/>
        <w:iCs/>
        <w:lang w:val="en-US" w:eastAsia="zh-CN"/>
      </w:rPr>
      <w:t>竞争性磋商采购</w:t>
    </w:r>
    <w:r>
      <w:rPr>
        <w:rFonts w:hint="eastAsia"/>
        <w:i/>
        <w:iCs/>
        <w:lang w:eastAsia="zh-CN"/>
      </w:rPr>
      <w:t>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4D2D8"/>
    <w:multiLevelType w:val="singleLevel"/>
    <w:tmpl w:val="0644D2D8"/>
    <w:lvl w:ilvl="0" w:tentative="0">
      <w:start w:val="4"/>
      <w:numFmt w:val="decimal"/>
      <w:lvlText w:val="%1."/>
      <w:lvlJc w:val="left"/>
      <w:pPr>
        <w:tabs>
          <w:tab w:val="left" w:pos="312"/>
        </w:tabs>
      </w:pPr>
    </w:lvl>
  </w:abstractNum>
  <w:abstractNum w:abstractNumId="1">
    <w:nsid w:val="7476A215"/>
    <w:multiLevelType w:val="singleLevel"/>
    <w:tmpl w:val="7476A215"/>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210"/>
  <w:drawingGridVerticalSpacing w:val="20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WFmOWIzMmQzM2NkM2IwMGVlMDhkZmVlMjJkZTEifQ=="/>
  </w:docVars>
  <w:rsids>
    <w:rsidRoot w:val="00172A27"/>
    <w:rsid w:val="00000451"/>
    <w:rsid w:val="0000108B"/>
    <w:rsid w:val="0000133D"/>
    <w:rsid w:val="00001509"/>
    <w:rsid w:val="000032B2"/>
    <w:rsid w:val="0000363B"/>
    <w:rsid w:val="00004B82"/>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99E"/>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57"/>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4FC"/>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7E8"/>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DCA"/>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D8"/>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C4E"/>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6B"/>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961"/>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6A4"/>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0E8"/>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58D6"/>
    <w:rsid w:val="010651D9"/>
    <w:rsid w:val="01151540"/>
    <w:rsid w:val="011F6449"/>
    <w:rsid w:val="01236AFB"/>
    <w:rsid w:val="012648EF"/>
    <w:rsid w:val="012D06EA"/>
    <w:rsid w:val="01351A5D"/>
    <w:rsid w:val="0169524A"/>
    <w:rsid w:val="018139C0"/>
    <w:rsid w:val="01833C12"/>
    <w:rsid w:val="019422A6"/>
    <w:rsid w:val="019E18DE"/>
    <w:rsid w:val="019F7441"/>
    <w:rsid w:val="01AA1AC9"/>
    <w:rsid w:val="01B37585"/>
    <w:rsid w:val="01D55165"/>
    <w:rsid w:val="01DF6BF8"/>
    <w:rsid w:val="01EC2C57"/>
    <w:rsid w:val="01F14BA3"/>
    <w:rsid w:val="021F4E94"/>
    <w:rsid w:val="022573A2"/>
    <w:rsid w:val="023F4471"/>
    <w:rsid w:val="0246036E"/>
    <w:rsid w:val="026B2E25"/>
    <w:rsid w:val="028129C3"/>
    <w:rsid w:val="02824D4D"/>
    <w:rsid w:val="02D53546"/>
    <w:rsid w:val="02DC4B10"/>
    <w:rsid w:val="02DD76CE"/>
    <w:rsid w:val="02F36323"/>
    <w:rsid w:val="02F5619C"/>
    <w:rsid w:val="03084B28"/>
    <w:rsid w:val="03103BAE"/>
    <w:rsid w:val="0326446A"/>
    <w:rsid w:val="032D5555"/>
    <w:rsid w:val="034976DA"/>
    <w:rsid w:val="034B2E38"/>
    <w:rsid w:val="036634D2"/>
    <w:rsid w:val="036C52BA"/>
    <w:rsid w:val="038337F8"/>
    <w:rsid w:val="039E6671"/>
    <w:rsid w:val="039F1401"/>
    <w:rsid w:val="03A43EC8"/>
    <w:rsid w:val="03C21C79"/>
    <w:rsid w:val="03CC21CB"/>
    <w:rsid w:val="03CF2680"/>
    <w:rsid w:val="03DD35E4"/>
    <w:rsid w:val="03DF5C61"/>
    <w:rsid w:val="03FB4A98"/>
    <w:rsid w:val="03FC5419"/>
    <w:rsid w:val="04076900"/>
    <w:rsid w:val="041A5A3B"/>
    <w:rsid w:val="042311BA"/>
    <w:rsid w:val="042B157A"/>
    <w:rsid w:val="043F76DB"/>
    <w:rsid w:val="04523D69"/>
    <w:rsid w:val="048F763B"/>
    <w:rsid w:val="04960193"/>
    <w:rsid w:val="049F330E"/>
    <w:rsid w:val="04AA775C"/>
    <w:rsid w:val="04AF1889"/>
    <w:rsid w:val="04BE0045"/>
    <w:rsid w:val="04F30983"/>
    <w:rsid w:val="04F66F48"/>
    <w:rsid w:val="050102CB"/>
    <w:rsid w:val="05045C3C"/>
    <w:rsid w:val="05251E14"/>
    <w:rsid w:val="053E0B8B"/>
    <w:rsid w:val="05461BDC"/>
    <w:rsid w:val="055076CC"/>
    <w:rsid w:val="05687F3F"/>
    <w:rsid w:val="05720B50"/>
    <w:rsid w:val="05A16594"/>
    <w:rsid w:val="05A7762D"/>
    <w:rsid w:val="05B00C6A"/>
    <w:rsid w:val="05BB42A5"/>
    <w:rsid w:val="05CC24C8"/>
    <w:rsid w:val="05D82F1A"/>
    <w:rsid w:val="060C7947"/>
    <w:rsid w:val="060E5941"/>
    <w:rsid w:val="06110FAF"/>
    <w:rsid w:val="061B4D44"/>
    <w:rsid w:val="061D7643"/>
    <w:rsid w:val="06253E14"/>
    <w:rsid w:val="06340AAA"/>
    <w:rsid w:val="06493CA7"/>
    <w:rsid w:val="065A6178"/>
    <w:rsid w:val="066C13A8"/>
    <w:rsid w:val="066F1CF3"/>
    <w:rsid w:val="067439F3"/>
    <w:rsid w:val="06930BB8"/>
    <w:rsid w:val="06A11240"/>
    <w:rsid w:val="06CE258E"/>
    <w:rsid w:val="06EA7D87"/>
    <w:rsid w:val="06F570CB"/>
    <w:rsid w:val="06FC6128"/>
    <w:rsid w:val="07200F94"/>
    <w:rsid w:val="07245D42"/>
    <w:rsid w:val="07264C62"/>
    <w:rsid w:val="0730481F"/>
    <w:rsid w:val="0740253A"/>
    <w:rsid w:val="07501A7C"/>
    <w:rsid w:val="07577FFE"/>
    <w:rsid w:val="075E117C"/>
    <w:rsid w:val="0779354C"/>
    <w:rsid w:val="078E28D0"/>
    <w:rsid w:val="07BC2556"/>
    <w:rsid w:val="07E61381"/>
    <w:rsid w:val="080024E2"/>
    <w:rsid w:val="08061376"/>
    <w:rsid w:val="080D690E"/>
    <w:rsid w:val="082C5625"/>
    <w:rsid w:val="0835677E"/>
    <w:rsid w:val="08446876"/>
    <w:rsid w:val="08452D77"/>
    <w:rsid w:val="086401F8"/>
    <w:rsid w:val="08751CAA"/>
    <w:rsid w:val="087E4C40"/>
    <w:rsid w:val="0885769F"/>
    <w:rsid w:val="08972222"/>
    <w:rsid w:val="08B52DEA"/>
    <w:rsid w:val="08B66FA6"/>
    <w:rsid w:val="08BB7963"/>
    <w:rsid w:val="08D66AD6"/>
    <w:rsid w:val="08DA33A3"/>
    <w:rsid w:val="08E65545"/>
    <w:rsid w:val="08E80F13"/>
    <w:rsid w:val="08F3083F"/>
    <w:rsid w:val="091859DF"/>
    <w:rsid w:val="0923288D"/>
    <w:rsid w:val="09335624"/>
    <w:rsid w:val="0944690F"/>
    <w:rsid w:val="09535675"/>
    <w:rsid w:val="09585927"/>
    <w:rsid w:val="09592953"/>
    <w:rsid w:val="095F057D"/>
    <w:rsid w:val="09642282"/>
    <w:rsid w:val="09733572"/>
    <w:rsid w:val="09772C16"/>
    <w:rsid w:val="097E2BD8"/>
    <w:rsid w:val="098353B5"/>
    <w:rsid w:val="099F7A3A"/>
    <w:rsid w:val="09A60CF4"/>
    <w:rsid w:val="09A92330"/>
    <w:rsid w:val="09B06B87"/>
    <w:rsid w:val="09C13146"/>
    <w:rsid w:val="09D01699"/>
    <w:rsid w:val="09D122E9"/>
    <w:rsid w:val="09D5132E"/>
    <w:rsid w:val="09E04166"/>
    <w:rsid w:val="09FE29B2"/>
    <w:rsid w:val="0A0B1D7B"/>
    <w:rsid w:val="0A1C0718"/>
    <w:rsid w:val="0A3E7710"/>
    <w:rsid w:val="0A522854"/>
    <w:rsid w:val="0A5B7E63"/>
    <w:rsid w:val="0A8A03CB"/>
    <w:rsid w:val="0A951B0C"/>
    <w:rsid w:val="0A962960"/>
    <w:rsid w:val="0AA37376"/>
    <w:rsid w:val="0AA374A5"/>
    <w:rsid w:val="0AA96DC2"/>
    <w:rsid w:val="0AAB7649"/>
    <w:rsid w:val="0ABC5606"/>
    <w:rsid w:val="0ACD37DE"/>
    <w:rsid w:val="0AE55920"/>
    <w:rsid w:val="0AFD4C94"/>
    <w:rsid w:val="0B0936DA"/>
    <w:rsid w:val="0B2F37F7"/>
    <w:rsid w:val="0B30404E"/>
    <w:rsid w:val="0B372EC4"/>
    <w:rsid w:val="0B4C6C14"/>
    <w:rsid w:val="0B631A88"/>
    <w:rsid w:val="0B666A61"/>
    <w:rsid w:val="0B683D45"/>
    <w:rsid w:val="0B7F3F11"/>
    <w:rsid w:val="0B813DCE"/>
    <w:rsid w:val="0B884417"/>
    <w:rsid w:val="0B8E0BFF"/>
    <w:rsid w:val="0B974E6D"/>
    <w:rsid w:val="0BA23811"/>
    <w:rsid w:val="0BB93BAE"/>
    <w:rsid w:val="0BC4195A"/>
    <w:rsid w:val="0BCD4D32"/>
    <w:rsid w:val="0BF6188C"/>
    <w:rsid w:val="0BF73C91"/>
    <w:rsid w:val="0BF75B37"/>
    <w:rsid w:val="0C012554"/>
    <w:rsid w:val="0C0C285F"/>
    <w:rsid w:val="0C170175"/>
    <w:rsid w:val="0C2114A1"/>
    <w:rsid w:val="0C5041C7"/>
    <w:rsid w:val="0C571A41"/>
    <w:rsid w:val="0C5C1171"/>
    <w:rsid w:val="0C5E1CBC"/>
    <w:rsid w:val="0C615B50"/>
    <w:rsid w:val="0C8445DA"/>
    <w:rsid w:val="0C87121B"/>
    <w:rsid w:val="0C926E5E"/>
    <w:rsid w:val="0CB37C07"/>
    <w:rsid w:val="0CB70393"/>
    <w:rsid w:val="0CC007F7"/>
    <w:rsid w:val="0CC7352F"/>
    <w:rsid w:val="0CDA215E"/>
    <w:rsid w:val="0CDD61A6"/>
    <w:rsid w:val="0CE153B7"/>
    <w:rsid w:val="0CE628C0"/>
    <w:rsid w:val="0CF05E95"/>
    <w:rsid w:val="0CFE707A"/>
    <w:rsid w:val="0D063BDA"/>
    <w:rsid w:val="0D08375F"/>
    <w:rsid w:val="0D151CF2"/>
    <w:rsid w:val="0D184CFB"/>
    <w:rsid w:val="0D22202C"/>
    <w:rsid w:val="0D4A7419"/>
    <w:rsid w:val="0D56089C"/>
    <w:rsid w:val="0D6D1240"/>
    <w:rsid w:val="0D6F59F3"/>
    <w:rsid w:val="0D827401"/>
    <w:rsid w:val="0D84094E"/>
    <w:rsid w:val="0D892919"/>
    <w:rsid w:val="0D8A00E9"/>
    <w:rsid w:val="0D8D589E"/>
    <w:rsid w:val="0D8F2737"/>
    <w:rsid w:val="0DA01C73"/>
    <w:rsid w:val="0DA16C42"/>
    <w:rsid w:val="0DA34F50"/>
    <w:rsid w:val="0DA73E57"/>
    <w:rsid w:val="0DA815B3"/>
    <w:rsid w:val="0DAC5F6C"/>
    <w:rsid w:val="0DCF2C14"/>
    <w:rsid w:val="0DD63300"/>
    <w:rsid w:val="0DE80C10"/>
    <w:rsid w:val="0DF50604"/>
    <w:rsid w:val="0DF702FE"/>
    <w:rsid w:val="0E060E51"/>
    <w:rsid w:val="0E0F026A"/>
    <w:rsid w:val="0E39181C"/>
    <w:rsid w:val="0E470A1E"/>
    <w:rsid w:val="0E481F78"/>
    <w:rsid w:val="0E4D2AC2"/>
    <w:rsid w:val="0E550E35"/>
    <w:rsid w:val="0E5604B2"/>
    <w:rsid w:val="0E647CD2"/>
    <w:rsid w:val="0E6D5D79"/>
    <w:rsid w:val="0E962236"/>
    <w:rsid w:val="0E9D0089"/>
    <w:rsid w:val="0EAC6482"/>
    <w:rsid w:val="0EB51042"/>
    <w:rsid w:val="0EB803EE"/>
    <w:rsid w:val="0EB86496"/>
    <w:rsid w:val="0EC4361C"/>
    <w:rsid w:val="0EF531A2"/>
    <w:rsid w:val="0EF6696F"/>
    <w:rsid w:val="0EF94D4B"/>
    <w:rsid w:val="0F06276F"/>
    <w:rsid w:val="0F176E65"/>
    <w:rsid w:val="0F3A7838"/>
    <w:rsid w:val="0F4958DC"/>
    <w:rsid w:val="0F5117D6"/>
    <w:rsid w:val="0F515DF7"/>
    <w:rsid w:val="0F596BA8"/>
    <w:rsid w:val="0F6248D2"/>
    <w:rsid w:val="0F693536"/>
    <w:rsid w:val="0F7B0511"/>
    <w:rsid w:val="0F7B76D9"/>
    <w:rsid w:val="0F816ACD"/>
    <w:rsid w:val="0F9832DB"/>
    <w:rsid w:val="0FA638D0"/>
    <w:rsid w:val="0FBF3FD2"/>
    <w:rsid w:val="0FBF7FF3"/>
    <w:rsid w:val="0FF11A61"/>
    <w:rsid w:val="104E17D7"/>
    <w:rsid w:val="10646583"/>
    <w:rsid w:val="10685F0A"/>
    <w:rsid w:val="10692BCB"/>
    <w:rsid w:val="107D4B15"/>
    <w:rsid w:val="10857989"/>
    <w:rsid w:val="108A3C80"/>
    <w:rsid w:val="10A23EC0"/>
    <w:rsid w:val="10A91D87"/>
    <w:rsid w:val="10C26171"/>
    <w:rsid w:val="10C500F9"/>
    <w:rsid w:val="10CC1635"/>
    <w:rsid w:val="10CE12D3"/>
    <w:rsid w:val="10E30D67"/>
    <w:rsid w:val="10F33360"/>
    <w:rsid w:val="10FC16EA"/>
    <w:rsid w:val="110302A4"/>
    <w:rsid w:val="11094B8C"/>
    <w:rsid w:val="110A7E8F"/>
    <w:rsid w:val="110D797F"/>
    <w:rsid w:val="110F1D40"/>
    <w:rsid w:val="112371A2"/>
    <w:rsid w:val="11266F33"/>
    <w:rsid w:val="112E264E"/>
    <w:rsid w:val="11511160"/>
    <w:rsid w:val="11564F26"/>
    <w:rsid w:val="115672F2"/>
    <w:rsid w:val="116D4627"/>
    <w:rsid w:val="117A14B8"/>
    <w:rsid w:val="118963A1"/>
    <w:rsid w:val="11AA3420"/>
    <w:rsid w:val="11AD1ABA"/>
    <w:rsid w:val="11B61DC5"/>
    <w:rsid w:val="11B852DA"/>
    <w:rsid w:val="11BA7410"/>
    <w:rsid w:val="11C6522A"/>
    <w:rsid w:val="11CE2534"/>
    <w:rsid w:val="11D861DF"/>
    <w:rsid w:val="11E104CC"/>
    <w:rsid w:val="11E20309"/>
    <w:rsid w:val="11EA385B"/>
    <w:rsid w:val="11F30F99"/>
    <w:rsid w:val="12255233"/>
    <w:rsid w:val="123F24B6"/>
    <w:rsid w:val="12530213"/>
    <w:rsid w:val="1261115A"/>
    <w:rsid w:val="126307C1"/>
    <w:rsid w:val="126B31DD"/>
    <w:rsid w:val="126D161E"/>
    <w:rsid w:val="127723A9"/>
    <w:rsid w:val="127E013D"/>
    <w:rsid w:val="12862074"/>
    <w:rsid w:val="12883966"/>
    <w:rsid w:val="129E45B4"/>
    <w:rsid w:val="12A32349"/>
    <w:rsid w:val="12B90B85"/>
    <w:rsid w:val="12D81596"/>
    <w:rsid w:val="12FB03D7"/>
    <w:rsid w:val="13072A44"/>
    <w:rsid w:val="1313102B"/>
    <w:rsid w:val="134D0F8A"/>
    <w:rsid w:val="135F4BE2"/>
    <w:rsid w:val="13660EC1"/>
    <w:rsid w:val="13676A08"/>
    <w:rsid w:val="13683D4B"/>
    <w:rsid w:val="13765CAF"/>
    <w:rsid w:val="1377376F"/>
    <w:rsid w:val="137B0337"/>
    <w:rsid w:val="138B3DCD"/>
    <w:rsid w:val="139B1A0A"/>
    <w:rsid w:val="139C191B"/>
    <w:rsid w:val="139D25C7"/>
    <w:rsid w:val="13B32EC4"/>
    <w:rsid w:val="13BF3CE4"/>
    <w:rsid w:val="13C66152"/>
    <w:rsid w:val="13C97E6D"/>
    <w:rsid w:val="140B2967"/>
    <w:rsid w:val="141008D8"/>
    <w:rsid w:val="14125FE6"/>
    <w:rsid w:val="141649B0"/>
    <w:rsid w:val="141D2158"/>
    <w:rsid w:val="142E65C5"/>
    <w:rsid w:val="14417A40"/>
    <w:rsid w:val="144F506A"/>
    <w:rsid w:val="145E4334"/>
    <w:rsid w:val="146D271E"/>
    <w:rsid w:val="146D5A10"/>
    <w:rsid w:val="147852DC"/>
    <w:rsid w:val="147D094C"/>
    <w:rsid w:val="14802A4E"/>
    <w:rsid w:val="14982588"/>
    <w:rsid w:val="14991C55"/>
    <w:rsid w:val="149A5AD9"/>
    <w:rsid w:val="14A7619D"/>
    <w:rsid w:val="14AF514A"/>
    <w:rsid w:val="14B823AE"/>
    <w:rsid w:val="14C9522B"/>
    <w:rsid w:val="14E153AA"/>
    <w:rsid w:val="150536C3"/>
    <w:rsid w:val="150C1963"/>
    <w:rsid w:val="151447A0"/>
    <w:rsid w:val="151C63E2"/>
    <w:rsid w:val="1534372C"/>
    <w:rsid w:val="154A6454"/>
    <w:rsid w:val="15581B10"/>
    <w:rsid w:val="156D6C3E"/>
    <w:rsid w:val="157601E9"/>
    <w:rsid w:val="15762120"/>
    <w:rsid w:val="1588027C"/>
    <w:rsid w:val="15A1245F"/>
    <w:rsid w:val="16113A6D"/>
    <w:rsid w:val="16443E43"/>
    <w:rsid w:val="16445BF1"/>
    <w:rsid w:val="165B754F"/>
    <w:rsid w:val="1662360B"/>
    <w:rsid w:val="166805AE"/>
    <w:rsid w:val="16684749"/>
    <w:rsid w:val="167A4725"/>
    <w:rsid w:val="168E1562"/>
    <w:rsid w:val="16A8729C"/>
    <w:rsid w:val="16B33777"/>
    <w:rsid w:val="16B8098B"/>
    <w:rsid w:val="16BC70A7"/>
    <w:rsid w:val="16C6339E"/>
    <w:rsid w:val="16CD208A"/>
    <w:rsid w:val="16E23115"/>
    <w:rsid w:val="16EA084E"/>
    <w:rsid w:val="16FA41E7"/>
    <w:rsid w:val="170E787A"/>
    <w:rsid w:val="171001C9"/>
    <w:rsid w:val="17104917"/>
    <w:rsid w:val="172D2B29"/>
    <w:rsid w:val="172F2D79"/>
    <w:rsid w:val="173117CE"/>
    <w:rsid w:val="1743234C"/>
    <w:rsid w:val="175372AA"/>
    <w:rsid w:val="17557BEF"/>
    <w:rsid w:val="17746C31"/>
    <w:rsid w:val="179A22C6"/>
    <w:rsid w:val="17A33945"/>
    <w:rsid w:val="17B95F85"/>
    <w:rsid w:val="17D349C1"/>
    <w:rsid w:val="17D86D38"/>
    <w:rsid w:val="17E56F60"/>
    <w:rsid w:val="17EF7DDE"/>
    <w:rsid w:val="17F10A8F"/>
    <w:rsid w:val="1830729E"/>
    <w:rsid w:val="1870062C"/>
    <w:rsid w:val="18817102"/>
    <w:rsid w:val="18830A15"/>
    <w:rsid w:val="18852B28"/>
    <w:rsid w:val="188B5321"/>
    <w:rsid w:val="18B15009"/>
    <w:rsid w:val="18C5267B"/>
    <w:rsid w:val="18C66D91"/>
    <w:rsid w:val="18D53478"/>
    <w:rsid w:val="18E30C2C"/>
    <w:rsid w:val="18FB339D"/>
    <w:rsid w:val="190237CC"/>
    <w:rsid w:val="19167D23"/>
    <w:rsid w:val="19201F61"/>
    <w:rsid w:val="19932372"/>
    <w:rsid w:val="199D3E9B"/>
    <w:rsid w:val="19A20DD5"/>
    <w:rsid w:val="19AE03F1"/>
    <w:rsid w:val="19E02F33"/>
    <w:rsid w:val="19EA07A3"/>
    <w:rsid w:val="1A0538E9"/>
    <w:rsid w:val="1A071A03"/>
    <w:rsid w:val="1A1F16AE"/>
    <w:rsid w:val="1A1F2BFD"/>
    <w:rsid w:val="1A227E48"/>
    <w:rsid w:val="1A3B5C77"/>
    <w:rsid w:val="1A3D3B8C"/>
    <w:rsid w:val="1A537BBF"/>
    <w:rsid w:val="1A6F7881"/>
    <w:rsid w:val="1A984BAD"/>
    <w:rsid w:val="1AA23C1E"/>
    <w:rsid w:val="1AB21997"/>
    <w:rsid w:val="1AB32A57"/>
    <w:rsid w:val="1AB8220E"/>
    <w:rsid w:val="1ABA7CDE"/>
    <w:rsid w:val="1ADB3498"/>
    <w:rsid w:val="1AE4166C"/>
    <w:rsid w:val="1AEB6F83"/>
    <w:rsid w:val="1AF06CFB"/>
    <w:rsid w:val="1AF11B8D"/>
    <w:rsid w:val="1B0F0EC3"/>
    <w:rsid w:val="1B11359C"/>
    <w:rsid w:val="1B1C3B2D"/>
    <w:rsid w:val="1B1E690C"/>
    <w:rsid w:val="1B1E6DC1"/>
    <w:rsid w:val="1B2A271F"/>
    <w:rsid w:val="1B530544"/>
    <w:rsid w:val="1B5508A0"/>
    <w:rsid w:val="1B713184"/>
    <w:rsid w:val="1B773BAF"/>
    <w:rsid w:val="1B787F45"/>
    <w:rsid w:val="1B7A6F47"/>
    <w:rsid w:val="1B8E082D"/>
    <w:rsid w:val="1B913DC8"/>
    <w:rsid w:val="1BA209CF"/>
    <w:rsid w:val="1BAD2DBB"/>
    <w:rsid w:val="1BB47375"/>
    <w:rsid w:val="1BB4777D"/>
    <w:rsid w:val="1BD75AB8"/>
    <w:rsid w:val="1C0459C2"/>
    <w:rsid w:val="1C091168"/>
    <w:rsid w:val="1C1B3B4A"/>
    <w:rsid w:val="1C1D5937"/>
    <w:rsid w:val="1C2F56C6"/>
    <w:rsid w:val="1C400B38"/>
    <w:rsid w:val="1C4C57FF"/>
    <w:rsid w:val="1C5841A4"/>
    <w:rsid w:val="1C6D32FB"/>
    <w:rsid w:val="1C81592B"/>
    <w:rsid w:val="1C88086E"/>
    <w:rsid w:val="1C8F4693"/>
    <w:rsid w:val="1CA7512B"/>
    <w:rsid w:val="1CF52953"/>
    <w:rsid w:val="1D07624C"/>
    <w:rsid w:val="1D0E6058"/>
    <w:rsid w:val="1D107048"/>
    <w:rsid w:val="1D266CE1"/>
    <w:rsid w:val="1D322DB7"/>
    <w:rsid w:val="1D3963AF"/>
    <w:rsid w:val="1D4B1F5B"/>
    <w:rsid w:val="1D5D5535"/>
    <w:rsid w:val="1D6A673C"/>
    <w:rsid w:val="1D6B6159"/>
    <w:rsid w:val="1D6F28F5"/>
    <w:rsid w:val="1D8105C6"/>
    <w:rsid w:val="1D9247AE"/>
    <w:rsid w:val="1D95178A"/>
    <w:rsid w:val="1DB567EC"/>
    <w:rsid w:val="1DD957B9"/>
    <w:rsid w:val="1DF51A98"/>
    <w:rsid w:val="1DFC3255"/>
    <w:rsid w:val="1E1C5230"/>
    <w:rsid w:val="1E390005"/>
    <w:rsid w:val="1E3D060F"/>
    <w:rsid w:val="1E3F7D2E"/>
    <w:rsid w:val="1E4134E4"/>
    <w:rsid w:val="1E5062B3"/>
    <w:rsid w:val="1E523514"/>
    <w:rsid w:val="1E552337"/>
    <w:rsid w:val="1E694596"/>
    <w:rsid w:val="1E714A66"/>
    <w:rsid w:val="1E7D7EF2"/>
    <w:rsid w:val="1E802593"/>
    <w:rsid w:val="1E8F40C9"/>
    <w:rsid w:val="1EA703CC"/>
    <w:rsid w:val="1EAF02C7"/>
    <w:rsid w:val="1EB7330C"/>
    <w:rsid w:val="1ECB5101"/>
    <w:rsid w:val="1EF66BA2"/>
    <w:rsid w:val="1F0A0FF3"/>
    <w:rsid w:val="1F104C1C"/>
    <w:rsid w:val="1F2C703E"/>
    <w:rsid w:val="1F460557"/>
    <w:rsid w:val="1F57024D"/>
    <w:rsid w:val="1F5771FF"/>
    <w:rsid w:val="1F654BCC"/>
    <w:rsid w:val="1F736A60"/>
    <w:rsid w:val="1F8275F5"/>
    <w:rsid w:val="1F83778A"/>
    <w:rsid w:val="1F8B3432"/>
    <w:rsid w:val="1F8C3695"/>
    <w:rsid w:val="1F9574BD"/>
    <w:rsid w:val="1FCA53B9"/>
    <w:rsid w:val="1FE868A9"/>
    <w:rsid w:val="1FF07F1C"/>
    <w:rsid w:val="20034907"/>
    <w:rsid w:val="20173E4B"/>
    <w:rsid w:val="202D3A67"/>
    <w:rsid w:val="204E48BC"/>
    <w:rsid w:val="20516B50"/>
    <w:rsid w:val="205D447F"/>
    <w:rsid w:val="20855784"/>
    <w:rsid w:val="208921B3"/>
    <w:rsid w:val="20973DEB"/>
    <w:rsid w:val="20993886"/>
    <w:rsid w:val="20B26522"/>
    <w:rsid w:val="20B44310"/>
    <w:rsid w:val="20EB4334"/>
    <w:rsid w:val="20F126EE"/>
    <w:rsid w:val="20F4499D"/>
    <w:rsid w:val="211116EB"/>
    <w:rsid w:val="211E6C31"/>
    <w:rsid w:val="212A149E"/>
    <w:rsid w:val="213741E1"/>
    <w:rsid w:val="216133FC"/>
    <w:rsid w:val="216C5CA2"/>
    <w:rsid w:val="21967F75"/>
    <w:rsid w:val="219F09AF"/>
    <w:rsid w:val="21C66054"/>
    <w:rsid w:val="21D56769"/>
    <w:rsid w:val="21E40288"/>
    <w:rsid w:val="21E52EF3"/>
    <w:rsid w:val="21EB2F8A"/>
    <w:rsid w:val="21FB5D7B"/>
    <w:rsid w:val="21FF50C2"/>
    <w:rsid w:val="220B1C3D"/>
    <w:rsid w:val="221D1D20"/>
    <w:rsid w:val="222D4294"/>
    <w:rsid w:val="22334A87"/>
    <w:rsid w:val="223C46E0"/>
    <w:rsid w:val="2242028A"/>
    <w:rsid w:val="22500702"/>
    <w:rsid w:val="2255630C"/>
    <w:rsid w:val="22593E4F"/>
    <w:rsid w:val="22646256"/>
    <w:rsid w:val="22803A9C"/>
    <w:rsid w:val="228E7AF9"/>
    <w:rsid w:val="228F4698"/>
    <w:rsid w:val="22933351"/>
    <w:rsid w:val="229E3F36"/>
    <w:rsid w:val="22AE7758"/>
    <w:rsid w:val="22BE6801"/>
    <w:rsid w:val="22CF617B"/>
    <w:rsid w:val="22DB565F"/>
    <w:rsid w:val="22EE7610"/>
    <w:rsid w:val="22F16D18"/>
    <w:rsid w:val="231A6657"/>
    <w:rsid w:val="233500BF"/>
    <w:rsid w:val="23377FF7"/>
    <w:rsid w:val="234E3FD0"/>
    <w:rsid w:val="23627FFE"/>
    <w:rsid w:val="236B425F"/>
    <w:rsid w:val="237C10C0"/>
    <w:rsid w:val="23836192"/>
    <w:rsid w:val="238E1814"/>
    <w:rsid w:val="23901F29"/>
    <w:rsid w:val="239C0061"/>
    <w:rsid w:val="239F090A"/>
    <w:rsid w:val="23B908A4"/>
    <w:rsid w:val="23CF0442"/>
    <w:rsid w:val="23E95BEF"/>
    <w:rsid w:val="23F43D2D"/>
    <w:rsid w:val="23FD0064"/>
    <w:rsid w:val="24036DF0"/>
    <w:rsid w:val="2406373C"/>
    <w:rsid w:val="24121DEF"/>
    <w:rsid w:val="24257883"/>
    <w:rsid w:val="245375B0"/>
    <w:rsid w:val="24577919"/>
    <w:rsid w:val="245D245C"/>
    <w:rsid w:val="24642C0A"/>
    <w:rsid w:val="24736C06"/>
    <w:rsid w:val="24747C4A"/>
    <w:rsid w:val="247E64DA"/>
    <w:rsid w:val="24944A94"/>
    <w:rsid w:val="24AB5DA2"/>
    <w:rsid w:val="24B22173"/>
    <w:rsid w:val="24B95AD9"/>
    <w:rsid w:val="24BE24DA"/>
    <w:rsid w:val="24BE4178"/>
    <w:rsid w:val="24CF5825"/>
    <w:rsid w:val="24D663E6"/>
    <w:rsid w:val="24D77F2B"/>
    <w:rsid w:val="24DF28B6"/>
    <w:rsid w:val="24E707BB"/>
    <w:rsid w:val="24EA00B0"/>
    <w:rsid w:val="24F84776"/>
    <w:rsid w:val="24FA6740"/>
    <w:rsid w:val="24FB7263"/>
    <w:rsid w:val="2512504B"/>
    <w:rsid w:val="25140E84"/>
    <w:rsid w:val="25171EA5"/>
    <w:rsid w:val="251D25CA"/>
    <w:rsid w:val="251F7F55"/>
    <w:rsid w:val="253F4153"/>
    <w:rsid w:val="254C2D14"/>
    <w:rsid w:val="255A1523"/>
    <w:rsid w:val="25733B2E"/>
    <w:rsid w:val="258B00E2"/>
    <w:rsid w:val="259F477C"/>
    <w:rsid w:val="25A917A6"/>
    <w:rsid w:val="25BE27CC"/>
    <w:rsid w:val="25F74A5C"/>
    <w:rsid w:val="25FB5952"/>
    <w:rsid w:val="26190E48"/>
    <w:rsid w:val="2628662C"/>
    <w:rsid w:val="262D45DE"/>
    <w:rsid w:val="26347D90"/>
    <w:rsid w:val="26372C31"/>
    <w:rsid w:val="2637667A"/>
    <w:rsid w:val="264B6B28"/>
    <w:rsid w:val="26555BF8"/>
    <w:rsid w:val="265948BB"/>
    <w:rsid w:val="26826813"/>
    <w:rsid w:val="269F24BE"/>
    <w:rsid w:val="26A53EF9"/>
    <w:rsid w:val="26A94201"/>
    <w:rsid w:val="26AC274F"/>
    <w:rsid w:val="26B5244C"/>
    <w:rsid w:val="27044A29"/>
    <w:rsid w:val="270D202F"/>
    <w:rsid w:val="271142B4"/>
    <w:rsid w:val="271D34C8"/>
    <w:rsid w:val="27266403"/>
    <w:rsid w:val="272B0484"/>
    <w:rsid w:val="276142BF"/>
    <w:rsid w:val="27783712"/>
    <w:rsid w:val="2786250D"/>
    <w:rsid w:val="27907362"/>
    <w:rsid w:val="27A16033"/>
    <w:rsid w:val="27A94148"/>
    <w:rsid w:val="27B8643F"/>
    <w:rsid w:val="27BB0DA8"/>
    <w:rsid w:val="27E34EDE"/>
    <w:rsid w:val="27EC3272"/>
    <w:rsid w:val="27FC41CB"/>
    <w:rsid w:val="280B2A12"/>
    <w:rsid w:val="28160E53"/>
    <w:rsid w:val="281C3119"/>
    <w:rsid w:val="28333E1D"/>
    <w:rsid w:val="28454BD6"/>
    <w:rsid w:val="28455253"/>
    <w:rsid w:val="285443B9"/>
    <w:rsid w:val="285509D6"/>
    <w:rsid w:val="28551971"/>
    <w:rsid w:val="285B1C53"/>
    <w:rsid w:val="286C7DFB"/>
    <w:rsid w:val="28870D98"/>
    <w:rsid w:val="289211DC"/>
    <w:rsid w:val="289F7086"/>
    <w:rsid w:val="28C32028"/>
    <w:rsid w:val="28CC490F"/>
    <w:rsid w:val="28CE5BC0"/>
    <w:rsid w:val="28DE40AA"/>
    <w:rsid w:val="28F428CE"/>
    <w:rsid w:val="290C07F0"/>
    <w:rsid w:val="290D6E6A"/>
    <w:rsid w:val="2919115F"/>
    <w:rsid w:val="29345E77"/>
    <w:rsid w:val="293F39C1"/>
    <w:rsid w:val="294C65AD"/>
    <w:rsid w:val="29565324"/>
    <w:rsid w:val="296D56EA"/>
    <w:rsid w:val="296E789C"/>
    <w:rsid w:val="297812BE"/>
    <w:rsid w:val="297E0468"/>
    <w:rsid w:val="29806583"/>
    <w:rsid w:val="298533A5"/>
    <w:rsid w:val="298B3C4C"/>
    <w:rsid w:val="298D301C"/>
    <w:rsid w:val="29996E7D"/>
    <w:rsid w:val="29A32D6B"/>
    <w:rsid w:val="29B6574B"/>
    <w:rsid w:val="29BA649E"/>
    <w:rsid w:val="29D137E8"/>
    <w:rsid w:val="29EB5AD0"/>
    <w:rsid w:val="29F26D24"/>
    <w:rsid w:val="2A15033F"/>
    <w:rsid w:val="2A1662C1"/>
    <w:rsid w:val="2A1C7367"/>
    <w:rsid w:val="2A2815FA"/>
    <w:rsid w:val="2A3D17C0"/>
    <w:rsid w:val="2A4743EE"/>
    <w:rsid w:val="2A667FDD"/>
    <w:rsid w:val="2A6D6092"/>
    <w:rsid w:val="2A701253"/>
    <w:rsid w:val="2A7D76B4"/>
    <w:rsid w:val="2A806845"/>
    <w:rsid w:val="2AEC657A"/>
    <w:rsid w:val="2B437463"/>
    <w:rsid w:val="2B7807EE"/>
    <w:rsid w:val="2B7B7EAF"/>
    <w:rsid w:val="2B8D24F8"/>
    <w:rsid w:val="2B967E93"/>
    <w:rsid w:val="2B9777BC"/>
    <w:rsid w:val="2BBF00EC"/>
    <w:rsid w:val="2BC01D66"/>
    <w:rsid w:val="2BC37CFD"/>
    <w:rsid w:val="2BD5237F"/>
    <w:rsid w:val="2BE536CE"/>
    <w:rsid w:val="2BE758D9"/>
    <w:rsid w:val="2C09049E"/>
    <w:rsid w:val="2C0A653C"/>
    <w:rsid w:val="2C13380B"/>
    <w:rsid w:val="2C191F85"/>
    <w:rsid w:val="2C1A1476"/>
    <w:rsid w:val="2C2E6CCF"/>
    <w:rsid w:val="2C624BCB"/>
    <w:rsid w:val="2C842832"/>
    <w:rsid w:val="2CA42BD7"/>
    <w:rsid w:val="2CB42B02"/>
    <w:rsid w:val="2CC80477"/>
    <w:rsid w:val="2CD14882"/>
    <w:rsid w:val="2CD923A0"/>
    <w:rsid w:val="2CE82D6F"/>
    <w:rsid w:val="2CEB696E"/>
    <w:rsid w:val="2D031D23"/>
    <w:rsid w:val="2D051FDE"/>
    <w:rsid w:val="2D277CF0"/>
    <w:rsid w:val="2D343236"/>
    <w:rsid w:val="2D414F99"/>
    <w:rsid w:val="2D99286E"/>
    <w:rsid w:val="2DA059AB"/>
    <w:rsid w:val="2DA134D1"/>
    <w:rsid w:val="2DA340BF"/>
    <w:rsid w:val="2DA95DA3"/>
    <w:rsid w:val="2DB06539"/>
    <w:rsid w:val="2DD15014"/>
    <w:rsid w:val="2DF71AD3"/>
    <w:rsid w:val="2DF72DE4"/>
    <w:rsid w:val="2E0220AF"/>
    <w:rsid w:val="2E0C1292"/>
    <w:rsid w:val="2E19549A"/>
    <w:rsid w:val="2E2B7AAC"/>
    <w:rsid w:val="2E306FCC"/>
    <w:rsid w:val="2E4B082A"/>
    <w:rsid w:val="2E5D4E86"/>
    <w:rsid w:val="2E5D790B"/>
    <w:rsid w:val="2E6C0D11"/>
    <w:rsid w:val="2E6E41AC"/>
    <w:rsid w:val="2E9A3C18"/>
    <w:rsid w:val="2EAC2ABE"/>
    <w:rsid w:val="2EAE5EA6"/>
    <w:rsid w:val="2EBB0FEE"/>
    <w:rsid w:val="2EC63002"/>
    <w:rsid w:val="2ED93CF2"/>
    <w:rsid w:val="2EE425EF"/>
    <w:rsid w:val="2EF20488"/>
    <w:rsid w:val="2F0A6B38"/>
    <w:rsid w:val="2F252A8F"/>
    <w:rsid w:val="2F3405AC"/>
    <w:rsid w:val="2F4777A0"/>
    <w:rsid w:val="2F481A65"/>
    <w:rsid w:val="2F522CD5"/>
    <w:rsid w:val="2F5C7FF7"/>
    <w:rsid w:val="2F7075FF"/>
    <w:rsid w:val="2F874FA5"/>
    <w:rsid w:val="2F946CCB"/>
    <w:rsid w:val="2FB2548D"/>
    <w:rsid w:val="2FB60FDA"/>
    <w:rsid w:val="2FB83131"/>
    <w:rsid w:val="2FBF11A9"/>
    <w:rsid w:val="2FCE7940"/>
    <w:rsid w:val="2FD25781"/>
    <w:rsid w:val="2FE70F70"/>
    <w:rsid w:val="2FFD7934"/>
    <w:rsid w:val="2FFF1613"/>
    <w:rsid w:val="30240B15"/>
    <w:rsid w:val="305D7B83"/>
    <w:rsid w:val="30667F4D"/>
    <w:rsid w:val="3069477A"/>
    <w:rsid w:val="30733ACD"/>
    <w:rsid w:val="307D0225"/>
    <w:rsid w:val="308C3862"/>
    <w:rsid w:val="309379D8"/>
    <w:rsid w:val="309B0074"/>
    <w:rsid w:val="30A270F7"/>
    <w:rsid w:val="30DF1478"/>
    <w:rsid w:val="30E315FF"/>
    <w:rsid w:val="30EC586F"/>
    <w:rsid w:val="30F46C5A"/>
    <w:rsid w:val="31357A44"/>
    <w:rsid w:val="313C778B"/>
    <w:rsid w:val="316B2774"/>
    <w:rsid w:val="318A49A8"/>
    <w:rsid w:val="318D4356"/>
    <w:rsid w:val="318E3D6A"/>
    <w:rsid w:val="31905D36"/>
    <w:rsid w:val="319C6071"/>
    <w:rsid w:val="319D518F"/>
    <w:rsid w:val="319E0453"/>
    <w:rsid w:val="31AC537E"/>
    <w:rsid w:val="31CB6D6E"/>
    <w:rsid w:val="31CD10CD"/>
    <w:rsid w:val="31D22AC1"/>
    <w:rsid w:val="31D43E75"/>
    <w:rsid w:val="31E3679B"/>
    <w:rsid w:val="31E7004C"/>
    <w:rsid w:val="31E732FD"/>
    <w:rsid w:val="31EF5153"/>
    <w:rsid w:val="31F2254D"/>
    <w:rsid w:val="31F46D7F"/>
    <w:rsid w:val="320539CB"/>
    <w:rsid w:val="320950CE"/>
    <w:rsid w:val="3237618E"/>
    <w:rsid w:val="324E1E79"/>
    <w:rsid w:val="324E2D38"/>
    <w:rsid w:val="32517576"/>
    <w:rsid w:val="325D030E"/>
    <w:rsid w:val="325F2ABE"/>
    <w:rsid w:val="326C58FB"/>
    <w:rsid w:val="327D275F"/>
    <w:rsid w:val="32866CB2"/>
    <w:rsid w:val="3290532B"/>
    <w:rsid w:val="32BE5C2C"/>
    <w:rsid w:val="32EA66CB"/>
    <w:rsid w:val="32FB6478"/>
    <w:rsid w:val="3301513E"/>
    <w:rsid w:val="331732F1"/>
    <w:rsid w:val="33263B3F"/>
    <w:rsid w:val="33353039"/>
    <w:rsid w:val="33450BE8"/>
    <w:rsid w:val="334E1F2E"/>
    <w:rsid w:val="33694632"/>
    <w:rsid w:val="336963EB"/>
    <w:rsid w:val="337218E7"/>
    <w:rsid w:val="33816EEB"/>
    <w:rsid w:val="33950707"/>
    <w:rsid w:val="33D271CF"/>
    <w:rsid w:val="33D60F72"/>
    <w:rsid w:val="33DA7A6B"/>
    <w:rsid w:val="33EB55CD"/>
    <w:rsid w:val="33EC4C02"/>
    <w:rsid w:val="340D2360"/>
    <w:rsid w:val="3410665D"/>
    <w:rsid w:val="34211214"/>
    <w:rsid w:val="342509B8"/>
    <w:rsid w:val="342E179E"/>
    <w:rsid w:val="342E63AB"/>
    <w:rsid w:val="3439424B"/>
    <w:rsid w:val="34763CFF"/>
    <w:rsid w:val="34810E85"/>
    <w:rsid w:val="34950E68"/>
    <w:rsid w:val="34986E94"/>
    <w:rsid w:val="349F21BD"/>
    <w:rsid w:val="34AC1561"/>
    <w:rsid w:val="34AF62C9"/>
    <w:rsid w:val="34CB4388"/>
    <w:rsid w:val="34E63301"/>
    <w:rsid w:val="34F33640"/>
    <w:rsid w:val="34FA6E12"/>
    <w:rsid w:val="35093AD2"/>
    <w:rsid w:val="350E3009"/>
    <w:rsid w:val="350F663A"/>
    <w:rsid w:val="35133EE5"/>
    <w:rsid w:val="351F1449"/>
    <w:rsid w:val="35213875"/>
    <w:rsid w:val="352F614E"/>
    <w:rsid w:val="3555351F"/>
    <w:rsid w:val="356B2D42"/>
    <w:rsid w:val="35777939"/>
    <w:rsid w:val="358D5588"/>
    <w:rsid w:val="35973D68"/>
    <w:rsid w:val="35D04D12"/>
    <w:rsid w:val="35D33F88"/>
    <w:rsid w:val="35DD0468"/>
    <w:rsid w:val="362440E6"/>
    <w:rsid w:val="3634789F"/>
    <w:rsid w:val="36371706"/>
    <w:rsid w:val="363A3B40"/>
    <w:rsid w:val="36483084"/>
    <w:rsid w:val="364C66D0"/>
    <w:rsid w:val="365302AE"/>
    <w:rsid w:val="36607A0A"/>
    <w:rsid w:val="366E227C"/>
    <w:rsid w:val="366F2E0D"/>
    <w:rsid w:val="367B6A5C"/>
    <w:rsid w:val="367E5B6D"/>
    <w:rsid w:val="368E0885"/>
    <w:rsid w:val="36A74ADA"/>
    <w:rsid w:val="36AD60D5"/>
    <w:rsid w:val="36B224F9"/>
    <w:rsid w:val="36C22E36"/>
    <w:rsid w:val="36E637F0"/>
    <w:rsid w:val="36EC0CC9"/>
    <w:rsid w:val="37090C50"/>
    <w:rsid w:val="372957BE"/>
    <w:rsid w:val="373F410B"/>
    <w:rsid w:val="3744384B"/>
    <w:rsid w:val="37765F4B"/>
    <w:rsid w:val="378A1DA1"/>
    <w:rsid w:val="37BB117D"/>
    <w:rsid w:val="37BE35FD"/>
    <w:rsid w:val="37C258F5"/>
    <w:rsid w:val="37C74898"/>
    <w:rsid w:val="37EE7094"/>
    <w:rsid w:val="37FB3B25"/>
    <w:rsid w:val="3826130E"/>
    <w:rsid w:val="38296C89"/>
    <w:rsid w:val="383002EB"/>
    <w:rsid w:val="38586797"/>
    <w:rsid w:val="38BC0149"/>
    <w:rsid w:val="38C8225A"/>
    <w:rsid w:val="38CA2552"/>
    <w:rsid w:val="38CC3D1F"/>
    <w:rsid w:val="38D06E75"/>
    <w:rsid w:val="38D87D1C"/>
    <w:rsid w:val="38EF239E"/>
    <w:rsid w:val="390239BE"/>
    <w:rsid w:val="393215F5"/>
    <w:rsid w:val="39467DE6"/>
    <w:rsid w:val="39504729"/>
    <w:rsid w:val="39636459"/>
    <w:rsid w:val="3966745F"/>
    <w:rsid w:val="3967203B"/>
    <w:rsid w:val="396B7F6C"/>
    <w:rsid w:val="396C52DB"/>
    <w:rsid w:val="396D0878"/>
    <w:rsid w:val="39B417A9"/>
    <w:rsid w:val="39C11183"/>
    <w:rsid w:val="39C16499"/>
    <w:rsid w:val="39D82B24"/>
    <w:rsid w:val="39E96560"/>
    <w:rsid w:val="39EE7A9E"/>
    <w:rsid w:val="39F3366F"/>
    <w:rsid w:val="39F5680C"/>
    <w:rsid w:val="39FC5695"/>
    <w:rsid w:val="3A006D8E"/>
    <w:rsid w:val="3A030438"/>
    <w:rsid w:val="3A173499"/>
    <w:rsid w:val="3A2863A2"/>
    <w:rsid w:val="3A3651E5"/>
    <w:rsid w:val="3A3951BD"/>
    <w:rsid w:val="3A3B679F"/>
    <w:rsid w:val="3A6366DE"/>
    <w:rsid w:val="3A744481"/>
    <w:rsid w:val="3A8A77C7"/>
    <w:rsid w:val="3A8C7BEF"/>
    <w:rsid w:val="3A906246"/>
    <w:rsid w:val="3A97102A"/>
    <w:rsid w:val="3AA952E7"/>
    <w:rsid w:val="3AB808CE"/>
    <w:rsid w:val="3AC62246"/>
    <w:rsid w:val="3AFC5961"/>
    <w:rsid w:val="3B215DD4"/>
    <w:rsid w:val="3B226AE1"/>
    <w:rsid w:val="3B2349B7"/>
    <w:rsid w:val="3B307FED"/>
    <w:rsid w:val="3B616CFF"/>
    <w:rsid w:val="3B6259F6"/>
    <w:rsid w:val="3B700588"/>
    <w:rsid w:val="3B792135"/>
    <w:rsid w:val="3B844B5E"/>
    <w:rsid w:val="3B8D7525"/>
    <w:rsid w:val="3B974891"/>
    <w:rsid w:val="3B976654"/>
    <w:rsid w:val="3B982DA9"/>
    <w:rsid w:val="3BB44937"/>
    <w:rsid w:val="3BC01EFC"/>
    <w:rsid w:val="3BCA786A"/>
    <w:rsid w:val="3BD31E2F"/>
    <w:rsid w:val="3BD72EE0"/>
    <w:rsid w:val="3BDB10B8"/>
    <w:rsid w:val="3BF15831"/>
    <w:rsid w:val="3BF97574"/>
    <w:rsid w:val="3BFC64A2"/>
    <w:rsid w:val="3C033CD5"/>
    <w:rsid w:val="3C067321"/>
    <w:rsid w:val="3C105946"/>
    <w:rsid w:val="3C471448"/>
    <w:rsid w:val="3C515BEF"/>
    <w:rsid w:val="3C5F759A"/>
    <w:rsid w:val="3C6329C5"/>
    <w:rsid w:val="3C672E6C"/>
    <w:rsid w:val="3C6C525A"/>
    <w:rsid w:val="3C8B5A78"/>
    <w:rsid w:val="3C8D28A0"/>
    <w:rsid w:val="3C9618E6"/>
    <w:rsid w:val="3C972E5F"/>
    <w:rsid w:val="3CA73B15"/>
    <w:rsid w:val="3CC313D5"/>
    <w:rsid w:val="3CCE23CB"/>
    <w:rsid w:val="3CD17D17"/>
    <w:rsid w:val="3CDB56F5"/>
    <w:rsid w:val="3CE05DC4"/>
    <w:rsid w:val="3CF655E7"/>
    <w:rsid w:val="3D1D5AB8"/>
    <w:rsid w:val="3D3C7F39"/>
    <w:rsid w:val="3D440F09"/>
    <w:rsid w:val="3D4504A0"/>
    <w:rsid w:val="3D501DA3"/>
    <w:rsid w:val="3D533415"/>
    <w:rsid w:val="3D555F01"/>
    <w:rsid w:val="3D6B383F"/>
    <w:rsid w:val="3D7F5DF6"/>
    <w:rsid w:val="3D8734BB"/>
    <w:rsid w:val="3D9A11D4"/>
    <w:rsid w:val="3D9D390F"/>
    <w:rsid w:val="3DA16D89"/>
    <w:rsid w:val="3DA364BE"/>
    <w:rsid w:val="3DB334D8"/>
    <w:rsid w:val="3DE041CB"/>
    <w:rsid w:val="3DE609BC"/>
    <w:rsid w:val="3DF46971"/>
    <w:rsid w:val="3E0D48F6"/>
    <w:rsid w:val="3E1868B4"/>
    <w:rsid w:val="3E1F0086"/>
    <w:rsid w:val="3E377251"/>
    <w:rsid w:val="3E3E7246"/>
    <w:rsid w:val="3E42664B"/>
    <w:rsid w:val="3E59182B"/>
    <w:rsid w:val="3E5A7334"/>
    <w:rsid w:val="3E68075C"/>
    <w:rsid w:val="3E6C7B94"/>
    <w:rsid w:val="3E7B5D6B"/>
    <w:rsid w:val="3E80785E"/>
    <w:rsid w:val="3E843E66"/>
    <w:rsid w:val="3E846C23"/>
    <w:rsid w:val="3E872671"/>
    <w:rsid w:val="3E8F51FE"/>
    <w:rsid w:val="3E926F87"/>
    <w:rsid w:val="3E934601"/>
    <w:rsid w:val="3E9A59DE"/>
    <w:rsid w:val="3EA42A5D"/>
    <w:rsid w:val="3EAF4836"/>
    <w:rsid w:val="3EB57C17"/>
    <w:rsid w:val="3EC33DFA"/>
    <w:rsid w:val="3EFB49EE"/>
    <w:rsid w:val="3EFF185A"/>
    <w:rsid w:val="3F060E16"/>
    <w:rsid w:val="3F1D1096"/>
    <w:rsid w:val="3F2519D4"/>
    <w:rsid w:val="3F277CDA"/>
    <w:rsid w:val="3F2B2466"/>
    <w:rsid w:val="3F2F0234"/>
    <w:rsid w:val="3F2F6B8F"/>
    <w:rsid w:val="3F3E5864"/>
    <w:rsid w:val="3F422D66"/>
    <w:rsid w:val="3F4D5267"/>
    <w:rsid w:val="3F5257B5"/>
    <w:rsid w:val="3F5A0851"/>
    <w:rsid w:val="3F6363FE"/>
    <w:rsid w:val="3F756B8F"/>
    <w:rsid w:val="3F792109"/>
    <w:rsid w:val="3F95482B"/>
    <w:rsid w:val="3FA171C1"/>
    <w:rsid w:val="3FA539B5"/>
    <w:rsid w:val="3FB45360"/>
    <w:rsid w:val="3FC95797"/>
    <w:rsid w:val="3FCC6AD3"/>
    <w:rsid w:val="3FF348FE"/>
    <w:rsid w:val="3FFD2804"/>
    <w:rsid w:val="400B75FC"/>
    <w:rsid w:val="400C57E0"/>
    <w:rsid w:val="4019356B"/>
    <w:rsid w:val="40204860"/>
    <w:rsid w:val="403B1563"/>
    <w:rsid w:val="404D21D6"/>
    <w:rsid w:val="405763FA"/>
    <w:rsid w:val="40592157"/>
    <w:rsid w:val="405D597D"/>
    <w:rsid w:val="406E1CAE"/>
    <w:rsid w:val="40A0133A"/>
    <w:rsid w:val="40C31A53"/>
    <w:rsid w:val="40CF7463"/>
    <w:rsid w:val="40D43F78"/>
    <w:rsid w:val="40FF545D"/>
    <w:rsid w:val="410067C8"/>
    <w:rsid w:val="41192292"/>
    <w:rsid w:val="412C782A"/>
    <w:rsid w:val="41395657"/>
    <w:rsid w:val="41466AC5"/>
    <w:rsid w:val="41596145"/>
    <w:rsid w:val="4168282C"/>
    <w:rsid w:val="418F0D2A"/>
    <w:rsid w:val="419B24D1"/>
    <w:rsid w:val="41C212B3"/>
    <w:rsid w:val="41D01505"/>
    <w:rsid w:val="41F72A49"/>
    <w:rsid w:val="42153815"/>
    <w:rsid w:val="421E223B"/>
    <w:rsid w:val="421F7A2F"/>
    <w:rsid w:val="423430DF"/>
    <w:rsid w:val="42474939"/>
    <w:rsid w:val="424C3C57"/>
    <w:rsid w:val="425B67F2"/>
    <w:rsid w:val="42613FF3"/>
    <w:rsid w:val="42660D96"/>
    <w:rsid w:val="42674648"/>
    <w:rsid w:val="42676EE2"/>
    <w:rsid w:val="427B1CAC"/>
    <w:rsid w:val="428667D2"/>
    <w:rsid w:val="42994B5F"/>
    <w:rsid w:val="42CD1CE0"/>
    <w:rsid w:val="42CE29C2"/>
    <w:rsid w:val="42D03E05"/>
    <w:rsid w:val="42E1381E"/>
    <w:rsid w:val="42ED6459"/>
    <w:rsid w:val="42F02AD9"/>
    <w:rsid w:val="42FE58DD"/>
    <w:rsid w:val="43017DCA"/>
    <w:rsid w:val="43174B3D"/>
    <w:rsid w:val="43440175"/>
    <w:rsid w:val="434A043B"/>
    <w:rsid w:val="434B790E"/>
    <w:rsid w:val="4360274F"/>
    <w:rsid w:val="43943464"/>
    <w:rsid w:val="43977AB6"/>
    <w:rsid w:val="43987274"/>
    <w:rsid w:val="43A3342B"/>
    <w:rsid w:val="43B13152"/>
    <w:rsid w:val="43B20A5C"/>
    <w:rsid w:val="43C77C27"/>
    <w:rsid w:val="43DD25EE"/>
    <w:rsid w:val="43DE09EE"/>
    <w:rsid w:val="43DF1E62"/>
    <w:rsid w:val="43E814B4"/>
    <w:rsid w:val="43F959BD"/>
    <w:rsid w:val="44002FAD"/>
    <w:rsid w:val="4410282B"/>
    <w:rsid w:val="441B44A4"/>
    <w:rsid w:val="44413AFF"/>
    <w:rsid w:val="44415A5D"/>
    <w:rsid w:val="445075EE"/>
    <w:rsid w:val="44686E59"/>
    <w:rsid w:val="447B3566"/>
    <w:rsid w:val="448B1860"/>
    <w:rsid w:val="449101DD"/>
    <w:rsid w:val="44AA10AB"/>
    <w:rsid w:val="44B220B3"/>
    <w:rsid w:val="44D53D34"/>
    <w:rsid w:val="44DB63F6"/>
    <w:rsid w:val="44DE1391"/>
    <w:rsid w:val="44FF34A7"/>
    <w:rsid w:val="45065E20"/>
    <w:rsid w:val="450A689E"/>
    <w:rsid w:val="45167485"/>
    <w:rsid w:val="451B225C"/>
    <w:rsid w:val="451E17D9"/>
    <w:rsid w:val="45216F7A"/>
    <w:rsid w:val="452410C9"/>
    <w:rsid w:val="452A1AEE"/>
    <w:rsid w:val="45317DFB"/>
    <w:rsid w:val="453F1326"/>
    <w:rsid w:val="45470B2A"/>
    <w:rsid w:val="4550258F"/>
    <w:rsid w:val="45513D03"/>
    <w:rsid w:val="456D3CE4"/>
    <w:rsid w:val="4579042C"/>
    <w:rsid w:val="457E7F03"/>
    <w:rsid w:val="457F0571"/>
    <w:rsid w:val="45851176"/>
    <w:rsid w:val="458F65D9"/>
    <w:rsid w:val="45C63B94"/>
    <w:rsid w:val="45CC523B"/>
    <w:rsid w:val="45EA6E49"/>
    <w:rsid w:val="45FF4E0C"/>
    <w:rsid w:val="46024FFD"/>
    <w:rsid w:val="460E7DA5"/>
    <w:rsid w:val="46422483"/>
    <w:rsid w:val="464A6525"/>
    <w:rsid w:val="4659254A"/>
    <w:rsid w:val="465B0637"/>
    <w:rsid w:val="465E3F0D"/>
    <w:rsid w:val="465F6E15"/>
    <w:rsid w:val="46625741"/>
    <w:rsid w:val="466A16E6"/>
    <w:rsid w:val="466D0178"/>
    <w:rsid w:val="466D1510"/>
    <w:rsid w:val="467A75ED"/>
    <w:rsid w:val="467C63ED"/>
    <w:rsid w:val="467F0372"/>
    <w:rsid w:val="467F6F3B"/>
    <w:rsid w:val="46893F2B"/>
    <w:rsid w:val="46A676D9"/>
    <w:rsid w:val="46AD6644"/>
    <w:rsid w:val="46B43CC1"/>
    <w:rsid w:val="46B6272A"/>
    <w:rsid w:val="46C15085"/>
    <w:rsid w:val="46C4686E"/>
    <w:rsid w:val="46D1677D"/>
    <w:rsid w:val="47373217"/>
    <w:rsid w:val="475469A5"/>
    <w:rsid w:val="477B778F"/>
    <w:rsid w:val="478203EC"/>
    <w:rsid w:val="4786657A"/>
    <w:rsid w:val="47887CE4"/>
    <w:rsid w:val="478A1BC1"/>
    <w:rsid w:val="47A45C40"/>
    <w:rsid w:val="47AC3B02"/>
    <w:rsid w:val="47B025FA"/>
    <w:rsid w:val="47BC567F"/>
    <w:rsid w:val="47C242DD"/>
    <w:rsid w:val="47C43E25"/>
    <w:rsid w:val="47C56BFB"/>
    <w:rsid w:val="47CB70BD"/>
    <w:rsid w:val="47D01011"/>
    <w:rsid w:val="47E114CB"/>
    <w:rsid w:val="47E74A06"/>
    <w:rsid w:val="4809698F"/>
    <w:rsid w:val="4811697D"/>
    <w:rsid w:val="481428FB"/>
    <w:rsid w:val="482E20D9"/>
    <w:rsid w:val="484E298E"/>
    <w:rsid w:val="485179DD"/>
    <w:rsid w:val="485435BD"/>
    <w:rsid w:val="487A3E25"/>
    <w:rsid w:val="48825F81"/>
    <w:rsid w:val="488B5503"/>
    <w:rsid w:val="48937E21"/>
    <w:rsid w:val="489A0361"/>
    <w:rsid w:val="48B94FF3"/>
    <w:rsid w:val="48C649C8"/>
    <w:rsid w:val="48E37AAB"/>
    <w:rsid w:val="48F4679F"/>
    <w:rsid w:val="48FD1B93"/>
    <w:rsid w:val="48FD4B4C"/>
    <w:rsid w:val="48FD5F50"/>
    <w:rsid w:val="490A68E0"/>
    <w:rsid w:val="491055FE"/>
    <w:rsid w:val="49196453"/>
    <w:rsid w:val="49575660"/>
    <w:rsid w:val="495F5B3E"/>
    <w:rsid w:val="496F77D7"/>
    <w:rsid w:val="49747FC0"/>
    <w:rsid w:val="497654FD"/>
    <w:rsid w:val="497A3B37"/>
    <w:rsid w:val="49912279"/>
    <w:rsid w:val="49AB2E67"/>
    <w:rsid w:val="49B35917"/>
    <w:rsid w:val="49B64211"/>
    <w:rsid w:val="49BD0CBA"/>
    <w:rsid w:val="49C36851"/>
    <w:rsid w:val="49ED2CCD"/>
    <w:rsid w:val="49F6167F"/>
    <w:rsid w:val="4A064FA0"/>
    <w:rsid w:val="4A16615C"/>
    <w:rsid w:val="4A1C1384"/>
    <w:rsid w:val="4A204560"/>
    <w:rsid w:val="4A3A004F"/>
    <w:rsid w:val="4A435BE4"/>
    <w:rsid w:val="4A4424D7"/>
    <w:rsid w:val="4A6D50FA"/>
    <w:rsid w:val="4A7144FF"/>
    <w:rsid w:val="4A820225"/>
    <w:rsid w:val="4A935E6F"/>
    <w:rsid w:val="4AB82D0F"/>
    <w:rsid w:val="4ACF01E8"/>
    <w:rsid w:val="4AE91D18"/>
    <w:rsid w:val="4AEB7664"/>
    <w:rsid w:val="4AF12273"/>
    <w:rsid w:val="4AFD7C19"/>
    <w:rsid w:val="4B0567D1"/>
    <w:rsid w:val="4B1971C2"/>
    <w:rsid w:val="4B1B26BD"/>
    <w:rsid w:val="4B1F7EAC"/>
    <w:rsid w:val="4B236AAE"/>
    <w:rsid w:val="4B2873D3"/>
    <w:rsid w:val="4B34678B"/>
    <w:rsid w:val="4B570985"/>
    <w:rsid w:val="4B707271"/>
    <w:rsid w:val="4B7324F9"/>
    <w:rsid w:val="4B8A24BD"/>
    <w:rsid w:val="4B9739F7"/>
    <w:rsid w:val="4BCD57CB"/>
    <w:rsid w:val="4BD713E6"/>
    <w:rsid w:val="4BEE2503"/>
    <w:rsid w:val="4BFD516B"/>
    <w:rsid w:val="4C0D2006"/>
    <w:rsid w:val="4C211F55"/>
    <w:rsid w:val="4C245A30"/>
    <w:rsid w:val="4C2A2657"/>
    <w:rsid w:val="4C317EF4"/>
    <w:rsid w:val="4C4A7F2C"/>
    <w:rsid w:val="4C4C6FD2"/>
    <w:rsid w:val="4C7E73A7"/>
    <w:rsid w:val="4C855268"/>
    <w:rsid w:val="4CA25CB2"/>
    <w:rsid w:val="4CA35221"/>
    <w:rsid w:val="4CAC5CC3"/>
    <w:rsid w:val="4CB04587"/>
    <w:rsid w:val="4CB6685F"/>
    <w:rsid w:val="4CC367FE"/>
    <w:rsid w:val="4CD0319C"/>
    <w:rsid w:val="4D077F3C"/>
    <w:rsid w:val="4D123355"/>
    <w:rsid w:val="4D184E23"/>
    <w:rsid w:val="4D2A3B31"/>
    <w:rsid w:val="4D312C52"/>
    <w:rsid w:val="4D384F3D"/>
    <w:rsid w:val="4D3B2BA3"/>
    <w:rsid w:val="4D3C262E"/>
    <w:rsid w:val="4D4724F3"/>
    <w:rsid w:val="4D4C00D1"/>
    <w:rsid w:val="4D5E5119"/>
    <w:rsid w:val="4D721F47"/>
    <w:rsid w:val="4D8A4D3C"/>
    <w:rsid w:val="4D905305"/>
    <w:rsid w:val="4D935301"/>
    <w:rsid w:val="4D964A72"/>
    <w:rsid w:val="4D987FF5"/>
    <w:rsid w:val="4D9C1254"/>
    <w:rsid w:val="4DB07786"/>
    <w:rsid w:val="4DB177A8"/>
    <w:rsid w:val="4DBA5520"/>
    <w:rsid w:val="4DCB19A8"/>
    <w:rsid w:val="4DD86643"/>
    <w:rsid w:val="4DDE0F4B"/>
    <w:rsid w:val="4DE1199C"/>
    <w:rsid w:val="4E105DDD"/>
    <w:rsid w:val="4E1642C3"/>
    <w:rsid w:val="4E492E39"/>
    <w:rsid w:val="4E4C77C7"/>
    <w:rsid w:val="4E793892"/>
    <w:rsid w:val="4E7A14BA"/>
    <w:rsid w:val="4E800872"/>
    <w:rsid w:val="4E9764FE"/>
    <w:rsid w:val="4EBE1B1B"/>
    <w:rsid w:val="4EC2357B"/>
    <w:rsid w:val="4EC569ED"/>
    <w:rsid w:val="4ED50EA1"/>
    <w:rsid w:val="4EEC050C"/>
    <w:rsid w:val="4EF63225"/>
    <w:rsid w:val="4F07074A"/>
    <w:rsid w:val="4F074801"/>
    <w:rsid w:val="4F075432"/>
    <w:rsid w:val="4F104EC3"/>
    <w:rsid w:val="4F174A32"/>
    <w:rsid w:val="4F22226C"/>
    <w:rsid w:val="4F271AB5"/>
    <w:rsid w:val="4F334479"/>
    <w:rsid w:val="4F47354A"/>
    <w:rsid w:val="4F534A42"/>
    <w:rsid w:val="4F6F139C"/>
    <w:rsid w:val="4F7A0475"/>
    <w:rsid w:val="4F840831"/>
    <w:rsid w:val="4F902C1F"/>
    <w:rsid w:val="4F911C54"/>
    <w:rsid w:val="4FBC446F"/>
    <w:rsid w:val="4FD83492"/>
    <w:rsid w:val="4FE625E0"/>
    <w:rsid w:val="4FE669D5"/>
    <w:rsid w:val="4FE70DC0"/>
    <w:rsid w:val="4FE80648"/>
    <w:rsid w:val="500C7377"/>
    <w:rsid w:val="5021480F"/>
    <w:rsid w:val="50254170"/>
    <w:rsid w:val="50493828"/>
    <w:rsid w:val="50830AE8"/>
    <w:rsid w:val="50962ECB"/>
    <w:rsid w:val="509E3B74"/>
    <w:rsid w:val="50A42E38"/>
    <w:rsid w:val="50A4577F"/>
    <w:rsid w:val="50AD3DB7"/>
    <w:rsid w:val="50AE4EFD"/>
    <w:rsid w:val="50B73D1F"/>
    <w:rsid w:val="50BD5BC9"/>
    <w:rsid w:val="50C11EEE"/>
    <w:rsid w:val="50E0418D"/>
    <w:rsid w:val="50E97CFC"/>
    <w:rsid w:val="50EF0ABD"/>
    <w:rsid w:val="50FA4028"/>
    <w:rsid w:val="510D65B7"/>
    <w:rsid w:val="511157AB"/>
    <w:rsid w:val="5142540C"/>
    <w:rsid w:val="514933CF"/>
    <w:rsid w:val="514F0518"/>
    <w:rsid w:val="515B715C"/>
    <w:rsid w:val="51665C10"/>
    <w:rsid w:val="51754F19"/>
    <w:rsid w:val="5182371D"/>
    <w:rsid w:val="518832C8"/>
    <w:rsid w:val="51A0432A"/>
    <w:rsid w:val="51A80E3B"/>
    <w:rsid w:val="51A86090"/>
    <w:rsid w:val="51B7396D"/>
    <w:rsid w:val="51CB4590"/>
    <w:rsid w:val="51F54E50"/>
    <w:rsid w:val="51FF6894"/>
    <w:rsid w:val="52171E30"/>
    <w:rsid w:val="522E4CC3"/>
    <w:rsid w:val="52355783"/>
    <w:rsid w:val="52444AAB"/>
    <w:rsid w:val="5244713B"/>
    <w:rsid w:val="52615633"/>
    <w:rsid w:val="52721545"/>
    <w:rsid w:val="52772F60"/>
    <w:rsid w:val="52966F76"/>
    <w:rsid w:val="52977FD4"/>
    <w:rsid w:val="529C30B9"/>
    <w:rsid w:val="52A25790"/>
    <w:rsid w:val="52A96B6F"/>
    <w:rsid w:val="52B45975"/>
    <w:rsid w:val="52C43F4D"/>
    <w:rsid w:val="52C44581"/>
    <w:rsid w:val="52C61E3B"/>
    <w:rsid w:val="52D94AA4"/>
    <w:rsid w:val="52EA3A62"/>
    <w:rsid w:val="52F50BB8"/>
    <w:rsid w:val="53097272"/>
    <w:rsid w:val="531D78AB"/>
    <w:rsid w:val="5341615E"/>
    <w:rsid w:val="534D7DAC"/>
    <w:rsid w:val="53514ECE"/>
    <w:rsid w:val="53544462"/>
    <w:rsid w:val="53551B3D"/>
    <w:rsid w:val="53825C26"/>
    <w:rsid w:val="5397158E"/>
    <w:rsid w:val="53A05D80"/>
    <w:rsid w:val="53D94A0C"/>
    <w:rsid w:val="54013861"/>
    <w:rsid w:val="54045205"/>
    <w:rsid w:val="543E76FB"/>
    <w:rsid w:val="54424EA8"/>
    <w:rsid w:val="54487265"/>
    <w:rsid w:val="544D6070"/>
    <w:rsid w:val="54605E1E"/>
    <w:rsid w:val="546146FF"/>
    <w:rsid w:val="546149DC"/>
    <w:rsid w:val="546B452F"/>
    <w:rsid w:val="548F1073"/>
    <w:rsid w:val="54B3506A"/>
    <w:rsid w:val="54B546B5"/>
    <w:rsid w:val="54BB7C66"/>
    <w:rsid w:val="54CA0D16"/>
    <w:rsid w:val="54CE3A4C"/>
    <w:rsid w:val="54DD4057"/>
    <w:rsid w:val="54E7490F"/>
    <w:rsid w:val="550764A4"/>
    <w:rsid w:val="550B2BF6"/>
    <w:rsid w:val="550C37A2"/>
    <w:rsid w:val="55214EB5"/>
    <w:rsid w:val="55364EFD"/>
    <w:rsid w:val="553C189A"/>
    <w:rsid w:val="553E5926"/>
    <w:rsid w:val="55595151"/>
    <w:rsid w:val="555D4828"/>
    <w:rsid w:val="557A4C8B"/>
    <w:rsid w:val="557D73D3"/>
    <w:rsid w:val="558931E1"/>
    <w:rsid w:val="55923347"/>
    <w:rsid w:val="55925180"/>
    <w:rsid w:val="55983B1B"/>
    <w:rsid w:val="559A32BB"/>
    <w:rsid w:val="55A734CB"/>
    <w:rsid w:val="55A8376B"/>
    <w:rsid w:val="55A958D9"/>
    <w:rsid w:val="55AC288F"/>
    <w:rsid w:val="55CB2B48"/>
    <w:rsid w:val="55DB4F23"/>
    <w:rsid w:val="55DC29B6"/>
    <w:rsid w:val="55DD4241"/>
    <w:rsid w:val="55E24503"/>
    <w:rsid w:val="55F90831"/>
    <w:rsid w:val="5600573E"/>
    <w:rsid w:val="563E63E5"/>
    <w:rsid w:val="564861A3"/>
    <w:rsid w:val="566B6D1E"/>
    <w:rsid w:val="569F5902"/>
    <w:rsid w:val="56A4241E"/>
    <w:rsid w:val="56BC6B02"/>
    <w:rsid w:val="57000B0B"/>
    <w:rsid w:val="57032A2C"/>
    <w:rsid w:val="570E6CD9"/>
    <w:rsid w:val="570F5219"/>
    <w:rsid w:val="571F3DB3"/>
    <w:rsid w:val="57295D0E"/>
    <w:rsid w:val="57363B3A"/>
    <w:rsid w:val="575C7D3C"/>
    <w:rsid w:val="575D12B5"/>
    <w:rsid w:val="57610A87"/>
    <w:rsid w:val="57631674"/>
    <w:rsid w:val="577B1140"/>
    <w:rsid w:val="577B7F21"/>
    <w:rsid w:val="577F181B"/>
    <w:rsid w:val="5783173F"/>
    <w:rsid w:val="57921984"/>
    <w:rsid w:val="57967B8D"/>
    <w:rsid w:val="579737F0"/>
    <w:rsid w:val="57AB7B30"/>
    <w:rsid w:val="57AF5251"/>
    <w:rsid w:val="57B26373"/>
    <w:rsid w:val="57B63F04"/>
    <w:rsid w:val="57BC271D"/>
    <w:rsid w:val="57BD5228"/>
    <w:rsid w:val="57C00874"/>
    <w:rsid w:val="57CB10DD"/>
    <w:rsid w:val="57CD20C2"/>
    <w:rsid w:val="57D17E7E"/>
    <w:rsid w:val="57D675AB"/>
    <w:rsid w:val="57D95FDD"/>
    <w:rsid w:val="57E750FE"/>
    <w:rsid w:val="580A7273"/>
    <w:rsid w:val="582468BB"/>
    <w:rsid w:val="582B65CF"/>
    <w:rsid w:val="58414A72"/>
    <w:rsid w:val="584C4035"/>
    <w:rsid w:val="5861221A"/>
    <w:rsid w:val="5863552F"/>
    <w:rsid w:val="58851F2F"/>
    <w:rsid w:val="5887168C"/>
    <w:rsid w:val="58917D2F"/>
    <w:rsid w:val="5894085C"/>
    <w:rsid w:val="58A259D2"/>
    <w:rsid w:val="58AE4F0C"/>
    <w:rsid w:val="58B85899"/>
    <w:rsid w:val="58E363A9"/>
    <w:rsid w:val="58FA22E5"/>
    <w:rsid w:val="59061A3C"/>
    <w:rsid w:val="59080725"/>
    <w:rsid w:val="591D63EF"/>
    <w:rsid w:val="593469C5"/>
    <w:rsid w:val="595251F6"/>
    <w:rsid w:val="595E1678"/>
    <w:rsid w:val="596D5BD4"/>
    <w:rsid w:val="596F14D4"/>
    <w:rsid w:val="597A1831"/>
    <w:rsid w:val="597E3DD8"/>
    <w:rsid w:val="597E42AD"/>
    <w:rsid w:val="598D1433"/>
    <w:rsid w:val="599F3253"/>
    <w:rsid w:val="59A541C5"/>
    <w:rsid w:val="59AC0D97"/>
    <w:rsid w:val="59C97EB4"/>
    <w:rsid w:val="59E32350"/>
    <w:rsid w:val="59E535D4"/>
    <w:rsid w:val="59ED78D1"/>
    <w:rsid w:val="59F54088"/>
    <w:rsid w:val="59F80043"/>
    <w:rsid w:val="5A09252F"/>
    <w:rsid w:val="5A0B2778"/>
    <w:rsid w:val="5A1E47AC"/>
    <w:rsid w:val="5A2A7C7B"/>
    <w:rsid w:val="5A3E2560"/>
    <w:rsid w:val="5A4A00C9"/>
    <w:rsid w:val="5A5D3B6E"/>
    <w:rsid w:val="5A61633E"/>
    <w:rsid w:val="5A637A76"/>
    <w:rsid w:val="5A6D33BA"/>
    <w:rsid w:val="5A7616BE"/>
    <w:rsid w:val="5A792B1F"/>
    <w:rsid w:val="5A874767"/>
    <w:rsid w:val="5AAD6F28"/>
    <w:rsid w:val="5AB83A84"/>
    <w:rsid w:val="5ABF3065"/>
    <w:rsid w:val="5AC4067B"/>
    <w:rsid w:val="5ACB31E8"/>
    <w:rsid w:val="5AD63A24"/>
    <w:rsid w:val="5B2E1A1D"/>
    <w:rsid w:val="5B3D7247"/>
    <w:rsid w:val="5B3F7D02"/>
    <w:rsid w:val="5B53250E"/>
    <w:rsid w:val="5B791466"/>
    <w:rsid w:val="5B843A1C"/>
    <w:rsid w:val="5B873E3F"/>
    <w:rsid w:val="5B952C32"/>
    <w:rsid w:val="5BA1485E"/>
    <w:rsid w:val="5BAB3174"/>
    <w:rsid w:val="5BB65B9D"/>
    <w:rsid w:val="5BF17F41"/>
    <w:rsid w:val="5C02690E"/>
    <w:rsid w:val="5C0304F1"/>
    <w:rsid w:val="5C0A24CA"/>
    <w:rsid w:val="5C196DA7"/>
    <w:rsid w:val="5C2A048C"/>
    <w:rsid w:val="5C566543"/>
    <w:rsid w:val="5C580F30"/>
    <w:rsid w:val="5C6D55E1"/>
    <w:rsid w:val="5C6E0BD2"/>
    <w:rsid w:val="5C761E49"/>
    <w:rsid w:val="5C80234E"/>
    <w:rsid w:val="5C8A680C"/>
    <w:rsid w:val="5C9D7814"/>
    <w:rsid w:val="5CAE226A"/>
    <w:rsid w:val="5CC71624"/>
    <w:rsid w:val="5CD4533D"/>
    <w:rsid w:val="5CD85171"/>
    <w:rsid w:val="5CD901EE"/>
    <w:rsid w:val="5CE95CC1"/>
    <w:rsid w:val="5CF10E39"/>
    <w:rsid w:val="5D0C4701"/>
    <w:rsid w:val="5D0F0395"/>
    <w:rsid w:val="5D1115F3"/>
    <w:rsid w:val="5D221076"/>
    <w:rsid w:val="5D397964"/>
    <w:rsid w:val="5D4B0BE0"/>
    <w:rsid w:val="5D4D40C5"/>
    <w:rsid w:val="5D574DAC"/>
    <w:rsid w:val="5D5A391C"/>
    <w:rsid w:val="5D5F10C0"/>
    <w:rsid w:val="5D655B11"/>
    <w:rsid w:val="5D891B7B"/>
    <w:rsid w:val="5DA14CA4"/>
    <w:rsid w:val="5DAD38EE"/>
    <w:rsid w:val="5DBD2A81"/>
    <w:rsid w:val="5DEC77DE"/>
    <w:rsid w:val="5DF23751"/>
    <w:rsid w:val="5DFB1462"/>
    <w:rsid w:val="5E006862"/>
    <w:rsid w:val="5E0207B9"/>
    <w:rsid w:val="5E176D14"/>
    <w:rsid w:val="5E1834A1"/>
    <w:rsid w:val="5E261785"/>
    <w:rsid w:val="5E42047D"/>
    <w:rsid w:val="5E4A7017"/>
    <w:rsid w:val="5E552BBA"/>
    <w:rsid w:val="5E611C10"/>
    <w:rsid w:val="5E714CB3"/>
    <w:rsid w:val="5E727476"/>
    <w:rsid w:val="5E8A7A52"/>
    <w:rsid w:val="5EAA7920"/>
    <w:rsid w:val="5EAD26B5"/>
    <w:rsid w:val="5EAF3E88"/>
    <w:rsid w:val="5EBD78BB"/>
    <w:rsid w:val="5ED978F3"/>
    <w:rsid w:val="5EFA32C2"/>
    <w:rsid w:val="5EFC7377"/>
    <w:rsid w:val="5F06174D"/>
    <w:rsid w:val="5F3A3602"/>
    <w:rsid w:val="5F4367A0"/>
    <w:rsid w:val="5F617BE5"/>
    <w:rsid w:val="5F6277C6"/>
    <w:rsid w:val="5F6D0B1D"/>
    <w:rsid w:val="5F845D15"/>
    <w:rsid w:val="5F8D0B82"/>
    <w:rsid w:val="5FBA7BE8"/>
    <w:rsid w:val="5FCC5339"/>
    <w:rsid w:val="5FDF694C"/>
    <w:rsid w:val="5FE34A5B"/>
    <w:rsid w:val="5FE90205"/>
    <w:rsid w:val="5FFE1E36"/>
    <w:rsid w:val="600471FE"/>
    <w:rsid w:val="60093361"/>
    <w:rsid w:val="60172FFB"/>
    <w:rsid w:val="60232584"/>
    <w:rsid w:val="605B0A9B"/>
    <w:rsid w:val="60695F4D"/>
    <w:rsid w:val="606D290A"/>
    <w:rsid w:val="606E1F64"/>
    <w:rsid w:val="60715845"/>
    <w:rsid w:val="60732927"/>
    <w:rsid w:val="607330CE"/>
    <w:rsid w:val="607E307A"/>
    <w:rsid w:val="60825176"/>
    <w:rsid w:val="609F2AC4"/>
    <w:rsid w:val="60C457D9"/>
    <w:rsid w:val="60CE0FA3"/>
    <w:rsid w:val="60FA2EE8"/>
    <w:rsid w:val="60FF065F"/>
    <w:rsid w:val="61054A27"/>
    <w:rsid w:val="610A52BC"/>
    <w:rsid w:val="611D2366"/>
    <w:rsid w:val="612C2419"/>
    <w:rsid w:val="612E399F"/>
    <w:rsid w:val="6139771D"/>
    <w:rsid w:val="613A4E28"/>
    <w:rsid w:val="613F7C03"/>
    <w:rsid w:val="61407E88"/>
    <w:rsid w:val="61421856"/>
    <w:rsid w:val="615227C4"/>
    <w:rsid w:val="61654E3F"/>
    <w:rsid w:val="6166248C"/>
    <w:rsid w:val="61782CF1"/>
    <w:rsid w:val="6182292A"/>
    <w:rsid w:val="61863E80"/>
    <w:rsid w:val="619020A7"/>
    <w:rsid w:val="619A026B"/>
    <w:rsid w:val="619F7F92"/>
    <w:rsid w:val="61AE52F7"/>
    <w:rsid w:val="61D12FD5"/>
    <w:rsid w:val="61E46D5C"/>
    <w:rsid w:val="61EF11AF"/>
    <w:rsid w:val="61F07FA8"/>
    <w:rsid w:val="61F94C26"/>
    <w:rsid w:val="62000E56"/>
    <w:rsid w:val="6208223B"/>
    <w:rsid w:val="620D6960"/>
    <w:rsid w:val="62157A0E"/>
    <w:rsid w:val="621E6C88"/>
    <w:rsid w:val="624502F4"/>
    <w:rsid w:val="624D0F56"/>
    <w:rsid w:val="624F3E49"/>
    <w:rsid w:val="62632286"/>
    <w:rsid w:val="626C70D5"/>
    <w:rsid w:val="62885958"/>
    <w:rsid w:val="62DD6A26"/>
    <w:rsid w:val="62EE0C93"/>
    <w:rsid w:val="62F40B65"/>
    <w:rsid w:val="62FC2CFE"/>
    <w:rsid w:val="63024505"/>
    <w:rsid w:val="631C7E82"/>
    <w:rsid w:val="633F4D43"/>
    <w:rsid w:val="6354134D"/>
    <w:rsid w:val="635B1DB5"/>
    <w:rsid w:val="63711FED"/>
    <w:rsid w:val="63740E9E"/>
    <w:rsid w:val="637B0FE0"/>
    <w:rsid w:val="637F780F"/>
    <w:rsid w:val="63880DDC"/>
    <w:rsid w:val="638D750D"/>
    <w:rsid w:val="63963014"/>
    <w:rsid w:val="63966806"/>
    <w:rsid w:val="63A3219E"/>
    <w:rsid w:val="63AC6CC0"/>
    <w:rsid w:val="63B97068"/>
    <w:rsid w:val="63C065F4"/>
    <w:rsid w:val="63CA30D8"/>
    <w:rsid w:val="63D7141F"/>
    <w:rsid w:val="63F52B14"/>
    <w:rsid w:val="64055776"/>
    <w:rsid w:val="641F4B74"/>
    <w:rsid w:val="64240056"/>
    <w:rsid w:val="643A5ABF"/>
    <w:rsid w:val="643C3903"/>
    <w:rsid w:val="643E143A"/>
    <w:rsid w:val="64552344"/>
    <w:rsid w:val="64805649"/>
    <w:rsid w:val="648809B2"/>
    <w:rsid w:val="648B6EEF"/>
    <w:rsid w:val="648C045C"/>
    <w:rsid w:val="64973CF1"/>
    <w:rsid w:val="64A3015A"/>
    <w:rsid w:val="64B33C3A"/>
    <w:rsid w:val="64B573BB"/>
    <w:rsid w:val="64C158BF"/>
    <w:rsid w:val="64CE2EAA"/>
    <w:rsid w:val="65093C5D"/>
    <w:rsid w:val="65313143"/>
    <w:rsid w:val="653A6C78"/>
    <w:rsid w:val="653C3090"/>
    <w:rsid w:val="655169C5"/>
    <w:rsid w:val="657A58E2"/>
    <w:rsid w:val="657D5FF6"/>
    <w:rsid w:val="65854376"/>
    <w:rsid w:val="658767BE"/>
    <w:rsid w:val="65892531"/>
    <w:rsid w:val="658B24C1"/>
    <w:rsid w:val="6595271F"/>
    <w:rsid w:val="659B2554"/>
    <w:rsid w:val="65B31A18"/>
    <w:rsid w:val="65C07923"/>
    <w:rsid w:val="65DE3414"/>
    <w:rsid w:val="660D75BA"/>
    <w:rsid w:val="66131F99"/>
    <w:rsid w:val="66195831"/>
    <w:rsid w:val="662E75B1"/>
    <w:rsid w:val="662F59A5"/>
    <w:rsid w:val="66342C2E"/>
    <w:rsid w:val="663E784C"/>
    <w:rsid w:val="666A19E3"/>
    <w:rsid w:val="668B6A45"/>
    <w:rsid w:val="668B6C8E"/>
    <w:rsid w:val="66E4326E"/>
    <w:rsid w:val="66E616B3"/>
    <w:rsid w:val="67073DC9"/>
    <w:rsid w:val="672229B1"/>
    <w:rsid w:val="672F3F24"/>
    <w:rsid w:val="673E055F"/>
    <w:rsid w:val="674F751F"/>
    <w:rsid w:val="67551CE3"/>
    <w:rsid w:val="676905E0"/>
    <w:rsid w:val="67A22552"/>
    <w:rsid w:val="67B22DCC"/>
    <w:rsid w:val="67BE56A8"/>
    <w:rsid w:val="67BE71AA"/>
    <w:rsid w:val="67BF4478"/>
    <w:rsid w:val="67D90273"/>
    <w:rsid w:val="67DE32EE"/>
    <w:rsid w:val="67DE5875"/>
    <w:rsid w:val="67E55852"/>
    <w:rsid w:val="67EB1AB4"/>
    <w:rsid w:val="67F56318"/>
    <w:rsid w:val="67FA1285"/>
    <w:rsid w:val="681E680B"/>
    <w:rsid w:val="683261DD"/>
    <w:rsid w:val="68551F4F"/>
    <w:rsid w:val="687C10C9"/>
    <w:rsid w:val="688046EB"/>
    <w:rsid w:val="68840C16"/>
    <w:rsid w:val="68876EFB"/>
    <w:rsid w:val="68884654"/>
    <w:rsid w:val="689615CB"/>
    <w:rsid w:val="689F444F"/>
    <w:rsid w:val="68B03FED"/>
    <w:rsid w:val="68B910F3"/>
    <w:rsid w:val="68B96DBB"/>
    <w:rsid w:val="68CA13BE"/>
    <w:rsid w:val="68CA2805"/>
    <w:rsid w:val="68CB3DA3"/>
    <w:rsid w:val="68E937A3"/>
    <w:rsid w:val="692F7608"/>
    <w:rsid w:val="693E15D3"/>
    <w:rsid w:val="69627681"/>
    <w:rsid w:val="6977531D"/>
    <w:rsid w:val="69794D8A"/>
    <w:rsid w:val="697D4817"/>
    <w:rsid w:val="69913E1E"/>
    <w:rsid w:val="69B57310"/>
    <w:rsid w:val="69B75EDF"/>
    <w:rsid w:val="69CC2BFF"/>
    <w:rsid w:val="69D361E5"/>
    <w:rsid w:val="69D702A2"/>
    <w:rsid w:val="69DE07CA"/>
    <w:rsid w:val="69F72CC2"/>
    <w:rsid w:val="69F95943"/>
    <w:rsid w:val="69FD55B8"/>
    <w:rsid w:val="6A0B1527"/>
    <w:rsid w:val="6A0B1C62"/>
    <w:rsid w:val="6A1709C7"/>
    <w:rsid w:val="6A2406C8"/>
    <w:rsid w:val="6A420E8B"/>
    <w:rsid w:val="6A506028"/>
    <w:rsid w:val="6A52794D"/>
    <w:rsid w:val="6A7159A5"/>
    <w:rsid w:val="6A753740"/>
    <w:rsid w:val="6AB06526"/>
    <w:rsid w:val="6ADE0BD1"/>
    <w:rsid w:val="6ADF0E60"/>
    <w:rsid w:val="6AE96859"/>
    <w:rsid w:val="6B022E58"/>
    <w:rsid w:val="6B120D9E"/>
    <w:rsid w:val="6B147746"/>
    <w:rsid w:val="6B24787C"/>
    <w:rsid w:val="6B2A62D8"/>
    <w:rsid w:val="6B51309F"/>
    <w:rsid w:val="6B573233"/>
    <w:rsid w:val="6B5B6274"/>
    <w:rsid w:val="6B621DBD"/>
    <w:rsid w:val="6B935D53"/>
    <w:rsid w:val="6BAB37EB"/>
    <w:rsid w:val="6BB5616E"/>
    <w:rsid w:val="6BC23C69"/>
    <w:rsid w:val="6BE648F5"/>
    <w:rsid w:val="6BED5038"/>
    <w:rsid w:val="6BF95A0B"/>
    <w:rsid w:val="6C0160B0"/>
    <w:rsid w:val="6C155E31"/>
    <w:rsid w:val="6C196F71"/>
    <w:rsid w:val="6C226FCB"/>
    <w:rsid w:val="6C266DB6"/>
    <w:rsid w:val="6C31226F"/>
    <w:rsid w:val="6C316F8A"/>
    <w:rsid w:val="6C4046EC"/>
    <w:rsid w:val="6C552F0B"/>
    <w:rsid w:val="6C5A791C"/>
    <w:rsid w:val="6C6261F5"/>
    <w:rsid w:val="6C636971"/>
    <w:rsid w:val="6C8652D7"/>
    <w:rsid w:val="6C8C67B7"/>
    <w:rsid w:val="6C9D744C"/>
    <w:rsid w:val="6CAE5423"/>
    <w:rsid w:val="6CF748E0"/>
    <w:rsid w:val="6D0F39D8"/>
    <w:rsid w:val="6D167928"/>
    <w:rsid w:val="6D26299B"/>
    <w:rsid w:val="6D2F2A78"/>
    <w:rsid w:val="6D39181B"/>
    <w:rsid w:val="6D3978A6"/>
    <w:rsid w:val="6D4772EC"/>
    <w:rsid w:val="6D4D4500"/>
    <w:rsid w:val="6D576C80"/>
    <w:rsid w:val="6D5D5B32"/>
    <w:rsid w:val="6D68651B"/>
    <w:rsid w:val="6D9078AF"/>
    <w:rsid w:val="6DAA3FEF"/>
    <w:rsid w:val="6DBF0CFB"/>
    <w:rsid w:val="6DC0172B"/>
    <w:rsid w:val="6DC513F2"/>
    <w:rsid w:val="6DCB690C"/>
    <w:rsid w:val="6DD41A5B"/>
    <w:rsid w:val="6DDC4648"/>
    <w:rsid w:val="6DF43C2E"/>
    <w:rsid w:val="6DF51CA3"/>
    <w:rsid w:val="6E534CBC"/>
    <w:rsid w:val="6E6E36AD"/>
    <w:rsid w:val="6E7120AB"/>
    <w:rsid w:val="6E7969E0"/>
    <w:rsid w:val="6E7E2306"/>
    <w:rsid w:val="6E7F6D73"/>
    <w:rsid w:val="6E8335BD"/>
    <w:rsid w:val="6E8E12EF"/>
    <w:rsid w:val="6E972936"/>
    <w:rsid w:val="6EC95E08"/>
    <w:rsid w:val="6ED446C5"/>
    <w:rsid w:val="6EFA1620"/>
    <w:rsid w:val="6F043BAA"/>
    <w:rsid w:val="6F077552"/>
    <w:rsid w:val="6F214947"/>
    <w:rsid w:val="6F2A7D94"/>
    <w:rsid w:val="6F2D7BE0"/>
    <w:rsid w:val="6F485C0B"/>
    <w:rsid w:val="6F4A3181"/>
    <w:rsid w:val="6F540CD9"/>
    <w:rsid w:val="6F6D6445"/>
    <w:rsid w:val="6F8331F1"/>
    <w:rsid w:val="6FAC5DC2"/>
    <w:rsid w:val="6FAE1A09"/>
    <w:rsid w:val="6FD124E5"/>
    <w:rsid w:val="6FD75BF8"/>
    <w:rsid w:val="6FEE487B"/>
    <w:rsid w:val="6FF57DD4"/>
    <w:rsid w:val="6FF9271D"/>
    <w:rsid w:val="70035751"/>
    <w:rsid w:val="700D50E9"/>
    <w:rsid w:val="700D7F45"/>
    <w:rsid w:val="7019793B"/>
    <w:rsid w:val="701B7EF3"/>
    <w:rsid w:val="70590E1E"/>
    <w:rsid w:val="70614C5A"/>
    <w:rsid w:val="707723D0"/>
    <w:rsid w:val="70B44186"/>
    <w:rsid w:val="70E964E3"/>
    <w:rsid w:val="70F5661B"/>
    <w:rsid w:val="71100EDD"/>
    <w:rsid w:val="71150AC6"/>
    <w:rsid w:val="71360107"/>
    <w:rsid w:val="713B688E"/>
    <w:rsid w:val="715039E7"/>
    <w:rsid w:val="71532D90"/>
    <w:rsid w:val="71A94AA3"/>
    <w:rsid w:val="71B70716"/>
    <w:rsid w:val="71C70D25"/>
    <w:rsid w:val="71CB4BFC"/>
    <w:rsid w:val="71CC27CA"/>
    <w:rsid w:val="71D43752"/>
    <w:rsid w:val="71E30376"/>
    <w:rsid w:val="71F1796A"/>
    <w:rsid w:val="72154626"/>
    <w:rsid w:val="72262B5D"/>
    <w:rsid w:val="72283FF7"/>
    <w:rsid w:val="722E7212"/>
    <w:rsid w:val="723A0474"/>
    <w:rsid w:val="72400A19"/>
    <w:rsid w:val="72461835"/>
    <w:rsid w:val="725923E4"/>
    <w:rsid w:val="727442DD"/>
    <w:rsid w:val="72864BF7"/>
    <w:rsid w:val="729023FC"/>
    <w:rsid w:val="72B24C10"/>
    <w:rsid w:val="72C54B39"/>
    <w:rsid w:val="72C97DE9"/>
    <w:rsid w:val="72D07765"/>
    <w:rsid w:val="72DD1E82"/>
    <w:rsid w:val="72E353B2"/>
    <w:rsid w:val="72EB3E0A"/>
    <w:rsid w:val="72FF44EF"/>
    <w:rsid w:val="730E3DFB"/>
    <w:rsid w:val="7318735E"/>
    <w:rsid w:val="73334198"/>
    <w:rsid w:val="73342B37"/>
    <w:rsid w:val="73606640"/>
    <w:rsid w:val="7367010B"/>
    <w:rsid w:val="7371536B"/>
    <w:rsid w:val="73751E5F"/>
    <w:rsid w:val="737A1DC7"/>
    <w:rsid w:val="737E0B7F"/>
    <w:rsid w:val="738344C2"/>
    <w:rsid w:val="73851FDD"/>
    <w:rsid w:val="73BD2E56"/>
    <w:rsid w:val="73C0646E"/>
    <w:rsid w:val="73EB0F92"/>
    <w:rsid w:val="742222F5"/>
    <w:rsid w:val="74363F40"/>
    <w:rsid w:val="74476126"/>
    <w:rsid w:val="74506FF6"/>
    <w:rsid w:val="7454269B"/>
    <w:rsid w:val="7455660C"/>
    <w:rsid w:val="74706664"/>
    <w:rsid w:val="747915C9"/>
    <w:rsid w:val="747E26D3"/>
    <w:rsid w:val="747F3682"/>
    <w:rsid w:val="748151DE"/>
    <w:rsid w:val="74833E3A"/>
    <w:rsid w:val="7491561A"/>
    <w:rsid w:val="749C4185"/>
    <w:rsid w:val="74E251C4"/>
    <w:rsid w:val="74F84487"/>
    <w:rsid w:val="75067759"/>
    <w:rsid w:val="75215851"/>
    <w:rsid w:val="752E6DCD"/>
    <w:rsid w:val="75411D69"/>
    <w:rsid w:val="75412B9C"/>
    <w:rsid w:val="7551380D"/>
    <w:rsid w:val="75600BE5"/>
    <w:rsid w:val="7564475C"/>
    <w:rsid w:val="7583797F"/>
    <w:rsid w:val="758D082B"/>
    <w:rsid w:val="75D20F1D"/>
    <w:rsid w:val="75D43A11"/>
    <w:rsid w:val="75DA2C18"/>
    <w:rsid w:val="75E83B07"/>
    <w:rsid w:val="75F54412"/>
    <w:rsid w:val="75FB71EF"/>
    <w:rsid w:val="7615375C"/>
    <w:rsid w:val="761D08E0"/>
    <w:rsid w:val="7625426C"/>
    <w:rsid w:val="7650117C"/>
    <w:rsid w:val="765B3F2D"/>
    <w:rsid w:val="765D347C"/>
    <w:rsid w:val="76607052"/>
    <w:rsid w:val="76826699"/>
    <w:rsid w:val="769245DD"/>
    <w:rsid w:val="76984A3E"/>
    <w:rsid w:val="76AA272B"/>
    <w:rsid w:val="76C87133"/>
    <w:rsid w:val="76CD08D5"/>
    <w:rsid w:val="76DB4B92"/>
    <w:rsid w:val="76E32608"/>
    <w:rsid w:val="76FF02F4"/>
    <w:rsid w:val="77052AA4"/>
    <w:rsid w:val="771041D5"/>
    <w:rsid w:val="77136511"/>
    <w:rsid w:val="772A439D"/>
    <w:rsid w:val="77340A39"/>
    <w:rsid w:val="77351FD0"/>
    <w:rsid w:val="77472422"/>
    <w:rsid w:val="776166CF"/>
    <w:rsid w:val="776E5FF7"/>
    <w:rsid w:val="7771703D"/>
    <w:rsid w:val="77774F0A"/>
    <w:rsid w:val="777E1896"/>
    <w:rsid w:val="777F31F2"/>
    <w:rsid w:val="7783749C"/>
    <w:rsid w:val="77BA3B9E"/>
    <w:rsid w:val="77D1700D"/>
    <w:rsid w:val="77D3326F"/>
    <w:rsid w:val="77DE246A"/>
    <w:rsid w:val="77EA4C2D"/>
    <w:rsid w:val="77EC04CC"/>
    <w:rsid w:val="77F75794"/>
    <w:rsid w:val="78077706"/>
    <w:rsid w:val="784F3822"/>
    <w:rsid w:val="785E75C1"/>
    <w:rsid w:val="786A1884"/>
    <w:rsid w:val="786C6182"/>
    <w:rsid w:val="78775729"/>
    <w:rsid w:val="78A42DB0"/>
    <w:rsid w:val="78A656AB"/>
    <w:rsid w:val="78B2245C"/>
    <w:rsid w:val="78D43D28"/>
    <w:rsid w:val="78E172CC"/>
    <w:rsid w:val="78EA1D1F"/>
    <w:rsid w:val="78EE6CAB"/>
    <w:rsid w:val="78F06E6C"/>
    <w:rsid w:val="78F148D9"/>
    <w:rsid w:val="78FF3476"/>
    <w:rsid w:val="7904172F"/>
    <w:rsid w:val="790F7E27"/>
    <w:rsid w:val="79245376"/>
    <w:rsid w:val="792A231A"/>
    <w:rsid w:val="79316829"/>
    <w:rsid w:val="793C7CAA"/>
    <w:rsid w:val="795124C5"/>
    <w:rsid w:val="795E3EA5"/>
    <w:rsid w:val="797177C8"/>
    <w:rsid w:val="797E66A9"/>
    <w:rsid w:val="798B30D0"/>
    <w:rsid w:val="798D29F6"/>
    <w:rsid w:val="798F5890"/>
    <w:rsid w:val="799A4377"/>
    <w:rsid w:val="799E2892"/>
    <w:rsid w:val="79A97383"/>
    <w:rsid w:val="79C36276"/>
    <w:rsid w:val="79D8175C"/>
    <w:rsid w:val="79D91A5A"/>
    <w:rsid w:val="79E27E8B"/>
    <w:rsid w:val="79F850CE"/>
    <w:rsid w:val="79FD443C"/>
    <w:rsid w:val="7A035B85"/>
    <w:rsid w:val="7A1D1975"/>
    <w:rsid w:val="7A3E5150"/>
    <w:rsid w:val="7A4670D6"/>
    <w:rsid w:val="7A534B63"/>
    <w:rsid w:val="7A547767"/>
    <w:rsid w:val="7A5A7EF3"/>
    <w:rsid w:val="7A615382"/>
    <w:rsid w:val="7A67303B"/>
    <w:rsid w:val="7A801056"/>
    <w:rsid w:val="7A8F7F06"/>
    <w:rsid w:val="7AAB1D04"/>
    <w:rsid w:val="7ABA4368"/>
    <w:rsid w:val="7AC433BC"/>
    <w:rsid w:val="7AC51B7A"/>
    <w:rsid w:val="7AD037C6"/>
    <w:rsid w:val="7AD05746"/>
    <w:rsid w:val="7B1163FB"/>
    <w:rsid w:val="7B1A4ADC"/>
    <w:rsid w:val="7B234AF2"/>
    <w:rsid w:val="7B257FFD"/>
    <w:rsid w:val="7B343476"/>
    <w:rsid w:val="7B5A2978"/>
    <w:rsid w:val="7B5A7E4C"/>
    <w:rsid w:val="7B667AF9"/>
    <w:rsid w:val="7B7468F8"/>
    <w:rsid w:val="7B83382F"/>
    <w:rsid w:val="7B9203E7"/>
    <w:rsid w:val="7B9D1E9D"/>
    <w:rsid w:val="7BAC0D87"/>
    <w:rsid w:val="7BDF0A19"/>
    <w:rsid w:val="7BE95D3C"/>
    <w:rsid w:val="7BEE0103"/>
    <w:rsid w:val="7BF73015"/>
    <w:rsid w:val="7BF87D2D"/>
    <w:rsid w:val="7C050A6B"/>
    <w:rsid w:val="7C0641F8"/>
    <w:rsid w:val="7C0A05B6"/>
    <w:rsid w:val="7C0A0FE4"/>
    <w:rsid w:val="7C1D6379"/>
    <w:rsid w:val="7C1E5F1F"/>
    <w:rsid w:val="7C224DAA"/>
    <w:rsid w:val="7C254906"/>
    <w:rsid w:val="7C28748F"/>
    <w:rsid w:val="7C3D324E"/>
    <w:rsid w:val="7C3D36EE"/>
    <w:rsid w:val="7C52743D"/>
    <w:rsid w:val="7C590818"/>
    <w:rsid w:val="7C705D94"/>
    <w:rsid w:val="7C757504"/>
    <w:rsid w:val="7C763BF7"/>
    <w:rsid w:val="7C7C10F6"/>
    <w:rsid w:val="7C853BEA"/>
    <w:rsid w:val="7C881368"/>
    <w:rsid w:val="7C9B618B"/>
    <w:rsid w:val="7CD709B0"/>
    <w:rsid w:val="7CE27788"/>
    <w:rsid w:val="7CE8273A"/>
    <w:rsid w:val="7CF417C8"/>
    <w:rsid w:val="7D0C32F1"/>
    <w:rsid w:val="7D0F408D"/>
    <w:rsid w:val="7D252DA4"/>
    <w:rsid w:val="7D482684"/>
    <w:rsid w:val="7D491C6C"/>
    <w:rsid w:val="7D4D6F82"/>
    <w:rsid w:val="7D5429C0"/>
    <w:rsid w:val="7D58029C"/>
    <w:rsid w:val="7D6E6D43"/>
    <w:rsid w:val="7D910439"/>
    <w:rsid w:val="7D954FE2"/>
    <w:rsid w:val="7DA55C93"/>
    <w:rsid w:val="7DB57A34"/>
    <w:rsid w:val="7DE16B96"/>
    <w:rsid w:val="7DE60973"/>
    <w:rsid w:val="7DEF0916"/>
    <w:rsid w:val="7E180234"/>
    <w:rsid w:val="7E1E5218"/>
    <w:rsid w:val="7E421E16"/>
    <w:rsid w:val="7E5A4909"/>
    <w:rsid w:val="7E663674"/>
    <w:rsid w:val="7E8D0C00"/>
    <w:rsid w:val="7E955B89"/>
    <w:rsid w:val="7E9A331D"/>
    <w:rsid w:val="7E9A4E1F"/>
    <w:rsid w:val="7EA7723A"/>
    <w:rsid w:val="7EAE1069"/>
    <w:rsid w:val="7EB434A2"/>
    <w:rsid w:val="7EB536D1"/>
    <w:rsid w:val="7EC34313"/>
    <w:rsid w:val="7ED10E1C"/>
    <w:rsid w:val="7EE30A71"/>
    <w:rsid w:val="7EF37D4C"/>
    <w:rsid w:val="7EF56FBB"/>
    <w:rsid w:val="7EFE1AFE"/>
    <w:rsid w:val="7EFF5808"/>
    <w:rsid w:val="7F01514B"/>
    <w:rsid w:val="7F0768EB"/>
    <w:rsid w:val="7F143BEC"/>
    <w:rsid w:val="7F242762"/>
    <w:rsid w:val="7F410732"/>
    <w:rsid w:val="7F42459A"/>
    <w:rsid w:val="7F484484"/>
    <w:rsid w:val="7F4A6AF1"/>
    <w:rsid w:val="7F54786E"/>
    <w:rsid w:val="7F656AB9"/>
    <w:rsid w:val="7F684590"/>
    <w:rsid w:val="7F715AF2"/>
    <w:rsid w:val="7F824AFD"/>
    <w:rsid w:val="7F886E69"/>
    <w:rsid w:val="7F9979B4"/>
    <w:rsid w:val="7F9B734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4"/>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Body Text Indent"/>
    <w:basedOn w:val="1"/>
    <w:next w:val="29"/>
    <w:link w:val="267"/>
    <w:autoRedefine/>
    <w:qFormat/>
    <w:uiPriority w:val="0"/>
    <w:pPr>
      <w:spacing w:line="480" w:lineRule="exact"/>
      <w:ind w:firstLine="480" w:firstLineChars="200"/>
    </w:pPr>
    <w:rPr>
      <w:rFonts w:ascii="宋体" w:hAnsi="宋体"/>
      <w:sz w:val="24"/>
    </w:rPr>
  </w:style>
  <w:style w:type="paragraph" w:styleId="29">
    <w:name w:val="Body Text First Indent 2"/>
    <w:basedOn w:val="28"/>
    <w:link w:val="122"/>
    <w:autoRedefine/>
    <w:qFormat/>
    <w:uiPriority w:val="0"/>
    <w:pPr>
      <w:adjustRightInd/>
      <w:spacing w:after="120" w:line="240" w:lineRule="auto"/>
      <w:ind w:left="420" w:leftChars="200" w:firstLine="210"/>
    </w:pPr>
    <w:rPr>
      <w:sz w:val="21"/>
    </w:r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6"/>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2"/>
    <w:autoRedefine/>
    <w:qFormat/>
    <w:uiPriority w:val="0"/>
    <w:pPr>
      <w:ind w:left="100" w:leftChars="2500"/>
    </w:pPr>
    <w:rPr>
      <w:rFonts w:ascii="宋体"/>
      <w:sz w:val="24"/>
      <w:szCs w:val="21"/>
      <w:lang w:val="zh-CN"/>
    </w:rPr>
  </w:style>
  <w:style w:type="paragraph" w:styleId="41">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3"/>
    <w:autoRedefine/>
    <w:qFormat/>
    <w:uiPriority w:val="0"/>
    <w:rPr>
      <w:lang w:val="zh-CN"/>
    </w:rPr>
  </w:style>
  <w:style w:type="paragraph" w:styleId="43">
    <w:name w:val="Balloon Text"/>
    <w:basedOn w:val="1"/>
    <w:link w:val="189"/>
    <w:autoRedefine/>
    <w:qFormat/>
    <w:uiPriority w:val="0"/>
    <w:rPr>
      <w:sz w:val="18"/>
      <w:szCs w:val="18"/>
    </w:rPr>
  </w:style>
  <w:style w:type="paragraph" w:styleId="44">
    <w:name w:val="footer"/>
    <w:basedOn w:val="1"/>
    <w:link w:val="386"/>
    <w:autoRedefine/>
    <w:qFormat/>
    <w:uiPriority w:val="99"/>
    <w:pPr>
      <w:tabs>
        <w:tab w:val="center" w:pos="4153"/>
        <w:tab w:val="right" w:pos="8306"/>
      </w:tabs>
      <w:snapToGrid w:val="0"/>
      <w:jc w:val="left"/>
    </w:pPr>
    <w:rPr>
      <w:sz w:val="18"/>
      <w:szCs w:val="18"/>
    </w:rPr>
  </w:style>
  <w:style w:type="paragraph" w:styleId="45">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7"/>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8"/>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4"/>
    <w:autoRedefine/>
    <w:qFormat/>
    <w:uiPriority w:val="0"/>
    <w:pPr>
      <w:spacing w:after="120" w:line="480" w:lineRule="auto"/>
    </w:pPr>
  </w:style>
  <w:style w:type="paragraph" w:styleId="60">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7"/>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页脚 字符"/>
    <w:autoRedefine/>
    <w:qFormat/>
    <w:uiPriority w:val="99"/>
    <w:rPr>
      <w:kern w:val="2"/>
      <w:sz w:val="18"/>
      <w:szCs w:val="18"/>
    </w:rPr>
  </w:style>
  <w:style w:type="paragraph" w:styleId="8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3"/>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29"/>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51"/>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5"/>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40"/>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3"/>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4"/>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82"/>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8"/>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4"/>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2"/>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60"/>
    <w:autoRedefine/>
    <w:qFormat/>
    <w:uiPriority w:val="0"/>
    <w:rPr>
      <w:rFonts w:ascii="黑体" w:hAnsi="Courier New" w:eastAsia="黑体"/>
    </w:rPr>
  </w:style>
  <w:style w:type="character" w:customStyle="1" w:styleId="304">
    <w:name w:val="正文文本 2 Char1"/>
    <w:link w:val="59"/>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0"/>
    <w:autoRedefine/>
    <w:qFormat/>
    <w:uiPriority w:val="0"/>
    <w:rPr>
      <w:b/>
      <w:bCs/>
      <w:kern w:val="2"/>
      <w:sz w:val="24"/>
      <w:szCs w:val="24"/>
    </w:rPr>
  </w:style>
  <w:style w:type="character" w:customStyle="1" w:styleId="310">
    <w:name w:val="正文文本缩进 2 Char"/>
    <w:link w:val="41"/>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4"/>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323"/>
    <w:next w:val="1"/>
    <w:link w:val="321"/>
    <w:autoRedefine/>
    <w:qFormat/>
    <w:uiPriority w:val="0"/>
    <w:pPr>
      <w:tabs>
        <w:tab w:val="right" w:leader="dot" w:pos="8268"/>
      </w:tabs>
      <w:adjustRightInd/>
    </w:pPr>
    <w:rPr>
      <w:rFonts w:ascii="宋体" w:hAnsi="Courier New"/>
      <w:kern w:val="0"/>
      <w:sz w:val="20"/>
      <w:szCs w:val="20"/>
    </w:rPr>
  </w:style>
  <w:style w:type="paragraph" w:customStyle="1" w:styleId="323">
    <w:name w:val="正文1"/>
    <w:basedOn w:val="36"/>
    <w:autoRedefine/>
    <w:qFormat/>
    <w:uiPriority w:val="0"/>
    <w:pPr>
      <w:ind w:left="0" w:leftChars="0" w:firstLine="480" w:firstLineChars="200"/>
    </w:pPr>
    <w:rPr>
      <w:rFonts w:ascii="仿宋_GB2312" w:hAnsi="Courier New" w:eastAsia="仿宋_GB2312"/>
      <w:kern w:val="28"/>
      <w:sz w:val="24"/>
    </w:rPr>
  </w:style>
  <w:style w:type="character" w:customStyle="1" w:styleId="324">
    <w:name w:val="正文首行缩进 Char"/>
    <w:link w:val="26"/>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7"/>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0"/>
    <w:rPr>
      <w:kern w:val="2"/>
      <w:sz w:val="21"/>
      <w:szCs w:val="24"/>
    </w:rPr>
  </w:style>
  <w:style w:type="character" w:customStyle="1" w:styleId="348">
    <w:name w:val="签名 Char"/>
    <w:link w:val="46"/>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6"/>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4"/>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5"/>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7"/>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6"/>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6"/>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2"/>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82"/>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样式 首行缩进:  2.25 字符 + 首行缩进:  2.25 字符"/>
    <w:basedOn w:val="1"/>
    <w:autoRedefine/>
    <w:qFormat/>
    <w:uiPriority w:val="0"/>
    <w:pPr>
      <w:spacing w:line="360" w:lineRule="auto"/>
      <w:ind w:firstLine="420" w:firstLineChars="200"/>
    </w:pPr>
    <w:rPr>
      <w:rFonts w:ascii="宋体" w:hAnsi="宋体" w:cs="宋体"/>
      <w:szCs w:val="21"/>
    </w:rPr>
  </w:style>
  <w:style w:type="paragraph" w:customStyle="1" w:styleId="966">
    <w:name w:val="样式 仿宋_GB2312 (符号) 仿宋 小四 行距: 1.5 倍行距 首行缩进:  2 字符"/>
    <w:basedOn w:val="1"/>
    <w:next w:val="742"/>
    <w:autoRedefine/>
    <w:qFormat/>
    <w:uiPriority w:val="0"/>
    <w:pPr>
      <w:spacing w:line="360" w:lineRule="auto"/>
      <w:ind w:firstLine="480" w:firstLineChars="200"/>
    </w:pPr>
    <w:rPr>
      <w:rFonts w:ascii="仿宋_GB2312" w:hAnsi="仿宋" w:eastAsia="仿宋_GB2312" w:cs="宋体"/>
      <w:sz w:val="24"/>
      <w:szCs w:val="20"/>
    </w:rPr>
  </w:style>
  <w:style w:type="paragraph" w:customStyle="1" w:styleId="967">
    <w:name w:val="内文正文"/>
    <w:basedOn w:val="37"/>
    <w:autoRedefine/>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968">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Normal Indent1"/>
    <w:basedOn w:val="1"/>
    <w:autoRedefine/>
    <w:qFormat/>
    <w:uiPriority w:val="0"/>
    <w:pPr>
      <w:ind w:firstLine="420" w:firstLineChars="200"/>
    </w:pPr>
  </w:style>
  <w:style w:type="paragraph" w:customStyle="1" w:styleId="971">
    <w:name w:val="样式 正文文本"/>
    <w:basedOn w:val="1"/>
    <w:autoRedefine/>
    <w:qFormat/>
    <w:uiPriority w:val="0"/>
    <w:pPr>
      <w:autoSpaceDE/>
      <w:autoSpaceDN/>
      <w:snapToGrid w:val="0"/>
      <w:spacing w:line="400" w:lineRule="exact"/>
      <w:jc w:val="both"/>
    </w:pPr>
    <w:rPr>
      <w:rFonts w:ascii="Arial" w:hAnsi="Arial"/>
      <w:color w:val="000000"/>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9.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38151</Words>
  <Characters>39923</Characters>
  <Lines>287</Lines>
  <Paragraphs>81</Paragraphs>
  <TotalTime>20</TotalTime>
  <ScaleCrop>false</ScaleCrop>
  <LinksUpToDate>false</LinksUpToDate>
  <CharactersWithSpaces>45108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HXY</dc:creator>
  <cp:lastModifiedBy>11</cp:lastModifiedBy>
  <cp:lastPrinted>2024-02-06T01:59:00Z</cp:lastPrinted>
  <dcterms:modified xsi:type="dcterms:W3CDTF">2024-02-06T06:20:04Z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E4AA9EE7EB2E4C70B1C07972F3E1A420</vt:lpwstr>
  </property>
</Properties>
</file>