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auto"/>
          <w:sz w:val="84"/>
          <w:szCs w:val="84"/>
          <w:highlight w:val="none"/>
        </w:rPr>
      </w:pPr>
    </w:p>
    <w:p>
      <w:pPr>
        <w:spacing w:line="360" w:lineRule="auto"/>
        <w:jc w:val="center"/>
        <w:rPr>
          <w:rFonts w:ascii="宋体" w:hAnsi="宋体" w:cs="宋体"/>
          <w:b/>
          <w:color w:val="auto"/>
          <w:spacing w:val="26"/>
          <w:sz w:val="84"/>
          <w:szCs w:val="84"/>
          <w:highlight w:val="none"/>
        </w:rPr>
      </w:pPr>
      <w:r>
        <w:rPr>
          <w:rFonts w:hint="eastAsia" w:ascii="宋体" w:hAnsi="宋体" w:cs="宋体"/>
          <w:b/>
          <w:color w:val="auto"/>
          <w:sz w:val="84"/>
          <w:szCs w:val="84"/>
          <w:highlight w:val="none"/>
        </w:rPr>
        <w:t>温州市政府(分散)采购</w:t>
      </w:r>
    </w:p>
    <w:p>
      <w:pPr>
        <w:spacing w:line="400" w:lineRule="exact"/>
        <w:ind w:firstLine="1885" w:firstLineChars="235"/>
        <w:rPr>
          <w:rFonts w:ascii="宋体" w:hAnsi="宋体" w:cs="宋体"/>
          <w:b/>
          <w:color w:val="auto"/>
          <w:spacing w:val="140"/>
          <w:sz w:val="52"/>
          <w:szCs w:val="52"/>
          <w:highlight w:val="none"/>
        </w:rPr>
      </w:pPr>
    </w:p>
    <w:p>
      <w:pPr>
        <w:spacing w:line="400" w:lineRule="exact"/>
        <w:ind w:firstLine="1885" w:firstLineChars="235"/>
        <w:rPr>
          <w:rFonts w:ascii="宋体" w:hAnsi="宋体" w:cs="宋体"/>
          <w:b/>
          <w:color w:val="auto"/>
          <w:spacing w:val="140"/>
          <w:sz w:val="52"/>
          <w:szCs w:val="52"/>
          <w:highlight w:val="none"/>
        </w:rPr>
      </w:pPr>
    </w:p>
    <w:p>
      <w:pPr>
        <w:pStyle w:val="21"/>
        <w:ind w:left="1604" w:hanging="1604"/>
        <w:rPr>
          <w:rFonts w:ascii="宋体" w:hAnsi="宋体" w:cs="宋体"/>
          <w:b/>
          <w:color w:val="auto"/>
          <w:spacing w:val="140"/>
          <w:sz w:val="52"/>
          <w:szCs w:val="52"/>
          <w:highlight w:val="none"/>
        </w:rPr>
      </w:pPr>
    </w:p>
    <w:p>
      <w:pPr>
        <w:spacing w:line="400" w:lineRule="exact"/>
        <w:ind w:firstLine="1885" w:firstLineChars="235"/>
        <w:rPr>
          <w:rFonts w:ascii="宋体" w:hAnsi="宋体" w:cs="宋体"/>
          <w:b/>
          <w:color w:val="auto"/>
          <w:spacing w:val="140"/>
          <w:sz w:val="52"/>
          <w:szCs w:val="52"/>
          <w:highlight w:val="none"/>
        </w:rPr>
      </w:pPr>
      <w:bookmarkStart w:id="20" w:name="_GoBack"/>
      <w:bookmarkEnd w:id="20"/>
    </w:p>
    <w:p>
      <w:pPr>
        <w:spacing w:line="400" w:lineRule="exact"/>
        <w:ind w:firstLine="1885" w:firstLineChars="235"/>
        <w:rPr>
          <w:rFonts w:ascii="宋体" w:hAnsi="宋体" w:cs="宋体"/>
          <w:b/>
          <w:color w:val="auto"/>
          <w:spacing w:val="140"/>
          <w:sz w:val="52"/>
          <w:szCs w:val="52"/>
          <w:highlight w:val="none"/>
        </w:rPr>
      </w:pPr>
    </w:p>
    <w:p>
      <w:pPr>
        <w:spacing w:line="360" w:lineRule="auto"/>
        <w:jc w:val="center"/>
        <w:rPr>
          <w:rFonts w:ascii="宋体" w:hAnsi="宋体" w:cs="宋体"/>
          <w:b/>
          <w:color w:val="auto"/>
          <w:spacing w:val="140"/>
          <w:sz w:val="52"/>
          <w:szCs w:val="52"/>
          <w:highlight w:val="none"/>
        </w:rPr>
      </w:pPr>
      <w:r>
        <w:rPr>
          <w:rFonts w:hint="eastAsia" w:ascii="宋体" w:hAnsi="宋体" w:cs="宋体"/>
          <w:b/>
          <w:color w:val="auto"/>
          <w:spacing w:val="140"/>
          <w:sz w:val="72"/>
          <w:szCs w:val="72"/>
          <w:highlight w:val="none"/>
        </w:rPr>
        <w:t>招标文件</w:t>
      </w:r>
    </w:p>
    <w:p>
      <w:pPr>
        <w:widowControl/>
        <w:spacing w:line="360" w:lineRule="auto"/>
        <w:ind w:right="-2"/>
        <w:jc w:val="center"/>
        <w:rPr>
          <w:rFonts w:ascii="宋体" w:hAnsi="宋体" w:cs="宋体"/>
          <w:b/>
          <w:color w:val="auto"/>
          <w:sz w:val="36"/>
          <w:highlight w:val="none"/>
        </w:rPr>
      </w:pPr>
      <w:r>
        <w:rPr>
          <w:rFonts w:hint="eastAsia" w:ascii="宋体" w:hAnsi="宋体" w:cs="宋体"/>
          <w:b/>
          <w:color w:val="auto"/>
          <w:sz w:val="36"/>
          <w:highlight w:val="none"/>
        </w:rPr>
        <w:t>（线上电子招投标）</w:t>
      </w:r>
    </w:p>
    <w:p>
      <w:pPr>
        <w:spacing w:line="400" w:lineRule="exact"/>
        <w:rPr>
          <w:rFonts w:ascii="宋体" w:hAnsi="宋体" w:cs="宋体"/>
          <w:b/>
          <w:color w:val="auto"/>
          <w:sz w:val="24"/>
          <w:highlight w:val="none"/>
        </w:rPr>
      </w:pPr>
    </w:p>
    <w:p>
      <w:pPr>
        <w:spacing w:line="400" w:lineRule="exact"/>
        <w:rPr>
          <w:rFonts w:ascii="宋体" w:hAnsi="宋体" w:cs="宋体"/>
          <w:b/>
          <w:color w:val="auto"/>
          <w:sz w:val="24"/>
          <w:highlight w:val="none"/>
        </w:rPr>
      </w:pPr>
    </w:p>
    <w:p>
      <w:pPr>
        <w:pStyle w:val="21"/>
        <w:ind w:left="482" w:hanging="482"/>
        <w:rPr>
          <w:rFonts w:ascii="宋体" w:hAnsi="宋体" w:cs="宋体"/>
          <w:b/>
          <w:color w:val="auto"/>
          <w:highlight w:val="none"/>
        </w:rPr>
      </w:pPr>
    </w:p>
    <w:p>
      <w:pPr>
        <w:pStyle w:val="21"/>
        <w:ind w:left="482" w:hanging="482"/>
        <w:rPr>
          <w:rFonts w:ascii="宋体" w:hAnsi="宋体" w:cs="宋体"/>
          <w:b/>
          <w:color w:val="auto"/>
          <w:highlight w:val="none"/>
        </w:rPr>
      </w:pPr>
    </w:p>
    <w:p>
      <w:pPr>
        <w:spacing w:line="400" w:lineRule="exact"/>
        <w:rPr>
          <w:rFonts w:ascii="宋体" w:hAnsi="宋体" w:cs="宋体"/>
          <w:b/>
          <w:color w:val="auto"/>
          <w:sz w:val="24"/>
          <w:highlight w:val="none"/>
        </w:rPr>
      </w:pPr>
    </w:p>
    <w:p>
      <w:pPr>
        <w:spacing w:line="400" w:lineRule="exact"/>
        <w:ind w:firstLine="1140" w:firstLineChars="300"/>
        <w:rPr>
          <w:rFonts w:ascii="宋体" w:hAnsi="宋体" w:cs="宋体"/>
          <w:color w:val="auto"/>
          <w:spacing w:val="40"/>
          <w:sz w:val="30"/>
          <w:highlight w:val="none"/>
        </w:rPr>
      </w:pPr>
    </w:p>
    <w:p>
      <w:pPr>
        <w:spacing w:line="360" w:lineRule="auto"/>
        <w:ind w:firstLine="321" w:firstLineChars="100"/>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项目编号：</w:t>
      </w:r>
      <w:r>
        <w:rPr>
          <w:rFonts w:hint="eastAsia" w:ascii="宋体" w:hAnsi="宋体" w:cs="宋体"/>
          <w:b/>
          <w:bCs/>
          <w:color w:val="auto"/>
          <w:sz w:val="32"/>
          <w:szCs w:val="32"/>
          <w:highlight w:val="none"/>
          <w:lang w:eastAsia="zh-CN"/>
        </w:rPr>
        <w:t>WZZS-2024-04-006</w:t>
      </w:r>
    </w:p>
    <w:p>
      <w:pPr>
        <w:spacing w:line="360" w:lineRule="auto"/>
        <w:ind w:firstLine="321" w:firstLineChars="100"/>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项目名称：</w:t>
      </w:r>
      <w:r>
        <w:rPr>
          <w:rFonts w:hint="eastAsia" w:ascii="宋体" w:hAnsi="宋体" w:cs="宋体"/>
          <w:b/>
          <w:bCs/>
          <w:color w:val="auto"/>
          <w:spacing w:val="-17"/>
          <w:sz w:val="32"/>
          <w:szCs w:val="32"/>
          <w:highlight w:val="none"/>
          <w:lang w:eastAsia="zh-CN"/>
        </w:rPr>
        <w:t>温州市城乡规划展示馆2024年6月-2025年5月设备维护</w:t>
      </w:r>
    </w:p>
    <w:p>
      <w:pPr>
        <w:pStyle w:val="19"/>
        <w:spacing w:before="0" w:beforeAutospacing="0" w:after="0" w:afterAutospacing="0" w:line="360" w:lineRule="auto"/>
        <w:ind w:firstLine="321" w:firstLineChars="100"/>
        <w:jc w:val="both"/>
        <w:rPr>
          <w:b/>
          <w:bCs/>
          <w:color w:val="auto"/>
          <w:sz w:val="32"/>
          <w:szCs w:val="32"/>
          <w:highlight w:val="none"/>
        </w:rPr>
      </w:pPr>
      <w:r>
        <w:rPr>
          <w:rFonts w:hint="eastAsia"/>
          <w:b/>
          <w:bCs/>
          <w:color w:val="auto"/>
          <w:sz w:val="32"/>
          <w:szCs w:val="32"/>
          <w:highlight w:val="none"/>
        </w:rPr>
        <w:t>招标方式：公开招标</w:t>
      </w:r>
    </w:p>
    <w:p>
      <w:pPr>
        <w:spacing w:line="360" w:lineRule="auto"/>
        <w:rPr>
          <w:rFonts w:ascii="宋体" w:hAnsi="宋体" w:cs="宋体"/>
          <w:b/>
          <w:bCs/>
          <w:color w:val="auto"/>
          <w:spacing w:val="40"/>
          <w:sz w:val="32"/>
          <w:szCs w:val="32"/>
          <w:highlight w:val="none"/>
        </w:rPr>
      </w:pPr>
    </w:p>
    <w:p>
      <w:pPr>
        <w:spacing w:line="360" w:lineRule="auto"/>
        <w:ind w:firstLine="964" w:firstLineChars="300"/>
        <w:rPr>
          <w:rFonts w:ascii="宋体" w:hAnsi="宋体" w:cs="宋体"/>
          <w:b/>
          <w:bCs/>
          <w:color w:val="auto"/>
          <w:spacing w:val="40"/>
          <w:sz w:val="32"/>
          <w:szCs w:val="32"/>
          <w:highlight w:val="none"/>
        </w:rPr>
      </w:pPr>
      <w:r>
        <w:rPr>
          <w:rFonts w:hint="eastAsia" w:ascii="宋体" w:hAnsi="宋体" w:cs="宋体"/>
          <w:b/>
          <w:bCs/>
          <w:color w:val="auto"/>
          <w:sz w:val="32"/>
          <w:szCs w:val="32"/>
          <w:highlight w:val="none"/>
        </w:rPr>
        <w:t>采购人：温州市城乡规划展示馆</w:t>
      </w:r>
    </w:p>
    <w:p>
      <w:pPr>
        <w:spacing w:line="360" w:lineRule="auto"/>
        <w:ind w:firstLine="964" w:firstLineChars="300"/>
        <w:rPr>
          <w:rFonts w:hint="eastAsia" w:ascii="宋体" w:hAnsi="宋体" w:eastAsia="宋体" w:cs="宋体"/>
          <w:b/>
          <w:bCs/>
          <w:color w:val="auto"/>
          <w:sz w:val="32"/>
          <w:szCs w:val="32"/>
          <w:highlight w:val="none"/>
          <w:lang w:eastAsia="zh-CN"/>
        </w:rPr>
      </w:pPr>
      <w:r>
        <w:rPr>
          <w:rFonts w:hint="eastAsia" w:ascii="宋体" w:hAnsi="宋体" w:cs="宋体"/>
          <w:b/>
          <w:bCs/>
          <w:color w:val="auto"/>
          <w:sz w:val="32"/>
          <w:szCs w:val="32"/>
          <w:highlight w:val="none"/>
        </w:rPr>
        <w:t>采购代理机构：</w:t>
      </w:r>
      <w:r>
        <w:rPr>
          <w:rFonts w:hint="eastAsia" w:ascii="宋体" w:hAnsi="宋体" w:cs="宋体"/>
          <w:b/>
          <w:bCs/>
          <w:color w:val="auto"/>
          <w:sz w:val="32"/>
          <w:szCs w:val="32"/>
          <w:highlight w:val="none"/>
          <w:lang w:eastAsia="zh-CN"/>
        </w:rPr>
        <w:t>温州众晟工程管理有限公司</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二0二</w:t>
      </w:r>
      <w:r>
        <w:rPr>
          <w:rFonts w:hint="eastAsia" w:ascii="宋体" w:hAnsi="宋体" w:cs="宋体"/>
          <w:b/>
          <w:bCs/>
          <w:color w:val="auto"/>
          <w:sz w:val="32"/>
          <w:szCs w:val="32"/>
          <w:highlight w:val="none"/>
          <w:lang w:eastAsia="zh-CN"/>
        </w:rPr>
        <w:t>四</w:t>
      </w:r>
      <w:r>
        <w:rPr>
          <w:rFonts w:hint="eastAsia" w:ascii="宋体" w:hAnsi="宋体" w:cs="宋体"/>
          <w:b/>
          <w:bCs/>
          <w:color w:val="auto"/>
          <w:sz w:val="32"/>
          <w:szCs w:val="32"/>
          <w:highlight w:val="none"/>
        </w:rPr>
        <w:t>年</w:t>
      </w:r>
      <w:r>
        <w:rPr>
          <w:rFonts w:hint="eastAsia" w:ascii="宋体" w:hAnsi="宋体" w:cs="宋体"/>
          <w:b/>
          <w:bCs/>
          <w:color w:val="auto"/>
          <w:sz w:val="32"/>
          <w:szCs w:val="32"/>
          <w:highlight w:val="none"/>
          <w:lang w:val="en-US" w:eastAsia="zh-CN"/>
        </w:rPr>
        <w:t>四</w:t>
      </w:r>
      <w:r>
        <w:rPr>
          <w:rFonts w:hint="eastAsia" w:ascii="宋体" w:hAnsi="宋体" w:cs="宋体"/>
          <w:b/>
          <w:bCs/>
          <w:color w:val="auto"/>
          <w:sz w:val="32"/>
          <w:szCs w:val="32"/>
          <w:highlight w:val="none"/>
        </w:rPr>
        <w:t>月</w:t>
      </w:r>
    </w:p>
    <w:p>
      <w:pPr>
        <w:spacing w:line="400" w:lineRule="exact"/>
        <w:jc w:val="center"/>
        <w:rPr>
          <w:rFonts w:ascii="宋体" w:hAnsi="宋体" w:cs="宋体"/>
          <w:b/>
          <w:color w:val="auto"/>
          <w:sz w:val="32"/>
          <w:highlight w:val="none"/>
        </w:rPr>
        <w:sectPr>
          <w:headerReference r:id="rId4" w:type="first"/>
          <w:headerReference r:id="rId3" w:type="default"/>
          <w:footerReference r:id="rId5" w:type="default"/>
          <w:footerReference r:id="rId6" w:type="even"/>
          <w:pgSz w:w="11906" w:h="16838"/>
          <w:pgMar w:top="1134" w:right="1134" w:bottom="1134" w:left="1134" w:header="851" w:footer="851" w:gutter="0"/>
          <w:cols w:space="720" w:num="1"/>
          <w:docGrid w:linePitch="312" w:charSpace="0"/>
        </w:sectPr>
      </w:pPr>
    </w:p>
    <w:p>
      <w:pPr>
        <w:pStyle w:val="21"/>
        <w:ind w:hanging="480"/>
        <w:rPr>
          <w:rFonts w:ascii="宋体" w:hAnsi="宋体" w:cs="宋体"/>
          <w:color w:val="auto"/>
          <w:highlight w:val="none"/>
        </w:rPr>
      </w:pPr>
    </w:p>
    <w:p>
      <w:pPr>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目 录</w:t>
      </w:r>
    </w:p>
    <w:p>
      <w:pPr>
        <w:pStyle w:val="27"/>
        <w:rPr>
          <w:color w:val="auto"/>
          <w:highlight w:val="none"/>
        </w:rPr>
      </w:pPr>
    </w:p>
    <w:p>
      <w:pPr>
        <w:pStyle w:val="16"/>
        <w:tabs>
          <w:tab w:val="right" w:leader="dot" w:pos="9638"/>
        </w:tabs>
        <w:rPr>
          <w:color w:val="auto"/>
          <w:highlight w:val="none"/>
        </w:rPr>
      </w:pPr>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"_Toc9772" </w:instrText>
      </w:r>
      <w:r>
        <w:rPr>
          <w:color w:val="auto"/>
          <w:highlight w:val="none"/>
        </w:rPr>
        <w:fldChar w:fldCharType="separate"/>
      </w:r>
      <w:r>
        <w:rPr>
          <w:rFonts w:hint="eastAsia"/>
          <w:color w:val="auto"/>
          <w:highlight w:val="none"/>
        </w:rPr>
        <w:t>第一部分  采购公告</w:t>
      </w:r>
      <w:r>
        <w:rPr>
          <w:color w:val="auto"/>
          <w:highlight w:val="none"/>
        </w:rPr>
        <w:tab/>
      </w:r>
      <w:r>
        <w:rPr>
          <w:color w:val="auto"/>
          <w:highlight w:val="none"/>
        </w:rPr>
        <w:fldChar w:fldCharType="begin"/>
      </w:r>
      <w:r>
        <w:rPr>
          <w:color w:val="auto"/>
          <w:highlight w:val="none"/>
        </w:rPr>
        <w:instrText xml:space="preserve"> PAGEREF _Toc9772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16"/>
        <w:tabs>
          <w:tab w:val="right" w:leader="dot" w:pos="9638"/>
        </w:tabs>
        <w:rPr>
          <w:color w:val="auto"/>
          <w:highlight w:val="none"/>
        </w:rPr>
      </w:pPr>
      <w:r>
        <w:rPr>
          <w:color w:val="auto"/>
          <w:highlight w:val="none"/>
        </w:rPr>
        <w:fldChar w:fldCharType="begin"/>
      </w:r>
      <w:r>
        <w:rPr>
          <w:color w:val="auto"/>
          <w:highlight w:val="none"/>
        </w:rPr>
        <w:instrText xml:space="preserve"> HYPERLINK \l "_Toc24360" </w:instrText>
      </w:r>
      <w:r>
        <w:rPr>
          <w:color w:val="auto"/>
          <w:highlight w:val="none"/>
        </w:rPr>
        <w:fldChar w:fldCharType="separate"/>
      </w:r>
      <w:r>
        <w:rPr>
          <w:rFonts w:hint="eastAsia"/>
          <w:color w:val="auto"/>
          <w:highlight w:val="none"/>
        </w:rPr>
        <w:t>第二部分  投标供应商须知</w:t>
      </w:r>
      <w:r>
        <w:rPr>
          <w:color w:val="auto"/>
          <w:highlight w:val="none"/>
        </w:rPr>
        <w:tab/>
      </w:r>
      <w:r>
        <w:rPr>
          <w:color w:val="auto"/>
          <w:highlight w:val="none"/>
        </w:rPr>
        <w:fldChar w:fldCharType="begin"/>
      </w:r>
      <w:r>
        <w:rPr>
          <w:color w:val="auto"/>
          <w:highlight w:val="none"/>
        </w:rPr>
        <w:instrText xml:space="preserve"> PAGEREF _Toc24360 \h </w:instrText>
      </w:r>
      <w:r>
        <w:rPr>
          <w:color w:val="auto"/>
          <w:highlight w:val="none"/>
        </w:rPr>
        <w:fldChar w:fldCharType="separate"/>
      </w:r>
      <w:r>
        <w:rPr>
          <w:color w:val="auto"/>
          <w:highlight w:val="none"/>
        </w:rPr>
        <w:t>6</w:t>
      </w:r>
      <w:r>
        <w:rPr>
          <w:color w:val="auto"/>
          <w:highlight w:val="none"/>
        </w:rPr>
        <w:fldChar w:fldCharType="end"/>
      </w:r>
      <w:r>
        <w:rPr>
          <w:color w:val="auto"/>
          <w:highlight w:val="none"/>
        </w:rPr>
        <w:fldChar w:fldCharType="end"/>
      </w:r>
    </w:p>
    <w:p>
      <w:pPr>
        <w:pStyle w:val="16"/>
        <w:tabs>
          <w:tab w:val="right" w:leader="dot" w:pos="9638"/>
        </w:tabs>
        <w:rPr>
          <w:color w:val="auto"/>
          <w:highlight w:val="none"/>
        </w:rPr>
      </w:pPr>
      <w:r>
        <w:rPr>
          <w:color w:val="auto"/>
          <w:highlight w:val="none"/>
        </w:rPr>
        <w:fldChar w:fldCharType="begin"/>
      </w:r>
      <w:r>
        <w:rPr>
          <w:color w:val="auto"/>
          <w:highlight w:val="none"/>
        </w:rPr>
        <w:instrText xml:space="preserve"> HYPERLINK \l "_Toc31800" </w:instrText>
      </w:r>
      <w:r>
        <w:rPr>
          <w:color w:val="auto"/>
          <w:highlight w:val="none"/>
        </w:rPr>
        <w:fldChar w:fldCharType="separate"/>
      </w:r>
      <w:r>
        <w:rPr>
          <w:rFonts w:hint="eastAsia"/>
          <w:color w:val="auto"/>
          <w:highlight w:val="none"/>
        </w:rPr>
        <w:t xml:space="preserve">第三部分  </w:t>
      </w:r>
      <w:r>
        <w:rPr>
          <w:rFonts w:hint="eastAsia"/>
          <w:color w:val="auto"/>
          <w:szCs w:val="36"/>
          <w:highlight w:val="none"/>
        </w:rPr>
        <w:t>合同格式</w:t>
      </w:r>
      <w:r>
        <w:rPr>
          <w:color w:val="auto"/>
          <w:highlight w:val="none"/>
        </w:rPr>
        <w:tab/>
      </w:r>
      <w:r>
        <w:rPr>
          <w:color w:val="auto"/>
          <w:highlight w:val="none"/>
        </w:rPr>
        <w:fldChar w:fldCharType="begin"/>
      </w:r>
      <w:r>
        <w:rPr>
          <w:color w:val="auto"/>
          <w:highlight w:val="none"/>
        </w:rPr>
        <w:instrText xml:space="preserve"> PAGEREF _Toc31800 \h </w:instrText>
      </w:r>
      <w:r>
        <w:rPr>
          <w:color w:val="auto"/>
          <w:highlight w:val="none"/>
        </w:rPr>
        <w:fldChar w:fldCharType="separate"/>
      </w:r>
      <w:r>
        <w:rPr>
          <w:color w:val="auto"/>
          <w:highlight w:val="none"/>
        </w:rPr>
        <w:t>21</w:t>
      </w:r>
      <w:r>
        <w:rPr>
          <w:color w:val="auto"/>
          <w:highlight w:val="none"/>
        </w:rPr>
        <w:fldChar w:fldCharType="end"/>
      </w:r>
      <w:r>
        <w:rPr>
          <w:color w:val="auto"/>
          <w:highlight w:val="none"/>
        </w:rPr>
        <w:fldChar w:fldCharType="end"/>
      </w:r>
    </w:p>
    <w:p>
      <w:pPr>
        <w:pStyle w:val="16"/>
        <w:tabs>
          <w:tab w:val="right" w:leader="dot" w:pos="9638"/>
        </w:tabs>
        <w:rPr>
          <w:color w:val="auto"/>
          <w:highlight w:val="none"/>
        </w:rPr>
      </w:pPr>
      <w:r>
        <w:rPr>
          <w:color w:val="auto"/>
          <w:highlight w:val="none"/>
        </w:rPr>
        <w:fldChar w:fldCharType="begin"/>
      </w:r>
      <w:r>
        <w:rPr>
          <w:color w:val="auto"/>
          <w:highlight w:val="none"/>
        </w:rPr>
        <w:instrText xml:space="preserve"> HYPERLINK \l "_Toc9945" </w:instrText>
      </w:r>
      <w:r>
        <w:rPr>
          <w:color w:val="auto"/>
          <w:highlight w:val="none"/>
        </w:rPr>
        <w:fldChar w:fldCharType="separate"/>
      </w:r>
      <w:r>
        <w:rPr>
          <w:rFonts w:hint="eastAsia"/>
          <w:color w:val="auto"/>
          <w:highlight w:val="none"/>
        </w:rPr>
        <w:t>第四部分  附件</w:t>
      </w:r>
      <w:r>
        <w:rPr>
          <w:color w:val="auto"/>
          <w:highlight w:val="none"/>
        </w:rPr>
        <w:tab/>
      </w:r>
      <w:r>
        <w:rPr>
          <w:color w:val="auto"/>
          <w:highlight w:val="none"/>
        </w:rPr>
        <w:fldChar w:fldCharType="begin"/>
      </w:r>
      <w:r>
        <w:rPr>
          <w:color w:val="auto"/>
          <w:highlight w:val="none"/>
        </w:rPr>
        <w:instrText xml:space="preserve"> PAGEREF _Toc9945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16"/>
        <w:tabs>
          <w:tab w:val="right" w:leader="dot" w:pos="9638"/>
        </w:tabs>
        <w:rPr>
          <w:rFonts w:hint="eastAsia" w:eastAsia="宋体"/>
          <w:color w:val="auto"/>
          <w:highlight w:val="none"/>
          <w:lang w:val="en-US" w:eastAsia="zh-CN"/>
        </w:rPr>
      </w:pPr>
      <w:r>
        <w:rPr>
          <w:color w:val="auto"/>
          <w:highlight w:val="none"/>
        </w:rPr>
        <w:fldChar w:fldCharType="begin"/>
      </w:r>
      <w:r>
        <w:rPr>
          <w:color w:val="auto"/>
          <w:highlight w:val="none"/>
        </w:rPr>
        <w:instrText xml:space="preserve"> HYPERLINK \l "_Toc17939" </w:instrText>
      </w:r>
      <w:r>
        <w:rPr>
          <w:color w:val="auto"/>
          <w:highlight w:val="none"/>
        </w:rPr>
        <w:fldChar w:fldCharType="separate"/>
      </w:r>
      <w:r>
        <w:rPr>
          <w:rFonts w:hint="eastAsia"/>
          <w:color w:val="auto"/>
          <w:highlight w:val="none"/>
        </w:rPr>
        <w:t>第五部分  采购需求</w:t>
      </w:r>
      <w:r>
        <w:rPr>
          <w:color w:val="auto"/>
          <w:highlight w:val="none"/>
        </w:rPr>
        <w:tab/>
      </w:r>
      <w:r>
        <w:rPr>
          <w:rFonts w:hint="eastAsia"/>
          <w:color w:val="auto"/>
          <w:highlight w:val="none"/>
          <w:lang w:val="en-US" w:eastAsia="zh-CN"/>
        </w:rPr>
        <w:t>4</w:t>
      </w:r>
      <w:r>
        <w:rPr>
          <w:color w:val="auto"/>
          <w:highlight w:val="none"/>
        </w:rPr>
        <w:fldChar w:fldCharType="end"/>
      </w:r>
      <w:r>
        <w:rPr>
          <w:rFonts w:hint="eastAsia"/>
          <w:color w:val="auto"/>
          <w:highlight w:val="none"/>
          <w:lang w:val="en-US" w:eastAsia="zh-CN"/>
        </w:rPr>
        <w:t>5</w:t>
      </w:r>
    </w:p>
    <w:p>
      <w:pPr>
        <w:pStyle w:val="16"/>
        <w:tabs>
          <w:tab w:val="right" w:leader="dot" w:pos="9638"/>
        </w:tabs>
        <w:rPr>
          <w:color w:val="auto"/>
          <w:highlight w:val="none"/>
        </w:rPr>
      </w:pPr>
      <w:r>
        <w:rPr>
          <w:color w:val="auto"/>
          <w:highlight w:val="none"/>
        </w:rPr>
        <w:fldChar w:fldCharType="begin"/>
      </w:r>
      <w:r>
        <w:rPr>
          <w:color w:val="auto"/>
          <w:highlight w:val="none"/>
        </w:rPr>
        <w:instrText xml:space="preserve"> HYPERLINK \l "_Toc28042" </w:instrText>
      </w:r>
      <w:r>
        <w:rPr>
          <w:color w:val="auto"/>
          <w:highlight w:val="none"/>
        </w:rPr>
        <w:fldChar w:fldCharType="separate"/>
      </w:r>
      <w:r>
        <w:rPr>
          <w:rFonts w:hint="eastAsia"/>
          <w:color w:val="auto"/>
          <w:highlight w:val="none"/>
        </w:rPr>
        <w:t>第六部分  评标原则及方法</w:t>
      </w:r>
      <w:r>
        <w:rPr>
          <w:color w:val="auto"/>
          <w:highlight w:val="none"/>
        </w:rPr>
        <w:tab/>
      </w:r>
      <w:r>
        <w:rPr>
          <w:rFonts w:hint="eastAsia"/>
          <w:color w:val="auto"/>
          <w:highlight w:val="none"/>
          <w:lang w:val="en-US" w:eastAsia="zh-CN"/>
        </w:rPr>
        <w:t>6</w:t>
      </w:r>
      <w:r>
        <w:rPr>
          <w:color w:val="auto"/>
          <w:highlight w:val="none"/>
        </w:rPr>
        <w:fldChar w:fldCharType="end"/>
      </w:r>
      <w:r>
        <w:rPr>
          <w:rFonts w:hint="eastAsia"/>
          <w:color w:val="auto"/>
          <w:highlight w:val="none"/>
          <w:lang w:val="en-US" w:eastAsia="zh-CN"/>
        </w:rPr>
        <w:t>1</w:t>
      </w:r>
    </w:p>
    <w:p>
      <w:pPr>
        <w:rPr>
          <w:color w:val="auto"/>
          <w:highlight w:val="none"/>
        </w:rPr>
      </w:pPr>
      <w:r>
        <w:rPr>
          <w:color w:val="auto"/>
          <w:highlight w:val="none"/>
        </w:rPr>
        <w:fldChar w:fldCharType="end"/>
      </w:r>
    </w:p>
    <w:p>
      <w:pPr>
        <w:spacing w:line="400" w:lineRule="exact"/>
        <w:rPr>
          <w:rFonts w:ascii="宋体" w:hAnsi="宋体" w:cs="宋体"/>
          <w:color w:val="auto"/>
          <w:highlight w:val="none"/>
        </w:rPr>
      </w:pPr>
    </w:p>
    <w:p>
      <w:pPr>
        <w:spacing w:line="400" w:lineRule="exact"/>
        <w:rPr>
          <w:rFonts w:ascii="宋体" w:hAnsi="宋体" w:cs="宋体"/>
          <w:color w:val="auto"/>
          <w:sz w:val="22"/>
          <w:highlight w:val="none"/>
        </w:rPr>
      </w:pPr>
    </w:p>
    <w:p>
      <w:pPr>
        <w:spacing w:line="400" w:lineRule="exact"/>
        <w:rPr>
          <w:rFonts w:ascii="宋体" w:hAnsi="宋体" w:cs="宋体"/>
          <w:b/>
          <w:color w:val="auto"/>
          <w:sz w:val="22"/>
          <w:highlight w:val="none"/>
        </w:rPr>
      </w:pPr>
    </w:p>
    <w:p>
      <w:pPr>
        <w:spacing w:line="400" w:lineRule="exact"/>
        <w:rPr>
          <w:rFonts w:ascii="宋体" w:hAnsi="宋体" w:cs="宋体"/>
          <w:color w:val="auto"/>
          <w:sz w:val="22"/>
          <w:highlight w:val="none"/>
        </w:rPr>
      </w:pPr>
      <w:r>
        <w:rPr>
          <w:rFonts w:hint="eastAsia" w:ascii="宋体" w:hAnsi="宋体" w:cs="宋体"/>
          <w:b/>
          <w:color w:val="auto"/>
          <w:sz w:val="24"/>
          <w:highlight w:val="none"/>
        </w:rPr>
        <w:t>注：标“▲”或“▲且加下划线”内容为实质性要求和条件，必须做出实质性响应，否则投标无效。加粗部分为着重提醒各投标供应商注意。各投标供应商必须认真阅读和理解招标文件中的每一个条款及要求，因误读招标文件而造成的后果，采购人和采购代理机构概不负责。</w:t>
      </w:r>
    </w:p>
    <w:p>
      <w:pPr>
        <w:spacing w:after="313" w:afterLines="100"/>
        <w:jc w:val="center"/>
        <w:rPr>
          <w:rFonts w:ascii="宋体" w:hAnsi="宋体" w:cs="宋体"/>
          <w:b/>
          <w:bCs w:val="0"/>
          <w:color w:val="auto"/>
          <w:kern w:val="2"/>
          <w:sz w:val="32"/>
          <w:szCs w:val="22"/>
          <w:highlight w:val="none"/>
        </w:rPr>
      </w:pPr>
      <w:bookmarkStart w:id="0" w:name="_Toc45140189"/>
      <w:r>
        <w:rPr>
          <w:rFonts w:hint="eastAsia" w:ascii="宋体" w:hAnsi="宋体" w:cs="宋体"/>
          <w:b/>
          <w:color w:val="auto"/>
          <w:sz w:val="32"/>
          <w:szCs w:val="32"/>
          <w:highlight w:val="none"/>
        </w:rPr>
        <w:br w:type="page"/>
      </w:r>
      <w:bookmarkEnd w:id="0"/>
      <w:bookmarkStart w:id="1" w:name="_Toc9772"/>
      <w:r>
        <w:rPr>
          <w:rFonts w:hint="eastAsia" w:ascii="宋体" w:hAnsi="宋体" w:cs="宋体"/>
          <w:b/>
          <w:bCs w:val="0"/>
          <w:color w:val="auto"/>
          <w:kern w:val="2"/>
          <w:sz w:val="32"/>
          <w:szCs w:val="22"/>
          <w:highlight w:val="none"/>
        </w:rPr>
        <w:t>第一部分  采购公告</w:t>
      </w:r>
      <w:bookmarkEnd w:id="1"/>
    </w:p>
    <w:p>
      <w:pPr>
        <w:pStyle w:val="19"/>
        <w:spacing w:before="0" w:beforeAutospacing="0" w:after="0" w:afterAutospacing="0"/>
        <w:jc w:val="center"/>
        <w:rPr>
          <w:b/>
          <w:bCs/>
          <w:color w:val="auto"/>
          <w:kern w:val="44"/>
          <w:sz w:val="36"/>
          <w:szCs w:val="36"/>
          <w:highlight w:val="none"/>
        </w:rPr>
      </w:pPr>
      <w:r>
        <w:rPr>
          <w:rFonts w:hint="eastAsia"/>
          <w:b/>
          <w:color w:val="auto"/>
          <w:sz w:val="28"/>
          <w:szCs w:val="28"/>
          <w:highlight w:val="none"/>
          <w:lang w:eastAsia="zh-CN"/>
        </w:rPr>
        <w:t>温州众晟工程管理有限公司</w:t>
      </w:r>
      <w:r>
        <w:rPr>
          <w:rFonts w:hint="eastAsia"/>
          <w:b/>
          <w:color w:val="auto"/>
          <w:sz w:val="28"/>
          <w:szCs w:val="28"/>
          <w:highlight w:val="none"/>
        </w:rPr>
        <w:t>关于</w:t>
      </w:r>
      <w:r>
        <w:rPr>
          <w:rFonts w:hint="eastAsia"/>
          <w:b/>
          <w:color w:val="auto"/>
          <w:sz w:val="28"/>
          <w:szCs w:val="28"/>
          <w:highlight w:val="none"/>
          <w:lang w:eastAsia="zh-CN"/>
        </w:rPr>
        <w:t>温州市城乡规划展示馆2024年6月-2025年5月设备维护</w:t>
      </w:r>
      <w:r>
        <w:rPr>
          <w:rFonts w:hint="eastAsia"/>
          <w:b/>
          <w:color w:val="auto"/>
          <w:sz w:val="28"/>
          <w:szCs w:val="28"/>
          <w:highlight w:val="none"/>
        </w:rPr>
        <w:t>公开招标采购公告</w:t>
      </w:r>
    </w:p>
    <w:tbl>
      <w:tblPr>
        <w:tblStyle w:val="2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noWrap w:val="0"/>
            <w:vAlign w:val="top"/>
          </w:tcPr>
          <w:p>
            <w:pPr>
              <w:adjustRightInd w:val="0"/>
              <w:snapToGrid w:val="0"/>
              <w:spacing w:line="440" w:lineRule="exact"/>
              <w:rPr>
                <w:rFonts w:ascii="宋体" w:hAnsi="宋体" w:cs="宋体"/>
                <w:color w:val="auto"/>
                <w:sz w:val="22"/>
                <w:highlight w:val="none"/>
              </w:rPr>
            </w:pPr>
            <w:r>
              <w:rPr>
                <w:rFonts w:hint="eastAsia" w:ascii="宋体" w:hAnsi="宋体" w:cs="宋体"/>
                <w:color w:val="auto"/>
                <w:sz w:val="22"/>
                <w:highlight w:val="none"/>
              </w:rPr>
              <w:t>项目概况</w:t>
            </w:r>
          </w:p>
          <w:p>
            <w:pPr>
              <w:pStyle w:val="19"/>
              <w:spacing w:before="0" w:beforeAutospacing="0" w:after="0" w:afterAutospacing="0" w:line="360" w:lineRule="exact"/>
              <w:ind w:firstLine="440" w:firstLineChars="200"/>
              <w:jc w:val="both"/>
              <w:rPr>
                <w:color w:val="auto"/>
                <w:sz w:val="22"/>
                <w:highlight w:val="none"/>
              </w:rPr>
            </w:pPr>
            <w:r>
              <w:rPr>
                <w:rFonts w:hint="eastAsia"/>
                <w:color w:val="auto"/>
                <w:sz w:val="22"/>
                <w:highlight w:val="none"/>
                <w:lang w:eastAsia="zh-CN"/>
              </w:rPr>
              <w:t>温州市城乡规划展示馆2024年6月-2025年5月设备维护</w:t>
            </w:r>
            <w:r>
              <w:rPr>
                <w:rFonts w:hint="eastAsia"/>
                <w:color w:val="auto"/>
                <w:sz w:val="22"/>
                <w:highlight w:val="none"/>
              </w:rPr>
              <w:t>招标项目的潜在投标供应商应在政府采购云平台（http://zfcg.czt.zj.gov.cn/）获取（下载）招标文件，并于</w:t>
            </w:r>
            <w:r>
              <w:rPr>
                <w:rFonts w:hint="eastAsia"/>
                <w:color w:val="auto"/>
                <w:sz w:val="22"/>
                <w:highlight w:val="none"/>
                <w:lang w:eastAsia="zh-CN"/>
              </w:rPr>
              <w:t>2</w:t>
            </w:r>
            <w:r>
              <w:rPr>
                <w:rFonts w:hint="eastAsia"/>
                <w:color w:val="auto"/>
                <w:sz w:val="22"/>
                <w:highlight w:val="none"/>
                <w:lang w:eastAsia="zh-CN"/>
              </w:rPr>
              <w:t>02</w:t>
            </w:r>
            <w:r>
              <w:rPr>
                <w:rFonts w:hint="eastAsia"/>
                <w:color w:val="auto"/>
                <w:sz w:val="22"/>
                <w:highlight w:val="none"/>
                <w:lang w:val="en-US" w:eastAsia="zh-CN"/>
              </w:rPr>
              <w:t>4</w:t>
            </w:r>
            <w:r>
              <w:rPr>
                <w:rFonts w:hint="eastAsia"/>
                <w:color w:val="auto"/>
                <w:sz w:val="22"/>
                <w:highlight w:val="none"/>
                <w:lang w:eastAsia="zh-CN"/>
              </w:rPr>
              <w:t>年</w:t>
            </w:r>
            <w:r>
              <w:rPr>
                <w:rFonts w:hint="eastAsia"/>
                <w:color w:val="auto"/>
                <w:sz w:val="22"/>
                <w:highlight w:val="none"/>
                <w:lang w:val="en-US" w:eastAsia="zh-CN"/>
              </w:rPr>
              <w:t>5</w:t>
            </w:r>
            <w:r>
              <w:rPr>
                <w:rFonts w:hint="eastAsia"/>
                <w:color w:val="auto"/>
                <w:sz w:val="22"/>
                <w:highlight w:val="none"/>
                <w:lang w:eastAsia="zh-CN"/>
              </w:rPr>
              <w:t>月</w:t>
            </w:r>
            <w:r>
              <w:rPr>
                <w:rFonts w:hint="eastAsia"/>
                <w:color w:val="auto"/>
                <w:sz w:val="22"/>
                <w:highlight w:val="none"/>
                <w:lang w:val="en-US" w:eastAsia="zh-CN"/>
              </w:rPr>
              <w:t>15</w:t>
            </w:r>
            <w:r>
              <w:rPr>
                <w:rFonts w:hint="eastAsia"/>
                <w:color w:val="auto"/>
                <w:sz w:val="22"/>
                <w:highlight w:val="none"/>
                <w:lang w:eastAsia="zh-CN"/>
              </w:rPr>
              <w:t>日</w:t>
            </w:r>
            <w:r>
              <w:rPr>
                <w:rFonts w:hint="eastAsia"/>
                <w:color w:val="auto"/>
                <w:sz w:val="22"/>
                <w:highlight w:val="none"/>
                <w:lang w:val="en-US" w:eastAsia="zh-CN"/>
              </w:rPr>
              <w:t>09</w:t>
            </w:r>
            <w:r>
              <w:rPr>
                <w:rFonts w:hint="eastAsia"/>
                <w:color w:val="auto"/>
                <w:sz w:val="22"/>
                <w:highlight w:val="none"/>
                <w:lang w:eastAsia="zh-CN"/>
              </w:rPr>
              <w:t>:30</w:t>
            </w:r>
            <w:r>
              <w:rPr>
                <w:rFonts w:hint="eastAsia"/>
                <w:color w:val="auto"/>
                <w:sz w:val="22"/>
                <w:highlight w:val="none"/>
              </w:rPr>
              <w:t>（北京时间）前递交（上传）投标文件。</w:t>
            </w:r>
          </w:p>
        </w:tc>
      </w:tr>
    </w:tbl>
    <w:p>
      <w:pPr>
        <w:numPr>
          <w:ilvl w:val="0"/>
          <w:numId w:val="2"/>
        </w:numPr>
        <w:adjustRightInd w:val="0"/>
        <w:snapToGrid w:val="0"/>
        <w:spacing w:line="440" w:lineRule="exact"/>
        <w:rPr>
          <w:rFonts w:ascii="宋体" w:hAnsi="宋体" w:cs="宋体"/>
          <w:b/>
          <w:bCs/>
          <w:color w:val="auto"/>
          <w:sz w:val="22"/>
          <w:highlight w:val="none"/>
        </w:rPr>
      </w:pPr>
      <w:r>
        <w:rPr>
          <w:rFonts w:hint="eastAsia" w:ascii="宋体" w:hAnsi="宋体" w:cs="宋体"/>
          <w:b/>
          <w:bCs/>
          <w:color w:val="auto"/>
          <w:sz w:val="22"/>
          <w:highlight w:val="none"/>
        </w:rPr>
        <w:t>项目基本情况</w:t>
      </w:r>
    </w:p>
    <w:p>
      <w:pPr>
        <w:pStyle w:val="19"/>
        <w:spacing w:before="0" w:beforeAutospacing="0" w:after="0" w:afterAutospacing="0" w:line="360" w:lineRule="exact"/>
        <w:rPr>
          <w:rFonts w:hint="eastAsia" w:eastAsia="宋体"/>
          <w:color w:val="auto"/>
          <w:sz w:val="22"/>
          <w:highlight w:val="none"/>
          <w:lang w:eastAsia="zh-CN"/>
        </w:rPr>
      </w:pPr>
      <w:r>
        <w:rPr>
          <w:rFonts w:hint="eastAsia"/>
          <w:color w:val="auto"/>
          <w:sz w:val="22"/>
          <w:highlight w:val="none"/>
        </w:rPr>
        <w:t xml:space="preserve">    项目编号：</w:t>
      </w:r>
      <w:r>
        <w:rPr>
          <w:rFonts w:hint="eastAsia"/>
          <w:color w:val="auto"/>
          <w:sz w:val="22"/>
          <w:highlight w:val="none"/>
          <w:lang w:eastAsia="zh-CN"/>
        </w:rPr>
        <w:t>WZZS-2024-04-006</w:t>
      </w:r>
    </w:p>
    <w:p>
      <w:pPr>
        <w:pStyle w:val="19"/>
        <w:spacing w:before="0" w:beforeAutospacing="0" w:after="0" w:afterAutospacing="0" w:line="360" w:lineRule="exact"/>
        <w:ind w:firstLine="440" w:firstLineChars="200"/>
        <w:rPr>
          <w:rFonts w:hint="eastAsia" w:eastAsia="宋体"/>
          <w:color w:val="auto"/>
          <w:sz w:val="22"/>
          <w:highlight w:val="none"/>
          <w:lang w:eastAsia="zh-CN"/>
        </w:rPr>
      </w:pPr>
      <w:r>
        <w:rPr>
          <w:rFonts w:hint="eastAsia"/>
          <w:color w:val="auto"/>
          <w:sz w:val="22"/>
          <w:highlight w:val="none"/>
        </w:rPr>
        <w:t>项目名称：</w:t>
      </w:r>
      <w:r>
        <w:rPr>
          <w:rFonts w:hint="eastAsia"/>
          <w:color w:val="auto"/>
          <w:sz w:val="22"/>
          <w:highlight w:val="none"/>
          <w:lang w:eastAsia="zh-CN"/>
        </w:rPr>
        <w:t>温州市城乡规划展示馆2024年6月-2025年5月设备维护</w:t>
      </w:r>
    </w:p>
    <w:p>
      <w:pPr>
        <w:pStyle w:val="19"/>
        <w:spacing w:before="0" w:beforeAutospacing="0" w:after="0" w:afterAutospacing="0" w:line="360" w:lineRule="exact"/>
        <w:ind w:firstLine="440" w:firstLineChars="200"/>
        <w:rPr>
          <w:color w:val="auto"/>
          <w:sz w:val="22"/>
          <w:highlight w:val="none"/>
        </w:rPr>
      </w:pPr>
      <w:r>
        <w:rPr>
          <w:rFonts w:hint="eastAsia"/>
          <w:color w:val="auto"/>
          <w:sz w:val="22"/>
          <w:highlight w:val="none"/>
        </w:rPr>
        <w:t>预算金额（元）：750000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最高限价（元）：750000</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采购需求：</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 xml:space="preserve">标项名称: </w:t>
      </w:r>
      <w:r>
        <w:rPr>
          <w:rFonts w:hint="eastAsia"/>
          <w:color w:val="auto"/>
          <w:sz w:val="22"/>
          <w:highlight w:val="none"/>
          <w:lang w:eastAsia="zh-CN"/>
        </w:rPr>
        <w:t>温州市城乡规划展示馆2024年6月-2025年5月设备维护</w:t>
      </w:r>
      <w:r>
        <w:rPr>
          <w:rFonts w:hint="eastAsia"/>
          <w:color w:val="auto"/>
          <w:sz w:val="22"/>
          <w:highlight w:val="none"/>
        </w:rPr>
        <w:t>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数量: 1  </w:t>
      </w:r>
      <w:r>
        <w:rPr>
          <w:rFonts w:hint="eastAsia"/>
          <w:color w:val="auto"/>
          <w:sz w:val="22"/>
          <w:highlight w:val="none"/>
        </w:rPr>
        <w:br w:type="textWrapping"/>
      </w:r>
      <w:r>
        <w:rPr>
          <w:rFonts w:hint="eastAsia"/>
          <w:color w:val="auto"/>
          <w:sz w:val="22"/>
          <w:highlight w:val="none"/>
        </w:rPr>
        <w:t>   预算金额（元）:750000</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简要规格描述或项目基本概况介绍、用途：</w:t>
      </w:r>
      <w:r>
        <w:rPr>
          <w:rFonts w:ascii="Times New Roman" w:hAnsi="Times New Roman" w:eastAsia="新宋体" w:cs="Times New Roman"/>
          <w:color w:val="auto"/>
          <w:sz w:val="22"/>
          <w:highlight w:val="none"/>
        </w:rPr>
        <w:t>详见招标文件</w:t>
      </w:r>
      <w:r>
        <w:rPr>
          <w:rFonts w:hint="eastAsia"/>
          <w:color w:val="auto"/>
          <w:sz w:val="22"/>
          <w:highlight w:val="none"/>
        </w:rPr>
        <w:t> </w:t>
      </w:r>
    </w:p>
    <w:p>
      <w:pPr>
        <w:spacing w:line="44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备注：</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合同履约期限：标项 1，详见招标文件</w:t>
      </w:r>
    </w:p>
    <w:p>
      <w:pPr>
        <w:pStyle w:val="19"/>
        <w:spacing w:before="0" w:beforeAutospacing="0" w:after="0" w:afterAutospacing="0" w:line="360" w:lineRule="exact"/>
        <w:rPr>
          <w:color w:val="auto"/>
          <w:sz w:val="22"/>
          <w:highlight w:val="none"/>
        </w:rPr>
      </w:pPr>
      <w:r>
        <w:rPr>
          <w:rFonts w:hint="eastAsia"/>
          <w:color w:val="auto"/>
          <w:sz w:val="22"/>
          <w:highlight w:val="none"/>
        </w:rPr>
        <w:t>   本项目（否）接受联合体投标。</w:t>
      </w:r>
    </w:p>
    <w:p>
      <w:pPr>
        <w:numPr>
          <w:ilvl w:val="0"/>
          <w:numId w:val="2"/>
        </w:numPr>
        <w:adjustRightInd w:val="0"/>
        <w:snapToGrid w:val="0"/>
        <w:spacing w:line="440" w:lineRule="exact"/>
        <w:rPr>
          <w:rFonts w:ascii="宋体" w:hAnsi="宋体" w:cs="宋体"/>
          <w:b/>
          <w:bCs/>
          <w:color w:val="auto"/>
          <w:sz w:val="22"/>
          <w:highlight w:val="none"/>
        </w:rPr>
      </w:pPr>
      <w:r>
        <w:rPr>
          <w:rFonts w:hint="eastAsia" w:ascii="宋体" w:hAnsi="宋体" w:cs="宋体"/>
          <w:b/>
          <w:bCs/>
          <w:color w:val="auto"/>
          <w:sz w:val="22"/>
          <w:highlight w:val="none"/>
        </w:rPr>
        <w:t>申请人的资格要求：</w:t>
      </w:r>
    </w:p>
    <w:p>
      <w:pPr>
        <w:pStyle w:val="19"/>
        <w:spacing w:before="0" w:beforeAutospacing="0" w:after="0" w:afterAutospacing="0" w:line="360" w:lineRule="exact"/>
        <w:ind w:firstLine="440" w:firstLineChars="200"/>
        <w:rPr>
          <w:color w:val="auto"/>
          <w:sz w:val="22"/>
          <w:highlight w:val="none"/>
        </w:rPr>
      </w:pPr>
      <w:r>
        <w:rPr>
          <w:rFonts w:hint="eastAsia"/>
          <w:color w:val="auto"/>
          <w:sz w:val="22"/>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9"/>
        <w:spacing w:before="0" w:beforeAutospacing="0" w:after="0" w:afterAutospacing="0" w:line="360" w:lineRule="exact"/>
        <w:ind w:firstLine="440" w:firstLineChars="200"/>
        <w:rPr>
          <w:color w:val="auto"/>
          <w:sz w:val="22"/>
          <w:highlight w:val="none"/>
        </w:rPr>
      </w:pPr>
      <w:r>
        <w:rPr>
          <w:rFonts w:hint="eastAsia"/>
          <w:color w:val="auto"/>
          <w:sz w:val="22"/>
          <w:highlight w:val="none"/>
        </w:rPr>
        <w:t>2、落实政府采购政策需满足的资格要求：标项1：本项目整体专门面向中小企业采购（残疾人福利性单位和监狱企业视同小微企业）。 </w:t>
      </w:r>
    </w:p>
    <w:p>
      <w:pPr>
        <w:pStyle w:val="19"/>
        <w:spacing w:before="0" w:beforeAutospacing="0" w:after="0" w:afterAutospacing="0" w:line="360" w:lineRule="exact"/>
        <w:ind w:firstLine="440" w:firstLineChars="200"/>
        <w:rPr>
          <w:color w:val="auto"/>
          <w:sz w:val="22"/>
          <w:highlight w:val="none"/>
        </w:rPr>
      </w:pPr>
      <w:r>
        <w:rPr>
          <w:rFonts w:hint="eastAsia"/>
          <w:color w:val="auto"/>
          <w:sz w:val="22"/>
          <w:highlight w:val="none"/>
        </w:rPr>
        <w:t>3、本项目的特定资格要求：无</w:t>
      </w:r>
    </w:p>
    <w:p>
      <w:pPr>
        <w:numPr>
          <w:ilvl w:val="0"/>
          <w:numId w:val="2"/>
        </w:numPr>
        <w:adjustRightInd w:val="0"/>
        <w:snapToGrid w:val="0"/>
        <w:spacing w:line="440" w:lineRule="exact"/>
        <w:rPr>
          <w:rFonts w:ascii="宋体" w:hAnsi="宋体" w:cs="宋体"/>
          <w:b/>
          <w:bCs/>
          <w:color w:val="auto"/>
          <w:sz w:val="22"/>
          <w:highlight w:val="none"/>
        </w:rPr>
      </w:pPr>
      <w:r>
        <w:rPr>
          <w:rFonts w:hint="eastAsia" w:ascii="宋体" w:hAnsi="宋体" w:cs="宋体"/>
          <w:b/>
          <w:bCs/>
          <w:color w:val="auto"/>
          <w:sz w:val="22"/>
          <w:highlight w:val="none"/>
        </w:rPr>
        <w:t>获取招标文件</w:t>
      </w:r>
    </w:p>
    <w:p>
      <w:pPr>
        <w:pStyle w:val="19"/>
        <w:spacing w:before="0" w:beforeAutospacing="0" w:after="0" w:afterAutospacing="0" w:line="360" w:lineRule="exact"/>
        <w:ind w:firstLine="440" w:firstLineChars="200"/>
        <w:rPr>
          <w:color w:val="auto"/>
          <w:sz w:val="22"/>
          <w:highlight w:val="none"/>
        </w:rPr>
      </w:pPr>
      <w:r>
        <w:rPr>
          <w:rFonts w:hint="eastAsia"/>
          <w:color w:val="auto"/>
          <w:sz w:val="22"/>
          <w:highlight w:val="none"/>
        </w:rPr>
        <w:t>时间</w:t>
      </w:r>
      <w:r>
        <w:rPr>
          <w:rFonts w:hint="eastAsia"/>
          <w:color w:val="auto"/>
          <w:sz w:val="22"/>
          <w:highlight w:val="none"/>
        </w:rPr>
        <w:t>：/至</w:t>
      </w:r>
      <w:r>
        <w:rPr>
          <w:rFonts w:hint="eastAsia"/>
          <w:color w:val="auto"/>
          <w:sz w:val="22"/>
          <w:highlight w:val="none"/>
          <w:lang w:eastAsia="zh-CN"/>
        </w:rPr>
        <w:t>202</w:t>
      </w:r>
      <w:r>
        <w:rPr>
          <w:rFonts w:hint="eastAsia"/>
          <w:color w:val="auto"/>
          <w:sz w:val="22"/>
          <w:highlight w:val="none"/>
          <w:lang w:val="en-US" w:eastAsia="zh-CN"/>
        </w:rPr>
        <w:t>4</w:t>
      </w:r>
      <w:r>
        <w:rPr>
          <w:rFonts w:hint="eastAsia"/>
          <w:color w:val="auto"/>
          <w:sz w:val="22"/>
          <w:highlight w:val="none"/>
          <w:lang w:eastAsia="zh-CN"/>
        </w:rPr>
        <w:t>年</w:t>
      </w:r>
      <w:r>
        <w:rPr>
          <w:rFonts w:hint="eastAsia"/>
          <w:color w:val="auto"/>
          <w:sz w:val="22"/>
          <w:highlight w:val="none"/>
          <w:lang w:val="en-US" w:eastAsia="zh-CN"/>
        </w:rPr>
        <w:t>5</w:t>
      </w:r>
      <w:r>
        <w:rPr>
          <w:rFonts w:hint="eastAsia"/>
          <w:color w:val="auto"/>
          <w:sz w:val="22"/>
          <w:highlight w:val="none"/>
          <w:lang w:eastAsia="zh-CN"/>
        </w:rPr>
        <w:t>月</w:t>
      </w:r>
      <w:r>
        <w:rPr>
          <w:rFonts w:hint="eastAsia"/>
          <w:color w:val="auto"/>
          <w:sz w:val="22"/>
          <w:highlight w:val="none"/>
          <w:lang w:val="en-US" w:eastAsia="zh-CN"/>
        </w:rPr>
        <w:t>15</w:t>
      </w:r>
      <w:r>
        <w:rPr>
          <w:rFonts w:hint="eastAsia"/>
          <w:color w:val="auto"/>
          <w:sz w:val="22"/>
          <w:highlight w:val="none"/>
          <w:lang w:eastAsia="zh-CN"/>
        </w:rPr>
        <w:t>日</w:t>
      </w:r>
      <w:r>
        <w:rPr>
          <w:rFonts w:hint="eastAsia"/>
          <w:color w:val="auto"/>
          <w:sz w:val="22"/>
          <w:highlight w:val="none"/>
        </w:rPr>
        <w:t>，每天上午00:00至12:00，下午12:00至23:59（北京时间，线上获取法定节假日均可，线下获取文件法定节假日除外）</w:t>
      </w:r>
    </w:p>
    <w:p>
      <w:pPr>
        <w:pStyle w:val="19"/>
        <w:spacing w:before="0" w:beforeAutospacing="0" w:after="0" w:afterAutospacing="0" w:line="360" w:lineRule="exact"/>
        <w:ind w:firstLine="440" w:firstLineChars="200"/>
        <w:rPr>
          <w:color w:val="auto"/>
          <w:sz w:val="22"/>
          <w:highlight w:val="none"/>
        </w:rPr>
      </w:pPr>
      <w:r>
        <w:rPr>
          <w:rFonts w:hint="eastAsia"/>
          <w:color w:val="auto"/>
          <w:sz w:val="22"/>
          <w:highlight w:val="none"/>
        </w:rPr>
        <w:t>地点（网址）：政采云平台线上获取（https://www.zcygov.cn） </w:t>
      </w:r>
    </w:p>
    <w:p>
      <w:pPr>
        <w:pStyle w:val="19"/>
        <w:spacing w:before="0" w:beforeAutospacing="0" w:after="0" w:afterAutospacing="0" w:line="360" w:lineRule="exact"/>
        <w:ind w:firstLine="440" w:firstLineChars="200"/>
        <w:rPr>
          <w:color w:val="auto"/>
          <w:sz w:val="22"/>
          <w:highlight w:val="none"/>
        </w:rPr>
      </w:pPr>
      <w:r>
        <w:rPr>
          <w:rFonts w:hint="eastAsia"/>
          <w:color w:val="auto"/>
          <w:sz w:val="22"/>
          <w:highlight w:val="none"/>
        </w:rPr>
        <w:t>方式：供应商登录政采云平台https://www.zcygov.cn在线申请获取采购文件（进入“项目采购”应用，在获取采购文件菜单中选择项目，申请获取采购文件） </w:t>
      </w:r>
    </w:p>
    <w:p>
      <w:pPr>
        <w:pStyle w:val="19"/>
        <w:spacing w:before="0" w:beforeAutospacing="0" w:after="0" w:afterAutospacing="0" w:line="360" w:lineRule="exact"/>
        <w:ind w:firstLine="440" w:firstLineChars="200"/>
        <w:rPr>
          <w:color w:val="auto"/>
          <w:sz w:val="22"/>
          <w:highlight w:val="none"/>
        </w:rPr>
      </w:pPr>
      <w:r>
        <w:rPr>
          <w:rFonts w:hint="eastAsia"/>
          <w:color w:val="auto"/>
          <w:sz w:val="22"/>
          <w:highlight w:val="none"/>
        </w:rPr>
        <w:t>售价（元）：0 </w:t>
      </w:r>
    </w:p>
    <w:p>
      <w:pPr>
        <w:numPr>
          <w:ilvl w:val="0"/>
          <w:numId w:val="2"/>
        </w:numPr>
        <w:adjustRightInd w:val="0"/>
        <w:snapToGrid w:val="0"/>
        <w:spacing w:line="360" w:lineRule="exact"/>
        <w:rPr>
          <w:rFonts w:ascii="宋体" w:hAnsi="宋体" w:cs="宋体"/>
          <w:b/>
          <w:bCs/>
          <w:color w:val="auto"/>
          <w:sz w:val="22"/>
          <w:highlight w:val="none"/>
        </w:rPr>
      </w:pPr>
      <w:r>
        <w:rPr>
          <w:rFonts w:hint="eastAsia" w:ascii="宋体" w:hAnsi="宋体" w:cs="宋体"/>
          <w:b/>
          <w:bCs/>
          <w:color w:val="auto"/>
          <w:sz w:val="22"/>
          <w:highlight w:val="none"/>
        </w:rPr>
        <w:t>投标文件提交（上传）</w:t>
      </w:r>
    </w:p>
    <w:p>
      <w:pPr>
        <w:pStyle w:val="19"/>
        <w:spacing w:before="0" w:beforeAutospacing="0" w:after="0" w:afterAutospacing="0" w:line="360" w:lineRule="exact"/>
        <w:ind w:firstLine="440" w:firstLineChars="200"/>
        <w:rPr>
          <w:color w:val="auto"/>
          <w:sz w:val="22"/>
          <w:highlight w:val="none"/>
        </w:rPr>
      </w:pPr>
      <w:r>
        <w:rPr>
          <w:rFonts w:hint="eastAsia"/>
          <w:color w:val="auto"/>
          <w:sz w:val="22"/>
          <w:highlight w:val="none"/>
        </w:rPr>
        <w:t>提交投标文件截止时间：</w:t>
      </w:r>
      <w:r>
        <w:rPr>
          <w:rFonts w:hint="eastAsia"/>
          <w:color w:val="auto"/>
          <w:sz w:val="22"/>
          <w:highlight w:val="none"/>
          <w:lang w:eastAsia="zh-CN"/>
        </w:rPr>
        <w:t>202</w:t>
      </w:r>
      <w:r>
        <w:rPr>
          <w:rFonts w:hint="eastAsia"/>
          <w:color w:val="auto"/>
          <w:sz w:val="22"/>
          <w:highlight w:val="none"/>
          <w:lang w:val="en-US" w:eastAsia="zh-CN"/>
        </w:rPr>
        <w:t>4</w:t>
      </w:r>
      <w:r>
        <w:rPr>
          <w:rFonts w:hint="eastAsia"/>
          <w:color w:val="auto"/>
          <w:sz w:val="22"/>
          <w:highlight w:val="none"/>
          <w:lang w:eastAsia="zh-CN"/>
        </w:rPr>
        <w:t>年</w:t>
      </w:r>
      <w:r>
        <w:rPr>
          <w:rFonts w:hint="eastAsia"/>
          <w:color w:val="auto"/>
          <w:sz w:val="22"/>
          <w:highlight w:val="none"/>
          <w:lang w:val="en-US" w:eastAsia="zh-CN"/>
        </w:rPr>
        <w:t>5</w:t>
      </w:r>
      <w:r>
        <w:rPr>
          <w:rFonts w:hint="eastAsia"/>
          <w:color w:val="auto"/>
          <w:sz w:val="22"/>
          <w:highlight w:val="none"/>
          <w:lang w:eastAsia="zh-CN"/>
        </w:rPr>
        <w:t>月</w:t>
      </w:r>
      <w:r>
        <w:rPr>
          <w:rFonts w:hint="eastAsia"/>
          <w:color w:val="auto"/>
          <w:sz w:val="22"/>
          <w:highlight w:val="none"/>
          <w:lang w:val="en-US" w:eastAsia="zh-CN"/>
        </w:rPr>
        <w:t>15</w:t>
      </w:r>
      <w:r>
        <w:rPr>
          <w:rFonts w:hint="eastAsia"/>
          <w:color w:val="auto"/>
          <w:sz w:val="22"/>
          <w:highlight w:val="none"/>
          <w:lang w:eastAsia="zh-CN"/>
        </w:rPr>
        <w:t>日</w:t>
      </w:r>
      <w:r>
        <w:rPr>
          <w:rFonts w:hint="eastAsia"/>
          <w:color w:val="auto"/>
          <w:sz w:val="22"/>
          <w:highlight w:val="none"/>
          <w:lang w:val="en-US" w:eastAsia="zh-CN"/>
        </w:rPr>
        <w:t>09</w:t>
      </w:r>
      <w:r>
        <w:rPr>
          <w:rFonts w:hint="eastAsia"/>
          <w:color w:val="auto"/>
          <w:sz w:val="22"/>
          <w:highlight w:val="none"/>
          <w:lang w:eastAsia="zh-CN"/>
        </w:rPr>
        <w:t>:30</w:t>
      </w:r>
      <w:r>
        <w:rPr>
          <w:rFonts w:hint="eastAsia"/>
          <w:color w:val="auto"/>
          <w:sz w:val="22"/>
          <w:highlight w:val="none"/>
        </w:rPr>
        <w:t>（北京时间）</w:t>
      </w:r>
    </w:p>
    <w:p>
      <w:pPr>
        <w:pStyle w:val="19"/>
        <w:spacing w:before="0" w:beforeAutospacing="0" w:after="0" w:afterAutospacing="0" w:line="360" w:lineRule="exact"/>
        <w:rPr>
          <w:color w:val="auto"/>
          <w:sz w:val="22"/>
          <w:highlight w:val="none"/>
        </w:rPr>
      </w:pPr>
      <w:r>
        <w:rPr>
          <w:rFonts w:hint="eastAsia"/>
          <w:color w:val="auto"/>
          <w:sz w:val="22"/>
          <w:highlight w:val="none"/>
        </w:rPr>
        <w:t>   投标地点（网址）：通过政采云平台（https://www.zcygov.cn）在线投标</w:t>
      </w:r>
    </w:p>
    <w:p>
      <w:pPr>
        <w:pStyle w:val="19"/>
        <w:spacing w:before="0" w:beforeAutospacing="0" w:after="0" w:afterAutospacing="0" w:line="360" w:lineRule="exact"/>
        <w:rPr>
          <w:color w:val="auto"/>
          <w:sz w:val="22"/>
          <w:highlight w:val="none"/>
        </w:rPr>
      </w:pPr>
      <w:r>
        <w:rPr>
          <w:rFonts w:hint="eastAsia"/>
          <w:color w:val="auto"/>
          <w:sz w:val="22"/>
          <w:highlight w:val="none"/>
        </w:rPr>
        <w:t>   开标时间：</w:t>
      </w:r>
      <w:r>
        <w:rPr>
          <w:rFonts w:hint="eastAsia"/>
          <w:color w:val="auto"/>
          <w:sz w:val="22"/>
          <w:highlight w:val="none"/>
          <w:lang w:eastAsia="zh-CN"/>
        </w:rPr>
        <w:t>202</w:t>
      </w:r>
      <w:r>
        <w:rPr>
          <w:rFonts w:hint="eastAsia"/>
          <w:color w:val="auto"/>
          <w:sz w:val="22"/>
          <w:highlight w:val="none"/>
          <w:lang w:val="en-US" w:eastAsia="zh-CN"/>
        </w:rPr>
        <w:t>4</w:t>
      </w:r>
      <w:r>
        <w:rPr>
          <w:rFonts w:hint="eastAsia"/>
          <w:color w:val="auto"/>
          <w:sz w:val="22"/>
          <w:highlight w:val="none"/>
          <w:lang w:eastAsia="zh-CN"/>
        </w:rPr>
        <w:t>年</w:t>
      </w:r>
      <w:r>
        <w:rPr>
          <w:rFonts w:hint="eastAsia"/>
          <w:color w:val="auto"/>
          <w:sz w:val="22"/>
          <w:highlight w:val="none"/>
          <w:lang w:val="en-US" w:eastAsia="zh-CN"/>
        </w:rPr>
        <w:t>5</w:t>
      </w:r>
      <w:r>
        <w:rPr>
          <w:rFonts w:hint="eastAsia"/>
          <w:color w:val="auto"/>
          <w:sz w:val="22"/>
          <w:highlight w:val="none"/>
          <w:lang w:eastAsia="zh-CN"/>
        </w:rPr>
        <w:t>月</w:t>
      </w:r>
      <w:r>
        <w:rPr>
          <w:rFonts w:hint="eastAsia"/>
          <w:color w:val="auto"/>
          <w:sz w:val="22"/>
          <w:highlight w:val="none"/>
          <w:lang w:val="en-US" w:eastAsia="zh-CN"/>
        </w:rPr>
        <w:t>15</w:t>
      </w:r>
      <w:r>
        <w:rPr>
          <w:rFonts w:hint="eastAsia"/>
          <w:color w:val="auto"/>
          <w:sz w:val="22"/>
          <w:highlight w:val="none"/>
          <w:lang w:eastAsia="zh-CN"/>
        </w:rPr>
        <w:t>日</w:t>
      </w:r>
      <w:r>
        <w:rPr>
          <w:rFonts w:hint="eastAsia"/>
          <w:color w:val="auto"/>
          <w:sz w:val="22"/>
          <w:highlight w:val="none"/>
          <w:lang w:val="en-US" w:eastAsia="zh-CN"/>
        </w:rPr>
        <w:t>09</w:t>
      </w:r>
      <w:r>
        <w:rPr>
          <w:rFonts w:hint="eastAsia"/>
          <w:color w:val="auto"/>
          <w:sz w:val="22"/>
          <w:highlight w:val="none"/>
          <w:lang w:eastAsia="zh-CN"/>
        </w:rPr>
        <w:t>:30</w:t>
      </w:r>
      <w:r>
        <w:rPr>
          <w:rFonts w:hint="eastAsia"/>
          <w:color w:val="auto"/>
          <w:sz w:val="22"/>
          <w:highlight w:val="none"/>
        </w:rPr>
        <w:t>（北京时间）</w:t>
      </w:r>
    </w:p>
    <w:p>
      <w:pPr>
        <w:pStyle w:val="19"/>
        <w:spacing w:before="0" w:beforeAutospacing="0" w:after="0" w:afterAutospacing="0" w:line="360" w:lineRule="exact"/>
        <w:rPr>
          <w:color w:val="auto"/>
          <w:sz w:val="22"/>
          <w:highlight w:val="none"/>
        </w:rPr>
      </w:pPr>
      <w:r>
        <w:rPr>
          <w:rFonts w:hint="eastAsia"/>
          <w:color w:val="auto"/>
          <w:sz w:val="22"/>
          <w:highlight w:val="none"/>
        </w:rPr>
        <w:t>   开标地点：</w:t>
      </w:r>
      <w:r>
        <w:rPr>
          <w:rFonts w:hint="eastAsia" w:ascii="宋体" w:hAnsi="宋体" w:eastAsia="宋体" w:cs="宋体"/>
          <w:bCs/>
          <w:color w:val="auto"/>
          <w:kern w:val="0"/>
          <w:sz w:val="22"/>
          <w:szCs w:val="22"/>
          <w:highlight w:val="none"/>
          <w:lang w:eastAsia="zh-CN"/>
        </w:rPr>
        <w:t>温州众晟工程管理有限公司</w:t>
      </w:r>
      <w:r>
        <w:rPr>
          <w:rFonts w:hint="eastAsia" w:ascii="宋体" w:hAnsi="宋体" w:eastAsia="宋体" w:cs="宋体"/>
          <w:bCs/>
          <w:color w:val="auto"/>
          <w:kern w:val="0"/>
          <w:sz w:val="22"/>
          <w:szCs w:val="22"/>
          <w:highlight w:val="none"/>
        </w:rPr>
        <w:t>评标室（</w:t>
      </w:r>
      <w:r>
        <w:rPr>
          <w:rFonts w:hint="eastAsia" w:ascii="宋体" w:eastAsia="宋体"/>
          <w:b w:val="0"/>
          <w:bCs/>
          <w:color w:val="auto"/>
          <w:sz w:val="22"/>
          <w:szCs w:val="22"/>
          <w:highlight w:val="none"/>
        </w:rPr>
        <w:t>温州市瓯海区新桥街道金达路33号2楼</w:t>
      </w:r>
      <w:r>
        <w:rPr>
          <w:rFonts w:hint="eastAsia" w:ascii="宋体" w:hAnsi="宋体" w:eastAsia="宋体" w:cs="宋体"/>
          <w:bCs/>
          <w:color w:val="auto"/>
          <w:kern w:val="0"/>
          <w:sz w:val="22"/>
          <w:szCs w:val="22"/>
          <w:highlight w:val="none"/>
        </w:rPr>
        <w:t>）/</w:t>
      </w:r>
      <w:r>
        <w:rPr>
          <w:rFonts w:hint="eastAsia" w:ascii="宋体" w:hAnsi="宋体" w:eastAsia="宋体" w:cs="宋体"/>
          <w:color w:val="auto"/>
          <w:kern w:val="0"/>
          <w:sz w:val="22"/>
          <w:szCs w:val="22"/>
          <w:highlight w:val="none"/>
        </w:rPr>
        <w:t>政府采购云平台（www.zcygov.cn）在线开标</w:t>
      </w:r>
    </w:p>
    <w:p>
      <w:pPr>
        <w:adjustRightInd w:val="0"/>
        <w:snapToGrid w:val="0"/>
        <w:spacing w:line="360" w:lineRule="exact"/>
        <w:rPr>
          <w:rFonts w:ascii="宋体" w:hAnsi="宋体" w:cs="宋体"/>
          <w:b/>
          <w:bCs/>
          <w:color w:val="auto"/>
          <w:sz w:val="22"/>
          <w:highlight w:val="none"/>
        </w:rPr>
      </w:pPr>
      <w:r>
        <w:rPr>
          <w:rFonts w:hint="eastAsia" w:ascii="宋体" w:hAnsi="宋体" w:cs="宋体"/>
          <w:b/>
          <w:bCs/>
          <w:color w:val="auto"/>
          <w:sz w:val="22"/>
          <w:highlight w:val="none"/>
        </w:rPr>
        <w:t>五、公告期限 </w:t>
      </w:r>
    </w:p>
    <w:p>
      <w:pPr>
        <w:adjustRightInd w:val="0"/>
        <w:snapToGrid w:val="0"/>
        <w:spacing w:line="360" w:lineRule="exact"/>
        <w:rPr>
          <w:rFonts w:ascii="宋体" w:hAnsi="宋体" w:cs="宋体"/>
          <w:color w:val="auto"/>
          <w:sz w:val="22"/>
          <w:highlight w:val="none"/>
        </w:rPr>
      </w:pPr>
      <w:r>
        <w:rPr>
          <w:rFonts w:hint="eastAsia" w:ascii="宋体" w:hAnsi="宋体" w:cs="宋体"/>
          <w:color w:val="auto"/>
          <w:sz w:val="22"/>
          <w:highlight w:val="none"/>
        </w:rPr>
        <w:t>   自本公告发布之日起5个工作日。</w:t>
      </w:r>
    </w:p>
    <w:p>
      <w:pPr>
        <w:adjustRightInd w:val="0"/>
        <w:snapToGrid w:val="0"/>
        <w:spacing w:line="360" w:lineRule="exact"/>
        <w:rPr>
          <w:rFonts w:ascii="宋体" w:hAnsi="宋体" w:cs="宋体"/>
          <w:b/>
          <w:bCs/>
          <w:color w:val="auto"/>
          <w:sz w:val="22"/>
          <w:highlight w:val="none"/>
        </w:rPr>
      </w:pPr>
      <w:r>
        <w:rPr>
          <w:rFonts w:hint="eastAsia" w:ascii="宋体" w:hAnsi="宋体" w:cs="宋体"/>
          <w:b/>
          <w:bCs/>
          <w:color w:val="auto"/>
          <w:sz w:val="22"/>
          <w:highlight w:val="none"/>
        </w:rPr>
        <w:t>六、其他补充事宜</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19"/>
        <w:spacing w:before="0" w:beforeAutospacing="0" w:after="0" w:afterAutospacing="0" w:line="400" w:lineRule="exact"/>
        <w:ind w:firstLine="440" w:firstLineChars="200"/>
        <w:jc w:val="both"/>
        <w:rPr>
          <w:color w:val="auto"/>
          <w:sz w:val="22"/>
          <w:highlight w:val="none"/>
        </w:rPr>
      </w:pPr>
      <w:r>
        <w:rPr>
          <w:rFonts w:hint="eastAsia"/>
          <w:color w:val="auto"/>
          <w:sz w:val="22"/>
          <w:highlight w:val="none"/>
        </w:rPr>
        <w:t>3.其他事项：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投标文件的传输递交：投标供应商在投标截止时间前将加密的投标文件上传至政府采购云平台； ⑥投标文件的解密：投标供应商按照平台提示和招标文件的规定在半小时内完成在线解密；⑦ 具体操作指南：详见政采云平台“服务中心-帮助文档-项目采购-操作流程-电子招投标-政府采购项目电子交易管理操作指南-供应商”：浙江省政府采购项目政采云平台学习专题https://edu.zcygov.cn/luban/e-biding。</w:t>
      </w:r>
    </w:p>
    <w:p>
      <w:pPr>
        <w:adjustRightInd w:val="0"/>
        <w:snapToGrid w:val="0"/>
        <w:spacing w:line="440" w:lineRule="exact"/>
        <w:jc w:val="left"/>
        <w:rPr>
          <w:rFonts w:ascii="宋体" w:hAnsi="宋体" w:cs="宋体"/>
          <w:b/>
          <w:bCs/>
          <w:color w:val="auto"/>
          <w:sz w:val="22"/>
          <w:highlight w:val="none"/>
        </w:rPr>
      </w:pPr>
      <w:r>
        <w:rPr>
          <w:rFonts w:hint="eastAsia" w:ascii="宋体" w:hAnsi="宋体" w:cs="宋体"/>
          <w:b/>
          <w:bCs/>
          <w:color w:val="auto"/>
          <w:sz w:val="22"/>
          <w:highlight w:val="none"/>
        </w:rPr>
        <w:t>七、对本次采购提出询问、质疑、投诉，请按以下方式联系</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1.采购人信息</w:t>
      </w:r>
    </w:p>
    <w:p>
      <w:pPr>
        <w:pStyle w:val="19"/>
        <w:spacing w:before="0" w:beforeAutospacing="0" w:after="0" w:afterAutospacing="0" w:line="400" w:lineRule="exact"/>
        <w:rPr>
          <w:color w:val="auto"/>
          <w:sz w:val="22"/>
          <w:highlight w:val="none"/>
        </w:rPr>
      </w:pPr>
      <w:r>
        <w:rPr>
          <w:rFonts w:hint="eastAsia"/>
          <w:color w:val="auto"/>
          <w:sz w:val="22"/>
          <w:highlight w:val="none"/>
        </w:rPr>
        <w:t>    名    称：温州市城乡规划展示馆 </w:t>
      </w:r>
    </w:p>
    <w:p>
      <w:pPr>
        <w:pStyle w:val="19"/>
        <w:spacing w:before="0" w:beforeAutospacing="0" w:after="0" w:afterAutospacing="0" w:line="400" w:lineRule="exact"/>
        <w:ind w:firstLine="660"/>
        <w:rPr>
          <w:color w:val="auto"/>
          <w:sz w:val="22"/>
          <w:highlight w:val="none"/>
        </w:rPr>
      </w:pPr>
      <w:r>
        <w:rPr>
          <w:rFonts w:hint="eastAsia"/>
          <w:color w:val="auto"/>
          <w:sz w:val="22"/>
          <w:highlight w:val="none"/>
        </w:rPr>
        <w:t>地    址：温州市鹿城区惠民路856号</w:t>
      </w:r>
    </w:p>
    <w:p>
      <w:pPr>
        <w:pStyle w:val="19"/>
        <w:spacing w:before="0" w:beforeAutospacing="0" w:after="0" w:afterAutospacing="0" w:line="400" w:lineRule="exact"/>
        <w:ind w:firstLine="660"/>
        <w:rPr>
          <w:color w:val="auto"/>
          <w:sz w:val="22"/>
          <w:highlight w:val="none"/>
        </w:rPr>
      </w:pPr>
      <w:r>
        <w:rPr>
          <w:rFonts w:hint="eastAsia"/>
          <w:color w:val="auto"/>
          <w:sz w:val="22"/>
          <w:highlight w:val="none"/>
        </w:rPr>
        <w:t>传     真：/  </w:t>
      </w:r>
    </w:p>
    <w:p>
      <w:pPr>
        <w:pStyle w:val="19"/>
        <w:spacing w:before="0" w:beforeAutospacing="0" w:after="0" w:afterAutospacing="0" w:line="400" w:lineRule="exact"/>
        <w:rPr>
          <w:color w:val="auto"/>
          <w:sz w:val="22"/>
          <w:highlight w:val="none"/>
        </w:rPr>
      </w:pPr>
      <w:r>
        <w:rPr>
          <w:rFonts w:hint="eastAsia"/>
          <w:color w:val="auto"/>
          <w:sz w:val="22"/>
          <w:highlight w:val="none"/>
        </w:rPr>
        <w:t>    项目联系人（询问）：张弛  </w:t>
      </w:r>
    </w:p>
    <w:p>
      <w:pPr>
        <w:pStyle w:val="19"/>
        <w:spacing w:before="0" w:beforeAutospacing="0" w:after="0" w:afterAutospacing="0" w:line="400" w:lineRule="exact"/>
        <w:rPr>
          <w:color w:val="auto"/>
          <w:sz w:val="22"/>
          <w:highlight w:val="none"/>
        </w:rPr>
      </w:pPr>
      <w:r>
        <w:rPr>
          <w:rFonts w:hint="eastAsia"/>
          <w:color w:val="auto"/>
          <w:sz w:val="22"/>
          <w:highlight w:val="none"/>
        </w:rPr>
        <w:t>    项目联系方式（询问）：0577-88366208</w:t>
      </w:r>
    </w:p>
    <w:p>
      <w:pPr>
        <w:pStyle w:val="19"/>
        <w:spacing w:before="0" w:beforeAutospacing="0" w:after="0" w:afterAutospacing="0" w:line="400" w:lineRule="exact"/>
        <w:rPr>
          <w:color w:val="auto"/>
          <w:sz w:val="22"/>
          <w:highlight w:val="none"/>
        </w:rPr>
      </w:pPr>
      <w:r>
        <w:rPr>
          <w:rFonts w:hint="eastAsia"/>
          <w:color w:val="auto"/>
          <w:sz w:val="22"/>
          <w:highlight w:val="none"/>
        </w:rPr>
        <w:t>    质疑联系人：李晓婷 </w:t>
      </w:r>
    </w:p>
    <w:p>
      <w:pPr>
        <w:pStyle w:val="19"/>
        <w:spacing w:before="0" w:beforeAutospacing="0" w:after="0" w:afterAutospacing="0" w:line="400" w:lineRule="exact"/>
        <w:ind w:firstLine="660"/>
        <w:rPr>
          <w:color w:val="auto"/>
          <w:sz w:val="22"/>
          <w:highlight w:val="none"/>
        </w:rPr>
      </w:pPr>
      <w:r>
        <w:rPr>
          <w:rFonts w:hint="eastAsia"/>
          <w:color w:val="auto"/>
          <w:sz w:val="22"/>
          <w:highlight w:val="none"/>
        </w:rPr>
        <w:t>质疑联系方式：0577-88366208</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2.采购代理机构信息            </w:t>
      </w:r>
    </w:p>
    <w:p>
      <w:pPr>
        <w:pStyle w:val="19"/>
        <w:spacing w:before="0" w:beforeAutospacing="0" w:after="0" w:afterAutospacing="0" w:line="400" w:lineRule="exact"/>
        <w:rPr>
          <w:color w:val="auto"/>
          <w:sz w:val="22"/>
          <w:highlight w:val="none"/>
        </w:rPr>
      </w:pPr>
      <w:r>
        <w:rPr>
          <w:rFonts w:hint="eastAsia"/>
          <w:color w:val="auto"/>
          <w:sz w:val="22"/>
          <w:highlight w:val="none"/>
        </w:rPr>
        <w:t>    名    称：</w:t>
      </w:r>
      <w:r>
        <w:rPr>
          <w:rFonts w:hint="eastAsia"/>
          <w:color w:val="auto"/>
          <w:sz w:val="22"/>
          <w:highlight w:val="none"/>
          <w:lang w:eastAsia="zh-CN"/>
        </w:rPr>
        <w:t>温州众晟工程管理有限公司</w:t>
      </w:r>
      <w:r>
        <w:rPr>
          <w:rFonts w:hint="eastAsia"/>
          <w:color w:val="auto"/>
          <w:sz w:val="22"/>
          <w:highlight w:val="none"/>
        </w:rPr>
        <w:t>             </w:t>
      </w:r>
    </w:p>
    <w:p>
      <w:pPr>
        <w:pStyle w:val="19"/>
        <w:spacing w:before="0" w:beforeAutospacing="0" w:after="0" w:afterAutospacing="0" w:line="400" w:lineRule="exact"/>
        <w:rPr>
          <w:color w:val="auto"/>
          <w:sz w:val="22"/>
          <w:highlight w:val="none"/>
        </w:rPr>
      </w:pPr>
      <w:r>
        <w:rPr>
          <w:rFonts w:hint="eastAsia"/>
          <w:color w:val="auto"/>
          <w:sz w:val="22"/>
          <w:highlight w:val="none"/>
        </w:rPr>
        <w:t>    地    址：</w:t>
      </w:r>
      <w:r>
        <w:rPr>
          <w:rFonts w:hint="eastAsia" w:ascii="宋体" w:eastAsia="宋体"/>
          <w:b w:val="0"/>
          <w:bCs/>
          <w:color w:val="auto"/>
          <w:sz w:val="22"/>
          <w:szCs w:val="22"/>
          <w:highlight w:val="none"/>
        </w:rPr>
        <w:t>温州市瓯海区新桥街道金达路33号2楼</w:t>
      </w:r>
      <w:r>
        <w:rPr>
          <w:rFonts w:hint="eastAsia"/>
          <w:color w:val="auto"/>
          <w:sz w:val="22"/>
          <w:highlight w:val="none"/>
        </w:rPr>
        <w:t xml:space="preserve">          </w:t>
      </w:r>
    </w:p>
    <w:p>
      <w:pPr>
        <w:widowControl/>
        <w:spacing w:line="400" w:lineRule="exact"/>
        <w:ind w:firstLine="330" w:firstLineChars="150"/>
        <w:jc w:val="left"/>
        <w:rPr>
          <w:rFonts w:ascii="宋体" w:hAnsi="宋体" w:cs="宋体"/>
          <w:color w:val="auto"/>
          <w:sz w:val="22"/>
          <w:highlight w:val="none"/>
        </w:rPr>
      </w:pPr>
      <w:r>
        <w:rPr>
          <w:rFonts w:hint="eastAsia" w:ascii="宋体" w:hAnsi="宋体" w:cs="宋体"/>
          <w:color w:val="auto"/>
          <w:sz w:val="22"/>
          <w:highlight w:val="none"/>
        </w:rPr>
        <w:t>  传    真：/</w:t>
      </w:r>
    </w:p>
    <w:p>
      <w:pPr>
        <w:widowControl/>
        <w:spacing w:line="400" w:lineRule="exact"/>
        <w:ind w:firstLine="660" w:firstLineChars="300"/>
        <w:jc w:val="left"/>
        <w:rPr>
          <w:rFonts w:ascii="宋体" w:hAnsi="宋体" w:cs="宋体"/>
          <w:color w:val="auto"/>
          <w:sz w:val="22"/>
          <w:highlight w:val="none"/>
        </w:rPr>
      </w:pPr>
      <w:r>
        <w:rPr>
          <w:rFonts w:hint="eastAsia" w:ascii="宋体" w:hAnsi="宋体" w:cs="宋体"/>
          <w:color w:val="auto"/>
          <w:sz w:val="22"/>
          <w:highlight w:val="none"/>
        </w:rPr>
        <w:t>项目联系人（询问）：</w:t>
      </w:r>
      <w:r>
        <w:rPr>
          <w:rFonts w:hint="eastAsia" w:eastAsia="宋体" w:cs="宋体"/>
          <w:color w:val="auto"/>
          <w:sz w:val="22"/>
          <w:szCs w:val="22"/>
          <w:highlight w:val="none"/>
          <w:lang w:eastAsia="zh-CN"/>
        </w:rPr>
        <w:t>林中一</w:t>
      </w:r>
      <w:r>
        <w:rPr>
          <w:rFonts w:hint="eastAsia" w:ascii="宋体" w:hAnsi="宋体" w:cs="宋体"/>
          <w:color w:val="auto"/>
          <w:sz w:val="22"/>
          <w:highlight w:val="none"/>
        </w:rPr>
        <w:t>         </w:t>
      </w:r>
    </w:p>
    <w:p>
      <w:pPr>
        <w:widowControl/>
        <w:spacing w:line="400" w:lineRule="exact"/>
        <w:ind w:firstLine="660" w:firstLineChars="300"/>
        <w:jc w:val="left"/>
        <w:rPr>
          <w:rFonts w:ascii="宋体" w:hAnsi="宋体" w:cs="宋体"/>
          <w:color w:val="auto"/>
          <w:sz w:val="22"/>
          <w:highlight w:val="none"/>
        </w:rPr>
      </w:pPr>
      <w:r>
        <w:rPr>
          <w:rFonts w:hint="eastAsia" w:ascii="宋体" w:hAnsi="宋体" w:cs="宋体"/>
          <w:color w:val="auto"/>
          <w:sz w:val="22"/>
          <w:highlight w:val="none"/>
        </w:rPr>
        <w:t>项目联系方式（询问）：</w:t>
      </w:r>
      <w:r>
        <w:rPr>
          <w:rFonts w:hint="eastAsia" w:eastAsia="宋体" w:cs="宋体"/>
          <w:color w:val="auto"/>
          <w:sz w:val="22"/>
          <w:szCs w:val="22"/>
          <w:highlight w:val="none"/>
          <w:lang w:val="en-US" w:eastAsia="zh-CN"/>
        </w:rPr>
        <w:t>13758789923</w:t>
      </w:r>
    </w:p>
    <w:p>
      <w:pPr>
        <w:widowControl/>
        <w:spacing w:line="400" w:lineRule="exact"/>
        <w:ind w:firstLine="660" w:firstLineChars="300"/>
        <w:jc w:val="left"/>
        <w:rPr>
          <w:rFonts w:ascii="宋体" w:hAnsi="宋体" w:cs="宋体"/>
          <w:color w:val="auto"/>
          <w:sz w:val="22"/>
          <w:highlight w:val="none"/>
        </w:rPr>
      </w:pPr>
      <w:r>
        <w:rPr>
          <w:rFonts w:hint="eastAsia" w:ascii="宋体" w:hAnsi="宋体" w:cs="宋体"/>
          <w:color w:val="auto"/>
          <w:sz w:val="22"/>
          <w:highlight w:val="none"/>
        </w:rPr>
        <w:t>质疑联系人：</w:t>
      </w:r>
      <w:r>
        <w:rPr>
          <w:rFonts w:hint="eastAsia" w:eastAsia="宋体" w:cs="宋体"/>
          <w:color w:val="auto"/>
          <w:sz w:val="22"/>
          <w:szCs w:val="22"/>
          <w:highlight w:val="none"/>
          <w:lang w:eastAsia="zh-CN"/>
        </w:rPr>
        <w:t>金乐俊</w:t>
      </w:r>
      <w:r>
        <w:rPr>
          <w:rFonts w:hint="eastAsia" w:ascii="宋体" w:hAnsi="宋体" w:cs="宋体"/>
          <w:color w:val="auto"/>
          <w:sz w:val="22"/>
          <w:highlight w:val="none"/>
        </w:rPr>
        <w:t>             </w:t>
      </w:r>
    </w:p>
    <w:p>
      <w:pPr>
        <w:pStyle w:val="19"/>
        <w:spacing w:before="0" w:beforeAutospacing="0" w:after="0" w:afterAutospacing="0" w:line="400" w:lineRule="exact"/>
        <w:ind w:left="440" w:hanging="440" w:hangingChars="200"/>
        <w:rPr>
          <w:color w:val="auto"/>
          <w:sz w:val="22"/>
          <w:highlight w:val="none"/>
        </w:rPr>
      </w:pPr>
      <w:r>
        <w:rPr>
          <w:rFonts w:hint="eastAsia"/>
          <w:color w:val="auto"/>
          <w:sz w:val="22"/>
          <w:highlight w:val="none"/>
        </w:rPr>
        <w:t>     质疑联系方式：</w:t>
      </w:r>
      <w:r>
        <w:rPr>
          <w:rFonts w:hint="eastAsia" w:ascii="宋体" w:hAnsi="宋体" w:eastAsia="宋体" w:cs="宋体"/>
          <w:color w:val="auto"/>
          <w:sz w:val="22"/>
          <w:szCs w:val="22"/>
          <w:highlight w:val="none"/>
        </w:rPr>
        <w:t>0577-88722889</w:t>
      </w:r>
      <w:r>
        <w:rPr>
          <w:rFonts w:hint="eastAsia"/>
          <w:color w:val="auto"/>
          <w:sz w:val="22"/>
          <w:highlight w:val="none"/>
        </w:rPr>
        <w:t>　 　　　　　　     </w:t>
      </w:r>
    </w:p>
    <w:p>
      <w:pPr>
        <w:pStyle w:val="19"/>
        <w:spacing w:before="0" w:beforeAutospacing="0" w:after="0" w:afterAutospacing="0" w:line="400" w:lineRule="exact"/>
        <w:ind w:left="437" w:leftChars="208"/>
        <w:rPr>
          <w:color w:val="auto"/>
          <w:sz w:val="22"/>
          <w:highlight w:val="none"/>
        </w:rPr>
      </w:pPr>
      <w:r>
        <w:rPr>
          <w:rFonts w:hint="eastAsia"/>
          <w:color w:val="auto"/>
          <w:sz w:val="22"/>
          <w:highlight w:val="none"/>
        </w:rPr>
        <w:t>3.同级政府采购监督管理部门            </w:t>
      </w:r>
    </w:p>
    <w:p>
      <w:pPr>
        <w:pStyle w:val="19"/>
        <w:spacing w:before="0" w:beforeAutospacing="0" w:after="0" w:afterAutospacing="0" w:line="400" w:lineRule="exact"/>
        <w:rPr>
          <w:color w:val="auto"/>
          <w:sz w:val="22"/>
          <w:highlight w:val="none"/>
        </w:rPr>
      </w:pPr>
      <w:r>
        <w:rPr>
          <w:rFonts w:hint="eastAsia"/>
          <w:color w:val="auto"/>
          <w:sz w:val="22"/>
          <w:highlight w:val="none"/>
        </w:rPr>
        <w:t>    名    称：</w:t>
      </w:r>
      <w:r>
        <w:rPr>
          <w:rFonts w:hint="eastAsia"/>
          <w:color w:val="auto"/>
          <w:sz w:val="22"/>
          <w:highlight w:val="none"/>
          <w:lang w:bidi="ar"/>
        </w:rPr>
        <w:t>温州市财政局政府采购监管处</w:t>
      </w:r>
      <w:r>
        <w:rPr>
          <w:rFonts w:hint="eastAsia"/>
          <w:color w:val="auto"/>
          <w:sz w:val="22"/>
          <w:highlight w:val="none"/>
        </w:rPr>
        <w:t>             </w:t>
      </w:r>
    </w:p>
    <w:p>
      <w:pPr>
        <w:pStyle w:val="19"/>
        <w:spacing w:before="0" w:beforeAutospacing="0" w:after="0" w:afterAutospacing="0" w:line="400" w:lineRule="exact"/>
        <w:rPr>
          <w:color w:val="auto"/>
          <w:sz w:val="22"/>
          <w:highlight w:val="none"/>
        </w:rPr>
      </w:pPr>
      <w:r>
        <w:rPr>
          <w:rFonts w:hint="eastAsia"/>
          <w:color w:val="auto"/>
          <w:sz w:val="22"/>
          <w:highlight w:val="none"/>
        </w:rPr>
        <w:t>    地    址：</w:t>
      </w:r>
      <w:r>
        <w:rPr>
          <w:rFonts w:hint="eastAsia"/>
          <w:color w:val="auto"/>
          <w:sz w:val="22"/>
          <w:highlight w:val="none"/>
          <w:lang w:bidi="ar"/>
        </w:rPr>
        <w:t>温州市鹿城区绣山路299号</w:t>
      </w:r>
      <w:r>
        <w:rPr>
          <w:rFonts w:hint="eastAsia"/>
          <w:color w:val="auto"/>
          <w:sz w:val="22"/>
          <w:highlight w:val="none"/>
        </w:rPr>
        <w:t>             </w:t>
      </w:r>
    </w:p>
    <w:p>
      <w:pPr>
        <w:pStyle w:val="19"/>
        <w:spacing w:before="0" w:beforeAutospacing="0" w:after="0" w:afterAutospacing="0" w:line="400" w:lineRule="exact"/>
        <w:rPr>
          <w:color w:val="auto"/>
          <w:sz w:val="22"/>
          <w:highlight w:val="none"/>
        </w:rPr>
      </w:pPr>
      <w:r>
        <w:rPr>
          <w:rFonts w:hint="eastAsia"/>
          <w:color w:val="auto"/>
          <w:sz w:val="22"/>
          <w:highlight w:val="none"/>
        </w:rPr>
        <w:t>    传     真：/             </w:t>
      </w:r>
    </w:p>
    <w:p>
      <w:pPr>
        <w:pStyle w:val="19"/>
        <w:spacing w:before="0" w:beforeAutospacing="0" w:after="0" w:afterAutospacing="0" w:line="400" w:lineRule="exact"/>
        <w:ind w:firstLine="660"/>
        <w:rPr>
          <w:color w:val="auto"/>
          <w:sz w:val="22"/>
          <w:highlight w:val="none"/>
        </w:rPr>
      </w:pPr>
      <w:r>
        <w:rPr>
          <w:rFonts w:hint="eastAsia"/>
          <w:color w:val="auto"/>
          <w:sz w:val="22"/>
          <w:highlight w:val="none"/>
        </w:rPr>
        <w:t>联系人 ：</w:t>
      </w:r>
      <w:r>
        <w:rPr>
          <w:rFonts w:hint="eastAsia"/>
          <w:color w:val="auto"/>
          <w:sz w:val="22"/>
          <w:highlight w:val="none"/>
          <w:lang w:bidi="ar"/>
        </w:rPr>
        <w:t>项先生、蔡女士</w:t>
      </w:r>
    </w:p>
    <w:p>
      <w:pPr>
        <w:pStyle w:val="19"/>
        <w:spacing w:before="0" w:beforeAutospacing="0" w:after="0" w:afterAutospacing="0" w:line="400" w:lineRule="exact"/>
        <w:ind w:firstLine="660"/>
        <w:rPr>
          <w:color w:val="auto"/>
          <w:sz w:val="22"/>
          <w:highlight w:val="none"/>
        </w:rPr>
      </w:pPr>
      <w:r>
        <w:rPr>
          <w:rFonts w:hint="eastAsia"/>
          <w:color w:val="auto"/>
          <w:sz w:val="22"/>
          <w:highlight w:val="none"/>
        </w:rPr>
        <w:t>监督投诉电话：</w:t>
      </w:r>
      <w:r>
        <w:rPr>
          <w:rFonts w:hint="eastAsia"/>
          <w:color w:val="auto"/>
          <w:sz w:val="22"/>
          <w:highlight w:val="none"/>
          <w:lang w:bidi="ar"/>
        </w:rPr>
        <w:t>0577-88532725、88521948</w:t>
      </w:r>
      <w:r>
        <w:rPr>
          <w:rFonts w:hint="eastAsia"/>
          <w:color w:val="auto"/>
          <w:sz w:val="22"/>
          <w:highlight w:val="none"/>
        </w:rPr>
        <w:t>       </w:t>
      </w:r>
    </w:p>
    <w:p>
      <w:pPr>
        <w:pStyle w:val="19"/>
        <w:spacing w:before="0" w:beforeAutospacing="0" w:after="0" w:afterAutospacing="0" w:line="360" w:lineRule="exact"/>
        <w:ind w:firstLine="440" w:firstLineChars="200"/>
        <w:rPr>
          <w:color w:val="auto"/>
          <w:kern w:val="2"/>
          <w:sz w:val="22"/>
          <w:highlight w:val="none"/>
        </w:rPr>
      </w:pPr>
    </w:p>
    <w:p>
      <w:pPr>
        <w:pStyle w:val="19"/>
        <w:spacing w:before="0" w:beforeAutospacing="0" w:after="0" w:afterAutospacing="0" w:line="360" w:lineRule="exact"/>
        <w:rPr>
          <w:color w:val="auto"/>
          <w:kern w:val="2"/>
          <w:sz w:val="22"/>
          <w:highlight w:val="none"/>
        </w:rPr>
      </w:pPr>
      <w:r>
        <w:rPr>
          <w:rFonts w:hint="eastAsia"/>
          <w:color w:val="auto"/>
          <w:kern w:val="2"/>
          <w:sz w:val="22"/>
          <w:highlight w:val="none"/>
        </w:rPr>
        <w:t>若对项目采购电子交易系统操作有疑问，可登录政采云（https://www.zcygov.cn），点击右侧咨询小采，获取采小蜜智能服务管家帮助，或拨打政采云服务热线95763获取热线服务帮助。</w:t>
      </w:r>
    </w:p>
    <w:p>
      <w:pPr>
        <w:pStyle w:val="19"/>
        <w:spacing w:before="0" w:beforeAutospacing="0" w:after="0" w:afterAutospacing="0" w:line="360" w:lineRule="exact"/>
        <w:rPr>
          <w:color w:val="auto"/>
          <w:kern w:val="2"/>
          <w:sz w:val="22"/>
          <w:highlight w:val="none"/>
        </w:rPr>
      </w:pPr>
      <w:r>
        <w:rPr>
          <w:rFonts w:hint="eastAsia"/>
          <w:color w:val="auto"/>
          <w:kern w:val="2"/>
          <w:sz w:val="22"/>
          <w:highlight w:val="none"/>
        </w:rPr>
        <w:t>CA问题联系电话（人工）：汇信CA 400-888-4636；天谷CA 400-087-8198。</w:t>
      </w:r>
    </w:p>
    <w:p>
      <w:pPr>
        <w:rPr>
          <w:rFonts w:ascii="宋体" w:hAnsi="宋体" w:cs="宋体"/>
          <w:color w:val="auto"/>
          <w:sz w:val="22"/>
          <w:highlight w:val="none"/>
        </w:rPr>
      </w:pPr>
      <w:r>
        <w:rPr>
          <w:rFonts w:hint="eastAsia" w:ascii="宋体" w:hAnsi="宋体" w:cs="宋体"/>
          <w:color w:val="auto"/>
          <w:sz w:val="22"/>
          <w:highlight w:val="none"/>
        </w:rPr>
        <w:br w:type="page"/>
      </w:r>
    </w:p>
    <w:p>
      <w:pPr>
        <w:pStyle w:val="2"/>
        <w:spacing w:line="240" w:lineRule="auto"/>
        <w:jc w:val="center"/>
        <w:rPr>
          <w:rFonts w:ascii="宋体" w:hAnsi="宋体" w:cs="宋体"/>
          <w:bCs w:val="0"/>
          <w:color w:val="auto"/>
          <w:kern w:val="2"/>
          <w:sz w:val="32"/>
          <w:szCs w:val="22"/>
          <w:highlight w:val="none"/>
        </w:rPr>
      </w:pPr>
      <w:bookmarkStart w:id="2" w:name="_Toc24360"/>
      <w:r>
        <w:rPr>
          <w:rFonts w:hint="eastAsia" w:ascii="宋体" w:hAnsi="宋体" w:cs="宋体"/>
          <w:bCs w:val="0"/>
          <w:color w:val="auto"/>
          <w:kern w:val="2"/>
          <w:sz w:val="32"/>
          <w:szCs w:val="22"/>
          <w:highlight w:val="none"/>
        </w:rPr>
        <w:t>第二部分     投标供应商须知</w:t>
      </w:r>
      <w:bookmarkEnd w:id="2"/>
    </w:p>
    <w:p>
      <w:pPr>
        <w:pStyle w:val="3"/>
        <w:numPr>
          <w:ilvl w:val="0"/>
          <w:numId w:val="0"/>
        </w:numPr>
        <w:spacing w:line="240" w:lineRule="auto"/>
        <w:ind w:left="573" w:hanging="573"/>
        <w:jc w:val="center"/>
        <w:rPr>
          <w:color w:val="auto"/>
          <w:highlight w:val="none"/>
        </w:rPr>
      </w:pPr>
      <w:bookmarkStart w:id="3" w:name="_Toc6058"/>
      <w:r>
        <w:rPr>
          <w:rFonts w:hint="eastAsia"/>
          <w:color w:val="auto"/>
          <w:highlight w:val="none"/>
        </w:rPr>
        <w:t>投标供应商须知前附表</w:t>
      </w:r>
      <w:bookmarkEnd w:id="3"/>
    </w:p>
    <w:tbl>
      <w:tblPr>
        <w:tblStyle w:val="22"/>
        <w:tblW w:w="10008" w:type="dxa"/>
        <w:tblInd w:w="0" w:type="dxa"/>
        <w:tblLayout w:type="fixed"/>
        <w:tblCellMar>
          <w:top w:w="0" w:type="dxa"/>
          <w:left w:w="108" w:type="dxa"/>
          <w:bottom w:w="0" w:type="dxa"/>
          <w:right w:w="108" w:type="dxa"/>
        </w:tblCellMar>
      </w:tblPr>
      <w:tblGrid>
        <w:gridCol w:w="1001"/>
        <w:gridCol w:w="1712"/>
        <w:gridCol w:w="7295"/>
      </w:tblGrid>
      <w:tr>
        <w:tblPrEx>
          <w:tblCellMar>
            <w:top w:w="0" w:type="dxa"/>
            <w:left w:w="108" w:type="dxa"/>
            <w:bottom w:w="0" w:type="dxa"/>
            <w:right w:w="108" w:type="dxa"/>
          </w:tblCellMar>
        </w:tblPrEx>
        <w:trPr>
          <w:trHeight w:val="340" w:hRule="atLeast"/>
          <w:tblHeader/>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b/>
                <w:color w:val="auto"/>
                <w:kern w:val="0"/>
                <w:sz w:val="22"/>
                <w:highlight w:val="none"/>
              </w:rPr>
            </w:pPr>
            <w:r>
              <w:rPr>
                <w:rFonts w:hint="eastAsia" w:ascii="宋体" w:hAnsi="宋体" w:cs="宋体"/>
                <w:b/>
                <w:color w:val="auto"/>
                <w:kern w:val="0"/>
                <w:sz w:val="22"/>
                <w:highlight w:val="none"/>
              </w:rPr>
              <w:t>序号</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b/>
                <w:color w:val="auto"/>
                <w:kern w:val="0"/>
                <w:sz w:val="22"/>
                <w:highlight w:val="none"/>
              </w:rPr>
            </w:pPr>
            <w:r>
              <w:rPr>
                <w:rFonts w:hint="eastAsia" w:ascii="宋体" w:hAnsi="宋体" w:cs="宋体"/>
                <w:b/>
                <w:color w:val="auto"/>
                <w:kern w:val="0"/>
                <w:sz w:val="22"/>
                <w:highlight w:val="none"/>
              </w:rPr>
              <w:t>项  目</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b/>
                <w:color w:val="auto"/>
                <w:kern w:val="0"/>
                <w:sz w:val="22"/>
                <w:highlight w:val="none"/>
              </w:rPr>
            </w:pPr>
            <w:r>
              <w:rPr>
                <w:rFonts w:hint="eastAsia" w:ascii="宋体" w:hAnsi="宋体" w:cs="宋体"/>
                <w:b/>
                <w:color w:val="auto"/>
                <w:kern w:val="0"/>
                <w:sz w:val="22"/>
                <w:highlight w:val="none"/>
              </w:rPr>
              <w:t>内  容</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项目名称、编号</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t>见第一部分“招标公告”</w:t>
            </w:r>
          </w:p>
        </w:tc>
      </w:tr>
      <w:tr>
        <w:tblPrEx>
          <w:tblCellMar>
            <w:top w:w="0" w:type="dxa"/>
            <w:left w:w="108" w:type="dxa"/>
            <w:bottom w:w="0" w:type="dxa"/>
            <w:right w:w="108" w:type="dxa"/>
          </w:tblCellMar>
        </w:tblPrEx>
        <w:trPr>
          <w:trHeight w:val="9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采购内容</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t>见第一部分“招标公告”</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3</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采购预算及最高限价</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sz w:val="22"/>
                <w:highlight w:val="none"/>
              </w:rPr>
            </w:pPr>
            <w:r>
              <w:rPr>
                <w:rFonts w:hint="eastAsia" w:ascii="宋体" w:hAnsi="宋体" w:cs="宋体"/>
                <w:color w:val="auto"/>
                <w:kern w:val="0"/>
                <w:sz w:val="22"/>
                <w:highlight w:val="none"/>
              </w:rPr>
              <w:t>见第一部分“招标公告”</w:t>
            </w:r>
          </w:p>
        </w:tc>
      </w:tr>
      <w:tr>
        <w:tblPrEx>
          <w:tblCellMar>
            <w:top w:w="0" w:type="dxa"/>
            <w:left w:w="108" w:type="dxa"/>
            <w:bottom w:w="0" w:type="dxa"/>
            <w:right w:w="108" w:type="dxa"/>
          </w:tblCellMar>
        </w:tblPrEx>
        <w:trPr>
          <w:trHeight w:val="401"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4</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服务期限</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sz w:val="22"/>
                <w:highlight w:val="none"/>
              </w:rPr>
            </w:pPr>
            <w:r>
              <w:rPr>
                <w:rFonts w:hint="eastAsia" w:ascii="宋体" w:hAnsi="宋体" w:cs="宋体"/>
                <w:color w:val="auto"/>
                <w:kern w:val="0"/>
                <w:sz w:val="22"/>
                <w:highlight w:val="none"/>
              </w:rPr>
              <w:t>一</w:t>
            </w:r>
            <w:r>
              <w:rPr>
                <w:rFonts w:hint="eastAsia" w:ascii="宋体" w:hAnsi="宋体" w:cs="宋体"/>
                <w:color w:val="auto"/>
                <w:kern w:val="0"/>
                <w:sz w:val="22"/>
                <w:highlight w:val="none"/>
                <w:lang w:val="zh-CN"/>
              </w:rPr>
              <w:t>年，</w:t>
            </w:r>
            <w:r>
              <w:rPr>
                <w:rFonts w:hint="eastAsia" w:ascii="宋体" w:hAnsi="宋体" w:cs="宋体"/>
                <w:color w:val="auto"/>
                <w:kern w:val="0"/>
                <w:sz w:val="22"/>
                <w:highlight w:val="none"/>
              </w:rPr>
              <w:t>具体以签订时间为准。</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5</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投标供应商资格要求</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b/>
                <w:color w:val="auto"/>
                <w:sz w:val="22"/>
                <w:highlight w:val="none"/>
              </w:rPr>
            </w:pPr>
            <w:r>
              <w:rPr>
                <w:rFonts w:hint="eastAsia" w:ascii="宋体" w:hAnsi="宋体" w:cs="宋体"/>
                <w:color w:val="auto"/>
                <w:kern w:val="0"/>
                <w:sz w:val="22"/>
                <w:highlight w:val="none"/>
              </w:rPr>
              <w:t>见第一部分“招标公告”</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6</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是否接受联合体投标</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b/>
                <w:snapToGrid w:val="0"/>
                <w:color w:val="auto"/>
                <w:sz w:val="22"/>
                <w:highlight w:val="none"/>
              </w:rPr>
              <w:sym w:font="Wingdings" w:char="F0FE"/>
            </w:r>
            <w:r>
              <w:rPr>
                <w:rFonts w:hint="eastAsia" w:ascii="宋体" w:hAnsi="宋体" w:cs="宋体"/>
                <w:color w:val="auto"/>
                <w:kern w:val="0"/>
                <w:sz w:val="22"/>
                <w:highlight w:val="none"/>
              </w:rPr>
              <w:t>不接受</w:t>
            </w:r>
          </w:p>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t>□接受，应满足下列要求：</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7</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踏勘现场</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t>□组织</w:t>
            </w:r>
          </w:p>
          <w:p>
            <w:pPr>
              <w:spacing w:line="320" w:lineRule="exact"/>
              <w:rPr>
                <w:rFonts w:ascii="宋体" w:hAnsi="宋体" w:cs="宋体"/>
                <w:color w:val="auto"/>
                <w:kern w:val="0"/>
                <w:sz w:val="22"/>
                <w:highlight w:val="none"/>
              </w:rPr>
            </w:pPr>
            <w:r>
              <w:rPr>
                <w:rFonts w:hint="eastAsia" w:ascii="宋体" w:hAnsi="宋体" w:cs="宋体"/>
                <w:b/>
                <w:snapToGrid w:val="0"/>
                <w:color w:val="auto"/>
                <w:sz w:val="22"/>
                <w:highlight w:val="none"/>
              </w:rPr>
              <w:sym w:font="Wingdings" w:char="F0FE"/>
            </w:r>
            <w:r>
              <w:rPr>
                <w:rFonts w:hint="eastAsia" w:ascii="宋体" w:hAnsi="宋体" w:cs="宋体"/>
                <w:color w:val="auto"/>
                <w:kern w:val="0"/>
                <w:sz w:val="22"/>
                <w:highlight w:val="none"/>
              </w:rPr>
              <w:t>不组织</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8</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开标前答疑会或现场踏勘</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b/>
                <w:snapToGrid w:val="0"/>
                <w:color w:val="auto"/>
                <w:sz w:val="22"/>
                <w:highlight w:val="none"/>
              </w:rPr>
              <w:sym w:font="Wingdings" w:char="F0FE"/>
            </w:r>
            <w:r>
              <w:rPr>
                <w:rFonts w:hint="eastAsia" w:ascii="宋体" w:hAnsi="宋体" w:cs="宋体"/>
                <w:color w:val="auto"/>
                <w:kern w:val="0"/>
                <w:sz w:val="22"/>
                <w:highlight w:val="none"/>
              </w:rPr>
              <w:t>不组织。</w:t>
            </w:r>
          </w:p>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sym w:font="Wingdings" w:char="00A8"/>
            </w:r>
            <w:r>
              <w:rPr>
                <w:rFonts w:hint="eastAsia" w:ascii="宋体" w:hAnsi="宋体" w:cs="宋体"/>
                <w:color w:val="auto"/>
                <w:kern w:val="0"/>
                <w:sz w:val="22"/>
                <w:highlight w:val="none"/>
              </w:rPr>
              <w:t xml:space="preserve"> 组织，时间：</w:t>
            </w:r>
            <w:r>
              <w:rPr>
                <w:rFonts w:hint="eastAsia" w:ascii="宋体" w:hAnsi="宋体" w:cs="宋体"/>
                <w:color w:val="auto"/>
                <w:kern w:val="0"/>
                <w:sz w:val="22"/>
                <w:highlight w:val="none"/>
                <w:u w:val="single"/>
              </w:rPr>
              <w:t xml:space="preserve">    </w:t>
            </w:r>
            <w:r>
              <w:rPr>
                <w:rFonts w:hint="eastAsia" w:ascii="宋体" w:hAnsi="宋体" w:cs="宋体"/>
                <w:color w:val="auto"/>
                <w:kern w:val="0"/>
                <w:sz w:val="22"/>
                <w:highlight w:val="none"/>
              </w:rPr>
              <w:t>，地点：</w:t>
            </w:r>
            <w:r>
              <w:rPr>
                <w:rFonts w:hint="eastAsia" w:ascii="宋体" w:hAnsi="宋体" w:cs="宋体"/>
                <w:color w:val="auto"/>
                <w:kern w:val="0"/>
                <w:sz w:val="22"/>
                <w:highlight w:val="none"/>
                <w:u w:val="single"/>
              </w:rPr>
              <w:t xml:space="preserve">    </w:t>
            </w:r>
            <w:r>
              <w:rPr>
                <w:rFonts w:hint="eastAsia" w:ascii="宋体" w:hAnsi="宋体" w:cs="宋体"/>
                <w:color w:val="auto"/>
                <w:kern w:val="0"/>
                <w:sz w:val="22"/>
                <w:highlight w:val="none"/>
              </w:rPr>
              <w:t>，联系人：</w:t>
            </w:r>
            <w:r>
              <w:rPr>
                <w:rFonts w:hint="eastAsia" w:ascii="宋体" w:hAnsi="宋体" w:cs="宋体"/>
                <w:color w:val="auto"/>
                <w:kern w:val="0"/>
                <w:sz w:val="22"/>
                <w:highlight w:val="none"/>
                <w:u w:val="single"/>
              </w:rPr>
              <w:t xml:space="preserve">    </w:t>
            </w:r>
            <w:r>
              <w:rPr>
                <w:rFonts w:hint="eastAsia" w:ascii="宋体" w:hAnsi="宋体" w:cs="宋体"/>
                <w:color w:val="auto"/>
                <w:kern w:val="0"/>
                <w:sz w:val="22"/>
                <w:highlight w:val="none"/>
              </w:rPr>
              <w:t>，联系方式：</w:t>
            </w:r>
            <w:r>
              <w:rPr>
                <w:rFonts w:hint="eastAsia" w:ascii="宋体" w:hAnsi="宋体" w:cs="宋体"/>
                <w:color w:val="auto"/>
                <w:kern w:val="0"/>
                <w:sz w:val="22"/>
                <w:highlight w:val="none"/>
                <w:u w:val="single"/>
              </w:rPr>
              <w:t xml:space="preserve">    </w:t>
            </w:r>
            <w:r>
              <w:rPr>
                <w:rFonts w:hint="eastAsia" w:ascii="宋体" w:hAnsi="宋体" w:cs="宋体"/>
                <w:color w:val="auto"/>
                <w:kern w:val="0"/>
                <w:sz w:val="22"/>
                <w:highlight w:val="none"/>
              </w:rPr>
              <w:t>。</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9</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bCs/>
                <w:color w:val="auto"/>
                <w:sz w:val="22"/>
                <w:highlight w:val="none"/>
              </w:rPr>
              <w:t>分包与转包</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bCs/>
                <w:color w:val="auto"/>
                <w:kern w:val="0"/>
                <w:sz w:val="22"/>
                <w:highlight w:val="none"/>
              </w:rPr>
            </w:pPr>
            <w:r>
              <w:rPr>
                <w:rFonts w:hint="eastAsia" w:ascii="宋体" w:hAnsi="宋体" w:cs="宋体"/>
                <w:bCs/>
                <w:color w:val="auto"/>
                <w:kern w:val="0"/>
                <w:sz w:val="22"/>
                <w:highlight w:val="none"/>
              </w:rPr>
              <w:t>（1）分包：</w:t>
            </w:r>
          </w:p>
          <w:p>
            <w:pPr>
              <w:spacing w:line="320" w:lineRule="exact"/>
              <w:rPr>
                <w:rFonts w:ascii="宋体" w:hAnsi="宋体" w:cs="宋体"/>
                <w:bCs/>
                <w:color w:val="auto"/>
                <w:kern w:val="0"/>
                <w:sz w:val="22"/>
                <w:highlight w:val="none"/>
              </w:rPr>
            </w:pPr>
            <w:r>
              <w:rPr>
                <w:rFonts w:hint="eastAsia" w:ascii="宋体" w:hAnsi="宋体" w:cs="宋体"/>
                <w:bCs/>
                <w:color w:val="auto"/>
                <w:kern w:val="0"/>
                <w:sz w:val="22"/>
                <w:highlight w:val="none"/>
              </w:rPr>
              <w:sym w:font="Wingdings" w:char="00A8"/>
            </w:r>
            <w:r>
              <w:rPr>
                <w:rFonts w:hint="eastAsia" w:ascii="宋体" w:hAnsi="宋体" w:cs="宋体"/>
                <w:bCs/>
                <w:color w:val="auto"/>
                <w:kern w:val="0"/>
                <w:sz w:val="22"/>
                <w:highlight w:val="none"/>
              </w:rPr>
              <w:t xml:space="preserve"> 同意将非主体、非关键性的工作分包。</w:t>
            </w:r>
          </w:p>
          <w:p>
            <w:pPr>
              <w:spacing w:line="320" w:lineRule="exact"/>
              <w:rPr>
                <w:rFonts w:ascii="宋体" w:hAnsi="宋体" w:cs="宋体"/>
                <w:bCs/>
                <w:color w:val="auto"/>
                <w:kern w:val="0"/>
                <w:sz w:val="22"/>
                <w:highlight w:val="none"/>
              </w:rPr>
            </w:pPr>
            <w:r>
              <w:rPr>
                <w:rFonts w:hint="eastAsia" w:ascii="宋体" w:hAnsi="宋体" w:cs="宋体"/>
                <w:b/>
                <w:snapToGrid w:val="0"/>
                <w:color w:val="auto"/>
                <w:sz w:val="22"/>
                <w:highlight w:val="none"/>
              </w:rPr>
              <w:sym w:font="Wingdings" w:char="F0FE"/>
            </w:r>
            <w:r>
              <w:rPr>
                <w:rFonts w:hint="eastAsia" w:ascii="宋体" w:hAnsi="宋体" w:cs="宋体"/>
                <w:bCs/>
                <w:color w:val="auto"/>
                <w:kern w:val="0"/>
                <w:sz w:val="22"/>
                <w:highlight w:val="none"/>
              </w:rPr>
              <w:t>不同意分包。</w:t>
            </w:r>
          </w:p>
          <w:p>
            <w:pPr>
              <w:spacing w:line="320" w:lineRule="exact"/>
              <w:rPr>
                <w:rFonts w:ascii="宋体" w:hAnsi="宋体" w:cs="宋体"/>
                <w:color w:val="auto"/>
                <w:kern w:val="0"/>
                <w:sz w:val="22"/>
                <w:highlight w:val="none"/>
              </w:rPr>
            </w:pPr>
            <w:r>
              <w:rPr>
                <w:rFonts w:hint="eastAsia" w:ascii="宋体" w:hAnsi="宋体" w:cs="宋体"/>
                <w:bCs/>
                <w:color w:val="auto"/>
                <w:kern w:val="0"/>
                <w:sz w:val="22"/>
                <w:highlight w:val="none"/>
              </w:rPr>
              <w:t>转包：本项目不允许转包。</w:t>
            </w:r>
          </w:p>
        </w:tc>
      </w:tr>
      <w:tr>
        <w:tblPrEx>
          <w:tblCellMar>
            <w:top w:w="0" w:type="dxa"/>
            <w:left w:w="108" w:type="dxa"/>
            <w:bottom w:w="0" w:type="dxa"/>
            <w:right w:w="108" w:type="dxa"/>
          </w:tblCellMar>
        </w:tblPrEx>
        <w:trPr>
          <w:trHeight w:val="1018"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10</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偏离</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t>偏差允许幅度及其处理方法：允许细微偏差，不允许重大偏差。由评标委员会判断，细微偏差要求投标供应商在评标结束前予以澄清、说明或补正，不接受要求进行的，评标委员会有权做无效标处理，详见评标方法。</w:t>
            </w:r>
          </w:p>
        </w:tc>
      </w:tr>
      <w:tr>
        <w:tblPrEx>
          <w:tblCellMar>
            <w:top w:w="0" w:type="dxa"/>
            <w:left w:w="108" w:type="dxa"/>
            <w:bottom w:w="0" w:type="dxa"/>
            <w:right w:w="108" w:type="dxa"/>
          </w:tblCellMar>
        </w:tblPrEx>
        <w:trPr>
          <w:trHeight w:val="489"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11</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投标有效期</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sz w:val="22"/>
                <w:highlight w:val="none"/>
              </w:rPr>
            </w:pPr>
            <w:r>
              <w:rPr>
                <w:rFonts w:hint="eastAsia" w:ascii="宋体" w:hAnsi="宋体" w:cs="宋体"/>
                <w:color w:val="auto"/>
                <w:sz w:val="22"/>
                <w:highlight w:val="none"/>
              </w:rPr>
              <w:t>投标有效期为从提交投标文件的截止之日起 90天</w:t>
            </w:r>
          </w:p>
        </w:tc>
      </w:tr>
      <w:tr>
        <w:tblPrEx>
          <w:tblCellMar>
            <w:top w:w="0" w:type="dxa"/>
            <w:left w:w="108" w:type="dxa"/>
            <w:bottom w:w="0" w:type="dxa"/>
            <w:right w:w="108" w:type="dxa"/>
          </w:tblCellMar>
        </w:tblPrEx>
        <w:trPr>
          <w:trHeight w:val="53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12</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合同签订时间</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sz w:val="22"/>
                <w:highlight w:val="none"/>
              </w:rPr>
            </w:pPr>
            <w:r>
              <w:rPr>
                <w:rFonts w:hint="eastAsia" w:ascii="宋体" w:hAnsi="宋体" w:cs="宋体"/>
                <w:color w:val="auto"/>
                <w:sz w:val="22"/>
                <w:highlight w:val="none"/>
              </w:rPr>
              <w:t>中标通知书发出之日起30天内</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13</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sz w:val="22"/>
                <w:highlight w:val="none"/>
              </w:rPr>
              <w:t>提交投标文件截止时间、开标时间和地点</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color w:val="auto"/>
                <w:sz w:val="22"/>
                <w:highlight w:val="none"/>
              </w:rPr>
              <w:t>详见第一部分“招标公告”</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14</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投标文件的编制</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bCs/>
                <w:color w:val="auto"/>
                <w:kern w:val="0"/>
                <w:sz w:val="22"/>
                <w:highlight w:val="none"/>
              </w:rPr>
            </w:pPr>
            <w:r>
              <w:rPr>
                <w:rFonts w:hint="eastAsia" w:ascii="宋体" w:hAnsi="宋体" w:cs="宋体"/>
                <w:bCs/>
                <w:color w:val="auto"/>
                <w:kern w:val="0"/>
                <w:sz w:val="22"/>
                <w:highlight w:val="none"/>
              </w:rPr>
              <w:t>详见第二部分“投标供应商须知”第三款</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15</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sz w:val="22"/>
                <w:highlight w:val="none"/>
              </w:rPr>
              <w:t>响应文件形式、制作及组成</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pStyle w:val="12"/>
              <w:snapToGrid w:val="0"/>
              <w:spacing w:line="320" w:lineRule="exact"/>
              <w:rPr>
                <w:rFonts w:hAnsi="宋体" w:cs="宋体"/>
                <w:b/>
                <w:bCs/>
                <w:color w:val="auto"/>
                <w:sz w:val="22"/>
                <w:highlight w:val="none"/>
                <w:lang w:val="en-US" w:eastAsia="zh-CN"/>
              </w:rPr>
            </w:pPr>
            <w:r>
              <w:rPr>
                <w:rFonts w:hint="eastAsia" w:hAnsi="宋体" w:cs="宋体"/>
                <w:b/>
                <w:bCs/>
                <w:color w:val="auto"/>
                <w:sz w:val="22"/>
                <w:highlight w:val="none"/>
                <w:lang w:val="en-US" w:eastAsia="zh-CN"/>
              </w:rPr>
              <w:t>本项目实行网上电子投标。</w:t>
            </w:r>
          </w:p>
          <w:p>
            <w:pPr>
              <w:pStyle w:val="12"/>
              <w:snapToGrid w:val="0"/>
              <w:spacing w:line="320" w:lineRule="exact"/>
              <w:rPr>
                <w:rFonts w:hAnsi="宋体" w:cs="宋体"/>
                <w:b/>
                <w:bCs/>
                <w:color w:val="auto"/>
                <w:sz w:val="22"/>
                <w:highlight w:val="none"/>
                <w:lang w:val="en-US" w:eastAsia="zh-CN"/>
              </w:rPr>
            </w:pPr>
            <w:r>
              <w:rPr>
                <w:rFonts w:hint="eastAsia" w:hAnsi="宋体" w:cs="宋体"/>
                <w:b/>
                <w:bCs/>
                <w:color w:val="auto"/>
                <w:sz w:val="22"/>
                <w:highlight w:val="none"/>
                <w:lang w:val="en-US" w:eastAsia="zh-CN"/>
              </w:rPr>
              <w:t>供应商应准备电子响应文件、以介质存储的数据电文形式的备份响应文件二类：</w:t>
            </w:r>
          </w:p>
          <w:p>
            <w:pPr>
              <w:pStyle w:val="12"/>
              <w:snapToGrid w:val="0"/>
              <w:spacing w:line="320" w:lineRule="exact"/>
              <w:ind w:firstLine="221" w:firstLineChars="100"/>
              <w:rPr>
                <w:rFonts w:hAnsi="宋体" w:cs="宋体"/>
                <w:b/>
                <w:bCs/>
                <w:color w:val="auto"/>
                <w:sz w:val="22"/>
                <w:highlight w:val="none"/>
                <w:lang w:val="en-US" w:eastAsia="zh-CN"/>
              </w:rPr>
            </w:pPr>
            <w:r>
              <w:rPr>
                <w:rFonts w:hint="eastAsia" w:hAnsi="宋体" w:cs="宋体"/>
                <w:b/>
                <w:bCs/>
                <w:color w:val="auto"/>
                <w:sz w:val="22"/>
                <w:highlight w:val="none"/>
                <w:lang w:val="en-US" w:eastAsia="zh-CN"/>
              </w:rPr>
              <w:t>(1)电子响应文件：通过政采云电子交易客户端（政采云投标客户端）完成响应文件编制后生成并加密的数据电文形式的响应文件（文件扩展名为.jmbs）</w:t>
            </w:r>
            <w:r>
              <w:rPr>
                <w:rFonts w:hint="eastAsia" w:hAnsi="宋体" w:cs="宋体"/>
                <w:b/>
                <w:bCs/>
                <w:color w:val="auto"/>
                <w:sz w:val="22"/>
                <w:highlight w:val="none"/>
                <w:lang w:val="zh-CN" w:eastAsia="zh-CN"/>
              </w:rPr>
              <w:t>。</w:t>
            </w:r>
          </w:p>
          <w:p>
            <w:pPr>
              <w:spacing w:line="320" w:lineRule="exact"/>
              <w:ind w:firstLine="221" w:firstLineChars="100"/>
              <w:rPr>
                <w:rStyle w:val="24"/>
                <w:rFonts w:ascii="宋体" w:hAnsi="宋体" w:cs="宋体"/>
                <w:color w:val="auto"/>
                <w:sz w:val="22"/>
                <w:highlight w:val="none"/>
              </w:rPr>
            </w:pPr>
            <w:r>
              <w:rPr>
                <w:rFonts w:hint="eastAsia" w:ascii="宋体" w:hAnsi="宋体" w:cs="宋体"/>
                <w:b/>
                <w:bCs/>
                <w:color w:val="auto"/>
                <w:sz w:val="22"/>
                <w:highlight w:val="none"/>
              </w:rPr>
              <w:t>(2)以介质存储的数据电文形式的备份响应文件：</w:t>
            </w:r>
            <w:r>
              <w:rPr>
                <w:rStyle w:val="24"/>
                <w:rFonts w:hint="eastAsia" w:ascii="宋体" w:hAnsi="宋体" w:cs="宋体"/>
                <w:color w:val="auto"/>
                <w:sz w:val="22"/>
                <w:highlight w:val="none"/>
              </w:rPr>
              <w:t>与“电子响应文件”同时生成的数据电文形式的备份响应文件(文件扩展名为.bfbs)</w:t>
            </w:r>
            <w:r>
              <w:rPr>
                <w:rFonts w:hint="eastAsia" w:ascii="宋体" w:hAnsi="宋体" w:cs="宋体"/>
                <w:b/>
                <w:bCs/>
                <w:color w:val="auto"/>
                <w:sz w:val="22"/>
                <w:highlight w:val="none"/>
              </w:rPr>
              <w:t>，响应文件提交截止时间前以</w:t>
            </w:r>
            <w:r>
              <w:rPr>
                <w:rFonts w:hint="eastAsia" w:ascii="宋体" w:hAnsi="宋体" w:cs="宋体"/>
                <w:b/>
                <w:bCs/>
                <w:color w:val="auto"/>
                <w:sz w:val="22"/>
                <w:highlight w:val="none"/>
                <w:lang w:val="zh-CN"/>
              </w:rPr>
              <w:t>电子邮件方式传送至</w:t>
            </w:r>
            <w:r>
              <w:rPr>
                <w:rFonts w:hint="eastAsia" w:ascii="宋体" w:hAnsi="宋体" w:cs="宋体"/>
                <w:b/>
                <w:bCs/>
                <w:color w:val="auto"/>
                <w:sz w:val="22"/>
                <w:highlight w:val="none"/>
                <w:lang w:eastAsia="zh-CN"/>
              </w:rPr>
              <w:t>温州众晟工程管理有限公司</w:t>
            </w:r>
            <w:r>
              <w:rPr>
                <w:rFonts w:hint="eastAsia" w:ascii="宋体" w:hAnsi="宋体" w:cs="宋体"/>
                <w:b/>
                <w:bCs/>
                <w:color w:val="auto"/>
                <w:sz w:val="22"/>
                <w:highlight w:val="none"/>
                <w:lang w:val="zh-CN"/>
              </w:rPr>
              <w:t>电子邮箱</w:t>
            </w:r>
            <w:r>
              <w:rPr>
                <w:rFonts w:hint="eastAsia" w:ascii="宋体" w:hAnsi="宋体"/>
                <w:b/>
                <w:bCs/>
                <w:color w:val="auto"/>
                <w:sz w:val="22"/>
                <w:highlight w:val="none"/>
                <w:u w:val="single"/>
                <w:lang w:eastAsia="zh-CN"/>
              </w:rPr>
              <w:t>404133810</w:t>
            </w:r>
            <w:r>
              <w:rPr>
                <w:rFonts w:hint="eastAsia" w:ascii="宋体" w:hAnsi="宋体"/>
                <w:b/>
                <w:bCs/>
                <w:color w:val="auto"/>
                <w:sz w:val="22"/>
                <w:highlight w:val="none"/>
                <w:u w:val="single"/>
              </w:rPr>
              <w:t>@qq.com</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递交</w:t>
            </w:r>
            <w:r>
              <w:rPr>
                <w:rFonts w:hint="eastAsia" w:ascii="宋体" w:hAnsi="宋体" w:cs="宋体"/>
                <w:b/>
                <w:bCs/>
                <w:color w:val="auto"/>
                <w:sz w:val="22"/>
                <w:highlight w:val="none"/>
              </w:rPr>
              <w:t>1</w:t>
            </w:r>
            <w:r>
              <w:rPr>
                <w:rFonts w:hint="eastAsia" w:ascii="宋体" w:hAnsi="宋体" w:cs="宋体"/>
                <w:b/>
                <w:bCs/>
                <w:color w:val="auto"/>
                <w:sz w:val="22"/>
                <w:highlight w:val="none"/>
                <w:lang w:val="zh-CN"/>
              </w:rPr>
              <w:t>份</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传送的备份响应文件需打包压缩并加密</w:t>
            </w:r>
            <w:r>
              <w:rPr>
                <w:rFonts w:hint="eastAsia" w:ascii="宋体" w:hAnsi="宋体" w:cs="宋体"/>
                <w:b/>
                <w:bCs/>
                <w:color w:val="auto"/>
                <w:sz w:val="22"/>
                <w:highlight w:val="none"/>
              </w:rPr>
              <w:t>，</w:t>
            </w:r>
            <w:r>
              <w:rPr>
                <w:rFonts w:hint="eastAsia" w:ascii="宋体" w:hAnsi="宋体" w:cs="宋体"/>
                <w:b/>
                <w:bCs/>
                <w:color w:val="auto"/>
                <w:sz w:val="22"/>
                <w:highlight w:val="none"/>
                <w:lang w:val="zh-CN"/>
              </w:rPr>
              <w:t>加密密码由供应商自行保管</w:t>
            </w:r>
            <w:r>
              <w:rPr>
                <w:rFonts w:hint="eastAsia" w:ascii="宋体" w:hAnsi="宋体" w:cs="宋体"/>
                <w:b/>
                <w:bCs/>
                <w:color w:val="auto"/>
                <w:sz w:val="22"/>
                <w:highlight w:val="none"/>
              </w:rPr>
              <w:t>，未加密导致投标信息泄露的风险由供应商自行承担。</w:t>
            </w:r>
          </w:p>
          <w:p>
            <w:pPr>
              <w:pStyle w:val="12"/>
              <w:snapToGrid w:val="0"/>
              <w:spacing w:line="320" w:lineRule="exact"/>
              <w:rPr>
                <w:rFonts w:hAnsi="宋体" w:cs="宋体"/>
                <w:bCs/>
                <w:color w:val="auto"/>
                <w:kern w:val="0"/>
                <w:sz w:val="22"/>
                <w:highlight w:val="none"/>
                <w:lang w:val="en-US" w:eastAsia="zh-CN"/>
              </w:rPr>
            </w:pPr>
            <w:r>
              <w:rPr>
                <w:rFonts w:hint="eastAsia" w:hAnsi="宋体" w:cs="宋体"/>
                <w:b/>
                <w:bCs/>
                <w:color w:val="auto"/>
                <w:sz w:val="22"/>
                <w:highlight w:val="none"/>
                <w:lang w:val="en-US" w:eastAsia="zh-CN"/>
              </w:rPr>
              <w:t>响应文件由报价文件、</w:t>
            </w:r>
            <w:r>
              <w:rPr>
                <w:rFonts w:hint="eastAsia" w:hAnsi="宋体" w:cs="宋体"/>
                <w:b/>
                <w:color w:val="auto"/>
                <w:sz w:val="22"/>
                <w:highlight w:val="none"/>
                <w:lang w:val="en-US" w:eastAsia="zh-CN"/>
              </w:rPr>
              <w:t>资格文件、商务和</w:t>
            </w:r>
            <w:r>
              <w:rPr>
                <w:rFonts w:hint="eastAsia" w:hAnsi="宋体" w:cs="宋体"/>
                <w:b/>
                <w:bCs/>
                <w:color w:val="auto"/>
                <w:sz w:val="22"/>
                <w:highlight w:val="none"/>
                <w:lang w:val="en-US" w:eastAsia="zh-CN"/>
              </w:rPr>
              <w:t>技术文件三部分组成。</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16</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sz w:val="22"/>
                <w:highlight w:val="none"/>
              </w:rPr>
              <w:t>电子招投标特殊情况处理方式</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b/>
                <w:bCs/>
                <w:color w:val="auto"/>
                <w:sz w:val="22"/>
                <w:highlight w:val="none"/>
              </w:rPr>
            </w:pPr>
            <w:r>
              <w:rPr>
                <w:rFonts w:hint="eastAsia" w:ascii="宋体" w:hAnsi="宋体" w:cs="宋体"/>
                <w:b/>
                <w:bCs/>
                <w:color w:val="auto"/>
                <w:sz w:val="22"/>
                <w:highlight w:val="none"/>
              </w:rPr>
              <w:t>本项目原则上采用政采云电子招投标开标及评审程序，但有下情形之一的，按以下情况处理：</w:t>
            </w:r>
          </w:p>
          <w:p>
            <w:pPr>
              <w:pStyle w:val="12"/>
              <w:snapToGrid w:val="0"/>
              <w:spacing w:line="320" w:lineRule="exact"/>
              <w:rPr>
                <w:rFonts w:hAnsi="宋体" w:cs="宋体"/>
                <w:bCs/>
                <w:color w:val="auto"/>
                <w:kern w:val="0"/>
                <w:sz w:val="22"/>
                <w:highlight w:val="none"/>
                <w:lang w:val="en-US" w:eastAsia="zh-CN"/>
              </w:rPr>
            </w:pPr>
            <w:r>
              <w:rPr>
                <w:rFonts w:hint="eastAsia" w:hAnsi="宋体" w:cs="宋体"/>
                <w:b/>
                <w:bCs/>
                <w:color w:val="auto"/>
                <w:sz w:val="22"/>
                <w:highlight w:val="none"/>
                <w:lang w:val="en-US" w:eastAsia="zh-CN"/>
              </w:rPr>
              <w:t>若供应商在规定时间内无法解密或解密失败，采购代理机构将开启所有供应商递交的以介质存储的数据电文形式的备份响应文件，上传至政采云平台项目采购模块，以完成开标，电子响应文件自动失效。</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17</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开评标程序</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sz w:val="22"/>
                <w:highlight w:val="none"/>
              </w:rPr>
            </w:pPr>
            <w:r>
              <w:rPr>
                <w:rFonts w:hint="eastAsia" w:ascii="宋体" w:hAnsi="宋体" w:cs="宋体"/>
                <w:color w:val="auto"/>
                <w:kern w:val="0"/>
                <w:sz w:val="22"/>
                <w:highlight w:val="none"/>
              </w:rPr>
              <w:t>待开标→投标文件在线解密→代理机构或采购人在线</w:t>
            </w:r>
            <w:r>
              <w:rPr>
                <w:rFonts w:hint="eastAsia" w:ascii="宋体" w:hAnsi="宋体" w:cs="宋体"/>
                <w:color w:val="auto"/>
                <w:sz w:val="22"/>
                <w:highlight w:val="none"/>
              </w:rPr>
              <w:t>资格性审查</w:t>
            </w:r>
            <w:r>
              <w:rPr>
                <w:rFonts w:hint="eastAsia" w:ascii="宋体" w:hAnsi="宋体" w:cs="宋体"/>
                <w:color w:val="auto"/>
                <w:kern w:val="0"/>
                <w:sz w:val="22"/>
                <w:highlight w:val="none"/>
              </w:rPr>
              <w:t>→评标委员会在线评标→系统公开</w:t>
            </w:r>
            <w:r>
              <w:rPr>
                <w:rFonts w:hint="eastAsia" w:ascii="宋体" w:hAnsi="宋体" w:cs="宋体"/>
                <w:color w:val="auto"/>
                <w:sz w:val="22"/>
                <w:highlight w:val="none"/>
              </w:rPr>
              <w:t>商务技术响应文件评审结果</w:t>
            </w:r>
            <w:r>
              <w:rPr>
                <w:rFonts w:hint="eastAsia" w:ascii="宋体" w:hAnsi="宋体" w:cs="宋体"/>
                <w:color w:val="auto"/>
                <w:kern w:val="0"/>
                <w:sz w:val="22"/>
                <w:highlight w:val="none"/>
              </w:rPr>
              <w:t>→系统公开</w:t>
            </w:r>
            <w:r>
              <w:rPr>
                <w:rFonts w:hint="eastAsia" w:ascii="宋体" w:hAnsi="宋体" w:cs="宋体"/>
                <w:color w:val="auto"/>
                <w:sz w:val="22"/>
                <w:highlight w:val="none"/>
              </w:rPr>
              <w:t>报价情况</w:t>
            </w:r>
            <w:r>
              <w:rPr>
                <w:rFonts w:hint="eastAsia" w:ascii="宋体" w:hAnsi="宋体" w:cs="宋体"/>
                <w:color w:val="auto"/>
                <w:kern w:val="0"/>
                <w:sz w:val="22"/>
                <w:highlight w:val="none"/>
              </w:rPr>
              <w:t>→评标委员会对报价情况进行评审→</w:t>
            </w:r>
            <w:r>
              <w:rPr>
                <w:rFonts w:hint="eastAsia" w:ascii="宋体" w:hAnsi="宋体" w:cs="宋体"/>
                <w:color w:val="auto"/>
                <w:sz w:val="22"/>
                <w:highlight w:val="none"/>
              </w:rPr>
              <w:t>系统公布评审结果。</w:t>
            </w:r>
          </w:p>
          <w:p>
            <w:pPr>
              <w:spacing w:line="320" w:lineRule="exact"/>
              <w:rPr>
                <w:rFonts w:ascii="宋体" w:hAnsi="宋体" w:cs="宋体"/>
                <w:color w:val="auto"/>
                <w:kern w:val="0"/>
                <w:sz w:val="22"/>
                <w:highlight w:val="none"/>
              </w:rPr>
            </w:pPr>
            <w:r>
              <w:rPr>
                <w:rFonts w:hint="eastAsia" w:ascii="宋体" w:hAnsi="宋体" w:cs="宋体"/>
                <w:color w:val="auto"/>
                <w:sz w:val="22"/>
                <w:highlight w:val="none"/>
              </w:rPr>
              <w:t>上述程序将根据政采云电子评标系统的调整而变动。</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18</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评标委员会</w:t>
            </w:r>
          </w:p>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的组建</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t>评标委员会成员由采购人代表和有关技术、经济等方面的专家组成，成员人数为5人或以上单数，除采购人代表外的专家将在政采云的评标专家库中随机抽取产生。</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19</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履约担保</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napToGrid w:val="0"/>
                <w:color w:val="auto"/>
                <w:sz w:val="22"/>
                <w:highlight w:val="none"/>
              </w:rPr>
            </w:pPr>
            <w:r>
              <w:rPr>
                <w:rFonts w:hint="eastAsia" w:ascii="宋体" w:hAnsi="宋体" w:cs="宋体"/>
                <w:snapToGrid w:val="0"/>
                <w:color w:val="auto"/>
                <w:sz w:val="22"/>
                <w:highlight w:val="none"/>
              </w:rPr>
              <w:t>履约保证金的形式：银行转账或保函</w:t>
            </w:r>
          </w:p>
          <w:p>
            <w:pPr>
              <w:spacing w:line="320" w:lineRule="exact"/>
              <w:rPr>
                <w:rFonts w:ascii="宋体" w:hAnsi="宋体" w:cs="宋体"/>
                <w:color w:val="auto"/>
                <w:kern w:val="0"/>
                <w:sz w:val="22"/>
                <w:highlight w:val="none"/>
              </w:rPr>
            </w:pPr>
            <w:r>
              <w:rPr>
                <w:rFonts w:hint="eastAsia" w:ascii="宋体" w:hAnsi="宋体" w:cs="宋体"/>
                <w:snapToGrid w:val="0"/>
                <w:color w:val="auto"/>
                <w:sz w:val="22"/>
                <w:highlight w:val="none"/>
              </w:rPr>
              <w:t>履约保证金的金额：合同价的1%</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20</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投标文件无效标条款</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b/>
                <w:color w:val="auto"/>
                <w:kern w:val="0"/>
                <w:sz w:val="22"/>
                <w:highlight w:val="none"/>
              </w:rPr>
            </w:pPr>
            <w:r>
              <w:rPr>
                <w:rFonts w:hint="eastAsia" w:ascii="宋体" w:hAnsi="宋体" w:cs="宋体"/>
                <w:b/>
                <w:color w:val="auto"/>
                <w:kern w:val="0"/>
                <w:sz w:val="22"/>
                <w:highlight w:val="none"/>
              </w:rPr>
              <w:t>详见招标文件。</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21</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供应商信用信息查询</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sz w:val="22"/>
                <w:highlight w:val="none"/>
              </w:rPr>
            </w:pPr>
            <w:r>
              <w:rPr>
                <w:rFonts w:hint="eastAsia" w:ascii="宋体" w:hAnsi="宋体" w:cs="宋体"/>
                <w:color w:val="auto"/>
                <w:sz w:val="22"/>
                <w:highlight w:val="none"/>
              </w:rPr>
              <w:t>根据财库[2016]125号《关于在政府采购活动中查询及使用信用记录有关问题的通知》要求，采购代理机构会对供应商信用记录进行查询并甄别。</w:t>
            </w:r>
          </w:p>
          <w:p>
            <w:pPr>
              <w:spacing w:line="320" w:lineRule="exact"/>
              <w:rPr>
                <w:rFonts w:ascii="宋体" w:hAnsi="宋体" w:cs="宋体"/>
                <w:color w:val="auto"/>
                <w:sz w:val="22"/>
                <w:highlight w:val="none"/>
              </w:rPr>
            </w:pPr>
            <w:r>
              <w:rPr>
                <w:rFonts w:hint="eastAsia" w:ascii="宋体" w:hAnsi="宋体" w:cs="宋体"/>
                <w:color w:val="auto"/>
                <w:sz w:val="22"/>
                <w:highlight w:val="none"/>
              </w:rPr>
              <w:t>1.信用信息查询的截止时点：响应文件递交截止时间；</w:t>
            </w:r>
          </w:p>
          <w:p>
            <w:pPr>
              <w:spacing w:line="320" w:lineRule="exact"/>
              <w:rPr>
                <w:rFonts w:ascii="宋体" w:hAnsi="宋体" w:cs="宋体"/>
                <w:color w:val="auto"/>
                <w:sz w:val="22"/>
                <w:highlight w:val="none"/>
              </w:rPr>
            </w:pPr>
            <w:r>
              <w:rPr>
                <w:rFonts w:hint="eastAsia" w:ascii="宋体" w:hAnsi="宋体" w:cs="宋体"/>
                <w:color w:val="auto"/>
                <w:sz w:val="22"/>
                <w:highlight w:val="none"/>
              </w:rPr>
              <w:t>2.查询渠道：“信用中国”（</w:t>
            </w:r>
            <w:r>
              <w:rPr>
                <w:rFonts w:hint="eastAsia"/>
                <w:color w:val="auto"/>
                <w:highlight w:val="none"/>
              </w:rPr>
              <w:fldChar w:fldCharType="begin"/>
            </w:r>
            <w:r>
              <w:rPr>
                <w:color w:val="auto"/>
                <w:highlight w:val="none"/>
              </w:rPr>
              <w:instrText xml:space="preserve"> HYPERLINK "http://www.creditchina.gov.cn/" </w:instrText>
            </w:r>
            <w:r>
              <w:rPr>
                <w:rFonts w:hint="eastAsia"/>
                <w:color w:val="auto"/>
                <w:highlight w:val="none"/>
              </w:rPr>
              <w:fldChar w:fldCharType="separate"/>
            </w:r>
            <w:r>
              <w:rPr>
                <w:rStyle w:val="26"/>
                <w:rFonts w:hint="eastAsia" w:ascii="宋体" w:hAnsi="宋体" w:cs="宋体"/>
                <w:color w:val="auto"/>
                <w:sz w:val="22"/>
                <w:highlight w:val="none"/>
              </w:rPr>
              <w:t>www.creditchina.gov.cn</w:t>
            </w:r>
            <w:r>
              <w:rPr>
                <w:rStyle w:val="26"/>
                <w:rFonts w:hint="eastAsia" w:ascii="宋体" w:hAnsi="宋体" w:cs="宋体"/>
                <w:color w:val="auto"/>
                <w:sz w:val="22"/>
                <w:highlight w:val="none"/>
              </w:rPr>
              <w:fldChar w:fldCharType="end"/>
            </w:r>
            <w:r>
              <w:rPr>
                <w:rFonts w:hint="eastAsia" w:ascii="宋体" w:hAnsi="宋体" w:cs="宋体"/>
                <w:color w:val="auto"/>
                <w:sz w:val="22"/>
                <w:highlight w:val="none"/>
              </w:rPr>
              <w:t>）、“中国政府采购网”（</w:t>
            </w:r>
            <w:r>
              <w:rPr>
                <w:rFonts w:hint="eastAsia"/>
                <w:color w:val="auto"/>
                <w:highlight w:val="none"/>
              </w:rPr>
              <w:fldChar w:fldCharType="begin"/>
            </w:r>
            <w:r>
              <w:rPr>
                <w:color w:val="auto"/>
                <w:highlight w:val="none"/>
              </w:rPr>
              <w:instrText xml:space="preserve"> HYPERLINK "http://www.ccgp.gov.cn/" </w:instrText>
            </w:r>
            <w:r>
              <w:rPr>
                <w:rFonts w:hint="eastAsia"/>
                <w:color w:val="auto"/>
                <w:highlight w:val="none"/>
              </w:rPr>
              <w:fldChar w:fldCharType="separate"/>
            </w:r>
            <w:r>
              <w:rPr>
                <w:rStyle w:val="26"/>
                <w:rFonts w:hint="eastAsia" w:ascii="宋体" w:hAnsi="宋体" w:cs="宋体"/>
                <w:color w:val="auto"/>
                <w:sz w:val="22"/>
                <w:highlight w:val="none"/>
              </w:rPr>
              <w:t>www.ccgp.gov.cn</w:t>
            </w:r>
            <w:r>
              <w:rPr>
                <w:rStyle w:val="26"/>
                <w:rFonts w:hint="eastAsia" w:ascii="宋体" w:hAnsi="宋体" w:cs="宋体"/>
                <w:color w:val="auto"/>
                <w:sz w:val="22"/>
                <w:highlight w:val="none"/>
              </w:rPr>
              <w:fldChar w:fldCharType="end"/>
            </w:r>
            <w:r>
              <w:rPr>
                <w:rFonts w:hint="eastAsia" w:ascii="宋体" w:hAnsi="宋体" w:cs="宋体"/>
                <w:color w:val="auto"/>
                <w:sz w:val="22"/>
                <w:highlight w:val="none"/>
              </w:rPr>
              <w:t>）；</w:t>
            </w:r>
          </w:p>
          <w:p>
            <w:pPr>
              <w:spacing w:line="320" w:lineRule="exact"/>
              <w:rPr>
                <w:rFonts w:ascii="宋体" w:hAnsi="宋体" w:cs="宋体"/>
                <w:color w:val="auto"/>
                <w:sz w:val="22"/>
                <w:highlight w:val="none"/>
              </w:rPr>
            </w:pPr>
            <w:r>
              <w:rPr>
                <w:rFonts w:hint="eastAsia" w:ascii="宋体" w:hAnsi="宋体" w:cs="宋体"/>
                <w:color w:val="auto"/>
                <w:sz w:val="22"/>
                <w:highlight w:val="none"/>
              </w:rPr>
              <w:t>3.信用信息的使用规则：供应商存在不良信用记录的，其投标将被作为无效投标被拒绝；</w:t>
            </w:r>
          </w:p>
          <w:p>
            <w:pPr>
              <w:spacing w:line="320" w:lineRule="exact"/>
              <w:rPr>
                <w:rFonts w:ascii="宋体" w:hAnsi="宋体" w:cs="宋体"/>
                <w:b/>
                <w:color w:val="auto"/>
                <w:kern w:val="0"/>
                <w:sz w:val="22"/>
                <w:highlight w:val="none"/>
              </w:rPr>
            </w:pPr>
            <w:r>
              <w:rPr>
                <w:rFonts w:hint="eastAsia" w:ascii="宋体" w:hAnsi="宋体" w:cs="宋体"/>
                <w:color w:val="auto"/>
                <w:sz w:val="22"/>
                <w:highlight w:val="none"/>
              </w:rPr>
              <w:t>4.不良信用记录指：“信用中国”被列入失信被执行人和重大税收违法案件当事人名单或存在 《中华人民共和国政府采购法实施条例》 第十九条规定；中国政府采购网被列入政府采购严重违法失信行为记录名单。</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22</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政府采购节能环保产品</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t>1.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pacing w:line="320" w:lineRule="exact"/>
              <w:rPr>
                <w:rFonts w:ascii="宋体" w:hAnsi="宋体" w:cs="宋体"/>
                <w:color w:val="auto"/>
                <w:sz w:val="22"/>
                <w:highlight w:val="none"/>
              </w:rPr>
            </w:pPr>
            <w:r>
              <w:rPr>
                <w:rFonts w:hint="eastAsia" w:ascii="宋体" w:hAnsi="宋体" w:cs="宋体"/>
                <w:color w:val="auto"/>
                <w:kern w:val="0"/>
                <w:sz w:val="22"/>
                <w:highlight w:val="none"/>
              </w:rPr>
              <w:t>2.产品属于政府强制采购节能品目的（详见《关于印发节能产品政府采购品目清单的通知》财库〔2019〕19号），供应商须按上款要求提供节能产品认证证书或规定网站证书查询截图。产品属于政府强制采购节能产品目的，供应商未提供节能产品的，其投标将作无效标处理；本文件另有规定的除外。</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23</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bCs/>
                <w:color w:val="auto"/>
                <w:sz w:val="22"/>
                <w:highlight w:val="none"/>
              </w:rPr>
              <w:t>是否允许采购进口产品</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bCs/>
                <w:color w:val="auto"/>
                <w:kern w:val="0"/>
                <w:sz w:val="22"/>
                <w:highlight w:val="none"/>
              </w:rPr>
            </w:pPr>
            <w:r>
              <w:rPr>
                <w:rFonts w:hint="eastAsia" w:ascii="宋体" w:hAnsi="宋体" w:cs="宋体"/>
                <w:color w:val="auto"/>
                <w:sz w:val="22"/>
                <w:highlight w:val="none"/>
              </w:rPr>
              <w:sym w:font="Wingdings" w:char="F0FE"/>
            </w:r>
            <w:r>
              <w:rPr>
                <w:rFonts w:hint="eastAsia" w:ascii="宋体" w:hAnsi="宋体" w:cs="宋体"/>
                <w:bCs/>
                <w:color w:val="auto"/>
                <w:kern w:val="0"/>
                <w:sz w:val="22"/>
                <w:highlight w:val="none"/>
              </w:rPr>
              <w:t>本项目不允许采购进口产品。</w:t>
            </w:r>
          </w:p>
          <w:p>
            <w:pPr>
              <w:spacing w:line="320" w:lineRule="exact"/>
              <w:rPr>
                <w:rFonts w:ascii="宋体" w:hAnsi="宋体" w:cs="宋体"/>
                <w:color w:val="auto"/>
                <w:kern w:val="0"/>
                <w:sz w:val="22"/>
                <w:highlight w:val="none"/>
              </w:rPr>
            </w:pPr>
            <w:r>
              <w:rPr>
                <w:rFonts w:hint="eastAsia" w:ascii="宋体" w:hAnsi="宋体" w:cs="宋体"/>
                <w:bCs/>
                <w:color w:val="auto"/>
                <w:kern w:val="0"/>
                <w:sz w:val="22"/>
                <w:highlight w:val="none"/>
              </w:rPr>
              <w:sym w:font="Wingdings" w:char="00A8"/>
            </w:r>
            <w:r>
              <w:rPr>
                <w:rFonts w:hint="eastAsia" w:ascii="宋体" w:hAnsi="宋体" w:cs="宋体"/>
                <w:bCs/>
                <w:color w:val="auto"/>
                <w:kern w:val="0"/>
                <w:sz w:val="22"/>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24</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bCs/>
                <w:color w:val="auto"/>
                <w:kern w:val="0"/>
                <w:sz w:val="22"/>
                <w:highlight w:val="none"/>
              </w:rPr>
              <w:t>本项目扶持中小企业（监狱企业、残疾人福利性单位）有关政策</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1、扶持中小企业（监狱企业、残疾人福利性单位）：</w:t>
            </w:r>
          </w:p>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（1）项目预算：</w:t>
            </w:r>
            <w:r>
              <w:rPr>
                <w:rFonts w:hint="eastAsia" w:ascii="宋体" w:hAnsi="宋体" w:cs="宋体"/>
                <w:color w:val="auto"/>
                <w:sz w:val="22"/>
                <w:szCs w:val="22"/>
                <w:highlight w:val="none"/>
                <w:u w:val="single"/>
              </w:rPr>
              <w:t xml:space="preserve"> 75 </w:t>
            </w:r>
            <w:r>
              <w:rPr>
                <w:rFonts w:ascii="宋体" w:hAnsi="宋体" w:cs="宋体"/>
                <w:color w:val="auto"/>
                <w:sz w:val="22"/>
                <w:szCs w:val="22"/>
                <w:highlight w:val="none"/>
              </w:rPr>
              <w:t>万元</w:t>
            </w:r>
          </w:p>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（2）项目属性：</w:t>
            </w:r>
            <w:r>
              <w:rPr>
                <w:rFonts w:hint="eastAsia" w:ascii="宋体" w:hAnsi="宋体" w:cs="宋体"/>
                <w:color w:val="auto"/>
                <w:sz w:val="22"/>
                <w:szCs w:val="22"/>
                <w:highlight w:val="none"/>
                <w:u w:val="single"/>
              </w:rPr>
              <w:t xml:space="preserve"> </w:t>
            </w:r>
            <w:r>
              <w:rPr>
                <w:rFonts w:ascii="宋体" w:hAnsi="宋体" w:cs="宋体"/>
                <w:color w:val="auto"/>
                <w:sz w:val="22"/>
                <w:szCs w:val="22"/>
                <w:highlight w:val="none"/>
                <w:u w:val="single"/>
              </w:rPr>
              <w:t>②服务类</w:t>
            </w:r>
            <w:r>
              <w:rPr>
                <w:rFonts w:hint="eastAsia" w:ascii="宋体" w:hAnsi="宋体" w:cs="宋体"/>
                <w:color w:val="auto"/>
                <w:sz w:val="22"/>
                <w:szCs w:val="22"/>
                <w:highlight w:val="none"/>
                <w:u w:val="single"/>
              </w:rPr>
              <w:t xml:space="preserve"> </w:t>
            </w:r>
            <w:r>
              <w:rPr>
                <w:rFonts w:ascii="宋体" w:hAnsi="宋体" w:cs="宋体"/>
                <w:color w:val="auto"/>
                <w:sz w:val="22"/>
                <w:szCs w:val="22"/>
                <w:highlight w:val="none"/>
              </w:rPr>
              <w:t>（①货物类/②服务类/③工程类）</w:t>
            </w:r>
          </w:p>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（3）项目对应的中小企业划分标准所属行业：</w:t>
            </w:r>
            <w:r>
              <w:rPr>
                <w:rFonts w:hint="eastAsia" w:ascii="宋体" w:hAnsi="宋体" w:cs="宋体"/>
                <w:color w:val="auto"/>
                <w:sz w:val="22"/>
                <w:szCs w:val="22"/>
                <w:highlight w:val="none"/>
                <w:u w:val="single"/>
              </w:rPr>
              <w:t xml:space="preserve"> </w:t>
            </w:r>
            <w:r>
              <w:rPr>
                <w:rFonts w:ascii="宋体" w:hAnsi="宋体" w:cs="宋体"/>
                <w:color w:val="auto"/>
                <w:sz w:val="22"/>
                <w:szCs w:val="22"/>
                <w:highlight w:val="none"/>
                <w:u w:val="single"/>
              </w:rPr>
              <w:t>其他未列明行业</w:t>
            </w:r>
            <w:r>
              <w:rPr>
                <w:rFonts w:hint="eastAsia" w:ascii="宋体" w:hAnsi="宋体" w:cs="宋体"/>
                <w:color w:val="auto"/>
                <w:sz w:val="22"/>
                <w:szCs w:val="22"/>
                <w:highlight w:val="none"/>
                <w:u w:val="single"/>
              </w:rPr>
              <w:t xml:space="preserve"> </w:t>
            </w:r>
            <w:r>
              <w:rPr>
                <w:rFonts w:ascii="宋体" w:hAnsi="宋体" w:cs="宋体"/>
                <w:color w:val="auto"/>
                <w:sz w:val="22"/>
                <w:szCs w:val="22"/>
                <w:highlight w:val="none"/>
              </w:rPr>
              <w:t>（具体根据《中小企业划型标准规定》执行）</w:t>
            </w:r>
          </w:p>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pStyle w:val="28"/>
              <w:spacing w:line="320" w:lineRule="exact"/>
              <w:ind w:firstLine="442" w:firstLineChars="200"/>
              <w:rPr>
                <w:rFonts w:ascii="宋体" w:hAnsi="宋体" w:cs="宋体"/>
                <w:b/>
                <w:bCs/>
                <w:color w:val="auto"/>
                <w:sz w:val="22"/>
                <w:szCs w:val="22"/>
                <w:highlight w:val="none"/>
              </w:rPr>
            </w:pPr>
            <w:r>
              <w:rPr>
                <w:rFonts w:ascii="宋体" w:hAnsi="宋体" w:cs="宋体"/>
                <w:b/>
                <w:bCs/>
                <w:color w:val="auto"/>
                <w:sz w:val="22"/>
                <w:szCs w:val="22"/>
                <w:highlight w:val="none"/>
              </w:rPr>
              <w:t>（4）本项目</w:t>
            </w:r>
            <w:r>
              <w:rPr>
                <w:rFonts w:hint="eastAsia" w:ascii="宋体" w:hAnsi="宋体" w:cs="宋体"/>
                <w:b/>
                <w:bCs/>
                <w:color w:val="auto"/>
                <w:sz w:val="22"/>
                <w:szCs w:val="22"/>
                <w:highlight w:val="none"/>
                <w:u w:val="single"/>
              </w:rPr>
              <w:t xml:space="preserve"> 是 </w:t>
            </w:r>
            <w:r>
              <w:rPr>
                <w:rFonts w:ascii="宋体" w:hAnsi="宋体" w:cs="宋体"/>
                <w:b/>
                <w:bCs/>
                <w:color w:val="auto"/>
                <w:sz w:val="22"/>
                <w:szCs w:val="22"/>
                <w:highlight w:val="none"/>
              </w:rPr>
              <w:t>（是/否）属于预留份额专门面向中小企业采购的项目。</w:t>
            </w:r>
          </w:p>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（5）上述第4项中确定为“是”的采购项目，预留份额通过</w:t>
            </w:r>
            <w:r>
              <w:rPr>
                <w:rFonts w:hint="eastAsia" w:ascii="宋体" w:hAnsi="宋体" w:cs="宋体"/>
                <w:color w:val="auto"/>
                <w:sz w:val="22"/>
                <w:szCs w:val="22"/>
                <w:highlight w:val="none"/>
                <w:u w:val="single"/>
              </w:rPr>
              <w:t xml:space="preserve"> </w:t>
            </w:r>
            <w:r>
              <w:rPr>
                <w:rFonts w:ascii="宋体" w:hAnsi="宋体" w:cs="宋体"/>
                <w:color w:val="auto"/>
                <w:sz w:val="22"/>
                <w:szCs w:val="22"/>
                <w:highlight w:val="none"/>
                <w:u w:val="single"/>
              </w:rPr>
              <w:t>①</w:t>
            </w:r>
            <w:r>
              <w:rPr>
                <w:rFonts w:hint="eastAsia" w:ascii="宋体" w:hAnsi="宋体" w:cs="宋体"/>
                <w:color w:val="auto"/>
                <w:sz w:val="22"/>
                <w:szCs w:val="22"/>
                <w:highlight w:val="none"/>
                <w:u w:val="single"/>
              </w:rPr>
              <w:t xml:space="preserve"> </w:t>
            </w:r>
            <w:r>
              <w:rPr>
                <w:rFonts w:ascii="宋体" w:hAnsi="宋体" w:cs="宋体"/>
                <w:color w:val="auto"/>
                <w:sz w:val="22"/>
                <w:szCs w:val="22"/>
                <w:highlight w:val="none"/>
              </w:rPr>
              <w:t>措施进行：</w:t>
            </w:r>
          </w:p>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①将采购项目整体或者设置采购包专门面向中小企业采购；</w:t>
            </w:r>
          </w:p>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②要求供应商以联合体形式参加采购活动，且联合体中中小企业承担的部分达到</w:t>
            </w:r>
            <w:r>
              <w:rPr>
                <w:rFonts w:hint="eastAsia" w:ascii="宋体" w:hAnsi="宋体" w:cs="宋体"/>
                <w:color w:val="auto"/>
                <w:sz w:val="22"/>
                <w:szCs w:val="22"/>
                <w:highlight w:val="none"/>
                <w:u w:val="single"/>
              </w:rPr>
              <w:t xml:space="preserve"> / </w:t>
            </w:r>
            <w:r>
              <w:rPr>
                <w:rFonts w:ascii="宋体" w:hAnsi="宋体" w:cs="宋体"/>
                <w:color w:val="auto"/>
                <w:sz w:val="22"/>
                <w:szCs w:val="22"/>
                <w:highlight w:val="none"/>
              </w:rPr>
              <w:t xml:space="preserve">（比例）； </w:t>
            </w:r>
          </w:p>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③要求获得采购合同的供应商将采购项目中的</w:t>
            </w:r>
            <w:r>
              <w:rPr>
                <w:rFonts w:hint="eastAsia" w:ascii="宋体" w:hAnsi="宋体" w:cs="宋体"/>
                <w:color w:val="auto"/>
                <w:sz w:val="22"/>
                <w:szCs w:val="22"/>
                <w:highlight w:val="none"/>
                <w:u w:val="single"/>
              </w:rPr>
              <w:t xml:space="preserve"> / </w:t>
            </w:r>
            <w:r>
              <w:rPr>
                <w:rFonts w:ascii="宋体" w:hAnsi="宋体" w:cs="宋体"/>
                <w:color w:val="auto"/>
                <w:sz w:val="22"/>
                <w:szCs w:val="22"/>
                <w:highlight w:val="none"/>
              </w:rPr>
              <w:t>（比例）分包给一家或者多家中小企业。</w:t>
            </w:r>
          </w:p>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（6）对于经主管预算单位统筹后未预留份额专门面向中小企业采购的采购项目，以及预留份额项目中的非预留部分采购包，对符合本办法规定的小微企业报价给予</w:t>
            </w:r>
            <w:r>
              <w:rPr>
                <w:rFonts w:hint="eastAsia" w:ascii="宋体" w:hAnsi="宋体" w:cs="宋体"/>
                <w:color w:val="auto"/>
                <w:sz w:val="22"/>
                <w:szCs w:val="22"/>
                <w:highlight w:val="none"/>
                <w:u w:val="single"/>
              </w:rPr>
              <w:t xml:space="preserve"> / </w:t>
            </w:r>
            <w:r>
              <w:rPr>
                <w:rFonts w:ascii="宋体" w:hAnsi="宋体" w:cs="宋体"/>
                <w:color w:val="auto"/>
                <w:sz w:val="22"/>
                <w:szCs w:val="22"/>
                <w:highlight w:val="none"/>
              </w:rPr>
              <w:t xml:space="preserve">（6%—10%）（工程项目为3%—5%）的扣除，用扣除后的价格参加评审。 </w:t>
            </w:r>
          </w:p>
          <w:p>
            <w:pPr>
              <w:pStyle w:val="28"/>
              <w:spacing w:line="320" w:lineRule="exact"/>
              <w:ind w:firstLine="440" w:firstLineChars="200"/>
              <w:rPr>
                <w:rFonts w:ascii="宋体" w:hAnsi="宋体" w:cs="宋体"/>
                <w:color w:val="auto"/>
                <w:sz w:val="22"/>
                <w:szCs w:val="22"/>
                <w:highlight w:val="none"/>
              </w:rPr>
            </w:pPr>
            <w:r>
              <w:rPr>
                <w:rFonts w:ascii="宋体" w:hAnsi="宋体" w:cs="宋体"/>
                <w:color w:val="auto"/>
                <w:sz w:val="22"/>
                <w:szCs w:val="22"/>
                <w:highlight w:val="none"/>
              </w:rPr>
              <w:t>对于接受大中型企业与小微企业组成联合体或者允许大中型企业向一家或者多家小微企业分包的采购项目，对于联合协议或者分包意向协议约定小微企业的合同份额占到合同总金额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宋体" w:hAnsi="宋体" w:cs="宋体"/>
                <w:color w:val="auto"/>
                <w:sz w:val="22"/>
                <w:szCs w:val="22"/>
                <w:highlight w:val="none"/>
                <w:u w:val="single"/>
              </w:rPr>
              <w:t xml:space="preserve"> / </w:t>
            </w:r>
            <w:r>
              <w:rPr>
                <w:rFonts w:ascii="宋体" w:hAnsi="宋体" w:cs="宋体"/>
                <w:color w:val="auto"/>
                <w:sz w:val="22"/>
                <w:szCs w:val="22"/>
                <w:highlight w:val="none"/>
              </w:rPr>
              <w:t>（2%-3%）（工程项目为 1%—2%）的扣除，用扣除后的价格参加评审。</w:t>
            </w:r>
          </w:p>
          <w:p>
            <w:pPr>
              <w:pStyle w:val="28"/>
              <w:spacing w:line="320" w:lineRule="exact"/>
              <w:ind w:firstLine="442" w:firstLineChars="200"/>
              <w:rPr>
                <w:rFonts w:ascii="宋体" w:hAnsi="宋体" w:cs="宋体"/>
                <w:color w:val="auto"/>
                <w:sz w:val="22"/>
                <w:szCs w:val="22"/>
                <w:highlight w:val="none"/>
              </w:rPr>
            </w:pPr>
            <w:r>
              <w:rPr>
                <w:rFonts w:ascii="宋体" w:hAnsi="宋体" w:cs="宋体"/>
                <w:b/>
                <w:bCs/>
                <w:color w:val="auto"/>
                <w:sz w:val="22"/>
                <w:szCs w:val="22"/>
                <w:highlight w:val="none"/>
              </w:rPr>
              <w:t>专门面向中小企业采购的项目或者标项，不再执行价格评审优惠的扶持政策。</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25</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项目属性与核心产品</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sym w:font="Wingdings" w:char="00A8"/>
            </w:r>
            <w:r>
              <w:rPr>
                <w:rFonts w:hint="eastAsia" w:ascii="宋体" w:hAnsi="宋体" w:cs="宋体"/>
                <w:color w:val="auto"/>
                <w:kern w:val="0"/>
                <w:sz w:val="22"/>
                <w:highlight w:val="none"/>
              </w:rPr>
              <w:t>货物类</w:t>
            </w:r>
            <w:r>
              <w:rPr>
                <w:rFonts w:hint="eastAsia" w:ascii="宋体" w:hAnsi="宋体" w:cs="宋体"/>
                <w:color w:val="auto"/>
                <w:sz w:val="22"/>
                <w:highlight w:val="none"/>
              </w:rPr>
              <w:t>，</w:t>
            </w:r>
            <w:r>
              <w:rPr>
                <w:rFonts w:hint="eastAsia" w:ascii="宋体" w:hAnsi="宋体" w:cs="宋体"/>
                <w:b/>
                <w:snapToGrid w:val="0"/>
                <w:color w:val="auto"/>
                <w:sz w:val="22"/>
                <w:highlight w:val="none"/>
              </w:rPr>
              <w:sym w:font="Wingdings" w:char="00A8"/>
            </w:r>
            <w:r>
              <w:rPr>
                <w:rFonts w:hint="eastAsia" w:ascii="宋体" w:hAnsi="宋体" w:cs="宋体"/>
                <w:color w:val="auto"/>
                <w:sz w:val="22"/>
                <w:highlight w:val="none"/>
              </w:rPr>
              <w:t>单一产品或核心产品为：</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w:t>
            </w:r>
            <w:r>
              <w:rPr>
                <w:rFonts w:hint="eastAsia" w:ascii="宋体" w:hAnsi="宋体" w:cs="宋体"/>
                <w:b/>
                <w:snapToGrid w:val="0"/>
                <w:color w:val="auto"/>
                <w:sz w:val="22"/>
                <w:highlight w:val="none"/>
              </w:rPr>
              <w:sym w:font="Wingdings" w:char="00A8"/>
            </w:r>
            <w:r>
              <w:rPr>
                <w:rFonts w:hint="eastAsia" w:ascii="宋体" w:hAnsi="宋体" w:cs="宋体"/>
                <w:color w:val="auto"/>
                <w:sz w:val="22"/>
                <w:highlight w:val="none"/>
              </w:rPr>
              <w:t>非单一产品采购项目，采购人应当根据采购项目技术构成、产品价格比重等合理确定核心产品，并在采购文件中载明。本项目无核心产品。</w:t>
            </w:r>
          </w:p>
          <w:p>
            <w:pPr>
              <w:spacing w:line="320" w:lineRule="exact"/>
              <w:rPr>
                <w:rFonts w:ascii="宋体" w:hAnsi="宋体" w:cs="宋体"/>
                <w:b/>
                <w:color w:val="auto"/>
                <w:kern w:val="0"/>
                <w:sz w:val="22"/>
                <w:highlight w:val="none"/>
              </w:rPr>
            </w:pPr>
            <w:r>
              <w:rPr>
                <w:rFonts w:hint="eastAsia" w:ascii="宋体" w:hAnsi="宋体" w:cs="宋体"/>
                <w:b/>
                <w:snapToGrid w:val="0"/>
                <w:color w:val="auto"/>
                <w:sz w:val="22"/>
                <w:highlight w:val="none"/>
              </w:rPr>
              <w:sym w:font="Wingdings" w:char="F0FE"/>
            </w:r>
            <w:r>
              <w:rPr>
                <w:rFonts w:hint="eastAsia" w:ascii="宋体" w:hAnsi="宋体" w:cs="宋体"/>
                <w:color w:val="auto"/>
                <w:kern w:val="0"/>
                <w:sz w:val="22"/>
                <w:highlight w:val="none"/>
              </w:rPr>
              <w:t>服务类。</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26</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b/>
                <w:color w:val="auto"/>
                <w:kern w:val="0"/>
                <w:sz w:val="22"/>
                <w:highlight w:val="none"/>
              </w:rPr>
            </w:pPr>
            <w:r>
              <w:rPr>
                <w:rFonts w:hint="eastAsia" w:ascii="宋体" w:hAnsi="宋体" w:cs="宋体"/>
                <w:color w:val="auto"/>
                <w:kern w:val="0"/>
                <w:sz w:val="22"/>
                <w:highlight w:val="none"/>
              </w:rPr>
              <w:t>政府采购信用融资</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t>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27</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sz w:val="22"/>
                <w:highlight w:val="none"/>
              </w:rPr>
              <w:t>合同备案</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t>中标供应商须在中标通知书发出之日起30日历天内与采购人签订合同。</w:t>
            </w:r>
          </w:p>
          <w:p>
            <w:pPr>
              <w:spacing w:line="320" w:lineRule="exact"/>
              <w:rPr>
                <w:rFonts w:ascii="宋体" w:hAnsi="宋体" w:cs="宋体"/>
                <w:color w:val="auto"/>
                <w:sz w:val="22"/>
                <w:highlight w:val="none"/>
              </w:rPr>
            </w:pPr>
            <w:r>
              <w:rPr>
                <w:rFonts w:hint="eastAsia" w:ascii="宋体" w:hAnsi="宋体" w:cs="宋体"/>
                <w:color w:val="auto"/>
                <w:kern w:val="0"/>
                <w:sz w:val="22"/>
                <w:highlight w:val="none"/>
              </w:rPr>
              <w:t>中标供应商与采购人签订合同后，2日历天内将合同扫描件电子版发给采购代理机构：邮箱：</w:t>
            </w:r>
            <w:r>
              <w:rPr>
                <w:rFonts w:hint="eastAsia"/>
                <w:color w:val="auto"/>
                <w:highlight w:val="none"/>
              </w:rPr>
              <w:fldChar w:fldCharType="begin"/>
            </w:r>
            <w:r>
              <w:rPr>
                <w:color w:val="auto"/>
                <w:highlight w:val="none"/>
              </w:rPr>
              <w:instrText xml:space="preserve"> HYPERLINK "mailto:1322521566@qq.com。" </w:instrText>
            </w:r>
            <w:r>
              <w:rPr>
                <w:rFonts w:hint="eastAsia"/>
                <w:color w:val="auto"/>
                <w:highlight w:val="none"/>
              </w:rPr>
              <w:fldChar w:fldCharType="separate"/>
            </w:r>
            <w:r>
              <w:rPr>
                <w:rFonts w:hint="eastAsia" w:ascii="宋体" w:hAnsi="宋体" w:cs="宋体"/>
                <w:color w:val="auto"/>
                <w:kern w:val="0"/>
                <w:sz w:val="22"/>
                <w:highlight w:val="none"/>
                <w:lang w:eastAsia="zh-CN"/>
              </w:rPr>
              <w:t>404133810</w:t>
            </w:r>
            <w:r>
              <w:rPr>
                <w:rFonts w:hint="eastAsia" w:ascii="宋体" w:hAnsi="宋体" w:cs="宋体"/>
                <w:color w:val="auto"/>
                <w:kern w:val="0"/>
                <w:sz w:val="22"/>
                <w:highlight w:val="none"/>
              </w:rPr>
              <w:t>@qq.com。</w:t>
            </w:r>
            <w:r>
              <w:rPr>
                <w:rFonts w:hint="eastAsia" w:ascii="宋体" w:hAnsi="宋体" w:cs="宋体"/>
                <w:color w:val="auto"/>
                <w:kern w:val="0"/>
                <w:sz w:val="22"/>
                <w:highlight w:val="none"/>
              </w:rPr>
              <w:fldChar w:fldCharType="end"/>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b w:val="0"/>
                <w:bCs w:val="0"/>
                <w:color w:val="auto"/>
                <w:kern w:val="0"/>
                <w:sz w:val="22"/>
                <w:highlight w:val="none"/>
              </w:rPr>
            </w:pPr>
            <w:r>
              <w:rPr>
                <w:rFonts w:hint="eastAsia" w:ascii="宋体" w:hAnsi="宋体" w:cs="宋体"/>
                <w:b w:val="0"/>
                <w:bCs w:val="0"/>
                <w:color w:val="auto"/>
                <w:kern w:val="0"/>
                <w:sz w:val="22"/>
                <w:highlight w:val="none"/>
              </w:rPr>
              <w:t>28</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b w:val="0"/>
                <w:bCs w:val="0"/>
                <w:color w:val="auto"/>
                <w:sz w:val="22"/>
                <w:highlight w:val="none"/>
              </w:rPr>
            </w:pPr>
            <w:r>
              <w:rPr>
                <w:rFonts w:hint="eastAsia" w:ascii="宋体" w:hAnsi="宋体" w:cs="宋体"/>
                <w:b w:val="0"/>
                <w:bCs w:val="0"/>
                <w:color w:val="auto"/>
                <w:sz w:val="22"/>
                <w:highlight w:val="none"/>
              </w:rPr>
              <w:t>采购代理服务费</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宋体" w:hAnsi="宋体" w:eastAsia="宋体" w:cs="宋体"/>
                <w:b w:val="0"/>
                <w:bCs w:val="0"/>
                <w:color w:val="auto"/>
                <w:sz w:val="22"/>
                <w:szCs w:val="22"/>
                <w:highlight w:val="none"/>
              </w:rPr>
            </w:pPr>
            <w:r>
              <w:rPr>
                <w:rFonts w:hint="eastAsia" w:ascii="宋体" w:hAnsi="宋体" w:cs="宋体"/>
                <w:b w:val="0"/>
                <w:bCs w:val="0"/>
                <w:color w:val="auto"/>
                <w:sz w:val="22"/>
                <w:highlight w:val="none"/>
              </w:rPr>
              <w:t>1.</w:t>
            </w:r>
            <w:r>
              <w:rPr>
                <w:rFonts w:hint="eastAsia" w:ascii="宋体" w:hAnsi="宋体" w:eastAsia="宋体" w:cs="宋体"/>
                <w:b w:val="0"/>
                <w:bCs w:val="0"/>
                <w:color w:val="auto"/>
                <w:sz w:val="22"/>
                <w:szCs w:val="22"/>
                <w:highlight w:val="none"/>
              </w:rPr>
              <w:t>采购代理服务费按</w:t>
            </w:r>
            <w:r>
              <w:rPr>
                <w:rFonts w:hint="eastAsia" w:ascii="宋体" w:hAnsi="宋体" w:eastAsia="宋体" w:cs="宋体"/>
                <w:b w:val="0"/>
                <w:bCs w:val="0"/>
                <w:color w:val="auto"/>
                <w:sz w:val="22"/>
                <w:szCs w:val="22"/>
                <w:highlight w:val="none"/>
                <w:lang w:val="en-US" w:eastAsia="zh-CN"/>
              </w:rPr>
              <w:t>11100元计</w:t>
            </w:r>
            <w:r>
              <w:rPr>
                <w:rFonts w:hint="eastAsia" w:ascii="宋体" w:hAnsi="宋体" w:eastAsia="宋体" w:cs="宋体"/>
                <w:b w:val="0"/>
                <w:bCs w:val="0"/>
                <w:color w:val="auto"/>
                <w:sz w:val="22"/>
                <w:szCs w:val="22"/>
                <w:highlight w:val="none"/>
                <w:lang w:eastAsia="zh-CN"/>
              </w:rPr>
              <w:t>取</w:t>
            </w:r>
            <w:r>
              <w:rPr>
                <w:rFonts w:hint="eastAsia" w:ascii="宋体" w:hAnsi="宋体" w:eastAsia="宋体" w:cs="宋体"/>
                <w:b w:val="0"/>
                <w:bCs w:val="0"/>
                <w:color w:val="auto"/>
                <w:sz w:val="22"/>
                <w:szCs w:val="22"/>
                <w:highlight w:val="none"/>
                <w:lang w:val="en-US" w:eastAsia="zh-CN"/>
              </w:rPr>
              <w:t>，</w:t>
            </w:r>
            <w:r>
              <w:rPr>
                <w:rFonts w:hint="eastAsia" w:ascii="宋体" w:hAnsi="宋体" w:eastAsia="宋体" w:cs="宋体"/>
                <w:b w:val="0"/>
                <w:bCs w:val="0"/>
                <w:color w:val="auto"/>
                <w:sz w:val="22"/>
                <w:szCs w:val="22"/>
                <w:highlight w:val="none"/>
                <w:lang w:eastAsia="zh-CN"/>
              </w:rPr>
              <w:t>由中标人在领取</w:t>
            </w:r>
            <w:r>
              <w:rPr>
                <w:rFonts w:hint="eastAsia" w:ascii="宋体" w:hAnsi="宋体" w:eastAsia="宋体" w:cs="宋体"/>
                <w:b w:val="0"/>
                <w:bCs w:val="0"/>
                <w:color w:val="auto"/>
                <w:sz w:val="22"/>
                <w:szCs w:val="22"/>
                <w:highlight w:val="none"/>
              </w:rPr>
              <w:t>中标通知书时向采购代理机构进行支付。</w:t>
            </w:r>
          </w:p>
          <w:p>
            <w:pPr>
              <w:numPr>
                <w:ilvl w:val="0"/>
                <w:numId w:val="0"/>
              </w:numPr>
              <w:spacing w:line="360" w:lineRule="exact"/>
              <w:rPr>
                <w:rFonts w:ascii="宋体" w:hAnsi="宋体" w:cs="宋体"/>
                <w:b w:val="0"/>
                <w:bCs w:val="0"/>
                <w:color w:val="auto"/>
                <w:sz w:val="22"/>
                <w:highlight w:val="none"/>
              </w:rPr>
            </w:pPr>
            <w:r>
              <w:rPr>
                <w:rFonts w:hint="eastAsia" w:ascii="宋体" w:hAnsi="宋体" w:cs="宋体"/>
                <w:b w:val="0"/>
                <w:bCs w:val="0"/>
                <w:color w:val="auto"/>
                <w:sz w:val="22"/>
                <w:highlight w:val="none"/>
                <w:lang w:val="en-US" w:eastAsia="zh-CN"/>
              </w:rPr>
              <w:t>2.</w:t>
            </w:r>
            <w:r>
              <w:rPr>
                <w:rFonts w:hint="eastAsia" w:ascii="宋体" w:hAnsi="宋体" w:cs="宋体"/>
                <w:b w:val="0"/>
                <w:bCs w:val="0"/>
                <w:color w:val="auto"/>
                <w:sz w:val="22"/>
                <w:highlight w:val="none"/>
              </w:rPr>
              <w:t>请各投标供应商将采购代理服务费包含在投标总报价中。</w:t>
            </w:r>
          </w:p>
          <w:p>
            <w:pPr>
              <w:numPr>
                <w:ilvl w:val="0"/>
                <w:numId w:val="0"/>
              </w:numPr>
              <w:spacing w:line="360" w:lineRule="exact"/>
              <w:rPr>
                <w:rFonts w:ascii="宋体" w:hAnsi="宋体" w:cs="宋体"/>
                <w:b w:val="0"/>
                <w:bCs w:val="0"/>
                <w:color w:val="auto"/>
                <w:sz w:val="22"/>
                <w:highlight w:val="none"/>
              </w:rPr>
            </w:pPr>
            <w:r>
              <w:rPr>
                <w:rFonts w:hint="eastAsia" w:ascii="宋体" w:hAnsi="宋体" w:cs="宋体"/>
                <w:b w:val="0"/>
                <w:bCs w:val="0"/>
                <w:color w:val="auto"/>
                <w:sz w:val="22"/>
                <w:highlight w:val="none"/>
                <w:lang w:val="en-US" w:eastAsia="zh-CN"/>
              </w:rPr>
              <w:t>3.</w:t>
            </w:r>
            <w:r>
              <w:rPr>
                <w:rFonts w:hint="eastAsia" w:ascii="宋体" w:hAnsi="宋体" w:cs="宋体"/>
                <w:b w:val="0"/>
                <w:bCs w:val="0"/>
                <w:color w:val="auto"/>
                <w:sz w:val="22"/>
                <w:highlight w:val="none"/>
              </w:rPr>
              <w:t>采购代理服务费可以是现金、支票或汇票。</w:t>
            </w:r>
          </w:p>
          <w:p>
            <w:pPr>
              <w:spacing w:line="360" w:lineRule="exact"/>
              <w:rPr>
                <w:rFonts w:hint="eastAsia" w:ascii="宋体" w:hAnsi="宋体" w:eastAsia="宋体" w:cs="宋体"/>
                <w:b w:val="0"/>
                <w:bCs w:val="0"/>
                <w:color w:val="auto"/>
                <w:sz w:val="22"/>
                <w:szCs w:val="22"/>
                <w:highlight w:val="none"/>
                <w:lang w:eastAsia="zh-CN"/>
              </w:rPr>
            </w:pPr>
            <w:r>
              <w:rPr>
                <w:rFonts w:hint="eastAsia" w:ascii="宋体" w:hAnsi="宋体" w:eastAsia="宋体" w:cs="宋体"/>
                <w:b w:val="0"/>
                <w:bCs w:val="0"/>
                <w:color w:val="auto"/>
                <w:sz w:val="22"/>
                <w:szCs w:val="22"/>
                <w:highlight w:val="none"/>
              </w:rPr>
              <w:t>户名：</w:t>
            </w:r>
            <w:r>
              <w:rPr>
                <w:rFonts w:hint="eastAsia" w:ascii="宋体" w:hAnsi="宋体" w:eastAsia="宋体" w:cs="宋体"/>
                <w:b w:val="0"/>
                <w:bCs w:val="0"/>
                <w:color w:val="auto"/>
                <w:sz w:val="22"/>
                <w:szCs w:val="22"/>
                <w:highlight w:val="none"/>
                <w:lang w:eastAsia="zh-CN"/>
              </w:rPr>
              <w:t>温州众晟工程管理有限公司</w:t>
            </w:r>
          </w:p>
          <w:p>
            <w:pPr>
              <w:spacing w:line="360" w:lineRule="exact"/>
              <w:rPr>
                <w:rFonts w:hint="eastAsia"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开户行：浙江温州瓯海农村商业银行股份有限公司新桥支行</w:t>
            </w:r>
          </w:p>
          <w:p>
            <w:pPr>
              <w:spacing w:line="320" w:lineRule="exact"/>
              <w:rPr>
                <w:rFonts w:ascii="宋体" w:hAnsi="宋体" w:cs="宋体"/>
                <w:b w:val="0"/>
                <w:bCs w:val="0"/>
                <w:color w:val="auto"/>
                <w:kern w:val="0"/>
                <w:sz w:val="22"/>
                <w:highlight w:val="none"/>
              </w:rPr>
            </w:pPr>
            <w:r>
              <w:rPr>
                <w:rFonts w:hint="eastAsia" w:ascii="宋体" w:hAnsi="宋体" w:eastAsia="宋体" w:cs="宋体"/>
                <w:b w:val="0"/>
                <w:bCs w:val="0"/>
                <w:color w:val="auto"/>
                <w:sz w:val="22"/>
                <w:szCs w:val="22"/>
                <w:highlight w:val="none"/>
              </w:rPr>
              <w:t>帐号：201000246422733</w:t>
            </w:r>
          </w:p>
        </w:tc>
      </w:tr>
      <w:tr>
        <w:tblPrEx>
          <w:tblCellMar>
            <w:top w:w="0" w:type="dxa"/>
            <w:left w:w="108" w:type="dxa"/>
            <w:bottom w:w="0" w:type="dxa"/>
            <w:right w:w="108" w:type="dxa"/>
          </w:tblCellMar>
        </w:tblPrEx>
        <w:trPr>
          <w:trHeight w:val="340" w:hRule="atLeast"/>
        </w:trPr>
        <w:tc>
          <w:tcPr>
            <w:tcW w:w="1001"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kern w:val="0"/>
                <w:sz w:val="22"/>
                <w:highlight w:val="none"/>
              </w:rPr>
            </w:pPr>
            <w:r>
              <w:rPr>
                <w:rFonts w:hint="eastAsia" w:ascii="宋体" w:hAnsi="宋体" w:cs="宋体"/>
                <w:color w:val="auto"/>
                <w:kern w:val="0"/>
                <w:sz w:val="22"/>
                <w:highlight w:val="none"/>
              </w:rPr>
              <w:t>29</w:t>
            </w:r>
          </w:p>
        </w:tc>
        <w:tc>
          <w:tcPr>
            <w:tcW w:w="17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其它</w:t>
            </w:r>
          </w:p>
        </w:tc>
        <w:tc>
          <w:tcPr>
            <w:tcW w:w="729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b/>
                <w:bCs/>
                <w:color w:val="auto"/>
                <w:sz w:val="22"/>
                <w:highlight w:val="none"/>
              </w:rPr>
            </w:pPr>
            <w:r>
              <w:rPr>
                <w:rFonts w:hint="eastAsia" w:ascii="宋体" w:hAnsi="宋体" w:cs="宋体"/>
                <w:b/>
                <w:bCs/>
                <w:color w:val="auto"/>
                <w:sz w:val="22"/>
                <w:highlight w:val="none"/>
              </w:rPr>
              <w:t>1.公开招标公告属于本招标文件的一部分。</w:t>
            </w:r>
          </w:p>
          <w:p>
            <w:pPr>
              <w:spacing w:line="320" w:lineRule="exact"/>
              <w:rPr>
                <w:rFonts w:ascii="宋体" w:hAnsi="宋体" w:cs="宋体"/>
                <w:b/>
                <w:bCs/>
                <w:color w:val="auto"/>
                <w:sz w:val="22"/>
                <w:highlight w:val="none"/>
              </w:rPr>
            </w:pPr>
            <w:r>
              <w:rPr>
                <w:rFonts w:hint="eastAsia" w:ascii="宋体" w:hAnsi="宋体" w:cs="宋体"/>
                <w:b/>
                <w:bCs/>
                <w:color w:val="auto"/>
                <w:sz w:val="22"/>
                <w:highlight w:val="none"/>
              </w:rPr>
              <w:t>2.请务必确保投标文件制作客户端为最新版本，旧版本可能导致投标文件解密失败。</w:t>
            </w:r>
          </w:p>
          <w:p>
            <w:pPr>
              <w:spacing w:line="320" w:lineRule="exact"/>
              <w:rPr>
                <w:rFonts w:ascii="宋体" w:hAnsi="宋体" w:cs="宋体"/>
                <w:b/>
                <w:bCs/>
                <w:color w:val="auto"/>
                <w:sz w:val="22"/>
                <w:highlight w:val="none"/>
              </w:rPr>
            </w:pPr>
            <w:r>
              <w:rPr>
                <w:rFonts w:hint="eastAsia" w:ascii="宋体" w:hAnsi="宋体" w:cs="宋体"/>
                <w:b/>
                <w:bCs/>
                <w:color w:val="auto"/>
                <w:sz w:val="22"/>
                <w:highlight w:val="none"/>
              </w:rPr>
              <w:t>3.请务必确保投标文件制作时所用的 CA 锁与投标文件解密时的 CA 锁为同一把，否则可能导致投标文件解密失败。</w:t>
            </w:r>
          </w:p>
          <w:p>
            <w:pPr>
              <w:spacing w:line="320" w:lineRule="exact"/>
              <w:rPr>
                <w:rFonts w:ascii="宋体" w:hAnsi="宋体" w:cs="宋体"/>
                <w:b/>
                <w:bCs/>
                <w:color w:val="auto"/>
                <w:sz w:val="22"/>
                <w:highlight w:val="none"/>
              </w:rPr>
            </w:pPr>
            <w:r>
              <w:rPr>
                <w:rFonts w:hint="eastAsia" w:ascii="宋体" w:hAnsi="宋体" w:cs="宋体"/>
                <w:b/>
                <w:bCs/>
                <w:color w:val="auto"/>
                <w:sz w:val="22"/>
                <w:highlight w:val="none"/>
              </w:rPr>
              <w:t>4.在投标文件解密前，请务必检验 CA 锁与所用电脑的兼容性，部分电脑因 CA 驱动未正常安装、USB 接口兼容性差等原因可能造成投标文件解密失败。</w:t>
            </w:r>
          </w:p>
          <w:p>
            <w:pPr>
              <w:spacing w:line="320" w:lineRule="exact"/>
              <w:rPr>
                <w:rFonts w:ascii="宋体" w:hAnsi="宋体" w:cs="宋体"/>
                <w:b/>
                <w:bCs/>
                <w:color w:val="auto"/>
                <w:sz w:val="22"/>
                <w:highlight w:val="none"/>
              </w:rPr>
            </w:pPr>
            <w:r>
              <w:rPr>
                <w:rFonts w:hint="eastAsia" w:ascii="宋体" w:hAnsi="宋体" w:cs="宋体"/>
                <w:b/>
                <w:bCs/>
                <w:color w:val="auto"/>
                <w:sz w:val="22"/>
                <w:highlight w:val="none"/>
              </w:rPr>
              <w:t>5.投标供应商未按招标文件规定及提醒操作的，引起的一切后果由投标供应商自行负责。</w:t>
            </w:r>
          </w:p>
          <w:p>
            <w:pPr>
              <w:spacing w:line="320" w:lineRule="exact"/>
              <w:rPr>
                <w:rFonts w:ascii="宋体" w:hAnsi="宋体" w:cs="宋体"/>
                <w:color w:val="auto"/>
                <w:kern w:val="0"/>
                <w:sz w:val="22"/>
                <w:highlight w:val="none"/>
              </w:rPr>
            </w:pPr>
            <w:r>
              <w:rPr>
                <w:rFonts w:hint="eastAsia" w:ascii="宋体" w:hAnsi="宋体" w:cs="宋体"/>
                <w:b/>
                <w:color w:val="auto"/>
                <w:sz w:val="22"/>
                <w:highlight w:val="none"/>
              </w:rPr>
              <w:t>6.投标截止时间同</w:t>
            </w:r>
            <w:r>
              <w:rPr>
                <w:rStyle w:val="24"/>
                <w:rFonts w:hint="eastAsia" w:ascii="宋体" w:hAnsi="宋体" w:cs="宋体"/>
                <w:color w:val="auto"/>
                <w:sz w:val="22"/>
                <w:highlight w:val="none"/>
              </w:rPr>
              <w:t>提交投标文件截止时间。</w:t>
            </w:r>
          </w:p>
        </w:tc>
      </w:tr>
    </w:tbl>
    <w:p>
      <w:pPr>
        <w:rPr>
          <w:rFonts w:ascii="宋体" w:hAnsi="宋体" w:cs="宋体"/>
          <w:color w:val="auto"/>
          <w:sz w:val="24"/>
          <w:highlight w:val="none"/>
        </w:rPr>
      </w:pPr>
      <w:r>
        <w:rPr>
          <w:rFonts w:hint="eastAsia" w:ascii="宋体" w:hAnsi="宋体" w:cs="宋体"/>
          <w:color w:val="auto"/>
          <w:sz w:val="24"/>
          <w:highlight w:val="none"/>
        </w:rPr>
        <w:br w:type="page"/>
      </w:r>
    </w:p>
    <w:p>
      <w:pPr>
        <w:pStyle w:val="3"/>
        <w:numPr>
          <w:ilvl w:val="0"/>
          <w:numId w:val="0"/>
        </w:numPr>
        <w:spacing w:before="240" w:beforeLines="100" w:line="360" w:lineRule="auto"/>
        <w:jc w:val="center"/>
        <w:rPr>
          <w:color w:val="auto"/>
          <w:sz w:val="24"/>
          <w:highlight w:val="none"/>
        </w:rPr>
      </w:pPr>
      <w:r>
        <w:rPr>
          <w:rFonts w:hint="eastAsia"/>
          <w:color w:val="auto"/>
          <w:sz w:val="24"/>
          <w:highlight w:val="none"/>
        </w:rPr>
        <w:t>一、 说  明</w:t>
      </w:r>
    </w:p>
    <w:p>
      <w:pPr>
        <w:tabs>
          <w:tab w:val="left" w:pos="360"/>
        </w:tabs>
        <w:spacing w:line="400" w:lineRule="exact"/>
        <w:ind w:left="440" w:hanging="440" w:hangingChars="200"/>
        <w:rPr>
          <w:rFonts w:ascii="宋体" w:hAnsi="宋体" w:cs="宋体"/>
          <w:color w:val="auto"/>
          <w:sz w:val="22"/>
          <w:highlight w:val="none"/>
        </w:rPr>
      </w:pPr>
      <w:r>
        <w:rPr>
          <w:rFonts w:hint="eastAsia" w:ascii="宋体" w:hAnsi="宋体" w:cs="宋体"/>
          <w:color w:val="auto"/>
          <w:sz w:val="22"/>
          <w:highlight w:val="none"/>
        </w:rPr>
        <w:t>1.  本次招标是根据《中华人民共和国政府采购法》、《中华人民共和国政府采购法实施条例》、《政府采购货物和服务招标投标管理办法》（财政部第87号令）、《浙江省政府采购项目电子交易管理暂行办法》（浙财采监〔2019〕10号）及浙江省市等有关政府采购的规范性文件组织和实施。</w:t>
      </w:r>
    </w:p>
    <w:p>
      <w:pPr>
        <w:tabs>
          <w:tab w:val="left" w:pos="360"/>
        </w:tabs>
        <w:spacing w:line="400" w:lineRule="exact"/>
        <w:ind w:left="550" w:hanging="550" w:hangingChars="250"/>
        <w:rPr>
          <w:rFonts w:ascii="宋体" w:hAnsi="宋体" w:cs="宋体"/>
          <w:color w:val="auto"/>
          <w:sz w:val="22"/>
          <w:highlight w:val="none"/>
        </w:rPr>
      </w:pPr>
      <w:bookmarkStart w:id="4" w:name="_Toc31546"/>
      <w:bookmarkStart w:id="5" w:name="_Toc3235"/>
      <w:bookmarkStart w:id="6" w:name="_Toc19066"/>
      <w:r>
        <w:rPr>
          <w:rFonts w:hint="eastAsia" w:ascii="宋体" w:hAnsi="宋体" w:cs="宋体"/>
          <w:color w:val="auto"/>
          <w:sz w:val="22"/>
          <w:highlight w:val="none"/>
        </w:rPr>
        <w:t>2.  定义</w:t>
      </w:r>
      <w:bookmarkEnd w:id="4"/>
      <w:bookmarkEnd w:id="5"/>
      <w:bookmarkEnd w:id="6"/>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2.1 “采购人”系指招标公告中载明的本项目的采购人。</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2.2 “采购代理机构”系指招标公告中载明的本项目的采购代理机构。</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2.3 “投标供应商、供应商”均系指是指响应招标、参加投标竞争的法人、其他组织或者自然人。</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2.4 “负责人”系指法人企业的法定负责人，或其他组织为法律、行政法规规定代表单位行使职权的主要负责人，或自然人本人。</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2.5 “电子签名”系指数据电文中以电子形式所含、所附用于识别签名人身份并表明签名人认可其中内容的数据；“公章”系指单位法定名称章。</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2.6 “电子交易平台”是指本项目政府采购活动所依托的政府采购云平台（https://www.zcygov.cn/）。</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2.7 “▲”</w:t>
      </w:r>
      <w:r>
        <w:rPr>
          <w:rFonts w:hint="eastAsia" w:ascii="宋体" w:hAnsi="宋体" w:cs="宋体"/>
          <w:snapToGrid w:val="0"/>
          <w:color w:val="auto"/>
          <w:kern w:val="28"/>
          <w:sz w:val="22"/>
          <w:highlight w:val="none"/>
        </w:rPr>
        <w:t>且加下划线的条款</w:t>
      </w:r>
      <w:r>
        <w:rPr>
          <w:rFonts w:hint="eastAsia" w:ascii="宋体" w:hAnsi="宋体" w:cs="宋体"/>
          <w:color w:val="auto"/>
          <w:sz w:val="22"/>
          <w:highlight w:val="none"/>
        </w:rPr>
        <w:t>系指实质性要求条款，“</w:t>
      </w:r>
      <w:r>
        <w:rPr>
          <w:rFonts w:hint="eastAsia" w:ascii="宋体" w:hAnsi="宋体" w:cs="宋体"/>
          <w:color w:val="auto"/>
          <w:sz w:val="22"/>
          <w:highlight w:val="none"/>
        </w:rPr>
        <w:sym w:font="Wingdings" w:char="00FE"/>
      </w:r>
      <w:r>
        <w:rPr>
          <w:rFonts w:hint="eastAsia" w:ascii="宋体" w:hAnsi="宋体" w:cs="宋体"/>
          <w:color w:val="auto"/>
          <w:sz w:val="22"/>
          <w:highlight w:val="none"/>
        </w:rPr>
        <w:t>” 系指适用本项目的要求，“</w:t>
      </w:r>
      <w:r>
        <w:rPr>
          <w:rFonts w:hint="eastAsia" w:ascii="宋体" w:hAnsi="宋体" w:cs="宋体"/>
          <w:color w:val="auto"/>
          <w:sz w:val="22"/>
          <w:highlight w:val="none"/>
        </w:rPr>
        <w:sym w:font="Wingdings" w:char="00A8"/>
      </w:r>
      <w:r>
        <w:rPr>
          <w:rFonts w:hint="eastAsia" w:ascii="宋体" w:hAnsi="宋体" w:cs="宋体"/>
          <w:color w:val="auto"/>
          <w:sz w:val="22"/>
          <w:highlight w:val="none"/>
        </w:rPr>
        <w:t>” 系指不适用本项目的要求。</w:t>
      </w:r>
    </w:p>
    <w:p>
      <w:pPr>
        <w:spacing w:line="400" w:lineRule="exact"/>
        <w:ind w:left="552" w:hanging="552" w:hangingChars="250"/>
        <w:rPr>
          <w:rFonts w:ascii="宋体" w:hAnsi="宋体" w:cs="宋体"/>
          <w:b/>
          <w:color w:val="auto"/>
          <w:sz w:val="22"/>
          <w:highlight w:val="none"/>
        </w:rPr>
      </w:pPr>
      <w:r>
        <w:rPr>
          <w:rFonts w:hint="eastAsia" w:ascii="宋体" w:hAnsi="宋体" w:cs="宋体"/>
          <w:b/>
          <w:color w:val="auto"/>
          <w:sz w:val="22"/>
          <w:highlight w:val="none"/>
        </w:rPr>
        <w:t>3.   合格投标供应商要求</w:t>
      </w:r>
    </w:p>
    <w:p>
      <w:pPr>
        <w:tabs>
          <w:tab w:val="left" w:pos="540"/>
          <w:tab w:val="left" w:pos="900"/>
        </w:tabs>
        <w:snapToGrid w:val="0"/>
        <w:spacing w:line="400" w:lineRule="exact"/>
        <w:ind w:left="550" w:hanging="550" w:hangingChars="250"/>
        <w:rPr>
          <w:rFonts w:ascii="宋体" w:hAnsi="宋体" w:cs="宋体"/>
          <w:bCs/>
          <w:color w:val="auto"/>
          <w:sz w:val="22"/>
          <w:highlight w:val="none"/>
        </w:rPr>
      </w:pPr>
      <w:r>
        <w:rPr>
          <w:rFonts w:hint="eastAsia" w:ascii="宋体" w:hAnsi="宋体" w:cs="宋体"/>
          <w:bCs/>
          <w:color w:val="auto"/>
          <w:sz w:val="22"/>
          <w:highlight w:val="none"/>
        </w:rPr>
        <w:t>3.1  合格的投标供应商应满足招标文件第一部分“招标公告”对申请人的资格要求。</w:t>
      </w:r>
    </w:p>
    <w:p>
      <w:pPr>
        <w:tabs>
          <w:tab w:val="left" w:pos="540"/>
          <w:tab w:val="left" w:pos="900"/>
        </w:tabs>
        <w:snapToGrid w:val="0"/>
        <w:spacing w:line="400" w:lineRule="exact"/>
        <w:ind w:left="550" w:hanging="550" w:hangingChars="250"/>
        <w:rPr>
          <w:rFonts w:ascii="宋体" w:hAnsi="宋体" w:cs="宋体"/>
          <w:bCs/>
          <w:color w:val="auto"/>
          <w:sz w:val="22"/>
          <w:highlight w:val="none"/>
        </w:rPr>
      </w:pPr>
      <w:r>
        <w:rPr>
          <w:rFonts w:hint="eastAsia" w:ascii="宋体" w:hAnsi="宋体" w:cs="宋体"/>
          <w:bCs/>
          <w:color w:val="auto"/>
          <w:sz w:val="22"/>
          <w:highlight w:val="none"/>
        </w:rPr>
        <w:t xml:space="preserve">3.2  </w:t>
      </w:r>
      <w:r>
        <w:rPr>
          <w:rFonts w:hint="eastAsia" w:ascii="宋体" w:hAnsi="宋体" w:cs="宋体"/>
          <w:b/>
          <w:color w:val="auto"/>
          <w:sz w:val="22"/>
          <w:highlight w:val="none"/>
        </w:rPr>
        <w:t>单位负责人为同一人或者存在直接控股、管理关系的不同投标供应商，不得参加同一合同项下的政府采购活动。为采购项目提供整体设计、规范编制或者项目管理、监理、检测等服务的投标供应商，不得再参加该采购项目的其他采购活动。</w:t>
      </w:r>
    </w:p>
    <w:p>
      <w:pPr>
        <w:tabs>
          <w:tab w:val="left" w:pos="540"/>
          <w:tab w:val="left" w:pos="900"/>
        </w:tabs>
        <w:snapToGrid w:val="0"/>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3.3  投标供应商可授权投标供应商代表以投标供应商名义参加本次采购的投标活动（包括投标文件的签署、澄清、说明、补正、递交、撤回、修改等以及签订合同和处理有关事宜）。如果投标供应商代表不是法定代表人(负责人)，须持有《法定代表人(负责人)授权书》。</w:t>
      </w:r>
    </w:p>
    <w:p>
      <w:pPr>
        <w:snapToGrid w:val="0"/>
        <w:spacing w:line="400" w:lineRule="exact"/>
        <w:ind w:left="580" w:hanging="580" w:hangingChars="250"/>
        <w:rPr>
          <w:rFonts w:ascii="宋体" w:hAnsi="宋体" w:cs="宋体"/>
          <w:bCs/>
          <w:color w:val="auto"/>
          <w:spacing w:val="6"/>
          <w:sz w:val="22"/>
          <w:highlight w:val="none"/>
        </w:rPr>
      </w:pPr>
      <w:r>
        <w:rPr>
          <w:rFonts w:hint="eastAsia" w:ascii="宋体" w:hAnsi="宋体" w:cs="宋体"/>
          <w:bCs/>
          <w:color w:val="auto"/>
          <w:spacing w:val="6"/>
          <w:sz w:val="22"/>
          <w:highlight w:val="none"/>
        </w:rPr>
        <w:t>3.4  采用最低评标价法的</w:t>
      </w:r>
      <w:r>
        <w:rPr>
          <w:rFonts w:hint="eastAsia" w:ascii="宋体" w:hAnsi="宋体" w:cs="宋体"/>
          <w:color w:val="auto"/>
          <w:sz w:val="22"/>
          <w:highlight w:val="none"/>
        </w:rPr>
        <w:t>货物类</w:t>
      </w:r>
      <w:r>
        <w:rPr>
          <w:rFonts w:hint="eastAsia" w:ascii="宋体" w:hAnsi="宋体" w:cs="宋体"/>
          <w:bCs/>
          <w:color w:val="auto"/>
          <w:spacing w:val="6"/>
          <w:sz w:val="22"/>
          <w:highlight w:val="none"/>
        </w:rPr>
        <w:t>采购项目，提供相同品牌产品的不同投标供应商参加同一合同项下投标的，以其中通过资格审查、符合性审查且报价最低的参加评标；报价相同的，由采购人或者采购人委托评标委员会按照招标文件规定的方式确定一个参加评标的投标供应商，招标文件未规定的采取随机抽取方式确定，其他投标无效。</w:t>
      </w:r>
    </w:p>
    <w:p>
      <w:pPr>
        <w:snapToGrid w:val="0"/>
        <w:spacing w:line="400" w:lineRule="exact"/>
        <w:ind w:left="525" w:leftChars="250"/>
        <w:rPr>
          <w:rFonts w:ascii="宋体" w:hAnsi="宋体" w:cs="宋体"/>
          <w:bCs/>
          <w:color w:val="auto"/>
          <w:spacing w:val="6"/>
          <w:sz w:val="22"/>
          <w:highlight w:val="none"/>
        </w:rPr>
      </w:pPr>
      <w:r>
        <w:rPr>
          <w:rFonts w:hint="eastAsia" w:ascii="宋体" w:hAnsi="宋体" w:cs="宋体"/>
          <w:bCs/>
          <w:color w:val="auto"/>
          <w:spacing w:val="6"/>
          <w:sz w:val="22"/>
          <w:highlight w:val="none"/>
        </w:rPr>
        <w:t>使用综合评分法的</w:t>
      </w:r>
      <w:r>
        <w:rPr>
          <w:rFonts w:hint="eastAsia" w:ascii="宋体" w:hAnsi="宋体" w:cs="宋体"/>
          <w:color w:val="auto"/>
          <w:sz w:val="22"/>
          <w:highlight w:val="none"/>
        </w:rPr>
        <w:t>货物类</w:t>
      </w:r>
      <w:r>
        <w:rPr>
          <w:rFonts w:hint="eastAsia" w:ascii="宋体" w:hAnsi="宋体" w:cs="宋体"/>
          <w:bCs/>
          <w:color w:val="auto"/>
          <w:spacing w:val="6"/>
          <w:sz w:val="22"/>
          <w:highlight w:val="none"/>
        </w:rPr>
        <w:t>采购项目，提供相同品牌产品且通过资格审查、符合性审查的不同投标供应商参加同一合同项下投标的，按一家投标供应商计算，评审后得分最高的同品牌投标供应商获得中标供应商推荐资格；评审得分相同的，由采购人或者采购人委托评标委员会按照招标文件规定的方式确定一个投标供应商获得中标供应商推荐资格，招标文件未规定的采取随机抽取方式确定，其他同品牌投标供应商不作为</w:t>
      </w:r>
      <w:r>
        <w:rPr>
          <w:rFonts w:hint="eastAsia" w:ascii="宋体" w:hAnsi="宋体" w:cs="宋体"/>
          <w:bCs/>
          <w:color w:val="auto"/>
          <w:spacing w:val="6"/>
          <w:sz w:val="22"/>
          <w:highlight w:val="none"/>
          <w:lang w:eastAsia="zh-CN"/>
        </w:rPr>
        <w:t>中标候选供应商</w:t>
      </w:r>
      <w:r>
        <w:rPr>
          <w:rFonts w:hint="eastAsia" w:ascii="宋体" w:hAnsi="宋体" w:cs="宋体"/>
          <w:bCs/>
          <w:color w:val="auto"/>
          <w:spacing w:val="6"/>
          <w:sz w:val="22"/>
          <w:highlight w:val="none"/>
        </w:rPr>
        <w:t>。</w:t>
      </w:r>
    </w:p>
    <w:p>
      <w:pPr>
        <w:snapToGrid w:val="0"/>
        <w:spacing w:line="400" w:lineRule="exact"/>
        <w:ind w:left="525" w:leftChars="250"/>
        <w:rPr>
          <w:rFonts w:ascii="宋体" w:hAnsi="宋体" w:cs="宋体"/>
          <w:bCs/>
          <w:color w:val="auto"/>
          <w:spacing w:val="6"/>
          <w:sz w:val="22"/>
          <w:highlight w:val="none"/>
        </w:rPr>
      </w:pPr>
      <w:r>
        <w:rPr>
          <w:rFonts w:hint="eastAsia" w:ascii="宋体" w:hAnsi="宋体" w:cs="宋体"/>
          <w:bCs/>
          <w:color w:val="auto"/>
          <w:spacing w:val="6"/>
          <w:sz w:val="22"/>
          <w:highlight w:val="none"/>
        </w:rPr>
        <w:t>非单一产品采购项目，多家投标供应商提供的核心产品（见</w:t>
      </w:r>
      <w:r>
        <w:rPr>
          <w:rFonts w:hint="eastAsia" w:ascii="宋体" w:hAnsi="宋体" w:cs="宋体"/>
          <w:color w:val="auto"/>
          <w:sz w:val="22"/>
          <w:highlight w:val="none"/>
        </w:rPr>
        <w:t>投标供应商须知前附表</w:t>
      </w:r>
      <w:r>
        <w:rPr>
          <w:rFonts w:hint="eastAsia" w:ascii="宋体" w:hAnsi="宋体" w:cs="宋体"/>
          <w:bCs/>
          <w:color w:val="auto"/>
          <w:spacing w:val="6"/>
          <w:sz w:val="22"/>
          <w:highlight w:val="none"/>
        </w:rPr>
        <w:t>）品牌相同的，按前两款规定处理。</w:t>
      </w:r>
    </w:p>
    <w:p>
      <w:pPr>
        <w:snapToGrid w:val="0"/>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3.5  货物类是否允许采购进口产品、是否要求节能/环境标志产品等情况见投标供应商须知前附表。</w:t>
      </w:r>
    </w:p>
    <w:p>
      <w:pPr>
        <w:spacing w:line="400" w:lineRule="exact"/>
        <w:ind w:left="552" w:hanging="552" w:hangingChars="250"/>
        <w:rPr>
          <w:rFonts w:ascii="宋体" w:hAnsi="宋体" w:cs="宋体"/>
          <w:b/>
          <w:color w:val="auto"/>
          <w:sz w:val="22"/>
          <w:highlight w:val="none"/>
        </w:rPr>
      </w:pPr>
      <w:r>
        <w:rPr>
          <w:rFonts w:hint="eastAsia" w:ascii="宋体" w:hAnsi="宋体" w:cs="宋体"/>
          <w:b/>
          <w:color w:val="auto"/>
          <w:sz w:val="22"/>
          <w:highlight w:val="none"/>
        </w:rPr>
        <w:t>4.   采购项目需要落实的政府采购政策</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4.1  根据《政府采购进口产品管理办法》的通知（财库〔2007〕119 号）文件相关规定，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4.2  支持绿色发展</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4.2.1采购人拟采购的产品属于品目清单范围的，采购人及其委托的采购代理机构将依据国家确定的认证机构出具的、处于有效期之内的节能产品、环境标志产品认证证书，对获得证书的产品实施政府优先采购或强制采购。投标供应商须按招标文件要求提供相关产品认证证书。采购人拟采购的产品属于政府强制采购的节能产品品目清单范围的，投标供应商未按招标文件要求提供国家确定的认证机构出具的、处于有效期之内的节能产品认证证书的，投标无效。</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4.3  支持中小企业发展</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400" w:lineRule="exact"/>
        <w:ind w:left="525" w:leftChars="250"/>
        <w:rPr>
          <w:rFonts w:ascii="宋体" w:hAnsi="宋体" w:cs="宋体"/>
          <w:color w:val="auto"/>
          <w:sz w:val="22"/>
          <w:highlight w:val="none"/>
        </w:rPr>
      </w:pPr>
      <w:r>
        <w:rPr>
          <w:rFonts w:hint="eastAsia" w:ascii="宋体" w:hAnsi="宋体" w:cs="宋体"/>
          <w:color w:val="auto"/>
          <w:sz w:val="22"/>
          <w:highlight w:val="none"/>
        </w:rPr>
        <w:t>符合中小企业划分标准的个体工商户，在政府采购活动中视同中小企业。</w:t>
      </w:r>
    </w:p>
    <w:p>
      <w:pPr>
        <w:widowControl/>
        <w:spacing w:line="400" w:lineRule="exact"/>
        <w:ind w:left="550" w:hanging="550" w:hangingChars="250"/>
        <w:jc w:val="left"/>
        <w:rPr>
          <w:rFonts w:ascii="宋体" w:hAnsi="宋体" w:cs="宋体"/>
          <w:color w:val="auto"/>
          <w:sz w:val="22"/>
          <w:highlight w:val="none"/>
        </w:rPr>
      </w:pPr>
      <w:r>
        <w:rPr>
          <w:rFonts w:hint="eastAsia" w:ascii="宋体" w:hAnsi="宋体" w:cs="宋体"/>
          <w:bCs/>
          <w:color w:val="auto"/>
          <w:sz w:val="22"/>
          <w:highlight w:val="none"/>
        </w:rPr>
        <w:t>4.3.2</w:t>
      </w:r>
      <w:r>
        <w:rPr>
          <w:rFonts w:hint="eastAsia" w:ascii="宋体" w:hAnsi="宋体" w:cs="宋体"/>
          <w:color w:val="auto"/>
          <w:sz w:val="22"/>
          <w:highlight w:val="none"/>
        </w:rPr>
        <w:t>在政府采购活动中，投标供应商提供的货物、工程或者服务符合下列情形的，享受中小企业扶持政策：</w:t>
      </w:r>
    </w:p>
    <w:p>
      <w:pPr>
        <w:widowControl/>
        <w:spacing w:line="400" w:lineRule="exact"/>
        <w:ind w:left="550" w:hanging="550" w:hangingChars="250"/>
        <w:jc w:val="left"/>
        <w:rPr>
          <w:rFonts w:ascii="宋体" w:hAnsi="宋体" w:cs="宋体"/>
          <w:color w:val="auto"/>
          <w:sz w:val="22"/>
          <w:highlight w:val="none"/>
        </w:rPr>
      </w:pPr>
      <w:r>
        <w:rPr>
          <w:rFonts w:hint="eastAsia" w:ascii="宋体" w:hAnsi="宋体" w:cs="宋体"/>
          <w:color w:val="auto"/>
          <w:sz w:val="22"/>
          <w:highlight w:val="none"/>
        </w:rPr>
        <w:t>4.3.2.1在货物采购项目中，货物由中小企业制造，即货物由中小企业生产且使用该中小企业商号或者注册商标；</w:t>
      </w:r>
    </w:p>
    <w:p>
      <w:pPr>
        <w:widowControl/>
        <w:spacing w:line="400" w:lineRule="exact"/>
        <w:ind w:left="550" w:hanging="550" w:hangingChars="250"/>
        <w:jc w:val="left"/>
        <w:rPr>
          <w:rFonts w:ascii="宋体" w:hAnsi="宋体" w:cs="宋体"/>
          <w:color w:val="auto"/>
          <w:sz w:val="22"/>
          <w:highlight w:val="none"/>
        </w:rPr>
      </w:pPr>
      <w:r>
        <w:rPr>
          <w:rFonts w:hint="eastAsia" w:ascii="宋体" w:hAnsi="宋体" w:cs="宋体"/>
          <w:color w:val="auto"/>
          <w:sz w:val="22"/>
          <w:highlight w:val="none"/>
        </w:rPr>
        <w:t>4.3.2.2在工程采购项目中，工程由中小企业承建，即工程施工单位为中小企业；</w:t>
      </w:r>
    </w:p>
    <w:p>
      <w:pPr>
        <w:widowControl/>
        <w:spacing w:line="400" w:lineRule="exact"/>
        <w:ind w:left="550" w:hanging="550" w:hangingChars="250"/>
        <w:jc w:val="left"/>
        <w:rPr>
          <w:rFonts w:ascii="宋体" w:hAnsi="宋体" w:cs="宋体"/>
          <w:color w:val="auto"/>
          <w:sz w:val="22"/>
          <w:highlight w:val="none"/>
        </w:rPr>
      </w:pPr>
      <w:r>
        <w:rPr>
          <w:rFonts w:hint="eastAsia" w:ascii="宋体" w:hAnsi="宋体" w:cs="宋体"/>
          <w:color w:val="auto"/>
          <w:sz w:val="22"/>
          <w:highlight w:val="none"/>
        </w:rPr>
        <w:t>4.3.2.3在服务采购项目中，服务由中小企业承接，即提供服务的人员为中小企业依照《中华人民共和国劳动合同法》订立劳动合同的从业人员。</w:t>
      </w:r>
    </w:p>
    <w:p>
      <w:pPr>
        <w:widowControl/>
        <w:spacing w:line="400" w:lineRule="exact"/>
        <w:ind w:left="525" w:leftChars="250"/>
        <w:jc w:val="left"/>
        <w:rPr>
          <w:rFonts w:ascii="宋体" w:hAnsi="宋体" w:cs="宋体"/>
          <w:color w:val="auto"/>
          <w:sz w:val="22"/>
          <w:highlight w:val="none"/>
        </w:rPr>
      </w:pPr>
      <w:r>
        <w:rPr>
          <w:rFonts w:hint="eastAsia" w:ascii="宋体" w:hAnsi="宋体" w:cs="宋体"/>
          <w:color w:val="auto"/>
          <w:sz w:val="22"/>
          <w:highlight w:val="none"/>
        </w:rPr>
        <w:t>在货物采购项目中，投标供应商提供的货物既有中小企业制造货物，也有大型企业制造货物的，不享受中小企业扶持政策。</w:t>
      </w:r>
    </w:p>
    <w:p>
      <w:pPr>
        <w:widowControl/>
        <w:spacing w:line="400" w:lineRule="exact"/>
        <w:ind w:left="525" w:leftChars="250"/>
        <w:jc w:val="left"/>
        <w:rPr>
          <w:rFonts w:ascii="宋体" w:hAnsi="宋体" w:cs="宋体"/>
          <w:color w:val="auto"/>
          <w:sz w:val="22"/>
          <w:highlight w:val="none"/>
        </w:rPr>
      </w:pPr>
      <w:r>
        <w:rPr>
          <w:rFonts w:hint="eastAsia" w:ascii="宋体" w:hAnsi="宋体" w:cs="宋体"/>
          <w:color w:val="auto"/>
          <w:sz w:val="22"/>
          <w:highlight w:val="none"/>
        </w:rPr>
        <w:t>以联合体形式参加政府采购活动，联合体各方均为中小企业的，联合体视同中小企业。其中，联合体各方均为小微企业的，联合体视同小微企业。</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4.3.3对于未预留份额专门面向中小企业的政府采购货物或服务项目，以及预留份额政府采购货物或服务项目中的非预留部分标项，对小型和微型企业的投标报价给予</w:t>
      </w:r>
      <w:r>
        <w:rPr>
          <w:rFonts w:hint="eastAsia" w:ascii="宋体" w:hAnsi="宋体" w:cs="宋体"/>
          <w:color w:val="auto"/>
          <w:sz w:val="22"/>
          <w:highlight w:val="none"/>
          <w:lang w:val="en-US" w:eastAsia="zh-CN"/>
        </w:rPr>
        <w:t>2</w:t>
      </w:r>
      <w:r>
        <w:rPr>
          <w:rFonts w:hint="eastAsia" w:ascii="宋体" w:hAnsi="宋体" w:cs="宋体"/>
          <w:color w:val="auto"/>
          <w:sz w:val="22"/>
          <w:highlight w:val="none"/>
        </w:rPr>
        <w:t>0%（工程项目为3%-5%）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w:t>
      </w:r>
      <w:r>
        <w:rPr>
          <w:rFonts w:ascii="宋体" w:hAnsi="宋体" w:cs="宋体"/>
          <w:color w:val="auto"/>
          <w:sz w:val="22"/>
          <w:highlight w:val="none"/>
        </w:rPr>
        <w:t>4</w:t>
      </w:r>
      <w:r>
        <w:rPr>
          <w:rFonts w:hint="eastAsia" w:ascii="宋体" w:hAnsi="宋体" w:cs="宋体"/>
          <w:color w:val="auto"/>
          <w:sz w:val="22"/>
          <w:highlight w:val="none"/>
        </w:rPr>
        <w:t>%（工程项目为1%-2%）的扣除，用扣除后的价格参加评审。组成联合体或者接受分包的小微企业与联合体内其他企业、分包企业之间存在直接控股、管理关系的，不享受价格扣除优惠政策。</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4.3.4符合《关于促进残疾人就业政府采购政策的通知》（财库〔2017〕141号）规定的条件并提供《残疾人福利性单位声明函》（附件九）的残疾人福利性单位视同小型、微型企业；</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4.3.6可享受中小企业扶持政策的投标供应商应按照招标文件格式要求提供《中小企业声明函》，投标供应商提供的《中小企业声明函》与实际情况不符的，不享受中小企业扶持政策。声明内容不实的，属于提供虚假材料谋取中标、成交的，依法承担法律责任。</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4.3.7中小企业享受扶持政策获得政府采购合同的，小微企业不得将合同分包给大中型企业，中型企业不得将合同分包给大型企业。</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4.4  中小企业信用融资：为支持和促进中小企业发展，进一步发挥政府采购政策功能，温州市财政局出台了《温州市财政局关于温州市政府采购支持中小企业信用融资的通知》（温财采〔2020〕3号），供应商若有融资意向，可直接登录http://jinrong.zcygov.cn，查看信用融资政策文件及各相关银行服务方案，也可直接向各银行咨询相关业务。</w:t>
      </w:r>
    </w:p>
    <w:p>
      <w:pPr>
        <w:snapToGrid w:val="0"/>
        <w:spacing w:line="400" w:lineRule="exact"/>
        <w:ind w:left="525" w:leftChars="250"/>
        <w:rPr>
          <w:rFonts w:ascii="宋体" w:hAnsi="宋体" w:cs="宋体"/>
          <w:color w:val="auto"/>
          <w:sz w:val="22"/>
          <w:highlight w:val="none"/>
        </w:rPr>
      </w:pPr>
      <w:r>
        <w:rPr>
          <w:rFonts w:hint="eastAsia" w:ascii="宋体" w:hAnsi="宋体" w:cs="宋体"/>
          <w:snapToGrid w:val="0"/>
          <w:color w:val="auto"/>
          <w:kern w:val="28"/>
          <w:sz w:val="22"/>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400" w:lineRule="exact"/>
        <w:rPr>
          <w:rFonts w:ascii="宋体" w:hAnsi="宋体" w:cs="宋体"/>
          <w:b/>
          <w:color w:val="auto"/>
          <w:sz w:val="22"/>
          <w:highlight w:val="none"/>
        </w:rPr>
      </w:pPr>
      <w:r>
        <w:rPr>
          <w:rFonts w:hint="eastAsia" w:ascii="宋体" w:hAnsi="宋体" w:cs="宋体"/>
          <w:b/>
          <w:color w:val="auto"/>
          <w:sz w:val="22"/>
          <w:highlight w:val="none"/>
        </w:rPr>
        <w:t>5.   询问、质疑、投诉</w:t>
      </w:r>
    </w:p>
    <w:p>
      <w:pPr>
        <w:autoSpaceDE w:val="0"/>
        <w:autoSpaceDN w:val="0"/>
        <w:spacing w:line="400" w:lineRule="exact"/>
        <w:ind w:left="550" w:hanging="550" w:hangingChars="250"/>
        <w:jc w:val="left"/>
        <w:rPr>
          <w:rFonts w:ascii="宋体" w:hAnsi="宋体" w:cs="宋体"/>
          <w:color w:val="auto"/>
          <w:sz w:val="22"/>
          <w:highlight w:val="none"/>
          <w:lang w:val="zh-CN"/>
        </w:rPr>
      </w:pPr>
      <w:r>
        <w:rPr>
          <w:rFonts w:hint="eastAsia" w:ascii="宋体" w:hAnsi="宋体" w:cs="宋体"/>
          <w:color w:val="auto"/>
          <w:sz w:val="22"/>
          <w:highlight w:val="none"/>
        </w:rPr>
        <w:t>5</w:t>
      </w:r>
      <w:r>
        <w:rPr>
          <w:rFonts w:hint="eastAsia" w:ascii="宋体" w:hAnsi="宋体" w:cs="宋体"/>
          <w:color w:val="auto"/>
          <w:sz w:val="22"/>
          <w:highlight w:val="none"/>
          <w:lang w:val="zh-CN"/>
        </w:rPr>
        <w:t>.1</w:t>
      </w:r>
      <w:r>
        <w:rPr>
          <w:rFonts w:hint="eastAsia" w:ascii="宋体" w:hAnsi="宋体" w:cs="宋体"/>
          <w:color w:val="auto"/>
          <w:sz w:val="22"/>
          <w:highlight w:val="none"/>
        </w:rPr>
        <w:t xml:space="preserve">  </w:t>
      </w:r>
      <w:r>
        <w:rPr>
          <w:rFonts w:hint="eastAsia" w:ascii="宋体" w:hAnsi="宋体" w:cs="宋体"/>
          <w:color w:val="auto"/>
          <w:sz w:val="22"/>
          <w:highlight w:val="none"/>
          <w:lang w:val="zh-CN"/>
        </w:rPr>
        <w:t>供应商询问</w:t>
      </w:r>
    </w:p>
    <w:p>
      <w:pPr>
        <w:autoSpaceDE w:val="0"/>
        <w:autoSpaceDN w:val="0"/>
        <w:spacing w:line="400" w:lineRule="exact"/>
        <w:ind w:left="525" w:leftChars="250"/>
        <w:jc w:val="left"/>
        <w:rPr>
          <w:rFonts w:ascii="宋体" w:hAnsi="宋体" w:cs="宋体"/>
          <w:color w:val="auto"/>
          <w:sz w:val="22"/>
          <w:highlight w:val="none"/>
          <w:lang w:val="zh-CN"/>
        </w:rPr>
      </w:pPr>
      <w:r>
        <w:rPr>
          <w:rFonts w:hint="eastAsia" w:ascii="宋体" w:hAnsi="宋体" w:cs="宋体"/>
          <w:color w:val="auto"/>
          <w:sz w:val="22"/>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400" w:lineRule="exact"/>
        <w:ind w:left="550" w:hanging="550" w:hangingChars="250"/>
        <w:jc w:val="left"/>
        <w:rPr>
          <w:rFonts w:ascii="宋体" w:hAnsi="宋体" w:cs="宋体"/>
          <w:color w:val="auto"/>
          <w:sz w:val="22"/>
          <w:highlight w:val="none"/>
          <w:lang w:val="zh-CN"/>
        </w:rPr>
      </w:pPr>
      <w:r>
        <w:rPr>
          <w:rFonts w:hint="eastAsia" w:ascii="宋体" w:hAnsi="宋体" w:cs="宋体"/>
          <w:color w:val="auto"/>
          <w:sz w:val="22"/>
          <w:highlight w:val="none"/>
        </w:rPr>
        <w:t>5</w:t>
      </w:r>
      <w:r>
        <w:rPr>
          <w:rFonts w:hint="eastAsia" w:ascii="宋体" w:hAnsi="宋体" w:cs="宋体"/>
          <w:color w:val="auto"/>
          <w:sz w:val="22"/>
          <w:highlight w:val="none"/>
          <w:lang w:val="zh-CN"/>
        </w:rPr>
        <w:t>.2</w:t>
      </w:r>
      <w:r>
        <w:rPr>
          <w:rFonts w:hint="eastAsia" w:ascii="宋体" w:hAnsi="宋体" w:cs="宋体"/>
          <w:color w:val="auto"/>
          <w:sz w:val="22"/>
          <w:highlight w:val="none"/>
        </w:rPr>
        <w:t xml:space="preserve">  </w:t>
      </w:r>
      <w:r>
        <w:rPr>
          <w:rFonts w:hint="eastAsia" w:ascii="宋体" w:hAnsi="宋体" w:cs="宋体"/>
          <w:color w:val="auto"/>
          <w:sz w:val="22"/>
          <w:highlight w:val="none"/>
          <w:lang w:val="zh-CN"/>
        </w:rPr>
        <w:t>供应商质疑</w:t>
      </w:r>
    </w:p>
    <w:p>
      <w:pPr>
        <w:pStyle w:val="12"/>
        <w:spacing w:line="400" w:lineRule="exact"/>
        <w:ind w:left="550" w:hanging="550" w:hangingChars="250"/>
        <w:rPr>
          <w:rFonts w:hAnsi="宋体" w:cs="宋体"/>
          <w:color w:val="auto"/>
          <w:sz w:val="22"/>
          <w:highlight w:val="none"/>
        </w:rPr>
      </w:pPr>
      <w:r>
        <w:rPr>
          <w:rFonts w:hint="eastAsia" w:hAnsi="宋体" w:cs="宋体"/>
          <w:color w:val="auto"/>
          <w:sz w:val="22"/>
          <w:highlight w:val="none"/>
        </w:rPr>
        <w:t>5</w:t>
      </w:r>
      <w:r>
        <w:rPr>
          <w:rFonts w:hint="eastAsia" w:hAnsi="宋体" w:cs="宋体"/>
          <w:color w:val="auto"/>
          <w:sz w:val="22"/>
          <w:highlight w:val="none"/>
          <w:lang w:val="zh-CN"/>
        </w:rPr>
        <w:t>.2</w:t>
      </w:r>
      <w:r>
        <w:rPr>
          <w:rFonts w:hint="eastAsia" w:hAnsi="宋体" w:cs="宋体"/>
          <w:color w:val="auto"/>
          <w:sz w:val="22"/>
          <w:highlight w:val="none"/>
        </w:rPr>
        <w:t>.1提出质疑的供应商应当是参与所质疑项目采购活动的供应商。潜在供应商已依法获取其可质疑的招标文件的，可以对该文件提出质疑。</w:t>
      </w:r>
    </w:p>
    <w:p>
      <w:pPr>
        <w:pStyle w:val="12"/>
        <w:spacing w:line="400" w:lineRule="exact"/>
        <w:ind w:left="550" w:hanging="550" w:hangingChars="250"/>
        <w:rPr>
          <w:rFonts w:hAnsi="宋体" w:cs="宋体"/>
          <w:color w:val="auto"/>
          <w:sz w:val="22"/>
          <w:highlight w:val="none"/>
        </w:rPr>
      </w:pPr>
      <w:r>
        <w:rPr>
          <w:rFonts w:hint="eastAsia" w:hAnsi="宋体" w:cs="宋体"/>
          <w:color w:val="auto"/>
          <w:sz w:val="22"/>
          <w:highlight w:val="none"/>
        </w:rPr>
        <w:t>5</w:t>
      </w:r>
      <w:r>
        <w:rPr>
          <w:rFonts w:hint="eastAsia" w:hAnsi="宋体" w:cs="宋体"/>
          <w:color w:val="auto"/>
          <w:sz w:val="22"/>
          <w:highlight w:val="none"/>
          <w:lang w:val="zh-CN"/>
        </w:rPr>
        <w:t>.2</w:t>
      </w:r>
      <w:r>
        <w:rPr>
          <w:rFonts w:hint="eastAsia" w:hAnsi="宋体" w:cs="宋体"/>
          <w:color w:val="auto"/>
          <w:sz w:val="22"/>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6"/>
        <w:spacing w:line="400" w:lineRule="exact"/>
        <w:ind w:left="550" w:hanging="550" w:hangingChars="250"/>
        <w:rPr>
          <w:rFonts w:hAnsi="宋体" w:cs="宋体"/>
          <w:color w:val="auto"/>
          <w:sz w:val="22"/>
          <w:highlight w:val="none"/>
        </w:rPr>
      </w:pPr>
      <w:r>
        <w:rPr>
          <w:rFonts w:hint="eastAsia" w:hAnsi="宋体" w:cs="宋体"/>
          <w:color w:val="auto"/>
          <w:sz w:val="22"/>
          <w:highlight w:val="none"/>
        </w:rPr>
        <w:t>5.2.2.1质疑提交形式：以书面形式向招标公告中载明的质疑联系人提交或登录政采云平台（https://www.zcygov.cn/）通过“询问质疑投诉”栏向采购机构内设的质疑联系人提交并上传书面质疑材料。</w:t>
      </w:r>
    </w:p>
    <w:p>
      <w:pPr>
        <w:pStyle w:val="6"/>
        <w:spacing w:line="400" w:lineRule="exact"/>
        <w:ind w:left="550" w:hanging="550" w:hangingChars="250"/>
        <w:rPr>
          <w:rFonts w:hAnsi="宋体" w:cs="宋体"/>
          <w:color w:val="auto"/>
          <w:sz w:val="22"/>
          <w:highlight w:val="none"/>
        </w:rPr>
      </w:pPr>
      <w:r>
        <w:rPr>
          <w:rFonts w:hint="eastAsia" w:hAnsi="宋体" w:cs="宋体"/>
          <w:color w:val="auto"/>
          <w:sz w:val="22"/>
          <w:highlight w:val="none"/>
        </w:rPr>
        <w:t>5.2.2.2对招标文件提出质疑的，质疑期限为供应商获得招标文件之日或者招标文件公告期限届满之日起计算。</w:t>
      </w:r>
    </w:p>
    <w:p>
      <w:pPr>
        <w:pStyle w:val="12"/>
        <w:spacing w:line="400" w:lineRule="exact"/>
        <w:ind w:left="550" w:hanging="550" w:hangingChars="250"/>
        <w:rPr>
          <w:rFonts w:hAnsi="宋体" w:cs="宋体"/>
          <w:color w:val="auto"/>
          <w:sz w:val="22"/>
          <w:highlight w:val="none"/>
        </w:rPr>
      </w:pPr>
      <w:r>
        <w:rPr>
          <w:rFonts w:hint="eastAsia" w:hAnsi="宋体" w:cs="宋体"/>
          <w:color w:val="auto"/>
          <w:sz w:val="22"/>
          <w:highlight w:val="none"/>
        </w:rPr>
        <w:t>5.2.2.3</w:t>
      </w:r>
      <w:r>
        <w:rPr>
          <w:rFonts w:hint="eastAsia" w:hAnsi="宋体" w:cs="宋体"/>
          <w:b/>
          <w:bCs/>
          <w:color w:val="auto"/>
          <w:sz w:val="22"/>
          <w:highlight w:val="none"/>
        </w:rPr>
        <w:t>对采购过程提出质疑的，质疑期限为各采购程序环节结束之日起计算。对同一采购程序环节的质疑，供应商须一次性提出。</w:t>
      </w:r>
    </w:p>
    <w:p>
      <w:pPr>
        <w:pStyle w:val="12"/>
        <w:spacing w:line="400" w:lineRule="exact"/>
        <w:ind w:left="550" w:hanging="550" w:hangingChars="250"/>
        <w:rPr>
          <w:rFonts w:hAnsi="宋体" w:cs="宋体"/>
          <w:color w:val="auto"/>
          <w:sz w:val="22"/>
          <w:highlight w:val="none"/>
        </w:rPr>
      </w:pPr>
      <w:r>
        <w:rPr>
          <w:rFonts w:hint="eastAsia" w:hAnsi="宋体" w:cs="宋体"/>
          <w:color w:val="auto"/>
          <w:sz w:val="22"/>
          <w:highlight w:val="none"/>
        </w:rPr>
        <w:t>5.2.2.4对采购结果提出质疑的，质疑期限自采购结果公告期限届满之日起计算。</w:t>
      </w:r>
    </w:p>
    <w:p>
      <w:pPr>
        <w:pStyle w:val="12"/>
        <w:spacing w:line="400" w:lineRule="exact"/>
        <w:ind w:left="550" w:hanging="550" w:hangingChars="250"/>
        <w:rPr>
          <w:rFonts w:hAnsi="宋体" w:cs="宋体"/>
          <w:color w:val="auto"/>
          <w:sz w:val="22"/>
          <w:highlight w:val="none"/>
          <w:lang w:val="zh-CN"/>
        </w:rPr>
      </w:pPr>
      <w:r>
        <w:rPr>
          <w:rFonts w:hint="eastAsia" w:hAnsi="宋体" w:cs="宋体"/>
          <w:color w:val="auto"/>
          <w:sz w:val="22"/>
          <w:highlight w:val="none"/>
        </w:rPr>
        <w:t>5</w:t>
      </w:r>
      <w:r>
        <w:rPr>
          <w:rFonts w:hint="eastAsia" w:hAnsi="宋体" w:cs="宋体"/>
          <w:color w:val="auto"/>
          <w:sz w:val="22"/>
          <w:highlight w:val="none"/>
          <w:lang w:val="zh-CN"/>
        </w:rPr>
        <w:t>.2.3</w:t>
      </w:r>
      <w:r>
        <w:rPr>
          <w:rFonts w:hint="eastAsia" w:hAnsi="宋体" w:cs="宋体"/>
          <w:color w:val="auto"/>
          <w:sz w:val="22"/>
          <w:highlight w:val="none"/>
        </w:rPr>
        <w:t>供应商提出质疑应当提交质疑函和必要的证明材料。质疑函应当包括下列内容：</w:t>
      </w:r>
    </w:p>
    <w:p>
      <w:pPr>
        <w:pStyle w:val="12"/>
        <w:spacing w:line="400" w:lineRule="exact"/>
        <w:ind w:left="550" w:hanging="550" w:hangingChars="250"/>
        <w:rPr>
          <w:rFonts w:hAnsi="宋体" w:cs="宋体"/>
          <w:color w:val="auto"/>
          <w:sz w:val="22"/>
          <w:highlight w:val="none"/>
          <w:lang w:val="zh-CN"/>
        </w:rPr>
      </w:pPr>
      <w:r>
        <w:rPr>
          <w:rFonts w:hint="eastAsia" w:hAnsi="宋体" w:cs="宋体"/>
          <w:color w:val="auto"/>
          <w:sz w:val="22"/>
          <w:highlight w:val="none"/>
        </w:rPr>
        <w:t>5</w:t>
      </w:r>
      <w:r>
        <w:rPr>
          <w:rFonts w:hint="eastAsia" w:hAnsi="宋体" w:cs="宋体"/>
          <w:color w:val="auto"/>
          <w:sz w:val="22"/>
          <w:highlight w:val="none"/>
          <w:lang w:val="zh-CN"/>
        </w:rPr>
        <w:t>.2.3.1供应商的姓名或者名称、地址、邮编、联系人及联系电话；</w:t>
      </w:r>
    </w:p>
    <w:p>
      <w:pPr>
        <w:pStyle w:val="12"/>
        <w:spacing w:line="400" w:lineRule="exact"/>
        <w:ind w:left="550" w:hanging="550" w:hangingChars="250"/>
        <w:rPr>
          <w:rFonts w:hAnsi="宋体" w:cs="宋体"/>
          <w:color w:val="auto"/>
          <w:sz w:val="22"/>
          <w:highlight w:val="none"/>
          <w:lang w:val="zh-CN"/>
        </w:rPr>
      </w:pPr>
      <w:r>
        <w:rPr>
          <w:rFonts w:hint="eastAsia" w:hAnsi="宋体" w:cs="宋体"/>
          <w:color w:val="auto"/>
          <w:sz w:val="22"/>
          <w:highlight w:val="none"/>
        </w:rPr>
        <w:t>5</w:t>
      </w:r>
      <w:r>
        <w:rPr>
          <w:rFonts w:hint="eastAsia" w:hAnsi="宋体" w:cs="宋体"/>
          <w:color w:val="auto"/>
          <w:sz w:val="22"/>
          <w:highlight w:val="none"/>
          <w:lang w:val="zh-CN"/>
        </w:rPr>
        <w:t>.2.3.2质疑项目的名称、编号；</w:t>
      </w:r>
    </w:p>
    <w:p>
      <w:pPr>
        <w:pStyle w:val="12"/>
        <w:spacing w:line="400" w:lineRule="exact"/>
        <w:ind w:left="550" w:hanging="550" w:hangingChars="250"/>
        <w:rPr>
          <w:rFonts w:hAnsi="宋体" w:cs="宋体"/>
          <w:color w:val="auto"/>
          <w:sz w:val="22"/>
          <w:highlight w:val="none"/>
          <w:lang w:val="zh-CN"/>
        </w:rPr>
      </w:pPr>
      <w:r>
        <w:rPr>
          <w:rFonts w:hint="eastAsia" w:hAnsi="宋体" w:cs="宋体"/>
          <w:color w:val="auto"/>
          <w:sz w:val="22"/>
          <w:highlight w:val="none"/>
        </w:rPr>
        <w:t>5</w:t>
      </w:r>
      <w:r>
        <w:rPr>
          <w:rFonts w:hint="eastAsia" w:hAnsi="宋体" w:cs="宋体"/>
          <w:color w:val="auto"/>
          <w:sz w:val="22"/>
          <w:highlight w:val="none"/>
          <w:lang w:val="zh-CN"/>
        </w:rPr>
        <w:t>.2.3.3具体、明确的质疑事项和与质疑事项相关的请求；</w:t>
      </w:r>
    </w:p>
    <w:p>
      <w:pPr>
        <w:pStyle w:val="12"/>
        <w:spacing w:line="400" w:lineRule="exact"/>
        <w:ind w:left="550" w:hanging="550" w:hangingChars="250"/>
        <w:rPr>
          <w:rFonts w:hAnsi="宋体" w:cs="宋体"/>
          <w:color w:val="auto"/>
          <w:sz w:val="22"/>
          <w:highlight w:val="none"/>
          <w:lang w:val="zh-CN"/>
        </w:rPr>
      </w:pPr>
      <w:r>
        <w:rPr>
          <w:rFonts w:hint="eastAsia" w:hAnsi="宋体" w:cs="宋体"/>
          <w:color w:val="auto"/>
          <w:sz w:val="22"/>
          <w:highlight w:val="none"/>
        </w:rPr>
        <w:t>5</w:t>
      </w:r>
      <w:r>
        <w:rPr>
          <w:rFonts w:hint="eastAsia" w:hAnsi="宋体" w:cs="宋体"/>
          <w:color w:val="auto"/>
          <w:sz w:val="22"/>
          <w:highlight w:val="none"/>
          <w:lang w:val="zh-CN"/>
        </w:rPr>
        <w:t>.2.3.4事实依据；</w:t>
      </w:r>
    </w:p>
    <w:p>
      <w:pPr>
        <w:pStyle w:val="12"/>
        <w:spacing w:line="400" w:lineRule="exact"/>
        <w:ind w:left="550" w:hanging="550" w:hangingChars="250"/>
        <w:rPr>
          <w:rFonts w:hAnsi="宋体" w:cs="宋体"/>
          <w:color w:val="auto"/>
          <w:sz w:val="22"/>
          <w:highlight w:val="none"/>
          <w:lang w:val="zh-CN"/>
        </w:rPr>
      </w:pPr>
      <w:r>
        <w:rPr>
          <w:rFonts w:hint="eastAsia" w:hAnsi="宋体" w:cs="宋体"/>
          <w:color w:val="auto"/>
          <w:sz w:val="22"/>
          <w:highlight w:val="none"/>
        </w:rPr>
        <w:t>5</w:t>
      </w:r>
      <w:r>
        <w:rPr>
          <w:rFonts w:hint="eastAsia" w:hAnsi="宋体" w:cs="宋体"/>
          <w:color w:val="auto"/>
          <w:sz w:val="22"/>
          <w:highlight w:val="none"/>
          <w:lang w:val="zh-CN"/>
        </w:rPr>
        <w:t>.2.3.5必要的法律依据；</w:t>
      </w:r>
    </w:p>
    <w:p>
      <w:pPr>
        <w:spacing w:line="400" w:lineRule="exact"/>
        <w:ind w:left="550" w:hanging="550" w:hangingChars="250"/>
        <w:rPr>
          <w:rFonts w:ascii="宋体" w:hAnsi="宋体" w:cs="宋体"/>
          <w:color w:val="auto"/>
          <w:sz w:val="22"/>
          <w:highlight w:val="none"/>
          <w:lang w:val="zh-CN"/>
        </w:rPr>
      </w:pPr>
      <w:r>
        <w:rPr>
          <w:rFonts w:hint="eastAsia" w:ascii="宋体" w:hAnsi="宋体" w:cs="宋体"/>
          <w:color w:val="auto"/>
          <w:sz w:val="22"/>
          <w:highlight w:val="none"/>
        </w:rPr>
        <w:t>5</w:t>
      </w:r>
      <w:r>
        <w:rPr>
          <w:rFonts w:hint="eastAsia" w:ascii="宋体" w:hAnsi="宋体" w:cs="宋体"/>
          <w:color w:val="auto"/>
          <w:sz w:val="22"/>
          <w:highlight w:val="none"/>
          <w:lang w:val="zh-CN"/>
        </w:rPr>
        <w:t>.2.3.6提出质疑的日期。</w:t>
      </w:r>
    </w:p>
    <w:p>
      <w:pPr>
        <w:spacing w:line="400" w:lineRule="exact"/>
        <w:ind w:left="525" w:leftChars="250"/>
        <w:rPr>
          <w:rFonts w:ascii="宋体" w:hAnsi="宋体" w:cs="宋体"/>
          <w:color w:val="auto"/>
          <w:sz w:val="22"/>
          <w:highlight w:val="none"/>
        </w:rPr>
      </w:pPr>
      <w:r>
        <w:rPr>
          <w:rFonts w:hint="eastAsia" w:ascii="宋体" w:hAnsi="宋体" w:cs="宋体"/>
          <w:color w:val="auto"/>
          <w:sz w:val="22"/>
          <w:highlight w:val="none"/>
        </w:rPr>
        <w:t>供应商为自然人的，应当由本人签字；供应商为法人或者其他组织的，应当由法定代表人、主要负责人，或者其授权代表签字或者盖章，并加盖公章。</w:t>
      </w:r>
    </w:p>
    <w:p>
      <w:pPr>
        <w:spacing w:line="400" w:lineRule="exact"/>
        <w:ind w:left="525" w:leftChars="250"/>
        <w:rPr>
          <w:rFonts w:ascii="宋体" w:hAnsi="宋体" w:cs="宋体"/>
          <w:color w:val="auto"/>
          <w:sz w:val="22"/>
          <w:highlight w:val="none"/>
        </w:rPr>
      </w:pPr>
      <w:r>
        <w:rPr>
          <w:rFonts w:hint="eastAsia" w:ascii="宋体" w:hAnsi="宋体" w:cs="宋体"/>
          <w:color w:val="auto"/>
          <w:sz w:val="22"/>
          <w:highlight w:val="none"/>
        </w:rPr>
        <w:t>质疑函范本及制作说明详见浙江政府采购网相关格式内容。</w:t>
      </w:r>
    </w:p>
    <w:p>
      <w:pPr>
        <w:spacing w:line="400" w:lineRule="exact"/>
        <w:ind w:left="550" w:hanging="550" w:hangingChars="250"/>
        <w:rPr>
          <w:rFonts w:ascii="宋体" w:hAnsi="宋体" w:cs="宋体"/>
          <w:color w:val="auto"/>
          <w:sz w:val="22"/>
          <w:highlight w:val="none"/>
          <w:lang w:val="zh-CN"/>
        </w:rPr>
      </w:pPr>
      <w:r>
        <w:rPr>
          <w:rFonts w:hint="eastAsia" w:ascii="宋体" w:hAnsi="宋体" w:cs="宋体"/>
          <w:color w:val="auto"/>
          <w:sz w:val="22"/>
          <w:highlight w:val="none"/>
        </w:rPr>
        <w:t>5</w:t>
      </w:r>
      <w:r>
        <w:rPr>
          <w:rFonts w:hint="eastAsia" w:ascii="宋体" w:hAnsi="宋体" w:cs="宋体"/>
          <w:color w:val="auto"/>
          <w:sz w:val="22"/>
          <w:highlight w:val="none"/>
          <w:lang w:val="zh-CN"/>
        </w:rPr>
        <w:t>.2.4采购人或者采购代理机构应当在收到供应商的质疑后七个工作日内作出答复，并以书面形式通知质疑供应商和其他与质疑处理结果有利害关系的政府采购当事人，但答复的内容不得涉及商业秘密。根据《浙江省财政厅关于进一步促进政府采购公平竞争打造最优营商环境的通知》（浙财采监〔2021〕22号）,采购人或者采购代理机构在质疑回复后5个工作日内，在浙江政府采购网的“其他公告”栏目公开质疑答复，答复内容应当完整。质疑函作为附件上传。</w:t>
      </w:r>
    </w:p>
    <w:p>
      <w:pPr>
        <w:spacing w:line="400" w:lineRule="exact"/>
        <w:ind w:left="550" w:hanging="550" w:hangingChars="250"/>
        <w:rPr>
          <w:rFonts w:ascii="宋体" w:hAnsi="宋体" w:cs="宋体"/>
          <w:color w:val="auto"/>
          <w:sz w:val="22"/>
          <w:highlight w:val="none"/>
          <w:lang w:val="zh-CN"/>
        </w:rPr>
      </w:pPr>
      <w:r>
        <w:rPr>
          <w:rFonts w:hint="eastAsia" w:ascii="宋体" w:hAnsi="宋体" w:cs="宋体"/>
          <w:color w:val="auto"/>
          <w:sz w:val="22"/>
          <w:highlight w:val="none"/>
        </w:rPr>
        <w:t>5</w:t>
      </w:r>
      <w:r>
        <w:rPr>
          <w:rFonts w:hint="eastAsia" w:ascii="宋体" w:hAnsi="宋体" w:cs="宋体"/>
          <w:color w:val="auto"/>
          <w:sz w:val="22"/>
          <w:highlight w:val="none"/>
          <w:lang w:val="zh-CN"/>
        </w:rPr>
        <w:t>.2.5询问或者质疑事项可能影响采购结果的，采购人应当暂停签订合同，已经签订合同的，应当中止履行合同。</w:t>
      </w:r>
    </w:p>
    <w:p>
      <w:pPr>
        <w:spacing w:line="400" w:lineRule="exact"/>
        <w:ind w:left="550" w:hanging="550" w:hangingChars="250"/>
        <w:rPr>
          <w:rFonts w:ascii="宋体" w:hAnsi="宋体" w:cs="宋体"/>
          <w:color w:val="auto"/>
          <w:sz w:val="22"/>
          <w:highlight w:val="none"/>
          <w:lang w:val="zh-CN"/>
        </w:rPr>
      </w:pPr>
      <w:r>
        <w:rPr>
          <w:rFonts w:hint="eastAsia" w:ascii="宋体" w:hAnsi="宋体" w:cs="宋体"/>
          <w:color w:val="auto"/>
          <w:sz w:val="22"/>
          <w:highlight w:val="none"/>
        </w:rPr>
        <w:t>5</w:t>
      </w:r>
      <w:r>
        <w:rPr>
          <w:rFonts w:hint="eastAsia" w:ascii="宋体" w:hAnsi="宋体" w:cs="宋体"/>
          <w:color w:val="auto"/>
          <w:sz w:val="22"/>
          <w:highlight w:val="none"/>
          <w:lang w:val="zh-CN"/>
        </w:rPr>
        <w:t>.3</w:t>
      </w:r>
      <w:r>
        <w:rPr>
          <w:rFonts w:hint="eastAsia" w:ascii="宋体" w:hAnsi="宋体" w:cs="宋体"/>
          <w:color w:val="auto"/>
          <w:sz w:val="22"/>
          <w:highlight w:val="none"/>
        </w:rPr>
        <w:t xml:space="preserve">  </w:t>
      </w:r>
      <w:r>
        <w:rPr>
          <w:rFonts w:hint="eastAsia" w:ascii="宋体" w:hAnsi="宋体" w:cs="宋体"/>
          <w:color w:val="auto"/>
          <w:sz w:val="22"/>
          <w:highlight w:val="none"/>
          <w:lang w:val="zh-CN"/>
        </w:rPr>
        <w:t>供应商投诉</w:t>
      </w:r>
    </w:p>
    <w:p>
      <w:pPr>
        <w:spacing w:line="400" w:lineRule="exact"/>
        <w:ind w:left="550" w:hanging="550" w:hangingChars="250"/>
        <w:rPr>
          <w:rFonts w:ascii="宋体" w:hAnsi="宋体" w:cs="宋体"/>
          <w:color w:val="auto"/>
          <w:sz w:val="22"/>
          <w:highlight w:val="none"/>
          <w:lang w:val="zh-CN"/>
        </w:rPr>
      </w:pPr>
      <w:r>
        <w:rPr>
          <w:rFonts w:hint="eastAsia" w:ascii="宋体" w:hAnsi="宋体" w:cs="宋体"/>
          <w:color w:val="auto"/>
          <w:sz w:val="22"/>
          <w:highlight w:val="none"/>
          <w:lang w:val="zh-CN"/>
        </w:rPr>
        <w:t>5.3.1质疑供应商对采购人、采购代理机构的答复不满意或者采购人、采购代理机构未在规定的时间内作出答复的，可以在答复期满后十五个工作日内向同级政府采购监督管理部门提出投诉。</w:t>
      </w:r>
    </w:p>
    <w:p>
      <w:pPr>
        <w:spacing w:line="400" w:lineRule="exact"/>
        <w:ind w:left="550" w:hanging="550" w:hangingChars="250"/>
        <w:rPr>
          <w:rFonts w:ascii="宋体" w:hAnsi="宋体" w:cs="宋体"/>
          <w:color w:val="auto"/>
          <w:sz w:val="22"/>
          <w:highlight w:val="none"/>
          <w:lang w:val="zh-CN"/>
        </w:rPr>
      </w:pPr>
      <w:r>
        <w:rPr>
          <w:rFonts w:hint="eastAsia" w:ascii="宋体" w:hAnsi="宋体" w:cs="宋体"/>
          <w:color w:val="auto"/>
          <w:sz w:val="22"/>
          <w:highlight w:val="none"/>
          <w:lang w:val="zh-CN"/>
        </w:rPr>
        <w:t>5.3.2供应商投诉的事项不得超出已质疑事项的范围，基于质疑答复内容提出的投诉事项除外。</w:t>
      </w:r>
    </w:p>
    <w:p>
      <w:pPr>
        <w:spacing w:line="400" w:lineRule="exact"/>
        <w:ind w:left="550" w:hanging="550" w:hangingChars="250"/>
        <w:rPr>
          <w:rFonts w:ascii="宋体" w:hAnsi="宋体" w:cs="宋体"/>
          <w:color w:val="auto"/>
          <w:sz w:val="22"/>
          <w:highlight w:val="none"/>
          <w:lang w:val="zh-CN"/>
        </w:rPr>
      </w:pPr>
      <w:r>
        <w:rPr>
          <w:rFonts w:hint="eastAsia" w:ascii="宋体" w:hAnsi="宋体" w:cs="宋体"/>
          <w:color w:val="auto"/>
          <w:sz w:val="22"/>
          <w:highlight w:val="none"/>
          <w:lang w:val="zh-CN"/>
        </w:rPr>
        <w:t>5.3.3供应商投诉应当有明确的请求和必要的证明材料。</w:t>
      </w:r>
    </w:p>
    <w:p>
      <w:pPr>
        <w:spacing w:line="400" w:lineRule="exact"/>
        <w:ind w:left="550" w:hanging="550" w:hangingChars="250"/>
        <w:rPr>
          <w:rFonts w:ascii="宋体" w:hAnsi="宋体" w:cs="宋体"/>
          <w:color w:val="auto"/>
          <w:sz w:val="22"/>
          <w:highlight w:val="none"/>
          <w:lang w:val="zh-CN"/>
        </w:rPr>
      </w:pPr>
      <w:r>
        <w:rPr>
          <w:rFonts w:hint="eastAsia" w:ascii="宋体" w:hAnsi="宋体" w:cs="宋体"/>
          <w:color w:val="auto"/>
          <w:sz w:val="22"/>
          <w:highlight w:val="none"/>
          <w:lang w:val="zh-CN"/>
        </w:rPr>
        <w:t>5.3.</w:t>
      </w:r>
      <w:r>
        <w:rPr>
          <w:rFonts w:ascii="宋体" w:hAnsi="宋体" w:cs="宋体"/>
          <w:color w:val="auto"/>
          <w:sz w:val="22"/>
          <w:highlight w:val="none"/>
          <w:lang w:val="zh-CN"/>
        </w:rPr>
        <w:t>4</w:t>
      </w:r>
      <w:r>
        <w:rPr>
          <w:rFonts w:hint="eastAsia" w:ascii="宋体" w:hAnsi="宋体" w:cs="宋体"/>
          <w:color w:val="auto"/>
          <w:sz w:val="22"/>
          <w:highlight w:val="none"/>
          <w:lang w:val="zh-CN"/>
        </w:rPr>
        <w:t xml:space="preserve"> 以联合体形式参加政府采购活动的，其投诉应当由组成联合体的所有供应商共同提出。</w:t>
      </w:r>
    </w:p>
    <w:p>
      <w:pPr>
        <w:pStyle w:val="28"/>
        <w:spacing w:line="400" w:lineRule="exact"/>
        <w:ind w:left="525" w:leftChars="250"/>
        <w:rPr>
          <w:rFonts w:ascii="宋体" w:hAnsi="宋体" w:cs="宋体"/>
          <w:b/>
          <w:bCs/>
          <w:color w:val="auto"/>
          <w:sz w:val="22"/>
          <w:highlight w:val="none"/>
          <w:u w:val="single"/>
        </w:rPr>
      </w:pPr>
      <w:r>
        <w:rPr>
          <w:rFonts w:hint="eastAsia" w:ascii="宋体" w:hAnsi="宋体" w:cs="宋体"/>
          <w:color w:val="auto"/>
          <w:sz w:val="22"/>
          <w:szCs w:val="22"/>
          <w:highlight w:val="none"/>
          <w:lang w:val="zh-CN"/>
        </w:rPr>
        <w:t>投诉书范本及制作说明详见浙江政府采购网相关格式内容。</w:t>
      </w:r>
    </w:p>
    <w:p>
      <w:pPr>
        <w:pStyle w:val="3"/>
        <w:numPr>
          <w:ilvl w:val="0"/>
          <w:numId w:val="0"/>
        </w:numPr>
        <w:spacing w:before="240" w:beforeLines="100" w:line="360" w:lineRule="auto"/>
        <w:jc w:val="center"/>
        <w:rPr>
          <w:color w:val="auto"/>
          <w:sz w:val="24"/>
          <w:highlight w:val="none"/>
        </w:rPr>
      </w:pPr>
      <w:bookmarkStart w:id="7" w:name="_Toc9924"/>
      <w:r>
        <w:rPr>
          <w:rFonts w:hint="eastAsia"/>
          <w:color w:val="auto"/>
          <w:sz w:val="24"/>
          <w:highlight w:val="none"/>
        </w:rPr>
        <w:t>二、招标文件</w:t>
      </w:r>
    </w:p>
    <w:p>
      <w:pPr>
        <w:spacing w:line="400" w:lineRule="exact"/>
        <w:rPr>
          <w:rFonts w:ascii="宋体" w:hAnsi="宋体" w:cs="宋体"/>
          <w:color w:val="auto"/>
          <w:sz w:val="22"/>
          <w:highlight w:val="none"/>
        </w:rPr>
      </w:pPr>
      <w:r>
        <w:rPr>
          <w:rFonts w:hint="eastAsia" w:ascii="宋体" w:hAnsi="宋体" w:cs="宋体"/>
          <w:color w:val="auto"/>
          <w:sz w:val="22"/>
          <w:highlight w:val="none"/>
        </w:rPr>
        <w:t>1.   招标文件由招标文件目录所列内容及相关资料组成。</w:t>
      </w:r>
    </w:p>
    <w:p>
      <w:pPr>
        <w:spacing w:line="400" w:lineRule="exact"/>
        <w:rPr>
          <w:rFonts w:ascii="宋体" w:hAnsi="宋体" w:cs="宋体"/>
          <w:b/>
          <w:bCs/>
          <w:color w:val="auto"/>
          <w:sz w:val="22"/>
          <w:highlight w:val="none"/>
        </w:rPr>
      </w:pPr>
      <w:r>
        <w:rPr>
          <w:rFonts w:hint="eastAsia" w:ascii="宋体" w:hAnsi="宋体" w:cs="宋体"/>
          <w:bCs/>
          <w:color w:val="auto"/>
          <w:sz w:val="22"/>
          <w:highlight w:val="none"/>
        </w:rPr>
        <w:t xml:space="preserve">2.   </w:t>
      </w:r>
      <w:r>
        <w:rPr>
          <w:rFonts w:hint="eastAsia" w:ascii="宋体" w:hAnsi="宋体" w:cs="宋体"/>
          <w:b/>
          <w:bCs/>
          <w:color w:val="auto"/>
          <w:sz w:val="22"/>
          <w:highlight w:val="none"/>
        </w:rPr>
        <w:t>招标文件的澄清或者修改</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2.1  采购人或者采购代理机构可以对已发出的招标文件进行必要的澄清或者修改。澄清或者修改应当在原公告发布媒体上发布澄清公告。澄清或者修改的内容为招标文件的组成部分。</w:t>
      </w:r>
    </w:p>
    <w:p>
      <w:pPr>
        <w:spacing w:line="400" w:lineRule="exact"/>
        <w:ind w:left="550" w:hanging="550" w:hangingChars="250"/>
        <w:rPr>
          <w:rFonts w:ascii="宋体" w:hAnsi="宋体" w:cs="宋体"/>
          <w:color w:val="auto"/>
          <w:spacing w:val="6"/>
          <w:sz w:val="22"/>
          <w:highlight w:val="none"/>
        </w:rPr>
      </w:pPr>
      <w:r>
        <w:rPr>
          <w:rFonts w:hint="eastAsia" w:ascii="宋体" w:hAnsi="宋体" w:cs="宋体"/>
          <w:color w:val="auto"/>
          <w:sz w:val="22"/>
          <w:highlight w:val="none"/>
        </w:rPr>
        <w:t>2.2  澄清或者修改的内容可能影响投标文件编制的，采购人或者采购代理机构应当在投标截止时间至少15日前，以书面形式通知所有获取招标文件的潜在投标供应商；不足15日的，采购人或者采购代理机构应当顺延提交投标文件的截止时间。潜在投标供应商在收到该书面通知后，应立即书面回复确认已收到该通知。</w:t>
      </w:r>
    </w:p>
    <w:bookmarkEnd w:id="7"/>
    <w:p>
      <w:pPr>
        <w:pStyle w:val="3"/>
        <w:numPr>
          <w:ilvl w:val="0"/>
          <w:numId w:val="0"/>
        </w:numPr>
        <w:spacing w:before="240" w:beforeLines="100" w:line="360" w:lineRule="auto"/>
        <w:jc w:val="center"/>
        <w:rPr>
          <w:color w:val="auto"/>
          <w:sz w:val="24"/>
          <w:highlight w:val="none"/>
        </w:rPr>
      </w:pPr>
      <w:r>
        <w:rPr>
          <w:rFonts w:hint="eastAsia"/>
          <w:color w:val="auto"/>
          <w:sz w:val="24"/>
          <w:highlight w:val="none"/>
        </w:rPr>
        <w:t>三、 投标文件的编制</w:t>
      </w:r>
    </w:p>
    <w:p>
      <w:pPr>
        <w:spacing w:line="400" w:lineRule="exact"/>
        <w:ind w:left="440" w:hanging="440" w:hangingChars="200"/>
        <w:rPr>
          <w:rFonts w:ascii="宋体" w:hAnsi="宋体" w:cs="宋体"/>
          <w:b/>
          <w:color w:val="auto"/>
          <w:sz w:val="22"/>
          <w:highlight w:val="none"/>
        </w:rPr>
      </w:pPr>
      <w:r>
        <w:rPr>
          <w:rFonts w:hint="eastAsia" w:ascii="宋体" w:hAnsi="宋体" w:cs="宋体"/>
          <w:color w:val="auto"/>
          <w:sz w:val="22"/>
          <w:highlight w:val="none"/>
        </w:rPr>
        <w:t>1.</w:t>
      </w:r>
      <w:r>
        <w:rPr>
          <w:rFonts w:hint="eastAsia" w:ascii="宋体" w:hAnsi="宋体" w:cs="宋体"/>
          <w:bCs/>
          <w:color w:val="auto"/>
          <w:sz w:val="22"/>
          <w:highlight w:val="none"/>
        </w:rPr>
        <w:t xml:space="preserve">  </w:t>
      </w:r>
      <w:r>
        <w:rPr>
          <w:rFonts w:hint="eastAsia" w:ascii="宋体" w:hAnsi="宋体" w:cs="宋体"/>
          <w:color w:val="auto"/>
          <w:sz w:val="22"/>
          <w:highlight w:val="none"/>
        </w:rPr>
        <w:t>投标供应商应认真阅读招标文件中所有事项、格式、条款和技术规范等。</w:t>
      </w:r>
      <w:r>
        <w:rPr>
          <w:rFonts w:hint="eastAsia" w:ascii="宋体" w:hAnsi="宋体" w:cs="宋体"/>
          <w:b/>
          <w:color w:val="auto"/>
          <w:sz w:val="22"/>
          <w:highlight w:val="none"/>
        </w:rPr>
        <w:t>投标供应商没有按照招标文件要求提交全部资料，或者没有对招标文件各个方面做出实质性响应，导致投标被拒绝的风险由投标供应商自行承担。</w:t>
      </w:r>
    </w:p>
    <w:p>
      <w:pPr>
        <w:spacing w:line="400" w:lineRule="exact"/>
        <w:ind w:left="440" w:hanging="440" w:hangingChars="200"/>
        <w:rPr>
          <w:rFonts w:ascii="宋体" w:hAnsi="宋体" w:cs="宋体"/>
          <w:b/>
          <w:color w:val="auto"/>
          <w:sz w:val="22"/>
          <w:highlight w:val="none"/>
        </w:rPr>
      </w:pPr>
      <w:r>
        <w:rPr>
          <w:rFonts w:hint="eastAsia" w:ascii="宋体" w:hAnsi="宋体" w:cs="宋体"/>
          <w:color w:val="auto"/>
          <w:sz w:val="22"/>
          <w:highlight w:val="none"/>
        </w:rPr>
        <w:t>2.▲</w:t>
      </w:r>
      <w:r>
        <w:rPr>
          <w:rFonts w:hint="eastAsia" w:ascii="宋体" w:hAnsi="宋体" w:cs="宋体"/>
          <w:b/>
          <w:color w:val="auto"/>
          <w:sz w:val="22"/>
          <w:highlight w:val="none"/>
          <w:u w:val="single"/>
        </w:rPr>
        <w:t>投标供应商应保证所提供文件资料的真实性，所有文件资料必须是针对本次投标的。如发现投标供应商提供了虚假文件资料，其投标将被拒绝，并自行承担相应的法律责任</w:t>
      </w:r>
      <w:r>
        <w:rPr>
          <w:rFonts w:hint="eastAsia" w:ascii="宋体" w:hAnsi="宋体" w:cs="宋体"/>
          <w:b/>
          <w:color w:val="auto"/>
          <w:sz w:val="22"/>
          <w:highlight w:val="none"/>
        </w:rPr>
        <w:t>。</w:t>
      </w:r>
    </w:p>
    <w:p>
      <w:pPr>
        <w:spacing w:line="400" w:lineRule="exact"/>
        <w:ind w:left="550" w:hanging="550" w:hangingChars="250"/>
        <w:rPr>
          <w:rFonts w:ascii="宋体" w:hAnsi="宋体" w:cs="宋体"/>
          <w:b/>
          <w:bCs/>
          <w:color w:val="auto"/>
          <w:sz w:val="22"/>
          <w:highlight w:val="none"/>
        </w:rPr>
      </w:pPr>
      <w:r>
        <w:rPr>
          <w:rFonts w:hint="eastAsia" w:ascii="宋体" w:hAnsi="宋体" w:cs="宋体"/>
          <w:color w:val="auto"/>
          <w:sz w:val="22"/>
          <w:highlight w:val="none"/>
        </w:rPr>
        <w:t>3.</w:t>
      </w:r>
      <w:r>
        <w:rPr>
          <w:rFonts w:hint="eastAsia" w:ascii="宋体" w:hAnsi="宋体" w:cs="宋体"/>
          <w:bCs/>
          <w:color w:val="auto"/>
          <w:sz w:val="22"/>
          <w:highlight w:val="none"/>
        </w:rPr>
        <w:t xml:space="preserve">   </w:t>
      </w:r>
      <w:r>
        <w:rPr>
          <w:rFonts w:hint="eastAsia" w:ascii="宋体" w:hAnsi="宋体" w:cs="宋体"/>
          <w:b/>
          <w:bCs/>
          <w:color w:val="auto"/>
          <w:sz w:val="22"/>
          <w:highlight w:val="none"/>
        </w:rPr>
        <w:t>投标文件分为电子投标文件以及备份投标文件。</w:t>
      </w:r>
    </w:p>
    <w:p>
      <w:pPr>
        <w:spacing w:line="400" w:lineRule="exact"/>
        <w:ind w:left="550" w:hanging="550" w:hangingChars="250"/>
        <w:rPr>
          <w:rFonts w:ascii="宋体" w:hAnsi="宋体" w:cs="宋体"/>
          <w:b/>
          <w:bCs/>
          <w:color w:val="auto"/>
          <w:sz w:val="22"/>
          <w:highlight w:val="none"/>
          <w:u w:val="single"/>
        </w:rPr>
      </w:pPr>
      <w:r>
        <w:rPr>
          <w:rFonts w:hint="eastAsia" w:ascii="宋体" w:hAnsi="宋体" w:cs="宋体"/>
          <w:color w:val="auto"/>
          <w:sz w:val="22"/>
          <w:highlight w:val="none"/>
        </w:rPr>
        <w:t xml:space="preserve">3.1  </w:t>
      </w:r>
      <w:r>
        <w:rPr>
          <w:rFonts w:hint="eastAsia" w:ascii="宋体" w:hAnsi="宋体" w:cs="宋体"/>
          <w:b/>
          <w:bCs/>
          <w:color w:val="auto"/>
          <w:sz w:val="22"/>
          <w:highlight w:val="none"/>
          <w:u w:val="single"/>
        </w:rPr>
        <w:t>电子投标文件：投标供应商根据“政采云供应商项目采购-电子招投标操作指南”及本招标文件规定的格式和顺序编制电子投标文件关联定位、加密并递交。</w:t>
      </w:r>
    </w:p>
    <w:p>
      <w:pPr>
        <w:spacing w:line="400" w:lineRule="exact"/>
        <w:ind w:left="552" w:hanging="552" w:hangingChars="250"/>
        <w:rPr>
          <w:rFonts w:ascii="宋体" w:hAnsi="宋体" w:cs="宋体"/>
          <w:b/>
          <w:bCs/>
          <w:color w:val="auto"/>
          <w:sz w:val="22"/>
          <w:highlight w:val="none"/>
          <w:u w:val="single"/>
        </w:rPr>
      </w:pPr>
      <w:r>
        <w:rPr>
          <w:rFonts w:hint="eastAsia" w:ascii="宋体" w:hAnsi="宋体" w:cs="宋体"/>
          <w:b/>
          <w:bCs/>
          <w:color w:val="auto"/>
          <w:sz w:val="22"/>
          <w:highlight w:val="none"/>
        </w:rPr>
        <w:t xml:space="preserve">3.2  </w:t>
      </w:r>
      <w:r>
        <w:rPr>
          <w:rFonts w:hint="eastAsia" w:ascii="宋体" w:hAnsi="宋体" w:cs="宋体"/>
          <w:b/>
          <w:bCs/>
          <w:color w:val="auto"/>
          <w:sz w:val="22"/>
          <w:highlight w:val="none"/>
          <w:u w:val="single"/>
        </w:rPr>
        <w:t>备份投标文件：投标供应商在政采云平台传输递交投标文件后，还可以在投标截止时间前提交以介质存储的数据电文形式的备份投标文件。电子投标文件按“政采云平台项目采购-电子招投标操作指南”上传。</w:t>
      </w:r>
    </w:p>
    <w:p>
      <w:pPr>
        <w:spacing w:line="400" w:lineRule="exact"/>
        <w:ind w:left="552" w:hanging="552" w:hangingChars="250"/>
        <w:rPr>
          <w:rFonts w:ascii="宋体" w:hAnsi="宋体" w:cs="宋体"/>
          <w:b/>
          <w:color w:val="auto"/>
          <w:sz w:val="22"/>
          <w:highlight w:val="none"/>
        </w:rPr>
      </w:pPr>
      <w:r>
        <w:rPr>
          <w:rFonts w:hint="eastAsia" w:ascii="宋体" w:hAnsi="宋体" w:cs="宋体"/>
          <w:b/>
          <w:color w:val="auto"/>
          <w:sz w:val="22"/>
          <w:highlight w:val="none"/>
        </w:rPr>
        <w:t>4.   投标文件的效力</w:t>
      </w:r>
    </w:p>
    <w:p>
      <w:pPr>
        <w:spacing w:line="400" w:lineRule="exact"/>
        <w:ind w:left="525" w:leftChars="250"/>
        <w:rPr>
          <w:rFonts w:ascii="宋体" w:hAnsi="宋体" w:cs="宋体"/>
          <w:color w:val="auto"/>
          <w:sz w:val="22"/>
          <w:highlight w:val="none"/>
        </w:rPr>
      </w:pPr>
      <w:r>
        <w:rPr>
          <w:rFonts w:hint="eastAsia" w:ascii="宋体" w:hAnsi="宋体" w:cs="宋体"/>
          <w:color w:val="auto"/>
          <w:sz w:val="22"/>
          <w:highlight w:val="none"/>
        </w:rPr>
        <w:t>投标文件的启用，按先后顺位分别为电子投标文件和备份投标文件。在下一顺位的投标文件启用时，前一顺位的投标文件自动失效。</w:t>
      </w:r>
    </w:p>
    <w:p>
      <w:pPr>
        <w:spacing w:line="400" w:lineRule="exact"/>
        <w:rPr>
          <w:rFonts w:ascii="宋体" w:hAnsi="宋体" w:cs="宋体"/>
          <w:color w:val="auto"/>
          <w:sz w:val="22"/>
          <w:highlight w:val="none"/>
        </w:rPr>
      </w:pPr>
      <w:r>
        <w:rPr>
          <w:rFonts w:hint="eastAsia" w:ascii="宋体" w:hAnsi="宋体" w:cs="宋体"/>
          <w:color w:val="auto"/>
          <w:sz w:val="22"/>
          <w:highlight w:val="none"/>
        </w:rPr>
        <w:t>5.</w:t>
      </w:r>
      <w:r>
        <w:rPr>
          <w:rFonts w:hint="eastAsia" w:hAnsi="宋体" w:cs="宋体"/>
          <w:bCs/>
          <w:color w:val="auto"/>
          <w:sz w:val="22"/>
          <w:highlight w:val="none"/>
        </w:rPr>
        <w:t xml:space="preserve">   </w:t>
      </w:r>
      <w:r>
        <w:rPr>
          <w:rFonts w:hint="eastAsia" w:ascii="宋体" w:hAnsi="宋体" w:cs="宋体"/>
          <w:b/>
          <w:bCs/>
          <w:color w:val="auto"/>
          <w:sz w:val="22"/>
          <w:highlight w:val="none"/>
        </w:rPr>
        <w:t>投标文件的组成：</w:t>
      </w:r>
    </w:p>
    <w:p>
      <w:pPr>
        <w:spacing w:line="400" w:lineRule="exact"/>
        <w:rPr>
          <w:rFonts w:ascii="宋体" w:hAnsi="宋体" w:cs="宋体"/>
          <w:color w:val="auto"/>
          <w:sz w:val="22"/>
          <w:highlight w:val="none"/>
        </w:rPr>
      </w:pPr>
      <w:r>
        <w:rPr>
          <w:rFonts w:hint="eastAsia" w:ascii="宋体" w:hAnsi="宋体" w:cs="宋体"/>
          <w:color w:val="auto"/>
          <w:sz w:val="22"/>
          <w:highlight w:val="none"/>
        </w:rPr>
        <w:t>5.1</w:t>
      </w:r>
      <w:r>
        <w:rPr>
          <w:rFonts w:hint="eastAsia" w:hAnsi="宋体" w:cs="宋体"/>
          <w:bCs/>
          <w:color w:val="auto"/>
          <w:sz w:val="22"/>
          <w:highlight w:val="none"/>
        </w:rPr>
        <w:t xml:space="preserve">  </w:t>
      </w:r>
      <w:r>
        <w:rPr>
          <w:rFonts w:hint="eastAsia" w:ascii="宋体" w:hAnsi="宋体" w:cs="宋体"/>
          <w:color w:val="auto"/>
          <w:sz w:val="22"/>
          <w:highlight w:val="none"/>
        </w:rPr>
        <w:t>投标文件由资格文件、商务技术文件、报价文件三部分组成：</w:t>
      </w:r>
    </w:p>
    <w:p>
      <w:pPr>
        <w:spacing w:line="400" w:lineRule="exact"/>
        <w:rPr>
          <w:rFonts w:ascii="宋体" w:hAnsi="宋体" w:cs="宋体"/>
          <w:b/>
          <w:bCs/>
          <w:color w:val="auto"/>
          <w:sz w:val="22"/>
          <w:highlight w:val="none"/>
        </w:rPr>
      </w:pPr>
      <w:r>
        <w:rPr>
          <w:rFonts w:hint="eastAsia" w:ascii="宋体" w:hAnsi="宋体" w:cs="宋体"/>
          <w:color w:val="auto"/>
          <w:sz w:val="22"/>
          <w:highlight w:val="none"/>
        </w:rPr>
        <w:t>5.1.1</w:t>
      </w:r>
      <w:r>
        <w:rPr>
          <w:rFonts w:hint="eastAsia" w:ascii="宋体" w:hAnsi="宋体" w:cs="宋体"/>
          <w:b/>
          <w:color w:val="auto"/>
          <w:sz w:val="22"/>
          <w:highlight w:val="none"/>
        </w:rPr>
        <w:t xml:space="preserve"> 资格文件</w:t>
      </w:r>
    </w:p>
    <w:tbl>
      <w:tblPr>
        <w:tblStyle w:val="22"/>
        <w:tblW w:w="95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449"/>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3" w:type="dxa"/>
            <w:noWrap w:val="0"/>
            <w:vAlign w:val="top"/>
          </w:tcPr>
          <w:p>
            <w:pPr>
              <w:autoSpaceDE w:val="0"/>
              <w:autoSpaceDN w:val="0"/>
              <w:adjustRightInd w:val="0"/>
              <w:snapToGrid w:val="0"/>
              <w:spacing w:line="320" w:lineRule="exact"/>
              <w:rPr>
                <w:rFonts w:ascii="宋体" w:hAnsi="宋体" w:cs="宋体"/>
                <w:b/>
                <w:color w:val="auto"/>
                <w:sz w:val="22"/>
                <w:highlight w:val="none"/>
                <w:lang w:val="zh-CN"/>
              </w:rPr>
            </w:pPr>
            <w:r>
              <w:rPr>
                <w:rFonts w:hint="eastAsia" w:ascii="宋体" w:hAnsi="宋体" w:cs="宋体"/>
                <w:b/>
                <w:color w:val="auto"/>
                <w:sz w:val="22"/>
                <w:highlight w:val="none"/>
                <w:lang w:val="zh-CN"/>
              </w:rPr>
              <w:t>序号</w:t>
            </w:r>
          </w:p>
        </w:tc>
        <w:tc>
          <w:tcPr>
            <w:tcW w:w="7449" w:type="dxa"/>
            <w:noWrap w:val="0"/>
            <w:vAlign w:val="top"/>
          </w:tcPr>
          <w:p>
            <w:pPr>
              <w:autoSpaceDE w:val="0"/>
              <w:autoSpaceDN w:val="0"/>
              <w:adjustRightInd w:val="0"/>
              <w:snapToGrid w:val="0"/>
              <w:spacing w:line="320" w:lineRule="exact"/>
              <w:jc w:val="center"/>
              <w:rPr>
                <w:rFonts w:ascii="宋体" w:hAnsi="宋体" w:cs="宋体"/>
                <w:b/>
                <w:color w:val="auto"/>
                <w:sz w:val="22"/>
                <w:highlight w:val="none"/>
                <w:lang w:val="zh-CN"/>
              </w:rPr>
            </w:pPr>
            <w:r>
              <w:rPr>
                <w:rFonts w:hint="eastAsia" w:ascii="宋体" w:hAnsi="宋体" w:cs="宋体"/>
                <w:b/>
                <w:color w:val="auto"/>
                <w:sz w:val="22"/>
                <w:highlight w:val="none"/>
                <w:lang w:val="zh-CN"/>
              </w:rPr>
              <w:t>内容</w:t>
            </w:r>
          </w:p>
        </w:tc>
        <w:tc>
          <w:tcPr>
            <w:tcW w:w="1298" w:type="dxa"/>
            <w:noWrap w:val="0"/>
            <w:vAlign w:val="top"/>
          </w:tcPr>
          <w:p>
            <w:pPr>
              <w:autoSpaceDE w:val="0"/>
              <w:autoSpaceDN w:val="0"/>
              <w:adjustRightInd w:val="0"/>
              <w:snapToGrid w:val="0"/>
              <w:spacing w:line="320" w:lineRule="exact"/>
              <w:jc w:val="center"/>
              <w:rPr>
                <w:rFonts w:ascii="宋体" w:hAnsi="宋体" w:cs="宋体"/>
                <w:b/>
                <w:color w:val="auto"/>
                <w:sz w:val="22"/>
                <w:highlight w:val="none"/>
                <w:lang w:val="zh-CN"/>
              </w:rPr>
            </w:pPr>
            <w:r>
              <w:rPr>
                <w:rFonts w:hint="eastAsia" w:ascii="宋体" w:hAnsi="宋体" w:cs="宋体"/>
                <w:b/>
                <w:color w:val="auto"/>
                <w:sz w:val="22"/>
                <w:highlight w:val="none"/>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autoSpaceDE w:val="0"/>
              <w:autoSpaceDN w:val="0"/>
              <w:adjustRightInd w:val="0"/>
              <w:snapToGrid w:val="0"/>
              <w:spacing w:line="320" w:lineRule="exact"/>
              <w:jc w:val="center"/>
              <w:rPr>
                <w:rFonts w:ascii="宋体" w:hAnsi="宋体" w:cs="宋体"/>
                <w:color w:val="auto"/>
                <w:sz w:val="22"/>
                <w:highlight w:val="none"/>
                <w:lang w:val="zh-CN"/>
              </w:rPr>
            </w:pPr>
            <w:r>
              <w:rPr>
                <w:rFonts w:hint="eastAsia" w:ascii="宋体" w:hAnsi="宋体" w:cs="宋体"/>
                <w:color w:val="auto"/>
                <w:sz w:val="22"/>
                <w:highlight w:val="none"/>
                <w:lang w:val="zh-CN"/>
              </w:rPr>
              <w:t>1</w:t>
            </w:r>
          </w:p>
        </w:tc>
        <w:tc>
          <w:tcPr>
            <w:tcW w:w="7449" w:type="dxa"/>
            <w:noWrap w:val="0"/>
            <w:vAlign w:val="center"/>
          </w:tcPr>
          <w:p>
            <w:pPr>
              <w:autoSpaceDE w:val="0"/>
              <w:autoSpaceDN w:val="0"/>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资格证明文件</w:t>
            </w:r>
          </w:p>
        </w:tc>
        <w:tc>
          <w:tcPr>
            <w:tcW w:w="1298" w:type="dxa"/>
            <w:noWrap w:val="0"/>
            <w:vAlign w:val="top"/>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73" w:type="dxa"/>
            <w:noWrap w:val="0"/>
            <w:vAlign w:val="center"/>
          </w:tcPr>
          <w:p>
            <w:pPr>
              <w:autoSpaceDE w:val="0"/>
              <w:autoSpaceDN w:val="0"/>
              <w:adjustRightInd w:val="0"/>
              <w:snapToGrid w:val="0"/>
              <w:spacing w:line="320" w:lineRule="exact"/>
              <w:jc w:val="center"/>
              <w:rPr>
                <w:rFonts w:ascii="宋体" w:hAnsi="宋体" w:cs="宋体"/>
                <w:color w:val="auto"/>
                <w:sz w:val="22"/>
                <w:highlight w:val="none"/>
                <w:lang w:val="zh-CN"/>
              </w:rPr>
            </w:pPr>
            <w:r>
              <w:rPr>
                <w:rFonts w:hint="eastAsia" w:ascii="宋体" w:hAnsi="宋体" w:cs="宋体"/>
                <w:color w:val="auto"/>
                <w:sz w:val="22"/>
                <w:highlight w:val="none"/>
                <w:lang w:val="zh-CN"/>
              </w:rPr>
              <w:t>1.1</w:t>
            </w:r>
          </w:p>
        </w:tc>
        <w:tc>
          <w:tcPr>
            <w:tcW w:w="7449" w:type="dxa"/>
            <w:noWrap w:val="0"/>
            <w:vAlign w:val="center"/>
          </w:tcPr>
          <w:p>
            <w:pPr>
              <w:autoSpaceDE w:val="0"/>
              <w:autoSpaceDN w:val="0"/>
              <w:adjustRightInd w:val="0"/>
              <w:snapToGrid w:val="0"/>
              <w:spacing w:line="320" w:lineRule="exact"/>
              <w:jc w:val="left"/>
              <w:rPr>
                <w:rFonts w:ascii="宋体" w:hAnsi="宋体" w:cs="宋体"/>
                <w:color w:val="auto"/>
                <w:sz w:val="22"/>
                <w:highlight w:val="none"/>
              </w:rPr>
            </w:pPr>
            <w:r>
              <w:rPr>
                <w:rFonts w:hint="eastAsia" w:ascii="宋体" w:hAnsi="宋体" w:cs="宋体"/>
                <w:color w:val="auto"/>
                <w:sz w:val="22"/>
                <w:highlight w:val="none"/>
              </w:rPr>
              <w:t>投标供应商企业法人有效营业执照（或事业法人登记证书或其它工商等登记证明材料，自然人提供身份证)复制件（如为联合体，则联合体各方均应提供）（五选一）</w:t>
            </w:r>
          </w:p>
          <w:p>
            <w:pPr>
              <w:spacing w:line="320" w:lineRule="exact"/>
              <w:rPr>
                <w:b/>
                <w:color w:val="auto"/>
                <w:highlight w:val="none"/>
              </w:rPr>
            </w:pPr>
            <w:r>
              <w:rPr>
                <w:rFonts w:hint="eastAsia"/>
                <w:b/>
                <w:color w:val="auto"/>
                <w:highlight w:val="none"/>
              </w:rPr>
              <w:t>①如投标供应商是企业（包括合伙企业），提供在工商部门注册的有效“企业法人营业执照”或“营业执照”；</w:t>
            </w:r>
          </w:p>
          <w:p>
            <w:pPr>
              <w:spacing w:line="320" w:lineRule="exact"/>
              <w:rPr>
                <w:b/>
                <w:color w:val="auto"/>
                <w:highlight w:val="none"/>
              </w:rPr>
            </w:pPr>
            <w:r>
              <w:rPr>
                <w:rFonts w:hint="eastAsia"/>
                <w:b/>
                <w:color w:val="auto"/>
                <w:highlight w:val="none"/>
              </w:rPr>
              <w:t>②如投标供应商是事业单位，提供有效的“事业单位法人证书”；</w:t>
            </w:r>
          </w:p>
          <w:p>
            <w:pPr>
              <w:spacing w:line="320" w:lineRule="exact"/>
              <w:rPr>
                <w:b/>
                <w:color w:val="auto"/>
                <w:highlight w:val="none"/>
              </w:rPr>
            </w:pPr>
            <w:r>
              <w:rPr>
                <w:rFonts w:hint="eastAsia"/>
                <w:b/>
                <w:color w:val="auto"/>
                <w:highlight w:val="none"/>
              </w:rPr>
              <w:t>③如投标供应商是非企业专业服务机构的，提供执业许可证等证明文件；</w:t>
            </w:r>
          </w:p>
          <w:p>
            <w:pPr>
              <w:spacing w:line="320" w:lineRule="exact"/>
              <w:rPr>
                <w:b/>
                <w:color w:val="auto"/>
                <w:highlight w:val="none"/>
              </w:rPr>
            </w:pPr>
            <w:r>
              <w:rPr>
                <w:rFonts w:hint="eastAsia"/>
                <w:b/>
                <w:color w:val="auto"/>
                <w:highlight w:val="none"/>
              </w:rPr>
              <w:t>④如投标供应商是个体工商户，提供有效的“个体工商户营业执照”；</w:t>
            </w:r>
          </w:p>
          <w:p>
            <w:pPr>
              <w:spacing w:line="320" w:lineRule="exact"/>
              <w:rPr>
                <w:color w:val="auto"/>
                <w:highlight w:val="none"/>
              </w:rPr>
            </w:pPr>
            <w:r>
              <w:rPr>
                <w:rFonts w:hint="eastAsia"/>
                <w:b/>
                <w:color w:val="auto"/>
                <w:highlight w:val="none"/>
              </w:rPr>
              <w:t>⑤如投标供应商是自然人，提供有效的自然人身份证明（居民身份证正反面或公安机关出具的临时居民身份证正反面或港澳台胞证或护照）。</w:t>
            </w:r>
          </w:p>
          <w:p>
            <w:pPr>
              <w:spacing w:line="320" w:lineRule="exact"/>
              <w:rPr>
                <w:rFonts w:ascii="宋体" w:hAnsi="宋体"/>
                <w:color w:val="auto"/>
                <w:highlight w:val="none"/>
              </w:rPr>
            </w:pPr>
            <w:r>
              <w:rPr>
                <w:rFonts w:hint="eastAsia"/>
                <w:color w:val="auto"/>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tc>
        <w:tc>
          <w:tcPr>
            <w:tcW w:w="1298" w:type="dxa"/>
            <w:noWrap w:val="0"/>
            <w:vAlign w:val="center"/>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附件四-1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773" w:type="dxa"/>
            <w:noWrap w:val="0"/>
            <w:vAlign w:val="center"/>
          </w:tcPr>
          <w:p>
            <w:pPr>
              <w:autoSpaceDE w:val="0"/>
              <w:autoSpaceDN w:val="0"/>
              <w:adjustRightInd w:val="0"/>
              <w:snapToGrid w:val="0"/>
              <w:spacing w:line="320" w:lineRule="exact"/>
              <w:jc w:val="center"/>
              <w:rPr>
                <w:rFonts w:ascii="宋体" w:hAnsi="宋体" w:cs="宋体"/>
                <w:color w:val="auto"/>
                <w:sz w:val="22"/>
                <w:highlight w:val="none"/>
                <w:lang w:val="zh-CN"/>
              </w:rPr>
            </w:pPr>
            <w:r>
              <w:rPr>
                <w:rFonts w:hint="eastAsia" w:ascii="宋体" w:hAnsi="宋体" w:cs="宋体"/>
                <w:color w:val="auto"/>
                <w:sz w:val="22"/>
                <w:highlight w:val="none"/>
                <w:lang w:val="zh-CN"/>
              </w:rPr>
              <w:t>1.2</w:t>
            </w:r>
          </w:p>
        </w:tc>
        <w:tc>
          <w:tcPr>
            <w:tcW w:w="7449" w:type="dxa"/>
            <w:noWrap w:val="0"/>
            <w:vAlign w:val="center"/>
          </w:tcPr>
          <w:p>
            <w:pPr>
              <w:autoSpaceDE w:val="0"/>
              <w:autoSpaceDN w:val="0"/>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法定代表人身份证明或法定代表人授权书</w:t>
            </w:r>
          </w:p>
        </w:tc>
        <w:tc>
          <w:tcPr>
            <w:tcW w:w="1298" w:type="dxa"/>
            <w:noWrap w:val="0"/>
            <w:vAlign w:val="top"/>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附件四-2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autoSpaceDE w:val="0"/>
              <w:autoSpaceDN w:val="0"/>
              <w:adjustRightInd w:val="0"/>
              <w:snapToGrid w:val="0"/>
              <w:spacing w:line="320" w:lineRule="exact"/>
              <w:jc w:val="center"/>
              <w:rPr>
                <w:rFonts w:ascii="宋体" w:hAnsi="宋体" w:cs="宋体"/>
                <w:color w:val="auto"/>
                <w:sz w:val="22"/>
                <w:highlight w:val="none"/>
                <w:lang w:val="zh-CN"/>
              </w:rPr>
            </w:pPr>
            <w:r>
              <w:rPr>
                <w:rFonts w:hint="eastAsia" w:ascii="宋体" w:hAnsi="宋体" w:cs="宋体"/>
                <w:color w:val="auto"/>
                <w:sz w:val="22"/>
                <w:highlight w:val="none"/>
                <w:lang w:val="zh-CN"/>
              </w:rPr>
              <w:t>1.</w:t>
            </w:r>
            <w:r>
              <w:rPr>
                <w:rFonts w:hint="eastAsia" w:ascii="宋体" w:hAnsi="宋体" w:cs="宋体"/>
                <w:color w:val="auto"/>
                <w:sz w:val="22"/>
                <w:highlight w:val="none"/>
              </w:rPr>
              <w:t>3</w:t>
            </w:r>
          </w:p>
        </w:tc>
        <w:tc>
          <w:tcPr>
            <w:tcW w:w="7449" w:type="dxa"/>
            <w:noWrap w:val="0"/>
            <w:vAlign w:val="center"/>
          </w:tcPr>
          <w:p>
            <w:pPr>
              <w:autoSpaceDE w:val="0"/>
              <w:autoSpaceDN w:val="0"/>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关于符合《中华人民共和国政府采购法》第二十二条规定的承诺函</w:t>
            </w:r>
          </w:p>
        </w:tc>
        <w:tc>
          <w:tcPr>
            <w:tcW w:w="1298" w:type="dxa"/>
            <w:noWrap w:val="0"/>
            <w:vAlign w:val="top"/>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附件四-3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noWrap w:val="0"/>
            <w:vAlign w:val="center"/>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1.4</w:t>
            </w:r>
          </w:p>
        </w:tc>
        <w:tc>
          <w:tcPr>
            <w:tcW w:w="7449" w:type="dxa"/>
            <w:noWrap w:val="0"/>
            <w:vAlign w:val="center"/>
          </w:tcPr>
          <w:p>
            <w:pPr>
              <w:autoSpaceDE w:val="0"/>
              <w:autoSpaceDN w:val="0"/>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投标声明书</w:t>
            </w:r>
          </w:p>
        </w:tc>
        <w:tc>
          <w:tcPr>
            <w:tcW w:w="1298" w:type="dxa"/>
            <w:noWrap w:val="0"/>
            <w:vAlign w:val="top"/>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附件四-4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3" w:type="dxa"/>
            <w:vMerge w:val="restart"/>
            <w:noWrap w:val="0"/>
            <w:vAlign w:val="center"/>
          </w:tcPr>
          <w:p>
            <w:pPr>
              <w:autoSpaceDE w:val="0"/>
              <w:autoSpaceDN w:val="0"/>
              <w:adjustRightInd w:val="0"/>
              <w:snapToGrid w:val="0"/>
              <w:spacing w:line="320" w:lineRule="exact"/>
              <w:jc w:val="center"/>
              <w:rPr>
                <w:rFonts w:ascii="宋体" w:hAnsi="宋体" w:cs="宋体"/>
                <w:color w:val="auto"/>
                <w:sz w:val="22"/>
                <w:highlight w:val="none"/>
                <w:lang w:val="zh-CN"/>
              </w:rPr>
            </w:pPr>
            <w:r>
              <w:rPr>
                <w:rFonts w:hint="eastAsia" w:ascii="宋体" w:hAnsi="宋体" w:cs="宋体"/>
                <w:color w:val="auto"/>
                <w:sz w:val="22"/>
                <w:highlight w:val="none"/>
              </w:rPr>
              <w:t>1.5</w:t>
            </w:r>
          </w:p>
        </w:tc>
        <w:tc>
          <w:tcPr>
            <w:tcW w:w="7449" w:type="dxa"/>
            <w:noWrap w:val="0"/>
            <w:vAlign w:val="center"/>
          </w:tcPr>
          <w:p>
            <w:pPr>
              <w:autoSpaceDE w:val="0"/>
              <w:autoSpaceDN w:val="0"/>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中小企业声明函</w:t>
            </w:r>
          </w:p>
        </w:tc>
        <w:tc>
          <w:tcPr>
            <w:tcW w:w="1298" w:type="dxa"/>
            <w:vMerge w:val="restart"/>
            <w:noWrap w:val="0"/>
            <w:vAlign w:val="center"/>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附件四-5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73" w:type="dxa"/>
            <w:vMerge w:val="continue"/>
            <w:noWrap w:val="0"/>
            <w:vAlign w:val="center"/>
          </w:tcPr>
          <w:p>
            <w:pPr>
              <w:autoSpaceDE w:val="0"/>
              <w:autoSpaceDN w:val="0"/>
              <w:adjustRightInd w:val="0"/>
              <w:snapToGrid w:val="0"/>
              <w:spacing w:line="320" w:lineRule="exact"/>
              <w:jc w:val="center"/>
              <w:rPr>
                <w:rFonts w:ascii="宋体" w:hAnsi="宋体" w:cs="宋体"/>
                <w:color w:val="auto"/>
                <w:sz w:val="22"/>
                <w:highlight w:val="none"/>
              </w:rPr>
            </w:pPr>
          </w:p>
        </w:tc>
        <w:tc>
          <w:tcPr>
            <w:tcW w:w="7449" w:type="dxa"/>
            <w:noWrap w:val="0"/>
            <w:vAlign w:val="center"/>
          </w:tcPr>
          <w:p>
            <w:pPr>
              <w:autoSpaceDE w:val="0"/>
              <w:autoSpaceDN w:val="0"/>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残疾人福利性单位声明函（如为残疾人单位的请根据附件内容提供）</w:t>
            </w:r>
          </w:p>
        </w:tc>
        <w:tc>
          <w:tcPr>
            <w:tcW w:w="1298" w:type="dxa"/>
            <w:vMerge w:val="continue"/>
            <w:noWrap w:val="0"/>
            <w:vAlign w:val="top"/>
          </w:tcPr>
          <w:p>
            <w:pPr>
              <w:autoSpaceDE w:val="0"/>
              <w:autoSpaceDN w:val="0"/>
              <w:adjustRightInd w:val="0"/>
              <w:snapToGrid w:val="0"/>
              <w:spacing w:line="32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773" w:type="dxa"/>
            <w:vMerge w:val="continue"/>
            <w:noWrap w:val="0"/>
            <w:vAlign w:val="center"/>
          </w:tcPr>
          <w:p>
            <w:pPr>
              <w:autoSpaceDE w:val="0"/>
              <w:autoSpaceDN w:val="0"/>
              <w:adjustRightInd w:val="0"/>
              <w:snapToGrid w:val="0"/>
              <w:spacing w:line="320" w:lineRule="exact"/>
              <w:jc w:val="center"/>
              <w:rPr>
                <w:rFonts w:ascii="宋体" w:hAnsi="宋体" w:cs="宋体"/>
                <w:color w:val="auto"/>
                <w:sz w:val="22"/>
                <w:highlight w:val="none"/>
              </w:rPr>
            </w:pPr>
          </w:p>
        </w:tc>
        <w:tc>
          <w:tcPr>
            <w:tcW w:w="7449" w:type="dxa"/>
            <w:noWrap w:val="0"/>
            <w:vAlign w:val="center"/>
          </w:tcPr>
          <w:p>
            <w:pPr>
              <w:autoSpaceDE w:val="0"/>
              <w:autoSpaceDN w:val="0"/>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监狱企业提供的相关证明材料（如为监狱企业的请根据附件内容提供）</w:t>
            </w:r>
          </w:p>
        </w:tc>
        <w:tc>
          <w:tcPr>
            <w:tcW w:w="1298" w:type="dxa"/>
            <w:vMerge w:val="continue"/>
            <w:noWrap w:val="0"/>
            <w:vAlign w:val="top"/>
          </w:tcPr>
          <w:p>
            <w:pPr>
              <w:autoSpaceDE w:val="0"/>
              <w:autoSpaceDN w:val="0"/>
              <w:adjustRightInd w:val="0"/>
              <w:snapToGrid w:val="0"/>
              <w:spacing w:line="320" w:lineRule="exact"/>
              <w:jc w:val="center"/>
              <w:rPr>
                <w:rFonts w:ascii="宋体" w:hAnsi="宋体" w:cs="宋体"/>
                <w:color w:val="auto"/>
                <w:sz w:val="22"/>
                <w:highlight w:val="none"/>
              </w:rPr>
            </w:pPr>
          </w:p>
        </w:tc>
      </w:tr>
    </w:tbl>
    <w:p>
      <w:pPr>
        <w:spacing w:line="360" w:lineRule="exact"/>
        <w:ind w:firstLine="442" w:firstLineChars="200"/>
        <w:rPr>
          <w:rFonts w:ascii="宋体" w:hAnsi="宋体" w:cs="宋体"/>
          <w:b/>
          <w:color w:val="auto"/>
          <w:sz w:val="22"/>
          <w:highlight w:val="none"/>
        </w:rPr>
      </w:pPr>
      <w:r>
        <w:rPr>
          <w:rFonts w:hint="eastAsia" w:ascii="宋体" w:hAnsi="宋体" w:cs="宋体"/>
          <w:b/>
          <w:color w:val="auto"/>
          <w:sz w:val="22"/>
          <w:highlight w:val="none"/>
        </w:rPr>
        <w:t>4.1.2商务技术响应文件</w:t>
      </w:r>
    </w:p>
    <w:tbl>
      <w:tblPr>
        <w:tblStyle w:val="22"/>
        <w:tblW w:w="9525"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744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top"/>
          </w:tcPr>
          <w:p>
            <w:pPr>
              <w:autoSpaceDE w:val="0"/>
              <w:autoSpaceDN w:val="0"/>
              <w:adjustRightInd w:val="0"/>
              <w:snapToGrid w:val="0"/>
              <w:spacing w:line="320" w:lineRule="exact"/>
              <w:rPr>
                <w:rFonts w:ascii="宋体" w:hAnsi="宋体" w:cs="宋体"/>
                <w:b/>
                <w:color w:val="auto"/>
                <w:sz w:val="22"/>
                <w:highlight w:val="none"/>
                <w:lang w:val="zh-CN"/>
              </w:rPr>
            </w:pPr>
            <w:r>
              <w:rPr>
                <w:rFonts w:hint="eastAsia" w:ascii="宋体" w:hAnsi="宋体" w:cs="宋体"/>
                <w:b/>
                <w:color w:val="auto"/>
                <w:sz w:val="22"/>
                <w:highlight w:val="none"/>
                <w:lang w:val="zh-CN"/>
              </w:rPr>
              <w:t>序号</w:t>
            </w:r>
          </w:p>
        </w:tc>
        <w:tc>
          <w:tcPr>
            <w:tcW w:w="7440" w:type="dxa"/>
            <w:noWrap w:val="0"/>
            <w:vAlign w:val="top"/>
          </w:tcPr>
          <w:p>
            <w:pPr>
              <w:autoSpaceDE w:val="0"/>
              <w:autoSpaceDN w:val="0"/>
              <w:adjustRightInd w:val="0"/>
              <w:snapToGrid w:val="0"/>
              <w:spacing w:line="320" w:lineRule="exact"/>
              <w:jc w:val="center"/>
              <w:rPr>
                <w:rFonts w:ascii="宋体" w:hAnsi="宋体" w:cs="宋体"/>
                <w:b/>
                <w:color w:val="auto"/>
                <w:sz w:val="22"/>
                <w:highlight w:val="none"/>
                <w:lang w:val="zh-CN"/>
              </w:rPr>
            </w:pPr>
            <w:r>
              <w:rPr>
                <w:rFonts w:hint="eastAsia" w:ascii="宋体" w:hAnsi="宋体" w:cs="宋体"/>
                <w:b/>
                <w:color w:val="auto"/>
                <w:sz w:val="22"/>
                <w:highlight w:val="none"/>
                <w:lang w:val="zh-CN"/>
              </w:rPr>
              <w:t>内容</w:t>
            </w:r>
          </w:p>
        </w:tc>
        <w:tc>
          <w:tcPr>
            <w:tcW w:w="1305" w:type="dxa"/>
            <w:noWrap w:val="0"/>
            <w:vAlign w:val="top"/>
          </w:tcPr>
          <w:p>
            <w:pPr>
              <w:autoSpaceDE w:val="0"/>
              <w:autoSpaceDN w:val="0"/>
              <w:adjustRightInd w:val="0"/>
              <w:snapToGrid w:val="0"/>
              <w:spacing w:line="320" w:lineRule="exact"/>
              <w:jc w:val="center"/>
              <w:rPr>
                <w:rFonts w:ascii="宋体" w:hAnsi="宋体" w:cs="宋体"/>
                <w:b/>
                <w:color w:val="auto"/>
                <w:sz w:val="22"/>
                <w:highlight w:val="none"/>
                <w:lang w:val="zh-CN"/>
              </w:rPr>
            </w:pPr>
            <w:r>
              <w:rPr>
                <w:rFonts w:hint="eastAsia" w:ascii="宋体" w:hAnsi="宋体" w:cs="宋体"/>
                <w:b/>
                <w:color w:val="auto"/>
                <w:sz w:val="22"/>
                <w:highlight w:val="none"/>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7440" w:type="dxa"/>
            <w:noWrap w:val="0"/>
            <w:vAlign w:val="center"/>
          </w:tcPr>
          <w:p>
            <w:pPr>
              <w:autoSpaceDE w:val="0"/>
              <w:autoSpaceDN w:val="0"/>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投标函</w:t>
            </w:r>
          </w:p>
        </w:tc>
        <w:tc>
          <w:tcPr>
            <w:tcW w:w="1305" w:type="dxa"/>
            <w:noWrap w:val="0"/>
            <w:vAlign w:val="top"/>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2</w:t>
            </w:r>
          </w:p>
        </w:tc>
        <w:tc>
          <w:tcPr>
            <w:tcW w:w="7440" w:type="dxa"/>
            <w:noWrap w:val="0"/>
            <w:vAlign w:val="center"/>
          </w:tcPr>
          <w:p>
            <w:pPr>
              <w:autoSpaceDE w:val="0"/>
              <w:autoSpaceDN w:val="0"/>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商务条款、技术规格偏离表</w:t>
            </w:r>
          </w:p>
        </w:tc>
        <w:tc>
          <w:tcPr>
            <w:tcW w:w="1305" w:type="dxa"/>
            <w:noWrap w:val="0"/>
            <w:vAlign w:val="top"/>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3</w:t>
            </w:r>
          </w:p>
        </w:tc>
        <w:tc>
          <w:tcPr>
            <w:tcW w:w="7440" w:type="dxa"/>
            <w:noWrap w:val="0"/>
            <w:vAlign w:val="top"/>
          </w:tcPr>
          <w:p>
            <w:pPr>
              <w:autoSpaceDE w:val="0"/>
              <w:autoSpaceDN w:val="0"/>
              <w:adjustRightInd w:val="0"/>
              <w:snapToGrid w:val="0"/>
              <w:spacing w:line="320" w:lineRule="exact"/>
              <w:rPr>
                <w:rFonts w:ascii="宋体" w:hAnsi="宋体" w:cs="宋体"/>
                <w:color w:val="auto"/>
                <w:sz w:val="22"/>
                <w:highlight w:val="none"/>
              </w:rPr>
            </w:pPr>
            <w:r>
              <w:rPr>
                <w:rFonts w:ascii="宋体" w:hAnsi="宋体" w:cs="宋体"/>
                <w:color w:val="auto"/>
                <w:sz w:val="22"/>
                <w:highlight w:val="none"/>
              </w:rPr>
              <w:t>承诺投入的主要服务人员情况表</w:t>
            </w:r>
          </w:p>
        </w:tc>
        <w:tc>
          <w:tcPr>
            <w:tcW w:w="1305" w:type="dxa"/>
            <w:noWrap w:val="0"/>
            <w:vAlign w:val="top"/>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4</w:t>
            </w:r>
          </w:p>
        </w:tc>
        <w:tc>
          <w:tcPr>
            <w:tcW w:w="7440" w:type="dxa"/>
            <w:noWrap w:val="0"/>
            <w:vAlign w:val="center"/>
          </w:tcPr>
          <w:p>
            <w:pPr>
              <w:autoSpaceDE w:val="0"/>
              <w:autoSpaceDN w:val="0"/>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同类项目业绩</w:t>
            </w:r>
          </w:p>
        </w:tc>
        <w:tc>
          <w:tcPr>
            <w:tcW w:w="1305" w:type="dxa"/>
            <w:noWrap w:val="0"/>
            <w:vAlign w:val="top"/>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0" w:type="dxa"/>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5</w:t>
            </w:r>
          </w:p>
        </w:tc>
        <w:tc>
          <w:tcPr>
            <w:tcW w:w="7440" w:type="dxa"/>
            <w:noWrap w:val="0"/>
            <w:vAlign w:val="center"/>
          </w:tcPr>
          <w:p>
            <w:pPr>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根据招标文件中的采购内容与技术要求、评标细则，需要提供的其它文件和资料。</w:t>
            </w:r>
          </w:p>
        </w:tc>
        <w:tc>
          <w:tcPr>
            <w:tcW w:w="1305" w:type="dxa"/>
            <w:noWrap w:val="0"/>
            <w:vAlign w:val="center"/>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格式自拟</w:t>
            </w:r>
          </w:p>
        </w:tc>
      </w:tr>
    </w:tbl>
    <w:p>
      <w:pPr>
        <w:spacing w:line="360" w:lineRule="exact"/>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4.1.3报价要求响应文件</w:t>
      </w:r>
    </w:p>
    <w:tbl>
      <w:tblPr>
        <w:tblStyle w:val="22"/>
        <w:tblW w:w="9525" w:type="dxa"/>
        <w:tblInd w:w="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470"/>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0" w:type="dxa"/>
            <w:noWrap w:val="0"/>
            <w:vAlign w:val="center"/>
          </w:tcPr>
          <w:p>
            <w:pPr>
              <w:autoSpaceDE w:val="0"/>
              <w:autoSpaceDN w:val="0"/>
              <w:adjustRightInd w:val="0"/>
              <w:snapToGrid w:val="0"/>
              <w:spacing w:line="320" w:lineRule="exact"/>
              <w:jc w:val="center"/>
              <w:rPr>
                <w:rFonts w:ascii="宋体" w:hAnsi="宋体" w:cs="宋体"/>
                <w:b/>
                <w:color w:val="auto"/>
                <w:sz w:val="22"/>
                <w:highlight w:val="none"/>
                <w:lang w:val="zh-CN"/>
              </w:rPr>
            </w:pPr>
            <w:r>
              <w:rPr>
                <w:rFonts w:hint="eastAsia" w:ascii="宋体" w:hAnsi="宋体" w:cs="宋体"/>
                <w:b/>
                <w:color w:val="auto"/>
                <w:sz w:val="22"/>
                <w:highlight w:val="none"/>
                <w:lang w:val="zh-CN"/>
              </w:rPr>
              <w:t>序号</w:t>
            </w:r>
          </w:p>
        </w:tc>
        <w:tc>
          <w:tcPr>
            <w:tcW w:w="7470" w:type="dxa"/>
            <w:noWrap w:val="0"/>
            <w:vAlign w:val="top"/>
          </w:tcPr>
          <w:p>
            <w:pPr>
              <w:autoSpaceDE w:val="0"/>
              <w:autoSpaceDN w:val="0"/>
              <w:adjustRightInd w:val="0"/>
              <w:snapToGrid w:val="0"/>
              <w:spacing w:line="320" w:lineRule="exact"/>
              <w:jc w:val="center"/>
              <w:rPr>
                <w:rFonts w:ascii="宋体" w:hAnsi="宋体" w:cs="宋体"/>
                <w:b/>
                <w:color w:val="auto"/>
                <w:sz w:val="22"/>
                <w:highlight w:val="none"/>
                <w:lang w:val="zh-CN"/>
              </w:rPr>
            </w:pPr>
            <w:r>
              <w:rPr>
                <w:rFonts w:hint="eastAsia" w:ascii="宋体" w:hAnsi="宋体" w:cs="宋体"/>
                <w:b/>
                <w:color w:val="auto"/>
                <w:sz w:val="22"/>
                <w:highlight w:val="none"/>
                <w:lang w:val="zh-CN"/>
              </w:rPr>
              <w:t>内容</w:t>
            </w:r>
          </w:p>
        </w:tc>
        <w:tc>
          <w:tcPr>
            <w:tcW w:w="1305" w:type="dxa"/>
            <w:noWrap w:val="0"/>
            <w:vAlign w:val="top"/>
          </w:tcPr>
          <w:p>
            <w:pPr>
              <w:autoSpaceDE w:val="0"/>
              <w:autoSpaceDN w:val="0"/>
              <w:adjustRightInd w:val="0"/>
              <w:snapToGrid w:val="0"/>
              <w:spacing w:line="320" w:lineRule="exact"/>
              <w:jc w:val="center"/>
              <w:rPr>
                <w:rFonts w:ascii="宋体" w:hAnsi="宋体" w:cs="宋体"/>
                <w:b/>
                <w:color w:val="auto"/>
                <w:sz w:val="22"/>
                <w:highlight w:val="none"/>
                <w:lang w:val="zh-CN"/>
              </w:rPr>
            </w:pPr>
            <w:r>
              <w:rPr>
                <w:rFonts w:hint="eastAsia" w:ascii="宋体" w:hAnsi="宋体" w:cs="宋体"/>
                <w:b/>
                <w:color w:val="auto"/>
                <w:sz w:val="22"/>
                <w:highlight w:val="none"/>
                <w:lang w:val="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750" w:type="dxa"/>
            <w:noWrap w:val="0"/>
            <w:vAlign w:val="center"/>
          </w:tcPr>
          <w:p>
            <w:pPr>
              <w:autoSpaceDE w:val="0"/>
              <w:autoSpaceDN w:val="0"/>
              <w:adjustRightInd w:val="0"/>
              <w:snapToGrid w:val="0"/>
              <w:spacing w:line="320" w:lineRule="exact"/>
              <w:jc w:val="center"/>
              <w:rPr>
                <w:rFonts w:ascii="宋体" w:hAnsi="宋体" w:cs="宋体"/>
                <w:color w:val="auto"/>
                <w:sz w:val="22"/>
                <w:highlight w:val="none"/>
                <w:lang w:val="zh-CN"/>
              </w:rPr>
            </w:pPr>
            <w:r>
              <w:rPr>
                <w:rFonts w:hint="eastAsia" w:ascii="宋体" w:hAnsi="宋体" w:cs="宋体"/>
                <w:color w:val="auto"/>
                <w:sz w:val="22"/>
                <w:highlight w:val="none"/>
                <w:lang w:val="zh-CN"/>
              </w:rPr>
              <w:t>1</w:t>
            </w:r>
          </w:p>
        </w:tc>
        <w:tc>
          <w:tcPr>
            <w:tcW w:w="7470" w:type="dxa"/>
            <w:noWrap w:val="0"/>
            <w:vAlign w:val="top"/>
          </w:tcPr>
          <w:p>
            <w:pPr>
              <w:autoSpaceDE w:val="0"/>
              <w:autoSpaceDN w:val="0"/>
              <w:adjustRightInd w:val="0"/>
              <w:spacing w:line="320" w:lineRule="exact"/>
              <w:textAlignment w:val="bottom"/>
              <w:rPr>
                <w:rFonts w:ascii="宋体" w:hAnsi="宋体" w:cs="宋体"/>
                <w:color w:val="auto"/>
                <w:sz w:val="22"/>
                <w:highlight w:val="none"/>
              </w:rPr>
            </w:pPr>
            <w:r>
              <w:rPr>
                <w:rFonts w:hint="eastAsia" w:ascii="宋体" w:hAnsi="宋体" w:cs="宋体"/>
                <w:color w:val="auto"/>
                <w:sz w:val="22"/>
                <w:highlight w:val="none"/>
              </w:rPr>
              <w:t>投标报价一览表</w:t>
            </w:r>
          </w:p>
        </w:tc>
        <w:tc>
          <w:tcPr>
            <w:tcW w:w="1305" w:type="dxa"/>
            <w:noWrap w:val="0"/>
            <w:vAlign w:val="top"/>
          </w:tcPr>
          <w:p>
            <w:pPr>
              <w:autoSpaceDE w:val="0"/>
              <w:autoSpaceDN w:val="0"/>
              <w:adjustRightInd w:val="0"/>
              <w:spacing w:line="320" w:lineRule="exact"/>
              <w:jc w:val="center"/>
              <w:textAlignment w:val="bottom"/>
              <w:rPr>
                <w:rFonts w:ascii="宋体" w:hAnsi="宋体" w:cs="宋体"/>
                <w:color w:val="auto"/>
                <w:sz w:val="22"/>
                <w:highlight w:val="none"/>
              </w:rPr>
            </w:pPr>
            <w:r>
              <w:rPr>
                <w:rFonts w:hint="eastAsia" w:ascii="宋体" w:hAnsi="宋体" w:cs="宋体"/>
                <w:color w:val="auto"/>
                <w:sz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750" w:type="dxa"/>
            <w:noWrap w:val="0"/>
            <w:vAlign w:val="center"/>
          </w:tcPr>
          <w:p>
            <w:pPr>
              <w:autoSpaceDE w:val="0"/>
              <w:autoSpaceDN w:val="0"/>
              <w:adjustRightInd w:val="0"/>
              <w:snapToGrid w:val="0"/>
              <w:spacing w:line="320" w:lineRule="exact"/>
              <w:jc w:val="center"/>
              <w:rPr>
                <w:rFonts w:ascii="宋体" w:hAnsi="宋体" w:cs="宋体"/>
                <w:color w:val="auto"/>
                <w:sz w:val="22"/>
                <w:highlight w:val="none"/>
                <w:lang w:val="zh-CN"/>
              </w:rPr>
            </w:pPr>
            <w:r>
              <w:rPr>
                <w:rFonts w:hint="eastAsia" w:ascii="宋体" w:hAnsi="宋体" w:cs="宋体"/>
                <w:color w:val="auto"/>
                <w:sz w:val="22"/>
                <w:highlight w:val="none"/>
              </w:rPr>
              <w:t>2</w:t>
            </w:r>
          </w:p>
        </w:tc>
        <w:tc>
          <w:tcPr>
            <w:tcW w:w="7470" w:type="dxa"/>
            <w:noWrap w:val="0"/>
            <w:vAlign w:val="top"/>
          </w:tcPr>
          <w:p>
            <w:pPr>
              <w:autoSpaceDE w:val="0"/>
              <w:autoSpaceDN w:val="0"/>
              <w:adjustRightInd w:val="0"/>
              <w:snapToGrid w:val="0"/>
              <w:spacing w:line="320" w:lineRule="exact"/>
              <w:rPr>
                <w:rFonts w:ascii="宋体" w:hAnsi="宋体" w:cs="宋体"/>
                <w:color w:val="auto"/>
                <w:sz w:val="22"/>
                <w:highlight w:val="none"/>
              </w:rPr>
            </w:pPr>
            <w:r>
              <w:rPr>
                <w:rFonts w:hint="eastAsia" w:ascii="宋体" w:hAnsi="宋体" w:cs="宋体"/>
                <w:color w:val="auto"/>
                <w:sz w:val="22"/>
                <w:highlight w:val="none"/>
              </w:rPr>
              <w:t>投标分项报价表</w:t>
            </w:r>
          </w:p>
        </w:tc>
        <w:tc>
          <w:tcPr>
            <w:tcW w:w="1305" w:type="dxa"/>
            <w:noWrap w:val="0"/>
            <w:vAlign w:val="top"/>
          </w:tcPr>
          <w:p>
            <w:pPr>
              <w:autoSpaceDE w:val="0"/>
              <w:autoSpaceDN w:val="0"/>
              <w:adjustRightInd w:val="0"/>
              <w:snapToGrid w:val="0"/>
              <w:spacing w:line="320" w:lineRule="exact"/>
              <w:jc w:val="center"/>
              <w:rPr>
                <w:rFonts w:ascii="宋体" w:hAnsi="宋体" w:cs="宋体"/>
                <w:color w:val="auto"/>
                <w:sz w:val="22"/>
                <w:highlight w:val="none"/>
              </w:rPr>
            </w:pPr>
            <w:r>
              <w:rPr>
                <w:rFonts w:hint="eastAsia" w:ascii="宋体" w:hAnsi="宋体" w:cs="宋体"/>
                <w:color w:val="auto"/>
                <w:sz w:val="22"/>
                <w:highlight w:val="none"/>
              </w:rPr>
              <w:t>附件三</w:t>
            </w:r>
          </w:p>
        </w:tc>
      </w:tr>
    </w:tbl>
    <w:p>
      <w:pPr>
        <w:spacing w:line="400" w:lineRule="exact"/>
        <w:ind w:left="525" w:leftChars="250"/>
        <w:rPr>
          <w:rFonts w:ascii="宋体" w:hAnsi="宋体" w:cs="宋体"/>
          <w:color w:val="auto"/>
          <w:sz w:val="22"/>
          <w:highlight w:val="none"/>
        </w:rPr>
      </w:pPr>
      <w:r>
        <w:rPr>
          <w:rFonts w:hint="eastAsia" w:ascii="宋体" w:hAnsi="宋体" w:cs="宋体"/>
          <w:b/>
          <w:bCs/>
          <w:color w:val="auto"/>
          <w:sz w:val="22"/>
          <w:highlight w:val="none"/>
        </w:rPr>
        <w:t>注：a）、以上内容按照招标文件第四部分附件所附格式填写，相关证书、报告等</w:t>
      </w:r>
      <w:r>
        <w:rPr>
          <w:rFonts w:hint="eastAsia" w:ascii="宋体" w:hAnsi="宋体" w:cs="宋体"/>
          <w:b/>
          <w:bCs/>
          <w:color w:val="auto"/>
          <w:spacing w:val="-6"/>
          <w:sz w:val="22"/>
          <w:highlight w:val="none"/>
        </w:rPr>
        <w:t>如遇年检或换证等特殊情况须按要求提供相应的证明材料</w:t>
      </w:r>
      <w:r>
        <w:rPr>
          <w:rFonts w:hint="eastAsia" w:ascii="宋体" w:hAnsi="宋体" w:cs="宋体"/>
          <w:b/>
          <w:bCs/>
          <w:color w:val="auto"/>
          <w:sz w:val="22"/>
          <w:highlight w:val="none"/>
        </w:rPr>
        <w:t>。没有提供格式的，投标供应商根据实际情况自行编制。</w:t>
      </w:r>
    </w:p>
    <w:p>
      <w:pPr>
        <w:spacing w:line="400" w:lineRule="exact"/>
        <w:ind w:left="525" w:leftChars="250"/>
        <w:rPr>
          <w:rFonts w:ascii="宋体" w:hAnsi="宋体" w:cs="宋体"/>
          <w:b/>
          <w:bCs/>
          <w:color w:val="auto"/>
          <w:sz w:val="22"/>
          <w:highlight w:val="none"/>
        </w:rPr>
      </w:pPr>
      <w:r>
        <w:rPr>
          <w:rFonts w:hint="eastAsia" w:ascii="宋体" w:hAnsi="宋体" w:cs="宋体"/>
          <w:b/>
          <w:bCs/>
          <w:color w:val="auto"/>
          <w:sz w:val="22"/>
          <w:highlight w:val="none"/>
        </w:rPr>
        <w:t>b）、以上所需的各种证书、证件、证明等若系复印件、扫描件，须加盖投标供应商有效的公章或电子签章。</w:t>
      </w:r>
    </w:p>
    <w:p>
      <w:pPr>
        <w:pStyle w:val="12"/>
        <w:spacing w:line="400" w:lineRule="exact"/>
        <w:rPr>
          <w:rFonts w:hAnsi="宋体" w:cs="宋体"/>
          <w:bCs/>
          <w:color w:val="auto"/>
          <w:sz w:val="22"/>
          <w:highlight w:val="none"/>
        </w:rPr>
      </w:pPr>
      <w:r>
        <w:rPr>
          <w:rFonts w:hint="eastAsia" w:hAnsi="宋体" w:cs="宋体"/>
          <w:bCs/>
          <w:color w:val="auto"/>
          <w:sz w:val="22"/>
          <w:highlight w:val="none"/>
        </w:rPr>
        <w:t>5.2  投标文件格式</w:t>
      </w:r>
    </w:p>
    <w:p>
      <w:pPr>
        <w:pStyle w:val="12"/>
        <w:spacing w:line="400" w:lineRule="exact"/>
        <w:ind w:left="525" w:leftChars="250"/>
        <w:rPr>
          <w:rFonts w:hAnsi="宋体" w:cs="宋体"/>
          <w:color w:val="auto"/>
          <w:sz w:val="22"/>
          <w:highlight w:val="none"/>
        </w:rPr>
      </w:pPr>
      <w:r>
        <w:rPr>
          <w:rFonts w:hint="eastAsia" w:hAnsi="宋体" w:cs="宋体"/>
          <w:color w:val="auto"/>
          <w:sz w:val="22"/>
          <w:highlight w:val="none"/>
        </w:rPr>
        <w:t>投标供应商应根据电子投标操作指南按本招标文件规定的格式和顺序编制电子投标文件并进行关联定位。由于未按招标文件的规定要求编制投标文件，导致评标委员会作出的对投标供应商的误判，责任由投标供应商自己承担。</w:t>
      </w:r>
    </w:p>
    <w:p>
      <w:pPr>
        <w:tabs>
          <w:tab w:val="left" w:pos="-180"/>
          <w:tab w:val="left" w:pos="180"/>
          <w:tab w:val="left" w:pos="360"/>
        </w:tabs>
        <w:spacing w:line="400" w:lineRule="exact"/>
        <w:rPr>
          <w:rFonts w:ascii="宋体" w:hAnsi="宋体" w:cs="宋体"/>
          <w:b/>
          <w:bCs/>
          <w:color w:val="auto"/>
          <w:sz w:val="22"/>
          <w:highlight w:val="none"/>
          <w:u w:val="single"/>
        </w:rPr>
      </w:pPr>
      <w:r>
        <w:rPr>
          <w:rFonts w:hint="eastAsia" w:ascii="宋体" w:hAnsi="宋体" w:cs="宋体"/>
          <w:bCs/>
          <w:color w:val="auto"/>
          <w:sz w:val="22"/>
          <w:highlight w:val="none"/>
        </w:rPr>
        <w:t xml:space="preserve">6. </w:t>
      </w:r>
      <w:r>
        <w:rPr>
          <w:rFonts w:hint="eastAsia" w:ascii="宋体" w:hAnsi="宋体" w:cs="宋体"/>
          <w:b/>
          <w:color w:val="auto"/>
          <w:sz w:val="22"/>
          <w:highlight w:val="none"/>
        </w:rPr>
        <w:t>▲</w:t>
      </w:r>
      <w:r>
        <w:rPr>
          <w:rFonts w:hint="eastAsia" w:ascii="宋体" w:hAnsi="宋体" w:cs="宋体"/>
          <w:b/>
          <w:bCs/>
          <w:color w:val="auto"/>
          <w:sz w:val="22"/>
          <w:highlight w:val="none"/>
          <w:u w:val="single"/>
        </w:rPr>
        <w:t>投标报价</w:t>
      </w:r>
    </w:p>
    <w:p>
      <w:pPr>
        <w:tabs>
          <w:tab w:val="left" w:pos="-180"/>
          <w:tab w:val="left" w:pos="180"/>
          <w:tab w:val="left" w:pos="360"/>
        </w:tabs>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 xml:space="preserve">6.1  </w:t>
      </w:r>
      <w:r>
        <w:rPr>
          <w:rFonts w:ascii="新宋体" w:hAnsi="新宋体" w:eastAsia="新宋体"/>
          <w:b/>
          <w:color w:val="auto"/>
          <w:sz w:val="22"/>
          <w:highlight w:val="none"/>
          <w:u w:val="single"/>
        </w:rPr>
        <w:t>本项目</w:t>
      </w:r>
      <w:r>
        <w:rPr>
          <w:rFonts w:hint="eastAsia" w:ascii="新宋体" w:hAnsi="新宋体" w:eastAsia="新宋体"/>
          <w:b/>
          <w:bCs/>
          <w:color w:val="auto"/>
          <w:sz w:val="22"/>
          <w:highlight w:val="none"/>
          <w:u w:val="single"/>
        </w:rPr>
        <w:t>投标报价是</w:t>
      </w:r>
      <w:r>
        <w:rPr>
          <w:rFonts w:hint="eastAsia" w:ascii="新宋体" w:hAnsi="新宋体" w:eastAsia="新宋体"/>
          <w:b/>
          <w:color w:val="auto"/>
          <w:sz w:val="22"/>
          <w:highlight w:val="none"/>
          <w:u w:val="single"/>
        </w:rPr>
        <w:t>指供应商为正确地完全履行采购内容及要求的全部费用，包括人工费、系统维保费用、维修工具、人员驻场津贴、交通费、派驻人员的食宿费、硬件设备维修、配件更换及内容、软件升级、不可预见费用、企业管理费、人身意外伤害险、履约验收费用、利润、税金及处理一切伤亡事故等完成合同所需的一切本身和不可或缺的所有工作开支、政策性文件规定及合同包含的所有风险、责任等各项全部费用</w:t>
      </w:r>
      <w:r>
        <w:rPr>
          <w:rFonts w:hint="eastAsia" w:ascii="新宋体" w:hAnsi="新宋体" w:eastAsia="新宋体"/>
          <w:b/>
          <w:bCs/>
          <w:color w:val="auto"/>
          <w:sz w:val="22"/>
          <w:highlight w:val="none"/>
          <w:u w:val="single"/>
        </w:rPr>
        <w:t>。费用不管是否在投标供应商报价书中单列，均视为投标总价中已包括该费用。</w:t>
      </w:r>
      <w:r>
        <w:rPr>
          <w:rFonts w:hint="eastAsia" w:ascii="宋体" w:hAnsi="宋体" w:eastAsia="新宋体" w:cs="宋体"/>
          <w:color w:val="auto"/>
          <w:sz w:val="22"/>
          <w:highlight w:val="none"/>
        </w:rPr>
        <w:t>投标供应商</w:t>
      </w:r>
      <w:r>
        <w:rPr>
          <w:rFonts w:hint="eastAsia" w:ascii="宋体" w:hAnsi="宋体" w:cs="宋体"/>
          <w:color w:val="auto"/>
          <w:sz w:val="22"/>
          <w:highlight w:val="none"/>
        </w:rPr>
        <w:t>应根据上述因素自行考虑含入投标总价。</w:t>
      </w:r>
    </w:p>
    <w:p>
      <w:pPr>
        <w:tabs>
          <w:tab w:val="left" w:pos="-180"/>
          <w:tab w:val="left" w:pos="180"/>
          <w:tab w:val="left" w:pos="360"/>
        </w:tabs>
        <w:spacing w:line="400" w:lineRule="exact"/>
        <w:ind w:left="552" w:hanging="552" w:hangingChars="250"/>
        <w:rPr>
          <w:rFonts w:ascii="宋体" w:hAnsi="宋体"/>
          <w:b/>
          <w:bCs/>
          <w:color w:val="auto"/>
          <w:sz w:val="22"/>
          <w:highlight w:val="none"/>
        </w:rPr>
      </w:pPr>
      <w:r>
        <w:rPr>
          <w:rFonts w:hint="eastAsia" w:ascii="宋体" w:hAnsi="宋体"/>
          <w:b/>
          <w:bCs/>
          <w:color w:val="auto"/>
          <w:sz w:val="22"/>
          <w:highlight w:val="none"/>
        </w:rPr>
        <w:t>6</w:t>
      </w:r>
      <w:r>
        <w:rPr>
          <w:rFonts w:ascii="宋体" w:hAnsi="宋体"/>
          <w:b/>
          <w:bCs/>
          <w:color w:val="auto"/>
          <w:sz w:val="22"/>
          <w:highlight w:val="none"/>
        </w:rPr>
        <w:t>.2</w:t>
      </w:r>
      <w:r>
        <w:rPr>
          <w:rFonts w:hint="eastAsia" w:ascii="宋体" w:hAnsi="宋体"/>
          <w:b/>
          <w:bCs/>
          <w:color w:val="auto"/>
          <w:sz w:val="22"/>
          <w:highlight w:val="none"/>
        </w:rPr>
        <w:t xml:space="preserve">  根据《温州市政府采购履约验收办法（温财采〔2020〕6号）》的规定，本项目履约验收费用包含在投标报价内，由供应商支付，如因供应商原因造成验收不通过的，所产生的验收费用重新计算，如采用简易验收流程的，不产生验收费用。</w:t>
      </w:r>
    </w:p>
    <w:p>
      <w:pPr>
        <w:widowControl/>
        <w:tabs>
          <w:tab w:val="left" w:pos="0"/>
          <w:tab w:val="left" w:pos="540"/>
        </w:tabs>
        <w:overflowPunct w:val="0"/>
        <w:autoSpaceDE w:val="0"/>
        <w:autoSpaceDN w:val="0"/>
        <w:adjustRightInd w:val="0"/>
        <w:spacing w:line="400" w:lineRule="exact"/>
        <w:ind w:left="550" w:hanging="550" w:hangingChars="250"/>
        <w:jc w:val="left"/>
        <w:textAlignment w:val="baseline"/>
        <w:rPr>
          <w:rFonts w:ascii="宋体" w:hAnsi="宋体" w:cs="宋体"/>
          <w:color w:val="auto"/>
          <w:sz w:val="22"/>
          <w:highlight w:val="none"/>
        </w:rPr>
      </w:pPr>
      <w:r>
        <w:rPr>
          <w:rFonts w:hint="eastAsia" w:ascii="宋体" w:hAnsi="宋体" w:cs="宋体"/>
          <w:color w:val="auto"/>
          <w:sz w:val="22"/>
          <w:highlight w:val="none"/>
        </w:rPr>
        <w:t>6.3  投标供应商必须按附件中的投标报价一览表、投标分项报价表（均统一格式）内容填写单价、合价和总价，并由法定代表人或投标供应商代表签署。</w:t>
      </w:r>
    </w:p>
    <w:p>
      <w:pPr>
        <w:tabs>
          <w:tab w:val="left" w:pos="-180"/>
          <w:tab w:val="left" w:pos="180"/>
          <w:tab w:val="left" w:pos="360"/>
        </w:tabs>
        <w:spacing w:line="400" w:lineRule="exact"/>
        <w:ind w:left="550" w:hanging="550" w:hangingChars="250"/>
        <w:rPr>
          <w:rFonts w:ascii="宋体" w:hAnsi="宋体" w:cs="宋体"/>
          <w:color w:val="auto"/>
          <w:sz w:val="22"/>
          <w:highlight w:val="none"/>
        </w:rPr>
      </w:pPr>
      <w:r>
        <w:rPr>
          <w:rFonts w:hint="eastAsia" w:ascii="宋体" w:hAnsi="宋体" w:cs="宋体"/>
          <w:bCs/>
          <w:color w:val="auto"/>
          <w:sz w:val="22"/>
          <w:highlight w:val="none"/>
        </w:rPr>
        <w:t>6.4</w:t>
      </w:r>
      <w:r>
        <w:rPr>
          <w:rFonts w:hint="eastAsia" w:ascii="宋体" w:hAnsi="宋体" w:cs="宋体"/>
          <w:b/>
          <w:color w:val="auto"/>
          <w:sz w:val="22"/>
          <w:highlight w:val="none"/>
        </w:rPr>
        <w:t>▲</w:t>
      </w:r>
      <w:r>
        <w:rPr>
          <w:rFonts w:hint="eastAsia" w:ascii="宋体" w:hAnsi="宋体" w:cs="宋体"/>
          <w:color w:val="auto"/>
          <w:sz w:val="22"/>
          <w:highlight w:val="none"/>
          <w:u w:val="single"/>
        </w:rPr>
        <w:t>本次投标均以人民币报价，不接受其他货币的报价，投标供应商如需外汇购入某些货物，须折合成人民币计入投标报价中</w:t>
      </w:r>
      <w:r>
        <w:rPr>
          <w:rFonts w:hint="eastAsia" w:ascii="宋体" w:hAnsi="宋体" w:cs="宋体"/>
          <w:color w:val="auto"/>
          <w:sz w:val="22"/>
          <w:highlight w:val="none"/>
        </w:rPr>
        <w:t>。</w:t>
      </w:r>
    </w:p>
    <w:p>
      <w:pPr>
        <w:tabs>
          <w:tab w:val="left" w:pos="-180"/>
          <w:tab w:val="left" w:pos="180"/>
          <w:tab w:val="left" w:pos="360"/>
        </w:tabs>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6.5</w:t>
      </w:r>
      <w:r>
        <w:rPr>
          <w:rFonts w:hint="eastAsia" w:ascii="宋体" w:hAnsi="宋体" w:cs="宋体"/>
          <w:b/>
          <w:color w:val="auto"/>
          <w:sz w:val="22"/>
          <w:highlight w:val="none"/>
        </w:rPr>
        <w:t>▲</w:t>
      </w:r>
      <w:r>
        <w:rPr>
          <w:rFonts w:hint="eastAsia" w:ascii="宋体" w:hAnsi="宋体" w:cs="宋体"/>
          <w:color w:val="auto"/>
          <w:sz w:val="22"/>
          <w:highlight w:val="none"/>
          <w:u w:val="single"/>
        </w:rPr>
        <w:t>采购人不接受任何选择报价，对任何货物或服务只允许一个报价</w:t>
      </w:r>
      <w:r>
        <w:rPr>
          <w:rFonts w:hint="eastAsia" w:ascii="宋体" w:hAnsi="宋体" w:cs="宋体"/>
          <w:color w:val="auto"/>
          <w:sz w:val="22"/>
          <w:highlight w:val="none"/>
        </w:rPr>
        <w:t>。</w:t>
      </w:r>
    </w:p>
    <w:p>
      <w:pPr>
        <w:tabs>
          <w:tab w:val="left" w:pos="-180"/>
          <w:tab w:val="left" w:pos="180"/>
          <w:tab w:val="left" w:pos="360"/>
        </w:tabs>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6.6  采购人要求分类报价是为了方便评标，但在任何情况下不限制采购人以其认为最合适的条款、条件签订合同的权利。</w:t>
      </w:r>
    </w:p>
    <w:p>
      <w:pPr>
        <w:tabs>
          <w:tab w:val="left" w:pos="-180"/>
          <w:tab w:val="left" w:pos="180"/>
          <w:tab w:val="left" w:pos="360"/>
        </w:tabs>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6.7</w:t>
      </w:r>
      <w:r>
        <w:rPr>
          <w:rFonts w:hint="eastAsia" w:ascii="宋体" w:hAnsi="宋体" w:cs="宋体"/>
          <w:b/>
          <w:color w:val="auto"/>
          <w:sz w:val="22"/>
          <w:highlight w:val="none"/>
        </w:rPr>
        <w:t>▲</w:t>
      </w:r>
      <w:r>
        <w:rPr>
          <w:rFonts w:hint="eastAsia" w:ascii="宋体" w:hAnsi="宋体" w:cs="宋体"/>
          <w:color w:val="auto"/>
          <w:sz w:val="22"/>
          <w:highlight w:val="none"/>
          <w:u w:val="single"/>
        </w:rPr>
        <w:t>投标报价报出后，投标供应商不得以任何理由予以变更，任何包含价格调整的要求，将被认为是非实质性响应投标而予以拒绝</w:t>
      </w:r>
      <w:r>
        <w:rPr>
          <w:rFonts w:hint="eastAsia" w:ascii="宋体" w:hAnsi="宋体" w:cs="宋体"/>
          <w:color w:val="auto"/>
          <w:sz w:val="22"/>
          <w:highlight w:val="none"/>
        </w:rPr>
        <w:t>。</w:t>
      </w:r>
    </w:p>
    <w:p>
      <w:pPr>
        <w:spacing w:line="400" w:lineRule="exact"/>
        <w:rPr>
          <w:rFonts w:ascii="宋体" w:hAnsi="宋体" w:cs="宋体"/>
          <w:color w:val="auto"/>
          <w:sz w:val="22"/>
          <w:highlight w:val="none"/>
        </w:rPr>
      </w:pPr>
      <w:r>
        <w:rPr>
          <w:rFonts w:hint="eastAsia" w:ascii="宋体" w:hAnsi="宋体" w:cs="宋体"/>
          <w:bCs/>
          <w:color w:val="auto"/>
          <w:sz w:val="22"/>
          <w:highlight w:val="none"/>
        </w:rPr>
        <w:t xml:space="preserve">7.   </w:t>
      </w:r>
      <w:r>
        <w:rPr>
          <w:rFonts w:hint="eastAsia" w:ascii="宋体" w:hAnsi="宋体" w:cs="宋体"/>
          <w:b/>
          <w:bCs/>
          <w:color w:val="auto"/>
          <w:sz w:val="22"/>
          <w:highlight w:val="none"/>
          <w:u w:val="single"/>
        </w:rPr>
        <w:t>投标有效期</w:t>
      </w:r>
    </w:p>
    <w:p>
      <w:pPr>
        <w:spacing w:line="400" w:lineRule="exact"/>
        <w:rPr>
          <w:rFonts w:ascii="宋体" w:hAnsi="宋体" w:cs="宋体"/>
          <w:b/>
          <w:color w:val="auto"/>
          <w:sz w:val="22"/>
          <w:highlight w:val="none"/>
        </w:rPr>
      </w:pPr>
      <w:r>
        <w:rPr>
          <w:rFonts w:hint="eastAsia" w:ascii="宋体" w:hAnsi="宋体" w:cs="宋体"/>
          <w:color w:val="auto"/>
          <w:sz w:val="22"/>
          <w:highlight w:val="none"/>
        </w:rPr>
        <w:t>7.1</w:t>
      </w:r>
      <w:r>
        <w:rPr>
          <w:rFonts w:hint="eastAsia" w:ascii="宋体" w:hAnsi="宋体" w:cs="宋体"/>
          <w:b/>
          <w:color w:val="auto"/>
          <w:sz w:val="22"/>
          <w:highlight w:val="none"/>
        </w:rPr>
        <w:t>▲</w:t>
      </w:r>
      <w:r>
        <w:rPr>
          <w:rFonts w:hint="eastAsia" w:ascii="宋体" w:hAnsi="宋体" w:cs="宋体"/>
          <w:b/>
          <w:color w:val="auto"/>
          <w:sz w:val="22"/>
          <w:highlight w:val="none"/>
          <w:u w:val="single"/>
        </w:rPr>
        <w:t>自开标之日起</w:t>
      </w:r>
      <w:r>
        <w:rPr>
          <w:rFonts w:hint="eastAsia" w:ascii="宋体" w:hAnsi="宋体" w:cs="宋体"/>
          <w:b/>
          <w:bCs/>
          <w:color w:val="auto"/>
          <w:sz w:val="22"/>
          <w:highlight w:val="none"/>
          <w:u w:val="single"/>
        </w:rPr>
        <w:t>90</w:t>
      </w:r>
      <w:r>
        <w:rPr>
          <w:rFonts w:hint="eastAsia" w:ascii="宋体" w:hAnsi="宋体" w:cs="宋体"/>
          <w:b/>
          <w:color w:val="auto"/>
          <w:sz w:val="22"/>
          <w:highlight w:val="none"/>
          <w:u w:val="single"/>
        </w:rPr>
        <w:t>天内投标应保持投标有效</w:t>
      </w:r>
      <w:r>
        <w:rPr>
          <w:rFonts w:hint="eastAsia" w:ascii="宋体" w:hAnsi="宋体" w:cs="宋体"/>
          <w:b/>
          <w:color w:val="auto"/>
          <w:sz w:val="22"/>
          <w:highlight w:val="none"/>
        </w:rPr>
        <w:t>。</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7.2  特殊情况下，在原投标有效期截止前，采购人可与投标供应商协商延长投标有效期，这种要求和答复均以书面形式进行。投标供应商可拒绝接受延期要求，也可以接受延期要求。同意延长投标有效期的投标供应商不得修改投标文件。</w:t>
      </w:r>
    </w:p>
    <w:p>
      <w:pPr>
        <w:spacing w:line="400" w:lineRule="exact"/>
        <w:rPr>
          <w:rFonts w:ascii="宋体" w:hAnsi="宋体" w:cs="宋体"/>
          <w:b/>
          <w:bCs/>
          <w:color w:val="auto"/>
          <w:sz w:val="22"/>
          <w:highlight w:val="none"/>
        </w:rPr>
      </w:pPr>
      <w:r>
        <w:rPr>
          <w:rFonts w:hint="eastAsia" w:ascii="宋体" w:hAnsi="宋体" w:cs="宋体"/>
          <w:bCs/>
          <w:color w:val="auto"/>
          <w:sz w:val="22"/>
          <w:highlight w:val="none"/>
        </w:rPr>
        <w:t xml:space="preserve">8.   </w:t>
      </w:r>
      <w:r>
        <w:rPr>
          <w:rFonts w:hint="eastAsia" w:ascii="宋体" w:hAnsi="宋体" w:cs="宋体"/>
          <w:b/>
          <w:bCs/>
          <w:color w:val="auto"/>
          <w:sz w:val="22"/>
          <w:highlight w:val="none"/>
        </w:rPr>
        <w:t>投标文件的签署和规定</w:t>
      </w:r>
    </w:p>
    <w:p>
      <w:pPr>
        <w:spacing w:line="400" w:lineRule="exact"/>
        <w:rPr>
          <w:rFonts w:ascii="宋体" w:hAnsi="宋体" w:cs="宋体"/>
          <w:color w:val="auto"/>
          <w:highlight w:val="none"/>
        </w:rPr>
      </w:pPr>
      <w:r>
        <w:rPr>
          <w:rFonts w:hint="eastAsia" w:ascii="宋体" w:hAnsi="宋体" w:cs="宋体"/>
          <w:color w:val="auto"/>
          <w:sz w:val="22"/>
          <w:highlight w:val="none"/>
        </w:rPr>
        <w:t xml:space="preserve">8.1  </w:t>
      </w:r>
      <w:r>
        <w:rPr>
          <w:rFonts w:hint="eastAsia" w:ascii="宋体" w:hAnsi="宋体" w:cs="宋体"/>
          <w:b/>
          <w:color w:val="auto"/>
          <w:sz w:val="22"/>
          <w:highlight w:val="none"/>
          <w:u w:val="single"/>
        </w:rPr>
        <w:t>投标供应商应根据招标文件的规定对投标文件进行电子盖章及签署</w:t>
      </w:r>
      <w:r>
        <w:rPr>
          <w:rFonts w:hint="eastAsia" w:ascii="宋体" w:hAnsi="宋体" w:cs="宋体"/>
          <w:color w:val="auto"/>
          <w:sz w:val="22"/>
          <w:highlight w:val="none"/>
        </w:rPr>
        <w:t>。</w:t>
      </w:r>
    </w:p>
    <w:p>
      <w:pPr>
        <w:pStyle w:val="3"/>
        <w:numPr>
          <w:ilvl w:val="0"/>
          <w:numId w:val="0"/>
        </w:numPr>
        <w:spacing w:before="240" w:beforeLines="100" w:line="360" w:lineRule="auto"/>
        <w:jc w:val="center"/>
        <w:rPr>
          <w:color w:val="auto"/>
          <w:sz w:val="24"/>
          <w:highlight w:val="none"/>
        </w:rPr>
      </w:pPr>
      <w:bookmarkStart w:id="8" w:name="_Toc22226"/>
      <w:r>
        <w:rPr>
          <w:rFonts w:hint="eastAsia"/>
          <w:color w:val="auto"/>
          <w:sz w:val="24"/>
          <w:highlight w:val="none"/>
        </w:rPr>
        <w:t>四、 投标文件的递交</w:t>
      </w:r>
      <w:bookmarkEnd w:id="8"/>
    </w:p>
    <w:p>
      <w:pPr>
        <w:spacing w:line="400" w:lineRule="exact"/>
        <w:rPr>
          <w:rFonts w:ascii="宋体" w:hAnsi="宋体" w:cs="宋体"/>
          <w:b/>
          <w:bCs/>
          <w:color w:val="auto"/>
          <w:sz w:val="22"/>
          <w:highlight w:val="none"/>
        </w:rPr>
      </w:pPr>
      <w:r>
        <w:rPr>
          <w:rFonts w:hint="eastAsia" w:ascii="宋体" w:hAnsi="宋体" w:cs="宋体"/>
          <w:bCs/>
          <w:color w:val="auto"/>
          <w:sz w:val="22"/>
          <w:highlight w:val="none"/>
        </w:rPr>
        <w:t xml:space="preserve">1.   </w:t>
      </w:r>
      <w:r>
        <w:rPr>
          <w:rFonts w:hint="eastAsia" w:ascii="宋体" w:hAnsi="宋体" w:cs="宋体"/>
          <w:b/>
          <w:bCs/>
          <w:color w:val="auto"/>
          <w:sz w:val="22"/>
          <w:highlight w:val="none"/>
        </w:rPr>
        <w:t>投标文件的递交</w:t>
      </w:r>
    </w:p>
    <w:p>
      <w:pPr>
        <w:spacing w:line="400" w:lineRule="exact"/>
        <w:ind w:left="552" w:hanging="552" w:hangingChars="250"/>
        <w:rPr>
          <w:rFonts w:ascii="宋体" w:hAnsi="宋体" w:cs="宋体"/>
          <w:b/>
          <w:bCs/>
          <w:color w:val="auto"/>
          <w:sz w:val="22"/>
          <w:highlight w:val="none"/>
          <w:u w:val="single"/>
        </w:rPr>
      </w:pPr>
      <w:r>
        <w:rPr>
          <w:rFonts w:hint="eastAsia" w:ascii="宋体" w:hAnsi="宋体" w:cs="宋体"/>
          <w:b/>
          <w:bCs/>
          <w:color w:val="auto"/>
          <w:sz w:val="22"/>
          <w:highlight w:val="none"/>
        </w:rPr>
        <w:t xml:space="preserve">     </w:t>
      </w:r>
      <w:r>
        <w:rPr>
          <w:rFonts w:hint="eastAsia" w:ascii="宋体" w:hAnsi="宋体" w:cs="宋体"/>
          <w:b/>
          <w:bCs/>
          <w:color w:val="auto"/>
          <w:sz w:val="22"/>
          <w:highlight w:val="none"/>
          <w:u w:val="single"/>
        </w:rPr>
        <w:t>投标文件必须在招标文件规定的投标文件截止时间前完成电子投标文件的传输递交。投标截止时间前未完成传输的，视为撤回投标文件。投标截止时间后送达的投标文件，将被政采云平台拒收。</w:t>
      </w:r>
    </w:p>
    <w:p>
      <w:pPr>
        <w:spacing w:line="400" w:lineRule="exact"/>
        <w:ind w:left="550" w:hanging="550" w:hangingChars="250"/>
        <w:rPr>
          <w:rFonts w:ascii="宋体" w:hAnsi="宋体" w:cs="宋体"/>
          <w:b/>
          <w:bCs/>
          <w:color w:val="auto"/>
          <w:sz w:val="22"/>
          <w:highlight w:val="none"/>
        </w:rPr>
      </w:pPr>
      <w:r>
        <w:rPr>
          <w:rFonts w:hint="eastAsia" w:ascii="宋体" w:hAnsi="宋体" w:cs="宋体"/>
          <w:bCs/>
          <w:color w:val="auto"/>
          <w:sz w:val="22"/>
          <w:highlight w:val="none"/>
        </w:rPr>
        <w:t xml:space="preserve">2.   </w:t>
      </w:r>
      <w:r>
        <w:rPr>
          <w:rFonts w:hint="eastAsia" w:ascii="宋体" w:hAnsi="宋体" w:cs="宋体"/>
          <w:b/>
          <w:bCs/>
          <w:color w:val="auto"/>
          <w:sz w:val="22"/>
          <w:highlight w:val="none"/>
        </w:rPr>
        <w:t>投标文件的补充、修改和撤回</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 xml:space="preserve">     </w:t>
      </w:r>
      <w:r>
        <w:rPr>
          <w:rFonts w:hint="eastAsia" w:ascii="宋体" w:hAnsi="宋体" w:cs="宋体"/>
          <w:b/>
          <w:bCs/>
          <w:color w:val="auto"/>
          <w:sz w:val="22"/>
          <w:highlight w:val="none"/>
          <w:u w:val="single"/>
        </w:rPr>
        <w:t>投标供应商在投标截止时间前，可以补充、修改或者撤回电子投标文件。补充或者修改电子投标文件的，应当先行撤回原文件，补充、修改后重新传输递交。</w:t>
      </w:r>
    </w:p>
    <w:p>
      <w:pPr>
        <w:pStyle w:val="3"/>
        <w:numPr>
          <w:ilvl w:val="0"/>
          <w:numId w:val="0"/>
        </w:numPr>
        <w:spacing w:before="240" w:beforeLines="100" w:line="360" w:lineRule="auto"/>
        <w:jc w:val="center"/>
        <w:rPr>
          <w:color w:val="auto"/>
          <w:sz w:val="24"/>
          <w:highlight w:val="none"/>
        </w:rPr>
      </w:pPr>
      <w:bookmarkStart w:id="9" w:name="_Toc30539"/>
      <w:r>
        <w:rPr>
          <w:rFonts w:hint="eastAsia"/>
          <w:color w:val="auto"/>
          <w:sz w:val="24"/>
          <w:highlight w:val="none"/>
        </w:rPr>
        <w:t>五、 开标和评标</w:t>
      </w:r>
      <w:bookmarkEnd w:id="9"/>
    </w:p>
    <w:p>
      <w:pPr>
        <w:spacing w:line="400" w:lineRule="exact"/>
        <w:rPr>
          <w:rFonts w:ascii="宋体" w:hAnsi="宋体" w:cs="宋体"/>
          <w:b/>
          <w:bCs/>
          <w:color w:val="auto"/>
          <w:sz w:val="22"/>
          <w:highlight w:val="none"/>
        </w:rPr>
      </w:pPr>
      <w:r>
        <w:rPr>
          <w:rFonts w:hint="eastAsia" w:ascii="宋体" w:hAnsi="宋体" w:cs="宋体"/>
          <w:b/>
          <w:color w:val="auto"/>
          <w:sz w:val="22"/>
          <w:highlight w:val="none"/>
        </w:rPr>
        <w:t>1</w:t>
      </w:r>
      <w:r>
        <w:rPr>
          <w:rFonts w:hint="eastAsia" w:ascii="宋体" w:hAnsi="宋体" w:cs="宋体"/>
          <w:bCs/>
          <w:color w:val="auto"/>
          <w:sz w:val="22"/>
          <w:highlight w:val="none"/>
        </w:rPr>
        <w:t xml:space="preserve">.   </w:t>
      </w:r>
      <w:r>
        <w:rPr>
          <w:rFonts w:hint="eastAsia" w:ascii="宋体" w:hAnsi="宋体" w:cs="宋体"/>
          <w:b/>
          <w:bCs/>
          <w:color w:val="auto"/>
          <w:sz w:val="22"/>
          <w:highlight w:val="none"/>
        </w:rPr>
        <w:t>评标委员会</w:t>
      </w:r>
    </w:p>
    <w:p>
      <w:pPr>
        <w:spacing w:line="400" w:lineRule="exact"/>
        <w:ind w:left="550" w:hanging="550" w:hangingChars="250"/>
        <w:rPr>
          <w:rFonts w:ascii="宋体" w:hAnsi="宋体" w:cs="宋体"/>
          <w:bCs/>
          <w:color w:val="auto"/>
          <w:sz w:val="22"/>
          <w:highlight w:val="none"/>
        </w:rPr>
      </w:pPr>
      <w:r>
        <w:rPr>
          <w:rFonts w:hint="eastAsia" w:ascii="宋体" w:hAnsi="宋体" w:cs="宋体"/>
          <w:bCs/>
          <w:color w:val="auto"/>
          <w:sz w:val="22"/>
          <w:highlight w:val="none"/>
        </w:rPr>
        <w:t>1.1  采购人和采购代理机构依法组建评标委员会，评标委员会的成员在评标过程中必须严格遵守《</w:t>
      </w:r>
      <w:r>
        <w:rPr>
          <w:rFonts w:hint="eastAsia" w:ascii="宋体" w:hAnsi="宋体" w:cs="宋体"/>
          <w:color w:val="auto"/>
          <w:sz w:val="22"/>
          <w:highlight w:val="none"/>
        </w:rPr>
        <w:t>中华人民共和国政府采购法</w:t>
      </w:r>
      <w:r>
        <w:rPr>
          <w:rFonts w:hint="eastAsia" w:ascii="宋体" w:hAnsi="宋体" w:cs="宋体"/>
          <w:bCs/>
          <w:color w:val="auto"/>
          <w:sz w:val="22"/>
          <w:highlight w:val="none"/>
        </w:rPr>
        <w:t>》等有关法律、法规的规定。</w:t>
      </w:r>
    </w:p>
    <w:p>
      <w:pPr>
        <w:spacing w:line="400" w:lineRule="exact"/>
        <w:ind w:left="552" w:hanging="552" w:hangingChars="250"/>
        <w:rPr>
          <w:rFonts w:ascii="宋体" w:hAnsi="宋体" w:cs="宋体"/>
          <w:bCs/>
          <w:color w:val="auto"/>
          <w:sz w:val="22"/>
          <w:highlight w:val="none"/>
        </w:rPr>
      </w:pPr>
      <w:r>
        <w:rPr>
          <w:rFonts w:hint="eastAsia" w:ascii="宋体" w:hAnsi="宋体" w:cs="宋体"/>
          <w:b/>
          <w:color w:val="auto"/>
          <w:sz w:val="22"/>
          <w:highlight w:val="none"/>
        </w:rPr>
        <w:t>2</w:t>
      </w:r>
      <w:r>
        <w:rPr>
          <w:rFonts w:hint="eastAsia" w:ascii="宋体" w:hAnsi="宋体" w:cs="宋体"/>
          <w:bCs/>
          <w:color w:val="auto"/>
          <w:sz w:val="22"/>
          <w:highlight w:val="none"/>
        </w:rPr>
        <w:t xml:space="preserve">.   </w:t>
      </w:r>
      <w:r>
        <w:rPr>
          <w:rFonts w:hint="eastAsia" w:ascii="宋体" w:hAnsi="宋体" w:cs="宋体"/>
          <w:b/>
          <w:bCs/>
          <w:color w:val="auto"/>
          <w:sz w:val="22"/>
          <w:highlight w:val="none"/>
        </w:rPr>
        <w:t>评标过程的保密性</w:t>
      </w:r>
    </w:p>
    <w:p>
      <w:pPr>
        <w:spacing w:line="400" w:lineRule="exact"/>
        <w:ind w:left="558" w:leftChars="4" w:hanging="550" w:hangingChars="250"/>
        <w:rPr>
          <w:rFonts w:ascii="宋体" w:hAnsi="宋体" w:cs="宋体"/>
          <w:b/>
          <w:bCs/>
          <w:color w:val="auto"/>
          <w:sz w:val="22"/>
          <w:highlight w:val="none"/>
        </w:rPr>
      </w:pPr>
      <w:r>
        <w:rPr>
          <w:rFonts w:hint="eastAsia" w:ascii="宋体" w:hAnsi="宋体" w:cs="宋体"/>
          <w:bCs/>
          <w:color w:val="auto"/>
          <w:sz w:val="22"/>
          <w:highlight w:val="none"/>
        </w:rPr>
        <w:t>2.1  开标后直至向中标供应商授予合同时止，凡与评审有关的资料均不得向投标供应商及与评标无关人员透露，如果投标供应商在评标过程中试图向采购人或采购代理机构施加影响，其投标将被拒绝。</w:t>
      </w:r>
    </w:p>
    <w:p>
      <w:pPr>
        <w:spacing w:line="400" w:lineRule="exact"/>
        <w:ind w:left="560" w:leftChars="4" w:hanging="552" w:hangingChars="250"/>
        <w:rPr>
          <w:rFonts w:ascii="宋体" w:hAnsi="宋体" w:cs="宋体"/>
          <w:b/>
          <w:bCs/>
          <w:color w:val="auto"/>
          <w:sz w:val="22"/>
          <w:highlight w:val="none"/>
        </w:rPr>
      </w:pPr>
      <w:r>
        <w:rPr>
          <w:rFonts w:hint="eastAsia" w:ascii="宋体" w:hAnsi="宋体" w:cs="宋体"/>
          <w:b/>
          <w:bCs/>
          <w:color w:val="auto"/>
          <w:sz w:val="22"/>
          <w:highlight w:val="none"/>
        </w:rPr>
        <w:t>3.   评标前准备</w:t>
      </w:r>
    </w:p>
    <w:p>
      <w:pPr>
        <w:spacing w:line="400" w:lineRule="exact"/>
        <w:ind w:left="558" w:leftChars="4" w:hanging="550" w:hangingChars="250"/>
        <w:rPr>
          <w:rFonts w:ascii="宋体" w:hAnsi="宋体" w:cs="宋体"/>
          <w:bCs/>
          <w:color w:val="auto"/>
          <w:sz w:val="22"/>
          <w:highlight w:val="none"/>
        </w:rPr>
      </w:pPr>
      <w:r>
        <w:rPr>
          <w:rFonts w:hint="eastAsia" w:ascii="宋体" w:hAnsi="宋体" w:cs="宋体"/>
          <w:bCs/>
          <w:color w:val="auto"/>
          <w:sz w:val="22"/>
          <w:highlight w:val="none"/>
        </w:rPr>
        <w:t>3.1  投标文件签收及解密：由采购代理机构开始签收并开始解密投标文件。</w:t>
      </w:r>
    </w:p>
    <w:p>
      <w:pPr>
        <w:spacing w:line="400" w:lineRule="exact"/>
        <w:ind w:left="558" w:leftChars="4" w:hanging="550" w:hangingChars="250"/>
        <w:rPr>
          <w:rFonts w:ascii="宋体" w:hAnsi="宋体" w:cs="宋体"/>
          <w:bCs/>
          <w:color w:val="auto"/>
          <w:sz w:val="22"/>
          <w:highlight w:val="none"/>
        </w:rPr>
      </w:pPr>
      <w:r>
        <w:rPr>
          <w:rFonts w:hint="eastAsia" w:ascii="宋体" w:hAnsi="宋体" w:cs="宋体"/>
          <w:bCs/>
          <w:color w:val="auto"/>
          <w:sz w:val="22"/>
          <w:highlight w:val="none"/>
        </w:rPr>
        <w:t>3.2  投标文件解密：投标文件递交截止时间后，投标供应商登录政采云平台，用“项目采购-开标评标”功能对电子投标文件进行在线解密。在线解密电子投标文件时间为开标时间起半个小时内。投标文件未按时解密，投标供应商提供了备份投标文件的，以备份投标文件作为依据，否则视为投标文件撤回。投标文件已按时解密的，备份投标文件自动失效。</w:t>
      </w:r>
    </w:p>
    <w:p>
      <w:pPr>
        <w:spacing w:line="400" w:lineRule="exact"/>
        <w:ind w:left="558" w:leftChars="4" w:hanging="550" w:hangingChars="250"/>
        <w:rPr>
          <w:rFonts w:ascii="宋体" w:hAnsi="宋体" w:cs="宋体"/>
          <w:bCs/>
          <w:color w:val="auto"/>
          <w:sz w:val="22"/>
          <w:highlight w:val="none"/>
        </w:rPr>
      </w:pPr>
      <w:r>
        <w:rPr>
          <w:rFonts w:hint="eastAsia" w:ascii="宋体" w:hAnsi="宋体" w:cs="宋体"/>
          <w:bCs/>
          <w:color w:val="auto"/>
          <w:sz w:val="22"/>
          <w:highlight w:val="none"/>
        </w:rPr>
        <w:t>3.3  投标文件解密结束。投标供应商在线解密投标文件完毕后，由采购代理机构结束解密投标文件。</w:t>
      </w:r>
    </w:p>
    <w:p>
      <w:pPr>
        <w:spacing w:line="400" w:lineRule="exact"/>
        <w:ind w:left="560" w:leftChars="4" w:hanging="552" w:hangingChars="250"/>
        <w:rPr>
          <w:rFonts w:ascii="宋体" w:hAnsi="宋体" w:cs="宋体"/>
          <w:b/>
          <w:color w:val="auto"/>
          <w:sz w:val="22"/>
          <w:highlight w:val="none"/>
        </w:rPr>
      </w:pPr>
      <w:r>
        <w:rPr>
          <w:rFonts w:hint="eastAsia" w:ascii="宋体" w:hAnsi="宋体" w:cs="宋体"/>
          <w:b/>
          <w:color w:val="auto"/>
          <w:sz w:val="22"/>
          <w:highlight w:val="none"/>
        </w:rPr>
        <w:t>4.   开标评标</w:t>
      </w:r>
    </w:p>
    <w:p>
      <w:pPr>
        <w:spacing w:line="400" w:lineRule="exact"/>
        <w:ind w:left="558" w:leftChars="4" w:hanging="550" w:hangingChars="250"/>
        <w:rPr>
          <w:rFonts w:ascii="宋体" w:hAnsi="宋体" w:cs="宋体"/>
          <w:bCs/>
          <w:color w:val="auto"/>
          <w:sz w:val="22"/>
          <w:highlight w:val="none"/>
        </w:rPr>
      </w:pPr>
      <w:r>
        <w:rPr>
          <w:rFonts w:hint="eastAsia" w:ascii="宋体" w:hAnsi="宋体" w:cs="宋体"/>
          <w:bCs/>
          <w:color w:val="auto"/>
          <w:sz w:val="22"/>
          <w:highlight w:val="none"/>
        </w:rPr>
        <w:t>4.1  资格性审查</w:t>
      </w:r>
    </w:p>
    <w:p>
      <w:pPr>
        <w:spacing w:line="400" w:lineRule="exact"/>
        <w:ind w:left="533" w:leftChars="254"/>
        <w:rPr>
          <w:rFonts w:ascii="宋体" w:hAnsi="宋体" w:cs="宋体"/>
          <w:bCs/>
          <w:color w:val="auto"/>
          <w:sz w:val="22"/>
          <w:highlight w:val="none"/>
        </w:rPr>
      </w:pPr>
      <w:r>
        <w:rPr>
          <w:rFonts w:hint="eastAsia" w:ascii="宋体" w:hAnsi="宋体" w:cs="宋体"/>
          <w:bCs/>
          <w:color w:val="auto"/>
          <w:sz w:val="22"/>
          <w:highlight w:val="none"/>
        </w:rPr>
        <w:t>采购人或采购代理机构依据法律、法规和招标文件的规定，对各投标文件中的资格证明在线进行审查，以确定是否具备投标资格。</w:t>
      </w:r>
      <w:r>
        <w:rPr>
          <w:rFonts w:hint="eastAsia" w:ascii="宋体" w:hAnsi="宋体" w:cs="宋体"/>
          <w:b/>
          <w:color w:val="auto"/>
          <w:sz w:val="22"/>
          <w:highlight w:val="none"/>
        </w:rPr>
        <w:t>▲</w:t>
      </w:r>
      <w:r>
        <w:rPr>
          <w:rFonts w:hint="eastAsia" w:ascii="宋体" w:hAnsi="宋体" w:cs="宋体"/>
          <w:b/>
          <w:color w:val="auto"/>
          <w:sz w:val="22"/>
          <w:highlight w:val="none"/>
          <w:u w:val="single"/>
        </w:rPr>
        <w:t>只要有一项审查不合格，则该投标供应商的资格审查不合格，审查不合格的投标文件将不予评审。</w:t>
      </w:r>
    </w:p>
    <w:p>
      <w:pPr>
        <w:spacing w:line="400" w:lineRule="exact"/>
        <w:ind w:left="558" w:leftChars="4" w:hanging="550" w:hangingChars="250"/>
        <w:rPr>
          <w:rFonts w:ascii="宋体" w:hAnsi="宋体" w:cs="宋体"/>
          <w:bCs/>
          <w:color w:val="auto"/>
          <w:sz w:val="22"/>
          <w:highlight w:val="none"/>
        </w:rPr>
      </w:pPr>
      <w:r>
        <w:rPr>
          <w:rFonts w:hint="eastAsia" w:ascii="宋体" w:hAnsi="宋体" w:cs="宋体"/>
          <w:bCs/>
          <w:color w:val="auto"/>
          <w:sz w:val="22"/>
          <w:highlight w:val="none"/>
        </w:rPr>
        <w:t>4.2  符合性审查</w:t>
      </w:r>
    </w:p>
    <w:p>
      <w:pPr>
        <w:spacing w:line="400" w:lineRule="exact"/>
        <w:ind w:left="525" w:leftChars="250"/>
        <w:rPr>
          <w:rFonts w:ascii="宋体" w:hAnsi="宋体" w:cs="宋体"/>
          <w:bCs/>
          <w:color w:val="auto"/>
          <w:sz w:val="22"/>
          <w:highlight w:val="none"/>
        </w:rPr>
      </w:pPr>
      <w:r>
        <w:rPr>
          <w:rFonts w:hint="eastAsia" w:ascii="宋体" w:hAnsi="宋体" w:cs="宋体"/>
          <w:bCs/>
          <w:color w:val="auto"/>
          <w:sz w:val="22"/>
          <w:highlight w:val="none"/>
        </w:rPr>
        <w:t>评标委员会依据法律、法规和招标文件的规定，对投标文件的有效性、完整性和对招标文件的响应程度进行审查，以确定是否符合招标文件的商务、技术等实质性要求。</w:t>
      </w:r>
      <w:r>
        <w:rPr>
          <w:rFonts w:hint="eastAsia" w:ascii="宋体" w:hAnsi="宋体" w:cs="宋体"/>
          <w:b/>
          <w:color w:val="auto"/>
          <w:sz w:val="22"/>
          <w:highlight w:val="none"/>
          <w:u w:val="single"/>
        </w:rPr>
        <w:t>评标委员会决定投标的响应性只根据投标文件本身的内容，而不寻求外部的证据。</w:t>
      </w:r>
    </w:p>
    <w:p>
      <w:pPr>
        <w:spacing w:line="400" w:lineRule="exact"/>
        <w:ind w:left="539" w:hanging="539" w:hangingChars="245"/>
        <w:rPr>
          <w:rFonts w:ascii="宋体" w:hAnsi="宋体" w:cs="宋体"/>
          <w:bCs/>
          <w:color w:val="auto"/>
          <w:sz w:val="22"/>
          <w:highlight w:val="none"/>
        </w:rPr>
      </w:pPr>
      <w:r>
        <w:rPr>
          <w:rFonts w:hint="eastAsia" w:ascii="宋体" w:hAnsi="宋体" w:cs="宋体"/>
          <w:bCs/>
          <w:color w:val="auto"/>
          <w:sz w:val="22"/>
          <w:highlight w:val="none"/>
        </w:rPr>
        <w:t>4.3  投标文件评审</w:t>
      </w:r>
    </w:p>
    <w:p>
      <w:pPr>
        <w:spacing w:line="400" w:lineRule="exact"/>
        <w:ind w:left="550" w:hanging="550" w:hangingChars="250"/>
        <w:rPr>
          <w:rFonts w:ascii="宋体" w:hAnsi="宋体" w:cs="宋体"/>
          <w:bCs/>
          <w:color w:val="auto"/>
          <w:sz w:val="22"/>
          <w:highlight w:val="none"/>
        </w:rPr>
      </w:pPr>
      <w:r>
        <w:rPr>
          <w:rFonts w:hint="eastAsia" w:ascii="宋体" w:hAnsi="宋体" w:cs="宋体"/>
          <w:bCs/>
          <w:color w:val="auto"/>
          <w:sz w:val="22"/>
          <w:highlight w:val="none"/>
        </w:rPr>
        <w:t xml:space="preserve">     评标委员会根据招标文件中规定的评标方法和标准，对符合性审查合格的投标文件进行商务、技术和价格评估，综合比较与评价，并</w:t>
      </w:r>
      <w:r>
        <w:rPr>
          <w:rFonts w:hint="eastAsia" w:ascii="宋体" w:hAnsi="宋体" w:cs="宋体"/>
          <w:color w:val="auto"/>
          <w:sz w:val="22"/>
          <w:highlight w:val="none"/>
        </w:rPr>
        <w:t>按照招标文件中制订的评标方法进行综合评定打分，并提交评审报告。</w:t>
      </w:r>
    </w:p>
    <w:p>
      <w:pPr>
        <w:tabs>
          <w:tab w:val="left" w:pos="1365"/>
        </w:tabs>
        <w:spacing w:line="400" w:lineRule="exact"/>
        <w:ind w:left="552" w:hanging="552" w:hangingChars="250"/>
        <w:rPr>
          <w:rFonts w:ascii="宋体" w:hAnsi="宋体" w:cs="宋体"/>
          <w:b/>
          <w:color w:val="auto"/>
          <w:sz w:val="22"/>
          <w:highlight w:val="none"/>
        </w:rPr>
      </w:pPr>
      <w:r>
        <w:rPr>
          <w:rFonts w:hint="eastAsia" w:ascii="宋体" w:hAnsi="宋体" w:cs="宋体"/>
          <w:b/>
          <w:color w:val="auto"/>
          <w:sz w:val="22"/>
          <w:highlight w:val="none"/>
        </w:rPr>
        <w:t>5.   投标文件的澄清</w:t>
      </w:r>
    </w:p>
    <w:p>
      <w:pPr>
        <w:tabs>
          <w:tab w:val="left" w:pos="1365"/>
        </w:tabs>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5.1  对于投标文件中含义不明确、同类问题表述不一致或者有明显文字和计算错误的内容，评标委员会应当以书面形式要求投标供应商作出必要的澄清、说明或者补正。</w:t>
      </w:r>
    </w:p>
    <w:p>
      <w:pPr>
        <w:tabs>
          <w:tab w:val="left" w:pos="1365"/>
        </w:tabs>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5.2  投标供应商的澄清、说明或者补正应当采用电子传输形式。</w:t>
      </w:r>
      <w:r>
        <w:rPr>
          <w:rFonts w:hint="eastAsia" w:ascii="宋体" w:hAnsi="宋体" w:cs="宋体"/>
          <w:b/>
          <w:color w:val="auto"/>
          <w:sz w:val="22"/>
          <w:highlight w:val="none"/>
          <w:u w:val="single"/>
        </w:rPr>
        <w:t>投标供应商的澄清、说明或者补正不得超出投标文件的范围或者改变投标文件的实质性内容。</w:t>
      </w:r>
    </w:p>
    <w:p>
      <w:pPr>
        <w:spacing w:line="400" w:lineRule="exact"/>
        <w:ind w:left="552" w:hanging="552" w:hangingChars="250"/>
        <w:rPr>
          <w:rFonts w:ascii="宋体" w:hAnsi="宋体" w:cs="宋体"/>
          <w:b/>
          <w:bCs/>
          <w:color w:val="auto"/>
          <w:sz w:val="22"/>
          <w:highlight w:val="none"/>
        </w:rPr>
      </w:pPr>
      <w:r>
        <w:rPr>
          <w:rFonts w:hint="eastAsia" w:ascii="宋体" w:hAnsi="宋体" w:cs="宋体"/>
          <w:b/>
          <w:bCs/>
          <w:color w:val="auto"/>
          <w:sz w:val="22"/>
          <w:highlight w:val="none"/>
        </w:rPr>
        <w:t>6.   投标价格修正</w:t>
      </w:r>
    </w:p>
    <w:p>
      <w:pPr>
        <w:spacing w:line="400" w:lineRule="exact"/>
        <w:ind w:left="571" w:leftChars="10" w:hanging="550" w:hangingChars="250"/>
        <w:rPr>
          <w:rFonts w:ascii="宋体" w:hAnsi="宋体" w:cs="宋体"/>
          <w:bCs/>
          <w:color w:val="auto"/>
          <w:sz w:val="22"/>
          <w:highlight w:val="none"/>
        </w:rPr>
      </w:pPr>
      <w:r>
        <w:rPr>
          <w:rFonts w:hint="eastAsia" w:ascii="宋体" w:hAnsi="宋体" w:cs="宋体"/>
          <w:bCs/>
          <w:color w:val="auto"/>
          <w:sz w:val="22"/>
          <w:highlight w:val="none"/>
        </w:rPr>
        <w:t xml:space="preserve">     评标委员会对各投标供应商的投标报价进行核查，核查时发现投标报价内容不清楚可要求投标供应商书面澄清，投标文件报价出现前后不一致的，按照下列规定修正：</w:t>
      </w:r>
    </w:p>
    <w:p>
      <w:pPr>
        <w:spacing w:line="400" w:lineRule="exact"/>
        <w:ind w:left="571" w:leftChars="10" w:hanging="550" w:hangingChars="250"/>
        <w:rPr>
          <w:rFonts w:ascii="宋体" w:hAnsi="宋体" w:cs="宋体"/>
          <w:bCs/>
          <w:color w:val="auto"/>
          <w:sz w:val="22"/>
          <w:highlight w:val="none"/>
        </w:rPr>
      </w:pPr>
      <w:r>
        <w:rPr>
          <w:rFonts w:hint="eastAsia" w:ascii="宋体" w:hAnsi="宋体" w:cs="宋体"/>
          <w:bCs/>
          <w:color w:val="auto"/>
          <w:sz w:val="22"/>
          <w:highlight w:val="none"/>
        </w:rPr>
        <w:t>（1）投标文件中投标报价一览表内容与投标分项报价表不一致的，以投标报价一览表为准；</w:t>
      </w:r>
    </w:p>
    <w:p>
      <w:pPr>
        <w:spacing w:line="400" w:lineRule="exact"/>
        <w:ind w:left="567" w:leftChars="8" w:hanging="550" w:hangingChars="250"/>
        <w:rPr>
          <w:rFonts w:ascii="宋体" w:hAnsi="宋体" w:cs="宋体"/>
          <w:bCs/>
          <w:color w:val="auto"/>
          <w:sz w:val="22"/>
          <w:highlight w:val="none"/>
        </w:rPr>
      </w:pPr>
      <w:r>
        <w:rPr>
          <w:rFonts w:hint="eastAsia" w:ascii="宋体" w:hAnsi="宋体" w:cs="宋体"/>
          <w:bCs/>
          <w:color w:val="auto"/>
          <w:sz w:val="22"/>
          <w:highlight w:val="none"/>
        </w:rPr>
        <w:t>（2）大写金额与小写金额不一致的，以大写金额为准；</w:t>
      </w:r>
    </w:p>
    <w:p>
      <w:pPr>
        <w:spacing w:line="400" w:lineRule="exact"/>
        <w:ind w:left="567" w:leftChars="8" w:hanging="550" w:hangingChars="250"/>
        <w:rPr>
          <w:rFonts w:ascii="宋体" w:hAnsi="宋体" w:cs="宋体"/>
          <w:bCs/>
          <w:color w:val="auto"/>
          <w:sz w:val="22"/>
          <w:highlight w:val="none"/>
        </w:rPr>
      </w:pPr>
      <w:r>
        <w:rPr>
          <w:rFonts w:hint="eastAsia" w:ascii="宋体" w:hAnsi="宋体" w:cs="宋体"/>
          <w:bCs/>
          <w:color w:val="auto"/>
          <w:sz w:val="22"/>
          <w:highlight w:val="none"/>
        </w:rPr>
        <w:t>（3）单价金额小数点或者百分比有明显错位的，以投标报价一览表的总价为准，并修改单价；</w:t>
      </w:r>
    </w:p>
    <w:p>
      <w:pPr>
        <w:spacing w:line="400" w:lineRule="exact"/>
        <w:ind w:left="567" w:leftChars="8" w:hanging="550" w:hangingChars="250"/>
        <w:rPr>
          <w:rFonts w:ascii="宋体" w:hAnsi="宋体" w:cs="宋体"/>
          <w:bCs/>
          <w:color w:val="auto"/>
          <w:sz w:val="22"/>
          <w:highlight w:val="none"/>
        </w:rPr>
      </w:pPr>
      <w:r>
        <w:rPr>
          <w:rFonts w:hint="eastAsia" w:ascii="宋体" w:hAnsi="宋体" w:cs="宋体"/>
          <w:bCs/>
          <w:color w:val="auto"/>
          <w:sz w:val="22"/>
          <w:highlight w:val="none"/>
        </w:rPr>
        <w:t>（4）总价金额与按单价汇总金额不一致的，以单价金额计算结果为准。</w:t>
      </w:r>
    </w:p>
    <w:p>
      <w:pPr>
        <w:spacing w:line="400" w:lineRule="exact"/>
        <w:ind w:left="571" w:leftChars="10" w:hanging="550" w:hangingChars="250"/>
        <w:rPr>
          <w:rFonts w:ascii="宋体" w:hAnsi="宋体" w:cs="宋体"/>
          <w:b/>
          <w:bCs/>
          <w:color w:val="auto"/>
          <w:sz w:val="22"/>
          <w:highlight w:val="none"/>
          <w:u w:val="single"/>
        </w:rPr>
      </w:pPr>
      <w:r>
        <w:rPr>
          <w:rFonts w:hint="eastAsia" w:ascii="宋体" w:hAnsi="宋体" w:cs="宋体"/>
          <w:bCs/>
          <w:color w:val="auto"/>
          <w:sz w:val="22"/>
          <w:highlight w:val="none"/>
        </w:rPr>
        <w:t>（5）</w:t>
      </w:r>
      <w:r>
        <w:rPr>
          <w:rFonts w:hint="eastAsia" w:ascii="宋体" w:hAnsi="宋体" w:cs="宋体"/>
          <w:b/>
          <w:color w:val="auto"/>
          <w:sz w:val="22"/>
          <w:highlight w:val="none"/>
        </w:rPr>
        <w:t>▲</w:t>
      </w:r>
      <w:r>
        <w:rPr>
          <w:rFonts w:hint="eastAsia" w:ascii="宋体" w:hAnsi="宋体" w:cs="宋体"/>
          <w:b/>
          <w:bCs/>
          <w:color w:val="auto"/>
          <w:sz w:val="22"/>
          <w:highlight w:val="none"/>
          <w:u w:val="single"/>
        </w:rPr>
        <w:t>同时出现两种以上不一致的，按照前款规定的顺序修正。修正后的报价按照第5点的规定经投标供应商确认后产生约束力，投标供应商不确认的，其投标无效</w:t>
      </w:r>
      <w:r>
        <w:rPr>
          <w:rFonts w:hint="eastAsia" w:ascii="宋体" w:hAnsi="宋体" w:cs="宋体"/>
          <w:bCs/>
          <w:color w:val="auto"/>
          <w:sz w:val="22"/>
          <w:highlight w:val="none"/>
        </w:rPr>
        <w:t>。</w:t>
      </w:r>
    </w:p>
    <w:p>
      <w:pPr>
        <w:spacing w:line="400" w:lineRule="exact"/>
        <w:ind w:left="541" w:hanging="541" w:hangingChars="245"/>
        <w:rPr>
          <w:rFonts w:ascii="宋体" w:hAnsi="宋体" w:cs="宋体"/>
          <w:bCs/>
          <w:color w:val="auto"/>
          <w:sz w:val="22"/>
          <w:highlight w:val="none"/>
        </w:rPr>
      </w:pPr>
      <w:r>
        <w:rPr>
          <w:rFonts w:hint="eastAsia" w:ascii="宋体" w:hAnsi="宋体" w:cs="宋体"/>
          <w:b/>
          <w:color w:val="auto"/>
          <w:sz w:val="22"/>
          <w:highlight w:val="none"/>
        </w:rPr>
        <w:t>7. ▲</w:t>
      </w:r>
      <w:r>
        <w:rPr>
          <w:rFonts w:hint="eastAsia" w:ascii="宋体" w:hAnsi="宋体" w:cs="宋体"/>
          <w:b/>
          <w:bCs/>
          <w:color w:val="auto"/>
          <w:sz w:val="22"/>
          <w:highlight w:val="none"/>
          <w:u w:val="single"/>
        </w:rPr>
        <w:t>评标委员会认定投标供应商存在下列情况之一的，投标无效</w:t>
      </w:r>
      <w:r>
        <w:rPr>
          <w:rFonts w:hint="eastAsia" w:ascii="宋体" w:hAnsi="宋体" w:cs="宋体"/>
          <w:b/>
          <w:bCs/>
          <w:color w:val="auto"/>
          <w:sz w:val="22"/>
          <w:highlight w:val="none"/>
        </w:rPr>
        <w:t>：</w:t>
      </w:r>
    </w:p>
    <w:p>
      <w:pPr>
        <w:spacing w:line="400" w:lineRule="exact"/>
        <w:ind w:left="567" w:leftChars="8" w:hanging="550" w:hangingChars="250"/>
        <w:rPr>
          <w:rFonts w:ascii="宋体" w:hAnsi="宋体" w:cs="宋体"/>
          <w:bCs/>
          <w:color w:val="auto"/>
          <w:sz w:val="22"/>
          <w:highlight w:val="none"/>
        </w:rPr>
      </w:pPr>
      <w:r>
        <w:rPr>
          <w:rFonts w:hint="eastAsia" w:ascii="宋体" w:hAnsi="宋体" w:cs="宋体"/>
          <w:bCs/>
          <w:color w:val="auto"/>
          <w:sz w:val="22"/>
          <w:highlight w:val="none"/>
        </w:rPr>
        <w:t>（1）</w:t>
      </w:r>
      <w:r>
        <w:rPr>
          <w:rFonts w:hint="eastAsia" w:ascii="宋体" w:hAnsi="宋体" w:cs="宋体"/>
          <w:bCs/>
          <w:color w:val="auto"/>
          <w:sz w:val="22"/>
          <w:highlight w:val="none"/>
          <w:u w:val="single"/>
        </w:rPr>
        <w:t>投标文件未按招标文件要求签署、盖章的</w:t>
      </w:r>
      <w:r>
        <w:rPr>
          <w:rFonts w:hint="eastAsia" w:ascii="宋体" w:hAnsi="宋体" w:cs="宋体"/>
          <w:bCs/>
          <w:color w:val="auto"/>
          <w:sz w:val="22"/>
          <w:highlight w:val="none"/>
        </w:rPr>
        <w:t>；</w:t>
      </w:r>
    </w:p>
    <w:p>
      <w:pPr>
        <w:spacing w:line="400" w:lineRule="exact"/>
        <w:rPr>
          <w:rFonts w:ascii="宋体" w:hAnsi="宋体" w:cs="宋体"/>
          <w:bCs/>
          <w:color w:val="auto"/>
          <w:sz w:val="22"/>
          <w:highlight w:val="none"/>
        </w:rPr>
      </w:pPr>
      <w:r>
        <w:rPr>
          <w:rFonts w:hint="eastAsia" w:ascii="宋体" w:hAnsi="宋体" w:cs="宋体"/>
          <w:bCs/>
          <w:color w:val="auto"/>
          <w:sz w:val="22"/>
          <w:highlight w:val="none"/>
        </w:rPr>
        <w:t>（2）</w:t>
      </w:r>
      <w:r>
        <w:rPr>
          <w:rFonts w:hint="eastAsia" w:ascii="宋体" w:hAnsi="宋体" w:cs="宋体"/>
          <w:color w:val="auto"/>
          <w:sz w:val="22"/>
          <w:highlight w:val="none"/>
          <w:u w:val="single"/>
        </w:rPr>
        <w:t>明显不符合招标文件规定的技术规格、技术标准要求或不满足主要技术参数的</w:t>
      </w:r>
      <w:r>
        <w:rPr>
          <w:rFonts w:hint="eastAsia" w:ascii="宋体" w:hAnsi="宋体" w:cs="宋体"/>
          <w:color w:val="auto"/>
          <w:sz w:val="22"/>
          <w:highlight w:val="none"/>
        </w:rPr>
        <w:t>；</w:t>
      </w:r>
    </w:p>
    <w:p>
      <w:pPr>
        <w:spacing w:line="400" w:lineRule="exact"/>
        <w:rPr>
          <w:rFonts w:ascii="宋体" w:hAnsi="宋体" w:cs="宋体"/>
          <w:bCs/>
          <w:color w:val="auto"/>
          <w:sz w:val="22"/>
          <w:highlight w:val="none"/>
        </w:rPr>
      </w:pPr>
      <w:r>
        <w:rPr>
          <w:rFonts w:hint="eastAsia" w:ascii="宋体" w:hAnsi="宋体" w:cs="宋体"/>
          <w:bCs/>
          <w:color w:val="auto"/>
          <w:sz w:val="22"/>
          <w:highlight w:val="none"/>
        </w:rPr>
        <w:t>（3）</w:t>
      </w:r>
      <w:r>
        <w:rPr>
          <w:rFonts w:hint="eastAsia" w:ascii="宋体" w:hAnsi="宋体" w:cs="宋体"/>
          <w:color w:val="auto"/>
          <w:sz w:val="22"/>
          <w:highlight w:val="none"/>
          <w:u w:val="single"/>
        </w:rPr>
        <w:t>投标文件含有采购人不能接受的附加条件的</w:t>
      </w:r>
      <w:r>
        <w:rPr>
          <w:rFonts w:hint="eastAsia" w:ascii="宋体" w:hAnsi="宋体" w:cs="宋体"/>
          <w:color w:val="auto"/>
          <w:sz w:val="22"/>
          <w:highlight w:val="none"/>
        </w:rPr>
        <w:t>；</w:t>
      </w:r>
    </w:p>
    <w:p>
      <w:pPr>
        <w:spacing w:line="400" w:lineRule="exact"/>
        <w:rPr>
          <w:rFonts w:ascii="宋体" w:hAnsi="宋体" w:cs="宋体"/>
          <w:color w:val="auto"/>
          <w:sz w:val="22"/>
          <w:highlight w:val="none"/>
        </w:rPr>
      </w:pPr>
      <w:r>
        <w:rPr>
          <w:rFonts w:hint="eastAsia" w:ascii="宋体" w:hAnsi="宋体" w:cs="宋体"/>
          <w:color w:val="auto"/>
          <w:sz w:val="22"/>
          <w:highlight w:val="none"/>
        </w:rPr>
        <w:t>（4）</w:t>
      </w:r>
      <w:r>
        <w:rPr>
          <w:rFonts w:hint="eastAsia" w:ascii="宋体" w:hAnsi="宋体" w:cs="宋体"/>
          <w:color w:val="auto"/>
          <w:sz w:val="22"/>
          <w:highlight w:val="none"/>
          <w:u w:val="single"/>
        </w:rPr>
        <w:t>投标报价超过招标文件中规定的预算金额或者最高限价的</w:t>
      </w:r>
      <w:r>
        <w:rPr>
          <w:rFonts w:hint="eastAsia" w:ascii="宋体" w:hAnsi="宋体" w:cs="宋体"/>
          <w:color w:val="auto"/>
          <w:sz w:val="22"/>
          <w:highlight w:val="none"/>
        </w:rPr>
        <w:t>；</w:t>
      </w:r>
    </w:p>
    <w:p>
      <w:pPr>
        <w:spacing w:line="400" w:lineRule="exact"/>
        <w:rPr>
          <w:rFonts w:ascii="宋体" w:hAnsi="宋体" w:cs="宋体"/>
          <w:bCs/>
          <w:color w:val="auto"/>
          <w:sz w:val="22"/>
          <w:highlight w:val="none"/>
        </w:rPr>
      </w:pPr>
      <w:r>
        <w:rPr>
          <w:rFonts w:hint="eastAsia" w:ascii="宋体" w:hAnsi="宋体" w:cs="宋体"/>
          <w:color w:val="auto"/>
          <w:sz w:val="22"/>
          <w:highlight w:val="none"/>
        </w:rPr>
        <w:t>（5）</w:t>
      </w:r>
      <w:r>
        <w:rPr>
          <w:rFonts w:hint="eastAsia" w:ascii="宋体" w:hAnsi="宋体" w:cs="宋体"/>
          <w:color w:val="auto"/>
          <w:sz w:val="22"/>
          <w:highlight w:val="none"/>
          <w:u w:val="single"/>
        </w:rPr>
        <w:t>资格文件或商务技术文件中出现投标报价的</w:t>
      </w:r>
      <w:r>
        <w:rPr>
          <w:rFonts w:hint="eastAsia" w:ascii="宋体" w:hAnsi="宋体" w:cs="宋体"/>
          <w:color w:val="auto"/>
          <w:sz w:val="22"/>
          <w:highlight w:val="none"/>
        </w:rPr>
        <w:t>；</w:t>
      </w:r>
    </w:p>
    <w:p>
      <w:pPr>
        <w:spacing w:line="400" w:lineRule="exact"/>
        <w:rPr>
          <w:rFonts w:ascii="宋体" w:hAnsi="宋体" w:cs="宋体"/>
          <w:color w:val="auto"/>
          <w:sz w:val="22"/>
          <w:highlight w:val="none"/>
        </w:rPr>
      </w:pPr>
      <w:r>
        <w:rPr>
          <w:rFonts w:hint="eastAsia" w:ascii="宋体" w:hAnsi="宋体" w:cs="宋体"/>
          <w:bCs/>
          <w:color w:val="auto"/>
          <w:sz w:val="22"/>
          <w:highlight w:val="none"/>
        </w:rPr>
        <w:t>（6）</w:t>
      </w:r>
      <w:r>
        <w:rPr>
          <w:rFonts w:hint="eastAsia" w:ascii="宋体" w:hAnsi="宋体" w:cs="宋体"/>
          <w:bCs/>
          <w:color w:val="auto"/>
          <w:sz w:val="22"/>
          <w:highlight w:val="none"/>
          <w:u w:val="single"/>
        </w:rPr>
        <w:t>投标文件</w:t>
      </w:r>
      <w:r>
        <w:rPr>
          <w:rFonts w:hint="eastAsia" w:ascii="宋体" w:hAnsi="宋体" w:cs="宋体"/>
          <w:color w:val="auto"/>
          <w:sz w:val="22"/>
          <w:highlight w:val="none"/>
          <w:u w:val="single"/>
        </w:rPr>
        <w:t>内容不全或关键字迹模糊无法辨认或未做好节点关联导致关键内容缺失的</w:t>
      </w:r>
      <w:r>
        <w:rPr>
          <w:rFonts w:hint="eastAsia" w:ascii="宋体" w:hAnsi="宋体" w:cs="宋体"/>
          <w:color w:val="auto"/>
          <w:sz w:val="22"/>
          <w:highlight w:val="none"/>
        </w:rPr>
        <w:t>；</w:t>
      </w:r>
    </w:p>
    <w:p>
      <w:pPr>
        <w:spacing w:line="400" w:lineRule="exact"/>
        <w:rPr>
          <w:rFonts w:ascii="宋体" w:hAnsi="宋体" w:cs="宋体"/>
          <w:color w:val="auto"/>
          <w:sz w:val="22"/>
          <w:highlight w:val="none"/>
          <w:u w:val="single"/>
        </w:rPr>
      </w:pPr>
      <w:r>
        <w:rPr>
          <w:rFonts w:hint="eastAsia" w:ascii="宋体" w:hAnsi="宋体" w:cs="宋体"/>
          <w:color w:val="auto"/>
          <w:sz w:val="22"/>
          <w:highlight w:val="none"/>
        </w:rPr>
        <w:t>（7）</w:t>
      </w:r>
      <w:r>
        <w:rPr>
          <w:rFonts w:hint="eastAsia" w:ascii="宋体" w:hAnsi="宋体" w:cs="宋体"/>
          <w:color w:val="auto"/>
          <w:sz w:val="22"/>
          <w:highlight w:val="none"/>
          <w:u w:val="single"/>
        </w:rPr>
        <w:t>仅提交备份投标文件的；</w:t>
      </w:r>
    </w:p>
    <w:p>
      <w:pPr>
        <w:spacing w:line="400" w:lineRule="exact"/>
        <w:rPr>
          <w:rFonts w:ascii="宋体" w:hAnsi="宋体" w:cs="宋体"/>
          <w:color w:val="auto"/>
          <w:sz w:val="22"/>
          <w:highlight w:val="none"/>
        </w:rPr>
      </w:pPr>
      <w:r>
        <w:rPr>
          <w:rFonts w:hint="eastAsia" w:ascii="宋体" w:hAnsi="宋体" w:cs="宋体"/>
          <w:bCs/>
          <w:color w:val="auto"/>
          <w:sz w:val="22"/>
          <w:highlight w:val="none"/>
        </w:rPr>
        <w:t>（8）</w:t>
      </w:r>
      <w:r>
        <w:rPr>
          <w:rFonts w:hint="eastAsia" w:ascii="宋体" w:hAnsi="宋体" w:cs="宋体"/>
          <w:color w:val="auto"/>
          <w:sz w:val="22"/>
          <w:highlight w:val="none"/>
          <w:u w:val="single"/>
        </w:rPr>
        <w:t>法律、法规和招标文件中规定的其它无效情形</w:t>
      </w:r>
      <w:r>
        <w:rPr>
          <w:rFonts w:hint="eastAsia" w:ascii="宋体" w:hAnsi="宋体" w:cs="宋体"/>
          <w:color w:val="auto"/>
          <w:sz w:val="22"/>
          <w:highlight w:val="none"/>
        </w:rPr>
        <w:t>。</w:t>
      </w:r>
    </w:p>
    <w:p>
      <w:pPr>
        <w:tabs>
          <w:tab w:val="left" w:pos="1365"/>
        </w:tabs>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8.   评标过程中遇到特殊情况，由评标委员会遵循公开、公正原则，采取投票方式按照少数服从多数原则决定。</w:t>
      </w:r>
    </w:p>
    <w:p>
      <w:pPr>
        <w:tabs>
          <w:tab w:val="left" w:pos="1365"/>
        </w:tabs>
        <w:spacing w:line="400" w:lineRule="exact"/>
        <w:ind w:left="440" w:hanging="440" w:hangingChars="200"/>
        <w:rPr>
          <w:rFonts w:ascii="宋体" w:hAnsi="宋体" w:cs="宋体"/>
          <w:color w:val="auto"/>
          <w:sz w:val="22"/>
          <w:highlight w:val="none"/>
        </w:rPr>
      </w:pPr>
      <w:r>
        <w:rPr>
          <w:rFonts w:ascii="宋体" w:hAnsi="宋体" w:cs="宋体"/>
          <w:color w:val="auto"/>
          <w:sz w:val="22"/>
          <w:highlight w:val="none"/>
        </w:rPr>
        <w:t>9</w:t>
      </w:r>
      <w:r>
        <w:rPr>
          <w:rFonts w:hint="eastAsia" w:ascii="宋体" w:hAnsi="宋体" w:cs="宋体"/>
          <w:color w:val="auto"/>
          <w:sz w:val="22"/>
          <w:highlight w:val="none"/>
        </w:rPr>
        <w:t>.</w:t>
      </w:r>
      <w:r>
        <w:rPr>
          <w:rFonts w:ascii="宋体" w:hAnsi="宋体" w:cs="宋体"/>
          <w:color w:val="auto"/>
          <w:sz w:val="22"/>
          <w:highlight w:val="none"/>
        </w:rPr>
        <w:t xml:space="preserve">   </w:t>
      </w:r>
      <w:r>
        <w:rPr>
          <w:rFonts w:hint="eastAsia" w:ascii="宋体" w:hAnsi="宋体" w:cs="宋体"/>
          <w:color w:val="auto"/>
          <w:sz w:val="22"/>
          <w:highlight w:val="none"/>
        </w:rPr>
        <w:t>优化评审管理</w:t>
      </w:r>
    </w:p>
    <w:p>
      <w:pPr>
        <w:tabs>
          <w:tab w:val="left" w:pos="1365"/>
        </w:tabs>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 xml:space="preserve"> </w:t>
      </w:r>
      <w:r>
        <w:rPr>
          <w:rFonts w:ascii="宋体" w:hAnsi="宋体" w:cs="宋体"/>
          <w:color w:val="auto"/>
          <w:sz w:val="22"/>
          <w:highlight w:val="none"/>
        </w:rPr>
        <w:t xml:space="preserve">    </w:t>
      </w:r>
      <w:r>
        <w:rPr>
          <w:rFonts w:hint="eastAsia" w:ascii="宋体" w:hAnsi="宋体" w:cs="宋体"/>
          <w:color w:val="auto"/>
          <w:sz w:val="22"/>
          <w:highlight w:val="none"/>
        </w:rPr>
        <w:t>根据浙财采监〔2022〕</w:t>
      </w:r>
      <w:r>
        <w:rPr>
          <w:rFonts w:ascii="宋体" w:hAnsi="宋体" w:cs="宋体"/>
          <w:color w:val="auto"/>
          <w:sz w:val="22"/>
          <w:highlight w:val="none"/>
        </w:rPr>
        <w:t>8</w:t>
      </w:r>
      <w:r>
        <w:rPr>
          <w:rFonts w:hint="eastAsia" w:ascii="宋体" w:hAnsi="宋体" w:cs="宋体"/>
          <w:color w:val="auto"/>
          <w:sz w:val="22"/>
          <w:highlight w:val="none"/>
        </w:rPr>
        <w:t>号文相关的规定，</w:t>
      </w:r>
      <w:r>
        <w:rPr>
          <w:rFonts w:ascii="宋体" w:hAnsi="宋体" w:cs="宋体"/>
          <w:color w:val="auto"/>
          <w:sz w:val="22"/>
          <w:highlight w:val="none"/>
        </w:rPr>
        <w:t>评审小组成员个人主观打分偏离所有评审小组成员主观打分平均值30%以上的，由评审委员会启动评分畸高、畸低行为认定程序。</w:t>
      </w:r>
    </w:p>
    <w:p>
      <w:pPr>
        <w:tabs>
          <w:tab w:val="left" w:pos="1365"/>
        </w:tabs>
        <w:spacing w:line="400" w:lineRule="exact"/>
        <w:ind w:left="440" w:hanging="440" w:hangingChars="200"/>
        <w:rPr>
          <w:rFonts w:hint="eastAsia" w:ascii="宋体" w:hAnsi="宋体" w:cs="宋体"/>
          <w:color w:val="auto"/>
          <w:sz w:val="22"/>
          <w:highlight w:val="none"/>
        </w:rPr>
      </w:pPr>
      <w:r>
        <w:rPr>
          <w:rFonts w:ascii="宋体" w:hAnsi="宋体" w:cs="宋体"/>
          <w:color w:val="auto"/>
          <w:sz w:val="22"/>
          <w:highlight w:val="none"/>
        </w:rPr>
        <w:t>10.</w:t>
      </w:r>
      <w:r>
        <w:rPr>
          <w:rFonts w:hint="eastAsia" w:ascii="宋体" w:hAnsi="宋体" w:cs="宋体"/>
          <w:color w:val="auto"/>
          <w:sz w:val="22"/>
          <w:highlight w:val="none"/>
        </w:rPr>
        <w:t xml:space="preserve">  推荐</w:t>
      </w:r>
      <w:r>
        <w:rPr>
          <w:rFonts w:hint="eastAsia" w:ascii="宋体" w:hAnsi="宋体" w:cs="宋体"/>
          <w:color w:val="auto"/>
          <w:sz w:val="22"/>
          <w:highlight w:val="none"/>
          <w:lang w:eastAsia="zh-CN"/>
        </w:rPr>
        <w:t>中标候选供应商</w:t>
      </w:r>
    </w:p>
    <w:p>
      <w:pPr>
        <w:tabs>
          <w:tab w:val="left" w:pos="1365"/>
        </w:tabs>
        <w:spacing w:line="400" w:lineRule="exact"/>
        <w:ind w:left="440" w:hanging="440" w:hangingChars="200"/>
        <w:rPr>
          <w:rFonts w:ascii="宋体" w:hAnsi="宋体" w:cs="宋体"/>
          <w:color w:val="auto"/>
          <w:sz w:val="22"/>
          <w:highlight w:val="none"/>
        </w:rPr>
      </w:pPr>
      <w:r>
        <w:rPr>
          <w:rFonts w:ascii="宋体" w:hAnsi="宋体" w:cs="宋体"/>
          <w:color w:val="auto"/>
          <w:sz w:val="22"/>
          <w:highlight w:val="none"/>
        </w:rPr>
        <w:t>10</w:t>
      </w:r>
      <w:r>
        <w:rPr>
          <w:rFonts w:hint="eastAsia" w:ascii="宋体" w:hAnsi="宋体" w:cs="宋体"/>
          <w:color w:val="auto"/>
          <w:sz w:val="22"/>
          <w:highlight w:val="none"/>
        </w:rPr>
        <w:t>.1 本次招标由评标委员会推荐2名</w:t>
      </w:r>
      <w:r>
        <w:rPr>
          <w:rFonts w:hint="eastAsia" w:ascii="宋体" w:hAnsi="宋体" w:cs="宋体"/>
          <w:color w:val="auto"/>
          <w:sz w:val="22"/>
          <w:highlight w:val="none"/>
          <w:lang w:eastAsia="zh-CN"/>
        </w:rPr>
        <w:t>中标候选供应商</w:t>
      </w:r>
      <w:r>
        <w:rPr>
          <w:rFonts w:hint="eastAsia" w:ascii="宋体" w:hAnsi="宋体" w:cs="宋体"/>
          <w:color w:val="auto"/>
          <w:sz w:val="22"/>
          <w:highlight w:val="none"/>
        </w:rPr>
        <w:t>。</w:t>
      </w:r>
    </w:p>
    <w:p>
      <w:pPr>
        <w:tabs>
          <w:tab w:val="left" w:pos="1365"/>
        </w:tabs>
        <w:spacing w:line="400" w:lineRule="exact"/>
        <w:ind w:left="550" w:hanging="550" w:hangingChars="250"/>
        <w:rPr>
          <w:rFonts w:ascii="宋体" w:hAnsi="宋体" w:cs="宋体"/>
          <w:color w:val="auto"/>
          <w:sz w:val="22"/>
          <w:highlight w:val="none"/>
        </w:rPr>
      </w:pPr>
      <w:r>
        <w:rPr>
          <w:rFonts w:ascii="宋体" w:hAnsi="宋体" w:cs="宋体"/>
          <w:color w:val="auto"/>
          <w:sz w:val="22"/>
          <w:highlight w:val="none"/>
        </w:rPr>
        <w:t>10</w:t>
      </w:r>
      <w:r>
        <w:rPr>
          <w:rFonts w:hint="eastAsia" w:ascii="宋体" w:hAnsi="宋体" w:cs="宋体"/>
          <w:color w:val="auto"/>
          <w:sz w:val="22"/>
          <w:highlight w:val="none"/>
        </w:rPr>
        <w:t>.2 评标委员会依据投标文件满足招标文件全部实质性要求，且按照评审因素的量化指标评审得分（即商务技术分与价格分之和）由高到低顺序排序，各标项得分前二名的投标供应商推荐为该标项的第一和第二</w:t>
      </w:r>
      <w:r>
        <w:rPr>
          <w:rFonts w:hint="eastAsia" w:ascii="宋体" w:hAnsi="宋体" w:cs="宋体"/>
          <w:color w:val="auto"/>
          <w:sz w:val="22"/>
          <w:highlight w:val="none"/>
          <w:lang w:eastAsia="zh-CN"/>
        </w:rPr>
        <w:t>中标候选供应商</w:t>
      </w:r>
      <w:r>
        <w:rPr>
          <w:rFonts w:hint="eastAsia" w:ascii="宋体" w:hAnsi="宋体" w:cs="宋体"/>
          <w:color w:val="auto"/>
          <w:sz w:val="22"/>
          <w:highlight w:val="none"/>
        </w:rPr>
        <w:t>（得分相同的，按投标报价由低到高排序；得分且投标报价相同的并列）。</w:t>
      </w:r>
    </w:p>
    <w:p>
      <w:pPr>
        <w:widowControl/>
        <w:spacing w:line="400" w:lineRule="exact"/>
        <w:ind w:left="550" w:hanging="550" w:hangingChars="250"/>
        <w:jc w:val="left"/>
        <w:rPr>
          <w:rFonts w:ascii="宋体" w:hAnsi="宋体" w:cs="宋体"/>
          <w:color w:val="auto"/>
          <w:sz w:val="22"/>
          <w:highlight w:val="none"/>
        </w:rPr>
      </w:pPr>
      <w:r>
        <w:rPr>
          <w:rFonts w:ascii="宋体" w:hAnsi="宋体" w:cs="宋体"/>
          <w:color w:val="auto"/>
          <w:sz w:val="22"/>
          <w:highlight w:val="none"/>
        </w:rPr>
        <w:t>10</w:t>
      </w:r>
      <w:r>
        <w:rPr>
          <w:rFonts w:hint="eastAsia" w:ascii="宋体" w:hAnsi="宋体" w:cs="宋体"/>
          <w:color w:val="auto"/>
          <w:sz w:val="22"/>
          <w:highlight w:val="none"/>
        </w:rPr>
        <w:t>.3 排名第一的</w:t>
      </w:r>
      <w:r>
        <w:rPr>
          <w:rFonts w:hint="eastAsia" w:ascii="宋体" w:hAnsi="宋体" w:cs="宋体"/>
          <w:color w:val="auto"/>
          <w:sz w:val="22"/>
          <w:highlight w:val="none"/>
          <w:lang w:eastAsia="zh-CN"/>
        </w:rPr>
        <w:t>中标候选供应商</w:t>
      </w:r>
      <w:r>
        <w:rPr>
          <w:rFonts w:hint="eastAsia" w:ascii="宋体" w:hAnsi="宋体" w:cs="宋体"/>
          <w:color w:val="auto"/>
          <w:sz w:val="22"/>
          <w:highlight w:val="none"/>
        </w:rPr>
        <w:t>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w:t>
      </w:r>
      <w:r>
        <w:rPr>
          <w:rFonts w:hint="eastAsia" w:ascii="宋体" w:hAnsi="宋体" w:cs="宋体"/>
          <w:color w:val="auto"/>
          <w:sz w:val="22"/>
          <w:highlight w:val="none"/>
          <w:lang w:eastAsia="zh-CN"/>
        </w:rPr>
        <w:t>中标候选供应商</w:t>
      </w:r>
      <w:r>
        <w:rPr>
          <w:rFonts w:hint="eastAsia" w:ascii="宋体" w:hAnsi="宋体" w:cs="宋体"/>
          <w:color w:val="auto"/>
          <w:sz w:val="22"/>
          <w:highlight w:val="none"/>
        </w:rPr>
        <w:t>为中标供应商，也可重新组织采购。</w:t>
      </w:r>
    </w:p>
    <w:p>
      <w:pPr>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1</w:t>
      </w:r>
      <w:r>
        <w:rPr>
          <w:rFonts w:ascii="宋体" w:hAnsi="宋体" w:cs="宋体"/>
          <w:color w:val="auto"/>
          <w:sz w:val="22"/>
          <w:highlight w:val="none"/>
        </w:rPr>
        <w:t>1</w:t>
      </w:r>
      <w:r>
        <w:rPr>
          <w:rFonts w:hint="eastAsia" w:ascii="宋体" w:hAnsi="宋体" w:cs="宋体"/>
          <w:color w:val="auto"/>
          <w:sz w:val="22"/>
          <w:highlight w:val="none"/>
        </w:rPr>
        <w:t>.  投标截止时间止及评审期间，如出现有效投标供应商＜3家时，该项目废标，并重新组织采购。</w:t>
      </w:r>
    </w:p>
    <w:p>
      <w:pPr>
        <w:spacing w:line="400" w:lineRule="exact"/>
        <w:rPr>
          <w:rFonts w:ascii="宋体" w:hAnsi="宋体" w:cs="宋体"/>
          <w:b/>
          <w:color w:val="auto"/>
          <w:sz w:val="22"/>
          <w:highlight w:val="none"/>
        </w:rPr>
      </w:pPr>
      <w:r>
        <w:rPr>
          <w:rFonts w:hint="eastAsia" w:ascii="宋体" w:hAnsi="宋体" w:cs="宋体"/>
          <w:b/>
          <w:color w:val="auto"/>
          <w:sz w:val="22"/>
          <w:highlight w:val="none"/>
        </w:rPr>
        <w:t>1</w:t>
      </w:r>
      <w:r>
        <w:rPr>
          <w:rFonts w:ascii="宋体" w:hAnsi="宋体" w:cs="宋体"/>
          <w:b/>
          <w:color w:val="auto"/>
          <w:sz w:val="22"/>
          <w:highlight w:val="none"/>
        </w:rPr>
        <w:t>2</w:t>
      </w:r>
      <w:r>
        <w:rPr>
          <w:rFonts w:hint="eastAsia" w:ascii="宋体" w:hAnsi="宋体" w:cs="宋体"/>
          <w:b/>
          <w:color w:val="auto"/>
          <w:sz w:val="22"/>
          <w:highlight w:val="none"/>
        </w:rPr>
        <w:t>.  评标细则详见第六部分“评标原则及方法”。</w:t>
      </w:r>
    </w:p>
    <w:p>
      <w:pPr>
        <w:snapToGrid w:val="0"/>
        <w:spacing w:line="400" w:lineRule="exact"/>
        <w:rPr>
          <w:rFonts w:ascii="宋体" w:hAnsi="宋体" w:cs="宋体"/>
          <w:color w:val="auto"/>
          <w:highlight w:val="none"/>
        </w:rPr>
      </w:pPr>
      <w:r>
        <w:rPr>
          <w:rFonts w:hint="eastAsia" w:ascii="宋体" w:hAnsi="宋体" w:cs="宋体"/>
          <w:b/>
          <w:color w:val="auto"/>
          <w:sz w:val="22"/>
          <w:highlight w:val="none"/>
        </w:rPr>
        <w:t>1</w:t>
      </w:r>
      <w:r>
        <w:rPr>
          <w:rFonts w:ascii="宋体" w:hAnsi="宋体" w:cs="宋体"/>
          <w:b/>
          <w:color w:val="auto"/>
          <w:sz w:val="22"/>
          <w:highlight w:val="none"/>
        </w:rPr>
        <w:t>3</w:t>
      </w:r>
      <w:r>
        <w:rPr>
          <w:rFonts w:hint="eastAsia" w:ascii="宋体" w:hAnsi="宋体" w:cs="宋体"/>
          <w:b/>
          <w:color w:val="auto"/>
          <w:sz w:val="22"/>
          <w:highlight w:val="none"/>
        </w:rPr>
        <w:t>.  未尽事宜遵循相关法律法规及规范性文件执行。</w:t>
      </w:r>
    </w:p>
    <w:p>
      <w:pPr>
        <w:pStyle w:val="3"/>
        <w:numPr>
          <w:ilvl w:val="0"/>
          <w:numId w:val="0"/>
        </w:numPr>
        <w:spacing w:before="240" w:beforeLines="100" w:line="360" w:lineRule="auto"/>
        <w:jc w:val="center"/>
        <w:rPr>
          <w:color w:val="auto"/>
          <w:sz w:val="24"/>
          <w:highlight w:val="none"/>
        </w:rPr>
      </w:pPr>
      <w:bookmarkStart w:id="10" w:name="_Toc13795"/>
      <w:r>
        <w:rPr>
          <w:rFonts w:hint="eastAsia"/>
          <w:color w:val="auto"/>
          <w:sz w:val="24"/>
          <w:highlight w:val="none"/>
        </w:rPr>
        <w:t>六、 授予合同</w:t>
      </w:r>
      <w:bookmarkEnd w:id="10"/>
    </w:p>
    <w:p>
      <w:pPr>
        <w:tabs>
          <w:tab w:val="left" w:pos="1365"/>
        </w:tabs>
        <w:spacing w:line="400" w:lineRule="exact"/>
        <w:ind w:left="552" w:hanging="552" w:hangingChars="250"/>
        <w:rPr>
          <w:rFonts w:ascii="宋体" w:hAnsi="宋体" w:cs="宋体"/>
          <w:b/>
          <w:color w:val="auto"/>
          <w:sz w:val="22"/>
          <w:highlight w:val="none"/>
        </w:rPr>
      </w:pPr>
      <w:r>
        <w:rPr>
          <w:rFonts w:hint="eastAsia" w:ascii="宋体" w:hAnsi="宋体" w:cs="宋体"/>
          <w:b/>
          <w:color w:val="auto"/>
          <w:sz w:val="22"/>
          <w:highlight w:val="none"/>
        </w:rPr>
        <w:t>1.   确定中标供应商</w:t>
      </w:r>
    </w:p>
    <w:p>
      <w:pPr>
        <w:tabs>
          <w:tab w:val="left" w:pos="1365"/>
        </w:tabs>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1.1  采购代理机构应当在评标结束后2个工作日内将评标报告送采购人。</w:t>
      </w:r>
    </w:p>
    <w:p>
      <w:pPr>
        <w:tabs>
          <w:tab w:val="left" w:pos="1365"/>
        </w:tabs>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1.2  采购人应当自收到评标报告之日起5个工作日内，在评标报告确定的</w:t>
      </w:r>
      <w:r>
        <w:rPr>
          <w:rFonts w:hint="eastAsia" w:ascii="宋体" w:hAnsi="宋体" w:cs="宋体"/>
          <w:color w:val="auto"/>
          <w:sz w:val="22"/>
          <w:highlight w:val="none"/>
          <w:lang w:eastAsia="zh-CN"/>
        </w:rPr>
        <w:t>中标候选供应商</w:t>
      </w:r>
      <w:r>
        <w:rPr>
          <w:rFonts w:hint="eastAsia" w:ascii="宋体" w:hAnsi="宋体" w:cs="宋体"/>
          <w:color w:val="auto"/>
          <w:sz w:val="22"/>
          <w:highlight w:val="none"/>
        </w:rPr>
        <w:t>名单中按顺序确定中标供应商。</w:t>
      </w:r>
      <w:r>
        <w:rPr>
          <w:rFonts w:hint="eastAsia" w:ascii="宋体" w:hAnsi="宋体" w:cs="宋体"/>
          <w:color w:val="auto"/>
          <w:sz w:val="22"/>
          <w:highlight w:val="none"/>
          <w:lang w:eastAsia="zh-CN"/>
        </w:rPr>
        <w:t>中标候选供应商</w:t>
      </w:r>
      <w:r>
        <w:rPr>
          <w:rFonts w:hint="eastAsia" w:ascii="宋体" w:hAnsi="宋体" w:cs="宋体"/>
          <w:color w:val="auto"/>
          <w:sz w:val="22"/>
          <w:highlight w:val="none"/>
        </w:rPr>
        <w:t>并列的，由采购人采取随机抽取的方式确定。</w:t>
      </w:r>
    </w:p>
    <w:p>
      <w:pPr>
        <w:tabs>
          <w:tab w:val="left" w:pos="1365"/>
        </w:tabs>
        <w:spacing w:line="400" w:lineRule="exact"/>
        <w:ind w:left="550" w:hanging="550" w:hangingChars="250"/>
        <w:rPr>
          <w:rFonts w:ascii="宋体" w:hAnsi="宋体" w:cs="宋体"/>
          <w:color w:val="auto"/>
          <w:sz w:val="22"/>
          <w:highlight w:val="none"/>
        </w:rPr>
      </w:pPr>
      <w:r>
        <w:rPr>
          <w:rFonts w:hint="eastAsia" w:ascii="宋体" w:hAnsi="宋体" w:cs="宋体"/>
          <w:color w:val="auto"/>
          <w:sz w:val="22"/>
          <w:highlight w:val="none"/>
        </w:rPr>
        <w:t>1.3  采购人在收到评标报告5个工作日内未按评标报告推荐的</w:t>
      </w:r>
      <w:r>
        <w:rPr>
          <w:rFonts w:hint="eastAsia" w:ascii="宋体" w:hAnsi="宋体" w:cs="宋体"/>
          <w:color w:val="auto"/>
          <w:sz w:val="22"/>
          <w:highlight w:val="none"/>
          <w:lang w:eastAsia="zh-CN"/>
        </w:rPr>
        <w:t>中标候选供应商</w:t>
      </w:r>
      <w:r>
        <w:rPr>
          <w:rFonts w:hint="eastAsia" w:ascii="宋体" w:hAnsi="宋体" w:cs="宋体"/>
          <w:color w:val="auto"/>
          <w:sz w:val="22"/>
          <w:highlight w:val="none"/>
        </w:rPr>
        <w:t>顺序确定中标供应商，又不能说明合法理由的，视同按评标报告推荐的顺序确定排名第一的</w:t>
      </w:r>
      <w:r>
        <w:rPr>
          <w:rFonts w:hint="eastAsia" w:ascii="宋体" w:hAnsi="宋体" w:cs="宋体"/>
          <w:color w:val="auto"/>
          <w:sz w:val="22"/>
          <w:highlight w:val="none"/>
          <w:lang w:eastAsia="zh-CN"/>
        </w:rPr>
        <w:t>中标候选供应商</w:t>
      </w:r>
      <w:r>
        <w:rPr>
          <w:rFonts w:hint="eastAsia" w:ascii="宋体" w:hAnsi="宋体" w:cs="宋体"/>
          <w:color w:val="auto"/>
          <w:sz w:val="22"/>
          <w:highlight w:val="none"/>
        </w:rPr>
        <w:t>为中标供应商。</w:t>
      </w:r>
    </w:p>
    <w:p>
      <w:pPr>
        <w:spacing w:line="400" w:lineRule="exact"/>
        <w:rPr>
          <w:rFonts w:ascii="宋体" w:hAnsi="宋体" w:cs="宋体"/>
          <w:b/>
          <w:bCs/>
          <w:color w:val="auto"/>
          <w:sz w:val="22"/>
          <w:highlight w:val="none"/>
        </w:rPr>
      </w:pPr>
      <w:r>
        <w:rPr>
          <w:rFonts w:hint="eastAsia" w:ascii="宋体" w:hAnsi="宋体" w:cs="宋体"/>
          <w:bCs/>
          <w:color w:val="auto"/>
          <w:sz w:val="22"/>
          <w:highlight w:val="none"/>
        </w:rPr>
        <w:t xml:space="preserve">2.   </w:t>
      </w:r>
      <w:r>
        <w:rPr>
          <w:rFonts w:hint="eastAsia" w:ascii="宋体" w:hAnsi="宋体" w:cs="宋体"/>
          <w:b/>
          <w:bCs/>
          <w:color w:val="auto"/>
          <w:sz w:val="22"/>
          <w:highlight w:val="none"/>
        </w:rPr>
        <w:t>中标公告</w:t>
      </w:r>
    </w:p>
    <w:p>
      <w:pPr>
        <w:spacing w:line="400" w:lineRule="exact"/>
        <w:ind w:left="550" w:hanging="550" w:hangingChars="250"/>
        <w:rPr>
          <w:rFonts w:ascii="宋体" w:hAnsi="宋体" w:cs="宋体"/>
          <w:b/>
          <w:bCs/>
          <w:color w:val="auto"/>
          <w:sz w:val="22"/>
          <w:highlight w:val="none"/>
        </w:rPr>
      </w:pPr>
      <w:r>
        <w:rPr>
          <w:rFonts w:hint="eastAsia" w:ascii="宋体" w:hAnsi="宋体" w:cs="宋体"/>
          <w:bCs/>
          <w:color w:val="auto"/>
          <w:sz w:val="22"/>
          <w:highlight w:val="none"/>
        </w:rPr>
        <w:t>2.1  采购人或者采购代理机构应当自中标供应商确定之日起2个工作日内，在省级以上财政部门指定的媒体上公告中标结果，招标文件应当随中标结果同时公告。</w:t>
      </w:r>
    </w:p>
    <w:p>
      <w:pPr>
        <w:spacing w:line="400" w:lineRule="exact"/>
        <w:ind w:left="440" w:hanging="440" w:hangingChars="200"/>
        <w:rPr>
          <w:rFonts w:ascii="宋体" w:hAnsi="宋体" w:cs="宋体"/>
          <w:bCs/>
          <w:color w:val="auto"/>
          <w:sz w:val="22"/>
          <w:highlight w:val="none"/>
        </w:rPr>
      </w:pPr>
      <w:r>
        <w:rPr>
          <w:rFonts w:hint="eastAsia" w:ascii="宋体" w:hAnsi="宋体" w:cs="宋体"/>
          <w:bCs/>
          <w:color w:val="auto"/>
          <w:sz w:val="22"/>
          <w:highlight w:val="none"/>
        </w:rPr>
        <w:t xml:space="preserve">3.   </w:t>
      </w:r>
      <w:r>
        <w:rPr>
          <w:rFonts w:hint="eastAsia" w:ascii="宋体" w:hAnsi="宋体" w:cs="宋体"/>
          <w:b/>
          <w:bCs/>
          <w:color w:val="auto"/>
          <w:sz w:val="22"/>
          <w:highlight w:val="none"/>
        </w:rPr>
        <w:t>中标通知书</w:t>
      </w:r>
    </w:p>
    <w:p>
      <w:pPr>
        <w:spacing w:line="400" w:lineRule="exact"/>
        <w:ind w:left="440" w:hanging="440" w:hangingChars="200"/>
        <w:rPr>
          <w:rFonts w:ascii="宋体" w:hAnsi="宋体" w:cs="宋体"/>
          <w:bCs/>
          <w:color w:val="auto"/>
          <w:sz w:val="22"/>
          <w:highlight w:val="none"/>
        </w:rPr>
      </w:pPr>
      <w:r>
        <w:rPr>
          <w:rFonts w:hint="eastAsia" w:ascii="宋体" w:hAnsi="宋体" w:cs="宋体"/>
          <w:bCs/>
          <w:color w:val="auto"/>
          <w:sz w:val="22"/>
          <w:highlight w:val="none"/>
        </w:rPr>
        <w:t>3.1  在公告中标结果的同时</w:t>
      </w:r>
      <w:r>
        <w:rPr>
          <w:rFonts w:hint="eastAsia" w:ascii="宋体" w:hAnsi="宋体" w:cs="宋体"/>
          <w:color w:val="auto"/>
          <w:sz w:val="22"/>
          <w:highlight w:val="none"/>
        </w:rPr>
        <w:t>，采购人或采购代理机构向中标供应商发出中标通知书。</w:t>
      </w:r>
    </w:p>
    <w:p>
      <w:pPr>
        <w:spacing w:line="400" w:lineRule="exact"/>
        <w:ind w:left="440" w:hanging="440" w:hangingChars="200"/>
        <w:rPr>
          <w:rFonts w:ascii="宋体" w:hAnsi="宋体" w:cs="宋体"/>
          <w:bCs/>
          <w:color w:val="auto"/>
          <w:sz w:val="22"/>
          <w:highlight w:val="none"/>
        </w:rPr>
      </w:pPr>
      <w:r>
        <w:rPr>
          <w:rFonts w:hint="eastAsia" w:ascii="宋体" w:hAnsi="宋体" w:cs="宋体"/>
          <w:bCs/>
          <w:color w:val="auto"/>
          <w:sz w:val="22"/>
          <w:highlight w:val="none"/>
        </w:rPr>
        <w:t xml:space="preserve">3.2  </w:t>
      </w:r>
      <w:r>
        <w:rPr>
          <w:rFonts w:hint="eastAsia" w:ascii="宋体" w:hAnsi="宋体" w:cs="宋体"/>
          <w:color w:val="auto"/>
          <w:sz w:val="22"/>
          <w:highlight w:val="none"/>
        </w:rPr>
        <w:t>中标通知书是合同的一个组成部分,对采购人和中标供应商均具有同等法律效力。</w:t>
      </w:r>
    </w:p>
    <w:p>
      <w:pPr>
        <w:spacing w:line="400" w:lineRule="exact"/>
        <w:ind w:left="440" w:hanging="440" w:hangingChars="200"/>
        <w:rPr>
          <w:rFonts w:ascii="宋体" w:hAnsi="宋体" w:cs="宋体"/>
          <w:bCs/>
          <w:color w:val="auto"/>
          <w:sz w:val="22"/>
          <w:highlight w:val="none"/>
        </w:rPr>
      </w:pPr>
      <w:r>
        <w:rPr>
          <w:rFonts w:hint="eastAsia" w:ascii="宋体" w:hAnsi="宋体" w:cs="宋体"/>
          <w:bCs/>
          <w:color w:val="auto"/>
          <w:sz w:val="22"/>
          <w:highlight w:val="none"/>
        </w:rPr>
        <w:t xml:space="preserve">4.   </w:t>
      </w:r>
      <w:r>
        <w:rPr>
          <w:rFonts w:hint="eastAsia" w:ascii="宋体" w:hAnsi="宋体" w:cs="宋体"/>
          <w:b/>
          <w:bCs/>
          <w:color w:val="auto"/>
          <w:sz w:val="22"/>
          <w:highlight w:val="none"/>
        </w:rPr>
        <w:t>签订合同</w:t>
      </w:r>
    </w:p>
    <w:p>
      <w:pPr>
        <w:spacing w:line="400" w:lineRule="exact"/>
        <w:ind w:left="440" w:hanging="440" w:hangingChars="200"/>
        <w:rPr>
          <w:rFonts w:ascii="宋体" w:hAnsi="宋体" w:cs="宋体"/>
          <w:bCs/>
          <w:color w:val="auto"/>
          <w:sz w:val="22"/>
          <w:highlight w:val="none"/>
        </w:rPr>
      </w:pPr>
      <w:r>
        <w:rPr>
          <w:rFonts w:hint="eastAsia" w:ascii="宋体" w:hAnsi="宋体" w:cs="宋体"/>
          <w:bCs/>
          <w:color w:val="auto"/>
          <w:sz w:val="22"/>
          <w:highlight w:val="none"/>
        </w:rPr>
        <w:t>4.1  采购人应当自中标通知书发出之日起30日内，按照招标文件和中标供应商投标文件的规定，与中标供应商签订书面合同。所签订的合同不得对招标文件确定的事项和中标供应商投标文件作实质性修改。</w:t>
      </w:r>
    </w:p>
    <w:p>
      <w:pPr>
        <w:spacing w:line="400" w:lineRule="exact"/>
        <w:ind w:left="550" w:hanging="550" w:hangingChars="250"/>
        <w:rPr>
          <w:rFonts w:ascii="宋体" w:hAnsi="宋体" w:cs="宋体"/>
          <w:bCs/>
          <w:color w:val="auto"/>
          <w:sz w:val="22"/>
          <w:highlight w:val="none"/>
        </w:rPr>
      </w:pPr>
      <w:r>
        <w:rPr>
          <w:rFonts w:hint="eastAsia" w:ascii="宋体" w:hAnsi="宋体" w:cs="宋体"/>
          <w:color w:val="auto"/>
          <w:sz w:val="22"/>
          <w:highlight w:val="none"/>
        </w:rPr>
        <w:t xml:space="preserve">4.2  </w:t>
      </w:r>
      <w:r>
        <w:rPr>
          <w:rFonts w:hint="eastAsia" w:ascii="宋体" w:hAnsi="宋体" w:cs="宋体"/>
          <w:color w:val="auto"/>
          <w:spacing w:val="6"/>
          <w:sz w:val="22"/>
          <w:highlight w:val="none"/>
        </w:rPr>
        <w:t>在签订合同前，采购人有权在中标总价不变的前提下要求中标供应商对商务报价中的不平衡报价和缺漏项进行调整，如果中标供应商无合理理由拒绝调整，其中标资格将被取消，且将导致其它进一步的赔偿和处罚。</w:t>
      </w:r>
    </w:p>
    <w:p>
      <w:pPr>
        <w:spacing w:line="400" w:lineRule="exact"/>
        <w:ind w:left="440" w:hanging="440" w:hangingChars="200"/>
        <w:rPr>
          <w:rFonts w:ascii="宋体" w:hAnsi="宋体" w:cs="宋体"/>
          <w:color w:val="auto"/>
          <w:sz w:val="22"/>
          <w:highlight w:val="none"/>
        </w:rPr>
      </w:pPr>
      <w:r>
        <w:rPr>
          <w:rFonts w:hint="eastAsia" w:ascii="宋体" w:hAnsi="宋体" w:cs="宋体"/>
          <w:color w:val="auto"/>
          <w:sz w:val="22"/>
          <w:highlight w:val="none"/>
        </w:rPr>
        <w:t>4.3  招标文件、中标供应商的投标文件、投标修改文件、评标过程中有关澄清文件及经投标供应商和评委双方签字的询标纪要和中标通知书均作为合同附件。</w:t>
      </w:r>
    </w:p>
    <w:p>
      <w:pPr>
        <w:spacing w:line="400" w:lineRule="exact"/>
        <w:ind w:left="440" w:hanging="440" w:hangingChars="200"/>
        <w:rPr>
          <w:rFonts w:ascii="宋体" w:hAnsi="宋体" w:cs="宋体"/>
          <w:bCs/>
          <w:color w:val="auto"/>
          <w:sz w:val="22"/>
          <w:highlight w:val="none"/>
        </w:rPr>
      </w:pPr>
      <w:r>
        <w:rPr>
          <w:rFonts w:hint="eastAsia" w:ascii="宋体" w:hAnsi="宋体" w:cs="宋体"/>
          <w:bCs/>
          <w:color w:val="auto"/>
          <w:sz w:val="22"/>
          <w:highlight w:val="none"/>
        </w:rPr>
        <w:t>4.4  采购人不得向中标供应商提出任何不合理的要求作为签订合同的条件。</w:t>
      </w:r>
    </w:p>
    <w:p>
      <w:pPr>
        <w:spacing w:line="400" w:lineRule="exact"/>
        <w:ind w:left="440" w:hanging="440" w:hangingChars="200"/>
        <w:rPr>
          <w:rFonts w:ascii="宋体" w:hAnsi="宋体" w:cs="宋体"/>
          <w:bCs/>
          <w:color w:val="auto"/>
          <w:sz w:val="22"/>
          <w:highlight w:val="none"/>
        </w:rPr>
      </w:pPr>
      <w:r>
        <w:rPr>
          <w:rFonts w:hint="eastAsia" w:ascii="宋体" w:hAnsi="宋体" w:cs="宋体"/>
          <w:color w:val="auto"/>
          <w:sz w:val="22"/>
          <w:highlight w:val="none"/>
        </w:rPr>
        <w:t>4.5  拒签合同的违约责任</w:t>
      </w:r>
    </w:p>
    <w:p>
      <w:pPr>
        <w:spacing w:line="400" w:lineRule="exact"/>
        <w:ind w:left="565" w:leftChars="269"/>
        <w:rPr>
          <w:rFonts w:ascii="宋体" w:hAnsi="宋体" w:cs="宋体"/>
          <w:color w:val="auto"/>
          <w:spacing w:val="6"/>
          <w:sz w:val="22"/>
          <w:highlight w:val="none"/>
        </w:rPr>
      </w:pPr>
      <w:r>
        <w:rPr>
          <w:rFonts w:hint="eastAsia" w:ascii="宋体" w:hAnsi="宋体" w:cs="宋体"/>
          <w:color w:val="auto"/>
          <w:spacing w:val="6"/>
          <w:sz w:val="22"/>
          <w:highlight w:val="none"/>
        </w:rPr>
        <w:t>中标供应商接到中标通知书后，在规定时间内借故否认已经承诺的条件而拒签合同的，以违约处理。</w:t>
      </w:r>
    </w:p>
    <w:p>
      <w:pPr>
        <w:spacing w:line="400" w:lineRule="exact"/>
        <w:ind w:left="571" w:hanging="571" w:hangingChars="245"/>
        <w:rPr>
          <w:rFonts w:ascii="宋体" w:hAnsi="宋体" w:cs="宋体"/>
          <w:b/>
          <w:color w:val="auto"/>
          <w:spacing w:val="6"/>
          <w:sz w:val="22"/>
          <w:highlight w:val="none"/>
          <w:shd w:val="pct10" w:color="auto" w:fill="FFFFFF"/>
        </w:rPr>
      </w:pPr>
      <w:r>
        <w:rPr>
          <w:rFonts w:hint="eastAsia" w:ascii="宋体" w:hAnsi="宋体" w:cs="宋体"/>
          <w:b/>
          <w:color w:val="auto"/>
          <w:spacing w:val="6"/>
          <w:sz w:val="22"/>
          <w:highlight w:val="none"/>
        </w:rPr>
        <w:t>4.6  合同一式伍份，其中采购人贰份，中标供应商贰份，采购代理机构壹份。中标供应商在采购合同签订后应及时提交壹份交采购代理机构备案。</w:t>
      </w:r>
    </w:p>
    <w:p>
      <w:pPr>
        <w:spacing w:line="400" w:lineRule="exact"/>
        <w:rPr>
          <w:rFonts w:ascii="宋体" w:hAnsi="宋体" w:cs="宋体"/>
          <w:b/>
          <w:color w:val="auto"/>
          <w:spacing w:val="6"/>
          <w:sz w:val="22"/>
          <w:highlight w:val="none"/>
        </w:rPr>
      </w:pPr>
      <w:r>
        <w:rPr>
          <w:rFonts w:hint="eastAsia" w:ascii="宋体" w:hAnsi="宋体" w:cs="宋体"/>
          <w:color w:val="auto"/>
          <w:spacing w:val="6"/>
          <w:sz w:val="22"/>
          <w:highlight w:val="none"/>
        </w:rPr>
        <w:t xml:space="preserve">5.   </w:t>
      </w:r>
      <w:r>
        <w:rPr>
          <w:rFonts w:hint="eastAsia" w:ascii="宋体" w:hAnsi="宋体" w:cs="宋体"/>
          <w:b/>
          <w:color w:val="auto"/>
          <w:spacing w:val="6"/>
          <w:sz w:val="22"/>
          <w:highlight w:val="none"/>
          <w:u w:val="single"/>
        </w:rPr>
        <w:t>履约保证金</w:t>
      </w:r>
    </w:p>
    <w:p>
      <w:pPr>
        <w:spacing w:line="400" w:lineRule="exact"/>
        <w:ind w:left="580" w:hanging="580" w:hangingChars="250"/>
        <w:rPr>
          <w:rFonts w:ascii="宋体" w:hAnsi="宋体" w:cs="宋体"/>
          <w:color w:val="auto"/>
          <w:spacing w:val="6"/>
          <w:sz w:val="22"/>
          <w:highlight w:val="none"/>
        </w:rPr>
      </w:pPr>
      <w:r>
        <w:rPr>
          <w:rFonts w:hint="eastAsia" w:ascii="宋体" w:hAnsi="宋体" w:cs="宋体"/>
          <w:color w:val="auto"/>
          <w:spacing w:val="6"/>
          <w:sz w:val="22"/>
          <w:highlight w:val="none"/>
        </w:rPr>
        <w:t>5.1  中标供应商签订合同后7个工作日内向采购人提交合同金额的1%为履约保证金，履约保证金的形式可以为银行转账或保函（金融机构、担保机构出具）。</w:t>
      </w:r>
    </w:p>
    <w:p>
      <w:pPr>
        <w:spacing w:line="400" w:lineRule="exact"/>
        <w:ind w:left="464" w:hanging="464" w:hangingChars="200"/>
        <w:rPr>
          <w:rFonts w:ascii="宋体" w:hAnsi="宋体" w:cs="宋体"/>
          <w:color w:val="auto"/>
          <w:spacing w:val="6"/>
          <w:sz w:val="22"/>
          <w:highlight w:val="none"/>
        </w:rPr>
      </w:pPr>
      <w:r>
        <w:rPr>
          <w:rFonts w:hint="eastAsia" w:ascii="宋体" w:hAnsi="宋体" w:cs="宋体"/>
          <w:color w:val="auto"/>
          <w:spacing w:val="6"/>
          <w:sz w:val="22"/>
          <w:highlight w:val="none"/>
        </w:rPr>
        <w:t>5.2  履约保证金用于补偿采购人因中标供应商不能完成其合同义务而蒙受的损失。</w:t>
      </w:r>
    </w:p>
    <w:p>
      <w:pPr>
        <w:spacing w:line="400" w:lineRule="exact"/>
        <w:ind w:left="580" w:hanging="580" w:hangingChars="250"/>
        <w:rPr>
          <w:rFonts w:ascii="宋体" w:hAnsi="宋体" w:cs="宋体"/>
          <w:color w:val="auto"/>
          <w:spacing w:val="6"/>
          <w:sz w:val="22"/>
          <w:highlight w:val="none"/>
        </w:rPr>
      </w:pPr>
      <w:r>
        <w:rPr>
          <w:rFonts w:hint="eastAsia" w:ascii="宋体" w:hAnsi="宋体" w:cs="宋体"/>
          <w:color w:val="auto"/>
          <w:spacing w:val="6"/>
          <w:sz w:val="22"/>
          <w:highlight w:val="none"/>
        </w:rPr>
        <w:t xml:space="preserve">5.3  </w:t>
      </w:r>
      <w:r>
        <w:rPr>
          <w:rFonts w:hint="eastAsia" w:ascii="宋体" w:hAnsi="宋体" w:cs="宋体"/>
          <w:color w:val="auto"/>
          <w:sz w:val="22"/>
          <w:highlight w:val="none"/>
        </w:rPr>
        <w:t>履约保证金自合同签订之日起至项目验收合格之日起有效。有效期满后15日内，采购人应及时将履约保证金无息退还给中标供应商。</w:t>
      </w:r>
    </w:p>
    <w:p>
      <w:pPr>
        <w:spacing w:line="400" w:lineRule="exact"/>
        <w:ind w:left="442" w:hanging="442" w:hangingChars="200"/>
        <w:rPr>
          <w:rFonts w:ascii="宋体" w:hAnsi="宋体" w:cs="宋体"/>
          <w:b/>
          <w:bCs/>
          <w:color w:val="auto"/>
          <w:sz w:val="22"/>
          <w:highlight w:val="none"/>
        </w:rPr>
      </w:pPr>
      <w:r>
        <w:rPr>
          <w:rFonts w:hint="eastAsia" w:ascii="宋体" w:hAnsi="宋体" w:cs="宋体"/>
          <w:b/>
          <w:bCs/>
          <w:color w:val="auto"/>
          <w:sz w:val="22"/>
          <w:highlight w:val="none"/>
        </w:rPr>
        <w:t>6.   合同履行时更改采购数量的权利</w:t>
      </w:r>
    </w:p>
    <w:p>
      <w:pPr>
        <w:snapToGrid w:val="0"/>
        <w:spacing w:line="400" w:lineRule="exact"/>
        <w:ind w:left="525" w:leftChars="250"/>
        <w:rPr>
          <w:rFonts w:ascii="宋体" w:hAnsi="宋体" w:cs="宋体"/>
          <w:color w:val="auto"/>
          <w:sz w:val="22"/>
          <w:highlight w:val="none"/>
        </w:rPr>
      </w:pPr>
      <w:r>
        <w:rPr>
          <w:rFonts w:hint="eastAsia" w:ascii="宋体" w:hAnsi="宋体" w:cs="宋体"/>
          <w:color w:val="auto"/>
          <w:sz w:val="22"/>
          <w:highlight w:val="none"/>
        </w:rPr>
        <w:t>合同履行中，采购人需追加与合同标的相同的货物、工程或者服务的，在不改变合同其他条款的前提下，可以与中标供应商协商签订补充合同，但所有补充合同的采购金额不得超过原合同采购金额的百分之十。</w:t>
      </w:r>
    </w:p>
    <w:p>
      <w:pPr>
        <w:pStyle w:val="3"/>
        <w:numPr>
          <w:ilvl w:val="0"/>
          <w:numId w:val="0"/>
        </w:numPr>
        <w:spacing w:before="240" w:beforeLines="100" w:line="360" w:lineRule="auto"/>
        <w:jc w:val="center"/>
        <w:rPr>
          <w:color w:val="auto"/>
          <w:highlight w:val="none"/>
        </w:rPr>
      </w:pPr>
      <w:bookmarkStart w:id="11" w:name="_Toc17470"/>
      <w:r>
        <w:rPr>
          <w:rFonts w:hint="eastAsia"/>
          <w:color w:val="auto"/>
          <w:sz w:val="24"/>
          <w:highlight w:val="none"/>
        </w:rPr>
        <w:t>七、 可中止电子交易活动的情形</w:t>
      </w:r>
      <w:bookmarkEnd w:id="11"/>
    </w:p>
    <w:p>
      <w:pPr>
        <w:spacing w:line="400" w:lineRule="exact"/>
        <w:ind w:left="550" w:hanging="550" w:hangingChars="250"/>
        <w:rPr>
          <w:rFonts w:ascii="宋体" w:hAnsi="宋体" w:cs="宋体"/>
          <w:color w:val="auto"/>
          <w:sz w:val="22"/>
          <w:highlight w:val="none"/>
          <w:lang w:val="zh-CN"/>
        </w:rPr>
      </w:pPr>
      <w:r>
        <w:rPr>
          <w:rFonts w:hint="eastAsia" w:ascii="宋体" w:hAnsi="宋体" w:cs="宋体"/>
          <w:color w:val="auto"/>
          <w:sz w:val="22"/>
          <w:highlight w:val="none"/>
        </w:rPr>
        <w:t xml:space="preserve">1.   </w:t>
      </w:r>
      <w:r>
        <w:rPr>
          <w:rFonts w:hint="eastAsia" w:ascii="宋体" w:hAnsi="宋体" w:cs="宋体"/>
          <w:color w:val="auto"/>
          <w:sz w:val="22"/>
          <w:highlight w:val="none"/>
          <w:lang w:val="zh-CN"/>
        </w:rPr>
        <w:t>采购过程中出现以下情形，导致电子交易平台无法正常运行，或者无法保证电子交易的公平、公正和安全时，采购组织机构可中止电子交易活动：</w:t>
      </w:r>
    </w:p>
    <w:p>
      <w:pPr>
        <w:spacing w:line="40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（一）电子交易平台发生故障而无法登录访问的； </w:t>
      </w:r>
    </w:p>
    <w:p>
      <w:pPr>
        <w:spacing w:line="40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（二）电子交易平台应用或数据库出现错误，不能进行正常操作的；</w:t>
      </w:r>
    </w:p>
    <w:p>
      <w:pPr>
        <w:spacing w:line="40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（三）电子交易平台发现严重安全漏洞，有潜在泄密危险的；</w:t>
      </w:r>
    </w:p>
    <w:p>
      <w:pPr>
        <w:spacing w:line="40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（四）病毒发作导致不能进行正常操作的； </w:t>
      </w:r>
    </w:p>
    <w:p>
      <w:pPr>
        <w:spacing w:line="400" w:lineRule="exact"/>
        <w:ind w:firstLine="440" w:firstLineChars="200"/>
        <w:rPr>
          <w:rFonts w:ascii="宋体" w:hAnsi="宋体" w:cs="宋体"/>
          <w:color w:val="auto"/>
          <w:sz w:val="22"/>
          <w:highlight w:val="none"/>
          <w:lang w:val="zh-CN"/>
        </w:rPr>
      </w:pPr>
      <w:r>
        <w:rPr>
          <w:rFonts w:hint="eastAsia" w:ascii="宋体" w:hAnsi="宋体" w:cs="宋体"/>
          <w:color w:val="auto"/>
          <w:sz w:val="22"/>
          <w:highlight w:val="none"/>
          <w:lang w:val="zh-CN"/>
        </w:rPr>
        <w:t>（五）其他无法保证电子交易的公平、公正和安全的情况。</w:t>
      </w:r>
    </w:p>
    <w:p>
      <w:pPr>
        <w:spacing w:line="400" w:lineRule="exact"/>
        <w:ind w:left="525" w:leftChars="250"/>
        <w:rPr>
          <w:rFonts w:ascii="宋体" w:hAnsi="宋体" w:cs="宋体"/>
          <w:color w:val="auto"/>
          <w:sz w:val="22"/>
          <w:highlight w:val="none"/>
          <w:lang w:val="zh-CN"/>
        </w:rPr>
      </w:pPr>
      <w:r>
        <w:rPr>
          <w:rFonts w:hint="eastAsia" w:ascii="宋体" w:hAnsi="宋体" w:cs="宋体"/>
          <w:color w:val="auto"/>
          <w:sz w:val="22"/>
          <w:highlight w:val="none"/>
        </w:rPr>
        <w:t>出现前款规定情形，不影响采购公平、公正性的，采购代理机构可以待上述情形消除后继续组织电子交易活动，也可以决定某些环节以纸质形式进行；影响或可能影响采购公平、公正性的，重新采购。</w:t>
      </w:r>
    </w:p>
    <w:p>
      <w:pPr>
        <w:spacing w:line="400" w:lineRule="exact"/>
        <w:ind w:firstLine="422" w:firstLineChars="200"/>
        <w:jc w:val="center"/>
        <w:rPr>
          <w:rFonts w:ascii="宋体" w:hAnsi="宋体" w:cs="宋体"/>
          <w:b/>
          <w:color w:val="auto"/>
          <w:szCs w:val="21"/>
          <w:highlight w:val="none"/>
        </w:rPr>
      </w:pPr>
      <w:r>
        <w:rPr>
          <w:rFonts w:hint="eastAsia" w:ascii="宋体" w:hAnsi="宋体" w:cs="宋体"/>
          <w:b/>
          <w:color w:val="auto"/>
          <w:szCs w:val="21"/>
          <w:highlight w:val="none"/>
        </w:rPr>
        <w:br w:type="page"/>
      </w:r>
    </w:p>
    <w:p>
      <w:pPr>
        <w:pStyle w:val="2"/>
        <w:spacing w:line="240" w:lineRule="auto"/>
        <w:jc w:val="center"/>
        <w:rPr>
          <w:rFonts w:ascii="宋体" w:hAnsi="宋体" w:cs="宋体"/>
          <w:bCs w:val="0"/>
          <w:color w:val="auto"/>
          <w:kern w:val="2"/>
          <w:sz w:val="32"/>
          <w:szCs w:val="22"/>
          <w:highlight w:val="none"/>
        </w:rPr>
      </w:pPr>
      <w:bookmarkStart w:id="12" w:name="_Toc31800"/>
      <w:r>
        <w:rPr>
          <w:rFonts w:hint="eastAsia" w:ascii="宋体" w:hAnsi="宋体" w:cs="宋体"/>
          <w:bCs w:val="0"/>
          <w:color w:val="auto"/>
          <w:kern w:val="2"/>
          <w:sz w:val="32"/>
          <w:szCs w:val="22"/>
          <w:highlight w:val="none"/>
        </w:rPr>
        <w:t>第三部分     合同格式</w:t>
      </w:r>
      <w:bookmarkEnd w:id="12"/>
    </w:p>
    <w:p>
      <w:pPr>
        <w:jc w:val="center"/>
        <w:rPr>
          <w:rFonts w:ascii="宋体" w:hAnsi="宋体" w:cs="宋体"/>
          <w:color w:val="auto"/>
          <w:sz w:val="24"/>
          <w:szCs w:val="32"/>
          <w:highlight w:val="none"/>
        </w:rPr>
      </w:pPr>
      <w:bookmarkStart w:id="13" w:name="_Toc467750260"/>
      <w:bookmarkStart w:id="14" w:name="_Toc467750261"/>
      <w:r>
        <w:rPr>
          <w:rFonts w:hint="eastAsia" w:ascii="宋体" w:hAnsi="宋体" w:cs="宋体"/>
          <w:color w:val="auto"/>
          <w:sz w:val="24"/>
          <w:szCs w:val="32"/>
          <w:highlight w:val="none"/>
        </w:rPr>
        <w:t xml:space="preserve">                                                    合同编号：               </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jc w:val="center"/>
        <w:rPr>
          <w:rFonts w:ascii="宋体" w:hAnsi="宋体" w:cs="宋体"/>
          <w:color w:val="auto"/>
          <w:sz w:val="48"/>
          <w:szCs w:val="48"/>
          <w:highlight w:val="none"/>
        </w:rPr>
      </w:pPr>
    </w:p>
    <w:p>
      <w:pPr>
        <w:jc w:val="center"/>
        <w:rPr>
          <w:rFonts w:ascii="宋体" w:hAnsi="宋体" w:cs="宋体"/>
          <w:b/>
          <w:bCs/>
          <w:color w:val="auto"/>
          <w:sz w:val="48"/>
          <w:szCs w:val="48"/>
          <w:highlight w:val="none"/>
        </w:rPr>
      </w:pPr>
    </w:p>
    <w:p>
      <w:pPr>
        <w:jc w:val="center"/>
        <w:rPr>
          <w:rFonts w:ascii="宋体" w:hAnsi="宋体" w:cs="宋体"/>
          <w:b/>
          <w:bCs/>
          <w:color w:val="auto"/>
          <w:sz w:val="48"/>
          <w:szCs w:val="48"/>
          <w:highlight w:val="none"/>
        </w:rPr>
      </w:pPr>
      <w:r>
        <w:rPr>
          <w:rFonts w:hint="eastAsia" w:ascii="宋体" w:hAnsi="宋体" w:cs="宋体"/>
          <w:b/>
          <w:bCs/>
          <w:color w:val="auto"/>
          <w:sz w:val="48"/>
          <w:szCs w:val="48"/>
          <w:highlight w:val="none"/>
          <w:lang w:eastAsia="zh-CN"/>
        </w:rPr>
        <w:t>温州市城乡规划展示馆2024年6月-2025年5月设备维护</w:t>
      </w:r>
      <w:r>
        <w:rPr>
          <w:rFonts w:hint="eastAsia" w:ascii="宋体" w:hAnsi="宋体" w:cs="宋体"/>
          <w:b/>
          <w:bCs/>
          <w:color w:val="auto"/>
          <w:sz w:val="48"/>
          <w:szCs w:val="48"/>
          <w:highlight w:val="none"/>
        </w:rPr>
        <w:t>合同</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sz w:val="28"/>
          <w:szCs w:val="36"/>
          <w:highlight w:val="none"/>
        </w:rPr>
      </w:pPr>
    </w:p>
    <w:p>
      <w:pPr>
        <w:rPr>
          <w:rFonts w:ascii="宋体" w:hAnsi="宋体" w:cs="宋体"/>
          <w:color w:val="auto"/>
          <w:sz w:val="28"/>
          <w:szCs w:val="36"/>
          <w:highlight w:val="none"/>
        </w:rPr>
      </w:pPr>
    </w:p>
    <w:p>
      <w:pPr>
        <w:pStyle w:val="7"/>
        <w:rPr>
          <w:rFonts w:cs="宋体"/>
          <w:color w:val="auto"/>
          <w:sz w:val="28"/>
          <w:szCs w:val="36"/>
          <w:highlight w:val="none"/>
        </w:rPr>
      </w:pPr>
    </w:p>
    <w:p>
      <w:pPr>
        <w:rPr>
          <w:color w:val="auto"/>
          <w:highlight w:val="none"/>
        </w:rPr>
      </w:pPr>
    </w:p>
    <w:p>
      <w:pPr>
        <w:rPr>
          <w:rFonts w:ascii="宋体" w:hAnsi="宋体" w:cs="宋体"/>
          <w:color w:val="auto"/>
          <w:sz w:val="28"/>
          <w:szCs w:val="36"/>
          <w:highlight w:val="none"/>
        </w:rPr>
      </w:pPr>
    </w:p>
    <w:p>
      <w:pPr>
        <w:spacing w:line="480" w:lineRule="auto"/>
        <w:ind w:firstLine="843" w:firstLineChars="300"/>
        <w:rPr>
          <w:rFonts w:ascii="宋体" w:hAnsi="宋体" w:cs="宋体"/>
          <w:b/>
          <w:bCs/>
          <w:color w:val="auto"/>
          <w:sz w:val="28"/>
          <w:szCs w:val="36"/>
          <w:highlight w:val="none"/>
        </w:rPr>
      </w:pPr>
      <w:r>
        <w:rPr>
          <w:rFonts w:hint="eastAsia" w:ascii="宋体" w:hAnsi="宋体" w:cs="宋体"/>
          <w:b/>
          <w:bCs/>
          <w:color w:val="auto"/>
          <w:sz w:val="28"/>
          <w:szCs w:val="36"/>
          <w:highlight w:val="none"/>
        </w:rPr>
        <w:t>项目名称：</w:t>
      </w:r>
      <w:r>
        <w:rPr>
          <w:rFonts w:hint="eastAsia" w:ascii="宋体" w:hAnsi="宋体" w:cs="宋体"/>
          <w:b/>
          <w:bCs/>
          <w:color w:val="auto"/>
          <w:sz w:val="28"/>
          <w:szCs w:val="36"/>
          <w:highlight w:val="none"/>
          <w:u w:val="single"/>
        </w:rPr>
        <w:t xml:space="preserve">                           </w:t>
      </w:r>
    </w:p>
    <w:p>
      <w:pPr>
        <w:spacing w:line="480" w:lineRule="auto"/>
        <w:ind w:firstLine="843" w:firstLineChars="300"/>
        <w:rPr>
          <w:rFonts w:ascii="宋体" w:hAnsi="宋体" w:cs="宋体"/>
          <w:b/>
          <w:bCs/>
          <w:color w:val="auto"/>
          <w:sz w:val="28"/>
          <w:szCs w:val="36"/>
          <w:highlight w:val="none"/>
        </w:rPr>
      </w:pPr>
      <w:r>
        <w:rPr>
          <w:rFonts w:hint="eastAsia" w:ascii="宋体" w:hAnsi="宋体" w:cs="宋体"/>
          <w:b/>
          <w:bCs/>
          <w:color w:val="auto"/>
          <w:sz w:val="28"/>
          <w:szCs w:val="36"/>
          <w:highlight w:val="none"/>
        </w:rPr>
        <w:t>项目地址：</w:t>
      </w:r>
      <w:r>
        <w:rPr>
          <w:rFonts w:hint="eastAsia" w:ascii="宋体" w:hAnsi="宋体" w:cs="宋体"/>
          <w:b/>
          <w:bCs/>
          <w:color w:val="auto"/>
          <w:sz w:val="28"/>
          <w:szCs w:val="36"/>
          <w:highlight w:val="none"/>
          <w:u w:val="single"/>
        </w:rPr>
        <w:t xml:space="preserve">                           </w:t>
      </w:r>
    </w:p>
    <w:p>
      <w:pPr>
        <w:spacing w:line="480" w:lineRule="auto"/>
        <w:ind w:firstLine="843" w:firstLineChars="300"/>
        <w:rPr>
          <w:rFonts w:ascii="宋体" w:hAnsi="宋体" w:cs="宋体"/>
          <w:b/>
          <w:bCs/>
          <w:color w:val="auto"/>
          <w:sz w:val="28"/>
          <w:szCs w:val="36"/>
          <w:highlight w:val="none"/>
        </w:rPr>
      </w:pPr>
      <w:r>
        <w:rPr>
          <w:rFonts w:hint="eastAsia" w:ascii="宋体" w:hAnsi="宋体" w:cs="宋体"/>
          <w:b/>
          <w:bCs/>
          <w:color w:val="auto"/>
          <w:sz w:val="28"/>
          <w:szCs w:val="36"/>
          <w:highlight w:val="none"/>
        </w:rPr>
        <w:t>甲    方：</w:t>
      </w:r>
      <w:r>
        <w:rPr>
          <w:rFonts w:hint="eastAsia" w:ascii="宋体" w:hAnsi="宋体" w:cs="宋体"/>
          <w:b/>
          <w:bCs/>
          <w:color w:val="auto"/>
          <w:sz w:val="28"/>
          <w:szCs w:val="36"/>
          <w:highlight w:val="none"/>
          <w:u w:val="single"/>
        </w:rPr>
        <w:t xml:space="preserve">                           </w:t>
      </w:r>
    </w:p>
    <w:p>
      <w:pPr>
        <w:spacing w:line="480" w:lineRule="auto"/>
        <w:ind w:firstLine="843" w:firstLineChars="300"/>
        <w:rPr>
          <w:rFonts w:ascii="宋体" w:hAnsi="宋体" w:cs="宋体"/>
          <w:b/>
          <w:bCs/>
          <w:color w:val="auto"/>
          <w:sz w:val="28"/>
          <w:szCs w:val="36"/>
          <w:highlight w:val="none"/>
        </w:rPr>
      </w:pPr>
      <w:r>
        <w:rPr>
          <w:rFonts w:hint="eastAsia" w:ascii="宋体" w:hAnsi="宋体" w:cs="宋体"/>
          <w:b/>
          <w:bCs/>
          <w:color w:val="auto"/>
          <w:sz w:val="28"/>
          <w:szCs w:val="36"/>
          <w:highlight w:val="none"/>
        </w:rPr>
        <w:t>乙    方：</w:t>
      </w:r>
      <w:r>
        <w:rPr>
          <w:rFonts w:hint="eastAsia" w:ascii="宋体" w:hAnsi="宋体" w:cs="宋体"/>
          <w:b/>
          <w:bCs/>
          <w:color w:val="auto"/>
          <w:sz w:val="28"/>
          <w:szCs w:val="36"/>
          <w:highlight w:val="none"/>
          <w:u w:val="single"/>
        </w:rPr>
        <w:t xml:space="preserve">                           </w:t>
      </w:r>
    </w:p>
    <w:p>
      <w:pPr>
        <w:spacing w:line="480" w:lineRule="auto"/>
        <w:rPr>
          <w:rFonts w:ascii="宋体" w:hAnsi="宋体" w:cs="宋体"/>
          <w:b/>
          <w:bCs/>
          <w:color w:val="auto"/>
          <w:highlight w:val="none"/>
        </w:rPr>
      </w:pPr>
    </w:p>
    <w:p>
      <w:pPr>
        <w:spacing w:line="480" w:lineRule="auto"/>
        <w:rPr>
          <w:rFonts w:ascii="宋体" w:hAnsi="宋体" w:cs="宋体"/>
          <w:b/>
          <w:bCs/>
          <w:color w:val="auto"/>
          <w:highlight w:val="none"/>
        </w:rPr>
      </w:pPr>
    </w:p>
    <w:p>
      <w:pPr>
        <w:spacing w:line="480" w:lineRule="auto"/>
        <w:jc w:val="center"/>
        <w:rPr>
          <w:rFonts w:ascii="宋体" w:hAnsi="宋体" w:cs="宋体"/>
          <w:color w:val="auto"/>
          <w:highlight w:val="none"/>
        </w:rPr>
      </w:pPr>
      <w:r>
        <w:rPr>
          <w:rFonts w:hint="eastAsia" w:ascii="宋体" w:hAnsi="宋体" w:cs="宋体"/>
          <w:b/>
          <w:bCs/>
          <w:color w:val="auto"/>
          <w:sz w:val="28"/>
          <w:szCs w:val="36"/>
          <w:highlight w:val="none"/>
        </w:rPr>
        <w:t>[202</w:t>
      </w:r>
      <w:r>
        <w:rPr>
          <w:rFonts w:hint="eastAsia" w:ascii="宋体" w:hAnsi="宋体" w:cs="宋体"/>
          <w:b/>
          <w:bCs/>
          <w:color w:val="auto"/>
          <w:sz w:val="28"/>
          <w:szCs w:val="36"/>
          <w:highlight w:val="none"/>
          <w:lang w:val="en-US" w:eastAsia="zh-CN"/>
        </w:rPr>
        <w:t>4</w:t>
      </w:r>
      <w:r>
        <w:rPr>
          <w:rFonts w:hint="eastAsia" w:ascii="宋体" w:hAnsi="宋体" w:cs="宋体"/>
          <w:b/>
          <w:bCs/>
          <w:color w:val="auto"/>
          <w:sz w:val="28"/>
          <w:szCs w:val="36"/>
          <w:highlight w:val="none"/>
        </w:rPr>
        <w:t>]年[XX]月</w:t>
      </w:r>
      <w:r>
        <w:rPr>
          <w:rFonts w:hint="eastAsia" w:ascii="宋体" w:hAnsi="宋体" w:cs="宋体"/>
          <w:color w:val="auto"/>
          <w:highlight w:val="none"/>
        </w:rPr>
        <w:br w:type="page"/>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甲乙双方经友好协商，就甲方委托乙方提供</w:t>
      </w:r>
      <w:r>
        <w:rPr>
          <w:rFonts w:hint="eastAsia" w:ascii="宋体" w:hAnsi="宋体" w:cs="宋体"/>
          <w:color w:val="auto"/>
          <w:sz w:val="22"/>
          <w:highlight w:val="none"/>
          <w:u w:val="single"/>
          <w:lang w:eastAsia="zh-CN"/>
        </w:rPr>
        <w:t>温州市城乡规划展示馆2024年6月-2025年5月设备维护</w:t>
      </w:r>
      <w:r>
        <w:rPr>
          <w:rFonts w:hint="eastAsia" w:ascii="宋体" w:hAnsi="宋体" w:cs="宋体"/>
          <w:color w:val="auto"/>
          <w:sz w:val="22"/>
          <w:highlight w:val="none"/>
        </w:rPr>
        <w:t>（以下简称本项目，项目地址为</w:t>
      </w:r>
      <w:r>
        <w:rPr>
          <w:rFonts w:hint="eastAsia" w:ascii="宋体" w:hAnsi="宋体" w:cs="宋体"/>
          <w:color w:val="auto"/>
          <w:sz w:val="22"/>
          <w:highlight w:val="none"/>
          <w:u w:val="single"/>
        </w:rPr>
        <w:t>惠民路856号</w:t>
      </w:r>
      <w:r>
        <w:rPr>
          <w:rFonts w:hint="eastAsia" w:ascii="宋体" w:hAnsi="宋体" w:cs="宋体"/>
          <w:color w:val="auto"/>
          <w:sz w:val="22"/>
          <w:highlight w:val="none"/>
        </w:rPr>
        <w:t>）弱电硬件设备和软件系统的驻场运维服务达成如下约定，双方承诺遵照执行。</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第一条 运维背景</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本项目位于</w:t>
      </w:r>
      <w:r>
        <w:rPr>
          <w:rFonts w:hint="eastAsia" w:ascii="宋体" w:hAnsi="宋体" w:cs="宋体"/>
          <w:color w:val="auto"/>
          <w:sz w:val="22"/>
          <w:highlight w:val="none"/>
          <w:u w:val="single"/>
        </w:rPr>
        <w:t>惠民路856号</w:t>
      </w:r>
      <w:r>
        <w:rPr>
          <w:rFonts w:hint="eastAsia" w:ascii="宋体" w:hAnsi="宋体" w:cs="宋体"/>
          <w:color w:val="auto"/>
          <w:sz w:val="22"/>
          <w:highlight w:val="none"/>
        </w:rPr>
        <w:t>，总建筑面积</w:t>
      </w:r>
      <w:r>
        <w:rPr>
          <w:rFonts w:hint="eastAsia" w:ascii="宋体" w:hAnsi="宋体" w:cs="宋体"/>
          <w:color w:val="auto"/>
          <w:sz w:val="22"/>
          <w:highlight w:val="none"/>
          <w:u w:val="single"/>
        </w:rPr>
        <w:t>20377.54</w:t>
      </w:r>
      <w:r>
        <w:rPr>
          <w:rFonts w:hint="eastAsia" w:ascii="宋体" w:hAnsi="宋体" w:cs="宋体"/>
          <w:color w:val="auto"/>
          <w:sz w:val="22"/>
          <w:highlight w:val="none"/>
        </w:rPr>
        <w:t>平方米，其中展馆面积约为</w:t>
      </w:r>
      <w:r>
        <w:rPr>
          <w:rFonts w:hint="eastAsia" w:ascii="宋体" w:hAnsi="宋体" w:cs="宋体"/>
          <w:color w:val="auto"/>
          <w:sz w:val="22"/>
          <w:highlight w:val="none"/>
          <w:u w:val="single"/>
        </w:rPr>
        <w:t>7757</w:t>
      </w:r>
      <w:r>
        <w:rPr>
          <w:rFonts w:hint="eastAsia" w:ascii="宋体" w:hAnsi="宋体" w:cs="宋体"/>
          <w:color w:val="auto"/>
          <w:sz w:val="22"/>
          <w:highlight w:val="none"/>
        </w:rPr>
        <w:t>平方米，展厅共</w:t>
      </w:r>
      <w:r>
        <w:rPr>
          <w:rFonts w:hint="eastAsia" w:ascii="宋体" w:hAnsi="宋体" w:cs="宋体"/>
          <w:color w:val="auto"/>
          <w:sz w:val="22"/>
          <w:highlight w:val="none"/>
          <w:u w:val="single"/>
        </w:rPr>
        <w:t>三</w:t>
      </w:r>
      <w:r>
        <w:rPr>
          <w:rFonts w:hint="eastAsia" w:ascii="宋体" w:hAnsi="宋体" w:cs="宋体"/>
          <w:color w:val="auto"/>
          <w:sz w:val="22"/>
          <w:highlight w:val="none"/>
        </w:rPr>
        <w:t>层。</w:t>
      </w:r>
    </w:p>
    <w:p>
      <w:pPr>
        <w:spacing w:line="360" w:lineRule="auto"/>
        <w:ind w:firstLine="440" w:firstLineChars="200"/>
        <w:rPr>
          <w:rFonts w:ascii="宋体" w:hAnsi="宋体" w:cs="宋体"/>
          <w:b/>
          <w:bCs/>
          <w:color w:val="auto"/>
          <w:sz w:val="22"/>
          <w:highlight w:val="none"/>
        </w:rPr>
      </w:pPr>
      <w:r>
        <w:rPr>
          <w:rFonts w:hint="eastAsia" w:ascii="宋体" w:hAnsi="宋体" w:cs="宋体"/>
          <w:color w:val="auto"/>
          <w:sz w:val="22"/>
          <w:highlight w:val="none"/>
        </w:rPr>
        <w:t>多媒体软硬件系统是展厅的重要组成部分，由于多媒体系统具有子系统较多，技术门类繁杂等特点，故需要专业公司及专业技术人员对其开展有计划的日常与定期维护保养工作，方能最大程度保证软硬件系统的正常高效稳定运行，及时响应及解决突发故障，并适当延长其使用寿命。</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第二条 运维服务目标与范围</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运维服务范围为弱电硬件设备与软件系统，运维的内容与目标具体如下：</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2.1 硬件设备运维目标与范围</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（1）硬件设备运维目标：保证硬件设备的正常高效稳定运行，充分延长硬件设备的使用寿命，维护硬件设备整洁与标签准确。</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（2）硬件设备运维范围：包括但不限于前端显示设备、后端主机设备、网络设备、音频设备、会议系统等的维保（不包括空调、消防和强电系统），硬件设备运维清单详见附件一《</w:t>
      </w:r>
      <w:r>
        <w:rPr>
          <w:rFonts w:hint="eastAsia" w:ascii="宋体" w:hAnsi="宋体" w:cs="宋体"/>
          <w:color w:val="auto"/>
          <w:sz w:val="22"/>
          <w:highlight w:val="none"/>
          <w:lang w:eastAsia="zh-CN"/>
        </w:rPr>
        <w:t>温州市城乡展示馆设备维修维护项目清单</w:t>
      </w:r>
      <w:r>
        <w:rPr>
          <w:rFonts w:hint="eastAsia" w:ascii="宋体" w:hAnsi="宋体" w:cs="宋体"/>
          <w:color w:val="auto"/>
          <w:sz w:val="22"/>
          <w:highlight w:val="none"/>
        </w:rPr>
        <w:t>》。</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2.2 软件系统运维目标与范围</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（1）软件系统运维目标：保证软件系统的正常高效稳定运行，降低系统故障与程序错误率，优化数据库，降低缓存占用率。</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（2）软件系统运维范围：包括但不限于移动屏控制系统、演示系统程序、后台控制系统程序、互动装置等软件系统的维保。</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第三条 运维服务团队</w:t>
      </w:r>
    </w:p>
    <w:p>
      <w:pPr>
        <w:spacing w:line="360" w:lineRule="auto"/>
        <w:ind w:firstLine="442" w:firstLineChars="200"/>
        <w:jc w:val="left"/>
        <w:rPr>
          <w:rFonts w:ascii="宋体" w:hAnsi="宋体" w:cs="宋体"/>
          <w:b/>
          <w:bCs/>
          <w:color w:val="auto"/>
          <w:sz w:val="22"/>
          <w:highlight w:val="none"/>
        </w:rPr>
      </w:pPr>
      <w:r>
        <w:rPr>
          <w:rFonts w:hint="eastAsia" w:ascii="宋体" w:hAnsi="宋体" w:cs="宋体"/>
          <w:b/>
          <w:bCs/>
          <w:color w:val="auto"/>
          <w:sz w:val="22"/>
          <w:highlight w:val="none"/>
        </w:rPr>
        <w:t>3.1 运维团队</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乙方将组建不少于3人的维保技术团队，由1名驻场网络认证工程师提供本项目现场运维服务，1名网络高级认证工程师与1名信息安全认证工程师提供远程或现场技术支持。</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3.2 运维工程师职责</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（1）驻场网络认证工程师：主要负责本项目现场的日常开闭馆与巡检服务，负责联系各专业技术服务人员远程或现场处理运维事宜，负责接受甲方的日常工作安排与指示，配合完成重大接待保障工作。</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（2）信息安全认证工程师：远程协助本项目现场的运维工作，负责组织乙方专业技术团队进行远程技术分析指导，包括软件系统性能与运行分析、系统漏洞排查修复及配合保障重要接待。</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（3）网络高级认证工程师：远程协助本项目现场的运维工作，负责组织乙方专业技术团队进行远程技术分析指导，包括硬件设备的故障检测、分析排障及配合保障重要接待。</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第四条 运维服务内容</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4.1 驻场服务</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1）服务时间：乙方提供不少于6×8小时（一周6个工作日，每日实行8小时工作制，具体以甲方开闭馆时间为准）驻场运维服务，达到100%的用户即时响应度（非甲方开馆时间提供热线电话支持服务）。若本项目在非开馆时间或节假日有参观接待活动，需提前一个工作日告知乙方驻场运维人员提供技术支持，以保障活动及接待的顺利进行。</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2）响应时间：甲方开馆工作时间内的响应时间为10分钟，非甲方开馆时间应提前一个工作日与驻场运维人员沟通是否需要到达现场。如甲方未能提前告知的，乙方驻场运维人员在接到响应故障电话后将尽快到达现场。</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（3）服务质量保证：</w:t>
      </w:r>
    </w:p>
    <w:p>
      <w:pPr>
        <w:spacing w:line="360" w:lineRule="auto"/>
        <w:ind w:firstLine="660" w:firstLineChars="300"/>
        <w:rPr>
          <w:rFonts w:ascii="宋体" w:hAnsi="宋体" w:cs="宋体"/>
          <w:color w:val="auto"/>
          <w:sz w:val="22"/>
          <w:highlight w:val="none"/>
        </w:rPr>
      </w:pPr>
      <w:r>
        <w:rPr>
          <w:rFonts w:hint="eastAsia" w:ascii="宋体" w:hAnsi="宋体" w:cs="宋体"/>
          <w:color w:val="auto"/>
          <w:sz w:val="22"/>
          <w:highlight w:val="none"/>
        </w:rPr>
        <w:t>1）服务响应时间：未在规定时间内响应的或未在规定时间内修复故障按2000元/次扣除合同款（设备如因使用寿命终止出现无法修复的情况除外）。</w:t>
      </w:r>
    </w:p>
    <w:p>
      <w:pPr>
        <w:spacing w:line="360" w:lineRule="auto"/>
        <w:ind w:firstLine="660" w:firstLineChars="300"/>
        <w:rPr>
          <w:rFonts w:ascii="宋体" w:hAnsi="宋体" w:cs="宋体"/>
          <w:color w:val="auto"/>
          <w:sz w:val="22"/>
          <w:highlight w:val="none"/>
        </w:rPr>
      </w:pPr>
      <w:r>
        <w:rPr>
          <w:rFonts w:hint="eastAsia" w:ascii="宋体" w:hAnsi="宋体" w:cs="宋体"/>
          <w:color w:val="auto"/>
          <w:sz w:val="22"/>
          <w:highlight w:val="none"/>
        </w:rPr>
        <w:t>2）未按合同要求保质保量完成日常巡检、月度巡检养护工作的，按1000元/次扣除合同款。</w:t>
      </w:r>
    </w:p>
    <w:p>
      <w:pPr>
        <w:spacing w:line="360" w:lineRule="auto"/>
        <w:ind w:firstLine="660" w:firstLineChars="300"/>
        <w:rPr>
          <w:rFonts w:ascii="宋体" w:hAnsi="宋体" w:cs="宋体"/>
          <w:color w:val="auto"/>
          <w:sz w:val="22"/>
          <w:highlight w:val="none"/>
        </w:rPr>
      </w:pPr>
      <w:r>
        <w:rPr>
          <w:rFonts w:hint="eastAsia" w:ascii="宋体" w:hAnsi="宋体" w:cs="宋体"/>
          <w:color w:val="auto"/>
          <w:sz w:val="22"/>
          <w:highlight w:val="none"/>
        </w:rPr>
        <w:t>3）未在规定时间内提交日常巡检记录、月度巡检记录、抢修记录、运维总结的，按1000元/次扣除合同款。</w:t>
      </w:r>
    </w:p>
    <w:p>
      <w:pPr>
        <w:spacing w:line="360" w:lineRule="auto"/>
        <w:ind w:firstLine="660" w:firstLineChars="300"/>
        <w:rPr>
          <w:rFonts w:ascii="宋体" w:hAnsi="宋体" w:cs="宋体"/>
          <w:color w:val="auto"/>
          <w:sz w:val="22"/>
          <w:highlight w:val="none"/>
        </w:rPr>
      </w:pPr>
      <w:r>
        <w:rPr>
          <w:rFonts w:hint="eastAsia" w:ascii="宋体" w:hAnsi="宋体" w:cs="宋体"/>
          <w:color w:val="auto"/>
          <w:sz w:val="22"/>
          <w:highlight w:val="none"/>
        </w:rPr>
        <w:t>4）服务质量严重不到位的，</w:t>
      </w:r>
      <w:r>
        <w:rPr>
          <w:rFonts w:hint="eastAsia" w:ascii="宋体" w:hAnsi="宋体" w:cs="宋体"/>
          <w:color w:val="auto"/>
          <w:sz w:val="22"/>
          <w:highlight w:val="none"/>
          <w:lang w:val="en-US" w:eastAsia="zh-CN"/>
        </w:rPr>
        <w:t>甲方</w:t>
      </w:r>
      <w:r>
        <w:rPr>
          <w:rFonts w:hint="eastAsia" w:ascii="宋体" w:hAnsi="宋体" w:cs="宋体"/>
          <w:color w:val="auto"/>
          <w:sz w:val="22"/>
          <w:highlight w:val="none"/>
        </w:rPr>
        <w:t>将对</w:t>
      </w:r>
      <w:r>
        <w:rPr>
          <w:rFonts w:hint="eastAsia" w:ascii="宋体" w:hAnsi="宋体" w:cs="宋体"/>
          <w:color w:val="auto"/>
          <w:sz w:val="22"/>
          <w:highlight w:val="none"/>
          <w:lang w:val="en-US" w:eastAsia="zh-CN"/>
        </w:rPr>
        <w:t>乙方</w:t>
      </w:r>
      <w:r>
        <w:rPr>
          <w:rFonts w:hint="eastAsia" w:ascii="宋体" w:hAnsi="宋体" w:cs="宋体"/>
          <w:color w:val="auto"/>
          <w:sz w:val="22"/>
          <w:highlight w:val="none"/>
        </w:rPr>
        <w:t>处以整改通知书，</w:t>
      </w:r>
      <w:r>
        <w:rPr>
          <w:rFonts w:hint="eastAsia" w:ascii="宋体" w:hAnsi="宋体" w:cs="宋体"/>
          <w:color w:val="auto"/>
          <w:sz w:val="22"/>
          <w:highlight w:val="none"/>
          <w:lang w:val="en-US" w:eastAsia="zh-CN"/>
        </w:rPr>
        <w:t>乙方</w:t>
      </w:r>
      <w:r>
        <w:rPr>
          <w:rFonts w:hint="eastAsia" w:ascii="宋体" w:hAnsi="宋体" w:cs="宋体"/>
          <w:color w:val="auto"/>
          <w:sz w:val="22"/>
          <w:highlight w:val="none"/>
        </w:rPr>
        <w:t>收到整改通知书后应于一周内向</w:t>
      </w:r>
      <w:r>
        <w:rPr>
          <w:rFonts w:hint="eastAsia" w:ascii="宋体" w:hAnsi="宋体" w:cs="宋体"/>
          <w:color w:val="auto"/>
          <w:sz w:val="22"/>
          <w:highlight w:val="none"/>
          <w:lang w:val="en-US" w:eastAsia="zh-CN"/>
        </w:rPr>
        <w:t>甲方</w:t>
      </w:r>
      <w:r>
        <w:rPr>
          <w:rFonts w:hint="eastAsia" w:ascii="宋体" w:hAnsi="宋体" w:cs="宋体"/>
          <w:color w:val="auto"/>
          <w:sz w:val="22"/>
          <w:highlight w:val="none"/>
        </w:rPr>
        <w:t>提交整改报告。若逾期不提交整改报告或一年之内被二次处以整改通知书的，</w:t>
      </w:r>
      <w:r>
        <w:rPr>
          <w:rFonts w:hint="eastAsia" w:ascii="宋体" w:hAnsi="宋体" w:cs="宋体"/>
          <w:color w:val="auto"/>
          <w:sz w:val="22"/>
          <w:highlight w:val="none"/>
          <w:lang w:val="en-US" w:eastAsia="zh-CN"/>
        </w:rPr>
        <w:t>甲方</w:t>
      </w:r>
      <w:r>
        <w:rPr>
          <w:rFonts w:hint="eastAsia" w:ascii="宋体" w:hAnsi="宋体" w:cs="宋体"/>
          <w:color w:val="auto"/>
          <w:sz w:val="22"/>
          <w:highlight w:val="none"/>
        </w:rPr>
        <w:t>有权中止合同，另选维保方继续当年的维保工作，期间产生的费用由</w:t>
      </w:r>
      <w:r>
        <w:rPr>
          <w:rFonts w:hint="eastAsia" w:ascii="宋体" w:hAnsi="宋体" w:cs="宋体"/>
          <w:color w:val="auto"/>
          <w:sz w:val="22"/>
          <w:highlight w:val="none"/>
          <w:lang w:val="en-US" w:eastAsia="zh-CN"/>
        </w:rPr>
        <w:t>乙方</w:t>
      </w:r>
      <w:r>
        <w:rPr>
          <w:rFonts w:hint="eastAsia" w:ascii="宋体" w:hAnsi="宋体" w:cs="宋体"/>
          <w:color w:val="auto"/>
          <w:sz w:val="22"/>
          <w:highlight w:val="none"/>
        </w:rPr>
        <w:t>承担。</w:t>
      </w:r>
    </w:p>
    <w:p>
      <w:pPr>
        <w:spacing w:line="360" w:lineRule="auto"/>
        <w:ind w:firstLine="660" w:firstLineChars="300"/>
        <w:rPr>
          <w:rFonts w:ascii="宋体" w:hAnsi="宋体" w:cs="宋体"/>
          <w:color w:val="auto"/>
          <w:sz w:val="22"/>
          <w:highlight w:val="none"/>
        </w:rPr>
      </w:pPr>
      <w:r>
        <w:rPr>
          <w:rFonts w:hint="eastAsia" w:ascii="宋体" w:hAnsi="宋体" w:cs="宋体"/>
          <w:color w:val="auto"/>
          <w:sz w:val="22"/>
          <w:highlight w:val="none"/>
        </w:rPr>
        <w:t>5）提供不少于三人的运维团队（含1名驻点弱电工程师）。</w:t>
      </w:r>
    </w:p>
    <w:p>
      <w:pPr>
        <w:spacing w:line="360" w:lineRule="auto"/>
        <w:ind w:firstLine="660" w:firstLineChars="300"/>
        <w:rPr>
          <w:rFonts w:ascii="宋体" w:hAnsi="宋体" w:cs="宋体"/>
          <w:color w:val="auto"/>
          <w:sz w:val="22"/>
          <w:highlight w:val="none"/>
        </w:rPr>
      </w:pPr>
      <w:r>
        <w:rPr>
          <w:rFonts w:hint="eastAsia" w:ascii="宋体" w:hAnsi="宋体" w:cs="宋体"/>
          <w:color w:val="auto"/>
          <w:sz w:val="22"/>
          <w:highlight w:val="none"/>
        </w:rPr>
        <w:t>6）未经</w:t>
      </w:r>
      <w:r>
        <w:rPr>
          <w:rFonts w:hint="eastAsia" w:ascii="宋体" w:hAnsi="宋体" w:cs="宋体"/>
          <w:color w:val="auto"/>
          <w:sz w:val="22"/>
          <w:highlight w:val="none"/>
          <w:lang w:val="en-US" w:eastAsia="zh-CN"/>
        </w:rPr>
        <w:t>甲方</w:t>
      </w:r>
      <w:r>
        <w:rPr>
          <w:rFonts w:hint="eastAsia" w:ascii="宋体" w:hAnsi="宋体" w:cs="宋体"/>
          <w:color w:val="auto"/>
          <w:sz w:val="22"/>
          <w:highlight w:val="none"/>
        </w:rPr>
        <w:t>允许不得擅自更改原设备参数、线路等，并保证所有设备的原有功能正常。</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4.2 现场巡检服务</w:t>
      </w:r>
    </w:p>
    <w:p>
      <w:pPr>
        <w:spacing w:line="360" w:lineRule="auto"/>
        <w:ind w:firstLine="440" w:firstLineChars="200"/>
        <w:rPr>
          <w:rFonts w:ascii="宋体" w:hAnsi="宋体" w:cs="宋体"/>
          <w:color w:val="auto"/>
          <w:kern w:val="0"/>
          <w:sz w:val="22"/>
          <w:highlight w:val="none"/>
        </w:rPr>
      </w:pPr>
      <w:r>
        <w:rPr>
          <w:rFonts w:hint="eastAsia" w:ascii="宋体" w:hAnsi="宋体" w:cs="宋体"/>
          <w:color w:val="auto"/>
          <w:sz w:val="22"/>
          <w:highlight w:val="none"/>
        </w:rPr>
        <w:t>乙方派驻的驻场运维人员每周至少开展一次弱电硬件设备和软件系统的现场巡检服务，巡检过程中如发现故障将及时进行排障处理，确保多媒体软硬件系统以最佳状态正常运行。巡检过程建立设备运维记录，并向甲方提供报告，巡检服务内容具体包括：①设备外观完整度检查、②设备供电情况检查、③网络稳定性检查、④触摸屏定位校准检查、⑤显示器亮度检查、⑥软件运行速度检查、⑦系统数据库安全检查、⑧读卡设备检查、⑨计算机运行稳定性检查。</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4.3 软件系统周期安全性检查服务</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针对软件系统，乙方派驻的驻场运维人员在巡检服务基础上开展周期安全性检查服务，具体包括运行安全检查与数据安全检查：</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（1）运行安全检查包括①软件系统版本更新检查、②中控软件系统运行稳定性检查、③互动演示系统功能性检查、④运行冗余数据清除检查。</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（2）数据安全检查包括①系统、多媒体软件、影片内容的定期备份与检查、②系统安全与病毒查杀检查。</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4.4 重大接待保障服务</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乙方为本项目重大接待提供专门技术保障服务。在重大接待前1天与接待当日，乙方派驻的驻场运维人员将开展专项检查服务工作，针对接待参观区域的重点展项开展全方位的弱电硬件设备和软件系统检查。如为特别重大接待的，除驻场运维人员外，甲方可视情况与乙方沟通确认是否需临时加派相关专业软硬件工程师到场配合保障接待工作。</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4.5 应急响应服务</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如因弱电硬件设备或软件系统突发技术故障或其他不可预见事件，导致展馆正常开闭馆或接待产生重大影响的，乙方提供应急保障服务：</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（1）工程师紧急调用：乙方配备有专业完善的服务工程师及技术顾问团队，紧急情况下，乙方可快速调动后备工程师赴项目现场完成运维处置工作。</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（2）备件紧急调用：如项目当地无法及时提供有效备件时，乙方将从中心备件库紧急调用备件，以最快方式最短时间发往项目现场。</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（3）第三方资源紧急调用：乙方建立有完善健全的供应链体系与外部专业技术团队，紧急情况下，乙方将调用第三方后备资源，包括应急备件、专业技术资源、软硬件工程师等。</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4.6 月</w:t>
      </w:r>
      <w:r>
        <w:rPr>
          <w:rFonts w:hint="eastAsia" w:ascii="宋体" w:hAnsi="宋体" w:cs="宋体"/>
          <w:b/>
          <w:bCs/>
          <w:color w:val="auto"/>
          <w:sz w:val="22"/>
          <w:highlight w:val="none"/>
          <w:lang w:val="en-US" w:eastAsia="zh-CN"/>
        </w:rPr>
        <w:t>/</w:t>
      </w:r>
      <w:r>
        <w:rPr>
          <w:rFonts w:hint="eastAsia" w:ascii="宋体" w:hAnsi="宋体" w:cs="宋体"/>
          <w:b/>
          <w:bCs/>
          <w:color w:val="auto"/>
          <w:sz w:val="22"/>
          <w:highlight w:val="none"/>
          <w:lang w:eastAsia="zh-CN"/>
        </w:rPr>
        <w:t>维护期</w:t>
      </w:r>
      <w:r>
        <w:rPr>
          <w:rFonts w:hint="eastAsia" w:ascii="宋体" w:hAnsi="宋体" w:cs="宋体"/>
          <w:b/>
          <w:bCs/>
          <w:color w:val="auto"/>
          <w:sz w:val="22"/>
          <w:highlight w:val="none"/>
        </w:rPr>
        <w:t>报告服务</w:t>
      </w:r>
    </w:p>
    <w:p>
      <w:pPr>
        <w:spacing w:line="360" w:lineRule="auto"/>
        <w:ind w:firstLine="440" w:firstLineChars="200"/>
        <w:rPr>
          <w:rFonts w:ascii="宋体" w:hAnsi="宋体" w:cs="宋体"/>
          <w:b/>
          <w:bCs/>
          <w:color w:val="auto"/>
          <w:sz w:val="22"/>
          <w:highlight w:val="none"/>
        </w:rPr>
      </w:pPr>
      <w:r>
        <w:rPr>
          <w:rFonts w:hint="eastAsia" w:ascii="宋体" w:hAnsi="宋体" w:cs="宋体"/>
          <w:color w:val="auto"/>
          <w:sz w:val="22"/>
          <w:highlight w:val="none"/>
        </w:rPr>
        <w:t>每月度/</w:t>
      </w:r>
      <w:r>
        <w:rPr>
          <w:rFonts w:hint="eastAsia" w:ascii="宋体" w:hAnsi="宋体" w:cs="宋体"/>
          <w:color w:val="auto"/>
          <w:sz w:val="22"/>
          <w:highlight w:val="none"/>
          <w:lang w:eastAsia="zh-CN"/>
        </w:rPr>
        <w:t>维护期</w:t>
      </w:r>
      <w:r>
        <w:rPr>
          <w:rFonts w:hint="eastAsia" w:ascii="宋体" w:hAnsi="宋体" w:cs="宋体"/>
          <w:color w:val="auto"/>
          <w:sz w:val="22"/>
          <w:highlight w:val="none"/>
        </w:rPr>
        <w:t>向甲方提供维保服务的相关统计报告。统计报告内容包括设备的整体运行情况、设备的故障分析及改进措施、运维服务的整体情况等。</w:t>
      </w:r>
      <w:r>
        <w:rPr>
          <w:rFonts w:hint="eastAsia" w:ascii="宋体" w:hAnsi="宋体" w:cs="宋体"/>
          <w:color w:val="auto"/>
          <w:sz w:val="22"/>
          <w:highlight w:val="none"/>
        </w:rPr>
        <w:br w:type="textWrapping"/>
      </w:r>
      <w:r>
        <w:rPr>
          <w:rFonts w:hint="eastAsia" w:ascii="宋体" w:hAnsi="宋体" w:cs="宋体"/>
          <w:color w:val="auto"/>
          <w:sz w:val="22"/>
          <w:highlight w:val="none"/>
        </w:rPr>
        <w:t xml:space="preserve">    </w:t>
      </w:r>
      <w:r>
        <w:rPr>
          <w:rFonts w:hint="eastAsia" w:ascii="宋体" w:hAnsi="宋体" w:cs="宋体"/>
          <w:b/>
          <w:bCs/>
          <w:color w:val="auto"/>
          <w:sz w:val="22"/>
          <w:highlight w:val="none"/>
        </w:rPr>
        <w:t>4.7 备品、备件与消耗品供应体系服务</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乙方拥有完备高效的供应链网络，与各专业技术门类供应商搭建的供应链体系将为本项目提供长期、充足、及时的常用备品、备件与消耗品供应，并拥有最高优先级。备品、备件与消耗品的费用将由甲乙双方依具体事项与紧急程度协商确定。</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4.8 远程响应服务</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乙方7x24小时热线电话为甲方提供30分钟内的远程需求服务与技术咨询。热线电话：</w:t>
      </w:r>
      <w:r>
        <w:rPr>
          <w:rFonts w:hint="eastAsia" w:ascii="宋体" w:hAnsi="宋体" w:cs="宋体"/>
          <w:color w:val="auto"/>
          <w:sz w:val="22"/>
          <w:highlight w:val="none"/>
          <w:u w:val="single"/>
        </w:rPr>
        <w:t>[XXXXXXXXXXX]</w:t>
      </w:r>
      <w:r>
        <w:rPr>
          <w:rFonts w:hint="eastAsia" w:ascii="宋体" w:hAnsi="宋体" w:cs="宋体"/>
          <w:color w:val="auto"/>
          <w:sz w:val="22"/>
          <w:highlight w:val="none"/>
        </w:rPr>
        <w:t>。</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4.9 其他</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因他人故意损坏或不按规范操作、意外、自然灾害等导致弱电硬件设备或软件系统故障、损毁或灭失的，不在本合同乙方日常运维工作合理可预见范围内，亦不作为本合同乙方运维工作责任之缺失。</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第五条 运维服务期限</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本合同约定的运维服务期限为自</w:t>
      </w:r>
      <w:r>
        <w:rPr>
          <w:rFonts w:hint="eastAsia" w:ascii="宋体" w:hAnsi="宋体" w:cs="宋体"/>
          <w:color w:val="auto"/>
          <w:sz w:val="22"/>
          <w:highlight w:val="none"/>
          <w:u w:val="single"/>
        </w:rPr>
        <w:t>202</w:t>
      </w:r>
      <w:r>
        <w:rPr>
          <w:rFonts w:hint="eastAsia" w:ascii="宋体" w:hAnsi="宋体" w:cs="宋体"/>
          <w:color w:val="auto"/>
          <w:sz w:val="22"/>
          <w:highlight w:val="none"/>
          <w:u w:val="single"/>
          <w:lang w:val="en-US" w:eastAsia="zh-CN"/>
        </w:rPr>
        <w:t>4</w:t>
      </w:r>
      <w:r>
        <w:rPr>
          <w:rFonts w:hint="eastAsia" w:ascii="宋体" w:hAnsi="宋体" w:cs="宋体"/>
          <w:color w:val="auto"/>
          <w:sz w:val="22"/>
          <w:highlight w:val="none"/>
          <w:u w:val="single"/>
        </w:rPr>
        <w:t>年6月[XX]日</w:t>
      </w:r>
      <w:r>
        <w:rPr>
          <w:rFonts w:hint="eastAsia" w:ascii="宋体" w:hAnsi="宋体" w:cs="宋体"/>
          <w:color w:val="auto"/>
          <w:sz w:val="22"/>
          <w:highlight w:val="none"/>
        </w:rPr>
        <w:t>至</w:t>
      </w:r>
      <w:r>
        <w:rPr>
          <w:rFonts w:hint="eastAsia" w:ascii="宋体" w:hAnsi="宋体" w:cs="宋体"/>
          <w:color w:val="auto"/>
          <w:sz w:val="22"/>
          <w:highlight w:val="none"/>
          <w:u w:val="single"/>
        </w:rPr>
        <w:t>202</w:t>
      </w:r>
      <w:r>
        <w:rPr>
          <w:rFonts w:hint="eastAsia" w:ascii="宋体" w:hAnsi="宋体" w:cs="宋体"/>
          <w:color w:val="auto"/>
          <w:sz w:val="22"/>
          <w:highlight w:val="none"/>
          <w:u w:val="single"/>
          <w:lang w:val="en-US" w:eastAsia="zh-CN"/>
        </w:rPr>
        <w:t>5</w:t>
      </w:r>
      <w:r>
        <w:rPr>
          <w:rFonts w:hint="eastAsia" w:ascii="宋体" w:hAnsi="宋体" w:cs="宋体"/>
          <w:color w:val="auto"/>
          <w:sz w:val="22"/>
          <w:highlight w:val="none"/>
          <w:u w:val="single"/>
        </w:rPr>
        <w:t>年5月[XX]日</w:t>
      </w:r>
      <w:r>
        <w:rPr>
          <w:rFonts w:hint="eastAsia" w:ascii="宋体" w:hAnsi="宋体" w:cs="宋体"/>
          <w:color w:val="auto"/>
          <w:sz w:val="22"/>
          <w:highlight w:val="none"/>
        </w:rPr>
        <w:t>止</w:t>
      </w:r>
      <w:r>
        <w:rPr>
          <w:rFonts w:hint="eastAsia" w:ascii="宋体" w:hAnsi="宋体" w:cs="宋体"/>
          <w:color w:val="auto"/>
          <w:sz w:val="22"/>
          <w:highlight w:val="none"/>
          <w:lang w:eastAsia="zh-CN"/>
        </w:rPr>
        <w:t>（</w:t>
      </w:r>
      <w:r>
        <w:rPr>
          <w:rFonts w:hint="eastAsia" w:ascii="宋体" w:hAnsi="宋体" w:cs="宋体"/>
          <w:color w:val="auto"/>
          <w:sz w:val="22"/>
          <w:highlight w:val="none"/>
          <w:lang w:val="en-US" w:eastAsia="zh-CN"/>
        </w:rPr>
        <w:t>服务周期共分为四期：第一期为2024年6、7、8月；第二期为2024年9、10、11月；第三期为2024年12月、2025年1、2月；第四期为2025年3、4、5月</w:t>
      </w:r>
      <w:r>
        <w:rPr>
          <w:rFonts w:hint="eastAsia" w:ascii="宋体" w:hAnsi="宋体" w:cs="宋体"/>
          <w:color w:val="auto"/>
          <w:sz w:val="22"/>
          <w:highlight w:val="none"/>
          <w:lang w:eastAsia="zh-CN"/>
        </w:rPr>
        <w:t>）</w:t>
      </w:r>
      <w:r>
        <w:rPr>
          <w:rFonts w:hint="eastAsia" w:ascii="宋体" w:hAnsi="宋体" w:cs="宋体"/>
          <w:color w:val="auto"/>
          <w:sz w:val="22"/>
          <w:highlight w:val="none"/>
        </w:rPr>
        <w:t>。双方可于本合同运维服务期满前20个工作日前进行协商续期，并另行签订运维合同。</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第六条 运维服务费用及付款方式</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6.1 服务费用</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本合同约定范围内的服务费用合计为人民币含税</w:t>
      </w:r>
      <w:r>
        <w:rPr>
          <w:rFonts w:hint="eastAsia" w:ascii="宋体" w:hAnsi="宋体" w:cs="宋体"/>
          <w:color w:val="auto"/>
          <w:sz w:val="22"/>
          <w:highlight w:val="none"/>
          <w:u w:val="single"/>
        </w:rPr>
        <w:t>[XXXXXX]</w:t>
      </w:r>
      <w:r>
        <w:rPr>
          <w:rFonts w:hint="eastAsia" w:ascii="宋体" w:hAnsi="宋体" w:cs="宋体"/>
          <w:color w:val="auto"/>
          <w:sz w:val="22"/>
          <w:highlight w:val="none"/>
        </w:rPr>
        <w:t>元(人民币</w:t>
      </w:r>
      <w:r>
        <w:rPr>
          <w:rFonts w:hint="eastAsia" w:ascii="宋体" w:hAnsi="宋体" w:cs="宋体"/>
          <w:color w:val="auto"/>
          <w:sz w:val="22"/>
          <w:highlight w:val="none"/>
          <w:u w:val="single"/>
        </w:rPr>
        <w:t>[XXXXXX]</w:t>
      </w:r>
      <w:r>
        <w:rPr>
          <w:rFonts w:hint="eastAsia" w:ascii="宋体" w:hAnsi="宋体" w:cs="宋体"/>
          <w:color w:val="auto"/>
          <w:sz w:val="22"/>
          <w:highlight w:val="none"/>
        </w:rPr>
        <w:t>元整)，该费用包括人工费、系统维保费用、维修工具、人员驻场津贴、交通费、派驻人员的食宿费、硬件设备维修、配件更换及内容、软件升级、不可预见费用、企业管理费、人身意外伤害险、履约验收费用、利润、税金及处理一切伤亡事故等完成合同所需的一切本身和不可或缺的所有工作开支、政策性文件规定及合同包含的所有风险、责任等各项全部费用。费用不管是否在报价书中单列，均视为总价中已包括该费用。</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6.2 付款方式</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（1）签订合同后7个工作日内乙方向甲方提交合同金额的1%为履约保证金，履约保证金的形式可以为银行转账或保函（金融机构、担保机构出具）。</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履约保证金用于补偿甲方因乙方不能完成其合同义务而蒙受的损失。</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履约保证金自合同签订之日起至项目验收合格之日起有效。有效期满后15日内，甲方应及时将履约保证金无息退还给乙方。</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（2）甲方向乙方支付服务费用见下表：</w:t>
      </w:r>
    </w:p>
    <w:tbl>
      <w:tblPr>
        <w:tblStyle w:val="2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483"/>
        <w:gridCol w:w="1276"/>
        <w:gridCol w:w="690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67" w:type="pct"/>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lang w:bidi="ar"/>
              </w:rPr>
              <w:t>支付期次</w:t>
            </w:r>
          </w:p>
        </w:tc>
        <w:tc>
          <w:tcPr>
            <w:tcW w:w="660" w:type="pct"/>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lang w:bidi="ar"/>
              </w:rPr>
              <w:t>支付比例(%)</w:t>
            </w:r>
          </w:p>
        </w:tc>
        <w:tc>
          <w:tcPr>
            <w:tcW w:w="3572" w:type="pct"/>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67" w:type="pct"/>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lang w:bidi="ar"/>
              </w:rPr>
              <w:t>1</w:t>
            </w:r>
          </w:p>
        </w:tc>
        <w:tc>
          <w:tcPr>
            <w:tcW w:w="660" w:type="pct"/>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lang w:bidi="ar"/>
              </w:rPr>
              <w:t>40</w:t>
            </w:r>
          </w:p>
        </w:tc>
        <w:tc>
          <w:tcPr>
            <w:tcW w:w="3572" w:type="pct"/>
            <w:tcBorders>
              <w:top w:val="outset" w:color="auto" w:sz="6" w:space="0"/>
              <w:left w:val="outset" w:color="auto" w:sz="6" w:space="0"/>
              <w:bottom w:val="outset" w:color="auto" w:sz="6" w:space="0"/>
              <w:right w:val="outset" w:color="auto" w:sz="6" w:space="0"/>
            </w:tcBorders>
            <w:noWrap/>
            <w:vAlign w:val="center"/>
          </w:tcPr>
          <w:p>
            <w:pPr>
              <w:widowControl/>
              <w:rPr>
                <w:rFonts w:ascii="宋体" w:hAnsi="宋体" w:cs="宋体"/>
                <w:color w:val="auto"/>
                <w:sz w:val="22"/>
                <w:highlight w:val="none"/>
              </w:rPr>
            </w:pPr>
            <w:r>
              <w:rPr>
                <w:rFonts w:hint="eastAsia" w:ascii="宋体" w:hAnsi="宋体" w:cs="宋体"/>
                <w:color w:val="auto"/>
                <w:sz w:val="22"/>
                <w:highlight w:val="none"/>
                <w:lang w:bidi="ar"/>
              </w:rPr>
              <w:t>签订合同后，维保人员入驻，</w:t>
            </w:r>
            <w:r>
              <w:rPr>
                <w:rFonts w:hint="eastAsia" w:ascii="宋体" w:hAnsi="宋体" w:cs="宋体"/>
                <w:color w:val="auto"/>
                <w:sz w:val="22"/>
                <w:highlight w:val="none"/>
              </w:rPr>
              <w:t>甲方</w:t>
            </w:r>
            <w:r>
              <w:rPr>
                <w:rFonts w:hint="eastAsia" w:ascii="宋体" w:hAnsi="宋体" w:cs="宋体"/>
                <w:color w:val="auto"/>
                <w:sz w:val="22"/>
                <w:highlight w:val="none"/>
                <w:lang w:bidi="ar"/>
              </w:rPr>
              <w:t>支付合同金额40%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67" w:type="pct"/>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lang w:bidi="ar"/>
              </w:rPr>
              <w:t>2</w:t>
            </w:r>
          </w:p>
        </w:tc>
        <w:tc>
          <w:tcPr>
            <w:tcW w:w="660" w:type="pct"/>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lang w:bidi="ar"/>
              </w:rPr>
              <w:t>20</w:t>
            </w:r>
          </w:p>
        </w:tc>
        <w:tc>
          <w:tcPr>
            <w:tcW w:w="3572" w:type="pct"/>
            <w:tcBorders>
              <w:top w:val="outset" w:color="auto" w:sz="6" w:space="0"/>
              <w:left w:val="outset" w:color="auto" w:sz="6" w:space="0"/>
              <w:bottom w:val="outset" w:color="auto" w:sz="6" w:space="0"/>
              <w:right w:val="outset" w:color="auto" w:sz="6" w:space="0"/>
            </w:tcBorders>
            <w:noWrap/>
            <w:vAlign w:val="center"/>
          </w:tcPr>
          <w:p>
            <w:pPr>
              <w:widowControl/>
              <w:rPr>
                <w:rFonts w:ascii="宋体" w:hAnsi="宋体" w:cs="宋体"/>
                <w:color w:val="auto"/>
                <w:sz w:val="22"/>
                <w:highlight w:val="none"/>
              </w:rPr>
            </w:pPr>
            <w:r>
              <w:rPr>
                <w:rFonts w:hint="eastAsia" w:ascii="宋体" w:hAnsi="宋体" w:cs="宋体"/>
                <w:color w:val="auto"/>
                <w:sz w:val="22"/>
                <w:highlight w:val="none"/>
                <w:lang w:bidi="ar"/>
              </w:rPr>
              <w:t>第</w:t>
            </w:r>
            <w:r>
              <w:rPr>
                <w:rFonts w:hint="eastAsia" w:ascii="宋体" w:hAnsi="宋体" w:cs="宋体"/>
                <w:color w:val="auto"/>
                <w:sz w:val="22"/>
                <w:highlight w:val="none"/>
                <w:lang w:val="en-US" w:eastAsia="zh-CN" w:bidi="ar"/>
              </w:rPr>
              <w:t>二期</w:t>
            </w:r>
            <w:r>
              <w:rPr>
                <w:rFonts w:hint="eastAsia" w:ascii="宋体" w:hAnsi="宋体" w:cs="宋体"/>
                <w:color w:val="auto"/>
                <w:sz w:val="22"/>
                <w:highlight w:val="none"/>
                <w:lang w:bidi="ar"/>
              </w:rPr>
              <w:t>维保分表95分以上，</w:t>
            </w:r>
            <w:r>
              <w:rPr>
                <w:rFonts w:hint="eastAsia" w:ascii="宋体" w:hAnsi="宋体" w:cs="宋体"/>
                <w:color w:val="auto"/>
                <w:sz w:val="22"/>
                <w:highlight w:val="none"/>
              </w:rPr>
              <w:t>甲方</w:t>
            </w:r>
            <w:r>
              <w:rPr>
                <w:rFonts w:hint="eastAsia" w:ascii="宋体" w:hAnsi="宋体" w:cs="宋体"/>
                <w:color w:val="auto"/>
                <w:sz w:val="22"/>
                <w:highlight w:val="none"/>
                <w:lang w:bidi="ar"/>
              </w:rPr>
              <w:t>支付合同金额的20%。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40" w:hRule="atLeast"/>
          <w:tblCellSpacing w:w="0" w:type="dxa"/>
        </w:trPr>
        <w:tc>
          <w:tcPr>
            <w:tcW w:w="767" w:type="pct"/>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lang w:bidi="ar"/>
              </w:rPr>
              <w:t>3</w:t>
            </w:r>
          </w:p>
        </w:tc>
        <w:tc>
          <w:tcPr>
            <w:tcW w:w="660" w:type="pct"/>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lang w:bidi="ar"/>
              </w:rPr>
              <w:t>20</w:t>
            </w:r>
          </w:p>
        </w:tc>
        <w:tc>
          <w:tcPr>
            <w:tcW w:w="3572" w:type="pct"/>
            <w:tcBorders>
              <w:top w:val="outset" w:color="auto" w:sz="6" w:space="0"/>
              <w:left w:val="outset" w:color="auto" w:sz="6" w:space="0"/>
              <w:bottom w:val="outset" w:color="auto" w:sz="6" w:space="0"/>
              <w:right w:val="outset" w:color="auto" w:sz="6" w:space="0"/>
            </w:tcBorders>
            <w:noWrap/>
            <w:vAlign w:val="center"/>
          </w:tcPr>
          <w:p>
            <w:pPr>
              <w:widowControl/>
              <w:rPr>
                <w:rFonts w:ascii="宋体" w:hAnsi="宋体" w:cs="宋体"/>
                <w:color w:val="auto"/>
                <w:sz w:val="22"/>
                <w:highlight w:val="none"/>
              </w:rPr>
            </w:pPr>
            <w:r>
              <w:rPr>
                <w:rFonts w:hint="eastAsia" w:ascii="宋体" w:hAnsi="宋体" w:cs="宋体"/>
                <w:color w:val="auto"/>
                <w:sz w:val="22"/>
                <w:highlight w:val="none"/>
                <w:lang w:bidi="ar"/>
              </w:rPr>
              <w:t>第</w:t>
            </w:r>
            <w:r>
              <w:rPr>
                <w:rFonts w:hint="eastAsia" w:ascii="宋体" w:hAnsi="宋体" w:cs="宋体"/>
                <w:color w:val="auto"/>
                <w:sz w:val="22"/>
                <w:highlight w:val="none"/>
                <w:lang w:val="en-US" w:eastAsia="zh-CN" w:bidi="ar"/>
              </w:rPr>
              <w:t>三期</w:t>
            </w:r>
            <w:r>
              <w:rPr>
                <w:rFonts w:hint="eastAsia" w:ascii="宋体" w:hAnsi="宋体" w:cs="宋体"/>
                <w:color w:val="auto"/>
                <w:sz w:val="22"/>
                <w:highlight w:val="none"/>
                <w:lang w:bidi="ar"/>
              </w:rPr>
              <w:t>维保分表95分以上，</w:t>
            </w:r>
            <w:r>
              <w:rPr>
                <w:rFonts w:hint="eastAsia" w:ascii="宋体" w:hAnsi="宋体" w:cs="宋体"/>
                <w:color w:val="auto"/>
                <w:sz w:val="22"/>
                <w:highlight w:val="none"/>
              </w:rPr>
              <w:t>甲方</w:t>
            </w:r>
            <w:r>
              <w:rPr>
                <w:rFonts w:hint="eastAsia" w:ascii="宋体" w:hAnsi="宋体" w:cs="宋体"/>
                <w:color w:val="auto"/>
                <w:sz w:val="22"/>
                <w:highlight w:val="none"/>
                <w:lang w:bidi="ar"/>
              </w:rPr>
              <w:t>支付合同金额的20%。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blCellSpacing w:w="0" w:type="dxa"/>
        </w:trPr>
        <w:tc>
          <w:tcPr>
            <w:tcW w:w="767" w:type="pct"/>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lang w:bidi="ar"/>
              </w:rPr>
              <w:t>4</w:t>
            </w:r>
          </w:p>
        </w:tc>
        <w:tc>
          <w:tcPr>
            <w:tcW w:w="660" w:type="pct"/>
            <w:tcBorders>
              <w:top w:val="outset" w:color="auto" w:sz="6" w:space="0"/>
              <w:left w:val="outset" w:color="auto" w:sz="6" w:space="0"/>
              <w:bottom w:val="outset" w:color="auto" w:sz="6" w:space="0"/>
              <w:right w:val="outset" w:color="auto" w:sz="6" w:space="0"/>
            </w:tcBorders>
            <w:noWrap/>
            <w:vAlign w:val="center"/>
          </w:tcPr>
          <w:p>
            <w:pPr>
              <w:widowControl/>
              <w:jc w:val="center"/>
              <w:rPr>
                <w:rFonts w:ascii="宋体" w:hAnsi="宋体" w:cs="宋体"/>
                <w:color w:val="auto"/>
                <w:sz w:val="22"/>
                <w:highlight w:val="none"/>
              </w:rPr>
            </w:pPr>
            <w:r>
              <w:rPr>
                <w:rFonts w:hint="eastAsia" w:ascii="宋体" w:hAnsi="宋体" w:cs="宋体"/>
                <w:color w:val="auto"/>
                <w:sz w:val="22"/>
                <w:highlight w:val="none"/>
                <w:lang w:bidi="ar"/>
              </w:rPr>
              <w:t>20</w:t>
            </w:r>
          </w:p>
        </w:tc>
        <w:tc>
          <w:tcPr>
            <w:tcW w:w="3572" w:type="pct"/>
            <w:tcBorders>
              <w:top w:val="outset" w:color="auto" w:sz="6" w:space="0"/>
              <w:left w:val="outset" w:color="auto" w:sz="6" w:space="0"/>
              <w:bottom w:val="outset" w:color="auto" w:sz="6" w:space="0"/>
              <w:right w:val="outset" w:color="auto" w:sz="6" w:space="0"/>
            </w:tcBorders>
            <w:noWrap/>
            <w:vAlign w:val="center"/>
          </w:tcPr>
          <w:p>
            <w:pPr>
              <w:widowControl/>
              <w:rPr>
                <w:rFonts w:ascii="宋体" w:hAnsi="宋体" w:cs="宋体"/>
                <w:color w:val="auto"/>
                <w:sz w:val="22"/>
                <w:highlight w:val="none"/>
              </w:rPr>
            </w:pPr>
            <w:r>
              <w:rPr>
                <w:rFonts w:hint="eastAsia" w:ascii="宋体" w:hAnsi="宋体" w:cs="宋体"/>
                <w:color w:val="auto"/>
                <w:sz w:val="22"/>
                <w:highlight w:val="none"/>
                <w:lang w:bidi="ar"/>
              </w:rPr>
              <w:t>第</w:t>
            </w:r>
            <w:r>
              <w:rPr>
                <w:rFonts w:hint="eastAsia" w:ascii="宋体" w:hAnsi="宋体" w:cs="宋体"/>
                <w:color w:val="auto"/>
                <w:sz w:val="22"/>
                <w:highlight w:val="none"/>
                <w:lang w:val="en-US" w:eastAsia="zh-CN" w:bidi="ar"/>
              </w:rPr>
              <w:t>四期</w:t>
            </w:r>
            <w:r>
              <w:rPr>
                <w:rFonts w:hint="eastAsia" w:ascii="宋体" w:hAnsi="宋体" w:cs="宋体"/>
                <w:color w:val="auto"/>
                <w:sz w:val="22"/>
                <w:highlight w:val="none"/>
                <w:lang w:bidi="ar"/>
              </w:rPr>
              <w:t>维保分表95分以上，</w:t>
            </w:r>
            <w:r>
              <w:rPr>
                <w:rFonts w:hint="eastAsia" w:ascii="宋体" w:hAnsi="宋体" w:cs="宋体"/>
                <w:color w:val="auto"/>
                <w:sz w:val="22"/>
                <w:highlight w:val="none"/>
              </w:rPr>
              <w:t>甲方</w:t>
            </w:r>
            <w:r>
              <w:rPr>
                <w:rFonts w:hint="eastAsia" w:ascii="宋体" w:hAnsi="宋体" w:cs="宋体"/>
                <w:color w:val="auto"/>
                <w:sz w:val="22"/>
                <w:highlight w:val="none"/>
                <w:lang w:bidi="ar"/>
              </w:rPr>
              <w:t>支付合同金额的20%。</w:t>
            </w:r>
          </w:p>
        </w:tc>
      </w:tr>
    </w:tbl>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（3）甲方应通过银行对公转账的方式将服务费用支付至乙方指定收款账户，乙方向甲方开具当次收款金额的发票，乙方指定收款账户信息如下：</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账户名称：</w:t>
      </w:r>
      <w:r>
        <w:rPr>
          <w:rFonts w:hint="eastAsia" w:ascii="宋体" w:hAnsi="宋体" w:cs="宋体"/>
          <w:color w:val="auto"/>
          <w:sz w:val="22"/>
          <w:highlight w:val="none"/>
          <w:u w:val="single"/>
        </w:rPr>
        <w:t>[XXXXXXXXXXXXXX]</w:t>
      </w:r>
    </w:p>
    <w:p>
      <w:pPr>
        <w:spacing w:line="360" w:lineRule="auto"/>
        <w:ind w:firstLine="440" w:firstLineChars="200"/>
        <w:rPr>
          <w:rFonts w:ascii="宋体" w:hAnsi="宋体" w:cs="宋体"/>
          <w:color w:val="auto"/>
          <w:sz w:val="22"/>
          <w:highlight w:val="none"/>
          <w:u w:val="single"/>
        </w:rPr>
      </w:pPr>
      <w:r>
        <w:rPr>
          <w:rFonts w:hint="eastAsia" w:ascii="宋体" w:hAnsi="宋体" w:cs="宋体"/>
          <w:color w:val="auto"/>
          <w:sz w:val="22"/>
          <w:highlight w:val="none"/>
        </w:rPr>
        <w:t>开户银行：</w:t>
      </w:r>
      <w:r>
        <w:rPr>
          <w:rFonts w:hint="eastAsia" w:ascii="宋体" w:hAnsi="宋体" w:cs="宋体"/>
          <w:color w:val="auto"/>
          <w:sz w:val="22"/>
          <w:highlight w:val="none"/>
          <w:u w:val="single"/>
        </w:rPr>
        <w:t>[XXXXXXXXXXXXXX]</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银行账号：</w:t>
      </w:r>
      <w:r>
        <w:rPr>
          <w:rFonts w:hint="eastAsia" w:ascii="宋体" w:hAnsi="宋体" w:cs="宋体"/>
          <w:color w:val="auto"/>
          <w:sz w:val="22"/>
          <w:highlight w:val="none"/>
          <w:u w:val="single"/>
        </w:rPr>
        <w:t>[XXXXXXXXXXXXXX]</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第七条 工作条件和协作事项</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7.1 甲方有权要求乙方保质保量完成本合同项下的委托事项。乙方须投入足够的人力与物力，以保证运维服务的顺利完成。</w:t>
      </w:r>
    </w:p>
    <w:p>
      <w:pPr>
        <w:spacing w:line="360" w:lineRule="auto"/>
        <w:ind w:firstLine="440" w:firstLineChars="200"/>
        <w:rPr>
          <w:rFonts w:ascii="宋体" w:hAnsi="宋体" w:cs="宋体"/>
          <w:b/>
          <w:bCs/>
          <w:color w:val="auto"/>
          <w:sz w:val="22"/>
          <w:highlight w:val="none"/>
        </w:rPr>
      </w:pPr>
      <w:r>
        <w:rPr>
          <w:rFonts w:hint="eastAsia" w:ascii="宋体" w:hAnsi="宋体" w:cs="宋体"/>
          <w:color w:val="auto"/>
          <w:sz w:val="22"/>
          <w:highlight w:val="none"/>
        </w:rPr>
        <w:t>7.2 乙方提供运维服务过程中，甲方有义务积极配合乙方并提供乙方开展工作的便利。</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第八条 不可抗力</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8.1 若本合同中任一方由于不可抗力的原因影响本合同的正常履行，则本合同应延期履行，延期时间应与事件的持续时间相同。</w:t>
      </w:r>
    </w:p>
    <w:p>
      <w:pPr>
        <w:spacing w:line="360" w:lineRule="auto"/>
        <w:ind w:firstLine="440" w:firstLineChars="200"/>
        <w:rPr>
          <w:rFonts w:ascii="宋体" w:hAnsi="宋体" w:cs="宋体"/>
          <w:b/>
          <w:bCs/>
          <w:color w:val="auto"/>
          <w:sz w:val="22"/>
          <w:highlight w:val="none"/>
        </w:rPr>
      </w:pPr>
      <w:r>
        <w:rPr>
          <w:rFonts w:hint="eastAsia" w:ascii="宋体" w:hAnsi="宋体" w:cs="宋体"/>
          <w:color w:val="auto"/>
          <w:sz w:val="22"/>
          <w:highlight w:val="none"/>
        </w:rPr>
        <w:t>8.2 受阻方应尽快将发生的不可抗力事件情况以最快方式通知另一方，并在随后的十天内提供书面材料给另一方，做为不可抗力的证明。</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第九条 保密</w:t>
      </w:r>
    </w:p>
    <w:p>
      <w:pPr>
        <w:spacing w:line="360" w:lineRule="auto"/>
        <w:ind w:firstLine="440" w:firstLineChars="200"/>
        <w:rPr>
          <w:rFonts w:ascii="宋体" w:hAnsi="宋体" w:cs="宋体"/>
          <w:b/>
          <w:bCs/>
          <w:color w:val="auto"/>
          <w:sz w:val="22"/>
          <w:highlight w:val="none"/>
        </w:rPr>
      </w:pPr>
      <w:r>
        <w:rPr>
          <w:rFonts w:hint="eastAsia" w:ascii="宋体" w:hAnsi="宋体" w:cs="宋体"/>
          <w:color w:val="auto"/>
          <w:sz w:val="22"/>
          <w:highlight w:val="none"/>
        </w:rPr>
        <w:t>甲乙双方对合作涉及的商业机密及专有信息负有保密责任。未经对方书面同意，不得将本合同以及基于本合同产生的合作内容或各种信息透露给第三方，亦不得将了解到的对方商业秘密、内部信息等以任何形式透露给任何第三方。若一方违反保密约定的，则守约方有权要求违约方承担由此造成的全部损失。</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第十条 违约责任</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10.1 除因不可抗力或另有约定外，甲方未按本合同约定的付款期限付款的，每逾期一日，应按合同总价的千分之三向乙方支付违约金。</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10.2 除因不可抗力或另有约定外，乙方未按本合同约定如期完成运维服务的，每逾期一日，应按合同总价的千分之三向甲方支付违约金。</w:t>
      </w:r>
    </w:p>
    <w:p>
      <w:pPr>
        <w:spacing w:line="360" w:lineRule="auto"/>
        <w:ind w:firstLine="440" w:firstLineChars="200"/>
        <w:rPr>
          <w:rFonts w:ascii="宋体" w:hAnsi="宋体" w:cs="宋体"/>
          <w:b/>
          <w:bCs/>
          <w:color w:val="auto"/>
          <w:sz w:val="22"/>
          <w:highlight w:val="none"/>
        </w:rPr>
      </w:pPr>
      <w:r>
        <w:rPr>
          <w:rFonts w:hint="eastAsia" w:ascii="宋体" w:hAnsi="宋体" w:cs="宋体"/>
          <w:color w:val="auto"/>
          <w:sz w:val="22"/>
          <w:highlight w:val="none"/>
        </w:rPr>
        <w:t>10.3 乙方违反本合同及其附件约定的，甲方有权解除本合同。</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第十一条 争议的处理和解决</w:t>
      </w:r>
    </w:p>
    <w:p>
      <w:pPr>
        <w:spacing w:line="360" w:lineRule="auto"/>
        <w:ind w:firstLine="440" w:firstLineChars="200"/>
        <w:rPr>
          <w:rFonts w:ascii="宋体" w:hAnsi="宋体" w:cs="宋体"/>
          <w:b/>
          <w:bCs/>
          <w:color w:val="auto"/>
          <w:sz w:val="22"/>
          <w:highlight w:val="none"/>
        </w:rPr>
      </w:pPr>
      <w:r>
        <w:rPr>
          <w:rFonts w:hint="eastAsia" w:ascii="宋体" w:hAnsi="宋体" w:cs="宋体"/>
          <w:color w:val="auto"/>
          <w:sz w:val="22"/>
          <w:highlight w:val="none"/>
        </w:rPr>
        <w:t>本合同的签订、履行及责任划分均适用于中华人民共和国法律。与本合同有关或履行本合同过程中发生的一切争议，双方应友好协商解决，协商不成的，任何一方均有权向本项目所在地人民法院提起诉讼。</w:t>
      </w:r>
    </w:p>
    <w:p>
      <w:pPr>
        <w:spacing w:line="360" w:lineRule="auto"/>
        <w:ind w:firstLine="442" w:firstLineChars="200"/>
        <w:rPr>
          <w:rFonts w:ascii="宋体" w:hAnsi="宋体" w:cs="宋体"/>
          <w:b/>
          <w:bCs/>
          <w:color w:val="auto"/>
          <w:sz w:val="22"/>
          <w:highlight w:val="none"/>
        </w:rPr>
      </w:pPr>
      <w:r>
        <w:rPr>
          <w:rFonts w:hint="eastAsia" w:ascii="宋体" w:hAnsi="宋体" w:cs="宋体"/>
          <w:b/>
          <w:bCs/>
          <w:color w:val="auto"/>
          <w:sz w:val="22"/>
          <w:highlight w:val="none"/>
        </w:rPr>
        <w:t>第十二条 其它</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12.1 本合同自双方签字、盖章之日起生效。本合同一式肆份，双方各执贰份，具有同等法律效力。本合同附件与本合同具有同等法律效力。</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12.2 对本合同的任何修改和补充，应经双方协商共同签订补充协议，补充协议与本合同具有同等法律效力。</w:t>
      </w:r>
    </w:p>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（以下无正文）</w:t>
      </w:r>
    </w:p>
    <w:p>
      <w:pPr>
        <w:widowControl/>
        <w:spacing w:line="40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highlight w:val="none"/>
        </w:rPr>
        <w:t>附件一：《</w:t>
      </w:r>
      <w:r>
        <w:rPr>
          <w:rStyle w:val="29"/>
          <w:b/>
          <w:color w:val="auto"/>
          <w:sz w:val="22"/>
          <w:szCs w:val="22"/>
          <w:highlight w:val="none"/>
          <w:lang w:val="en-US"/>
        </w:rPr>
        <w:t>温州市城乡展示</w:t>
      </w:r>
      <w:r>
        <w:rPr>
          <w:rStyle w:val="29"/>
          <w:b/>
          <w:color w:val="auto"/>
          <w:sz w:val="22"/>
          <w:szCs w:val="22"/>
          <w:highlight w:val="none"/>
        </w:rPr>
        <w:t>馆</w:t>
      </w:r>
      <w:r>
        <w:rPr>
          <w:rStyle w:val="29"/>
          <w:b/>
          <w:color w:val="auto"/>
          <w:sz w:val="22"/>
          <w:szCs w:val="22"/>
          <w:highlight w:val="none"/>
          <w:lang w:val="en-US"/>
        </w:rPr>
        <w:t>设备</w:t>
      </w:r>
      <w:r>
        <w:rPr>
          <w:rStyle w:val="29"/>
          <w:b/>
          <w:color w:val="auto"/>
          <w:sz w:val="22"/>
          <w:szCs w:val="22"/>
          <w:highlight w:val="none"/>
        </w:rPr>
        <w:t>维修维护项目清单</w:t>
      </w:r>
      <w:r>
        <w:rPr>
          <w:rFonts w:hint="eastAsia" w:ascii="宋体" w:hAnsi="宋体" w:cs="宋体"/>
          <w:color w:val="auto"/>
          <w:sz w:val="22"/>
          <w:highlight w:val="none"/>
        </w:rPr>
        <w:t>》</w:t>
      </w:r>
      <w:r>
        <w:rPr>
          <w:rFonts w:hint="eastAsia" w:ascii="宋体" w:hAnsi="宋体" w:cs="宋体"/>
          <w:color w:val="auto"/>
          <w:sz w:val="22"/>
          <w:highlight w:val="none"/>
          <w:lang w:eastAsia="zh-CN"/>
        </w:rPr>
        <w:t>，</w:t>
      </w:r>
      <w:r>
        <w:rPr>
          <w:rFonts w:hint="eastAsia" w:ascii="宋体" w:hAnsi="宋体" w:cs="宋体"/>
          <w:color w:val="auto"/>
          <w:sz w:val="22"/>
          <w:highlight w:val="none"/>
          <w:lang w:val="en-US" w:eastAsia="zh-CN"/>
        </w:rPr>
        <w:t>详见</w:t>
      </w:r>
      <w:r>
        <w:rPr>
          <w:rFonts w:hint="eastAsia" w:ascii="宋体" w:hAnsi="宋体" w:eastAsia="宋体" w:cs="宋体"/>
          <w:color w:val="auto"/>
          <w:sz w:val="22"/>
          <w:szCs w:val="22"/>
          <w:highlight w:val="none"/>
        </w:rPr>
        <w:t>第五部分 采购需求</w:t>
      </w:r>
      <w:r>
        <w:rPr>
          <w:rFonts w:hint="eastAsia" w:ascii="宋体" w:hAnsi="宋体" w:eastAsia="宋体" w:cs="宋体"/>
          <w:color w:val="auto"/>
          <w:sz w:val="22"/>
          <w:szCs w:val="22"/>
          <w:highlight w:val="none"/>
          <w:lang w:val="en-US" w:eastAsia="zh-CN"/>
        </w:rPr>
        <w:t>之“</w:t>
      </w:r>
      <w:r>
        <w:rPr>
          <w:rFonts w:hint="eastAsia" w:ascii="宋体" w:hAnsi="宋体" w:eastAsia="宋体" w:cs="宋体"/>
          <w:color w:val="auto"/>
          <w:sz w:val="22"/>
          <w:szCs w:val="22"/>
          <w:highlight w:val="none"/>
        </w:rPr>
        <w:t>二、技术和服务要求</w:t>
      </w:r>
      <w:r>
        <w:rPr>
          <w:rFonts w:hint="eastAsia" w:ascii="宋体" w:hAnsi="宋体" w:eastAsia="宋体" w:cs="宋体"/>
          <w:color w:val="auto"/>
          <w:sz w:val="22"/>
          <w:szCs w:val="22"/>
          <w:highlight w:val="none"/>
          <w:lang w:val="en-US" w:eastAsia="zh-CN"/>
        </w:rPr>
        <w:t>”</w:t>
      </w:r>
    </w:p>
    <w:p>
      <w:pPr>
        <w:spacing w:line="360" w:lineRule="auto"/>
        <w:ind w:firstLine="1760" w:firstLineChars="800"/>
        <w:rPr>
          <w:rFonts w:hint="default" w:ascii="宋体" w:hAnsi="宋体" w:cs="宋体"/>
          <w:color w:val="auto"/>
          <w:sz w:val="22"/>
          <w:highlight w:val="none"/>
        </w:rPr>
      </w:pPr>
    </w:p>
    <w:p>
      <w:pPr>
        <w:spacing w:line="360" w:lineRule="auto"/>
        <w:ind w:firstLine="440" w:firstLineChars="200"/>
        <w:rPr>
          <w:rFonts w:hint="default" w:ascii="宋体" w:hAnsi="宋体" w:eastAsia="宋体" w:cs="宋体"/>
          <w:color w:val="auto"/>
          <w:sz w:val="22"/>
          <w:highlight w:val="none"/>
          <w:lang w:val="en-US" w:eastAsia="zh-CN"/>
        </w:rPr>
      </w:pPr>
      <w:r>
        <w:rPr>
          <w:rFonts w:hint="eastAsia" w:ascii="宋体" w:hAnsi="宋体" w:cs="宋体"/>
          <w:color w:val="auto"/>
          <w:sz w:val="22"/>
          <w:highlight w:val="none"/>
        </w:rPr>
        <w:t>附件二：《</w:t>
      </w:r>
      <w:r>
        <w:rPr>
          <w:rFonts w:hint="eastAsia" w:ascii="宋体" w:hAnsi="宋体" w:eastAsia="宋体" w:cs="宋体"/>
          <w:b w:val="0"/>
          <w:bCs w:val="0"/>
          <w:color w:val="auto"/>
          <w:sz w:val="22"/>
          <w:szCs w:val="22"/>
          <w:highlight w:val="none"/>
        </w:rPr>
        <w:t>政府采购履约验收书</w:t>
      </w:r>
      <w:r>
        <w:rPr>
          <w:rFonts w:hint="eastAsia" w:ascii="宋体" w:hAnsi="宋体" w:cs="宋体"/>
          <w:color w:val="auto"/>
          <w:sz w:val="22"/>
          <w:highlight w:val="none"/>
        </w:rPr>
        <w:t>》</w:t>
      </w:r>
    </w:p>
    <w:p>
      <w:pPr>
        <w:widowControl/>
        <w:spacing w:line="400" w:lineRule="exact"/>
        <w:ind w:firstLine="440" w:firstLineChars="200"/>
        <w:rPr>
          <w:rFonts w:hint="eastAsia" w:ascii="宋体" w:hAnsi="宋体" w:eastAsia="宋体" w:cs="宋体"/>
          <w:color w:val="auto"/>
          <w:sz w:val="22"/>
          <w:szCs w:val="22"/>
          <w:highlight w:val="none"/>
        </w:rPr>
      </w:pPr>
      <w:r>
        <w:rPr>
          <w:rFonts w:hint="eastAsia" w:ascii="宋体" w:hAnsi="宋体" w:cs="宋体"/>
          <w:color w:val="auto"/>
          <w:sz w:val="22"/>
          <w:highlight w:val="none"/>
        </w:rPr>
        <w:t>附件三：《设备设施维护工作考核表》</w:t>
      </w:r>
    </w:p>
    <w:p>
      <w:pPr>
        <w:spacing w:line="360" w:lineRule="auto"/>
        <w:rPr>
          <w:rFonts w:hint="eastAsia" w:ascii="宋体" w:hAnsi="宋体" w:eastAsia="宋体" w:cs="宋体"/>
          <w:color w:val="auto"/>
          <w:sz w:val="22"/>
          <w:highlight w:val="none"/>
          <w:lang w:eastAsia="zh-CN"/>
        </w:rPr>
      </w:pPr>
    </w:p>
    <w:p>
      <w:pPr>
        <w:pStyle w:val="7"/>
        <w:rPr>
          <w:rFonts w:ascii="宋体" w:hAnsi="宋体" w:cs="宋体"/>
          <w:color w:val="auto"/>
          <w:sz w:val="22"/>
          <w:highlight w:val="none"/>
        </w:rPr>
      </w:pPr>
    </w:p>
    <w:p>
      <w:pPr>
        <w:spacing w:line="360" w:lineRule="auto"/>
        <w:jc w:val="center"/>
        <w:rPr>
          <w:rFonts w:ascii="宋体" w:hAnsi="宋体" w:cs="宋体"/>
          <w:color w:val="auto"/>
          <w:sz w:val="22"/>
          <w:highlight w:val="none"/>
        </w:rPr>
      </w:pPr>
    </w:p>
    <w:p>
      <w:pPr>
        <w:rPr>
          <w:rFonts w:ascii="宋体" w:hAnsi="宋体" w:cs="宋体"/>
          <w:color w:val="auto"/>
          <w:sz w:val="22"/>
          <w:highlight w:val="none"/>
        </w:rPr>
      </w:pPr>
      <w:r>
        <w:rPr>
          <w:rFonts w:hint="eastAsia" w:ascii="宋体" w:hAnsi="宋体" w:cs="宋体"/>
          <w:color w:val="auto"/>
          <w:sz w:val="22"/>
          <w:highlight w:val="none"/>
        </w:rPr>
        <w:br w:type="page"/>
      </w:r>
    </w:p>
    <w:p>
      <w:pPr>
        <w:spacing w:line="360" w:lineRule="auto"/>
        <w:jc w:val="center"/>
        <w:rPr>
          <w:rFonts w:ascii="宋体" w:hAnsi="宋体" w:cs="宋体"/>
          <w:color w:val="auto"/>
          <w:sz w:val="22"/>
          <w:highlight w:val="none"/>
        </w:rPr>
      </w:pPr>
      <w:r>
        <w:rPr>
          <w:rFonts w:hint="eastAsia" w:ascii="宋体" w:hAnsi="宋体" w:cs="宋体"/>
          <w:color w:val="auto"/>
          <w:sz w:val="22"/>
          <w:highlight w:val="none"/>
        </w:rPr>
        <w:t>（本页无正文，为本合同签署页）</w:t>
      </w:r>
    </w:p>
    <w:p>
      <w:pPr>
        <w:spacing w:line="360" w:lineRule="auto"/>
        <w:rPr>
          <w:rFonts w:ascii="宋体" w:hAnsi="宋体" w:cs="宋体"/>
          <w:color w:val="auto"/>
          <w:sz w:val="22"/>
          <w:highlight w:val="none"/>
        </w:rPr>
      </w:pPr>
    </w:p>
    <w:tbl>
      <w:tblPr>
        <w:tblStyle w:val="22"/>
        <w:tblW w:w="0" w:type="auto"/>
        <w:jc w:val="center"/>
        <w:tblLayout w:type="autofit"/>
        <w:tblCellMar>
          <w:top w:w="0" w:type="dxa"/>
          <w:left w:w="108" w:type="dxa"/>
          <w:bottom w:w="0" w:type="dxa"/>
          <w:right w:w="108" w:type="dxa"/>
        </w:tblCellMar>
      </w:tblPr>
      <w:tblGrid>
        <w:gridCol w:w="4381"/>
        <w:gridCol w:w="4382"/>
      </w:tblGrid>
      <w:tr>
        <w:tblPrEx>
          <w:tblCellMar>
            <w:top w:w="0" w:type="dxa"/>
            <w:left w:w="108" w:type="dxa"/>
            <w:bottom w:w="0" w:type="dxa"/>
            <w:right w:w="108" w:type="dxa"/>
          </w:tblCellMar>
        </w:tblPrEx>
        <w:trPr>
          <w:trHeight w:val="2130" w:hRule="atLeast"/>
          <w:jc w:val="center"/>
        </w:trPr>
        <w:tc>
          <w:tcPr>
            <w:tcW w:w="4381" w:type="dxa"/>
            <w:noWrap/>
            <w:vAlign w:val="top"/>
          </w:tcPr>
          <w:p>
            <w:pPr>
              <w:pStyle w:val="7"/>
              <w:spacing w:before="26"/>
              <w:rPr>
                <w:rFonts w:ascii="宋体" w:hAnsi="宋体" w:cs="宋体"/>
                <w:color w:val="auto"/>
                <w:sz w:val="22"/>
                <w:highlight w:val="none"/>
              </w:rPr>
            </w:pPr>
            <w:r>
              <w:rPr>
                <w:rFonts w:hint="eastAsia" w:ascii="宋体" w:hAnsi="宋体" w:cs="宋体"/>
                <w:color w:val="auto"/>
                <w:sz w:val="22"/>
                <w:highlight w:val="none"/>
              </w:rPr>
              <w:t>甲方：</w:t>
            </w:r>
            <w:r>
              <w:rPr>
                <w:rFonts w:hint="eastAsia" w:ascii="宋体" w:hAnsi="宋体" w:cs="宋体"/>
                <w:color w:val="auto"/>
                <w:sz w:val="22"/>
                <w:highlight w:val="none"/>
                <w:u w:val="single"/>
              </w:rPr>
              <w:t>温州市城乡规划展示馆</w:t>
            </w:r>
          </w:p>
          <w:p>
            <w:pPr>
              <w:pStyle w:val="7"/>
              <w:spacing w:before="26"/>
              <w:rPr>
                <w:rFonts w:ascii="宋体" w:hAnsi="宋体" w:cs="宋体"/>
                <w:color w:val="auto"/>
                <w:sz w:val="22"/>
                <w:highlight w:val="none"/>
              </w:rPr>
            </w:pPr>
            <w:r>
              <w:rPr>
                <w:rFonts w:hint="eastAsia" w:ascii="宋体" w:hAnsi="宋体" w:cs="宋体"/>
                <w:color w:val="auto"/>
                <w:sz w:val="22"/>
                <w:highlight w:val="none"/>
              </w:rPr>
              <w:t>（盖章）</w:t>
            </w:r>
          </w:p>
        </w:tc>
        <w:tc>
          <w:tcPr>
            <w:tcW w:w="4382" w:type="dxa"/>
            <w:noWrap/>
            <w:vAlign w:val="top"/>
          </w:tcPr>
          <w:p>
            <w:pPr>
              <w:pStyle w:val="7"/>
              <w:spacing w:before="26"/>
              <w:rPr>
                <w:rFonts w:ascii="宋体" w:hAnsi="宋体" w:cs="宋体"/>
                <w:color w:val="auto"/>
                <w:sz w:val="22"/>
                <w:highlight w:val="none"/>
              </w:rPr>
            </w:pPr>
            <w:r>
              <w:rPr>
                <w:rFonts w:hint="eastAsia" w:ascii="宋体" w:hAnsi="宋体" w:cs="宋体"/>
                <w:color w:val="auto"/>
                <w:sz w:val="22"/>
                <w:highlight w:val="none"/>
              </w:rPr>
              <w:t>乙方：</w:t>
            </w:r>
            <w:r>
              <w:rPr>
                <w:rFonts w:hint="eastAsia" w:ascii="宋体" w:hAnsi="宋体" w:cs="宋体"/>
                <w:color w:val="auto"/>
                <w:sz w:val="22"/>
                <w:highlight w:val="none"/>
                <w:u w:val="single"/>
              </w:rPr>
              <w:t>[乙方名称]</w:t>
            </w:r>
          </w:p>
          <w:p>
            <w:pPr>
              <w:pStyle w:val="7"/>
              <w:spacing w:before="26"/>
              <w:rPr>
                <w:rFonts w:ascii="宋体" w:hAnsi="宋体" w:cs="宋体"/>
                <w:color w:val="auto"/>
                <w:sz w:val="22"/>
                <w:highlight w:val="none"/>
              </w:rPr>
            </w:pPr>
            <w:r>
              <w:rPr>
                <w:rFonts w:hint="eastAsia" w:ascii="宋体" w:hAnsi="宋体" w:cs="宋体"/>
                <w:color w:val="auto"/>
                <w:sz w:val="22"/>
                <w:highlight w:val="none"/>
              </w:rPr>
              <w:t>（盖章）</w:t>
            </w:r>
          </w:p>
        </w:tc>
      </w:tr>
      <w:tr>
        <w:tblPrEx>
          <w:tblCellMar>
            <w:top w:w="0" w:type="dxa"/>
            <w:left w:w="108" w:type="dxa"/>
            <w:bottom w:w="0" w:type="dxa"/>
            <w:right w:w="108" w:type="dxa"/>
          </w:tblCellMar>
        </w:tblPrEx>
        <w:trPr>
          <w:trHeight w:val="2130" w:hRule="atLeast"/>
          <w:jc w:val="center"/>
        </w:trPr>
        <w:tc>
          <w:tcPr>
            <w:tcW w:w="4381" w:type="dxa"/>
            <w:noWrap/>
            <w:vAlign w:val="top"/>
          </w:tcPr>
          <w:p>
            <w:pPr>
              <w:pStyle w:val="7"/>
              <w:spacing w:before="26"/>
              <w:rPr>
                <w:rFonts w:ascii="宋体" w:hAnsi="宋体" w:cs="宋体"/>
                <w:color w:val="auto"/>
                <w:sz w:val="22"/>
                <w:highlight w:val="none"/>
              </w:rPr>
            </w:pPr>
            <w:r>
              <w:rPr>
                <w:rFonts w:hint="eastAsia" w:ascii="宋体" w:hAnsi="宋体" w:cs="宋体"/>
                <w:color w:val="auto"/>
                <w:sz w:val="22"/>
                <w:highlight w:val="none"/>
              </w:rPr>
              <w:t>法定代表人或委托代理人：</w:t>
            </w:r>
          </w:p>
          <w:p>
            <w:pPr>
              <w:pStyle w:val="7"/>
              <w:spacing w:before="26"/>
              <w:rPr>
                <w:rFonts w:ascii="宋体" w:hAnsi="宋体" w:cs="宋体"/>
                <w:color w:val="auto"/>
                <w:sz w:val="22"/>
                <w:highlight w:val="none"/>
              </w:rPr>
            </w:pPr>
            <w:r>
              <w:rPr>
                <w:rFonts w:hint="eastAsia" w:ascii="宋体" w:hAnsi="宋体" w:cs="宋体"/>
                <w:color w:val="auto"/>
                <w:sz w:val="22"/>
                <w:highlight w:val="none"/>
              </w:rPr>
              <w:t>（签字或盖章）</w:t>
            </w:r>
          </w:p>
        </w:tc>
        <w:tc>
          <w:tcPr>
            <w:tcW w:w="4382" w:type="dxa"/>
            <w:noWrap/>
            <w:vAlign w:val="top"/>
          </w:tcPr>
          <w:p>
            <w:pPr>
              <w:pStyle w:val="7"/>
              <w:spacing w:before="26"/>
              <w:rPr>
                <w:rFonts w:ascii="宋体" w:hAnsi="宋体" w:cs="宋体"/>
                <w:color w:val="auto"/>
                <w:sz w:val="22"/>
                <w:highlight w:val="none"/>
              </w:rPr>
            </w:pPr>
            <w:r>
              <w:rPr>
                <w:rFonts w:hint="eastAsia" w:ascii="宋体" w:hAnsi="宋体" w:cs="宋体"/>
                <w:color w:val="auto"/>
                <w:sz w:val="22"/>
                <w:highlight w:val="none"/>
              </w:rPr>
              <w:t>法定代表人或委托代理人：</w:t>
            </w:r>
          </w:p>
          <w:p>
            <w:pPr>
              <w:pStyle w:val="7"/>
              <w:spacing w:before="26"/>
              <w:rPr>
                <w:rFonts w:ascii="宋体" w:hAnsi="宋体" w:cs="宋体"/>
                <w:color w:val="auto"/>
                <w:sz w:val="22"/>
                <w:highlight w:val="none"/>
              </w:rPr>
            </w:pPr>
            <w:r>
              <w:rPr>
                <w:rFonts w:hint="eastAsia" w:ascii="宋体" w:hAnsi="宋体" w:cs="宋体"/>
                <w:color w:val="auto"/>
                <w:sz w:val="22"/>
                <w:highlight w:val="none"/>
              </w:rPr>
              <w:t>（签字或盖章）</w:t>
            </w:r>
          </w:p>
        </w:tc>
      </w:tr>
      <w:tr>
        <w:tblPrEx>
          <w:tblCellMar>
            <w:top w:w="0" w:type="dxa"/>
            <w:left w:w="108" w:type="dxa"/>
            <w:bottom w:w="0" w:type="dxa"/>
            <w:right w:w="108" w:type="dxa"/>
          </w:tblCellMar>
        </w:tblPrEx>
        <w:trPr>
          <w:trHeight w:val="1234" w:hRule="atLeast"/>
          <w:jc w:val="center"/>
        </w:trPr>
        <w:tc>
          <w:tcPr>
            <w:tcW w:w="4381" w:type="dxa"/>
            <w:noWrap/>
            <w:vAlign w:val="top"/>
          </w:tcPr>
          <w:p>
            <w:pPr>
              <w:pStyle w:val="7"/>
              <w:spacing w:before="26"/>
              <w:rPr>
                <w:rFonts w:ascii="宋体" w:hAnsi="宋体" w:cs="宋体"/>
                <w:color w:val="auto"/>
                <w:sz w:val="22"/>
                <w:highlight w:val="none"/>
              </w:rPr>
            </w:pPr>
            <w:r>
              <w:rPr>
                <w:rFonts w:hint="eastAsia" w:ascii="宋体" w:hAnsi="宋体" w:cs="宋体"/>
                <w:color w:val="auto"/>
                <w:sz w:val="22"/>
                <w:highlight w:val="none"/>
              </w:rPr>
              <w:t>地址：</w:t>
            </w:r>
          </w:p>
        </w:tc>
        <w:tc>
          <w:tcPr>
            <w:tcW w:w="4382" w:type="dxa"/>
            <w:noWrap/>
            <w:vAlign w:val="top"/>
          </w:tcPr>
          <w:p>
            <w:pPr>
              <w:pStyle w:val="7"/>
              <w:spacing w:before="26"/>
              <w:rPr>
                <w:rFonts w:ascii="宋体" w:hAnsi="宋体" w:cs="宋体"/>
                <w:color w:val="auto"/>
                <w:sz w:val="22"/>
                <w:highlight w:val="none"/>
              </w:rPr>
            </w:pPr>
            <w:r>
              <w:rPr>
                <w:rFonts w:hint="eastAsia" w:ascii="宋体" w:hAnsi="宋体" w:cs="宋体"/>
                <w:color w:val="auto"/>
                <w:sz w:val="22"/>
                <w:highlight w:val="none"/>
              </w:rPr>
              <w:t>地址：</w:t>
            </w:r>
          </w:p>
        </w:tc>
      </w:tr>
      <w:tr>
        <w:tblPrEx>
          <w:tblCellMar>
            <w:top w:w="0" w:type="dxa"/>
            <w:left w:w="108" w:type="dxa"/>
            <w:bottom w:w="0" w:type="dxa"/>
            <w:right w:w="108" w:type="dxa"/>
          </w:tblCellMar>
        </w:tblPrEx>
        <w:trPr>
          <w:trHeight w:val="417" w:hRule="atLeast"/>
          <w:jc w:val="center"/>
        </w:trPr>
        <w:tc>
          <w:tcPr>
            <w:tcW w:w="4381" w:type="dxa"/>
            <w:noWrap/>
            <w:vAlign w:val="top"/>
          </w:tcPr>
          <w:p>
            <w:pPr>
              <w:pStyle w:val="7"/>
              <w:spacing w:before="26"/>
              <w:rPr>
                <w:rFonts w:ascii="宋体" w:hAnsi="宋体" w:cs="宋体"/>
                <w:snapToGrid w:val="0"/>
                <w:color w:val="auto"/>
                <w:kern w:val="0"/>
                <w:sz w:val="22"/>
                <w:highlight w:val="none"/>
              </w:rPr>
            </w:pPr>
            <w:r>
              <w:rPr>
                <w:rFonts w:hint="eastAsia" w:ascii="宋体" w:hAnsi="宋体" w:cs="宋体"/>
                <w:color w:val="auto"/>
                <w:sz w:val="22"/>
                <w:highlight w:val="none"/>
              </w:rPr>
              <w:t>联系人：</w:t>
            </w:r>
          </w:p>
        </w:tc>
        <w:tc>
          <w:tcPr>
            <w:tcW w:w="4382" w:type="dxa"/>
            <w:noWrap/>
            <w:vAlign w:val="top"/>
          </w:tcPr>
          <w:p>
            <w:pPr>
              <w:pStyle w:val="7"/>
              <w:spacing w:before="26"/>
              <w:rPr>
                <w:rFonts w:ascii="宋体" w:hAnsi="宋体" w:cs="宋体"/>
                <w:snapToGrid w:val="0"/>
                <w:color w:val="auto"/>
                <w:kern w:val="0"/>
                <w:sz w:val="22"/>
                <w:highlight w:val="none"/>
              </w:rPr>
            </w:pPr>
            <w:r>
              <w:rPr>
                <w:rFonts w:hint="eastAsia" w:ascii="宋体" w:hAnsi="宋体" w:cs="宋体"/>
                <w:color w:val="auto"/>
                <w:sz w:val="22"/>
                <w:highlight w:val="none"/>
              </w:rPr>
              <w:t xml:space="preserve">联系人：              </w:t>
            </w:r>
          </w:p>
        </w:tc>
      </w:tr>
      <w:tr>
        <w:tblPrEx>
          <w:tblCellMar>
            <w:top w:w="0" w:type="dxa"/>
            <w:left w:w="108" w:type="dxa"/>
            <w:bottom w:w="0" w:type="dxa"/>
            <w:right w:w="108" w:type="dxa"/>
          </w:tblCellMar>
        </w:tblPrEx>
        <w:trPr>
          <w:trHeight w:val="417" w:hRule="atLeast"/>
          <w:jc w:val="center"/>
        </w:trPr>
        <w:tc>
          <w:tcPr>
            <w:tcW w:w="4381" w:type="dxa"/>
            <w:noWrap/>
            <w:vAlign w:val="top"/>
          </w:tcPr>
          <w:p>
            <w:pPr>
              <w:pStyle w:val="7"/>
              <w:spacing w:before="26"/>
              <w:rPr>
                <w:rFonts w:ascii="宋体" w:hAnsi="宋体" w:cs="宋体"/>
                <w:snapToGrid w:val="0"/>
                <w:color w:val="auto"/>
                <w:kern w:val="0"/>
                <w:sz w:val="22"/>
                <w:highlight w:val="none"/>
              </w:rPr>
            </w:pPr>
            <w:r>
              <w:rPr>
                <w:rFonts w:hint="eastAsia" w:ascii="宋体" w:hAnsi="宋体" w:cs="宋体"/>
                <w:color w:val="auto"/>
                <w:sz w:val="22"/>
                <w:highlight w:val="none"/>
              </w:rPr>
              <w:t>联系电话：</w:t>
            </w:r>
          </w:p>
        </w:tc>
        <w:tc>
          <w:tcPr>
            <w:tcW w:w="4382" w:type="dxa"/>
            <w:noWrap/>
            <w:vAlign w:val="top"/>
          </w:tcPr>
          <w:p>
            <w:pPr>
              <w:pStyle w:val="7"/>
              <w:spacing w:before="26"/>
              <w:rPr>
                <w:rFonts w:ascii="宋体" w:hAnsi="宋体" w:cs="宋体"/>
                <w:snapToGrid w:val="0"/>
                <w:color w:val="auto"/>
                <w:kern w:val="0"/>
                <w:sz w:val="22"/>
                <w:highlight w:val="none"/>
              </w:rPr>
            </w:pPr>
            <w:r>
              <w:rPr>
                <w:rFonts w:hint="eastAsia" w:ascii="宋体" w:hAnsi="宋体" w:cs="宋体"/>
                <w:color w:val="auto"/>
                <w:sz w:val="22"/>
                <w:highlight w:val="none"/>
              </w:rPr>
              <w:t xml:space="preserve">联系电话：             </w:t>
            </w:r>
          </w:p>
        </w:tc>
      </w:tr>
      <w:tr>
        <w:tblPrEx>
          <w:tblCellMar>
            <w:top w:w="0" w:type="dxa"/>
            <w:left w:w="108" w:type="dxa"/>
            <w:bottom w:w="0" w:type="dxa"/>
            <w:right w:w="108" w:type="dxa"/>
          </w:tblCellMar>
        </w:tblPrEx>
        <w:trPr>
          <w:trHeight w:val="417" w:hRule="atLeast"/>
          <w:jc w:val="center"/>
        </w:trPr>
        <w:tc>
          <w:tcPr>
            <w:tcW w:w="4381" w:type="dxa"/>
            <w:noWrap/>
            <w:vAlign w:val="top"/>
          </w:tcPr>
          <w:p>
            <w:pPr>
              <w:pStyle w:val="7"/>
              <w:spacing w:before="26"/>
              <w:rPr>
                <w:rFonts w:ascii="宋体" w:hAnsi="宋体" w:cs="宋体"/>
                <w:snapToGrid w:val="0"/>
                <w:color w:val="auto"/>
                <w:kern w:val="0"/>
                <w:sz w:val="22"/>
                <w:highlight w:val="none"/>
              </w:rPr>
            </w:pPr>
            <w:r>
              <w:rPr>
                <w:rFonts w:hint="eastAsia" w:ascii="宋体" w:hAnsi="宋体" w:cs="宋体"/>
                <w:color w:val="auto"/>
                <w:sz w:val="22"/>
                <w:highlight w:val="none"/>
              </w:rPr>
              <w:t>联系邮箱：</w:t>
            </w:r>
          </w:p>
        </w:tc>
        <w:tc>
          <w:tcPr>
            <w:tcW w:w="4382" w:type="dxa"/>
            <w:noWrap/>
            <w:vAlign w:val="top"/>
          </w:tcPr>
          <w:p>
            <w:pPr>
              <w:pStyle w:val="7"/>
              <w:spacing w:before="26"/>
              <w:rPr>
                <w:rFonts w:ascii="宋体" w:hAnsi="宋体" w:cs="宋体"/>
                <w:snapToGrid w:val="0"/>
                <w:color w:val="auto"/>
                <w:kern w:val="0"/>
                <w:sz w:val="22"/>
                <w:highlight w:val="none"/>
              </w:rPr>
            </w:pPr>
            <w:r>
              <w:rPr>
                <w:rFonts w:hint="eastAsia" w:ascii="宋体" w:hAnsi="宋体" w:cs="宋体"/>
                <w:color w:val="auto"/>
                <w:sz w:val="22"/>
                <w:highlight w:val="none"/>
              </w:rPr>
              <w:t xml:space="preserve">联系邮箱：              </w:t>
            </w:r>
          </w:p>
        </w:tc>
      </w:tr>
      <w:tr>
        <w:tblPrEx>
          <w:tblCellMar>
            <w:top w:w="0" w:type="dxa"/>
            <w:left w:w="108" w:type="dxa"/>
            <w:bottom w:w="0" w:type="dxa"/>
            <w:right w:w="108" w:type="dxa"/>
          </w:tblCellMar>
        </w:tblPrEx>
        <w:trPr>
          <w:trHeight w:val="417" w:hRule="atLeast"/>
          <w:jc w:val="center"/>
        </w:trPr>
        <w:tc>
          <w:tcPr>
            <w:tcW w:w="4381" w:type="dxa"/>
            <w:noWrap/>
            <w:vAlign w:val="top"/>
          </w:tcPr>
          <w:p>
            <w:pPr>
              <w:pStyle w:val="7"/>
              <w:spacing w:before="26"/>
              <w:rPr>
                <w:rFonts w:ascii="宋体" w:hAnsi="宋体" w:cs="宋体"/>
                <w:color w:val="auto"/>
                <w:sz w:val="22"/>
                <w:highlight w:val="none"/>
              </w:rPr>
            </w:pPr>
          </w:p>
        </w:tc>
        <w:tc>
          <w:tcPr>
            <w:tcW w:w="4382" w:type="dxa"/>
            <w:noWrap/>
            <w:vAlign w:val="top"/>
          </w:tcPr>
          <w:p>
            <w:pPr>
              <w:pStyle w:val="7"/>
              <w:spacing w:before="26"/>
              <w:rPr>
                <w:rFonts w:ascii="宋体" w:hAnsi="宋体" w:cs="宋体"/>
                <w:color w:val="auto"/>
                <w:sz w:val="22"/>
                <w:highlight w:val="none"/>
              </w:rPr>
            </w:pPr>
          </w:p>
        </w:tc>
      </w:tr>
      <w:tr>
        <w:tblPrEx>
          <w:tblCellMar>
            <w:top w:w="0" w:type="dxa"/>
            <w:left w:w="108" w:type="dxa"/>
            <w:bottom w:w="0" w:type="dxa"/>
            <w:right w:w="108" w:type="dxa"/>
          </w:tblCellMar>
        </w:tblPrEx>
        <w:trPr>
          <w:trHeight w:val="417" w:hRule="atLeast"/>
          <w:jc w:val="center"/>
        </w:trPr>
        <w:tc>
          <w:tcPr>
            <w:tcW w:w="4381" w:type="dxa"/>
            <w:noWrap/>
            <w:vAlign w:val="top"/>
          </w:tcPr>
          <w:p>
            <w:pPr>
              <w:pStyle w:val="7"/>
              <w:spacing w:before="26"/>
              <w:rPr>
                <w:rFonts w:ascii="宋体" w:hAnsi="宋体" w:cs="宋体"/>
                <w:color w:val="auto"/>
                <w:sz w:val="22"/>
                <w:highlight w:val="none"/>
              </w:rPr>
            </w:pPr>
          </w:p>
        </w:tc>
        <w:tc>
          <w:tcPr>
            <w:tcW w:w="4382" w:type="dxa"/>
            <w:noWrap/>
            <w:vAlign w:val="top"/>
          </w:tcPr>
          <w:p>
            <w:pPr>
              <w:pStyle w:val="7"/>
              <w:spacing w:before="26"/>
              <w:rPr>
                <w:rFonts w:ascii="宋体" w:hAnsi="宋体" w:cs="宋体"/>
                <w:color w:val="auto"/>
                <w:sz w:val="22"/>
                <w:highlight w:val="none"/>
              </w:rPr>
            </w:pPr>
            <w:r>
              <w:rPr>
                <w:rFonts w:hint="eastAsia" w:ascii="宋体" w:hAnsi="宋体" w:cs="宋体"/>
                <w:color w:val="auto"/>
                <w:sz w:val="22"/>
                <w:highlight w:val="none"/>
              </w:rPr>
              <w:t>签署时间：</w:t>
            </w:r>
            <w:r>
              <w:rPr>
                <w:rFonts w:hint="eastAsia" w:ascii="宋体" w:hAnsi="宋体" w:cs="宋体"/>
                <w:color w:val="auto"/>
                <w:sz w:val="22"/>
                <w:highlight w:val="none"/>
                <w:u w:val="single"/>
              </w:rPr>
              <w:t>[XXXX]</w:t>
            </w:r>
            <w:r>
              <w:rPr>
                <w:rFonts w:hint="eastAsia" w:ascii="宋体" w:hAnsi="宋体" w:cs="宋体"/>
                <w:color w:val="auto"/>
                <w:sz w:val="22"/>
                <w:highlight w:val="none"/>
              </w:rPr>
              <w:t>年</w:t>
            </w:r>
            <w:r>
              <w:rPr>
                <w:rFonts w:hint="eastAsia" w:ascii="宋体" w:hAnsi="宋体" w:cs="宋体"/>
                <w:color w:val="auto"/>
                <w:sz w:val="22"/>
                <w:highlight w:val="none"/>
                <w:u w:val="single"/>
              </w:rPr>
              <w:t>[XX]</w:t>
            </w:r>
            <w:r>
              <w:rPr>
                <w:rFonts w:hint="eastAsia" w:ascii="宋体" w:hAnsi="宋体" w:cs="宋体"/>
                <w:color w:val="auto"/>
                <w:sz w:val="22"/>
                <w:highlight w:val="none"/>
              </w:rPr>
              <w:t>月</w:t>
            </w:r>
            <w:r>
              <w:rPr>
                <w:rFonts w:hint="eastAsia" w:ascii="宋体" w:hAnsi="宋体" w:cs="宋体"/>
                <w:color w:val="auto"/>
                <w:sz w:val="22"/>
                <w:highlight w:val="none"/>
                <w:u w:val="single"/>
              </w:rPr>
              <w:t>[XX]</w:t>
            </w:r>
            <w:r>
              <w:rPr>
                <w:rFonts w:hint="eastAsia" w:ascii="宋体" w:hAnsi="宋体" w:cs="宋体"/>
                <w:color w:val="auto"/>
                <w:sz w:val="22"/>
                <w:highlight w:val="none"/>
              </w:rPr>
              <w:t>日</w:t>
            </w:r>
          </w:p>
        </w:tc>
      </w:tr>
      <w:tr>
        <w:tblPrEx>
          <w:tblCellMar>
            <w:top w:w="0" w:type="dxa"/>
            <w:left w:w="108" w:type="dxa"/>
            <w:bottom w:w="0" w:type="dxa"/>
            <w:right w:w="108" w:type="dxa"/>
          </w:tblCellMar>
        </w:tblPrEx>
        <w:trPr>
          <w:trHeight w:val="305" w:hRule="atLeast"/>
          <w:jc w:val="center"/>
        </w:trPr>
        <w:tc>
          <w:tcPr>
            <w:tcW w:w="4381" w:type="dxa"/>
            <w:noWrap/>
            <w:vAlign w:val="top"/>
          </w:tcPr>
          <w:p>
            <w:pPr>
              <w:pStyle w:val="7"/>
              <w:spacing w:before="26"/>
              <w:rPr>
                <w:rFonts w:ascii="宋体" w:hAnsi="宋体" w:cs="宋体"/>
                <w:color w:val="auto"/>
                <w:sz w:val="22"/>
                <w:highlight w:val="none"/>
              </w:rPr>
            </w:pPr>
          </w:p>
        </w:tc>
        <w:tc>
          <w:tcPr>
            <w:tcW w:w="4382" w:type="dxa"/>
            <w:noWrap/>
            <w:vAlign w:val="top"/>
          </w:tcPr>
          <w:p>
            <w:pPr>
              <w:pStyle w:val="7"/>
              <w:spacing w:before="26"/>
              <w:rPr>
                <w:rFonts w:ascii="宋体" w:hAnsi="宋体" w:cs="宋体"/>
                <w:color w:val="auto"/>
                <w:sz w:val="22"/>
                <w:highlight w:val="none"/>
              </w:rPr>
            </w:pPr>
            <w:r>
              <w:rPr>
                <w:rFonts w:hint="eastAsia" w:ascii="宋体" w:hAnsi="宋体" w:cs="宋体"/>
                <w:color w:val="auto"/>
                <w:sz w:val="22"/>
                <w:highlight w:val="none"/>
              </w:rPr>
              <w:t>签署地点：</w:t>
            </w:r>
            <w:r>
              <w:rPr>
                <w:rFonts w:hint="eastAsia" w:ascii="宋体" w:hAnsi="宋体" w:cs="宋体"/>
                <w:color w:val="auto"/>
                <w:sz w:val="22"/>
                <w:highlight w:val="none"/>
                <w:u w:val="single"/>
              </w:rPr>
              <w:t>[项目所在地]</w:t>
            </w:r>
          </w:p>
        </w:tc>
      </w:tr>
    </w:tbl>
    <w:p>
      <w:pPr>
        <w:spacing w:line="360" w:lineRule="auto"/>
        <w:rPr>
          <w:rFonts w:ascii="宋体" w:hAnsi="宋体" w:cs="宋体"/>
          <w:color w:val="auto"/>
          <w:sz w:val="24"/>
          <w:szCs w:val="32"/>
          <w:highlight w:val="none"/>
        </w:rPr>
      </w:pPr>
    </w:p>
    <w:p>
      <w:pPr>
        <w:pStyle w:val="7"/>
        <w:rPr>
          <w:rFonts w:cs="宋体"/>
          <w:color w:val="auto"/>
          <w:szCs w:val="32"/>
          <w:highlight w:val="none"/>
        </w:rPr>
      </w:pPr>
    </w:p>
    <w:p>
      <w:pPr>
        <w:rPr>
          <w:rFonts w:ascii="宋体" w:hAnsi="宋体" w:cs="宋体"/>
          <w:color w:val="auto"/>
          <w:sz w:val="24"/>
          <w:szCs w:val="32"/>
          <w:highlight w:val="none"/>
        </w:rPr>
      </w:pPr>
      <w:r>
        <w:rPr>
          <w:rFonts w:hint="eastAsia" w:ascii="宋体" w:hAnsi="宋体" w:cs="宋体"/>
          <w:color w:val="auto"/>
          <w:sz w:val="24"/>
          <w:szCs w:val="32"/>
          <w:highlight w:val="none"/>
        </w:rPr>
        <w:br w:type="page"/>
      </w:r>
    </w:p>
    <w:p>
      <w:pPr>
        <w:widowControl/>
        <w:overflowPunct w:val="0"/>
        <w:autoSpaceDE w:val="0"/>
        <w:autoSpaceDN w:val="0"/>
        <w:adjustRightInd w:val="0"/>
        <w:snapToGrid w:val="0"/>
        <w:spacing w:line="440" w:lineRule="exact"/>
        <w:jc w:val="left"/>
        <w:textAlignment w:val="baseline"/>
        <w:rPr>
          <w:rFonts w:ascii="宋体" w:hAnsi="宋体" w:cs="宋体"/>
          <w:color w:val="auto"/>
          <w:sz w:val="22"/>
          <w:highlight w:val="none"/>
        </w:rPr>
        <w:sectPr>
          <w:footerReference r:id="rId7" w:type="default"/>
          <w:footerReference r:id="rId8" w:type="even"/>
          <w:pgSz w:w="11906" w:h="16838"/>
          <w:pgMar w:top="1134" w:right="1134" w:bottom="1134" w:left="1134" w:header="851" w:footer="992" w:gutter="0"/>
          <w:cols w:space="720" w:num="1"/>
          <w:docGrid w:linePitch="312" w:charSpace="0"/>
        </w:sectPr>
      </w:pPr>
    </w:p>
    <w:bookmarkEnd w:id="13"/>
    <w:bookmarkEnd w:id="14"/>
    <w:p>
      <w:pPr>
        <w:rPr>
          <w:rFonts w:ascii="宋体" w:hAnsi="宋体" w:cs="宋体"/>
          <w:color w:val="auto"/>
          <w:sz w:val="22"/>
          <w:highlight w:val="none"/>
        </w:rPr>
      </w:pPr>
      <w:r>
        <w:rPr>
          <w:rFonts w:hint="eastAsia" w:ascii="宋体" w:hAnsi="宋体" w:cs="宋体"/>
          <w:color w:val="auto"/>
          <w:sz w:val="22"/>
          <w:highlight w:val="none"/>
        </w:rPr>
        <w:t>附件</w:t>
      </w:r>
      <w:r>
        <w:rPr>
          <w:rFonts w:hint="eastAsia" w:ascii="宋体" w:hAnsi="宋体" w:cs="宋体"/>
          <w:color w:val="auto"/>
          <w:sz w:val="22"/>
          <w:highlight w:val="none"/>
          <w:lang w:eastAsia="zh-CN"/>
        </w:rPr>
        <w:t>二</w:t>
      </w:r>
      <w:r>
        <w:rPr>
          <w:rFonts w:hint="eastAsia" w:ascii="宋体" w:hAnsi="宋体" w:cs="宋体"/>
          <w:color w:val="auto"/>
          <w:sz w:val="22"/>
          <w:highlight w:val="none"/>
        </w:rPr>
        <w:t>：</w:t>
      </w:r>
    </w:p>
    <w:p>
      <w:pPr>
        <w:spacing w:before="240" w:beforeLines="100" w:line="480" w:lineRule="auto"/>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政府采购履约验收书（参考模板）</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903"/>
        <w:gridCol w:w="1319"/>
        <w:gridCol w:w="218"/>
        <w:gridCol w:w="1174"/>
        <w:gridCol w:w="246"/>
        <w:gridCol w:w="632"/>
        <w:gridCol w:w="1334"/>
        <w:gridCol w:w="594"/>
        <w:gridCol w:w="745"/>
        <w:gridCol w:w="322"/>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915" w:type="dxa"/>
            <w:gridSpan w:val="1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一、验收方案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9915" w:type="dxa"/>
            <w:gridSpan w:val="1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（一）项目基本情况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采购人名称</w:t>
            </w:r>
          </w:p>
        </w:tc>
        <w:tc>
          <w:tcPr>
            <w:tcW w:w="3827" w:type="dxa"/>
            <w:gridSpan w:val="5"/>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供应商名称</w:t>
            </w:r>
          </w:p>
        </w:tc>
        <w:tc>
          <w:tcPr>
            <w:tcW w:w="2543" w:type="dxa"/>
            <w:gridSpan w:val="4"/>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3827" w:type="dxa"/>
            <w:gridSpan w:val="5"/>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合同编号</w:t>
            </w:r>
          </w:p>
        </w:tc>
        <w:tc>
          <w:tcPr>
            <w:tcW w:w="2543" w:type="dxa"/>
            <w:gridSpan w:val="4"/>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1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合同签订时间</w:t>
            </w:r>
          </w:p>
        </w:tc>
        <w:tc>
          <w:tcPr>
            <w:tcW w:w="3827" w:type="dxa"/>
            <w:gridSpan w:val="5"/>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合同规定验收时间</w:t>
            </w:r>
          </w:p>
        </w:tc>
        <w:tc>
          <w:tcPr>
            <w:tcW w:w="2543" w:type="dxa"/>
            <w:gridSpan w:val="4"/>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21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项目类型</w:t>
            </w:r>
          </w:p>
        </w:tc>
        <w:tc>
          <w:tcPr>
            <w:tcW w:w="3827" w:type="dxa"/>
            <w:gridSpan w:val="5"/>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货物/</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服务</w:t>
            </w: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合同金额</w:t>
            </w:r>
          </w:p>
        </w:tc>
        <w:tc>
          <w:tcPr>
            <w:tcW w:w="2543" w:type="dxa"/>
            <w:gridSpan w:val="4"/>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9915" w:type="dxa"/>
            <w:gridSpan w:val="1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（二）验收方式与方法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1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验收组织方式</w:t>
            </w:r>
          </w:p>
        </w:tc>
        <w:tc>
          <w:tcPr>
            <w:tcW w:w="3827" w:type="dxa"/>
            <w:gridSpan w:val="5"/>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自行组织/</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委托代理</w:t>
            </w: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代理机构名称</w:t>
            </w:r>
          </w:p>
        </w:tc>
        <w:tc>
          <w:tcPr>
            <w:tcW w:w="2543" w:type="dxa"/>
            <w:gridSpan w:val="4"/>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1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验收方式</w:t>
            </w:r>
          </w:p>
        </w:tc>
        <w:tc>
          <w:tcPr>
            <w:tcW w:w="3827" w:type="dxa"/>
            <w:gridSpan w:val="5"/>
            <w:noWrap w:val="0"/>
            <w:vAlign w:val="center"/>
          </w:tcPr>
          <w:p>
            <w:pPr>
              <w:jc w:val="left"/>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一般验收程序/ </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简易验收程序</w:t>
            </w: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选择简易验收理由</w:t>
            </w:r>
          </w:p>
        </w:tc>
        <w:tc>
          <w:tcPr>
            <w:tcW w:w="2543" w:type="dxa"/>
            <w:gridSpan w:val="4"/>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21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验收方法</w:t>
            </w:r>
          </w:p>
        </w:tc>
        <w:tc>
          <w:tcPr>
            <w:tcW w:w="3827" w:type="dxa"/>
            <w:gridSpan w:val="5"/>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一次性验收/</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分段验收/</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分期验收</w:t>
            </w: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选择非一次性验收理由</w:t>
            </w:r>
          </w:p>
        </w:tc>
        <w:tc>
          <w:tcPr>
            <w:tcW w:w="2543" w:type="dxa"/>
            <w:gridSpan w:val="4"/>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124" w:type="dxa"/>
            <w:gridSpan w:val="2"/>
            <w:vMerge w:val="restart"/>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大型或复杂项目</w:t>
            </w:r>
          </w:p>
        </w:tc>
        <w:tc>
          <w:tcPr>
            <w:tcW w:w="3827" w:type="dxa"/>
            <w:gridSpan w:val="5"/>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是/</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否</w:t>
            </w:r>
          </w:p>
        </w:tc>
        <w:tc>
          <w:tcPr>
            <w:tcW w:w="1421" w:type="dxa"/>
            <w:vMerge w:val="restart"/>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邀请本项目其他供应商</w:t>
            </w:r>
          </w:p>
        </w:tc>
        <w:tc>
          <w:tcPr>
            <w:tcW w:w="2543" w:type="dxa"/>
            <w:gridSpan w:val="4"/>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是/</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参与验收监测机构名称</w:t>
            </w:r>
          </w:p>
        </w:tc>
        <w:tc>
          <w:tcPr>
            <w:tcW w:w="2178" w:type="dxa"/>
            <w:gridSpan w:val="3"/>
            <w:noWrap w:val="0"/>
            <w:vAlign w:val="center"/>
          </w:tcPr>
          <w:p>
            <w:pPr>
              <w:jc w:val="center"/>
              <w:rPr>
                <w:rFonts w:ascii="宋体" w:hAnsi="宋体" w:cs="宋体"/>
                <w:color w:val="auto"/>
                <w:szCs w:val="21"/>
                <w:highlight w:val="none"/>
              </w:rPr>
            </w:pPr>
          </w:p>
        </w:tc>
        <w:tc>
          <w:tcPr>
            <w:tcW w:w="1421" w:type="dxa"/>
            <w:vMerge w:val="continue"/>
            <w:noWrap w:val="0"/>
            <w:vAlign w:val="center"/>
          </w:tcPr>
          <w:p>
            <w:pPr>
              <w:jc w:val="center"/>
              <w:rPr>
                <w:rFonts w:ascii="宋体" w:hAnsi="宋体" w:cs="宋体"/>
                <w:color w:val="auto"/>
                <w:szCs w:val="21"/>
                <w:highlight w:val="none"/>
              </w:rPr>
            </w:pP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参与验收供应商名称</w:t>
            </w: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24" w:type="dxa"/>
            <w:gridSpan w:val="2"/>
            <w:vMerge w:val="restart"/>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向社会公众提供的公共服务项目方式</w:t>
            </w:r>
          </w:p>
        </w:tc>
        <w:tc>
          <w:tcPr>
            <w:tcW w:w="3827" w:type="dxa"/>
            <w:gridSpan w:val="5"/>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是/</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否</w:t>
            </w:r>
          </w:p>
        </w:tc>
        <w:tc>
          <w:tcPr>
            <w:tcW w:w="1421" w:type="dxa"/>
            <w:vMerge w:val="restart"/>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采购人、使用人分离项目</w:t>
            </w:r>
          </w:p>
        </w:tc>
        <w:tc>
          <w:tcPr>
            <w:tcW w:w="2543" w:type="dxa"/>
            <w:gridSpan w:val="4"/>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是/</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参与验收服务对象</w:t>
            </w:r>
          </w:p>
        </w:tc>
        <w:tc>
          <w:tcPr>
            <w:tcW w:w="2178" w:type="dxa"/>
            <w:gridSpan w:val="3"/>
            <w:noWrap w:val="0"/>
            <w:vAlign w:val="center"/>
          </w:tcPr>
          <w:p>
            <w:pPr>
              <w:jc w:val="center"/>
              <w:rPr>
                <w:rFonts w:ascii="宋体" w:hAnsi="宋体" w:cs="宋体"/>
                <w:color w:val="auto"/>
                <w:szCs w:val="21"/>
                <w:highlight w:val="none"/>
              </w:rPr>
            </w:pPr>
          </w:p>
        </w:tc>
        <w:tc>
          <w:tcPr>
            <w:tcW w:w="1421" w:type="dxa"/>
            <w:vMerge w:val="continue"/>
            <w:noWrap w:val="0"/>
            <w:vAlign w:val="center"/>
          </w:tcPr>
          <w:p>
            <w:pPr>
              <w:jc w:val="center"/>
              <w:rPr>
                <w:rFonts w:ascii="宋体" w:hAnsi="宋体" w:cs="宋体"/>
                <w:color w:val="auto"/>
                <w:szCs w:val="21"/>
                <w:highlight w:val="none"/>
              </w:rPr>
            </w:pP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使用单位名称</w:t>
            </w: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915" w:type="dxa"/>
            <w:gridSpan w:val="1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（三）验收人员组成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1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验收小组总人数</w:t>
            </w:r>
          </w:p>
        </w:tc>
        <w:tc>
          <w:tcPr>
            <w:tcW w:w="1408" w:type="dxa"/>
            <w:noWrap w:val="0"/>
            <w:vAlign w:val="center"/>
          </w:tcPr>
          <w:p>
            <w:pPr>
              <w:jc w:val="center"/>
              <w:rPr>
                <w:rFonts w:ascii="宋体" w:hAnsi="宋体" w:cs="宋体"/>
                <w:color w:val="auto"/>
                <w:szCs w:val="21"/>
                <w:highlight w:val="none"/>
              </w:rPr>
            </w:pPr>
          </w:p>
        </w:tc>
        <w:tc>
          <w:tcPr>
            <w:tcW w:w="1485"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专业技术人员人数</w:t>
            </w:r>
          </w:p>
        </w:tc>
        <w:tc>
          <w:tcPr>
            <w:tcW w:w="934" w:type="dxa"/>
            <w:gridSpan w:val="2"/>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实际使用人人数（如有）</w:t>
            </w:r>
          </w:p>
        </w:tc>
        <w:tc>
          <w:tcPr>
            <w:tcW w:w="627" w:type="dxa"/>
            <w:noWrap w:val="0"/>
            <w:vAlign w:val="center"/>
          </w:tcPr>
          <w:p>
            <w:pPr>
              <w:jc w:val="center"/>
              <w:rPr>
                <w:rFonts w:ascii="宋体" w:hAnsi="宋体" w:cs="宋体"/>
                <w:color w:val="auto"/>
                <w:szCs w:val="21"/>
                <w:highlight w:val="none"/>
              </w:rPr>
            </w:pPr>
          </w:p>
        </w:tc>
        <w:tc>
          <w:tcPr>
            <w:tcW w:w="1147"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其他验收人员数量</w:t>
            </w:r>
          </w:p>
        </w:tc>
        <w:tc>
          <w:tcPr>
            <w:tcW w:w="769" w:type="dxa"/>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验收人员姓名</w:t>
            </w:r>
          </w:p>
        </w:tc>
        <w:tc>
          <w:tcPr>
            <w:tcW w:w="3827" w:type="dxa"/>
            <w:gridSpan w:val="5"/>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工作单位</w:t>
            </w: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职称（专业）</w:t>
            </w: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联系方式</w:t>
            </w:r>
          </w:p>
        </w:tc>
        <w:tc>
          <w:tcPr>
            <w:tcW w:w="111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ascii="宋体" w:hAnsi="宋体" w:cs="宋体"/>
                <w:color w:val="auto"/>
                <w:szCs w:val="21"/>
                <w:highlight w:val="none"/>
              </w:rPr>
            </w:pPr>
          </w:p>
        </w:tc>
        <w:tc>
          <w:tcPr>
            <w:tcW w:w="3827" w:type="dxa"/>
            <w:gridSpan w:val="5"/>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p>
        </w:tc>
        <w:tc>
          <w:tcPr>
            <w:tcW w:w="1424" w:type="dxa"/>
            <w:gridSpan w:val="2"/>
            <w:noWrap w:val="0"/>
            <w:vAlign w:val="center"/>
          </w:tcPr>
          <w:p>
            <w:pPr>
              <w:jc w:val="center"/>
              <w:rPr>
                <w:rFonts w:ascii="宋体" w:hAnsi="宋体" w:cs="宋体"/>
                <w:color w:val="auto"/>
                <w:szCs w:val="21"/>
                <w:highlight w:val="none"/>
              </w:rPr>
            </w:pP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ascii="宋体" w:hAnsi="宋体" w:cs="宋体"/>
                <w:color w:val="auto"/>
                <w:szCs w:val="21"/>
                <w:highlight w:val="none"/>
              </w:rPr>
            </w:pPr>
          </w:p>
        </w:tc>
        <w:tc>
          <w:tcPr>
            <w:tcW w:w="3827" w:type="dxa"/>
            <w:gridSpan w:val="5"/>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p>
        </w:tc>
        <w:tc>
          <w:tcPr>
            <w:tcW w:w="1424" w:type="dxa"/>
            <w:gridSpan w:val="2"/>
            <w:noWrap w:val="0"/>
            <w:vAlign w:val="center"/>
          </w:tcPr>
          <w:p>
            <w:pPr>
              <w:jc w:val="center"/>
              <w:rPr>
                <w:rFonts w:ascii="宋体" w:hAnsi="宋体" w:cs="宋体"/>
                <w:color w:val="auto"/>
                <w:szCs w:val="21"/>
                <w:highlight w:val="none"/>
              </w:rPr>
            </w:pP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4" w:type="dxa"/>
            <w:gridSpan w:val="2"/>
            <w:noWrap w:val="0"/>
            <w:vAlign w:val="center"/>
          </w:tcPr>
          <w:p>
            <w:pPr>
              <w:jc w:val="center"/>
              <w:rPr>
                <w:rFonts w:ascii="宋体" w:hAnsi="宋体" w:cs="宋体"/>
                <w:color w:val="auto"/>
                <w:szCs w:val="21"/>
                <w:highlight w:val="none"/>
              </w:rPr>
            </w:pPr>
          </w:p>
        </w:tc>
        <w:tc>
          <w:tcPr>
            <w:tcW w:w="3827" w:type="dxa"/>
            <w:gridSpan w:val="5"/>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p>
        </w:tc>
        <w:tc>
          <w:tcPr>
            <w:tcW w:w="1424" w:type="dxa"/>
            <w:gridSpan w:val="2"/>
            <w:noWrap w:val="0"/>
            <w:vAlign w:val="center"/>
          </w:tcPr>
          <w:p>
            <w:pPr>
              <w:jc w:val="center"/>
              <w:rPr>
                <w:rFonts w:ascii="宋体" w:hAnsi="宋体" w:cs="宋体"/>
                <w:color w:val="auto"/>
                <w:szCs w:val="21"/>
                <w:highlight w:val="none"/>
              </w:rPr>
            </w:pP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9915" w:type="dxa"/>
            <w:gridSpan w:val="1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（四）验收主要指标和标准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1162"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962"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名称</w:t>
            </w: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合同履约时间、地点、方式</w:t>
            </w:r>
          </w:p>
        </w:tc>
        <w:tc>
          <w:tcPr>
            <w:tcW w:w="2178" w:type="dxa"/>
            <w:gridSpan w:val="3"/>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货物型号规格、标准及配置等（或服务内容、标准）</w:t>
            </w: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数量</w:t>
            </w: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单价</w:t>
            </w:r>
          </w:p>
        </w:tc>
        <w:tc>
          <w:tcPr>
            <w:tcW w:w="111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62" w:type="dxa"/>
            <w:noWrap w:val="0"/>
            <w:vAlign w:val="center"/>
          </w:tcPr>
          <w:p>
            <w:pPr>
              <w:jc w:val="center"/>
              <w:rPr>
                <w:rFonts w:ascii="宋体" w:hAnsi="宋体" w:cs="宋体"/>
                <w:color w:val="auto"/>
                <w:szCs w:val="21"/>
                <w:highlight w:val="none"/>
              </w:rPr>
            </w:pPr>
          </w:p>
        </w:tc>
        <w:tc>
          <w:tcPr>
            <w:tcW w:w="962" w:type="dxa"/>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p>
        </w:tc>
        <w:tc>
          <w:tcPr>
            <w:tcW w:w="2178" w:type="dxa"/>
            <w:gridSpan w:val="3"/>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p>
        </w:tc>
        <w:tc>
          <w:tcPr>
            <w:tcW w:w="1424" w:type="dxa"/>
            <w:gridSpan w:val="2"/>
            <w:noWrap w:val="0"/>
            <w:vAlign w:val="center"/>
          </w:tcPr>
          <w:p>
            <w:pPr>
              <w:jc w:val="center"/>
              <w:rPr>
                <w:rFonts w:ascii="宋体" w:hAnsi="宋体" w:cs="宋体"/>
                <w:color w:val="auto"/>
                <w:szCs w:val="21"/>
                <w:highlight w:val="none"/>
              </w:rPr>
            </w:pP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162" w:type="dxa"/>
            <w:noWrap w:val="0"/>
            <w:vAlign w:val="center"/>
          </w:tcPr>
          <w:p>
            <w:pPr>
              <w:jc w:val="center"/>
              <w:rPr>
                <w:rFonts w:ascii="宋体" w:hAnsi="宋体" w:cs="宋体"/>
                <w:color w:val="auto"/>
                <w:szCs w:val="21"/>
                <w:highlight w:val="none"/>
              </w:rPr>
            </w:pPr>
          </w:p>
        </w:tc>
        <w:tc>
          <w:tcPr>
            <w:tcW w:w="962" w:type="dxa"/>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p>
        </w:tc>
        <w:tc>
          <w:tcPr>
            <w:tcW w:w="2178" w:type="dxa"/>
            <w:gridSpan w:val="3"/>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p>
        </w:tc>
        <w:tc>
          <w:tcPr>
            <w:tcW w:w="1424" w:type="dxa"/>
            <w:gridSpan w:val="2"/>
            <w:noWrap w:val="0"/>
            <w:vAlign w:val="center"/>
          </w:tcPr>
          <w:p>
            <w:pPr>
              <w:jc w:val="center"/>
              <w:rPr>
                <w:rFonts w:ascii="宋体" w:hAnsi="宋体" w:cs="宋体"/>
                <w:color w:val="auto"/>
                <w:szCs w:val="21"/>
                <w:highlight w:val="none"/>
              </w:rPr>
            </w:pP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62" w:type="dxa"/>
            <w:noWrap w:val="0"/>
            <w:vAlign w:val="center"/>
          </w:tcPr>
          <w:p>
            <w:pPr>
              <w:jc w:val="center"/>
              <w:rPr>
                <w:rFonts w:ascii="宋体" w:hAnsi="宋体" w:cs="宋体"/>
                <w:color w:val="auto"/>
                <w:szCs w:val="21"/>
                <w:highlight w:val="none"/>
              </w:rPr>
            </w:pPr>
          </w:p>
        </w:tc>
        <w:tc>
          <w:tcPr>
            <w:tcW w:w="962" w:type="dxa"/>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p>
        </w:tc>
        <w:tc>
          <w:tcPr>
            <w:tcW w:w="2178" w:type="dxa"/>
            <w:gridSpan w:val="3"/>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p>
        </w:tc>
        <w:tc>
          <w:tcPr>
            <w:tcW w:w="1424" w:type="dxa"/>
            <w:gridSpan w:val="2"/>
            <w:noWrap w:val="0"/>
            <w:vAlign w:val="center"/>
          </w:tcPr>
          <w:p>
            <w:pPr>
              <w:jc w:val="center"/>
              <w:rPr>
                <w:rFonts w:ascii="宋体" w:hAnsi="宋体" w:cs="宋体"/>
                <w:color w:val="auto"/>
                <w:szCs w:val="21"/>
                <w:highlight w:val="none"/>
              </w:rPr>
            </w:pP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162" w:type="dxa"/>
            <w:noWrap w:val="0"/>
            <w:vAlign w:val="center"/>
          </w:tcPr>
          <w:p>
            <w:pPr>
              <w:jc w:val="center"/>
              <w:rPr>
                <w:rFonts w:ascii="宋体" w:hAnsi="宋体" w:cs="宋体"/>
                <w:color w:val="auto"/>
                <w:szCs w:val="21"/>
                <w:highlight w:val="none"/>
              </w:rPr>
            </w:pPr>
          </w:p>
        </w:tc>
        <w:tc>
          <w:tcPr>
            <w:tcW w:w="962" w:type="dxa"/>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p>
        </w:tc>
        <w:tc>
          <w:tcPr>
            <w:tcW w:w="2178" w:type="dxa"/>
            <w:gridSpan w:val="3"/>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p>
        </w:tc>
        <w:tc>
          <w:tcPr>
            <w:tcW w:w="1424" w:type="dxa"/>
            <w:gridSpan w:val="2"/>
            <w:noWrap w:val="0"/>
            <w:vAlign w:val="center"/>
          </w:tcPr>
          <w:p>
            <w:pPr>
              <w:jc w:val="center"/>
              <w:rPr>
                <w:rFonts w:ascii="宋体" w:hAnsi="宋体" w:cs="宋体"/>
                <w:color w:val="auto"/>
                <w:szCs w:val="21"/>
                <w:highlight w:val="none"/>
              </w:rPr>
            </w:pP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9915" w:type="dxa"/>
            <w:gridSpan w:val="1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二、验收情况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21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分期情况</w:t>
            </w:r>
          </w:p>
        </w:tc>
        <w:tc>
          <w:tcPr>
            <w:tcW w:w="3827" w:type="dxa"/>
            <w:gridSpan w:val="5"/>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共分 期，此为第  期验收</w:t>
            </w:r>
          </w:p>
        </w:tc>
        <w:tc>
          <w:tcPr>
            <w:tcW w:w="1421" w:type="dxa"/>
            <w:noWrap w:val="0"/>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分段情况     </w:t>
            </w:r>
          </w:p>
        </w:tc>
        <w:tc>
          <w:tcPr>
            <w:tcW w:w="2543" w:type="dxa"/>
            <w:gridSpan w:val="4"/>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共分  段，此为   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24" w:type="dxa"/>
            <w:gridSpan w:val="2"/>
            <w:vMerge w:val="restart"/>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第三方参考情况说明</w:t>
            </w: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评价对象</w:t>
            </w:r>
          </w:p>
        </w:tc>
        <w:tc>
          <w:tcPr>
            <w:tcW w:w="2178" w:type="dxa"/>
            <w:gridSpan w:val="3"/>
            <w:noWrap w:val="0"/>
            <w:vAlign w:val="center"/>
          </w:tcPr>
          <w:p>
            <w:pPr>
              <w:rPr>
                <w:rFonts w:ascii="宋体" w:hAnsi="宋体" w:cs="宋体"/>
                <w:color w:val="auto"/>
                <w:szCs w:val="21"/>
                <w:highlight w:val="none"/>
              </w:rPr>
            </w:pPr>
            <w:r>
              <w:rPr>
                <w:rFonts w:hint="eastAsia" w:ascii="宋体" w:hAnsi="宋体" w:cs="宋体"/>
                <w:color w:val="auto"/>
                <w:szCs w:val="21"/>
                <w:highlight w:val="none"/>
              </w:rPr>
              <w:t>评价结果</w:t>
            </w:r>
          </w:p>
        </w:tc>
        <w:tc>
          <w:tcPr>
            <w:tcW w:w="2845" w:type="dxa"/>
            <w:gridSpan w:val="3"/>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理由</w:t>
            </w:r>
          </w:p>
        </w:tc>
        <w:tc>
          <w:tcPr>
            <w:tcW w:w="111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检测机构</w:t>
            </w:r>
          </w:p>
        </w:tc>
        <w:tc>
          <w:tcPr>
            <w:tcW w:w="2178" w:type="dxa"/>
            <w:gridSpan w:val="3"/>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合格/</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2845" w:type="dxa"/>
            <w:gridSpan w:val="3"/>
            <w:noWrap w:val="0"/>
            <w:vAlign w:val="center"/>
          </w:tcPr>
          <w:p>
            <w:pPr>
              <w:jc w:val="center"/>
              <w:rPr>
                <w:rFonts w:ascii="宋体" w:hAnsi="宋体" w:cs="宋体"/>
                <w:color w:val="auto"/>
                <w:szCs w:val="21"/>
                <w:highlight w:val="none"/>
              </w:rPr>
            </w:pP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其他供应商</w:t>
            </w:r>
          </w:p>
        </w:tc>
        <w:tc>
          <w:tcPr>
            <w:tcW w:w="2178" w:type="dxa"/>
            <w:gridSpan w:val="3"/>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合格/</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2845" w:type="dxa"/>
            <w:gridSpan w:val="3"/>
            <w:noWrap w:val="0"/>
            <w:vAlign w:val="center"/>
          </w:tcPr>
          <w:p>
            <w:pPr>
              <w:jc w:val="center"/>
              <w:rPr>
                <w:rFonts w:ascii="宋体" w:hAnsi="宋体" w:cs="宋体"/>
                <w:color w:val="auto"/>
                <w:szCs w:val="21"/>
                <w:highlight w:val="none"/>
              </w:rPr>
            </w:pP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服务对象</w:t>
            </w:r>
          </w:p>
        </w:tc>
        <w:tc>
          <w:tcPr>
            <w:tcW w:w="2178" w:type="dxa"/>
            <w:gridSpan w:val="3"/>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合格/</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2845" w:type="dxa"/>
            <w:gridSpan w:val="3"/>
            <w:noWrap w:val="0"/>
            <w:vAlign w:val="center"/>
          </w:tcPr>
          <w:p>
            <w:pPr>
              <w:jc w:val="center"/>
              <w:rPr>
                <w:rFonts w:ascii="宋体" w:hAnsi="宋体" w:cs="宋体"/>
                <w:color w:val="auto"/>
                <w:szCs w:val="21"/>
                <w:highlight w:val="none"/>
              </w:rPr>
            </w:pP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124" w:type="dxa"/>
            <w:gridSpan w:val="2"/>
            <w:vMerge w:val="restart"/>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货物类验收内容及验收情况</w:t>
            </w: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评价内容</w:t>
            </w:r>
          </w:p>
        </w:tc>
        <w:tc>
          <w:tcPr>
            <w:tcW w:w="1244"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评价情况</w:t>
            </w:r>
          </w:p>
        </w:tc>
        <w:tc>
          <w:tcPr>
            <w:tcW w:w="93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理由</w:t>
            </w: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评价内容</w:t>
            </w: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评价情况</w:t>
            </w:r>
          </w:p>
        </w:tc>
        <w:tc>
          <w:tcPr>
            <w:tcW w:w="111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货物清单</w:t>
            </w:r>
          </w:p>
        </w:tc>
        <w:tc>
          <w:tcPr>
            <w:tcW w:w="1244"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934" w:type="dxa"/>
            <w:gridSpan w:val="2"/>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品牌、型号、规格、数量、及外观数量</w:t>
            </w: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技术、性能指标</w:t>
            </w:r>
          </w:p>
        </w:tc>
        <w:tc>
          <w:tcPr>
            <w:tcW w:w="1244"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934" w:type="dxa"/>
            <w:gridSpan w:val="2"/>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运行状况及安装调试</w:t>
            </w: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质量证明文件</w:t>
            </w:r>
          </w:p>
        </w:tc>
        <w:tc>
          <w:tcPr>
            <w:tcW w:w="1244"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934" w:type="dxa"/>
            <w:gridSpan w:val="2"/>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售后服务承诺</w:t>
            </w: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安全标准</w:t>
            </w:r>
          </w:p>
        </w:tc>
        <w:tc>
          <w:tcPr>
            <w:tcW w:w="1244"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934" w:type="dxa"/>
            <w:gridSpan w:val="2"/>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合同履约时间、地点、方式</w:t>
            </w: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124" w:type="dxa"/>
            <w:gridSpan w:val="2"/>
            <w:vMerge w:val="restart"/>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服务类验收内容及结果</w:t>
            </w: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评价内容</w:t>
            </w:r>
          </w:p>
        </w:tc>
        <w:tc>
          <w:tcPr>
            <w:tcW w:w="1244"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评价情况</w:t>
            </w:r>
          </w:p>
        </w:tc>
        <w:tc>
          <w:tcPr>
            <w:tcW w:w="93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理由</w:t>
            </w: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评价内容</w:t>
            </w: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评价情况</w:t>
            </w:r>
          </w:p>
        </w:tc>
        <w:tc>
          <w:tcPr>
            <w:tcW w:w="111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服务质量</w:t>
            </w:r>
          </w:p>
        </w:tc>
        <w:tc>
          <w:tcPr>
            <w:tcW w:w="1244"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934" w:type="dxa"/>
            <w:gridSpan w:val="2"/>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服务进度</w:t>
            </w: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人员、设备配备情况</w:t>
            </w:r>
          </w:p>
        </w:tc>
        <w:tc>
          <w:tcPr>
            <w:tcW w:w="1244"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934" w:type="dxa"/>
            <w:gridSpan w:val="2"/>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安全标准</w:t>
            </w: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1649"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服务承诺时限</w:t>
            </w:r>
          </w:p>
        </w:tc>
        <w:tc>
          <w:tcPr>
            <w:tcW w:w="1244"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934" w:type="dxa"/>
            <w:gridSpan w:val="2"/>
            <w:noWrap w:val="0"/>
            <w:vAlign w:val="center"/>
          </w:tcPr>
          <w:p>
            <w:pPr>
              <w:jc w:val="center"/>
              <w:rPr>
                <w:rFonts w:ascii="宋体" w:hAnsi="宋体" w:cs="宋体"/>
                <w:color w:val="auto"/>
                <w:szCs w:val="21"/>
                <w:highlight w:val="none"/>
              </w:rPr>
            </w:pPr>
          </w:p>
        </w:tc>
        <w:tc>
          <w:tcPr>
            <w:tcW w:w="1421" w:type="dxa"/>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合同履约时间、地点、方式</w:t>
            </w:r>
          </w:p>
        </w:tc>
        <w:tc>
          <w:tcPr>
            <w:tcW w:w="14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p>
          <w:p>
            <w:pPr>
              <w:jc w:val="center"/>
              <w:rPr>
                <w:rFonts w:ascii="宋体" w:hAnsi="宋体" w:cs="宋体"/>
                <w:color w:val="auto"/>
                <w:szCs w:val="21"/>
                <w:highlight w:val="none"/>
              </w:rPr>
            </w:pP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tc>
        <w:tc>
          <w:tcPr>
            <w:tcW w:w="1119" w:type="dxa"/>
            <w:gridSpan w:val="2"/>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9915" w:type="dxa"/>
            <w:gridSpan w:val="1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三、验收结论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4" w:hRule="atLeast"/>
          <w:jc w:val="center"/>
        </w:trPr>
        <w:tc>
          <w:tcPr>
            <w:tcW w:w="2124" w:type="dxa"/>
            <w:gridSpan w:val="2"/>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存在问题和改进意见</w:t>
            </w:r>
          </w:p>
        </w:tc>
        <w:tc>
          <w:tcPr>
            <w:tcW w:w="7791" w:type="dxa"/>
            <w:gridSpan w:val="10"/>
            <w:noWrap w:val="0"/>
            <w:vAlign w:val="center"/>
          </w:tcPr>
          <w:p>
            <w:pPr>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1" w:hRule="atLeast"/>
          <w:jc w:val="center"/>
        </w:trPr>
        <w:tc>
          <w:tcPr>
            <w:tcW w:w="2124" w:type="dxa"/>
            <w:gridSpan w:val="2"/>
            <w:vMerge w:val="restart"/>
            <w:noWrap w:val="0"/>
            <w:vAlign w:val="center"/>
          </w:tcPr>
          <w:p>
            <w:pPr>
              <w:jc w:val="center"/>
              <w:rPr>
                <w:rFonts w:ascii="宋体" w:hAnsi="宋体" w:cs="宋体"/>
                <w:color w:val="auto"/>
                <w:szCs w:val="21"/>
                <w:highlight w:val="none"/>
              </w:rPr>
            </w:pPr>
            <w:r>
              <w:rPr>
                <w:rFonts w:hint="eastAsia" w:ascii="宋体" w:hAnsi="宋体" w:cs="宋体"/>
                <w:color w:val="auto"/>
                <w:szCs w:val="21"/>
                <w:highlight w:val="none"/>
              </w:rPr>
              <w:t>验收小组意见</w:t>
            </w:r>
          </w:p>
        </w:tc>
        <w:tc>
          <w:tcPr>
            <w:tcW w:w="7791" w:type="dxa"/>
            <w:gridSpan w:val="10"/>
            <w:noWrap w:val="0"/>
            <w:vAlign w:val="center"/>
          </w:tcPr>
          <w:p>
            <w:pPr>
              <w:jc w:val="left"/>
              <w:rPr>
                <w:rFonts w:ascii="宋体" w:hAnsi="宋体" w:cs="宋体"/>
                <w:color w:val="auto"/>
                <w:szCs w:val="21"/>
                <w:highlight w:val="none"/>
              </w:rPr>
            </w:pPr>
          </w:p>
          <w:p>
            <w:pPr>
              <w:jc w:val="left"/>
              <w:rPr>
                <w:rFonts w:ascii="宋体" w:hAnsi="宋体" w:cs="宋体"/>
                <w:color w:val="auto"/>
                <w:szCs w:val="21"/>
                <w:highlight w:val="none"/>
              </w:rPr>
            </w:pPr>
            <w:r>
              <w:rPr>
                <w:rFonts w:hint="eastAsia" w:ascii="宋体" w:hAnsi="宋体" w:cs="宋体"/>
                <w:color w:val="auto"/>
                <w:szCs w:val="21"/>
                <w:highlight w:val="none"/>
              </w:rPr>
              <w:t>验收结论性意见：</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 xml:space="preserve">合  格                    </w:t>
            </w:r>
            <w:r>
              <w:rPr>
                <w:rFonts w:hint="eastAsia" w:ascii="宋体" w:hAnsi="宋体" w:cs="宋体"/>
                <w:color w:val="auto"/>
                <w:szCs w:val="21"/>
                <w:highlight w:val="none"/>
              </w:rPr>
              <w:sym w:font="Wingdings" w:char="00A8"/>
            </w:r>
            <w:r>
              <w:rPr>
                <w:rFonts w:hint="eastAsia" w:ascii="宋体" w:hAnsi="宋体" w:cs="宋体"/>
                <w:color w:val="auto"/>
                <w:szCs w:val="21"/>
                <w:highlight w:val="none"/>
              </w:rPr>
              <w:t>不合格</w:t>
            </w:r>
          </w:p>
          <w:p>
            <w:pPr>
              <w:jc w:val="left"/>
              <w:rPr>
                <w:rFonts w:ascii="宋体" w:hAnsi="宋体" w:cs="宋体"/>
                <w:color w:val="auto"/>
                <w:szCs w:val="21"/>
                <w:highlight w:val="none"/>
              </w:rPr>
            </w:pPr>
          </w:p>
          <w:p>
            <w:pPr>
              <w:jc w:val="left"/>
              <w:rPr>
                <w:rFonts w:ascii="宋体" w:hAnsi="宋体" w:cs="宋体"/>
                <w:color w:val="auto"/>
                <w:szCs w:val="21"/>
                <w:highlight w:val="none"/>
              </w:rPr>
            </w:pPr>
            <w:r>
              <w:rPr>
                <w:rFonts w:hint="eastAsia" w:ascii="宋体" w:hAnsi="宋体" w:cs="宋体"/>
                <w:color w:val="auto"/>
                <w:szCs w:val="21"/>
                <w:highlight w:val="none"/>
              </w:rPr>
              <w:t>其他需要说明的事项：</w:t>
            </w:r>
          </w:p>
          <w:p>
            <w:pPr>
              <w:jc w:val="left"/>
              <w:rPr>
                <w:rFonts w:ascii="宋体" w:hAnsi="宋体" w:cs="宋体"/>
                <w:color w:val="auto"/>
                <w:szCs w:val="21"/>
                <w:highlight w:val="none"/>
              </w:rPr>
            </w:pPr>
          </w:p>
          <w:p>
            <w:pPr>
              <w:jc w:val="left"/>
              <w:rPr>
                <w:rFonts w:ascii="宋体" w:hAnsi="宋体" w:cs="宋体"/>
                <w:color w:val="auto"/>
                <w:szCs w:val="21"/>
                <w:highlight w:val="none"/>
              </w:rPr>
            </w:pPr>
          </w:p>
          <w:p>
            <w:pPr>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jc w:val="center"/>
        </w:trPr>
        <w:tc>
          <w:tcPr>
            <w:tcW w:w="2124" w:type="dxa"/>
            <w:gridSpan w:val="2"/>
            <w:vMerge w:val="continue"/>
            <w:noWrap w:val="0"/>
            <w:vAlign w:val="center"/>
          </w:tcPr>
          <w:p>
            <w:pPr>
              <w:jc w:val="center"/>
              <w:rPr>
                <w:rFonts w:ascii="宋体" w:hAnsi="宋体" w:cs="宋体"/>
                <w:color w:val="auto"/>
                <w:szCs w:val="21"/>
                <w:highlight w:val="none"/>
              </w:rPr>
            </w:pPr>
          </w:p>
        </w:tc>
        <w:tc>
          <w:tcPr>
            <w:tcW w:w="7791" w:type="dxa"/>
            <w:gridSpan w:val="10"/>
            <w:noWrap w:val="0"/>
            <w:vAlign w:val="center"/>
          </w:tcPr>
          <w:p>
            <w:pPr>
              <w:jc w:val="left"/>
              <w:rPr>
                <w:rFonts w:ascii="宋体" w:hAnsi="宋体" w:cs="宋体"/>
                <w:color w:val="auto"/>
                <w:szCs w:val="21"/>
                <w:highlight w:val="none"/>
              </w:rPr>
            </w:pPr>
          </w:p>
          <w:p>
            <w:pPr>
              <w:jc w:val="left"/>
              <w:rPr>
                <w:rFonts w:ascii="宋体" w:hAnsi="宋体" w:cs="宋体"/>
                <w:color w:val="auto"/>
                <w:szCs w:val="21"/>
                <w:highlight w:val="none"/>
              </w:rPr>
            </w:pPr>
            <w:r>
              <w:rPr>
                <w:rFonts w:hint="eastAsia" w:ascii="宋体" w:hAnsi="宋体" w:cs="宋体"/>
                <w:color w:val="auto"/>
                <w:szCs w:val="21"/>
                <w:highlight w:val="none"/>
              </w:rPr>
              <w:t>有异议的意见和说明理由：</w:t>
            </w:r>
          </w:p>
          <w:p>
            <w:pPr>
              <w:jc w:val="left"/>
              <w:rPr>
                <w:rFonts w:ascii="宋体" w:hAnsi="宋体" w:cs="宋体"/>
                <w:color w:val="auto"/>
                <w:szCs w:val="21"/>
                <w:highlight w:val="none"/>
              </w:rPr>
            </w:pPr>
          </w:p>
          <w:p>
            <w:pPr>
              <w:jc w:val="left"/>
              <w:rPr>
                <w:rFonts w:ascii="宋体" w:hAnsi="宋体" w:cs="宋体"/>
                <w:color w:val="auto"/>
                <w:szCs w:val="21"/>
                <w:highlight w:val="none"/>
              </w:rPr>
            </w:pPr>
          </w:p>
          <w:p>
            <w:pPr>
              <w:jc w:val="left"/>
              <w:rPr>
                <w:rFonts w:ascii="宋体" w:hAnsi="宋体" w:cs="宋体"/>
                <w:color w:val="auto"/>
                <w:szCs w:val="21"/>
                <w:highlight w:val="none"/>
              </w:rPr>
            </w:pPr>
          </w:p>
          <w:p>
            <w:pPr>
              <w:wordWrap w:val="0"/>
              <w:ind w:right="315"/>
              <w:jc w:val="right"/>
              <w:rPr>
                <w:rFonts w:ascii="宋体" w:hAnsi="宋体" w:cs="宋体"/>
                <w:color w:val="auto"/>
                <w:szCs w:val="21"/>
                <w:highlight w:val="none"/>
              </w:rPr>
            </w:pPr>
            <w:r>
              <w:rPr>
                <w:rFonts w:hint="eastAsia" w:ascii="宋体" w:hAnsi="宋体" w:cs="宋体"/>
                <w:color w:val="auto"/>
                <w:szCs w:val="21"/>
                <w:highlight w:val="none"/>
              </w:rPr>
              <w:t xml:space="preserve">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jc w:val="center"/>
        </w:trPr>
        <w:tc>
          <w:tcPr>
            <w:tcW w:w="9915" w:type="dxa"/>
            <w:gridSpan w:val="12"/>
            <w:noWrap w:val="0"/>
            <w:vAlign w:val="center"/>
          </w:tcPr>
          <w:p>
            <w:pPr>
              <w:jc w:val="left"/>
              <w:rPr>
                <w:rFonts w:ascii="宋体" w:hAnsi="宋体" w:cs="宋体"/>
                <w:color w:val="auto"/>
                <w:szCs w:val="21"/>
                <w:highlight w:val="none"/>
              </w:rPr>
            </w:pPr>
          </w:p>
          <w:p>
            <w:pPr>
              <w:jc w:val="left"/>
              <w:rPr>
                <w:rFonts w:ascii="宋体" w:hAnsi="宋体" w:cs="宋体"/>
                <w:color w:val="auto"/>
                <w:szCs w:val="21"/>
                <w:highlight w:val="none"/>
              </w:rPr>
            </w:pPr>
            <w:r>
              <w:rPr>
                <w:rFonts w:hint="eastAsia" w:ascii="宋体" w:hAnsi="宋体" w:cs="宋体"/>
                <w:color w:val="auto"/>
                <w:szCs w:val="21"/>
                <w:highlight w:val="none"/>
              </w:rPr>
              <w:t>验收小组成员签字：</w:t>
            </w:r>
          </w:p>
          <w:p>
            <w:pPr>
              <w:jc w:val="left"/>
              <w:rPr>
                <w:rFonts w:ascii="宋体" w:hAnsi="宋体" w:cs="宋体"/>
                <w:color w:val="auto"/>
                <w:szCs w:val="21"/>
                <w:highlight w:val="none"/>
              </w:rPr>
            </w:pPr>
          </w:p>
          <w:p>
            <w:pPr>
              <w:jc w:val="left"/>
              <w:rPr>
                <w:rFonts w:ascii="宋体" w:hAnsi="宋体" w:cs="宋体"/>
                <w:color w:val="auto"/>
                <w:szCs w:val="21"/>
                <w:highlight w:val="none"/>
              </w:rPr>
            </w:pPr>
          </w:p>
          <w:p>
            <w:pPr>
              <w:jc w:val="left"/>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4" w:hRule="atLeast"/>
          <w:jc w:val="center"/>
        </w:trPr>
        <w:tc>
          <w:tcPr>
            <w:tcW w:w="5272" w:type="dxa"/>
            <w:gridSpan w:val="6"/>
            <w:noWrap w:val="0"/>
            <w:vAlign w:val="top"/>
          </w:tcPr>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采购人意见：</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pStyle w:val="7"/>
              <w:rPr>
                <w:rFonts w:ascii="宋体" w:hAnsi="宋体" w:cs="宋体"/>
                <w:color w:val="auto"/>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经办人：       负责人：       （盖章）</w:t>
            </w:r>
          </w:p>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 xml:space="preserve">                             年  月  日</w:t>
            </w:r>
          </w:p>
          <w:p>
            <w:pPr>
              <w:rPr>
                <w:rFonts w:ascii="宋体" w:hAnsi="宋体" w:cs="宋体"/>
                <w:color w:val="auto"/>
                <w:szCs w:val="21"/>
                <w:highlight w:val="none"/>
              </w:rPr>
            </w:pPr>
          </w:p>
        </w:tc>
        <w:tc>
          <w:tcPr>
            <w:tcW w:w="4643" w:type="dxa"/>
            <w:gridSpan w:val="6"/>
            <w:noWrap w:val="0"/>
            <w:vAlign w:val="top"/>
          </w:tcPr>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供应商确认：</w:t>
            </w: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pStyle w:val="7"/>
              <w:rPr>
                <w:rFonts w:ascii="宋体" w:hAnsi="宋体" w:cs="宋体"/>
                <w:color w:val="auto"/>
                <w:highlight w:val="none"/>
              </w:rPr>
            </w:pPr>
          </w:p>
          <w:p>
            <w:pPr>
              <w:rPr>
                <w:rFonts w:ascii="宋体" w:hAnsi="宋体" w:cs="宋体"/>
                <w:color w:val="auto"/>
                <w:szCs w:val="21"/>
                <w:highlight w:val="none"/>
              </w:rPr>
            </w:pPr>
          </w:p>
          <w:p>
            <w:pPr>
              <w:rPr>
                <w:rFonts w:ascii="宋体" w:hAnsi="宋体" w:cs="宋体"/>
                <w:color w:val="auto"/>
                <w:szCs w:val="21"/>
                <w:highlight w:val="none"/>
              </w:rPr>
            </w:pPr>
            <w:r>
              <w:rPr>
                <w:rFonts w:hint="eastAsia" w:ascii="宋体" w:hAnsi="宋体" w:cs="宋体"/>
                <w:color w:val="auto"/>
                <w:szCs w:val="21"/>
                <w:highlight w:val="none"/>
              </w:rPr>
              <w:t>供应商盖章或授权代表签字：</w:t>
            </w:r>
          </w:p>
          <w:p>
            <w:pPr>
              <w:rPr>
                <w:rFonts w:ascii="宋体" w:hAnsi="宋体" w:cs="宋体"/>
                <w:color w:val="auto"/>
                <w:szCs w:val="21"/>
                <w:highlight w:val="none"/>
              </w:rPr>
            </w:pPr>
          </w:p>
          <w:p>
            <w:pPr>
              <w:ind w:firstLine="440"/>
              <w:rPr>
                <w:rFonts w:ascii="宋体" w:hAnsi="宋体" w:cs="宋体"/>
                <w:color w:val="auto"/>
                <w:szCs w:val="21"/>
                <w:highlight w:val="none"/>
              </w:rPr>
            </w:pPr>
            <w:r>
              <w:rPr>
                <w:rFonts w:hint="eastAsia" w:ascii="宋体" w:hAnsi="宋体" w:cs="宋体"/>
                <w:color w:val="auto"/>
                <w:szCs w:val="21"/>
                <w:highlight w:val="none"/>
              </w:rPr>
              <w:t>联系电话：</w:t>
            </w:r>
          </w:p>
          <w:p>
            <w:pPr>
              <w:ind w:firstLine="440"/>
              <w:rPr>
                <w:rFonts w:ascii="宋体" w:hAnsi="宋体" w:cs="宋体"/>
                <w:color w:val="auto"/>
                <w:szCs w:val="21"/>
                <w:highlight w:val="none"/>
              </w:rPr>
            </w:pPr>
            <w:r>
              <w:rPr>
                <w:rFonts w:hint="eastAsia" w:ascii="宋体" w:hAnsi="宋体" w:cs="宋体"/>
                <w:color w:val="auto"/>
                <w:szCs w:val="21"/>
                <w:highlight w:val="none"/>
              </w:rPr>
              <w:t xml:space="preserve">                       年  月  日              </w:t>
            </w:r>
          </w:p>
        </w:tc>
      </w:tr>
    </w:tbl>
    <w:p>
      <w:pPr>
        <w:rPr>
          <w:rFonts w:ascii="宋体" w:hAnsi="宋体" w:cs="宋体"/>
          <w:color w:val="auto"/>
          <w:sz w:val="22"/>
          <w:highlight w:val="none"/>
        </w:rPr>
      </w:pPr>
      <w:r>
        <w:rPr>
          <w:rFonts w:ascii="宋体" w:hAnsi="宋体" w:cs="宋体"/>
          <w:color w:val="auto"/>
          <w:sz w:val="22"/>
          <w:highlight w:val="none"/>
        </w:rPr>
        <w:br w:type="page"/>
      </w:r>
    </w:p>
    <w:p>
      <w:pPr>
        <w:rPr>
          <w:rFonts w:ascii="宋体" w:hAnsi="宋体" w:cs="宋体"/>
          <w:color w:val="auto"/>
          <w:sz w:val="22"/>
          <w:highlight w:val="none"/>
        </w:rPr>
      </w:pPr>
      <w:r>
        <w:rPr>
          <w:rFonts w:hint="eastAsia" w:ascii="宋体" w:hAnsi="宋体" w:cs="宋体"/>
          <w:color w:val="auto"/>
          <w:sz w:val="22"/>
          <w:highlight w:val="none"/>
        </w:rPr>
        <w:t>附件</w:t>
      </w:r>
      <w:r>
        <w:rPr>
          <w:rFonts w:hint="eastAsia" w:ascii="宋体" w:hAnsi="宋体" w:cs="宋体"/>
          <w:color w:val="auto"/>
          <w:sz w:val="22"/>
          <w:highlight w:val="none"/>
          <w:lang w:eastAsia="zh-CN"/>
        </w:rPr>
        <w:t>三</w:t>
      </w:r>
      <w:r>
        <w:rPr>
          <w:rFonts w:hint="eastAsia" w:ascii="宋体" w:hAnsi="宋体" w:cs="宋体"/>
          <w:color w:val="auto"/>
          <w:sz w:val="22"/>
          <w:highlight w:val="none"/>
        </w:rPr>
        <w:t>：</w:t>
      </w:r>
    </w:p>
    <w:p>
      <w:pPr>
        <w:pStyle w:val="7"/>
        <w:jc w:val="center"/>
        <w:rPr>
          <w:rFonts w:ascii="宋体" w:hAnsi="宋体" w:cs="宋体"/>
          <w:b/>
          <w:color w:val="auto"/>
          <w:sz w:val="20"/>
          <w:szCs w:val="20"/>
          <w:highlight w:val="none"/>
        </w:rPr>
      </w:pPr>
      <w:r>
        <w:rPr>
          <w:rFonts w:hint="eastAsia" w:ascii="宋体" w:hAnsi="宋体" w:cs="宋体"/>
          <w:b/>
          <w:color w:val="auto"/>
          <w:sz w:val="20"/>
          <w:szCs w:val="20"/>
          <w:highlight w:val="none"/>
        </w:rPr>
        <w:t>设备设施维护工作考核表</w:t>
      </w:r>
    </w:p>
    <w:tbl>
      <w:tblPr>
        <w:tblStyle w:val="22"/>
        <w:tblW w:w="10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187"/>
        <w:gridCol w:w="5610"/>
        <w:gridCol w:w="720"/>
        <w:gridCol w:w="1105"/>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058" w:type="dxa"/>
            <w:gridSpan w:val="6"/>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考核周期：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序号</w:t>
            </w:r>
          </w:p>
        </w:tc>
        <w:tc>
          <w:tcPr>
            <w:tcW w:w="1187"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考核内容</w:t>
            </w:r>
          </w:p>
        </w:tc>
        <w:tc>
          <w:tcPr>
            <w:tcW w:w="561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考核细则</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分值</w:t>
            </w:r>
          </w:p>
        </w:tc>
        <w:tc>
          <w:tcPr>
            <w:tcW w:w="1105"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考核分值</w:t>
            </w:r>
          </w:p>
        </w:tc>
        <w:tc>
          <w:tcPr>
            <w:tcW w:w="6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restart"/>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（一）</w:t>
            </w:r>
          </w:p>
        </w:tc>
        <w:tc>
          <w:tcPr>
            <w:tcW w:w="1187" w:type="dxa"/>
            <w:vMerge w:val="restart"/>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内部管理（33分）</w:t>
            </w: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工作时间内统一着装，佩戴工作牌，严守工作岗位，人员配足额、到位。</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6</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按时到岗、不串岗、不进入与工作无关的部门。</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6</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落实值班制度，做好值班记录，确保节假日各项设备安全运行。</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安全实施行之有效，全年无事故。</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能源管理到位，开支节省，浪费减少。</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restart"/>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（二）</w:t>
            </w:r>
          </w:p>
        </w:tc>
        <w:tc>
          <w:tcPr>
            <w:tcW w:w="1187" w:type="dxa"/>
            <w:vMerge w:val="restart"/>
            <w:noWrap w:val="0"/>
            <w:vAlign w:val="center"/>
          </w:tcPr>
          <w:p>
            <w:pPr>
              <w:pStyle w:val="19"/>
              <w:spacing w:before="0" w:beforeAutospacing="0" w:after="0" w:afterAutospacing="0" w:line="320" w:lineRule="exact"/>
              <w:jc w:val="center"/>
              <w:rPr>
                <w:color w:val="auto"/>
                <w:sz w:val="20"/>
                <w:szCs w:val="20"/>
                <w:highlight w:val="none"/>
              </w:rPr>
            </w:pPr>
            <w:r>
              <w:rPr>
                <w:rFonts w:hint="eastAsia"/>
                <w:color w:val="auto"/>
                <w:sz w:val="20"/>
                <w:szCs w:val="20"/>
                <w:highlight w:val="none"/>
              </w:rPr>
              <w:t>模型、展厅、电脑、投影、机房、空调、弱电等设备设施</w:t>
            </w:r>
          </w:p>
          <w:p>
            <w:pPr>
              <w:pStyle w:val="19"/>
              <w:spacing w:before="0" w:beforeAutospacing="0" w:after="0" w:afterAutospacing="0" w:line="320" w:lineRule="exact"/>
              <w:jc w:val="center"/>
              <w:rPr>
                <w:color w:val="auto"/>
                <w:highlight w:val="none"/>
              </w:rPr>
            </w:pPr>
            <w:r>
              <w:rPr>
                <w:rFonts w:hint="eastAsia"/>
                <w:color w:val="auto"/>
                <w:sz w:val="20"/>
                <w:szCs w:val="20"/>
                <w:highlight w:val="none"/>
              </w:rPr>
              <w:t>（47分）</w:t>
            </w: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掌握各类系统的性能和运行方式，熟悉各设备设施运行情况，发生一般性故障及时处理。</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设备运行和维护管理的备品备件计划及采购到位。</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按规定巡视检查各种设施设备运行状况，按时认真做好各种运行记录及报表，保管好各种技术资料，做好保密工作。</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做好各机房和设备设施的卫生工作，达到整洁。</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熟悉所有系统的运行规则，按操作规程实施操作；确保全系统正常安全运行，设备完好率达以上</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做好各种设备常规保养，做好保养记录。</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设备故障；一般维修任务当天完成，应急抢修任务，维修人员分钟之内赶到现场处理，并做好维护和应急抢修记录并上报展馆。</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9</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restart"/>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（三）</w:t>
            </w:r>
          </w:p>
        </w:tc>
        <w:tc>
          <w:tcPr>
            <w:tcW w:w="1187" w:type="dxa"/>
            <w:vMerge w:val="restart"/>
            <w:noWrap w:val="0"/>
            <w:vAlign w:val="center"/>
          </w:tcPr>
          <w:p>
            <w:pPr>
              <w:pStyle w:val="19"/>
              <w:spacing w:before="0" w:beforeAutospacing="0" w:after="0" w:afterAutospacing="0" w:line="320" w:lineRule="exact"/>
              <w:jc w:val="center"/>
              <w:rPr>
                <w:color w:val="auto"/>
                <w:sz w:val="20"/>
                <w:szCs w:val="20"/>
                <w:highlight w:val="none"/>
              </w:rPr>
            </w:pPr>
            <w:r>
              <w:rPr>
                <w:rFonts w:hint="eastAsia"/>
                <w:color w:val="auto"/>
                <w:sz w:val="20"/>
                <w:szCs w:val="20"/>
                <w:highlight w:val="none"/>
              </w:rPr>
              <w:t>与专业在保单位沟通协调</w:t>
            </w:r>
          </w:p>
          <w:p>
            <w:pPr>
              <w:pStyle w:val="19"/>
              <w:spacing w:before="0" w:beforeAutospacing="0" w:after="0" w:afterAutospacing="0" w:line="320" w:lineRule="exact"/>
              <w:jc w:val="center"/>
              <w:rPr>
                <w:color w:val="auto"/>
                <w:highlight w:val="none"/>
              </w:rPr>
            </w:pPr>
            <w:r>
              <w:rPr>
                <w:rFonts w:hint="eastAsia"/>
                <w:color w:val="auto"/>
                <w:sz w:val="20"/>
                <w:szCs w:val="20"/>
                <w:highlight w:val="none"/>
              </w:rPr>
              <w:t>（20分）</w:t>
            </w: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设施设备故障后保持与在保单位的日常沟通联络衔接工作。</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监督在保方按照合同约定履行服务保养义务</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专业维修人员前来维护、维修时，派人现在陪同并确认需更换的配件及数量情况并上报展馆。</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监督考核维保方的服务项目、服务内容和服务质量。</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bl>
    <w:p>
      <w:pPr>
        <w:pStyle w:val="7"/>
        <w:rPr>
          <w:color w:val="auto"/>
          <w:highlight w:val="none"/>
        </w:rPr>
      </w:pPr>
    </w:p>
    <w:p>
      <w:pPr>
        <w:tabs>
          <w:tab w:val="left" w:pos="4286"/>
        </w:tabs>
        <w:spacing w:line="360" w:lineRule="exact"/>
        <w:jc w:val="center"/>
        <w:rPr>
          <w:rFonts w:ascii="宋体" w:hAnsi="宋体" w:cs="宋体"/>
          <w:b/>
          <w:color w:val="auto"/>
          <w:sz w:val="22"/>
          <w:highlight w:val="none"/>
        </w:rPr>
      </w:pPr>
    </w:p>
    <w:p>
      <w:pPr>
        <w:rPr>
          <w:rFonts w:hint="eastAsia" w:ascii="宋体" w:hAnsi="宋体" w:cs="宋体"/>
          <w:bCs w:val="0"/>
          <w:color w:val="auto"/>
          <w:kern w:val="2"/>
          <w:sz w:val="32"/>
          <w:szCs w:val="22"/>
          <w:highlight w:val="none"/>
        </w:rPr>
      </w:pPr>
      <w:bookmarkStart w:id="15" w:name="_Toc9945"/>
      <w:r>
        <w:rPr>
          <w:rFonts w:hint="eastAsia" w:ascii="宋体" w:hAnsi="宋体" w:cs="宋体"/>
          <w:bCs w:val="0"/>
          <w:color w:val="auto"/>
          <w:kern w:val="2"/>
          <w:sz w:val="32"/>
          <w:szCs w:val="22"/>
          <w:highlight w:val="none"/>
        </w:rPr>
        <w:br w:type="page"/>
      </w:r>
    </w:p>
    <w:p>
      <w:pPr>
        <w:pStyle w:val="2"/>
        <w:spacing w:line="240" w:lineRule="auto"/>
        <w:jc w:val="center"/>
        <w:rPr>
          <w:rFonts w:ascii="宋体" w:hAnsi="宋体" w:cs="宋体"/>
          <w:bCs w:val="0"/>
          <w:color w:val="auto"/>
          <w:kern w:val="2"/>
          <w:sz w:val="32"/>
          <w:szCs w:val="22"/>
          <w:highlight w:val="none"/>
        </w:rPr>
      </w:pPr>
      <w:r>
        <w:rPr>
          <w:rFonts w:hint="eastAsia" w:ascii="宋体" w:hAnsi="宋体" w:cs="宋体"/>
          <w:bCs w:val="0"/>
          <w:color w:val="auto"/>
          <w:kern w:val="2"/>
          <w:sz w:val="32"/>
          <w:szCs w:val="22"/>
          <w:highlight w:val="none"/>
        </w:rPr>
        <w:t>第四部分    附件</w:t>
      </w:r>
      <w:bookmarkEnd w:id="15"/>
    </w:p>
    <w:p>
      <w:pPr>
        <w:snapToGrid w:val="0"/>
        <w:spacing w:before="120" w:beforeLines="50" w:after="50"/>
        <w:jc w:val="center"/>
        <w:outlineLvl w:val="1"/>
        <w:rPr>
          <w:rFonts w:ascii="宋体" w:hAnsi="宋体" w:cs="宋体"/>
          <w:b/>
          <w:bCs/>
          <w:color w:val="auto"/>
          <w:sz w:val="32"/>
          <w:szCs w:val="32"/>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附件一</w:t>
      </w:r>
    </w:p>
    <w:p>
      <w:pPr>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 标 函</w:t>
      </w:r>
    </w:p>
    <w:p>
      <w:pPr>
        <w:spacing w:line="400" w:lineRule="exact"/>
        <w:rPr>
          <w:rFonts w:hint="eastAsia" w:ascii="宋体" w:hAnsi="宋体" w:eastAsia="宋体" w:cs="宋体"/>
          <w:color w:val="auto"/>
          <w:sz w:val="22"/>
          <w:highlight w:val="none"/>
          <w:lang w:eastAsia="zh-CN"/>
        </w:rPr>
      </w:pPr>
      <w:r>
        <w:rPr>
          <w:rFonts w:hint="eastAsia" w:ascii="宋体" w:hAnsi="宋体" w:cs="宋体"/>
          <w:color w:val="auto"/>
          <w:sz w:val="22"/>
          <w:highlight w:val="none"/>
        </w:rPr>
        <w:t>致：</w:t>
      </w:r>
      <w:r>
        <w:rPr>
          <w:rFonts w:hint="eastAsia" w:ascii="宋体" w:hAnsi="宋体" w:cs="宋体"/>
          <w:color w:val="auto"/>
          <w:sz w:val="22"/>
          <w:highlight w:val="none"/>
          <w:u w:val="single"/>
        </w:rPr>
        <w:t>温州市城乡规划展示馆、</w:t>
      </w:r>
      <w:r>
        <w:rPr>
          <w:rFonts w:hint="eastAsia" w:ascii="宋体" w:hAnsi="宋体" w:cs="宋体"/>
          <w:color w:val="auto"/>
          <w:sz w:val="22"/>
          <w:highlight w:val="none"/>
          <w:u w:val="single"/>
          <w:lang w:eastAsia="zh-CN"/>
        </w:rPr>
        <w:t>温州众晟工程管理有限公司</w:t>
      </w:r>
    </w:p>
    <w:p>
      <w:pPr>
        <w:spacing w:line="40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根据贵方为</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项目（项目编号:</w:t>
      </w:r>
      <w:r>
        <w:rPr>
          <w:rFonts w:hint="eastAsia" w:ascii="宋体" w:hAnsi="宋体" w:cs="宋体"/>
          <w:b/>
          <w:color w:val="auto"/>
          <w:sz w:val="22"/>
          <w:highlight w:val="none"/>
          <w:u w:val="single"/>
        </w:rPr>
        <w:t xml:space="preserve">       </w:t>
      </w:r>
      <w:r>
        <w:rPr>
          <w:rFonts w:hint="eastAsia" w:ascii="宋体" w:hAnsi="宋体" w:cs="宋体"/>
          <w:color w:val="auto"/>
          <w:sz w:val="22"/>
          <w:highlight w:val="none"/>
        </w:rPr>
        <w:t>）的投标邀请，我方</w:t>
      </w:r>
      <w:r>
        <w:rPr>
          <w:rFonts w:hint="eastAsia" w:ascii="宋体" w:hAnsi="宋体" w:cs="宋体"/>
          <w:color w:val="auto"/>
          <w:sz w:val="22"/>
          <w:highlight w:val="none"/>
          <w:u w:val="single"/>
        </w:rPr>
        <w:t xml:space="preserve">           　　　      （投标供应商名称）</w:t>
      </w:r>
      <w:r>
        <w:rPr>
          <w:rFonts w:hint="eastAsia" w:ascii="宋体" w:hAnsi="宋体" w:cs="宋体"/>
          <w:color w:val="auto"/>
          <w:sz w:val="22"/>
          <w:highlight w:val="none"/>
        </w:rPr>
        <w:t>作为投标供应商正式授权</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（授权代表全名，职务）代表我方处理有关本投标的一切事宜。</w:t>
      </w:r>
    </w:p>
    <w:p>
      <w:pPr>
        <w:pStyle w:val="6"/>
        <w:spacing w:line="400" w:lineRule="exact"/>
        <w:ind w:firstLine="440"/>
        <w:rPr>
          <w:rFonts w:hAnsi="宋体" w:cs="宋体"/>
          <w:color w:val="auto"/>
          <w:sz w:val="22"/>
          <w:highlight w:val="none"/>
        </w:rPr>
      </w:pPr>
      <w:r>
        <w:rPr>
          <w:rFonts w:hint="eastAsia" w:hAnsi="宋体" w:cs="宋体"/>
          <w:color w:val="auto"/>
          <w:sz w:val="22"/>
          <w:highlight w:val="none"/>
        </w:rPr>
        <w:t>在此提交的投标文件中，包括如下内容，并已分别加密上传：</w:t>
      </w:r>
    </w:p>
    <w:p>
      <w:pPr>
        <w:pStyle w:val="6"/>
        <w:spacing w:line="400" w:lineRule="exact"/>
        <w:ind w:firstLine="440"/>
        <w:rPr>
          <w:rFonts w:hAnsi="宋体" w:cs="宋体"/>
          <w:color w:val="auto"/>
          <w:sz w:val="22"/>
          <w:highlight w:val="none"/>
        </w:rPr>
      </w:pPr>
      <w:r>
        <w:rPr>
          <w:rFonts w:hint="eastAsia" w:hAnsi="宋体" w:cs="宋体"/>
          <w:color w:val="auto"/>
          <w:sz w:val="22"/>
          <w:highlight w:val="none"/>
        </w:rPr>
        <w:t>（一）按“投标供应商须知”要求编制投标文件的“资格文件”；</w:t>
      </w:r>
    </w:p>
    <w:p>
      <w:pPr>
        <w:pStyle w:val="6"/>
        <w:spacing w:line="400" w:lineRule="exact"/>
        <w:ind w:firstLine="440"/>
        <w:rPr>
          <w:rFonts w:hAnsi="宋体" w:cs="宋体"/>
          <w:color w:val="auto"/>
          <w:sz w:val="22"/>
          <w:highlight w:val="none"/>
        </w:rPr>
      </w:pPr>
      <w:r>
        <w:rPr>
          <w:rFonts w:hint="eastAsia" w:hAnsi="宋体" w:cs="宋体"/>
          <w:color w:val="auto"/>
          <w:sz w:val="22"/>
          <w:highlight w:val="none"/>
        </w:rPr>
        <w:t>（二）按“投标供应商须知”要求编制投标文件的“商务技术文件”；</w:t>
      </w:r>
    </w:p>
    <w:p>
      <w:pPr>
        <w:pStyle w:val="6"/>
        <w:spacing w:line="400" w:lineRule="exact"/>
        <w:ind w:firstLine="440"/>
        <w:rPr>
          <w:rFonts w:hAnsi="宋体" w:cs="宋体"/>
          <w:color w:val="auto"/>
          <w:sz w:val="22"/>
          <w:highlight w:val="none"/>
        </w:rPr>
      </w:pPr>
      <w:r>
        <w:rPr>
          <w:rFonts w:hint="eastAsia" w:hAnsi="宋体" w:cs="宋体"/>
          <w:color w:val="auto"/>
          <w:sz w:val="22"/>
          <w:highlight w:val="none"/>
        </w:rPr>
        <w:t>（三）按“投标供应商须知”要求编制投标文件的“报价文件”；</w:t>
      </w:r>
    </w:p>
    <w:p>
      <w:pPr>
        <w:pStyle w:val="6"/>
        <w:spacing w:line="400" w:lineRule="exact"/>
        <w:ind w:firstLine="440"/>
        <w:rPr>
          <w:rFonts w:hAnsi="宋体" w:cs="宋体"/>
          <w:color w:val="auto"/>
          <w:sz w:val="22"/>
          <w:highlight w:val="none"/>
        </w:rPr>
      </w:pPr>
      <w:r>
        <w:rPr>
          <w:rFonts w:hint="eastAsia" w:hAnsi="宋体" w:cs="宋体"/>
          <w:color w:val="auto"/>
          <w:sz w:val="22"/>
          <w:highlight w:val="none"/>
        </w:rPr>
        <w:t>我方己完全明白招标文件的所有条款要求，并重申以下几点：</w:t>
      </w:r>
    </w:p>
    <w:p>
      <w:pPr>
        <w:spacing w:line="400" w:lineRule="exact"/>
        <w:ind w:left="1019" w:leftChars="171" w:hanging="660" w:hangingChars="300"/>
        <w:rPr>
          <w:rFonts w:ascii="宋体" w:hAnsi="宋体" w:cs="宋体"/>
          <w:color w:val="auto"/>
          <w:sz w:val="22"/>
          <w:highlight w:val="none"/>
        </w:rPr>
      </w:pPr>
      <w:r>
        <w:rPr>
          <w:rFonts w:hint="eastAsia" w:ascii="宋体" w:hAnsi="宋体" w:cs="宋体"/>
          <w:color w:val="auto"/>
          <w:sz w:val="22"/>
          <w:highlight w:val="none"/>
        </w:rPr>
        <w:t>（一）本投标文件的有效期自投标截止日起</w:t>
      </w:r>
      <w:r>
        <w:rPr>
          <w:rFonts w:hint="eastAsia" w:ascii="宋体" w:hAnsi="宋体" w:cs="宋体"/>
          <w:b/>
          <w:color w:val="auto"/>
          <w:sz w:val="22"/>
          <w:highlight w:val="none"/>
          <w:u w:val="single"/>
        </w:rPr>
        <w:t>90</w:t>
      </w:r>
      <w:r>
        <w:rPr>
          <w:rFonts w:hint="eastAsia" w:ascii="宋体" w:hAnsi="宋体" w:cs="宋体"/>
          <w:color w:val="auto"/>
          <w:sz w:val="22"/>
          <w:highlight w:val="none"/>
        </w:rPr>
        <w:t>天内有效，如中标，有效期将延至合同终止日为止；</w:t>
      </w:r>
    </w:p>
    <w:p>
      <w:pPr>
        <w:spacing w:line="400" w:lineRule="exact"/>
        <w:ind w:left="1019" w:leftChars="171" w:hanging="660" w:hangingChars="300"/>
        <w:rPr>
          <w:rFonts w:ascii="宋体" w:hAnsi="宋体" w:cs="宋体"/>
          <w:color w:val="auto"/>
          <w:sz w:val="22"/>
          <w:highlight w:val="none"/>
        </w:rPr>
      </w:pPr>
      <w:r>
        <w:rPr>
          <w:rFonts w:hint="eastAsia" w:ascii="宋体" w:hAnsi="宋体" w:cs="宋体"/>
          <w:color w:val="auto"/>
          <w:sz w:val="22"/>
          <w:highlight w:val="none"/>
        </w:rPr>
        <w:t>（二）我方已详细研究了招标文件的所有内容包括修改书（如有）和所有已提供的参考资料以及有关附件，我方完全理解并同意放弃在此方面提出含糊意见或误解的一切权力；</w:t>
      </w:r>
    </w:p>
    <w:p>
      <w:pPr>
        <w:spacing w:line="400" w:lineRule="exact"/>
        <w:ind w:left="359" w:leftChars="171"/>
        <w:rPr>
          <w:rFonts w:ascii="宋体" w:hAnsi="宋体" w:cs="宋体"/>
          <w:color w:val="auto"/>
          <w:sz w:val="22"/>
          <w:highlight w:val="none"/>
        </w:rPr>
      </w:pPr>
      <w:r>
        <w:rPr>
          <w:rFonts w:hint="eastAsia" w:ascii="宋体" w:hAnsi="宋体" w:cs="宋体"/>
          <w:color w:val="auto"/>
          <w:sz w:val="22"/>
          <w:highlight w:val="none"/>
        </w:rPr>
        <w:t>（三）我方同意提供按照贵方可能要求的与投标有关的一切数据或资料；</w:t>
      </w:r>
    </w:p>
    <w:p>
      <w:pPr>
        <w:spacing w:line="400" w:lineRule="exact"/>
        <w:ind w:left="359" w:leftChars="171"/>
        <w:rPr>
          <w:rFonts w:ascii="宋体" w:hAnsi="宋体" w:cs="宋体"/>
          <w:color w:val="auto"/>
          <w:sz w:val="22"/>
          <w:highlight w:val="none"/>
        </w:rPr>
      </w:pPr>
      <w:r>
        <w:rPr>
          <w:rFonts w:hint="eastAsia" w:ascii="宋体" w:hAnsi="宋体" w:cs="宋体"/>
          <w:color w:val="auto"/>
          <w:sz w:val="22"/>
          <w:highlight w:val="none"/>
        </w:rPr>
        <w:t>（四）我方理解贵方不一定接受最低报价；</w:t>
      </w:r>
    </w:p>
    <w:p>
      <w:pPr>
        <w:spacing w:line="400" w:lineRule="exact"/>
        <w:ind w:left="1019" w:leftChars="171" w:hanging="660" w:hangingChars="300"/>
        <w:rPr>
          <w:rFonts w:ascii="宋体" w:hAnsi="宋体" w:cs="宋体"/>
          <w:color w:val="auto"/>
          <w:sz w:val="22"/>
          <w:highlight w:val="none"/>
        </w:rPr>
      </w:pPr>
      <w:r>
        <w:rPr>
          <w:rFonts w:hint="eastAsia" w:ascii="宋体" w:hAnsi="宋体" w:cs="宋体"/>
          <w:color w:val="auto"/>
          <w:sz w:val="22"/>
          <w:highlight w:val="none"/>
        </w:rPr>
        <w:t>（五）我方如果中标，将保证履行招标文件以及招标文件修改书（如有）中的全部责任和义务，按质、按量、按期完成《合同书》中的全部任务。</w:t>
      </w:r>
    </w:p>
    <w:p>
      <w:pPr>
        <w:spacing w:line="400" w:lineRule="exact"/>
        <w:ind w:left="315"/>
        <w:rPr>
          <w:rFonts w:ascii="宋体" w:hAnsi="宋体" w:cs="宋体"/>
          <w:color w:val="auto"/>
          <w:sz w:val="22"/>
          <w:highlight w:val="none"/>
        </w:rPr>
      </w:pPr>
      <w:r>
        <w:rPr>
          <w:rFonts w:hint="eastAsia" w:ascii="宋体" w:hAnsi="宋体" w:cs="宋体"/>
          <w:color w:val="auto"/>
          <w:sz w:val="22"/>
          <w:highlight w:val="none"/>
        </w:rPr>
        <w:t>（六）所有与本投标有关的函件请发往下列地址：</w:t>
      </w:r>
    </w:p>
    <w:p>
      <w:pPr>
        <w:spacing w:line="400" w:lineRule="exact"/>
        <w:ind w:firstLine="435"/>
        <w:rPr>
          <w:rFonts w:ascii="宋体" w:hAnsi="宋体" w:cs="宋体"/>
          <w:color w:val="auto"/>
          <w:sz w:val="22"/>
          <w:highlight w:val="none"/>
        </w:rPr>
      </w:pPr>
      <w:r>
        <w:rPr>
          <w:rFonts w:hint="eastAsia" w:ascii="宋体" w:hAnsi="宋体" w:cs="宋体"/>
          <w:color w:val="auto"/>
          <w:sz w:val="22"/>
          <w:highlight w:val="none"/>
        </w:rPr>
        <w:t xml:space="preserve">   地址</w:t>
      </w:r>
      <w:r>
        <w:rPr>
          <w:rFonts w:hint="eastAsia" w:ascii="宋体" w:hAnsi="宋体" w:cs="宋体"/>
          <w:color w:val="auto"/>
          <w:sz w:val="22"/>
          <w:highlight w:val="none"/>
          <w:u w:val="single"/>
        </w:rPr>
        <w:t xml:space="preserve">                           </w:t>
      </w:r>
    </w:p>
    <w:p>
      <w:pPr>
        <w:spacing w:line="400" w:lineRule="exact"/>
        <w:ind w:firstLine="435"/>
        <w:rPr>
          <w:rFonts w:ascii="宋体" w:hAnsi="宋体" w:cs="宋体"/>
          <w:color w:val="auto"/>
          <w:sz w:val="22"/>
          <w:highlight w:val="none"/>
        </w:rPr>
      </w:pPr>
      <w:r>
        <w:rPr>
          <w:rFonts w:hint="eastAsia" w:ascii="宋体" w:hAnsi="宋体" w:cs="宋体"/>
          <w:color w:val="auto"/>
          <w:sz w:val="22"/>
          <w:highlight w:val="none"/>
        </w:rPr>
        <w:t xml:space="preserve">   电话</w:t>
      </w:r>
      <w:r>
        <w:rPr>
          <w:rFonts w:hint="eastAsia" w:ascii="宋体" w:hAnsi="宋体" w:cs="宋体"/>
          <w:color w:val="auto"/>
          <w:sz w:val="22"/>
          <w:highlight w:val="none"/>
          <w:u w:val="single"/>
        </w:rPr>
        <w:t xml:space="preserve">                           </w:t>
      </w:r>
    </w:p>
    <w:p>
      <w:pPr>
        <w:spacing w:line="400" w:lineRule="exact"/>
        <w:ind w:firstLine="435"/>
        <w:rPr>
          <w:rFonts w:ascii="宋体" w:hAnsi="宋体" w:cs="宋体"/>
          <w:color w:val="auto"/>
          <w:sz w:val="22"/>
          <w:highlight w:val="none"/>
          <w:u w:val="single"/>
        </w:rPr>
      </w:pPr>
      <w:r>
        <w:rPr>
          <w:rFonts w:hint="eastAsia" w:ascii="宋体" w:hAnsi="宋体" w:cs="宋体"/>
          <w:color w:val="auto"/>
          <w:sz w:val="22"/>
          <w:highlight w:val="none"/>
        </w:rPr>
        <w:t xml:space="preserve">   传真</w:t>
      </w:r>
      <w:r>
        <w:rPr>
          <w:rFonts w:hint="eastAsia" w:ascii="宋体" w:hAnsi="宋体" w:cs="宋体"/>
          <w:color w:val="auto"/>
          <w:sz w:val="22"/>
          <w:highlight w:val="none"/>
          <w:u w:val="single"/>
        </w:rPr>
        <w:t xml:space="preserve">                           </w:t>
      </w:r>
    </w:p>
    <w:p>
      <w:pPr>
        <w:spacing w:line="400" w:lineRule="exact"/>
        <w:ind w:firstLine="770" w:firstLineChars="350"/>
        <w:rPr>
          <w:rFonts w:ascii="宋体" w:hAnsi="宋体" w:cs="宋体"/>
          <w:color w:val="auto"/>
          <w:sz w:val="22"/>
          <w:highlight w:val="none"/>
          <w:u w:val="single"/>
        </w:rPr>
      </w:pPr>
      <w:r>
        <w:rPr>
          <w:rFonts w:hint="eastAsia" w:ascii="宋体" w:hAnsi="宋体" w:cs="宋体"/>
          <w:color w:val="auto"/>
          <w:sz w:val="22"/>
          <w:highlight w:val="none"/>
        </w:rPr>
        <w:t>电子邮件</w:t>
      </w:r>
      <w:r>
        <w:rPr>
          <w:rFonts w:hint="eastAsia" w:ascii="宋体" w:hAnsi="宋体" w:cs="宋体"/>
          <w:color w:val="auto"/>
          <w:sz w:val="22"/>
          <w:highlight w:val="none"/>
          <w:u w:val="single"/>
        </w:rPr>
        <w:t xml:space="preserve">                       </w:t>
      </w:r>
    </w:p>
    <w:p>
      <w:pPr>
        <w:spacing w:line="400" w:lineRule="exact"/>
        <w:rPr>
          <w:rFonts w:ascii="宋体" w:hAnsi="宋体" w:cs="宋体"/>
          <w:color w:val="auto"/>
          <w:sz w:val="22"/>
          <w:highlight w:val="none"/>
        </w:rPr>
      </w:pP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投标供应商全称（盖章或电子签章）：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法定代表人或授权代表(签字或盖章或电子签章)：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日期：    年    月    日</w:t>
      </w:r>
    </w:p>
    <w:p>
      <w:pPr>
        <w:snapToGrid w:val="0"/>
        <w:spacing w:line="400" w:lineRule="exact"/>
        <w:jc w:val="center"/>
        <w:rPr>
          <w:rFonts w:ascii="宋体" w:hAnsi="宋体" w:cs="宋体"/>
          <w:b/>
          <w:bCs/>
          <w:color w:val="auto"/>
          <w:sz w:val="28"/>
          <w:szCs w:val="28"/>
          <w:highlight w:val="none"/>
        </w:rPr>
      </w:pPr>
    </w:p>
    <w:p>
      <w:pPr>
        <w:snapToGrid w:val="0"/>
        <w:spacing w:line="400" w:lineRule="exact"/>
        <w:jc w:val="center"/>
        <w:rPr>
          <w:rFonts w:ascii="宋体" w:hAnsi="宋体" w:cs="宋体"/>
          <w:b/>
          <w:bCs/>
          <w:color w:val="auto"/>
          <w:sz w:val="28"/>
          <w:szCs w:val="28"/>
          <w:highlight w:val="none"/>
        </w:rPr>
      </w:pPr>
    </w:p>
    <w:p>
      <w:pPr>
        <w:rPr>
          <w:rFonts w:ascii="宋体" w:hAnsi="宋体" w:cs="宋体"/>
          <w:b/>
          <w:color w:val="auto"/>
          <w:sz w:val="32"/>
          <w:szCs w:val="32"/>
          <w:highlight w:val="none"/>
        </w:rPr>
      </w:pPr>
      <w:r>
        <w:rPr>
          <w:rFonts w:hint="eastAsia" w:ascii="宋体" w:hAnsi="宋体" w:cs="宋体"/>
          <w:b/>
          <w:color w:val="auto"/>
          <w:sz w:val="32"/>
          <w:szCs w:val="32"/>
          <w:highlight w:val="none"/>
        </w:rPr>
        <w:br w:type="page"/>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附件二</w:t>
      </w:r>
    </w:p>
    <w:p>
      <w:pPr>
        <w:spacing w:line="40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投标报价一览表</w:t>
      </w:r>
    </w:p>
    <w:p>
      <w:pPr>
        <w:spacing w:line="400" w:lineRule="exact"/>
        <w:ind w:firstLine="2640" w:firstLineChars="1200"/>
        <w:rPr>
          <w:rFonts w:ascii="宋体" w:hAnsi="宋体" w:cs="宋体"/>
          <w:color w:val="auto"/>
          <w:sz w:val="22"/>
          <w:highlight w:val="none"/>
        </w:rPr>
      </w:pPr>
      <w:r>
        <w:rPr>
          <w:rFonts w:hint="eastAsia" w:ascii="宋体" w:hAnsi="宋体" w:cs="宋体"/>
          <w:color w:val="auto"/>
          <w:sz w:val="22"/>
          <w:highlight w:val="none"/>
        </w:rPr>
        <w:t xml:space="preserve">                                   单位：人民币（元）    </w:t>
      </w:r>
    </w:p>
    <w:tbl>
      <w:tblPr>
        <w:tblStyle w:val="22"/>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0"/>
        <w:gridCol w:w="2427"/>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5730" w:type="dxa"/>
            <w:noWrap/>
            <w:vAlign w:val="center"/>
          </w:tcPr>
          <w:p>
            <w:pPr>
              <w:pStyle w:val="12"/>
              <w:spacing w:line="400" w:lineRule="atLeast"/>
              <w:jc w:val="center"/>
              <w:rPr>
                <w:rFonts w:hAnsi="宋体" w:cs="宋体"/>
                <w:b/>
                <w:bCs/>
                <w:color w:val="auto"/>
                <w:sz w:val="22"/>
                <w:highlight w:val="none"/>
                <w:lang w:val="en-US" w:eastAsia="zh-CN"/>
              </w:rPr>
            </w:pPr>
            <w:r>
              <w:rPr>
                <w:rFonts w:hint="eastAsia" w:hAnsi="宋体" w:cs="宋体"/>
                <w:b/>
                <w:bCs/>
                <w:color w:val="auto"/>
                <w:sz w:val="22"/>
                <w:highlight w:val="none"/>
                <w:lang w:val="en-US" w:eastAsia="zh-CN"/>
              </w:rPr>
              <w:t>项目名称</w:t>
            </w:r>
          </w:p>
        </w:tc>
        <w:tc>
          <w:tcPr>
            <w:tcW w:w="2427" w:type="dxa"/>
            <w:noWrap/>
            <w:vAlign w:val="center"/>
          </w:tcPr>
          <w:p>
            <w:pPr>
              <w:pStyle w:val="12"/>
              <w:spacing w:line="400" w:lineRule="atLeast"/>
              <w:jc w:val="center"/>
              <w:rPr>
                <w:rFonts w:hAnsi="宋体" w:cs="宋体"/>
                <w:b/>
                <w:bCs/>
                <w:color w:val="auto"/>
                <w:sz w:val="22"/>
                <w:highlight w:val="none"/>
                <w:lang w:val="en-US" w:eastAsia="zh-CN"/>
              </w:rPr>
            </w:pPr>
            <w:r>
              <w:rPr>
                <w:rFonts w:hint="eastAsia" w:hAnsi="宋体" w:cs="宋体"/>
                <w:b/>
                <w:bCs/>
                <w:color w:val="auto"/>
                <w:sz w:val="22"/>
                <w:highlight w:val="none"/>
                <w:lang w:val="en-US" w:eastAsia="zh-CN"/>
              </w:rPr>
              <w:t>服务期限</w:t>
            </w:r>
          </w:p>
        </w:tc>
        <w:tc>
          <w:tcPr>
            <w:tcW w:w="1697" w:type="dxa"/>
            <w:noWrap/>
            <w:vAlign w:val="center"/>
          </w:tcPr>
          <w:p>
            <w:pPr>
              <w:pStyle w:val="12"/>
              <w:spacing w:line="400" w:lineRule="atLeast"/>
              <w:jc w:val="center"/>
              <w:rPr>
                <w:rFonts w:hAnsi="宋体" w:cs="宋体"/>
                <w:b/>
                <w:bCs/>
                <w:color w:val="auto"/>
                <w:sz w:val="22"/>
                <w:highlight w:val="none"/>
                <w:lang w:val="en-US" w:eastAsia="zh-CN"/>
              </w:rPr>
            </w:pPr>
            <w:r>
              <w:rPr>
                <w:rFonts w:hint="eastAsia" w:hAnsi="宋体" w:cs="宋体"/>
                <w:b/>
                <w:bCs/>
                <w:color w:val="auto"/>
                <w:sz w:val="22"/>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5730" w:type="dxa"/>
            <w:noWrap/>
            <w:vAlign w:val="center"/>
          </w:tcPr>
          <w:p>
            <w:pPr>
              <w:pStyle w:val="12"/>
              <w:spacing w:line="400" w:lineRule="atLeast"/>
              <w:ind w:firstLine="215" w:firstLineChars="98"/>
              <w:jc w:val="center"/>
              <w:rPr>
                <w:rFonts w:hAnsi="宋体" w:cs="宋体"/>
                <w:bCs/>
                <w:color w:val="auto"/>
                <w:sz w:val="22"/>
                <w:highlight w:val="none"/>
                <w:u w:val="single"/>
                <w:lang w:val="en-US" w:eastAsia="zh-CN"/>
              </w:rPr>
            </w:pPr>
            <w:r>
              <w:rPr>
                <w:rFonts w:hint="eastAsia" w:hAnsi="宋体" w:cs="宋体"/>
                <w:bCs/>
                <w:color w:val="auto"/>
                <w:sz w:val="22"/>
                <w:highlight w:val="none"/>
                <w:lang w:val="en-US" w:eastAsia="zh-CN"/>
              </w:rPr>
              <w:t>温州市城乡规划展示馆2024年6月-2025年5月设备维护</w:t>
            </w:r>
          </w:p>
        </w:tc>
        <w:tc>
          <w:tcPr>
            <w:tcW w:w="2427" w:type="dxa"/>
            <w:noWrap/>
            <w:vAlign w:val="center"/>
          </w:tcPr>
          <w:p>
            <w:pPr>
              <w:pStyle w:val="12"/>
              <w:spacing w:line="400" w:lineRule="atLeast"/>
              <w:jc w:val="center"/>
              <w:rPr>
                <w:rFonts w:hAnsi="宋体" w:cs="宋体"/>
                <w:bCs/>
                <w:color w:val="auto"/>
                <w:sz w:val="22"/>
                <w:highlight w:val="none"/>
                <w:lang w:val="en-US" w:eastAsia="zh-CN"/>
              </w:rPr>
            </w:pPr>
            <w:r>
              <w:rPr>
                <w:rFonts w:hint="eastAsia" w:hAnsi="宋体" w:cs="宋体"/>
                <w:bCs/>
                <w:color w:val="auto"/>
                <w:sz w:val="22"/>
                <w:highlight w:val="none"/>
                <w:lang w:val="en-US" w:eastAsia="zh-CN"/>
              </w:rPr>
              <w:t>1年</w:t>
            </w:r>
          </w:p>
        </w:tc>
        <w:tc>
          <w:tcPr>
            <w:tcW w:w="1697" w:type="dxa"/>
            <w:noWrap/>
            <w:vAlign w:val="center"/>
          </w:tcPr>
          <w:p>
            <w:pPr>
              <w:pStyle w:val="12"/>
              <w:spacing w:line="400" w:lineRule="atLeast"/>
              <w:jc w:val="center"/>
              <w:rPr>
                <w:rFonts w:hAnsi="宋体" w:cs="宋体"/>
                <w:bCs/>
                <w:color w:val="auto"/>
                <w:sz w:val="22"/>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6" w:hRule="atLeast"/>
          <w:jc w:val="center"/>
        </w:trPr>
        <w:tc>
          <w:tcPr>
            <w:tcW w:w="9854" w:type="dxa"/>
            <w:gridSpan w:val="3"/>
            <w:noWrap/>
            <w:vAlign w:val="center"/>
          </w:tcPr>
          <w:p>
            <w:pPr>
              <w:pStyle w:val="12"/>
              <w:spacing w:line="400" w:lineRule="atLeast"/>
              <w:rPr>
                <w:rFonts w:hAnsi="宋体" w:cs="宋体"/>
                <w:b/>
                <w:bCs/>
                <w:color w:val="auto"/>
                <w:sz w:val="22"/>
                <w:highlight w:val="none"/>
                <w:u w:val="single"/>
                <w:lang w:val="en-US" w:eastAsia="zh-CN"/>
              </w:rPr>
            </w:pPr>
            <w:r>
              <w:rPr>
                <w:rFonts w:hint="eastAsia" w:hAnsi="宋体" w:cs="宋体"/>
                <w:b/>
                <w:bCs/>
                <w:color w:val="auto"/>
                <w:sz w:val="22"/>
                <w:highlight w:val="none"/>
                <w:lang w:val="en-US" w:eastAsia="zh-CN"/>
              </w:rPr>
              <w:t>投标报价（大写）：</w:t>
            </w:r>
            <w:r>
              <w:rPr>
                <w:rFonts w:hint="eastAsia" w:hAnsi="宋体" w:cs="宋体"/>
                <w:b/>
                <w:bCs/>
                <w:color w:val="auto"/>
                <w:sz w:val="22"/>
                <w:highlight w:val="none"/>
                <w:u w:val="single"/>
                <w:lang w:val="en-US" w:eastAsia="zh-CN"/>
              </w:rPr>
              <w:t xml:space="preserve">人民币           </w:t>
            </w:r>
          </w:p>
          <w:p>
            <w:pPr>
              <w:pStyle w:val="12"/>
              <w:spacing w:line="400" w:lineRule="atLeast"/>
              <w:ind w:firstLine="883" w:firstLineChars="400"/>
              <w:rPr>
                <w:rFonts w:hAnsi="宋体" w:cs="宋体"/>
                <w:b/>
                <w:bCs/>
                <w:color w:val="auto"/>
                <w:sz w:val="22"/>
                <w:highlight w:val="none"/>
                <w:lang w:val="en-US" w:eastAsia="zh-CN"/>
              </w:rPr>
            </w:pPr>
            <w:r>
              <w:rPr>
                <w:rFonts w:hint="eastAsia" w:hAnsi="宋体" w:cs="宋体"/>
                <w:b/>
                <w:bCs/>
                <w:color w:val="auto"/>
                <w:sz w:val="22"/>
                <w:highlight w:val="none"/>
                <w:lang w:val="en-US" w:eastAsia="zh-CN"/>
              </w:rPr>
              <w:t>（小写）：</w:t>
            </w:r>
            <w:r>
              <w:rPr>
                <w:rFonts w:hint="eastAsia" w:hAnsi="宋体" w:cs="宋体"/>
                <w:bCs/>
                <w:color w:val="auto"/>
                <w:sz w:val="22"/>
                <w:highlight w:val="none"/>
                <w:u w:val="single"/>
                <w:lang w:val="en-US" w:eastAsia="zh-CN"/>
              </w:rPr>
              <w:t xml:space="preserve">¥                </w:t>
            </w:r>
          </w:p>
        </w:tc>
      </w:tr>
    </w:tbl>
    <w:p>
      <w:pPr>
        <w:spacing w:line="440" w:lineRule="exact"/>
        <w:ind w:left="528" w:leftChars="38" w:hanging="448" w:hangingChars="203"/>
        <w:rPr>
          <w:rFonts w:ascii="宋体" w:hAnsi="宋体" w:cs="宋体"/>
          <w:b/>
          <w:bCs/>
          <w:color w:val="auto"/>
          <w:sz w:val="22"/>
          <w:highlight w:val="none"/>
        </w:rPr>
      </w:pPr>
      <w:r>
        <w:rPr>
          <w:rFonts w:hint="eastAsia" w:ascii="宋体" w:hAnsi="宋体" w:cs="宋体"/>
          <w:b/>
          <w:bCs/>
          <w:color w:val="auto"/>
          <w:sz w:val="22"/>
          <w:highlight w:val="none"/>
        </w:rPr>
        <w:t>注：1.此栏内投标报价应与附件三“投标分项报价表”中相应总计价相一致；</w:t>
      </w:r>
    </w:p>
    <w:p>
      <w:pPr>
        <w:numPr>
          <w:ilvl w:val="0"/>
          <w:numId w:val="3"/>
        </w:numPr>
        <w:spacing w:line="440" w:lineRule="exact"/>
        <w:rPr>
          <w:rFonts w:ascii="宋体" w:hAnsi="宋体" w:cs="宋体"/>
          <w:b/>
          <w:bCs/>
          <w:color w:val="auto"/>
          <w:sz w:val="22"/>
          <w:highlight w:val="none"/>
        </w:rPr>
      </w:pPr>
      <w:r>
        <w:rPr>
          <w:rFonts w:hint="eastAsia" w:ascii="宋体" w:hAnsi="宋体" w:cs="宋体"/>
          <w:b/>
          <w:bCs/>
          <w:color w:val="auto"/>
          <w:sz w:val="22"/>
          <w:highlight w:val="none"/>
        </w:rPr>
        <w:t>总报价应包括采购代理服务费。</w:t>
      </w:r>
    </w:p>
    <w:p>
      <w:pPr>
        <w:spacing w:line="440" w:lineRule="exact"/>
        <w:ind w:left="524"/>
        <w:rPr>
          <w:rFonts w:ascii="新宋体" w:hAnsi="新宋体" w:eastAsia="新宋体"/>
          <w:b/>
          <w:color w:val="auto"/>
          <w:sz w:val="22"/>
          <w:highlight w:val="none"/>
        </w:rPr>
      </w:pPr>
      <w:r>
        <w:rPr>
          <w:rFonts w:hint="eastAsia" w:ascii="新宋体" w:hAnsi="新宋体" w:eastAsia="新宋体"/>
          <w:b/>
          <w:color w:val="auto"/>
          <w:sz w:val="22"/>
          <w:highlight w:val="none"/>
        </w:rPr>
        <w:t>3．</w:t>
      </w:r>
      <w:r>
        <w:rPr>
          <w:rFonts w:hint="eastAsia" w:ascii="新宋体" w:hAnsi="新宋体" w:eastAsia="新宋体"/>
          <w:b/>
          <w:bCs/>
          <w:color w:val="auto"/>
          <w:sz w:val="22"/>
          <w:highlight w:val="none"/>
          <w:u w:val="single"/>
        </w:rPr>
        <w:t>▲不按要求提供此表将被视为没有实质性响应招标文件。</w:t>
      </w:r>
    </w:p>
    <w:p>
      <w:pPr>
        <w:pStyle w:val="28"/>
        <w:rPr>
          <w:rFonts w:ascii="宋体" w:hAnsi="宋体" w:cs="宋体"/>
          <w:b/>
          <w:bCs/>
          <w:color w:val="auto"/>
          <w:sz w:val="22"/>
          <w:highlight w:val="none"/>
          <w:u w:val="single"/>
        </w:rPr>
      </w:pPr>
    </w:p>
    <w:p>
      <w:pPr>
        <w:widowControl/>
        <w:spacing w:line="400" w:lineRule="exact"/>
        <w:rPr>
          <w:rFonts w:ascii="宋体" w:hAnsi="宋体" w:cs="宋体"/>
          <w:color w:val="auto"/>
          <w:kern w:val="0"/>
          <w:sz w:val="22"/>
          <w:highlight w:val="none"/>
        </w:rPr>
      </w:pP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投标供应商全称（盖章或电子签章）：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法定代表人或授权代表(签字或盖章或电子签章)：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日期：    年    月    日</w:t>
      </w:r>
    </w:p>
    <w:p>
      <w:pPr>
        <w:pStyle w:val="2"/>
        <w:rPr>
          <w:rFonts w:ascii="宋体" w:hAnsi="宋体" w:cs="宋体"/>
          <w:color w:val="auto"/>
          <w:highlight w:val="none"/>
        </w:rPr>
      </w:pPr>
    </w:p>
    <w:p>
      <w:pPr>
        <w:rPr>
          <w:rFonts w:ascii="宋体" w:hAnsi="宋体" w:cs="宋体"/>
          <w:color w:val="auto"/>
          <w:highlight w:val="none"/>
        </w:rPr>
      </w:pPr>
    </w:p>
    <w:p>
      <w:pPr>
        <w:spacing w:line="400" w:lineRule="exact"/>
        <w:rPr>
          <w:rFonts w:ascii="宋体" w:hAnsi="宋体" w:cs="宋体"/>
          <w:b/>
          <w:color w:val="auto"/>
          <w:sz w:val="24"/>
          <w:szCs w:val="24"/>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附件三</w:t>
      </w:r>
    </w:p>
    <w:p>
      <w:pPr>
        <w:pStyle w:val="12"/>
        <w:snapToGrid w:val="0"/>
        <w:spacing w:line="400" w:lineRule="exact"/>
        <w:jc w:val="center"/>
        <w:rPr>
          <w:rFonts w:hAnsi="宋体" w:cs="宋体"/>
          <w:b/>
          <w:color w:val="auto"/>
          <w:sz w:val="32"/>
          <w:szCs w:val="32"/>
          <w:highlight w:val="none"/>
        </w:rPr>
      </w:pPr>
      <w:r>
        <w:rPr>
          <w:rFonts w:hint="eastAsia" w:hAnsi="宋体" w:cs="宋体"/>
          <w:b/>
          <w:color w:val="auto"/>
          <w:sz w:val="32"/>
          <w:szCs w:val="32"/>
          <w:highlight w:val="none"/>
        </w:rPr>
        <w:t>投标分项报价表</w:t>
      </w:r>
    </w:p>
    <w:p>
      <w:pPr>
        <w:spacing w:line="380" w:lineRule="exact"/>
        <w:rPr>
          <w:rFonts w:ascii="宋体" w:hAnsi="宋体" w:cs="宋体"/>
          <w:b/>
          <w:bCs/>
          <w:color w:val="auto"/>
          <w:sz w:val="22"/>
          <w:highlight w:val="none"/>
        </w:rPr>
      </w:pPr>
      <w:r>
        <w:rPr>
          <w:rFonts w:hint="eastAsia" w:ascii="宋体" w:hAnsi="宋体" w:cs="宋体"/>
          <w:b/>
          <w:bCs/>
          <w:color w:val="auto"/>
          <w:sz w:val="22"/>
          <w:highlight w:val="none"/>
        </w:rPr>
        <w:t xml:space="preserve">项目名称： </w:t>
      </w:r>
      <w:r>
        <w:rPr>
          <w:rFonts w:hint="eastAsia" w:ascii="宋体" w:hAnsi="宋体" w:cs="宋体"/>
          <w:color w:val="auto"/>
          <w:sz w:val="22"/>
          <w:highlight w:val="none"/>
        </w:rPr>
        <w:t xml:space="preserve">                                               </w:t>
      </w:r>
      <w:r>
        <w:rPr>
          <w:rFonts w:hint="eastAsia" w:ascii="宋体" w:hAnsi="宋体" w:cs="宋体"/>
          <w:b/>
          <w:bCs/>
          <w:color w:val="auto"/>
          <w:sz w:val="22"/>
          <w:highlight w:val="none"/>
        </w:rPr>
        <w:t xml:space="preserve"> 项目编号：</w:t>
      </w:r>
    </w:p>
    <w:tbl>
      <w:tblPr>
        <w:tblStyle w:val="22"/>
        <w:tblW w:w="9820" w:type="dxa"/>
        <w:jc w:val="center"/>
        <w:tblLayout w:type="fixed"/>
        <w:tblCellMar>
          <w:top w:w="0" w:type="dxa"/>
          <w:left w:w="0" w:type="dxa"/>
          <w:bottom w:w="0" w:type="dxa"/>
          <w:right w:w="0" w:type="dxa"/>
        </w:tblCellMar>
      </w:tblPr>
      <w:tblGrid>
        <w:gridCol w:w="964"/>
        <w:gridCol w:w="3636"/>
        <w:gridCol w:w="878"/>
        <w:gridCol w:w="1417"/>
        <w:gridCol w:w="1701"/>
        <w:gridCol w:w="1224"/>
      </w:tblGrid>
      <w:tr>
        <w:tblPrEx>
          <w:tblCellMar>
            <w:top w:w="0" w:type="dxa"/>
            <w:left w:w="0" w:type="dxa"/>
            <w:bottom w:w="0" w:type="dxa"/>
            <w:right w:w="0" w:type="dxa"/>
          </w:tblCellMar>
        </w:tblPrEx>
        <w:trPr>
          <w:trHeight w:val="601" w:hRule="exact"/>
          <w:jc w:val="center"/>
        </w:trPr>
        <w:tc>
          <w:tcPr>
            <w:tcW w:w="964" w:type="dxa"/>
            <w:tcBorders>
              <w:top w:val="single" w:color="000000" w:sz="10" w:space="0"/>
              <w:left w:val="single" w:color="000000" w:sz="10" w:space="0"/>
              <w:bottom w:val="single" w:color="000000" w:sz="10" w:space="0"/>
              <w:right w:val="single" w:color="000000" w:sz="4" w:space="0"/>
            </w:tcBorders>
            <w:noWrap/>
            <w:vAlign w:val="center"/>
          </w:tcPr>
          <w:p>
            <w:pPr>
              <w:jc w:val="center"/>
              <w:rPr>
                <w:rFonts w:ascii="宋体" w:hAnsi="宋体" w:cs="新宋体"/>
                <w:b/>
                <w:bCs/>
                <w:color w:val="auto"/>
                <w:sz w:val="22"/>
                <w:highlight w:val="none"/>
              </w:rPr>
            </w:pPr>
            <w:r>
              <w:rPr>
                <w:rFonts w:hint="eastAsia" w:ascii="宋体" w:hAnsi="宋体" w:cs="新宋体"/>
                <w:b/>
                <w:bCs/>
                <w:color w:val="auto"/>
                <w:sz w:val="22"/>
                <w:highlight w:val="none"/>
              </w:rPr>
              <w:t>序号</w:t>
            </w:r>
          </w:p>
        </w:tc>
        <w:tc>
          <w:tcPr>
            <w:tcW w:w="3636" w:type="dxa"/>
            <w:tcBorders>
              <w:top w:val="single" w:color="000000" w:sz="10" w:space="0"/>
              <w:left w:val="single" w:color="000000" w:sz="4" w:space="0"/>
              <w:bottom w:val="single" w:color="000000" w:sz="10" w:space="0"/>
              <w:right w:val="single" w:color="000000" w:sz="4" w:space="0"/>
            </w:tcBorders>
            <w:noWrap/>
            <w:vAlign w:val="center"/>
          </w:tcPr>
          <w:p>
            <w:pPr>
              <w:jc w:val="center"/>
              <w:rPr>
                <w:rFonts w:ascii="宋体" w:hAnsi="宋体" w:cs="新宋体"/>
                <w:b/>
                <w:bCs/>
                <w:color w:val="auto"/>
                <w:sz w:val="22"/>
                <w:highlight w:val="none"/>
              </w:rPr>
            </w:pPr>
            <w:r>
              <w:rPr>
                <w:rFonts w:hint="eastAsia" w:ascii="宋体" w:hAnsi="宋体" w:cs="新宋体"/>
                <w:b/>
                <w:bCs/>
                <w:color w:val="auto"/>
                <w:sz w:val="22"/>
                <w:highlight w:val="none"/>
              </w:rPr>
              <w:t>费用名称</w:t>
            </w:r>
          </w:p>
        </w:tc>
        <w:tc>
          <w:tcPr>
            <w:tcW w:w="878" w:type="dxa"/>
            <w:tcBorders>
              <w:top w:val="single" w:color="000000" w:sz="10" w:space="0"/>
              <w:left w:val="single" w:color="000000" w:sz="4" w:space="0"/>
              <w:bottom w:val="single" w:color="000000" w:sz="10" w:space="0"/>
              <w:right w:val="single" w:color="000000" w:sz="4" w:space="0"/>
            </w:tcBorders>
            <w:noWrap/>
            <w:vAlign w:val="center"/>
          </w:tcPr>
          <w:p>
            <w:pPr>
              <w:jc w:val="center"/>
              <w:rPr>
                <w:rFonts w:ascii="宋体" w:hAnsi="宋体" w:cs="新宋体"/>
                <w:b/>
                <w:bCs/>
                <w:color w:val="auto"/>
                <w:sz w:val="22"/>
                <w:highlight w:val="none"/>
              </w:rPr>
            </w:pPr>
            <w:r>
              <w:rPr>
                <w:rFonts w:hint="eastAsia" w:ascii="宋体" w:hAnsi="宋体" w:cs="新宋体"/>
                <w:b/>
                <w:bCs/>
                <w:color w:val="auto"/>
                <w:sz w:val="22"/>
                <w:highlight w:val="none"/>
              </w:rPr>
              <w:t>数量</w:t>
            </w:r>
          </w:p>
        </w:tc>
        <w:tc>
          <w:tcPr>
            <w:tcW w:w="1417" w:type="dxa"/>
            <w:tcBorders>
              <w:top w:val="single" w:color="000000" w:sz="10" w:space="0"/>
              <w:left w:val="single" w:color="000000" w:sz="4" w:space="0"/>
              <w:bottom w:val="single" w:color="000000" w:sz="10" w:space="0"/>
              <w:right w:val="single" w:color="000000" w:sz="4" w:space="0"/>
            </w:tcBorders>
            <w:noWrap/>
            <w:vAlign w:val="center"/>
          </w:tcPr>
          <w:p>
            <w:pPr>
              <w:jc w:val="center"/>
              <w:rPr>
                <w:rFonts w:ascii="宋体" w:hAnsi="宋体" w:cs="新宋体"/>
                <w:b/>
                <w:bCs/>
                <w:color w:val="auto"/>
                <w:sz w:val="22"/>
                <w:highlight w:val="none"/>
              </w:rPr>
            </w:pPr>
            <w:r>
              <w:rPr>
                <w:rFonts w:hint="eastAsia" w:ascii="宋体" w:hAnsi="宋体" w:cs="新宋体"/>
                <w:b/>
                <w:bCs/>
                <w:color w:val="auto"/>
                <w:sz w:val="22"/>
                <w:highlight w:val="none"/>
              </w:rPr>
              <w:t>单价（元）</w:t>
            </w:r>
          </w:p>
        </w:tc>
        <w:tc>
          <w:tcPr>
            <w:tcW w:w="1701" w:type="dxa"/>
            <w:tcBorders>
              <w:top w:val="single" w:color="000000" w:sz="10" w:space="0"/>
              <w:left w:val="single" w:color="000000" w:sz="4" w:space="0"/>
              <w:bottom w:val="single" w:color="000000" w:sz="10" w:space="0"/>
              <w:right w:val="single" w:color="000000" w:sz="4" w:space="0"/>
            </w:tcBorders>
            <w:noWrap/>
            <w:vAlign w:val="center"/>
          </w:tcPr>
          <w:p>
            <w:pPr>
              <w:jc w:val="center"/>
              <w:rPr>
                <w:rFonts w:ascii="宋体" w:hAnsi="宋体" w:cs="新宋体"/>
                <w:b/>
                <w:bCs/>
                <w:color w:val="auto"/>
                <w:sz w:val="22"/>
                <w:highlight w:val="none"/>
              </w:rPr>
            </w:pPr>
            <w:r>
              <w:rPr>
                <w:rFonts w:hint="eastAsia" w:ascii="宋体" w:hAnsi="宋体" w:cs="新宋体"/>
                <w:b/>
                <w:bCs/>
                <w:color w:val="auto"/>
                <w:sz w:val="22"/>
                <w:highlight w:val="none"/>
              </w:rPr>
              <w:t>小计（元）</w:t>
            </w:r>
          </w:p>
        </w:tc>
        <w:tc>
          <w:tcPr>
            <w:tcW w:w="1224" w:type="dxa"/>
            <w:tcBorders>
              <w:top w:val="single" w:color="000000" w:sz="10" w:space="0"/>
              <w:left w:val="single" w:color="000000" w:sz="4" w:space="0"/>
              <w:bottom w:val="single" w:color="000000" w:sz="10" w:space="0"/>
              <w:right w:val="single" w:color="000000" w:sz="10" w:space="0"/>
            </w:tcBorders>
            <w:noWrap/>
            <w:vAlign w:val="center"/>
          </w:tcPr>
          <w:p>
            <w:pPr>
              <w:jc w:val="center"/>
              <w:rPr>
                <w:rFonts w:ascii="宋体" w:hAnsi="宋体" w:cs="新宋体"/>
                <w:b/>
                <w:bCs/>
                <w:color w:val="auto"/>
                <w:sz w:val="22"/>
                <w:highlight w:val="none"/>
              </w:rPr>
            </w:pPr>
            <w:r>
              <w:rPr>
                <w:rFonts w:hint="eastAsia" w:ascii="宋体" w:hAnsi="宋体" w:cs="新宋体"/>
                <w:b/>
                <w:bCs/>
                <w:color w:val="auto"/>
                <w:sz w:val="22"/>
                <w:highlight w:val="none"/>
              </w:rPr>
              <w:t>备注</w:t>
            </w:r>
          </w:p>
        </w:tc>
      </w:tr>
      <w:tr>
        <w:tblPrEx>
          <w:tblCellMar>
            <w:top w:w="0" w:type="dxa"/>
            <w:left w:w="0" w:type="dxa"/>
            <w:bottom w:w="0" w:type="dxa"/>
            <w:right w:w="0" w:type="dxa"/>
          </w:tblCellMar>
        </w:tblPrEx>
        <w:trPr>
          <w:trHeight w:val="474" w:hRule="exact"/>
          <w:jc w:val="center"/>
        </w:trPr>
        <w:tc>
          <w:tcPr>
            <w:tcW w:w="964" w:type="dxa"/>
            <w:tcBorders>
              <w:top w:val="single" w:color="000000" w:sz="10"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1</w:t>
            </w:r>
          </w:p>
        </w:tc>
        <w:tc>
          <w:tcPr>
            <w:tcW w:w="3636" w:type="dxa"/>
            <w:tcBorders>
              <w:top w:val="single" w:color="000000" w:sz="10"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10"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10"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10"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10"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2</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3</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4</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5</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549"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6</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7</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8</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9</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ascii="宋体" w:hAnsi="宋体" w:cs="新宋体"/>
                <w:color w:val="auto"/>
                <w:sz w:val="22"/>
                <w:highlight w:val="none"/>
              </w:rPr>
              <w:t>1</w:t>
            </w:r>
            <w:r>
              <w:rPr>
                <w:rFonts w:hint="eastAsia" w:ascii="宋体" w:hAnsi="宋体" w:cs="新宋体"/>
                <w:color w:val="auto"/>
                <w:sz w:val="22"/>
                <w:highlight w:val="none"/>
              </w:rPr>
              <w:t>0</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1</w:t>
            </w:r>
            <w:r>
              <w:rPr>
                <w:rFonts w:ascii="宋体" w:hAnsi="宋体" w:cs="新宋体"/>
                <w:color w:val="auto"/>
                <w:sz w:val="22"/>
                <w:highlight w:val="none"/>
              </w:rPr>
              <w:t>1</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1</w:t>
            </w:r>
            <w:r>
              <w:rPr>
                <w:rFonts w:ascii="宋体" w:hAnsi="宋体" w:cs="新宋体"/>
                <w:color w:val="auto"/>
                <w:sz w:val="22"/>
                <w:highlight w:val="none"/>
              </w:rPr>
              <w:t>2</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1</w:t>
            </w:r>
            <w:r>
              <w:rPr>
                <w:rFonts w:ascii="宋体" w:hAnsi="宋体" w:cs="新宋体"/>
                <w:color w:val="auto"/>
                <w:sz w:val="22"/>
                <w:highlight w:val="none"/>
              </w:rPr>
              <w:t>3</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1</w:t>
            </w:r>
            <w:r>
              <w:rPr>
                <w:rFonts w:ascii="宋体" w:hAnsi="宋体" w:cs="新宋体"/>
                <w:color w:val="auto"/>
                <w:sz w:val="22"/>
                <w:highlight w:val="none"/>
              </w:rPr>
              <w:t>4</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64" w:hRule="exact"/>
          <w:jc w:val="center"/>
        </w:trPr>
        <w:tc>
          <w:tcPr>
            <w:tcW w:w="964" w:type="dxa"/>
            <w:tcBorders>
              <w:top w:val="single" w:color="000000" w:sz="4" w:space="0"/>
              <w:left w:val="single" w:color="000000" w:sz="10" w:space="0"/>
              <w:bottom w:val="single" w:color="000000" w:sz="4"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15</w:t>
            </w:r>
          </w:p>
        </w:tc>
        <w:tc>
          <w:tcPr>
            <w:tcW w:w="363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878"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4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7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新宋体"/>
                <w:color w:val="auto"/>
                <w:sz w:val="22"/>
                <w:highlight w:val="none"/>
              </w:rPr>
            </w:pPr>
          </w:p>
        </w:tc>
        <w:tc>
          <w:tcPr>
            <w:tcW w:w="1224" w:type="dxa"/>
            <w:tcBorders>
              <w:top w:val="single" w:color="000000" w:sz="4" w:space="0"/>
              <w:left w:val="single" w:color="000000" w:sz="4" w:space="0"/>
              <w:bottom w:val="single" w:color="000000" w:sz="4" w:space="0"/>
              <w:right w:val="single" w:color="000000" w:sz="10" w:space="0"/>
            </w:tcBorders>
            <w:noWrap/>
            <w:vAlign w:val="center"/>
          </w:tcPr>
          <w:p>
            <w:pPr>
              <w:jc w:val="center"/>
              <w:rPr>
                <w:rFonts w:ascii="宋体" w:hAnsi="宋体" w:cs="新宋体"/>
                <w:color w:val="auto"/>
                <w:sz w:val="22"/>
                <w:highlight w:val="none"/>
              </w:rPr>
            </w:pPr>
          </w:p>
        </w:tc>
      </w:tr>
      <w:tr>
        <w:tblPrEx>
          <w:tblCellMar>
            <w:top w:w="0" w:type="dxa"/>
            <w:left w:w="0" w:type="dxa"/>
            <w:bottom w:w="0" w:type="dxa"/>
            <w:right w:w="0" w:type="dxa"/>
          </w:tblCellMar>
        </w:tblPrEx>
        <w:trPr>
          <w:trHeight w:val="474" w:hRule="exact"/>
          <w:jc w:val="center"/>
        </w:trPr>
        <w:tc>
          <w:tcPr>
            <w:tcW w:w="6895" w:type="dxa"/>
            <w:gridSpan w:val="4"/>
            <w:tcBorders>
              <w:top w:val="single" w:color="000000" w:sz="4" w:space="0"/>
              <w:left w:val="single" w:color="000000" w:sz="10" w:space="0"/>
              <w:bottom w:val="single" w:color="000000" w:sz="10" w:space="0"/>
              <w:right w:val="single" w:color="000000" w:sz="4" w:space="0"/>
            </w:tcBorders>
            <w:noWrap/>
            <w:vAlign w:val="center"/>
          </w:tcPr>
          <w:p>
            <w:pPr>
              <w:jc w:val="center"/>
              <w:rPr>
                <w:rFonts w:ascii="宋体" w:hAnsi="宋体" w:cs="新宋体"/>
                <w:color w:val="auto"/>
                <w:sz w:val="22"/>
                <w:highlight w:val="none"/>
              </w:rPr>
            </w:pPr>
            <w:r>
              <w:rPr>
                <w:rFonts w:hint="eastAsia" w:ascii="宋体" w:hAnsi="宋体" w:cs="新宋体"/>
                <w:color w:val="auto"/>
                <w:sz w:val="22"/>
                <w:highlight w:val="none"/>
              </w:rPr>
              <w:t>总计价（元）</w:t>
            </w:r>
          </w:p>
        </w:tc>
        <w:tc>
          <w:tcPr>
            <w:tcW w:w="2925" w:type="dxa"/>
            <w:gridSpan w:val="2"/>
            <w:tcBorders>
              <w:top w:val="single" w:color="000000" w:sz="4" w:space="0"/>
              <w:left w:val="single" w:color="000000" w:sz="4" w:space="0"/>
              <w:bottom w:val="single" w:color="000000" w:sz="10" w:space="0"/>
              <w:right w:val="single" w:color="000000" w:sz="10" w:space="0"/>
            </w:tcBorders>
            <w:noWrap/>
            <w:vAlign w:val="center"/>
          </w:tcPr>
          <w:p>
            <w:pPr>
              <w:jc w:val="center"/>
              <w:rPr>
                <w:rFonts w:ascii="宋体" w:hAnsi="宋体" w:cs="新宋体"/>
                <w:color w:val="auto"/>
                <w:sz w:val="22"/>
                <w:highlight w:val="none"/>
              </w:rPr>
            </w:pPr>
          </w:p>
        </w:tc>
      </w:tr>
    </w:tbl>
    <w:p>
      <w:pPr>
        <w:spacing w:line="440" w:lineRule="exact"/>
        <w:rPr>
          <w:rFonts w:ascii="宋体" w:hAnsi="宋体"/>
          <w:color w:val="auto"/>
          <w:sz w:val="22"/>
          <w:highlight w:val="none"/>
        </w:rPr>
      </w:pPr>
      <w:r>
        <w:rPr>
          <w:rFonts w:hint="eastAsia" w:ascii="宋体" w:hAnsi="宋体"/>
          <w:b/>
          <w:bCs/>
          <w:color w:val="auto"/>
          <w:sz w:val="22"/>
          <w:highlight w:val="none"/>
        </w:rPr>
        <w:t>说明：</w:t>
      </w:r>
      <w:r>
        <w:rPr>
          <w:rFonts w:hint="eastAsia" w:ascii="宋体" w:hAnsi="宋体"/>
          <w:color w:val="auto"/>
          <w:sz w:val="22"/>
          <w:highlight w:val="none"/>
        </w:rPr>
        <w:t>1.</w:t>
      </w:r>
      <w:r>
        <w:rPr>
          <w:rFonts w:hint="eastAsia" w:ascii="新宋体" w:hAnsi="新宋体" w:eastAsia="新宋体"/>
          <w:b/>
          <w:bCs/>
          <w:color w:val="auto"/>
          <w:sz w:val="22"/>
          <w:highlight w:val="none"/>
          <w:u w:val="single"/>
        </w:rPr>
        <w:t>▲不提供详细分项报价将被视为没有实质性响应招标文件。</w:t>
      </w:r>
    </w:p>
    <w:p>
      <w:pPr>
        <w:spacing w:line="440" w:lineRule="exact"/>
        <w:ind w:firstLine="660" w:firstLineChars="300"/>
        <w:rPr>
          <w:rFonts w:ascii="宋体" w:hAnsi="宋体"/>
          <w:color w:val="auto"/>
          <w:sz w:val="22"/>
          <w:highlight w:val="none"/>
        </w:rPr>
      </w:pPr>
      <w:r>
        <w:rPr>
          <w:rFonts w:hint="eastAsia" w:ascii="宋体" w:hAnsi="宋体"/>
          <w:color w:val="auto"/>
          <w:sz w:val="22"/>
          <w:highlight w:val="none"/>
        </w:rPr>
        <w:t>2.此表的</w:t>
      </w:r>
      <w:r>
        <w:rPr>
          <w:rFonts w:hint="eastAsia" w:ascii="宋体" w:hAnsi="宋体"/>
          <w:bCs/>
          <w:color w:val="auto"/>
          <w:sz w:val="22"/>
          <w:highlight w:val="none"/>
        </w:rPr>
        <w:t>总计</w:t>
      </w:r>
      <w:r>
        <w:rPr>
          <w:rFonts w:hint="eastAsia" w:ascii="宋体" w:hAnsi="宋体"/>
          <w:color w:val="auto"/>
          <w:sz w:val="22"/>
          <w:highlight w:val="none"/>
        </w:rPr>
        <w:t>价应与附件二“投标报价一览表”对应投标报价相一致。</w:t>
      </w:r>
    </w:p>
    <w:p>
      <w:pPr>
        <w:pStyle w:val="28"/>
        <w:ind w:firstLine="660" w:firstLineChars="300"/>
        <w:rPr>
          <w:color w:val="auto"/>
          <w:highlight w:val="none"/>
        </w:rPr>
      </w:pPr>
      <w:r>
        <w:rPr>
          <w:rFonts w:hint="eastAsia" w:ascii="宋体" w:hAnsi="宋体"/>
          <w:color w:val="auto"/>
          <w:sz w:val="22"/>
          <w:szCs w:val="22"/>
          <w:highlight w:val="none"/>
        </w:rPr>
        <w:t>3.如果免费请在该备注栏内注明“免”，如果含在产品价格中则填“含”，如无此项内容则填“无”，不留空白。</w:t>
      </w:r>
    </w:p>
    <w:p>
      <w:pPr>
        <w:spacing w:line="400" w:lineRule="exact"/>
        <w:rPr>
          <w:rFonts w:ascii="宋体" w:hAnsi="宋体" w:cs="宋体"/>
          <w:color w:val="auto"/>
          <w:sz w:val="22"/>
          <w:highlight w:val="none"/>
          <w:u w:val="single"/>
        </w:rPr>
      </w:pPr>
    </w:p>
    <w:p>
      <w:pPr>
        <w:spacing w:line="400" w:lineRule="exact"/>
        <w:rPr>
          <w:rFonts w:ascii="宋体" w:hAnsi="宋体" w:cs="宋体"/>
          <w:b/>
          <w:color w:val="auto"/>
          <w:sz w:val="24"/>
          <w:szCs w:val="24"/>
          <w:highlight w:val="none"/>
        </w:rPr>
      </w:pPr>
    </w:p>
    <w:p>
      <w:pPr>
        <w:widowControl/>
        <w:spacing w:line="400" w:lineRule="exact"/>
        <w:ind w:firstLine="440" w:firstLineChars="200"/>
        <w:rPr>
          <w:rFonts w:ascii="宋体" w:hAnsi="宋体" w:cs="宋体"/>
          <w:color w:val="auto"/>
          <w:kern w:val="0"/>
          <w:sz w:val="22"/>
          <w:highlight w:val="none"/>
          <w:u w:val="single"/>
        </w:rPr>
      </w:pPr>
      <w:r>
        <w:rPr>
          <w:rFonts w:hint="eastAsia" w:ascii="宋体" w:hAnsi="宋体" w:cs="宋体"/>
          <w:color w:val="auto"/>
          <w:kern w:val="0"/>
          <w:sz w:val="22"/>
          <w:highlight w:val="none"/>
        </w:rPr>
        <w:t>投标供应商全称（盖章或电子签章）：</w:t>
      </w:r>
    </w:p>
    <w:p>
      <w:pPr>
        <w:widowControl/>
        <w:spacing w:line="400" w:lineRule="exact"/>
        <w:ind w:firstLine="440" w:firstLineChars="200"/>
        <w:rPr>
          <w:rFonts w:ascii="宋体" w:hAnsi="宋体" w:cs="宋体"/>
          <w:color w:val="auto"/>
          <w:kern w:val="0"/>
          <w:sz w:val="22"/>
          <w:highlight w:val="none"/>
        </w:rPr>
      </w:pPr>
      <w:r>
        <w:rPr>
          <w:rFonts w:hint="eastAsia" w:ascii="宋体" w:hAnsi="宋体" w:cs="宋体"/>
          <w:color w:val="auto"/>
          <w:kern w:val="0"/>
          <w:sz w:val="22"/>
          <w:highlight w:val="none"/>
        </w:rPr>
        <w:t>法定代表人或授权代表(签字或盖章或电子签章)：</w:t>
      </w:r>
    </w:p>
    <w:p>
      <w:pPr>
        <w:snapToGrid w:val="0"/>
        <w:spacing w:line="400" w:lineRule="exact"/>
        <w:ind w:firstLine="440" w:firstLineChars="200"/>
        <w:jc w:val="left"/>
        <w:rPr>
          <w:rFonts w:ascii="宋体" w:hAnsi="宋体" w:cs="宋体"/>
          <w:color w:val="auto"/>
          <w:highlight w:val="none"/>
        </w:rPr>
      </w:pPr>
      <w:r>
        <w:rPr>
          <w:rFonts w:hint="eastAsia" w:ascii="宋体" w:hAnsi="宋体" w:cs="宋体"/>
          <w:color w:val="auto"/>
          <w:kern w:val="0"/>
          <w:sz w:val="22"/>
          <w:highlight w:val="none"/>
        </w:rPr>
        <w:t>日期：    年    月    日</w:t>
      </w:r>
    </w:p>
    <w:p>
      <w:pPr>
        <w:pStyle w:val="11"/>
        <w:ind w:left="1470" w:right="1470"/>
        <w:rPr>
          <w:rFonts w:ascii="宋体" w:hAnsi="宋体" w:cs="宋体"/>
          <w:color w:val="auto"/>
          <w:highlight w:val="none"/>
        </w:rPr>
      </w:pPr>
    </w:p>
    <w:p>
      <w:pPr>
        <w:pStyle w:val="11"/>
        <w:ind w:left="1470" w:right="1470"/>
        <w:rPr>
          <w:rFonts w:ascii="宋体" w:hAnsi="宋体" w:cs="宋体"/>
          <w:color w:val="auto"/>
          <w:highlight w:val="none"/>
        </w:rPr>
      </w:pPr>
    </w:p>
    <w:p>
      <w:pPr>
        <w:pStyle w:val="11"/>
        <w:ind w:left="1470" w:right="1470"/>
        <w:rPr>
          <w:rFonts w:ascii="宋体" w:hAnsi="宋体" w:cs="宋体"/>
          <w:color w:val="auto"/>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 xml:space="preserve">附件四                           </w:t>
      </w:r>
    </w:p>
    <w:p>
      <w:pPr>
        <w:spacing w:line="400" w:lineRule="exact"/>
        <w:jc w:val="center"/>
        <w:rPr>
          <w:rFonts w:ascii="宋体" w:hAnsi="宋体" w:cs="宋体"/>
          <w:b/>
          <w:color w:val="auto"/>
          <w:sz w:val="32"/>
          <w:szCs w:val="32"/>
          <w:highlight w:val="none"/>
        </w:rPr>
      </w:pPr>
      <w:r>
        <w:rPr>
          <w:rFonts w:hint="eastAsia" w:ascii="宋体" w:hAnsi="宋体" w:cs="宋体"/>
          <w:b/>
          <w:color w:val="auto"/>
          <w:sz w:val="32"/>
          <w:szCs w:val="32"/>
          <w:highlight w:val="none"/>
        </w:rPr>
        <w:t>资格文件</w:t>
      </w:r>
    </w:p>
    <w:p>
      <w:pPr>
        <w:pStyle w:val="11"/>
        <w:ind w:left="1470" w:right="1470"/>
        <w:rPr>
          <w:rFonts w:ascii="宋体" w:hAnsi="宋体" w:cs="宋体"/>
          <w:color w:val="auto"/>
          <w:sz w:val="24"/>
          <w:szCs w:val="24"/>
          <w:highlight w:val="none"/>
        </w:rPr>
      </w:pPr>
    </w:p>
    <w:p>
      <w:pPr>
        <w:pStyle w:val="11"/>
        <w:ind w:left="1470" w:right="1470"/>
        <w:rPr>
          <w:rFonts w:ascii="宋体" w:hAnsi="宋体" w:cs="宋体"/>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附件四-1</w:t>
      </w:r>
    </w:p>
    <w:p>
      <w:pPr>
        <w:spacing w:line="360" w:lineRule="auto"/>
        <w:jc w:val="center"/>
        <w:rPr>
          <w:rFonts w:ascii="宋体" w:hAnsi="宋体" w:cs="宋体"/>
          <w:b/>
          <w:color w:val="auto"/>
          <w:sz w:val="24"/>
          <w:szCs w:val="24"/>
          <w:highlight w:val="none"/>
        </w:rPr>
      </w:pPr>
    </w:p>
    <w:p>
      <w:pPr>
        <w:spacing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有效的法人或者其他组织的营业执照等证明文件，自然人的身份证明（五选一）</w:t>
      </w:r>
    </w:p>
    <w:p>
      <w:pPr>
        <w:spacing w:line="360" w:lineRule="auto"/>
        <w:rPr>
          <w:rFonts w:ascii="宋体" w:hAnsi="宋体" w:cs="宋体"/>
          <w:b/>
          <w:color w:val="auto"/>
          <w:sz w:val="24"/>
          <w:szCs w:val="24"/>
          <w:highlight w:val="none"/>
        </w:rPr>
      </w:pPr>
    </w:p>
    <w:p>
      <w:pPr>
        <w:spacing w:line="360" w:lineRule="auto"/>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说明：</w:t>
      </w:r>
    </w:p>
    <w:p>
      <w:pPr>
        <w:pStyle w:val="17"/>
        <w:spacing w:line="360" w:lineRule="auto"/>
        <w:ind w:left="458" w:hanging="458"/>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1、如投标供应商是企业（包括合伙企业），提供有效“企业法人营业执照”或“营业执照”；</w:t>
      </w:r>
    </w:p>
    <w:p>
      <w:pPr>
        <w:pStyle w:val="17"/>
        <w:spacing w:line="360" w:lineRule="auto"/>
        <w:ind w:left="458" w:hanging="458"/>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2、如投标供应商是事业单位，提供有效的“事业单位法人证书”；</w:t>
      </w:r>
    </w:p>
    <w:p>
      <w:pPr>
        <w:pStyle w:val="17"/>
        <w:spacing w:line="360" w:lineRule="auto"/>
        <w:ind w:left="458" w:hanging="458"/>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3、如投标供应商是非企业专业服务机构的，提供执业许可证等证明文件；</w:t>
      </w:r>
    </w:p>
    <w:p>
      <w:pPr>
        <w:pStyle w:val="17"/>
        <w:spacing w:line="360" w:lineRule="auto"/>
        <w:ind w:left="458" w:hanging="458"/>
        <w:rPr>
          <w:rFonts w:ascii="宋体" w:hAnsi="宋体" w:cs="宋体"/>
          <w:b/>
          <w:color w:val="auto"/>
          <w:spacing w:val="-6"/>
          <w:sz w:val="24"/>
          <w:szCs w:val="24"/>
          <w:highlight w:val="none"/>
        </w:rPr>
      </w:pPr>
      <w:r>
        <w:rPr>
          <w:rFonts w:hint="eastAsia" w:ascii="宋体" w:hAnsi="宋体" w:cs="宋体"/>
          <w:b/>
          <w:color w:val="auto"/>
          <w:spacing w:val="-6"/>
          <w:sz w:val="24"/>
          <w:szCs w:val="24"/>
          <w:highlight w:val="none"/>
        </w:rPr>
        <w:t>4、如投标供应商是个体工商户，提供有效的“个体工商户营业执照”；</w:t>
      </w:r>
    </w:p>
    <w:p>
      <w:pPr>
        <w:pStyle w:val="17"/>
        <w:spacing w:line="360" w:lineRule="auto"/>
        <w:ind w:left="458" w:hanging="458"/>
        <w:rPr>
          <w:rFonts w:ascii="宋体" w:hAnsi="宋体" w:cs="宋体"/>
          <w:color w:val="auto"/>
          <w:sz w:val="24"/>
          <w:szCs w:val="24"/>
          <w:highlight w:val="none"/>
        </w:rPr>
      </w:pPr>
      <w:r>
        <w:rPr>
          <w:rFonts w:hint="eastAsia" w:ascii="宋体" w:hAnsi="宋体" w:cs="宋体"/>
          <w:b/>
          <w:color w:val="auto"/>
          <w:spacing w:val="-6"/>
          <w:sz w:val="24"/>
          <w:szCs w:val="24"/>
          <w:highlight w:val="none"/>
        </w:rPr>
        <w:t>5、如投标供应商是自然人，提供有效的自然人身份证明（居民身份证正反面或公安机关出具的临时居民身份证正反面或港澳台胞证或证照）。</w:t>
      </w:r>
    </w:p>
    <w:p>
      <w:pPr>
        <w:pStyle w:val="11"/>
        <w:spacing w:after="0" w:line="400" w:lineRule="exact"/>
        <w:ind w:left="0" w:leftChars="0" w:right="0" w:rightChars="0"/>
        <w:rPr>
          <w:rFonts w:ascii="宋体" w:hAnsi="宋体" w:cs="宋体"/>
          <w:b/>
          <w:color w:val="auto"/>
          <w:sz w:val="24"/>
          <w:szCs w:val="24"/>
          <w:highlight w:val="none"/>
        </w:rPr>
      </w:pPr>
    </w:p>
    <w:p>
      <w:pPr>
        <w:rPr>
          <w:rFonts w:ascii="宋体" w:hAnsi="宋体" w:cs="宋体"/>
          <w:b/>
          <w:bCs/>
          <w:color w:val="auto"/>
          <w:sz w:val="32"/>
          <w:szCs w:val="32"/>
          <w:highlight w:val="none"/>
        </w:rPr>
      </w:pPr>
      <w:r>
        <w:rPr>
          <w:rFonts w:hint="eastAsia" w:ascii="宋体" w:hAnsi="宋体" w:cs="宋体"/>
          <w:b/>
          <w:bCs/>
          <w:color w:val="auto"/>
          <w:sz w:val="32"/>
          <w:szCs w:val="32"/>
          <w:highlight w:val="none"/>
        </w:rPr>
        <w:br w:type="page"/>
      </w: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附件四-2</w:t>
      </w:r>
    </w:p>
    <w:p>
      <w:pPr>
        <w:ind w:right="-10"/>
        <w:jc w:val="center"/>
        <w:rPr>
          <w:rFonts w:ascii="宋体" w:hAnsi="宋体" w:cs="宋体"/>
          <w:b/>
          <w:bCs/>
          <w:color w:val="auto"/>
          <w:sz w:val="32"/>
          <w:szCs w:val="32"/>
          <w:highlight w:val="none"/>
        </w:rPr>
      </w:pPr>
    </w:p>
    <w:p>
      <w:pPr>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（1）法定代表人身份证明</w:t>
      </w:r>
    </w:p>
    <w:p>
      <w:pPr>
        <w:spacing w:line="400" w:lineRule="exact"/>
        <w:rPr>
          <w:rFonts w:ascii="宋体" w:hAnsi="宋体" w:cs="宋体"/>
          <w:color w:val="auto"/>
          <w:sz w:val="22"/>
          <w:highlight w:val="none"/>
        </w:rPr>
      </w:pPr>
    </w:p>
    <w:p>
      <w:pPr>
        <w:autoSpaceDE w:val="0"/>
        <w:autoSpaceDN w:val="0"/>
        <w:adjustRightInd w:val="0"/>
        <w:spacing w:line="440" w:lineRule="exact"/>
        <w:rPr>
          <w:rFonts w:ascii="宋体" w:hAnsi="宋体" w:cs="宋体"/>
          <w:color w:val="auto"/>
          <w:sz w:val="22"/>
          <w:highlight w:val="none"/>
        </w:rPr>
      </w:pPr>
      <w:r>
        <w:rPr>
          <w:rFonts w:hint="eastAsia" w:ascii="宋体" w:hAnsi="宋体" w:cs="宋体"/>
          <w:color w:val="auto"/>
          <w:sz w:val="22"/>
          <w:highlight w:val="none"/>
        </w:rPr>
        <w:t>投标供应商名称：</w:t>
      </w:r>
      <w:r>
        <w:rPr>
          <w:rFonts w:hint="eastAsia" w:ascii="宋体" w:hAnsi="宋体" w:cs="宋体"/>
          <w:color w:val="auto"/>
          <w:sz w:val="22"/>
          <w:highlight w:val="none"/>
          <w:u w:val="single"/>
        </w:rPr>
        <w:t xml:space="preserve">                                </w:t>
      </w:r>
    </w:p>
    <w:p>
      <w:pPr>
        <w:autoSpaceDE w:val="0"/>
        <w:autoSpaceDN w:val="0"/>
        <w:adjustRightInd w:val="0"/>
        <w:spacing w:line="440" w:lineRule="exact"/>
        <w:rPr>
          <w:rFonts w:ascii="宋体" w:hAnsi="宋体" w:cs="宋体"/>
          <w:color w:val="auto"/>
          <w:sz w:val="22"/>
          <w:highlight w:val="none"/>
        </w:rPr>
      </w:pPr>
      <w:r>
        <w:rPr>
          <w:rFonts w:hint="eastAsia" w:ascii="宋体" w:hAnsi="宋体" w:cs="宋体"/>
          <w:color w:val="auto"/>
          <w:sz w:val="22"/>
          <w:highlight w:val="none"/>
        </w:rPr>
        <w:t xml:space="preserve">单位性质： </w:t>
      </w:r>
      <w:r>
        <w:rPr>
          <w:rFonts w:hint="eastAsia" w:ascii="宋体" w:hAnsi="宋体" w:cs="宋体"/>
          <w:color w:val="auto"/>
          <w:sz w:val="22"/>
          <w:highlight w:val="none"/>
          <w:u w:val="single"/>
        </w:rPr>
        <w:t xml:space="preserve">                                 </w:t>
      </w:r>
    </w:p>
    <w:p>
      <w:pPr>
        <w:autoSpaceDE w:val="0"/>
        <w:autoSpaceDN w:val="0"/>
        <w:adjustRightInd w:val="0"/>
        <w:spacing w:line="440" w:lineRule="exact"/>
        <w:rPr>
          <w:rFonts w:ascii="宋体" w:hAnsi="宋体" w:cs="宋体"/>
          <w:color w:val="auto"/>
          <w:sz w:val="22"/>
          <w:highlight w:val="none"/>
        </w:rPr>
      </w:pPr>
      <w:r>
        <w:rPr>
          <w:rFonts w:hint="eastAsia" w:ascii="宋体" w:hAnsi="宋体" w:cs="宋体"/>
          <w:color w:val="auto"/>
          <w:sz w:val="22"/>
          <w:highlight w:val="none"/>
        </w:rPr>
        <w:t>地    址：</w:t>
      </w:r>
      <w:r>
        <w:rPr>
          <w:rFonts w:hint="eastAsia" w:ascii="宋体" w:hAnsi="宋体" w:cs="宋体"/>
          <w:color w:val="auto"/>
          <w:sz w:val="22"/>
          <w:highlight w:val="none"/>
          <w:u w:val="single"/>
        </w:rPr>
        <w:t xml:space="preserve">                                  </w:t>
      </w:r>
    </w:p>
    <w:p>
      <w:pPr>
        <w:autoSpaceDE w:val="0"/>
        <w:autoSpaceDN w:val="0"/>
        <w:adjustRightInd w:val="0"/>
        <w:spacing w:line="440" w:lineRule="exact"/>
        <w:rPr>
          <w:rFonts w:ascii="宋体" w:hAnsi="宋体" w:cs="宋体"/>
          <w:color w:val="auto"/>
          <w:sz w:val="22"/>
          <w:highlight w:val="none"/>
        </w:rPr>
      </w:pPr>
      <w:r>
        <w:rPr>
          <w:rFonts w:hint="eastAsia" w:ascii="宋体" w:hAnsi="宋体" w:cs="宋体"/>
          <w:color w:val="auto"/>
          <w:sz w:val="22"/>
          <w:highlight w:val="none"/>
        </w:rPr>
        <w:t xml:space="preserve">成立时间： </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年</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月</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日</w:t>
      </w:r>
    </w:p>
    <w:p>
      <w:pPr>
        <w:autoSpaceDE w:val="0"/>
        <w:autoSpaceDN w:val="0"/>
        <w:adjustRightInd w:val="0"/>
        <w:spacing w:line="440" w:lineRule="exact"/>
        <w:rPr>
          <w:rFonts w:ascii="宋体" w:hAnsi="宋体" w:cs="宋体"/>
          <w:color w:val="auto"/>
          <w:sz w:val="22"/>
          <w:highlight w:val="none"/>
        </w:rPr>
      </w:pPr>
      <w:r>
        <w:rPr>
          <w:rFonts w:hint="eastAsia" w:ascii="宋体" w:hAnsi="宋体" w:cs="宋体"/>
          <w:color w:val="auto"/>
          <w:sz w:val="22"/>
          <w:highlight w:val="none"/>
        </w:rPr>
        <w:t>经营期限：</w:t>
      </w:r>
      <w:r>
        <w:rPr>
          <w:rFonts w:hint="eastAsia" w:ascii="宋体" w:hAnsi="宋体" w:cs="宋体"/>
          <w:color w:val="auto"/>
          <w:sz w:val="22"/>
          <w:highlight w:val="none"/>
          <w:u w:val="single"/>
        </w:rPr>
        <w:t xml:space="preserve">                                   </w:t>
      </w:r>
    </w:p>
    <w:p>
      <w:pPr>
        <w:autoSpaceDE w:val="0"/>
        <w:autoSpaceDN w:val="0"/>
        <w:adjustRightInd w:val="0"/>
        <w:spacing w:line="440" w:lineRule="exact"/>
        <w:rPr>
          <w:rFonts w:ascii="宋体" w:hAnsi="宋体" w:cs="宋体"/>
          <w:color w:val="auto"/>
          <w:sz w:val="22"/>
          <w:highlight w:val="none"/>
        </w:rPr>
      </w:pPr>
      <w:r>
        <w:rPr>
          <w:rFonts w:hint="eastAsia" w:ascii="宋体" w:hAnsi="宋体" w:cs="宋体"/>
          <w:color w:val="auto"/>
          <w:sz w:val="22"/>
          <w:highlight w:val="none"/>
        </w:rPr>
        <w:t>姓    名：</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 xml:space="preserve"> 性别：</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年龄：</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职务：</w:t>
      </w:r>
      <w:r>
        <w:rPr>
          <w:rFonts w:hint="eastAsia" w:ascii="宋体" w:hAnsi="宋体" w:cs="宋体"/>
          <w:color w:val="auto"/>
          <w:sz w:val="22"/>
          <w:highlight w:val="none"/>
          <w:u w:val="single"/>
        </w:rPr>
        <w:t xml:space="preserve">         </w:t>
      </w:r>
    </w:p>
    <w:p>
      <w:pPr>
        <w:autoSpaceDE w:val="0"/>
        <w:autoSpaceDN w:val="0"/>
        <w:adjustRightInd w:val="0"/>
        <w:spacing w:line="440" w:lineRule="exact"/>
        <w:rPr>
          <w:rFonts w:ascii="宋体" w:hAnsi="宋体" w:cs="宋体"/>
          <w:color w:val="auto"/>
          <w:sz w:val="22"/>
          <w:highlight w:val="none"/>
        </w:rPr>
      </w:pPr>
      <w:r>
        <w:rPr>
          <w:rFonts w:hint="eastAsia" w:ascii="宋体" w:hAnsi="宋体" w:cs="宋体"/>
          <w:color w:val="auto"/>
          <w:sz w:val="22"/>
          <w:highlight w:val="none"/>
        </w:rPr>
        <w:t>系：</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 xml:space="preserve"> （投标供应商名称）的法定代表人</w:t>
      </w:r>
    </w:p>
    <w:p>
      <w:pPr>
        <w:spacing w:line="400" w:lineRule="exact"/>
        <w:jc w:val="left"/>
        <w:rPr>
          <w:rFonts w:ascii="宋体" w:hAnsi="宋体" w:cs="宋体"/>
          <w:color w:val="auto"/>
          <w:sz w:val="22"/>
          <w:highlight w:val="none"/>
        </w:rPr>
      </w:pPr>
      <w:r>
        <w:rPr>
          <w:rFonts w:hint="eastAsia" w:ascii="宋体" w:hAnsi="宋体" w:cs="宋体"/>
          <w:color w:val="auto"/>
          <w:sz w:val="22"/>
          <w:highlight w:val="none"/>
        </w:rPr>
        <w:t>特此证明</w:t>
      </w:r>
    </w:p>
    <w:p>
      <w:pPr>
        <w:pStyle w:val="7"/>
        <w:rPr>
          <w:rFonts w:ascii="宋体" w:hAnsi="宋体" w:cs="宋体"/>
          <w:color w:val="auto"/>
          <w:sz w:val="22"/>
          <w:highlight w:val="none"/>
        </w:rPr>
      </w:pPr>
    </w:p>
    <w:p>
      <w:pPr>
        <w:rPr>
          <w:color w:val="auto"/>
          <w:highlight w:val="none"/>
        </w:rPr>
      </w:pPr>
    </w:p>
    <w:p>
      <w:pPr>
        <w:spacing w:line="400" w:lineRule="exact"/>
        <w:jc w:val="left"/>
        <w:rPr>
          <w:rFonts w:ascii="宋体" w:hAnsi="宋体" w:cs="宋体"/>
          <w:color w:val="auto"/>
          <w:sz w:val="22"/>
          <w:highlight w:val="none"/>
          <w:u w:val="single"/>
        </w:rPr>
      </w:pPr>
      <w:r>
        <w:rPr>
          <w:rFonts w:hint="eastAsia" w:ascii="宋体" w:hAnsi="宋体" w:cs="宋体"/>
          <w:color w:val="auto"/>
          <w:sz w:val="22"/>
          <w:highlight w:val="none"/>
        </w:rPr>
        <w:t>投标供应商全称（盖章或电子签章）</w:t>
      </w:r>
    </w:p>
    <w:p>
      <w:pPr>
        <w:spacing w:line="400" w:lineRule="exact"/>
        <w:jc w:val="left"/>
        <w:rPr>
          <w:rFonts w:ascii="宋体" w:hAnsi="宋体" w:cs="宋体"/>
          <w:color w:val="auto"/>
          <w:sz w:val="22"/>
          <w:highlight w:val="none"/>
        </w:rPr>
      </w:pPr>
      <w:r>
        <w:rPr>
          <w:rFonts w:hint="eastAsia" w:ascii="宋体" w:hAnsi="宋体" w:cs="宋体"/>
          <w:color w:val="auto"/>
          <w:sz w:val="22"/>
          <w:highlight w:val="none"/>
        </w:rPr>
        <w:t>日 期：   年  月  日</w:t>
      </w: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4"/>
          <w:szCs w:val="24"/>
          <w:highlight w:val="none"/>
        </w:rPr>
      </w:pPr>
    </w:p>
    <w:p>
      <w:pPr>
        <w:spacing w:line="400" w:lineRule="exact"/>
        <w:rPr>
          <w:rFonts w:ascii="宋体" w:hAnsi="宋体" w:cs="宋体"/>
          <w:b/>
          <w:bCs/>
          <w:color w:val="auto"/>
          <w:sz w:val="22"/>
          <w:highlight w:val="none"/>
        </w:rPr>
      </w:pPr>
      <w:r>
        <w:rPr>
          <w:rFonts w:hint="eastAsia" w:ascii="宋体" w:hAnsi="宋体" w:cs="宋体"/>
          <w:b/>
          <w:bCs/>
          <w:color w:val="auto"/>
          <w:sz w:val="22"/>
          <w:highlight w:val="none"/>
        </w:rPr>
        <w:t>附：法定代表人身份证双面复制件</w:t>
      </w:r>
    </w:p>
    <w:p>
      <w:pPr>
        <w:spacing w:line="400" w:lineRule="exact"/>
        <w:rPr>
          <w:rFonts w:ascii="宋体" w:hAnsi="宋体" w:cs="宋体"/>
          <w:b/>
          <w:bCs/>
          <w:color w:val="auto"/>
          <w:sz w:val="22"/>
          <w:highlight w:val="none"/>
        </w:rPr>
      </w:pPr>
      <w:r>
        <w:rPr>
          <w:rFonts w:ascii="宋体" w:hAnsi="宋体" w:cs="宋体"/>
          <w:b/>
          <w:bCs/>
          <w:color w:val="auto"/>
          <w:sz w:val="22"/>
          <w:highlight w:val="none"/>
        </w:rPr>
        <mc:AlternateContent>
          <mc:Choice Requires="wps">
            <w:drawing>
              <wp:anchor distT="0" distB="0" distL="114300" distR="114300" simplePos="0" relativeHeight="251660288" behindDoc="0" locked="0" layoutInCell="1" allowOverlap="1">
                <wp:simplePos x="0" y="0"/>
                <wp:positionH relativeFrom="column">
                  <wp:posOffset>598170</wp:posOffset>
                </wp:positionH>
                <wp:positionV relativeFrom="paragraph">
                  <wp:posOffset>167005</wp:posOffset>
                </wp:positionV>
                <wp:extent cx="4458335" cy="2272030"/>
                <wp:effectExtent l="5080" t="5080" r="13335" b="8890"/>
                <wp:wrapNone/>
                <wp:docPr id="15" name="文本框 15"/>
                <wp:cNvGraphicFramePr/>
                <a:graphic xmlns:a="http://schemas.openxmlformats.org/drawingml/2006/main">
                  <a:graphicData uri="http://schemas.microsoft.com/office/word/2010/wordprocessingShape">
                    <wps:wsp>
                      <wps:cNvSpPr txBox="1"/>
                      <wps:spPr>
                        <a:xfrm>
                          <a:off x="0" y="0"/>
                          <a:ext cx="4458335" cy="2272030"/>
                        </a:xfrm>
                        <a:prstGeom prst="rect">
                          <a:avLst/>
                        </a:prstGeom>
                        <a:noFill/>
                        <a:ln w="9525" cap="flat" cmpd="sng">
                          <a:solidFill>
                            <a:srgbClr val="000000"/>
                          </a:solidFill>
                          <a:prstDash val="solid"/>
                          <a:miter/>
                          <a:headEnd type="none" w="med" len="med"/>
                          <a:tailEnd type="none" w="med" len="med"/>
                        </a:ln>
                        <a:effectLst/>
                      </wps:spPr>
                      <wps:txbx>
                        <w:txbxContent>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法人代表身份证双面复制件粘贴：</w:t>
                            </w:r>
                          </w:p>
                        </w:txbxContent>
                      </wps:txbx>
                      <wps:bodyPr upright="1"/>
                    </wps:wsp>
                  </a:graphicData>
                </a:graphic>
              </wp:anchor>
            </w:drawing>
          </mc:Choice>
          <mc:Fallback>
            <w:pict>
              <v:shape id="_x0000_s1026" o:spid="_x0000_s1026" o:spt="202" type="#_x0000_t202" style="position:absolute;left:0pt;margin-left:47.1pt;margin-top:13.15pt;height:178.9pt;width:351.05pt;z-index:251660288;mso-width-relative:page;mso-height-relative:page;" filled="f" stroked="t" coordsize="21600,21600" o:gfxdata="UEsDBAoAAAAAAIdO4kAAAAAAAAAAAAAAAAAEAAAAZHJzL1BLAwQUAAAACACHTuJABUbG4dcAAAAJ&#10;AQAADwAAAGRycy9kb3ducmV2LnhtbE2PS0/DMBCE70j8B2uRuFHnUTVNiNMDhTuEAtdNvE0iYjuK&#10;3Qf8erYnetvVzM5+U27OZhRHmv3grIJ4EYEg2zo92E7B7v3lYQ3CB7QaR2dJwQ952FS3NyUW2p3s&#10;Gx3r0AkOsb5ABX0IUyGlb3sy6BduIsva3s0GA69zJ/WMJw43o0yiaCUNDpY/9DjRU0/td30wjJF8&#10;7dLta01Zhk26ff79yPefo1L3d3H0CCLQOfyb4YLPN1AxU+MOVnsxKsiXCTsVJKsUBOtZfhkaBel6&#10;GYOsSnndoPoDUEsDBBQAAAAIAIdO4kB7KHT3DgIAAB4EAAAOAAAAZHJzL2Uyb0RvYy54bWytU82O&#10;0zAQviPxDpbvNN10C0vVdCUoywUB0sIDuM4kseQ/edwmfQF4A05cuPNcfY4dO92y7F562BySycz4&#10;m/m+GS+vB6PZDgIqZyt+MZlyBla6Wtm24t+/3by64gyjsLXQzkLF94D8evXyxbL3Cyhd53QNgRGI&#10;xUXvK97F6BdFgbIDI3DiPFgKNi4YEek3tEUdRE/oRhfldPq66F2ofXASEMm7HoP8iBjOAXRNoySs&#10;ndwasHFEDaBFJErYKY98lbttGpDxS9MgRKYrTkxjflMRsjfpXayWYtEG4Tsljy2Ic1p4xMkIZano&#10;CWotomDboJ5AGSWDQ9fEiXSmGIlkRYjFxfSRNred8JC5kNToT6Lj88HKz7uvgamaNmHOmRWGJn74&#10;9fPw++/hzw9GPhKo97igvFtPmXF45wZKvvcjORPvoQkmfYkRozjJuz/JC0NkkpyXl/Or2YzKSIqV&#10;5ZtyOssDKP4d9wHjR3CGJaPigeaXZRW7TxipFUq9T0nVrLtRWucZasv6ir+dlwlf0F42tA9kGk/c&#10;0LYZBp1WdTqSDmNoN+91YDuRdiM/iRWV+C8t1VsL7Ma8HBq3xqgIIdfuQNQfbM3i3pN8lq4NT80Y&#10;qDnTQLcsWTkzCqXPyaQmtE1NQt7hI/k0iFHwZMVhMxBoMjeu3tNwtj6otiPd8niKFKG1yZSOK572&#10;8uE/2Q+v9eo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BUbG4dcAAAAJAQAADwAAAAAAAAABACAA&#10;AAAiAAAAZHJzL2Rvd25yZXYueG1sUEsBAhQAFAAAAAgAh07iQHsodPcOAgAAHgQAAA4AAAAAAAAA&#10;AQAgAAAAJgEAAGRycy9lMm9Eb2MueG1sUEsFBgAAAAAGAAYAWQEAAKYFAAAAAA==&#10;">
                <v:fill on="f" focussize="0,0"/>
                <v:stroke color="#000000" joinstyle="miter"/>
                <v:imagedata o:title=""/>
                <o:lock v:ext="edit" aspectratio="f"/>
                <v:textbox>
                  <w:txbxContent>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p>
                    <w:p>
                      <w:pPr>
                        <w:jc w:val="center"/>
                        <w:rPr>
                          <w:rFonts w:ascii="宋体" w:hAnsi="宋体" w:cs="宋体"/>
                          <w:sz w:val="24"/>
                          <w:szCs w:val="24"/>
                        </w:rPr>
                      </w:pPr>
                      <w:r>
                        <w:rPr>
                          <w:rFonts w:hint="eastAsia" w:ascii="宋体" w:hAnsi="宋体" w:cs="宋体"/>
                          <w:sz w:val="24"/>
                          <w:szCs w:val="24"/>
                        </w:rPr>
                        <w:t>法人代表身份证双面复制件粘贴：</w:t>
                      </w:r>
                    </w:p>
                  </w:txbxContent>
                </v:textbox>
              </v:shape>
            </w:pict>
          </mc:Fallback>
        </mc:AlternateContent>
      </w:r>
    </w:p>
    <w:p>
      <w:pPr>
        <w:spacing w:line="400" w:lineRule="exact"/>
        <w:rPr>
          <w:rFonts w:ascii="宋体" w:hAnsi="宋体" w:cs="宋体"/>
          <w:b/>
          <w:bCs/>
          <w:color w:val="auto"/>
          <w:sz w:val="22"/>
          <w:highlight w:val="none"/>
        </w:rPr>
      </w:pPr>
    </w:p>
    <w:p>
      <w:pPr>
        <w:spacing w:line="400" w:lineRule="exact"/>
        <w:rPr>
          <w:rFonts w:ascii="宋体" w:hAnsi="宋体" w:cs="宋体"/>
          <w:b/>
          <w:bCs/>
          <w:color w:val="auto"/>
          <w:sz w:val="22"/>
          <w:highlight w:val="none"/>
        </w:rPr>
      </w:pPr>
    </w:p>
    <w:p>
      <w:pPr>
        <w:spacing w:line="400" w:lineRule="exact"/>
        <w:rPr>
          <w:rFonts w:ascii="宋体" w:hAnsi="宋体" w:cs="宋体"/>
          <w:b/>
          <w:bCs/>
          <w:color w:val="auto"/>
          <w:sz w:val="22"/>
          <w:highlight w:val="none"/>
        </w:rPr>
      </w:pPr>
    </w:p>
    <w:p>
      <w:pPr>
        <w:spacing w:line="400" w:lineRule="exact"/>
        <w:rPr>
          <w:rFonts w:ascii="宋体" w:hAnsi="宋体" w:cs="宋体"/>
          <w:b/>
          <w:bCs/>
          <w:color w:val="auto"/>
          <w:sz w:val="22"/>
          <w:highlight w:val="none"/>
        </w:rPr>
      </w:pPr>
    </w:p>
    <w:p>
      <w:pPr>
        <w:spacing w:line="400" w:lineRule="exact"/>
        <w:rPr>
          <w:rFonts w:ascii="宋体" w:hAnsi="宋体" w:cs="宋体"/>
          <w:b/>
          <w:bCs/>
          <w:color w:val="auto"/>
          <w:sz w:val="22"/>
          <w:highlight w:val="none"/>
        </w:rPr>
      </w:pPr>
    </w:p>
    <w:p>
      <w:pPr>
        <w:spacing w:line="400" w:lineRule="exact"/>
        <w:rPr>
          <w:rFonts w:ascii="宋体" w:hAnsi="宋体" w:cs="宋体"/>
          <w:b/>
          <w:bCs/>
          <w:color w:val="auto"/>
          <w:sz w:val="22"/>
          <w:highlight w:val="none"/>
        </w:rPr>
      </w:pPr>
    </w:p>
    <w:p>
      <w:pPr>
        <w:spacing w:line="400" w:lineRule="exact"/>
        <w:rPr>
          <w:rFonts w:ascii="宋体" w:hAnsi="宋体" w:cs="宋体"/>
          <w:b/>
          <w:bCs/>
          <w:color w:val="auto"/>
          <w:sz w:val="22"/>
          <w:highlight w:val="none"/>
        </w:rPr>
      </w:pPr>
    </w:p>
    <w:p>
      <w:pPr>
        <w:spacing w:line="400" w:lineRule="exact"/>
        <w:rPr>
          <w:rFonts w:ascii="宋体" w:hAnsi="宋体" w:cs="宋体"/>
          <w:b/>
          <w:bCs/>
          <w:color w:val="auto"/>
          <w:sz w:val="22"/>
          <w:highlight w:val="none"/>
        </w:rPr>
      </w:pPr>
    </w:p>
    <w:p>
      <w:pPr>
        <w:spacing w:line="400" w:lineRule="exact"/>
        <w:rPr>
          <w:rFonts w:ascii="宋体" w:hAnsi="宋体" w:cs="宋体"/>
          <w:b/>
          <w:bCs/>
          <w:color w:val="auto"/>
          <w:sz w:val="22"/>
          <w:highlight w:val="none"/>
        </w:rPr>
      </w:pPr>
    </w:p>
    <w:p>
      <w:pPr>
        <w:spacing w:line="400" w:lineRule="exact"/>
        <w:rPr>
          <w:rFonts w:ascii="宋体" w:hAnsi="宋体" w:cs="宋体"/>
          <w:b/>
          <w:bCs/>
          <w:color w:val="auto"/>
          <w:sz w:val="22"/>
          <w:highlight w:val="none"/>
        </w:rPr>
      </w:pPr>
    </w:p>
    <w:p>
      <w:pPr>
        <w:snapToGrid w:val="0"/>
        <w:spacing w:line="400" w:lineRule="exact"/>
        <w:rPr>
          <w:rFonts w:ascii="宋体" w:hAnsi="宋体" w:cs="宋体"/>
          <w:color w:val="auto"/>
          <w:sz w:val="22"/>
          <w:highlight w:val="none"/>
        </w:rPr>
      </w:pPr>
    </w:p>
    <w:p>
      <w:pPr>
        <w:spacing w:line="400" w:lineRule="exact"/>
        <w:rPr>
          <w:rFonts w:ascii="宋体" w:hAnsi="宋体" w:cs="宋体"/>
          <w:b/>
          <w:bCs/>
          <w:color w:val="auto"/>
          <w:spacing w:val="-6"/>
          <w:sz w:val="22"/>
          <w:highlight w:val="none"/>
        </w:rPr>
      </w:pPr>
      <w:r>
        <w:rPr>
          <w:rFonts w:hint="eastAsia" w:ascii="宋体" w:hAnsi="宋体" w:cs="宋体"/>
          <w:b/>
          <w:bCs/>
          <w:color w:val="auto"/>
          <w:spacing w:val="-6"/>
          <w:sz w:val="22"/>
          <w:highlight w:val="none"/>
        </w:rPr>
        <w:t>说明：投标供应商的法定代表人参加投标，须在投标文件中提供法定代表人身份证明；投标供应商的法定代表人委托授权代表参加投标，须在投标文件中提供法定代表人授权委托书。</w:t>
      </w:r>
    </w:p>
    <w:p>
      <w:pPr>
        <w:spacing w:line="400" w:lineRule="exact"/>
        <w:rPr>
          <w:rFonts w:ascii="宋体" w:hAnsi="宋体" w:cs="宋体"/>
          <w:color w:val="auto"/>
          <w:sz w:val="22"/>
          <w:highlight w:val="none"/>
        </w:rPr>
      </w:pPr>
    </w:p>
    <w:p>
      <w:pPr>
        <w:spacing w:line="400" w:lineRule="exact"/>
        <w:rPr>
          <w:rFonts w:ascii="宋体" w:hAnsi="宋体" w:cs="宋体"/>
          <w:color w:val="auto"/>
          <w:sz w:val="24"/>
          <w:szCs w:val="24"/>
          <w:highlight w:val="none"/>
        </w:rPr>
      </w:pPr>
    </w:p>
    <w:p>
      <w:pPr>
        <w:snapToGrid w:val="0"/>
        <w:spacing w:line="400" w:lineRule="exact"/>
        <w:jc w:val="center"/>
        <w:rPr>
          <w:rFonts w:ascii="宋体" w:hAnsi="宋体" w:cs="宋体"/>
          <w:b/>
          <w:color w:val="auto"/>
          <w:spacing w:val="-6"/>
          <w:sz w:val="24"/>
          <w:szCs w:val="24"/>
          <w:highlight w:val="none"/>
        </w:rPr>
      </w:pPr>
    </w:p>
    <w:p>
      <w:pPr>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（2）法定代表人授权委托书</w:t>
      </w:r>
    </w:p>
    <w:p>
      <w:pPr>
        <w:spacing w:line="400" w:lineRule="exact"/>
        <w:rPr>
          <w:rFonts w:ascii="宋体" w:hAnsi="宋体" w:cs="宋体"/>
          <w:color w:val="auto"/>
          <w:sz w:val="24"/>
          <w:szCs w:val="24"/>
          <w:highlight w:val="none"/>
        </w:rPr>
      </w:pPr>
    </w:p>
    <w:p>
      <w:pPr>
        <w:spacing w:line="400" w:lineRule="exact"/>
        <w:rPr>
          <w:rFonts w:ascii="宋体" w:hAnsi="宋体" w:cs="宋体"/>
          <w:b/>
          <w:bCs/>
          <w:color w:val="auto"/>
          <w:spacing w:val="-6"/>
          <w:sz w:val="22"/>
          <w:highlight w:val="none"/>
        </w:rPr>
      </w:pPr>
      <w:r>
        <w:rPr>
          <w:rFonts w:hint="eastAsia" w:ascii="宋体" w:hAnsi="宋体" w:cs="宋体"/>
          <w:color w:val="auto"/>
          <w:sz w:val="22"/>
          <w:highlight w:val="none"/>
        </w:rPr>
        <w:t>致：</w:t>
      </w:r>
      <w:r>
        <w:rPr>
          <w:rFonts w:hint="eastAsia" w:ascii="宋体" w:hAnsi="宋体" w:cs="宋体"/>
          <w:color w:val="auto"/>
          <w:sz w:val="22"/>
          <w:highlight w:val="none"/>
          <w:u w:val="single"/>
        </w:rPr>
        <w:t>温州市城乡规划展示馆、</w:t>
      </w:r>
      <w:r>
        <w:rPr>
          <w:rFonts w:hint="eastAsia" w:ascii="宋体" w:hAnsi="宋体" w:cs="宋体"/>
          <w:color w:val="auto"/>
          <w:sz w:val="22"/>
          <w:highlight w:val="none"/>
          <w:u w:val="single"/>
          <w:lang w:eastAsia="zh-CN"/>
        </w:rPr>
        <w:t>温州众晟工程管理有限公司</w:t>
      </w:r>
      <w:r>
        <w:rPr>
          <w:rFonts w:hint="eastAsia" w:ascii="宋体" w:hAnsi="宋体" w:cs="宋体"/>
          <w:color w:val="auto"/>
          <w:spacing w:val="-6"/>
          <w:sz w:val="22"/>
          <w:highlight w:val="none"/>
        </w:rPr>
        <w:t>：</w:t>
      </w:r>
    </w:p>
    <w:p>
      <w:pPr>
        <w:spacing w:line="400" w:lineRule="exact"/>
        <w:ind w:firstLine="550" w:firstLineChars="250"/>
        <w:rPr>
          <w:rFonts w:ascii="宋体" w:hAnsi="宋体" w:cs="宋体"/>
          <w:color w:val="auto"/>
          <w:sz w:val="22"/>
          <w:highlight w:val="none"/>
        </w:rPr>
      </w:pPr>
      <w:r>
        <w:rPr>
          <w:rFonts w:hint="eastAsia" w:ascii="宋体" w:hAnsi="宋体" w:cs="宋体"/>
          <w:color w:val="auto"/>
          <w:sz w:val="22"/>
          <w:highlight w:val="none"/>
          <w:u w:val="single"/>
        </w:rPr>
        <w:t xml:space="preserve">本人       </w:t>
      </w:r>
      <w:r>
        <w:rPr>
          <w:rFonts w:hint="eastAsia" w:ascii="宋体" w:hAnsi="宋体" w:cs="宋体"/>
          <w:color w:val="auto"/>
          <w:sz w:val="22"/>
          <w:highlight w:val="none"/>
        </w:rPr>
        <w:t>（姓名）系</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（投标供应商全称）的法定代表人，现委托</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（全权代表姓名）为我方授权代表。代理人根据授权，以我方名义签署、澄清、说明、补正、递交、撤回、修改</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（项目名称、编号）投标文件、签订合同和处理有关事宜，其法律后果由我方承担。</w:t>
      </w:r>
    </w:p>
    <w:p>
      <w:pPr>
        <w:spacing w:line="400" w:lineRule="exact"/>
        <w:rPr>
          <w:rFonts w:ascii="宋体" w:hAnsi="宋体" w:cs="宋体"/>
          <w:color w:val="auto"/>
          <w:sz w:val="22"/>
          <w:highlight w:val="none"/>
          <w:u w:val="single"/>
        </w:rPr>
      </w:pPr>
      <w:r>
        <w:rPr>
          <w:rFonts w:hint="eastAsia" w:ascii="宋体" w:hAnsi="宋体" w:cs="宋体"/>
          <w:color w:val="auto"/>
          <w:sz w:val="22"/>
          <w:highlight w:val="none"/>
        </w:rPr>
        <w:t xml:space="preserve">    委托期限：</w:t>
      </w:r>
      <w:r>
        <w:rPr>
          <w:rFonts w:hint="eastAsia" w:ascii="宋体" w:hAnsi="宋体" w:cs="宋体"/>
          <w:color w:val="auto"/>
          <w:sz w:val="22"/>
          <w:highlight w:val="none"/>
          <w:u w:val="single"/>
        </w:rPr>
        <w:t xml:space="preserve">                                </w:t>
      </w:r>
    </w:p>
    <w:p>
      <w:pPr>
        <w:snapToGrid w:val="0"/>
        <w:spacing w:line="400" w:lineRule="exact"/>
        <w:ind w:firstLine="440" w:firstLineChars="200"/>
        <w:rPr>
          <w:rFonts w:ascii="宋体" w:hAnsi="宋体" w:cs="宋体"/>
          <w:color w:val="auto"/>
          <w:spacing w:val="-6"/>
          <w:sz w:val="22"/>
          <w:highlight w:val="none"/>
        </w:rPr>
      </w:pPr>
      <w:r>
        <w:rPr>
          <w:rFonts w:hint="eastAsia" w:ascii="宋体" w:hAnsi="宋体" w:cs="宋体"/>
          <w:color w:val="auto"/>
          <w:sz w:val="22"/>
          <w:highlight w:val="none"/>
        </w:rPr>
        <w:t xml:space="preserve">    代理人无转委托权。</w:t>
      </w:r>
    </w:p>
    <w:p>
      <w:pPr>
        <w:snapToGrid w:val="0"/>
        <w:spacing w:line="400" w:lineRule="exact"/>
        <w:rPr>
          <w:rFonts w:ascii="宋体" w:hAnsi="宋体" w:cs="宋体"/>
          <w:color w:val="auto"/>
          <w:spacing w:val="-6"/>
          <w:sz w:val="22"/>
          <w:highlight w:val="none"/>
        </w:rPr>
      </w:pPr>
    </w:p>
    <w:p>
      <w:pPr>
        <w:snapToGrid w:val="0"/>
        <w:spacing w:line="400" w:lineRule="exact"/>
        <w:rPr>
          <w:rFonts w:ascii="宋体" w:hAnsi="宋体" w:cs="宋体"/>
          <w:color w:val="auto"/>
          <w:spacing w:val="-6"/>
          <w:sz w:val="22"/>
          <w:highlight w:val="none"/>
        </w:rPr>
      </w:pPr>
    </w:p>
    <w:p>
      <w:pPr>
        <w:snapToGrid w:val="0"/>
        <w:spacing w:line="400" w:lineRule="exact"/>
        <w:ind w:firstLine="3120" w:firstLineChars="1500"/>
        <w:rPr>
          <w:rFonts w:ascii="宋体" w:hAnsi="宋体" w:cs="宋体"/>
          <w:color w:val="auto"/>
          <w:spacing w:val="-6"/>
          <w:sz w:val="22"/>
          <w:highlight w:val="none"/>
        </w:rPr>
      </w:pPr>
      <w:r>
        <w:rPr>
          <w:rFonts w:hint="eastAsia" w:ascii="宋体" w:hAnsi="宋体" w:cs="宋体"/>
          <w:color w:val="auto"/>
          <w:spacing w:val="-6"/>
          <w:sz w:val="22"/>
          <w:highlight w:val="none"/>
        </w:rPr>
        <w:t>投标供应商全称（盖章或电子签章）：</w:t>
      </w:r>
    </w:p>
    <w:p>
      <w:pPr>
        <w:snapToGrid w:val="0"/>
        <w:spacing w:line="400" w:lineRule="exact"/>
        <w:ind w:firstLine="3120" w:firstLineChars="1500"/>
        <w:rPr>
          <w:rFonts w:ascii="宋体" w:hAnsi="宋体" w:cs="宋体"/>
          <w:color w:val="auto"/>
          <w:spacing w:val="-6"/>
          <w:sz w:val="22"/>
          <w:highlight w:val="none"/>
        </w:rPr>
      </w:pPr>
      <w:r>
        <w:rPr>
          <w:rFonts w:hint="eastAsia" w:ascii="宋体" w:hAnsi="宋体" w:cs="宋体"/>
          <w:color w:val="auto"/>
          <w:spacing w:val="-6"/>
          <w:sz w:val="22"/>
          <w:highlight w:val="none"/>
        </w:rPr>
        <w:t>法定代表人(签字或盖章或电子签章)：</w:t>
      </w:r>
    </w:p>
    <w:p>
      <w:pPr>
        <w:snapToGrid w:val="0"/>
        <w:spacing w:line="400" w:lineRule="exact"/>
        <w:ind w:firstLine="3120" w:firstLineChars="1500"/>
        <w:rPr>
          <w:rFonts w:ascii="宋体" w:hAnsi="宋体" w:cs="宋体"/>
          <w:color w:val="auto"/>
          <w:spacing w:val="-6"/>
          <w:sz w:val="22"/>
          <w:highlight w:val="none"/>
        </w:rPr>
      </w:pPr>
      <w:r>
        <w:rPr>
          <w:rFonts w:hint="eastAsia" w:ascii="宋体" w:hAnsi="宋体" w:cs="宋体"/>
          <w:color w:val="auto"/>
          <w:spacing w:val="-6"/>
          <w:sz w:val="22"/>
          <w:highlight w:val="none"/>
        </w:rPr>
        <w:t>日期：    年    月    日</w:t>
      </w:r>
    </w:p>
    <w:p>
      <w:pPr>
        <w:spacing w:line="440" w:lineRule="exact"/>
        <w:rPr>
          <w:rFonts w:ascii="宋体" w:hAnsi="宋体" w:cs="宋体"/>
          <w:color w:val="auto"/>
          <w:sz w:val="22"/>
          <w:highlight w:val="none"/>
        </w:rPr>
      </w:pPr>
      <w:r>
        <w:rPr>
          <w:rFonts w:hint="eastAsia" w:ascii="宋体" w:hAnsi="宋体" w:cs="宋体"/>
          <w:color w:val="auto"/>
          <w:sz w:val="22"/>
          <w:highlight w:val="none"/>
        </w:rPr>
        <w:t>附：</w:t>
      </w:r>
    </w:p>
    <w:p>
      <w:pPr>
        <w:spacing w:line="44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授权代表</w:t>
      </w:r>
      <w:r>
        <w:rPr>
          <w:rFonts w:hint="eastAsia" w:ascii="宋体" w:hAnsi="宋体" w:cs="宋体"/>
          <w:b/>
          <w:bCs/>
          <w:color w:val="auto"/>
          <w:sz w:val="22"/>
          <w:highlight w:val="none"/>
        </w:rPr>
        <w:t>（签字）：</w:t>
      </w:r>
    </w:p>
    <w:p>
      <w:pPr>
        <w:spacing w:line="44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身份证号码：</w:t>
      </w:r>
    </w:p>
    <w:p>
      <w:pPr>
        <w:spacing w:line="44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职务：</w:t>
      </w:r>
    </w:p>
    <w:p>
      <w:pPr>
        <w:spacing w:line="440" w:lineRule="exact"/>
        <w:ind w:firstLine="220" w:firstLineChars="100"/>
        <w:rPr>
          <w:rFonts w:ascii="宋体" w:hAnsi="宋体" w:cs="宋体"/>
          <w:color w:val="auto"/>
          <w:sz w:val="22"/>
          <w:highlight w:val="none"/>
        </w:rPr>
      </w:pPr>
      <w:r>
        <w:rPr>
          <w:rFonts w:hint="eastAsia" w:ascii="宋体" w:hAnsi="宋体" w:cs="宋体"/>
          <w:color w:val="auto"/>
          <w:sz w:val="22"/>
          <w:highlight w:val="none"/>
        </w:rPr>
        <w:t>手机号码：</w:t>
      </w:r>
    </w:p>
    <w:p>
      <w:pPr>
        <w:spacing w:line="400" w:lineRule="exact"/>
        <w:rPr>
          <w:rFonts w:ascii="宋体" w:hAnsi="宋体" w:cs="宋体"/>
          <w:b/>
          <w:bCs/>
          <w:color w:val="auto"/>
          <w:spacing w:val="-6"/>
          <w:sz w:val="22"/>
          <w:highlight w:val="none"/>
        </w:rPr>
      </w:pPr>
    </w:p>
    <w:p>
      <w:pPr>
        <w:spacing w:line="400" w:lineRule="exact"/>
        <w:rPr>
          <w:rFonts w:ascii="宋体" w:hAnsi="宋体" w:cs="宋体"/>
          <w:color w:val="auto"/>
          <w:spacing w:val="-6"/>
          <w:sz w:val="24"/>
          <w:szCs w:val="24"/>
          <w:highlight w:val="none"/>
        </w:rPr>
      </w:pPr>
      <w:r>
        <w:rPr>
          <w:rFonts w:hint="eastAsia" w:ascii="宋体" w:hAnsi="宋体" w:cs="宋体"/>
          <w:b/>
          <w:bCs/>
          <w:color w:val="auto"/>
          <w:spacing w:val="-6"/>
          <w:sz w:val="22"/>
          <w:highlight w:val="none"/>
        </w:rPr>
        <w:t>附：授权代表身份证双面复制件</w:t>
      </w:r>
    </w:p>
    <w:p>
      <w:pPr>
        <w:spacing w:line="400" w:lineRule="exact"/>
        <w:rPr>
          <w:rFonts w:ascii="宋体" w:hAnsi="宋体" w:cs="宋体"/>
          <w:color w:val="auto"/>
          <w:spacing w:val="-6"/>
          <w:sz w:val="24"/>
          <w:szCs w:val="24"/>
          <w:highlight w:val="none"/>
        </w:rPr>
      </w:pPr>
      <w:r>
        <w:rPr>
          <w:rFonts w:ascii="宋体" w:hAnsi="宋体" w:cs="宋体"/>
          <w:color w:val="auto"/>
          <w:spacing w:val="-6"/>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52705</wp:posOffset>
                </wp:positionV>
                <wp:extent cx="5133975" cy="2550795"/>
                <wp:effectExtent l="5080" t="4445" r="4445" b="16510"/>
                <wp:wrapNone/>
                <wp:docPr id="16" name="文本框 16"/>
                <wp:cNvGraphicFramePr/>
                <a:graphic xmlns:a="http://schemas.openxmlformats.org/drawingml/2006/main">
                  <a:graphicData uri="http://schemas.microsoft.com/office/word/2010/wordprocessingShape">
                    <wps:wsp>
                      <wps:cNvSpPr txBox="1"/>
                      <wps:spPr>
                        <a:xfrm>
                          <a:off x="0" y="0"/>
                          <a:ext cx="5133975" cy="2550795"/>
                        </a:xfrm>
                        <a:prstGeom prst="rect">
                          <a:avLst/>
                        </a:prstGeom>
                        <a:noFill/>
                        <a:ln w="9525" cap="flat" cmpd="sng">
                          <a:solidFill>
                            <a:srgbClr val="000000"/>
                          </a:solidFill>
                          <a:prstDash val="solid"/>
                          <a:miter/>
                          <a:headEnd type="none" w="med" len="med"/>
                          <a:tailEnd type="none" w="med" len="med"/>
                        </a:ln>
                        <a:effectLst/>
                      </wps:spPr>
                      <wps:txbx>
                        <w:txbxContent>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宋体" w:hAnsi="宋体"/>
                                <w:sz w:val="22"/>
                              </w:rPr>
                            </w:pPr>
                            <w:r>
                              <w:rPr>
                                <w:rFonts w:hint="eastAsia" w:ascii="宋体" w:hAnsi="宋体"/>
                                <w:sz w:val="22"/>
                              </w:rPr>
                              <w:t>授权代表身份证双面复制件粘贴处</w:t>
                            </w:r>
                          </w:p>
                        </w:txbxContent>
                      </wps:txbx>
                      <wps:bodyPr upright="1"/>
                    </wps:wsp>
                  </a:graphicData>
                </a:graphic>
              </wp:anchor>
            </w:drawing>
          </mc:Choice>
          <mc:Fallback>
            <w:pict>
              <v:shape id="_x0000_s1026" o:spid="_x0000_s1026" o:spt="202" type="#_x0000_t202" style="position:absolute;left:0pt;margin-left:0pt;margin-top:4.15pt;height:200.85pt;width:404.25pt;z-index:251659264;mso-width-relative:page;mso-height-relative:page;" filled="f" stroked="t" coordsize="21600,21600" o:gfxdata="UEsDBAoAAAAAAIdO4kAAAAAAAAAAAAAAAAAEAAAAZHJzL1BLAwQUAAAACACHTuJAScsPYdQAAAAG&#10;AQAADwAAAGRycy9kb3ducmV2LnhtbE2PzU7DMBCE70i8g7VI3KidBmgIcXqgcIdQ4OrE2yTCXkex&#10;+wNPz3KC42p2Zr6p1ifvxAHnOAbSkC0UCKQu2JF6DdvXp6sCREyGrHGBUMMXRljX52eVKW040gse&#10;mtQLDqFYGg1DSlMpZewG9CYuwoTE2i7M3iQ+517a2Rw53Du5VOpWejMSNwxmwocBu89m7xlj+bHN&#10;N88NrlamzTeP3293u3en9eVFpu5BJDylv2f4xWcP1MzUhj3ZKJwGHpI0FDkIFgtV3IBoNVxnSoGs&#10;K/kfv/4BUEsDBBQAAAAIAIdO4kB6SG9eDAIAAB4EAAAOAAAAZHJzL2Uyb0RvYy54bWytU82O0zAQ&#10;viPxDpbvNG1X2aVR05WgLBcESAsP4NpOYsl/8rhN+gLwBpy4cOe5+hw7drJlWS49kEMymfn8zcw3&#10;4/XtYDQ5yADK2ZouZnNKpOVOKNvW9OuXu1evKYHIrGDaWVnTowR6u3n5Yt37Si5d57SQgSCJhar3&#10;Ne1i9FVRAO+kYTBzXloMNi4YFvE3tIUIrEd2o4vlfH5d9C4IHxyXAOjdjkE6MYZLCF3TKC63ju+N&#10;tHFkDVKziC1BpzzQTa62aSSPn5oGZCS6pthpzG9MgvYuvYvNmlVtYL5TfCqBXVLCs54MUxaTnqm2&#10;LDKyD+ofKqN4cOCaOOPOFGMjWRHsYjF/ps19x7zMvaDU4M+iw/+j5R8PnwNRAjfhmhLLDE789OP7&#10;6efv069vBH0oUO+hQty9R2Qc3rgBwY9+QGfqe2iCSV/siGAc5T2e5ZVDJByd5eLqanVTUsIxtizL&#10;+c2qTDzFn+M+QHwvnSHJqGnA+WVZ2eEDxBH6CEnZrLtTWucZakv6mq7KZeJnuJcN7gOaxmNvYNtM&#10;A04rkY6kwxDa3VsdyIGl3cjPVM1fsJRvy6AbcTmUYKwyKsqQrU4y8c4KEo8e5bN4bWgqxkhBiZZ4&#10;y5KVkZEpfQkSJdE2JZF5h6fm0yBGwZMVh92ApMncOXHE4ex9UG2HuuXxFCmCa5MFnlY87eXTf7Sf&#10;XuvN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EnLD2HUAAAABgEAAA8AAAAAAAAAAQAgAAAAIgAA&#10;AGRycy9kb3ducmV2LnhtbFBLAQIUABQAAAAIAIdO4kB6SG9eDAIAAB4EAAAOAAAAAAAAAAEAIAAA&#10;ACMBAABkcnMvZTJvRG9jLnhtbFBLBQYAAAAABgAGAFkBAAChBQAAAAA=&#10;">
                <v:fill on="f" focussize="0,0"/>
                <v:stroke color="#000000" joinstyle="miter"/>
                <v:imagedata o:title=""/>
                <o:lock v:ext="edit" aspectratio="f"/>
                <v:textbox>
                  <w:txbxContent>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宋体" w:hAnsi="宋体"/>
                          <w:sz w:val="22"/>
                        </w:rPr>
                      </w:pPr>
                      <w:r>
                        <w:rPr>
                          <w:rFonts w:hint="eastAsia" w:ascii="宋体" w:hAnsi="宋体"/>
                          <w:sz w:val="22"/>
                        </w:rPr>
                        <w:t>授权代表身份证双面复制件粘贴处</w:t>
                      </w:r>
                    </w:p>
                  </w:txbxContent>
                </v:textbox>
              </v:shape>
            </w:pict>
          </mc:Fallback>
        </mc:AlternateContent>
      </w: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rPr>
          <w:rFonts w:ascii="宋体" w:hAnsi="宋体" w:cs="宋体"/>
          <w:color w:val="auto"/>
          <w:spacing w:val="-6"/>
          <w:sz w:val="24"/>
          <w:szCs w:val="24"/>
          <w:highlight w:val="none"/>
        </w:rPr>
      </w:pPr>
    </w:p>
    <w:p>
      <w:pPr>
        <w:spacing w:line="400" w:lineRule="exact"/>
        <w:ind w:firstLine="240" w:firstLineChars="100"/>
        <w:rPr>
          <w:rFonts w:ascii="宋体" w:hAnsi="宋体" w:cs="宋体"/>
          <w:color w:val="auto"/>
          <w:sz w:val="24"/>
          <w:szCs w:val="24"/>
          <w:highlight w:val="none"/>
        </w:rPr>
      </w:pPr>
    </w:p>
    <w:p>
      <w:pPr>
        <w:spacing w:line="400" w:lineRule="exact"/>
        <w:ind w:firstLine="240" w:firstLineChars="100"/>
        <w:rPr>
          <w:rFonts w:ascii="宋体" w:hAnsi="宋体" w:cs="宋体"/>
          <w:color w:val="auto"/>
          <w:sz w:val="24"/>
          <w:szCs w:val="24"/>
          <w:highlight w:val="none"/>
        </w:rPr>
      </w:pPr>
    </w:p>
    <w:p>
      <w:pPr>
        <w:pStyle w:val="11"/>
        <w:ind w:left="1470" w:right="1470"/>
        <w:rPr>
          <w:rFonts w:ascii="宋体" w:hAnsi="宋体" w:cs="宋体"/>
          <w:color w:val="auto"/>
          <w:sz w:val="24"/>
          <w:szCs w:val="24"/>
          <w:highlight w:val="none"/>
        </w:rPr>
      </w:pPr>
    </w:p>
    <w:p>
      <w:pPr>
        <w:pStyle w:val="11"/>
        <w:ind w:left="1470" w:right="1470"/>
        <w:rPr>
          <w:rFonts w:ascii="宋体" w:hAnsi="宋体" w:cs="宋体"/>
          <w:color w:val="auto"/>
          <w:sz w:val="24"/>
          <w:szCs w:val="24"/>
          <w:highlight w:val="none"/>
        </w:rPr>
      </w:pPr>
    </w:p>
    <w:p>
      <w:pPr>
        <w:pStyle w:val="11"/>
        <w:spacing w:after="0" w:line="400" w:lineRule="exact"/>
        <w:ind w:left="0" w:leftChars="0" w:right="0" w:rightChars="0"/>
        <w:rPr>
          <w:rFonts w:ascii="宋体" w:hAnsi="宋体" w:cs="宋体"/>
          <w:b/>
          <w:color w:val="auto"/>
          <w:sz w:val="24"/>
          <w:szCs w:val="24"/>
          <w:highlight w:val="none"/>
        </w:rPr>
      </w:pPr>
    </w:p>
    <w:p>
      <w:pPr>
        <w:pStyle w:val="11"/>
        <w:spacing w:after="0" w:line="400" w:lineRule="exact"/>
        <w:ind w:left="0" w:leftChars="0" w:right="0" w:rightChars="0"/>
        <w:rPr>
          <w:rFonts w:ascii="宋体" w:hAnsi="宋体" w:cs="宋体"/>
          <w:b/>
          <w:color w:val="auto"/>
          <w:sz w:val="24"/>
          <w:szCs w:val="24"/>
          <w:highlight w:val="none"/>
        </w:r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附件四-3</w:t>
      </w:r>
    </w:p>
    <w:p>
      <w:pPr>
        <w:spacing w:before="240" w:beforeLines="100" w:after="240" w:afterLines="100" w:line="360" w:lineRule="auto"/>
        <w:jc w:val="center"/>
        <w:rPr>
          <w:rFonts w:ascii="宋体" w:hAnsi="宋体" w:cs="宋体"/>
          <w:b/>
          <w:color w:val="auto"/>
          <w:sz w:val="24"/>
          <w:szCs w:val="24"/>
          <w:highlight w:val="none"/>
        </w:rPr>
      </w:pPr>
      <w:r>
        <w:rPr>
          <w:rFonts w:hint="eastAsia" w:ascii="宋体" w:hAnsi="宋体" w:cs="宋体"/>
          <w:b/>
          <w:color w:val="auto"/>
          <w:sz w:val="24"/>
          <w:szCs w:val="24"/>
          <w:highlight w:val="none"/>
        </w:rPr>
        <w:t>关于符合《中华人民共和国政府采购法》第二十二条规定的承诺函</w:t>
      </w:r>
    </w:p>
    <w:p>
      <w:pPr>
        <w:spacing w:before="240" w:beforeLines="100" w:after="240" w:afterLines="100" w:line="360" w:lineRule="auto"/>
        <w:rPr>
          <w:rFonts w:ascii="宋体" w:hAnsi="宋体" w:cs="宋体"/>
          <w:color w:val="auto"/>
          <w:spacing w:val="-6"/>
          <w:sz w:val="22"/>
          <w:highlight w:val="none"/>
        </w:rPr>
      </w:pPr>
      <w:r>
        <w:rPr>
          <w:rFonts w:hint="eastAsia" w:ascii="宋体" w:hAnsi="宋体" w:cs="宋体"/>
          <w:color w:val="auto"/>
          <w:spacing w:val="-6"/>
          <w:sz w:val="22"/>
          <w:highlight w:val="none"/>
        </w:rPr>
        <w:t>致：</w:t>
      </w:r>
      <w:r>
        <w:rPr>
          <w:rFonts w:hint="eastAsia" w:ascii="宋体" w:hAnsi="宋体" w:cs="宋体"/>
          <w:color w:val="auto"/>
          <w:sz w:val="22"/>
          <w:highlight w:val="none"/>
        </w:rPr>
        <w:t>温州市城乡规划展示馆、</w:t>
      </w:r>
      <w:r>
        <w:rPr>
          <w:rFonts w:hint="eastAsia" w:ascii="宋体" w:hAnsi="宋体" w:cs="宋体"/>
          <w:color w:val="auto"/>
          <w:sz w:val="22"/>
          <w:highlight w:val="none"/>
          <w:lang w:eastAsia="zh-CN"/>
        </w:rPr>
        <w:t>温州众晟工程管理有限公司</w:t>
      </w:r>
      <w:r>
        <w:rPr>
          <w:rFonts w:hint="eastAsia" w:ascii="宋体" w:hAnsi="宋体" w:cs="宋体"/>
          <w:color w:val="auto"/>
          <w:spacing w:val="-6"/>
          <w:sz w:val="22"/>
          <w:highlight w:val="none"/>
        </w:rPr>
        <w:t>：</w:t>
      </w:r>
    </w:p>
    <w:p>
      <w:pPr>
        <w:spacing w:line="360" w:lineRule="auto"/>
        <w:ind w:firstLine="440" w:firstLineChars="200"/>
        <w:rPr>
          <w:rFonts w:ascii="宋体" w:hAnsi="宋体" w:cs="宋体"/>
          <w:color w:val="auto"/>
          <w:sz w:val="22"/>
          <w:highlight w:val="none"/>
        </w:rPr>
      </w:pPr>
      <w:r>
        <w:rPr>
          <w:rFonts w:hint="eastAsia" w:ascii="宋体" w:hAnsi="宋体" w:cs="宋体"/>
          <w:color w:val="auto"/>
          <w:sz w:val="22"/>
          <w:highlight w:val="none"/>
        </w:rPr>
        <w:t>我单位就</w:t>
      </w:r>
      <w:r>
        <w:rPr>
          <w:rFonts w:hint="eastAsia" w:ascii="宋体" w:hAnsi="宋体" w:cs="宋体"/>
          <w:color w:val="auto"/>
          <w:sz w:val="22"/>
          <w:highlight w:val="none"/>
          <w:u w:val="single"/>
        </w:rPr>
        <w:t xml:space="preserve">            （项目名称）           （项目编号）</w:t>
      </w:r>
      <w:r>
        <w:rPr>
          <w:rFonts w:hint="eastAsia" w:ascii="宋体" w:hAnsi="宋体" w:cs="宋体"/>
          <w:color w:val="auto"/>
          <w:sz w:val="22"/>
          <w:highlight w:val="none"/>
        </w:rPr>
        <w:t>项目承诺具备下列条件：</w:t>
      </w:r>
    </w:p>
    <w:p>
      <w:pPr>
        <w:pStyle w:val="19"/>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（一）具有独立承担民事责任的能力；</w:t>
      </w:r>
    </w:p>
    <w:p>
      <w:pPr>
        <w:pStyle w:val="19"/>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（二）具有良好的商业信誉和健全的财务会计制度；</w:t>
      </w:r>
    </w:p>
    <w:p>
      <w:pPr>
        <w:pStyle w:val="19"/>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（三）具有履行合同所必需的设备和专业技术能力；</w:t>
      </w:r>
    </w:p>
    <w:p>
      <w:pPr>
        <w:pStyle w:val="19"/>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（四）有依法缴纳税收和社会保障资金的良好记录；</w:t>
      </w:r>
    </w:p>
    <w:p>
      <w:pPr>
        <w:pStyle w:val="19"/>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（五）参加政府采购活动前三年内，在经营活动中没有重大违法记录（重大违法记录是指供应商因违法经营受到刑事处罚或者责令停产停业、吊销许可证或者执照、较大数额罚款等行政处罚。）；</w:t>
      </w:r>
    </w:p>
    <w:p>
      <w:pPr>
        <w:pStyle w:val="19"/>
        <w:spacing w:before="0" w:beforeAutospacing="0" w:after="0" w:afterAutospacing="0" w:line="360" w:lineRule="auto"/>
        <w:ind w:firstLine="440" w:firstLineChars="200"/>
        <w:rPr>
          <w:bCs/>
          <w:color w:val="auto"/>
          <w:kern w:val="2"/>
          <w:sz w:val="22"/>
          <w:highlight w:val="none"/>
        </w:rPr>
      </w:pPr>
      <w:r>
        <w:rPr>
          <w:rFonts w:hint="eastAsia"/>
          <w:bCs/>
          <w:color w:val="auto"/>
          <w:kern w:val="2"/>
          <w:sz w:val="22"/>
          <w:highlight w:val="none"/>
        </w:rPr>
        <w:t>（六）未被“信用中国”（www.creditchina.gov.cn）、中国政府采购网（www.ccgp.gov.cn）列入失信被执行人、重大税收违法案件当事人名单、政府采购严重违法失信行为记录名单</w:t>
      </w:r>
      <w:r>
        <w:rPr>
          <w:rFonts w:hint="eastAsia"/>
          <w:b/>
          <w:color w:val="auto"/>
          <w:kern w:val="2"/>
          <w:sz w:val="22"/>
          <w:highlight w:val="none"/>
        </w:rPr>
        <w:t>（提供查询截图）</w:t>
      </w:r>
    </w:p>
    <w:p>
      <w:pPr>
        <w:pStyle w:val="19"/>
        <w:spacing w:before="0" w:beforeAutospacing="0" w:after="0" w:afterAutospacing="0" w:line="360" w:lineRule="auto"/>
        <w:ind w:firstLine="442" w:firstLineChars="200"/>
        <w:rPr>
          <w:b/>
          <w:color w:val="auto"/>
          <w:sz w:val="22"/>
          <w:highlight w:val="none"/>
        </w:rPr>
      </w:pPr>
      <w:r>
        <w:rPr>
          <w:rFonts w:hint="eastAsia"/>
          <w:b/>
          <w:color w:val="auto"/>
          <w:kern w:val="2"/>
          <w:sz w:val="22"/>
          <w:highlight w:val="none"/>
        </w:rPr>
        <w:t>如有虚假，采购人可取消我单位任何资格（投标/中标/签订合同</w:t>
      </w:r>
      <w:r>
        <w:rPr>
          <w:rFonts w:hint="eastAsia"/>
          <w:b/>
          <w:color w:val="auto"/>
          <w:sz w:val="22"/>
          <w:highlight w:val="none"/>
        </w:rPr>
        <w:t>），我单位对此无任何异议。</w:t>
      </w:r>
    </w:p>
    <w:p>
      <w:pPr>
        <w:snapToGrid w:val="0"/>
        <w:spacing w:line="360" w:lineRule="auto"/>
        <w:ind w:firstLine="442" w:firstLineChars="200"/>
        <w:rPr>
          <w:rFonts w:ascii="宋体" w:hAnsi="宋体" w:cs="宋体"/>
          <w:b/>
          <w:color w:val="auto"/>
          <w:sz w:val="22"/>
          <w:highlight w:val="none"/>
        </w:rPr>
      </w:pPr>
      <w:r>
        <w:rPr>
          <w:rFonts w:hint="eastAsia" w:ascii="宋体" w:hAnsi="宋体" w:cs="宋体"/>
          <w:b/>
          <w:color w:val="auto"/>
          <w:sz w:val="22"/>
          <w:highlight w:val="none"/>
        </w:rPr>
        <w:t>特此承诺！</w:t>
      </w:r>
    </w:p>
    <w:p>
      <w:pPr>
        <w:tabs>
          <w:tab w:val="left" w:pos="9180"/>
        </w:tabs>
        <w:spacing w:line="360" w:lineRule="auto"/>
        <w:ind w:firstLine="440" w:firstLineChars="200"/>
        <w:rPr>
          <w:rFonts w:ascii="宋体" w:hAnsi="宋体" w:cs="宋体"/>
          <w:snapToGrid w:val="0"/>
          <w:color w:val="auto"/>
          <w:sz w:val="22"/>
          <w:highlight w:val="none"/>
        </w:rPr>
      </w:pPr>
    </w:p>
    <w:p>
      <w:pPr>
        <w:tabs>
          <w:tab w:val="left" w:pos="9180"/>
        </w:tabs>
        <w:spacing w:line="360" w:lineRule="auto"/>
        <w:ind w:firstLine="440" w:firstLineChars="200"/>
        <w:rPr>
          <w:rFonts w:ascii="宋体" w:hAnsi="宋体" w:cs="宋体"/>
          <w:snapToGrid w:val="0"/>
          <w:color w:val="auto"/>
          <w:sz w:val="22"/>
          <w:highlight w:val="none"/>
        </w:rPr>
      </w:pPr>
      <w:r>
        <w:rPr>
          <w:rFonts w:hint="eastAsia" w:ascii="宋体" w:hAnsi="宋体" w:cs="宋体"/>
          <w:snapToGrid w:val="0"/>
          <w:color w:val="auto"/>
          <w:sz w:val="22"/>
          <w:highlight w:val="none"/>
        </w:rPr>
        <w:t>注：（1）参加政府采购活动的时间是指供应商参加本项目的政府采购活动时间为准（具体以投标截止时间为准）。</w:t>
      </w:r>
    </w:p>
    <w:p>
      <w:pPr>
        <w:tabs>
          <w:tab w:val="left" w:pos="9180"/>
        </w:tabs>
        <w:spacing w:line="360" w:lineRule="auto"/>
        <w:ind w:firstLine="880" w:firstLineChars="400"/>
        <w:rPr>
          <w:rFonts w:ascii="宋体" w:hAnsi="宋体" w:cs="宋体"/>
          <w:snapToGrid w:val="0"/>
          <w:color w:val="auto"/>
          <w:sz w:val="22"/>
          <w:highlight w:val="none"/>
        </w:rPr>
      </w:pPr>
      <w:r>
        <w:rPr>
          <w:rFonts w:hint="eastAsia" w:ascii="宋体" w:hAnsi="宋体" w:cs="宋体"/>
          <w:snapToGrid w:val="0"/>
          <w:color w:val="auto"/>
          <w:sz w:val="22"/>
          <w:highlight w:val="none"/>
        </w:rPr>
        <w:t>（2）本承诺函必须提供。</w:t>
      </w:r>
    </w:p>
    <w:p>
      <w:pPr>
        <w:spacing w:line="360" w:lineRule="auto"/>
        <w:ind w:left="4620" w:leftChars="2200"/>
        <w:rPr>
          <w:rFonts w:ascii="宋体" w:hAnsi="宋体" w:cs="宋体"/>
          <w:color w:val="auto"/>
          <w:szCs w:val="21"/>
          <w:highlight w:val="none"/>
        </w:rPr>
      </w:pPr>
    </w:p>
    <w:p>
      <w:pPr>
        <w:widowControl/>
        <w:spacing w:line="400" w:lineRule="exact"/>
        <w:rPr>
          <w:rFonts w:ascii="宋体" w:hAnsi="宋体" w:cs="宋体"/>
          <w:color w:val="auto"/>
          <w:kern w:val="0"/>
          <w:sz w:val="22"/>
          <w:highlight w:val="none"/>
          <w:u w:val="single"/>
        </w:rPr>
      </w:pPr>
      <w:r>
        <w:rPr>
          <w:rFonts w:hint="eastAsia" w:ascii="宋体" w:hAnsi="宋体" w:cs="宋体"/>
          <w:color w:val="auto"/>
          <w:kern w:val="0"/>
          <w:sz w:val="22"/>
          <w:highlight w:val="none"/>
        </w:rPr>
        <w:t>投标供应商全称(盖章或电子签章)：</w:t>
      </w:r>
    </w:p>
    <w:p>
      <w:pPr>
        <w:snapToGrid w:val="0"/>
        <w:spacing w:line="40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法定代表人或授权代表(签字或盖章或电子签章)：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日期：    年    月    日</w:t>
      </w:r>
    </w:p>
    <w:p>
      <w:pPr>
        <w:snapToGrid w:val="0"/>
        <w:spacing w:before="120" w:beforeLines="50" w:after="50"/>
        <w:jc w:val="center"/>
        <w:outlineLvl w:val="1"/>
        <w:rPr>
          <w:rFonts w:ascii="宋体" w:hAnsi="宋体" w:cs="宋体"/>
          <w:b/>
          <w:bCs/>
          <w:color w:val="auto"/>
          <w:sz w:val="32"/>
          <w:szCs w:val="32"/>
          <w:highlight w:val="none"/>
        </w:rPr>
      </w:pPr>
    </w:p>
    <w:p>
      <w:pPr>
        <w:spacing w:line="400" w:lineRule="exact"/>
        <w:jc w:val="center"/>
        <w:rPr>
          <w:rFonts w:ascii="宋体" w:hAnsi="宋体" w:cs="宋体"/>
          <w:b/>
          <w:color w:val="auto"/>
          <w:sz w:val="24"/>
          <w:highlight w:val="none"/>
        </w:rPr>
      </w:pPr>
    </w:p>
    <w:p>
      <w:pPr>
        <w:pStyle w:val="11"/>
        <w:ind w:left="1470" w:right="1470"/>
        <w:rPr>
          <w:rFonts w:ascii="宋体" w:hAnsi="宋体" w:cs="宋体"/>
          <w:b/>
          <w:color w:val="auto"/>
          <w:sz w:val="24"/>
          <w:highlight w:val="none"/>
        </w:rPr>
      </w:pPr>
    </w:p>
    <w:p>
      <w:pPr>
        <w:pStyle w:val="11"/>
        <w:ind w:left="1470" w:right="1470"/>
        <w:rPr>
          <w:rFonts w:ascii="宋体" w:hAnsi="宋体" w:cs="宋体"/>
          <w:b/>
          <w:color w:val="auto"/>
          <w:sz w:val="24"/>
          <w:highlight w:val="none"/>
        </w:rPr>
      </w:pPr>
    </w:p>
    <w:p>
      <w:pPr>
        <w:pStyle w:val="11"/>
        <w:ind w:left="1470" w:right="1470"/>
        <w:rPr>
          <w:rFonts w:ascii="宋体" w:hAnsi="宋体" w:cs="宋体"/>
          <w:b/>
          <w:color w:val="auto"/>
          <w:sz w:val="24"/>
          <w:highlight w:val="none"/>
        </w:rPr>
      </w:pPr>
    </w:p>
    <w:p>
      <w:pPr>
        <w:pStyle w:val="11"/>
        <w:ind w:left="1470" w:right="1470"/>
        <w:rPr>
          <w:rFonts w:ascii="宋体" w:hAnsi="宋体" w:cs="宋体"/>
          <w:b/>
          <w:color w:val="auto"/>
          <w:sz w:val="24"/>
          <w:highlight w:val="none"/>
        </w:rPr>
      </w:pPr>
    </w:p>
    <w:p>
      <w:pPr>
        <w:pStyle w:val="11"/>
        <w:ind w:left="1470" w:right="1470"/>
        <w:rPr>
          <w:rFonts w:ascii="宋体" w:hAnsi="宋体" w:cs="宋体"/>
          <w:b/>
          <w:color w:val="auto"/>
          <w:sz w:val="24"/>
          <w:highlight w:val="none"/>
        </w:rPr>
      </w:pPr>
    </w:p>
    <w:p>
      <w:pPr>
        <w:rPr>
          <w:rFonts w:ascii="宋体" w:hAnsi="宋体" w:cs="宋体"/>
          <w:b/>
          <w:color w:val="auto"/>
          <w:sz w:val="24"/>
          <w:szCs w:val="24"/>
          <w:highlight w:val="none"/>
        </w:rPr>
      </w:pPr>
      <w:r>
        <w:rPr>
          <w:rFonts w:hint="eastAsia" w:ascii="宋体" w:hAnsi="宋体" w:cs="宋体"/>
          <w:b/>
          <w:color w:val="auto"/>
          <w:sz w:val="24"/>
          <w:szCs w:val="24"/>
          <w:highlight w:val="none"/>
        </w:rPr>
        <w:t>附件四-4</w:t>
      </w:r>
    </w:p>
    <w:p>
      <w:pPr>
        <w:spacing w:after="240" w:afterLines="100"/>
        <w:ind w:right="-11"/>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投标声明书</w:t>
      </w:r>
    </w:p>
    <w:p>
      <w:pPr>
        <w:spacing w:line="400" w:lineRule="exact"/>
        <w:rPr>
          <w:rFonts w:ascii="宋体" w:hAnsi="宋体" w:cs="宋体"/>
          <w:color w:val="auto"/>
          <w:sz w:val="22"/>
          <w:highlight w:val="none"/>
        </w:rPr>
      </w:pPr>
      <w:r>
        <w:rPr>
          <w:rFonts w:hint="eastAsia" w:ascii="宋体" w:hAnsi="宋体" w:cs="宋体"/>
          <w:color w:val="auto"/>
          <w:sz w:val="22"/>
          <w:highlight w:val="none"/>
        </w:rPr>
        <w:t>致：</w:t>
      </w:r>
      <w:r>
        <w:rPr>
          <w:rFonts w:hint="eastAsia" w:ascii="宋体" w:hAnsi="宋体" w:cs="宋体"/>
          <w:color w:val="auto"/>
          <w:sz w:val="22"/>
          <w:highlight w:val="none"/>
          <w:u w:val="single"/>
        </w:rPr>
        <w:t>温州市城乡规划展示馆、</w:t>
      </w:r>
      <w:r>
        <w:rPr>
          <w:rFonts w:hint="eastAsia" w:ascii="宋体" w:hAnsi="宋体" w:cs="宋体"/>
          <w:color w:val="auto"/>
          <w:sz w:val="22"/>
          <w:highlight w:val="none"/>
          <w:u w:val="single"/>
          <w:lang w:eastAsia="zh-CN"/>
        </w:rPr>
        <w:t>温州众晟工程管理有限公司</w:t>
      </w:r>
      <w:r>
        <w:rPr>
          <w:rFonts w:hint="eastAsia" w:ascii="宋体" w:hAnsi="宋体" w:cs="宋体"/>
          <w:color w:val="auto"/>
          <w:sz w:val="22"/>
          <w:highlight w:val="none"/>
        </w:rPr>
        <w:t>：</w:t>
      </w:r>
    </w:p>
    <w:p>
      <w:pPr>
        <w:snapToGrid w:val="0"/>
        <w:spacing w:line="400" w:lineRule="exact"/>
        <w:ind w:firstLine="660" w:firstLineChars="300"/>
        <w:rPr>
          <w:rFonts w:ascii="宋体" w:hAnsi="宋体" w:cs="宋体"/>
          <w:color w:val="auto"/>
          <w:sz w:val="22"/>
          <w:highlight w:val="none"/>
        </w:rPr>
      </w:pPr>
      <w:r>
        <w:rPr>
          <w:rFonts w:hint="eastAsia" w:ascii="宋体" w:hAnsi="宋体" w:cs="宋体"/>
          <w:color w:val="auto"/>
          <w:sz w:val="22"/>
          <w:highlight w:val="none"/>
        </w:rPr>
        <w:t>（投标供应商名称）</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系中华人民共和国合法企业，经营地址</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w:t>
      </w:r>
    </w:p>
    <w:p>
      <w:pPr>
        <w:snapToGrid w:val="0"/>
        <w:spacing w:line="400" w:lineRule="exact"/>
        <w:ind w:firstLine="645"/>
        <w:rPr>
          <w:rFonts w:ascii="宋体" w:hAnsi="宋体" w:cs="宋体"/>
          <w:color w:val="auto"/>
          <w:sz w:val="22"/>
          <w:highlight w:val="none"/>
        </w:rPr>
      </w:pPr>
      <w:r>
        <w:rPr>
          <w:rFonts w:hint="eastAsia" w:ascii="宋体" w:hAnsi="宋体" w:cs="宋体"/>
          <w:color w:val="auto"/>
          <w:sz w:val="22"/>
          <w:highlight w:val="none"/>
        </w:rPr>
        <w:t>我（姓名）</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系（投标供应商名称）</w:t>
      </w:r>
      <w:r>
        <w:rPr>
          <w:rFonts w:hint="eastAsia" w:ascii="宋体" w:hAnsi="宋体" w:cs="宋体"/>
          <w:color w:val="auto"/>
          <w:sz w:val="22"/>
          <w:highlight w:val="none"/>
          <w:u w:val="single"/>
        </w:rPr>
        <w:t xml:space="preserve">         　　</w:t>
      </w:r>
      <w:r>
        <w:rPr>
          <w:rFonts w:hint="eastAsia" w:ascii="宋体" w:hAnsi="宋体" w:cs="宋体"/>
          <w:color w:val="auto"/>
          <w:sz w:val="22"/>
          <w:highlight w:val="none"/>
        </w:rPr>
        <w:t>的法定代表人，我方愿意参加贵方组织的</w:t>
      </w:r>
      <w:r>
        <w:rPr>
          <w:rFonts w:hint="eastAsia" w:ascii="宋体" w:hAnsi="宋体" w:cs="宋体"/>
          <w:color w:val="auto"/>
          <w:sz w:val="22"/>
          <w:highlight w:val="none"/>
          <w:u w:val="single"/>
        </w:rPr>
        <w:t xml:space="preserve">            （项目名称）           （项目编号）</w:t>
      </w:r>
      <w:r>
        <w:rPr>
          <w:rFonts w:hint="eastAsia" w:ascii="宋体" w:hAnsi="宋体" w:cs="宋体"/>
          <w:color w:val="auto"/>
          <w:sz w:val="22"/>
          <w:highlight w:val="none"/>
        </w:rPr>
        <w:t>的投标，为便于贵方公正、择优地确定中标供应商及其服务，我方就本次投标有关事项郑重声明如下：</w:t>
      </w:r>
    </w:p>
    <w:p>
      <w:pPr>
        <w:spacing w:line="400" w:lineRule="exact"/>
        <w:ind w:firstLine="416" w:firstLineChars="200"/>
        <w:rPr>
          <w:rFonts w:ascii="宋体" w:hAnsi="宋体" w:cs="宋体"/>
          <w:color w:val="auto"/>
          <w:spacing w:val="-6"/>
          <w:sz w:val="22"/>
          <w:highlight w:val="none"/>
        </w:rPr>
      </w:pPr>
      <w:r>
        <w:rPr>
          <w:rFonts w:hint="eastAsia" w:ascii="宋体" w:hAnsi="宋体" w:cs="宋体"/>
          <w:color w:val="auto"/>
          <w:spacing w:val="-6"/>
          <w:sz w:val="22"/>
          <w:highlight w:val="none"/>
        </w:rPr>
        <w:t>1、我方向贵方提交的所有投标文件、资料都是准确的和真实的；</w:t>
      </w:r>
    </w:p>
    <w:p>
      <w:pPr>
        <w:spacing w:line="400" w:lineRule="exact"/>
        <w:ind w:firstLine="416" w:firstLineChars="200"/>
        <w:rPr>
          <w:rFonts w:ascii="宋体" w:hAnsi="宋体" w:cs="宋体"/>
          <w:color w:val="auto"/>
          <w:spacing w:val="-6"/>
          <w:sz w:val="22"/>
          <w:highlight w:val="none"/>
        </w:rPr>
      </w:pPr>
      <w:r>
        <w:rPr>
          <w:rFonts w:hint="eastAsia" w:ascii="宋体" w:hAnsi="宋体" w:cs="宋体"/>
          <w:color w:val="auto"/>
          <w:spacing w:val="-6"/>
          <w:sz w:val="22"/>
          <w:highlight w:val="none"/>
        </w:rPr>
        <w:t>2、我方不是采购人的附属机构；在获知本项目采购信息后，与采购人聘请的为此项目提供咨询服务的公司及其附属机构没有任何联系；</w:t>
      </w:r>
    </w:p>
    <w:p>
      <w:pPr>
        <w:spacing w:line="400" w:lineRule="exact"/>
        <w:ind w:firstLine="416" w:firstLineChars="200"/>
        <w:rPr>
          <w:rFonts w:ascii="宋体" w:hAnsi="宋体" w:cs="宋体"/>
          <w:color w:val="auto"/>
          <w:spacing w:val="-6"/>
          <w:sz w:val="22"/>
          <w:highlight w:val="none"/>
        </w:rPr>
      </w:pPr>
      <w:r>
        <w:rPr>
          <w:rFonts w:hint="eastAsia" w:ascii="宋体" w:hAnsi="宋体" w:cs="宋体"/>
          <w:color w:val="auto"/>
          <w:spacing w:val="-6"/>
          <w:sz w:val="22"/>
          <w:highlight w:val="none"/>
        </w:rPr>
        <w:t>3、我方在参加政府采购活动前3年内：</w:t>
      </w:r>
      <w:r>
        <w:rPr>
          <w:rFonts w:hint="eastAsia" w:ascii="宋体" w:hAnsi="宋体" w:cs="宋体"/>
          <w:color w:val="auto"/>
          <w:sz w:val="22"/>
          <w:highlight w:val="none"/>
          <w:u w:val="single"/>
        </w:rPr>
        <w:t xml:space="preserve">         　　</w:t>
      </w:r>
      <w:r>
        <w:rPr>
          <w:rFonts w:hint="eastAsia" w:ascii="宋体" w:hAnsi="宋体" w:cs="宋体"/>
          <w:b/>
          <w:color w:val="auto"/>
          <w:spacing w:val="-6"/>
          <w:sz w:val="22"/>
          <w:highlight w:val="none"/>
        </w:rPr>
        <w:t>（填写“有”或“没有”，如实填写，如不填写视同未按要求填写）</w:t>
      </w:r>
      <w:r>
        <w:rPr>
          <w:rFonts w:hint="eastAsia" w:ascii="宋体" w:hAnsi="宋体" w:cs="宋体"/>
          <w:color w:val="auto"/>
          <w:spacing w:val="-6"/>
          <w:sz w:val="22"/>
          <w:highlight w:val="none"/>
        </w:rPr>
        <w:t>因违法经营被禁止在一定期限内参加政府采购活动，且期限未满的情形；</w:t>
      </w:r>
    </w:p>
    <w:p>
      <w:pPr>
        <w:spacing w:line="400" w:lineRule="exact"/>
        <w:ind w:firstLine="416" w:firstLineChars="200"/>
        <w:rPr>
          <w:rFonts w:ascii="宋体" w:hAnsi="宋体" w:cs="宋体"/>
          <w:color w:val="auto"/>
          <w:spacing w:val="-6"/>
          <w:sz w:val="22"/>
          <w:highlight w:val="none"/>
        </w:rPr>
      </w:pPr>
      <w:r>
        <w:rPr>
          <w:rFonts w:hint="eastAsia" w:ascii="宋体" w:hAnsi="宋体" w:cs="宋体"/>
          <w:color w:val="auto"/>
          <w:spacing w:val="-6"/>
          <w:sz w:val="22"/>
          <w:highlight w:val="none"/>
        </w:rPr>
        <w:t>4、以上事项如有虚假或隐瞒，我方愿意承担一切后果和责任。</w:t>
      </w:r>
    </w:p>
    <w:p>
      <w:pPr>
        <w:pStyle w:val="10"/>
        <w:tabs>
          <w:tab w:val="left" w:pos="939"/>
        </w:tabs>
        <w:snapToGrid w:val="0"/>
        <w:spacing w:line="400" w:lineRule="exact"/>
        <w:ind w:left="420" w:leftChars="0" w:hanging="420" w:hangingChars="191"/>
        <w:rPr>
          <w:rFonts w:ascii="宋体" w:hAnsi="宋体" w:cs="宋体"/>
          <w:color w:val="auto"/>
          <w:sz w:val="22"/>
          <w:szCs w:val="22"/>
          <w:highlight w:val="none"/>
        </w:rPr>
      </w:pPr>
    </w:p>
    <w:p>
      <w:pPr>
        <w:pStyle w:val="31"/>
        <w:snapToGrid w:val="0"/>
        <w:spacing w:line="400" w:lineRule="exact"/>
        <w:ind w:firstLine="200"/>
        <w:rPr>
          <w:rFonts w:ascii="宋体" w:hAnsi="宋体" w:cs="宋体"/>
          <w:color w:val="auto"/>
          <w:sz w:val="22"/>
          <w:szCs w:val="22"/>
          <w:highlight w:val="none"/>
        </w:rPr>
      </w:pPr>
    </w:p>
    <w:p>
      <w:pPr>
        <w:widowControl/>
        <w:spacing w:line="400" w:lineRule="exact"/>
        <w:rPr>
          <w:rFonts w:ascii="宋体" w:hAnsi="宋体" w:cs="宋体"/>
          <w:color w:val="auto"/>
          <w:kern w:val="0"/>
          <w:sz w:val="22"/>
          <w:highlight w:val="none"/>
          <w:u w:val="single"/>
        </w:rPr>
      </w:pPr>
      <w:r>
        <w:rPr>
          <w:rFonts w:hint="eastAsia" w:ascii="宋体" w:hAnsi="宋体" w:cs="宋体"/>
          <w:color w:val="auto"/>
          <w:kern w:val="0"/>
          <w:sz w:val="22"/>
          <w:highlight w:val="none"/>
        </w:rPr>
        <w:t>投标供应商全称(盖章或电子签章）：</w:t>
      </w:r>
    </w:p>
    <w:p>
      <w:pPr>
        <w:snapToGrid w:val="0"/>
        <w:spacing w:line="40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法定代表人或授权代表(签字或盖章或电子签章)：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日期：    年    月    日</w:t>
      </w:r>
    </w:p>
    <w:p>
      <w:pPr>
        <w:pStyle w:val="11"/>
        <w:spacing w:after="0" w:line="400" w:lineRule="exact"/>
        <w:ind w:left="0" w:leftChars="0" w:right="0" w:rightChars="0"/>
        <w:rPr>
          <w:rFonts w:ascii="宋体" w:hAnsi="宋体" w:cs="宋体"/>
          <w:b/>
          <w:bCs/>
          <w:color w:val="auto"/>
          <w:sz w:val="24"/>
          <w:highlight w:val="none"/>
        </w:rPr>
      </w:pPr>
    </w:p>
    <w:p>
      <w:pPr>
        <w:rPr>
          <w:rFonts w:ascii="宋体" w:hAnsi="宋体" w:cs="宋体"/>
          <w:b/>
          <w:bCs/>
          <w:color w:val="auto"/>
          <w:sz w:val="24"/>
          <w:highlight w:val="none"/>
        </w:rPr>
      </w:pPr>
      <w:r>
        <w:rPr>
          <w:rFonts w:hint="eastAsia" w:ascii="宋体" w:hAnsi="宋体" w:cs="宋体"/>
          <w:b/>
          <w:bCs/>
          <w:color w:val="auto"/>
          <w:sz w:val="24"/>
          <w:highlight w:val="none"/>
        </w:rPr>
        <w:br w:type="page"/>
      </w:r>
    </w:p>
    <w:p>
      <w:pPr>
        <w:pStyle w:val="11"/>
        <w:spacing w:after="0" w:line="400" w:lineRule="exact"/>
        <w:ind w:left="0" w:leftChars="0" w:right="0" w:rightChars="0"/>
        <w:rPr>
          <w:rFonts w:ascii="宋体" w:hAnsi="宋体" w:cs="宋体"/>
          <w:b/>
          <w:bCs/>
          <w:color w:val="auto"/>
          <w:sz w:val="24"/>
          <w:highlight w:val="none"/>
        </w:rPr>
      </w:pPr>
      <w:r>
        <w:rPr>
          <w:rFonts w:hint="eastAsia" w:ascii="宋体" w:hAnsi="宋体" w:cs="宋体"/>
          <w:b/>
          <w:bCs/>
          <w:color w:val="auto"/>
          <w:sz w:val="24"/>
          <w:highlight w:val="none"/>
        </w:rPr>
        <w:t>附件四-5</w:t>
      </w:r>
    </w:p>
    <w:p>
      <w:pPr>
        <w:pStyle w:val="11"/>
        <w:spacing w:after="0" w:line="360" w:lineRule="exact"/>
        <w:ind w:left="0" w:leftChars="0" w:right="0" w:rightChars="0"/>
        <w:jc w:val="center"/>
        <w:rPr>
          <w:rFonts w:ascii="宋体" w:hAnsi="宋体" w:cs="宋体"/>
          <w:color w:val="auto"/>
          <w:szCs w:val="21"/>
          <w:highlight w:val="none"/>
        </w:rPr>
      </w:pPr>
      <w:r>
        <w:rPr>
          <w:rFonts w:hint="eastAsia" w:ascii="宋体" w:hAnsi="宋体" w:cs="宋体"/>
          <w:b/>
          <w:bCs/>
          <w:color w:val="auto"/>
          <w:szCs w:val="21"/>
          <w:highlight w:val="none"/>
        </w:rPr>
        <w:t>（1）中小企业证明材料</w:t>
      </w:r>
    </w:p>
    <w:p>
      <w:pPr>
        <w:pStyle w:val="11"/>
        <w:spacing w:after="0" w:line="360" w:lineRule="exact"/>
        <w:ind w:left="0" w:leftChars="0" w:right="0" w:rightChars="0"/>
        <w:jc w:val="center"/>
        <w:rPr>
          <w:rFonts w:ascii="宋体" w:hAnsi="宋体" w:cs="宋体"/>
          <w:b/>
          <w:bCs/>
          <w:color w:val="auto"/>
          <w:szCs w:val="21"/>
          <w:highlight w:val="none"/>
        </w:rPr>
      </w:pPr>
      <w:r>
        <w:rPr>
          <w:rFonts w:hint="eastAsia" w:ascii="宋体" w:hAnsi="宋体" w:cs="宋体"/>
          <w:b/>
          <w:bCs/>
          <w:color w:val="auto"/>
          <w:szCs w:val="21"/>
          <w:highlight w:val="none"/>
        </w:rPr>
        <w:t>中小企业声明函（服务）</w:t>
      </w:r>
    </w:p>
    <w:p>
      <w:pPr>
        <w:pStyle w:val="11"/>
        <w:spacing w:after="0" w:line="360" w:lineRule="exact"/>
        <w:ind w:left="0" w:leftChars="0" w:right="0" w:rightChars="0"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本公司郑重声明，根据《政府采购促进中小企业发展管理办法》（财库（2020）46号）的规定，本公司参加</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（单位名称）</w:t>
      </w:r>
      <w:r>
        <w:rPr>
          <w:rFonts w:hint="eastAsia" w:ascii="宋体" w:hAnsi="宋体" w:cs="宋体"/>
          <w:color w:val="auto"/>
          <w:szCs w:val="21"/>
          <w:highlight w:val="none"/>
        </w:rPr>
        <w:t>的</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（项目名称）</w:t>
      </w:r>
      <w:r>
        <w:rPr>
          <w:rFonts w:hint="eastAsia" w:ascii="宋体" w:hAnsi="宋体" w:cs="宋体"/>
          <w:color w:val="auto"/>
          <w:szCs w:val="21"/>
          <w:highlight w:val="none"/>
        </w:rPr>
        <w:t>采购活动，服务 全部由符合政策要求的中小企业承接。相关企业的具体情况如下：</w:t>
      </w:r>
    </w:p>
    <w:p>
      <w:pPr>
        <w:pStyle w:val="11"/>
        <w:spacing w:after="0" w:line="360" w:lineRule="exact"/>
        <w:ind w:left="0" w:leftChars="0" w:right="0" w:rightChars="0" w:firstLine="420" w:firstLineChars="200"/>
        <w:jc w:val="left"/>
        <w:rPr>
          <w:rFonts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（标的名称）</w:t>
      </w:r>
      <w:r>
        <w:rPr>
          <w:rFonts w:hint="eastAsia" w:ascii="宋体" w:hAnsi="宋体" w:cs="宋体"/>
          <w:color w:val="auto"/>
          <w:szCs w:val="21"/>
          <w:highlight w:val="none"/>
        </w:rPr>
        <w:t>，属于</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（招标文件中明确的所属行业）</w:t>
      </w:r>
      <w:r>
        <w:rPr>
          <w:rFonts w:hint="eastAsia" w:ascii="宋体" w:hAnsi="宋体" w:cs="宋体"/>
          <w:color w:val="auto"/>
          <w:szCs w:val="21"/>
          <w:highlight w:val="none"/>
        </w:rPr>
        <w:t>；承建（承接）企业为</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ab/>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ab/>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ab/>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（中型企业、 小型企业）</w:t>
      </w:r>
      <w:r>
        <w:rPr>
          <w:rFonts w:hint="eastAsia" w:ascii="宋体" w:hAnsi="宋体" w:cs="宋体"/>
          <w:color w:val="auto"/>
          <w:szCs w:val="21"/>
          <w:highlight w:val="none"/>
        </w:rPr>
        <w:t>；</w:t>
      </w:r>
    </w:p>
    <w:p>
      <w:pPr>
        <w:pStyle w:val="11"/>
        <w:spacing w:after="0" w:line="360" w:lineRule="exact"/>
        <w:ind w:left="0" w:leftChars="0" w:right="0" w:rightChars="0" w:firstLine="420" w:firstLineChars="200"/>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（标的名称）</w:t>
      </w:r>
      <w:r>
        <w:rPr>
          <w:rFonts w:hint="eastAsia" w:ascii="宋体" w:hAnsi="宋体" w:cs="宋体"/>
          <w:color w:val="auto"/>
          <w:szCs w:val="21"/>
          <w:highlight w:val="none"/>
        </w:rPr>
        <w:t>，属于</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（招标文件中明确的所属行业）</w:t>
      </w:r>
      <w:r>
        <w:rPr>
          <w:rFonts w:hint="eastAsia" w:ascii="宋体" w:hAnsi="宋体" w:cs="宋体"/>
          <w:color w:val="auto"/>
          <w:szCs w:val="21"/>
          <w:highlight w:val="none"/>
        </w:rPr>
        <w:t>；承建（承接）企业为</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（企业名称）</w:t>
      </w:r>
      <w:r>
        <w:rPr>
          <w:rFonts w:hint="eastAsia" w:ascii="宋体" w:hAnsi="宋体" w:cs="宋体"/>
          <w:color w:val="auto"/>
          <w:szCs w:val="21"/>
          <w:highlight w:val="none"/>
        </w:rPr>
        <w:t>、从业人员</w:t>
      </w:r>
      <w:r>
        <w:rPr>
          <w:rFonts w:hint="eastAsia" w:ascii="宋体" w:hAnsi="宋体" w:cs="宋体"/>
          <w:color w:val="auto"/>
          <w:szCs w:val="21"/>
          <w:highlight w:val="none"/>
          <w:u w:val="single"/>
        </w:rPr>
        <w:tab/>
      </w:r>
      <w:r>
        <w:rPr>
          <w:rFonts w:hint="eastAsia" w:ascii="宋体" w:hAnsi="宋体" w:cs="宋体"/>
          <w:color w:val="auto"/>
          <w:szCs w:val="21"/>
          <w:highlight w:val="none"/>
        </w:rPr>
        <w:t>人，营业收入为</w:t>
      </w:r>
      <w:r>
        <w:rPr>
          <w:rFonts w:hint="eastAsia" w:ascii="宋体" w:hAnsi="宋体" w:cs="宋体"/>
          <w:color w:val="auto"/>
          <w:szCs w:val="21"/>
          <w:highlight w:val="none"/>
          <w:u w:val="single"/>
        </w:rPr>
        <w:tab/>
      </w:r>
      <w:r>
        <w:rPr>
          <w:rFonts w:hint="eastAsia" w:ascii="宋体" w:hAnsi="宋体" w:cs="宋体"/>
          <w:color w:val="auto"/>
          <w:szCs w:val="21"/>
          <w:highlight w:val="none"/>
        </w:rPr>
        <w:t>万元，资产总额为</w:t>
      </w:r>
      <w:r>
        <w:rPr>
          <w:rFonts w:hint="eastAsia" w:ascii="宋体" w:hAnsi="宋体" w:cs="宋体"/>
          <w:color w:val="auto"/>
          <w:szCs w:val="21"/>
          <w:highlight w:val="none"/>
          <w:u w:val="single"/>
        </w:rPr>
        <w:tab/>
      </w:r>
      <w:r>
        <w:rPr>
          <w:rFonts w:hint="eastAsia" w:ascii="宋体" w:hAnsi="宋体" w:cs="宋体"/>
          <w:color w:val="auto"/>
          <w:szCs w:val="21"/>
          <w:highlight w:val="none"/>
        </w:rPr>
        <w:t>万元，属于</w:t>
      </w:r>
      <w:r>
        <w:rPr>
          <w:rFonts w:hint="eastAsia" w:ascii="宋体" w:hAnsi="宋体" w:cs="宋体"/>
          <w:color w:val="auto"/>
          <w:szCs w:val="21"/>
          <w:highlight w:val="none"/>
          <w:u w:val="single"/>
        </w:rPr>
        <w:tab/>
      </w:r>
      <w:r>
        <w:rPr>
          <w:rFonts w:hint="eastAsia" w:ascii="宋体" w:hAnsi="宋体" w:cs="宋体"/>
          <w:color w:val="auto"/>
          <w:szCs w:val="21"/>
          <w:highlight w:val="none"/>
          <w:u w:val="single"/>
        </w:rPr>
        <w:t>（中型企业、小型企业）</w:t>
      </w:r>
      <w:r>
        <w:rPr>
          <w:rFonts w:hint="eastAsia" w:ascii="宋体" w:hAnsi="宋体" w:cs="宋体"/>
          <w:color w:val="auto"/>
          <w:szCs w:val="21"/>
          <w:highlight w:val="none"/>
        </w:rPr>
        <w:t>；</w:t>
      </w:r>
    </w:p>
    <w:p>
      <w:pPr>
        <w:pStyle w:val="11"/>
        <w:spacing w:after="0" w:line="360" w:lineRule="exact"/>
        <w:ind w:left="0" w:leftChars="0" w:right="0" w:rightChars="0" w:firstLine="420" w:firstLineChars="200"/>
        <w:jc w:val="left"/>
        <w:rPr>
          <w:rFonts w:ascii="宋体" w:hAnsi="宋体" w:cs="宋体"/>
          <w:color w:val="auto"/>
          <w:szCs w:val="21"/>
          <w:highlight w:val="none"/>
        </w:rPr>
      </w:pPr>
      <w:r>
        <w:rPr>
          <w:rFonts w:hint="eastAsia" w:ascii="宋体" w:hAnsi="宋体" w:cs="宋体"/>
          <w:color w:val="auto"/>
          <w:szCs w:val="21"/>
          <w:highlight w:val="none"/>
        </w:rPr>
        <w:t>……</w:t>
      </w:r>
    </w:p>
    <w:p>
      <w:pPr>
        <w:pStyle w:val="11"/>
        <w:spacing w:after="0" w:line="360" w:lineRule="exact"/>
        <w:ind w:left="0" w:leftChars="0" w:right="0" w:rightChars="0" w:firstLine="420" w:firstLineChars="200"/>
        <w:jc w:val="left"/>
        <w:rPr>
          <w:rFonts w:ascii="宋体" w:hAnsi="宋体" w:cs="宋体"/>
          <w:color w:val="auto"/>
          <w:szCs w:val="21"/>
          <w:highlight w:val="none"/>
        </w:rPr>
      </w:pPr>
      <w:r>
        <w:rPr>
          <w:rFonts w:hint="eastAsia" w:ascii="宋体" w:hAnsi="宋体" w:cs="宋体"/>
          <w:color w:val="auto"/>
          <w:szCs w:val="21"/>
          <w:highlight w:val="none"/>
        </w:rPr>
        <w:t>以上企业，不属于大企业的分支机构，不存在控股股东为大企业的情形，也不存在与大企业的负责人为同一人的情形。</w:t>
      </w:r>
    </w:p>
    <w:p>
      <w:pPr>
        <w:pStyle w:val="11"/>
        <w:spacing w:after="0" w:line="360" w:lineRule="exact"/>
        <w:ind w:left="0" w:leftChars="0" w:right="0" w:rightChars="0" w:firstLine="420" w:firstLineChars="200"/>
        <w:jc w:val="left"/>
        <w:rPr>
          <w:rFonts w:ascii="宋体" w:hAnsi="宋体" w:cs="宋体"/>
          <w:color w:val="auto"/>
          <w:szCs w:val="21"/>
          <w:highlight w:val="none"/>
        </w:rPr>
      </w:pPr>
      <w:r>
        <w:rPr>
          <w:rFonts w:hint="eastAsia" w:ascii="宋体" w:hAnsi="宋体" w:cs="宋体"/>
          <w:color w:val="auto"/>
          <w:szCs w:val="21"/>
          <w:highlight w:val="none"/>
        </w:rPr>
        <w:t>本企业对上述声明内容的真实性负责。如有虚假，将依法承担相应责任。</w:t>
      </w:r>
    </w:p>
    <w:p>
      <w:pPr>
        <w:pStyle w:val="11"/>
        <w:spacing w:after="0" w:line="360" w:lineRule="exact"/>
        <w:ind w:left="0" w:leftChars="0" w:right="0" w:rightChars="0"/>
        <w:jc w:val="center"/>
        <w:rPr>
          <w:rFonts w:ascii="宋体" w:hAnsi="宋体" w:cs="宋体"/>
          <w:color w:val="auto"/>
          <w:szCs w:val="21"/>
          <w:highlight w:val="none"/>
        </w:rPr>
      </w:pPr>
    </w:p>
    <w:p>
      <w:pPr>
        <w:pStyle w:val="11"/>
        <w:spacing w:after="0" w:line="360" w:lineRule="exact"/>
        <w:ind w:left="0" w:leftChars="0" w:right="0" w:rightChars="0"/>
        <w:jc w:val="center"/>
        <w:rPr>
          <w:rFonts w:ascii="宋体" w:hAnsi="宋体" w:cs="宋体"/>
          <w:color w:val="auto"/>
          <w:szCs w:val="21"/>
          <w:highlight w:val="none"/>
        </w:rPr>
      </w:pPr>
    </w:p>
    <w:p>
      <w:pPr>
        <w:pStyle w:val="11"/>
        <w:spacing w:after="0" w:line="360" w:lineRule="exact"/>
        <w:ind w:left="0" w:leftChars="0" w:right="0" w:rightChars="0"/>
        <w:jc w:val="center"/>
        <w:rPr>
          <w:rFonts w:ascii="宋体" w:hAnsi="宋体" w:cs="宋体"/>
          <w:color w:val="auto"/>
          <w:szCs w:val="21"/>
          <w:highlight w:val="none"/>
        </w:rPr>
      </w:pPr>
      <w:r>
        <w:rPr>
          <w:rFonts w:hint="eastAsia" w:ascii="宋体" w:hAnsi="宋体" w:cs="宋体"/>
          <w:color w:val="auto"/>
          <w:szCs w:val="21"/>
          <w:highlight w:val="none"/>
        </w:rPr>
        <w:t xml:space="preserve">                      投标供应商全称（盖章或电子签章）</w:t>
      </w:r>
    </w:p>
    <w:p>
      <w:pPr>
        <w:pStyle w:val="11"/>
        <w:spacing w:after="0" w:line="360" w:lineRule="exact"/>
        <w:ind w:left="0" w:leftChars="0" w:right="0" w:rightChars="0"/>
        <w:jc w:val="center"/>
        <w:rPr>
          <w:rFonts w:ascii="宋体" w:hAnsi="宋体" w:cs="宋体"/>
          <w:color w:val="auto"/>
          <w:szCs w:val="21"/>
          <w:highlight w:val="none"/>
        </w:rPr>
      </w:pPr>
      <w:r>
        <w:rPr>
          <w:rFonts w:hint="eastAsia" w:ascii="宋体" w:hAnsi="宋体" w:cs="宋体"/>
          <w:color w:val="auto"/>
          <w:szCs w:val="21"/>
          <w:highlight w:val="none"/>
        </w:rPr>
        <w:t xml:space="preserve">          日 期：   年  月  日</w:t>
      </w:r>
    </w:p>
    <w:p>
      <w:pPr>
        <w:pStyle w:val="11"/>
        <w:spacing w:after="0" w:line="400" w:lineRule="exact"/>
        <w:ind w:left="0" w:leftChars="0" w:right="0" w:rightChars="0"/>
        <w:jc w:val="center"/>
        <w:rPr>
          <w:rFonts w:ascii="宋体" w:hAnsi="宋体" w:cs="宋体"/>
          <w:b/>
          <w:bCs/>
          <w:color w:val="auto"/>
          <w:sz w:val="24"/>
          <w:highlight w:val="none"/>
        </w:rPr>
      </w:pPr>
    </w:p>
    <w:p>
      <w:pPr>
        <w:pStyle w:val="11"/>
        <w:spacing w:after="0" w:line="400" w:lineRule="exact"/>
        <w:ind w:left="0" w:leftChars="0" w:right="0" w:rightChars="0"/>
        <w:jc w:val="center"/>
        <w:rPr>
          <w:rFonts w:ascii="宋体" w:hAnsi="宋体" w:cs="宋体"/>
          <w:b/>
          <w:bCs/>
          <w:color w:val="auto"/>
          <w:sz w:val="24"/>
          <w:highlight w:val="none"/>
        </w:rPr>
      </w:pPr>
    </w:p>
    <w:p>
      <w:pPr>
        <w:pStyle w:val="11"/>
        <w:spacing w:after="0" w:line="360" w:lineRule="exact"/>
        <w:ind w:left="0" w:leftChars="0" w:right="0" w:rightChars="0"/>
        <w:jc w:val="left"/>
        <w:rPr>
          <w:rFonts w:ascii="宋体" w:hAnsi="宋体" w:cs="宋体"/>
          <w:b/>
          <w:bCs/>
          <w:color w:val="auto"/>
          <w:szCs w:val="21"/>
          <w:highlight w:val="none"/>
        </w:rPr>
      </w:pPr>
      <w:r>
        <w:rPr>
          <w:rFonts w:hint="eastAsia" w:ascii="宋体" w:hAnsi="宋体" w:cs="宋体"/>
          <w:b/>
          <w:bCs/>
          <w:color w:val="auto"/>
          <w:szCs w:val="21"/>
          <w:highlight w:val="none"/>
        </w:rPr>
        <w:t>注：1、从业人员、营业收入、资产总额填报上一年度数据，无上一年度数据的新成立企业可不填报。</w:t>
      </w:r>
    </w:p>
    <w:p>
      <w:pPr>
        <w:pStyle w:val="11"/>
        <w:spacing w:after="0" w:line="360" w:lineRule="exact"/>
        <w:ind w:left="0" w:leftChars="0" w:right="0" w:rightChars="0"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投标供应商提供中小企业声明函且符合《政府采购促进中小企业发展管理办法》（财库〔2020〕46号）文件规定的要求并符合《工业和信息化部、国家统计局、国家发展和改革委员会、财政部关于印发中小企业划型标准规定的通知》（工信部联企业〔2011〕300号）规定的小、微企业的划型标准规定。</w:t>
      </w:r>
    </w:p>
    <w:p>
      <w:pPr>
        <w:pStyle w:val="11"/>
        <w:spacing w:after="0" w:line="360" w:lineRule="exact"/>
        <w:ind w:left="0" w:leftChars="0" w:right="0" w:rightChars="0" w:firstLine="422" w:firstLineChars="200"/>
        <w:jc w:val="left"/>
        <w:rPr>
          <w:rFonts w:ascii="宋体" w:hAnsi="宋体" w:cs="宋体"/>
          <w:b/>
          <w:bCs/>
          <w:color w:val="auto"/>
          <w:szCs w:val="21"/>
          <w:highlight w:val="none"/>
        </w:rPr>
        <w:sectPr>
          <w:headerReference r:id="rId9" w:type="default"/>
          <w:footerReference r:id="rId10" w:type="default"/>
          <w:pgSz w:w="11906" w:h="16838"/>
          <w:pgMar w:top="1134" w:right="1304" w:bottom="1134" w:left="1531" w:header="851" w:footer="992" w:gutter="0"/>
          <w:cols w:space="720" w:num="1"/>
          <w:docGrid w:linePitch="312" w:charSpace="0"/>
        </w:sectPr>
      </w:pPr>
      <w:r>
        <w:rPr>
          <w:rFonts w:hint="eastAsia" w:ascii="宋体" w:hAnsi="宋体" w:cs="宋体"/>
          <w:b/>
          <w:bCs/>
          <w:color w:val="auto"/>
          <w:szCs w:val="21"/>
          <w:highlight w:val="none"/>
        </w:rPr>
        <w:t>3、本声明函将随中标(成交)结果同时公告，接受社会监督。</w:t>
      </w:r>
    </w:p>
    <w:p>
      <w:pPr>
        <w:pStyle w:val="11"/>
        <w:spacing w:after="0" w:line="400" w:lineRule="exact"/>
        <w:ind w:left="0" w:leftChars="0" w:right="0" w:rightChars="0"/>
        <w:jc w:val="center"/>
        <w:rPr>
          <w:rFonts w:ascii="宋体" w:hAnsi="宋体" w:cs="宋体"/>
          <w:b/>
          <w:bCs/>
          <w:color w:val="auto"/>
          <w:sz w:val="24"/>
          <w:highlight w:val="none"/>
        </w:rPr>
      </w:pPr>
    </w:p>
    <w:p>
      <w:pPr>
        <w:pStyle w:val="11"/>
        <w:spacing w:after="0" w:line="400" w:lineRule="exact"/>
        <w:ind w:left="0" w:leftChars="0" w:right="0" w:rightChars="0"/>
        <w:jc w:val="center"/>
        <w:rPr>
          <w:rFonts w:ascii="宋体" w:hAnsi="宋体" w:cs="宋体"/>
          <w:b/>
          <w:bCs/>
          <w:color w:val="auto"/>
          <w:sz w:val="24"/>
          <w:highlight w:val="none"/>
        </w:rPr>
      </w:pPr>
      <w:r>
        <w:rPr>
          <w:rFonts w:hint="eastAsia" w:ascii="宋体" w:hAnsi="宋体" w:cs="宋体"/>
          <w:b/>
          <w:bCs/>
          <w:color w:val="auto"/>
          <w:sz w:val="24"/>
          <w:highlight w:val="none"/>
        </w:rPr>
        <w:t>（2）监狱企业资格证明材料</w:t>
      </w:r>
    </w:p>
    <w:p>
      <w:pPr>
        <w:jc w:val="center"/>
        <w:rPr>
          <w:rFonts w:ascii="宋体" w:hAnsi="宋体" w:cs="宋体"/>
          <w:color w:val="auto"/>
          <w:sz w:val="24"/>
          <w:highlight w:val="none"/>
        </w:rPr>
      </w:pPr>
      <w:r>
        <w:rPr>
          <w:rFonts w:hint="eastAsia" w:ascii="宋体" w:hAnsi="宋体" w:cs="宋体"/>
          <w:color w:val="auto"/>
          <w:sz w:val="24"/>
          <w:highlight w:val="none"/>
        </w:rPr>
        <w:t>（注：符合条件的监狱企业请提供本函，不符合的不提供本函）</w:t>
      </w:r>
    </w:p>
    <w:p>
      <w:pPr>
        <w:pStyle w:val="11"/>
        <w:spacing w:after="0" w:line="400" w:lineRule="exact"/>
        <w:ind w:left="0" w:leftChars="0" w:right="0" w:rightChars="0"/>
        <w:jc w:val="center"/>
        <w:rPr>
          <w:rFonts w:ascii="宋体" w:hAnsi="宋体" w:cs="宋体"/>
          <w:b/>
          <w:bCs/>
          <w:color w:val="auto"/>
          <w:sz w:val="24"/>
          <w:highlight w:val="none"/>
        </w:rPr>
      </w:pPr>
    </w:p>
    <w:p>
      <w:pPr>
        <w:spacing w:line="360" w:lineRule="auto"/>
        <w:jc w:val="center"/>
        <w:rPr>
          <w:rFonts w:ascii="宋体" w:hAnsi="宋体" w:cs="宋体"/>
          <w:b/>
          <w:bCs/>
          <w:color w:val="auto"/>
          <w:sz w:val="22"/>
          <w:highlight w:val="none"/>
        </w:rPr>
      </w:pPr>
      <w:r>
        <w:rPr>
          <w:rFonts w:hint="eastAsia" w:ascii="宋体" w:hAnsi="宋体" w:cs="宋体"/>
          <w:b/>
          <w:bCs/>
          <w:color w:val="auto"/>
          <w:sz w:val="22"/>
          <w:highlight w:val="none"/>
        </w:rPr>
        <w:t>（省级以上监狱管理局、戒毒管理局（含新疆生产建设兵团）出具的属于监狱企业的证明文件）</w:t>
      </w:r>
    </w:p>
    <w:p>
      <w:pPr>
        <w:pStyle w:val="11"/>
        <w:spacing w:after="0" w:line="400" w:lineRule="exact"/>
        <w:ind w:left="0" w:leftChars="0" w:right="0" w:rightChars="0"/>
        <w:rPr>
          <w:rFonts w:ascii="宋体" w:hAnsi="宋体" w:cs="宋体"/>
          <w:color w:val="auto"/>
          <w:sz w:val="22"/>
          <w:highlight w:val="none"/>
        </w:rPr>
      </w:pPr>
    </w:p>
    <w:p>
      <w:pPr>
        <w:pStyle w:val="11"/>
        <w:spacing w:after="0" w:line="400" w:lineRule="exact"/>
        <w:ind w:left="0" w:leftChars="0" w:right="0" w:rightChars="0"/>
        <w:rPr>
          <w:rFonts w:ascii="宋体" w:hAnsi="宋体" w:cs="宋体"/>
          <w:color w:val="auto"/>
          <w:sz w:val="22"/>
          <w:highlight w:val="none"/>
        </w:rPr>
      </w:pPr>
    </w:p>
    <w:p>
      <w:pPr>
        <w:pStyle w:val="11"/>
        <w:spacing w:after="0" w:line="400" w:lineRule="exact"/>
        <w:ind w:left="0" w:leftChars="0" w:right="0" w:rightChars="0"/>
        <w:rPr>
          <w:rFonts w:ascii="宋体" w:hAnsi="宋体" w:cs="宋体"/>
          <w:color w:val="auto"/>
          <w:highlight w:val="none"/>
        </w:rPr>
      </w:pPr>
    </w:p>
    <w:p>
      <w:pPr>
        <w:pStyle w:val="11"/>
        <w:spacing w:after="0" w:line="400" w:lineRule="exact"/>
        <w:ind w:left="0" w:leftChars="0" w:right="0" w:rightChars="0"/>
        <w:rPr>
          <w:rFonts w:ascii="宋体" w:hAnsi="宋体" w:cs="宋体"/>
          <w:color w:val="auto"/>
          <w:highlight w:val="none"/>
        </w:rPr>
      </w:pPr>
    </w:p>
    <w:p>
      <w:pPr>
        <w:pStyle w:val="11"/>
        <w:spacing w:after="0" w:line="400" w:lineRule="exact"/>
        <w:ind w:left="0" w:leftChars="0" w:right="0" w:rightChars="0"/>
        <w:rPr>
          <w:rFonts w:ascii="宋体" w:hAnsi="宋体" w:cs="宋体"/>
          <w:color w:val="auto"/>
          <w:highlight w:val="none"/>
        </w:rPr>
      </w:pPr>
    </w:p>
    <w:p>
      <w:pPr>
        <w:pStyle w:val="11"/>
        <w:spacing w:after="0" w:line="400" w:lineRule="exact"/>
        <w:ind w:left="0" w:leftChars="0" w:right="0" w:rightChars="0"/>
        <w:rPr>
          <w:rFonts w:ascii="宋体" w:hAnsi="宋体" w:cs="宋体"/>
          <w:color w:val="auto"/>
          <w:highlight w:val="none"/>
        </w:rPr>
      </w:pPr>
    </w:p>
    <w:p>
      <w:pPr>
        <w:pStyle w:val="11"/>
        <w:spacing w:after="0" w:line="400" w:lineRule="exact"/>
        <w:ind w:left="0" w:leftChars="0" w:right="0" w:rightChars="0"/>
        <w:rPr>
          <w:rFonts w:ascii="宋体" w:hAnsi="宋体" w:cs="宋体"/>
          <w:color w:val="auto"/>
          <w:highlight w:val="none"/>
        </w:rPr>
      </w:pPr>
    </w:p>
    <w:p>
      <w:pPr>
        <w:pStyle w:val="11"/>
        <w:spacing w:after="0" w:line="400" w:lineRule="exact"/>
        <w:ind w:left="0" w:leftChars="0" w:right="0" w:rightChars="0"/>
        <w:rPr>
          <w:rFonts w:ascii="宋体" w:hAnsi="宋体" w:cs="宋体"/>
          <w:color w:val="auto"/>
          <w:highlight w:val="none"/>
        </w:rPr>
      </w:pPr>
    </w:p>
    <w:p>
      <w:pPr>
        <w:pStyle w:val="11"/>
        <w:spacing w:after="0" w:line="400" w:lineRule="exact"/>
        <w:ind w:left="0" w:leftChars="0" w:right="0" w:rightChars="0"/>
        <w:rPr>
          <w:rFonts w:ascii="宋体" w:hAnsi="宋体" w:cs="宋体"/>
          <w:color w:val="auto"/>
          <w:highlight w:val="none"/>
        </w:rPr>
      </w:pPr>
    </w:p>
    <w:p>
      <w:pPr>
        <w:spacing w:line="400" w:lineRule="exact"/>
        <w:jc w:val="center"/>
        <w:rPr>
          <w:rFonts w:ascii="宋体" w:hAnsi="宋体" w:cs="宋体"/>
          <w:b/>
          <w:bCs/>
          <w:color w:val="auto"/>
          <w:sz w:val="24"/>
          <w:highlight w:val="none"/>
        </w:rPr>
      </w:pPr>
      <w:r>
        <w:rPr>
          <w:rFonts w:hint="eastAsia" w:ascii="宋体" w:hAnsi="宋体" w:cs="宋体"/>
          <w:b/>
          <w:bCs/>
          <w:color w:val="auto"/>
          <w:sz w:val="24"/>
          <w:highlight w:val="none"/>
        </w:rPr>
        <w:t>（3）残疾人福利性单位声明函</w:t>
      </w:r>
    </w:p>
    <w:p>
      <w:pPr>
        <w:jc w:val="center"/>
        <w:rPr>
          <w:rFonts w:ascii="宋体" w:hAnsi="宋体" w:cs="宋体"/>
          <w:color w:val="auto"/>
          <w:sz w:val="24"/>
          <w:highlight w:val="none"/>
        </w:rPr>
      </w:pPr>
      <w:r>
        <w:rPr>
          <w:rFonts w:hint="eastAsia" w:ascii="宋体" w:hAnsi="宋体" w:cs="宋体"/>
          <w:color w:val="auto"/>
          <w:sz w:val="24"/>
          <w:highlight w:val="none"/>
        </w:rPr>
        <w:t>（注：符合条件的残疾人福利性单位请提供本函，不符合的不提供本函）</w:t>
      </w:r>
    </w:p>
    <w:p>
      <w:pPr>
        <w:spacing w:line="400" w:lineRule="exact"/>
        <w:rPr>
          <w:rFonts w:ascii="宋体" w:hAnsi="宋体" w:cs="宋体"/>
          <w:b/>
          <w:color w:val="auto"/>
          <w:spacing w:val="6"/>
          <w:sz w:val="30"/>
          <w:szCs w:val="30"/>
          <w:highlight w:val="none"/>
        </w:rPr>
      </w:pPr>
    </w:p>
    <w:p>
      <w:pPr>
        <w:spacing w:line="360"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exact"/>
        <w:ind w:firstLine="444" w:firstLineChars="200"/>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spacing w:line="360" w:lineRule="exact"/>
        <w:ind w:firstLine="444" w:firstLineChars="200"/>
        <w:rPr>
          <w:rFonts w:ascii="宋体" w:hAnsi="宋体" w:cs="宋体"/>
          <w:color w:val="auto"/>
          <w:spacing w:val="6"/>
          <w:szCs w:val="21"/>
          <w:highlight w:val="none"/>
        </w:rPr>
      </w:pPr>
    </w:p>
    <w:p>
      <w:pPr>
        <w:spacing w:line="400" w:lineRule="exact"/>
        <w:jc w:val="left"/>
        <w:rPr>
          <w:rFonts w:ascii="宋体" w:hAnsi="宋体" w:cs="宋体"/>
          <w:color w:val="auto"/>
          <w:sz w:val="22"/>
          <w:highlight w:val="none"/>
          <w:u w:val="single"/>
        </w:rPr>
      </w:pPr>
      <w:r>
        <w:rPr>
          <w:rFonts w:hint="eastAsia" w:ascii="宋体" w:hAnsi="宋体" w:cs="宋体"/>
          <w:color w:val="auto"/>
          <w:spacing w:val="6"/>
          <w:szCs w:val="21"/>
          <w:highlight w:val="none"/>
        </w:rPr>
        <w:t xml:space="preserve">                                 </w:t>
      </w:r>
      <w:r>
        <w:rPr>
          <w:rFonts w:hint="eastAsia" w:ascii="宋体" w:hAnsi="宋体" w:cs="宋体"/>
          <w:color w:val="auto"/>
          <w:sz w:val="22"/>
          <w:highlight w:val="none"/>
        </w:rPr>
        <w:t>投标供应商全称（盖章或电子签章）</w:t>
      </w:r>
    </w:p>
    <w:p>
      <w:pPr>
        <w:tabs>
          <w:tab w:val="left" w:pos="4860"/>
        </w:tabs>
        <w:spacing w:line="360" w:lineRule="exact"/>
        <w:ind w:firstLine="440" w:firstLineChars="200"/>
        <w:jc w:val="center"/>
        <w:rPr>
          <w:rFonts w:ascii="宋体" w:hAnsi="宋体" w:cs="宋体"/>
          <w:color w:val="auto"/>
          <w:szCs w:val="21"/>
          <w:highlight w:val="none"/>
        </w:rPr>
      </w:pPr>
      <w:r>
        <w:rPr>
          <w:rFonts w:hint="eastAsia" w:ascii="宋体" w:hAnsi="宋体" w:cs="宋体"/>
          <w:color w:val="auto"/>
          <w:sz w:val="22"/>
          <w:highlight w:val="none"/>
        </w:rPr>
        <w:t xml:space="preserve">    日 期：   年  月  日</w:t>
      </w:r>
    </w:p>
    <w:p>
      <w:pPr>
        <w:spacing w:line="360" w:lineRule="exact"/>
        <w:rPr>
          <w:rFonts w:ascii="宋体" w:hAnsi="宋体" w:cs="宋体"/>
          <w:b/>
          <w:color w:val="auto"/>
          <w:szCs w:val="21"/>
          <w:highlight w:val="none"/>
        </w:rPr>
      </w:pPr>
    </w:p>
    <w:p>
      <w:pPr>
        <w:spacing w:line="360" w:lineRule="exact"/>
        <w:rPr>
          <w:rFonts w:ascii="宋体" w:hAnsi="宋体" w:cs="宋体"/>
          <w:b/>
          <w:bCs/>
          <w:color w:val="auto"/>
          <w:szCs w:val="21"/>
          <w:highlight w:val="none"/>
        </w:rPr>
      </w:pPr>
      <w:r>
        <w:rPr>
          <w:rFonts w:hint="eastAsia" w:ascii="宋体" w:hAnsi="宋体" w:cs="宋体"/>
          <w:b/>
          <w:bCs/>
          <w:color w:val="auto"/>
          <w:szCs w:val="21"/>
          <w:highlight w:val="none"/>
        </w:rPr>
        <w:t>注：投标供应商不属于残疾人福利性单位的，无需提供此声明函，如提供所引起的后果由投标供应商承担。中标、中标供应商为残疾人福利性单位的，采购代理机构将随中标结果同时公告其《残疾人福利性单位声明函》，接受社会监督。</w:t>
      </w:r>
    </w:p>
    <w:p>
      <w:pPr>
        <w:snapToGrid w:val="0"/>
        <w:spacing w:before="120" w:beforeLines="50" w:after="50"/>
        <w:jc w:val="center"/>
        <w:outlineLvl w:val="1"/>
        <w:rPr>
          <w:rFonts w:ascii="宋体" w:hAnsi="宋体" w:cs="宋体"/>
          <w:b/>
          <w:bCs/>
          <w:color w:val="auto"/>
          <w:sz w:val="32"/>
          <w:szCs w:val="32"/>
          <w:highlight w:val="none"/>
        </w:rPr>
        <w:sectPr>
          <w:footerReference r:id="rId11" w:type="default"/>
          <w:pgSz w:w="11919" w:h="16858"/>
          <w:pgMar w:top="1134" w:right="1304" w:bottom="1134" w:left="1531" w:header="850" w:footer="992" w:gutter="0"/>
          <w:cols w:space="720" w:num="1"/>
        </w:sectPr>
      </w:pPr>
    </w:p>
    <w:p>
      <w:pPr>
        <w:spacing w:line="400" w:lineRule="exact"/>
        <w:rPr>
          <w:rFonts w:ascii="宋体" w:hAnsi="宋体" w:cs="宋体"/>
          <w:b/>
          <w:color w:val="auto"/>
          <w:sz w:val="24"/>
          <w:szCs w:val="24"/>
          <w:highlight w:val="none"/>
        </w:rPr>
      </w:pPr>
      <w:r>
        <w:rPr>
          <w:rFonts w:hint="eastAsia" w:ascii="宋体" w:hAnsi="宋体" w:cs="宋体"/>
          <w:b/>
          <w:color w:val="auto"/>
          <w:sz w:val="24"/>
          <w:szCs w:val="24"/>
          <w:highlight w:val="none"/>
        </w:rPr>
        <w:t>附件五</w:t>
      </w:r>
    </w:p>
    <w:p>
      <w:pPr>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商务条款、技术规格偏离表</w:t>
      </w:r>
    </w:p>
    <w:p>
      <w:pPr>
        <w:spacing w:line="560" w:lineRule="exact"/>
        <w:rPr>
          <w:rFonts w:ascii="宋体" w:hAnsi="宋体" w:cs="宋体"/>
          <w:b/>
          <w:bCs/>
          <w:color w:val="auto"/>
          <w:sz w:val="22"/>
          <w:highlight w:val="none"/>
        </w:rPr>
      </w:pPr>
      <w:r>
        <w:rPr>
          <w:rFonts w:hint="eastAsia" w:ascii="宋体" w:hAnsi="宋体" w:cs="宋体"/>
          <w:b/>
          <w:color w:val="auto"/>
          <w:sz w:val="22"/>
          <w:highlight w:val="none"/>
        </w:rPr>
        <w:t>项目名称：                                                项目编号：</w:t>
      </w:r>
    </w:p>
    <w:tbl>
      <w:tblPr>
        <w:tblStyle w:val="22"/>
        <w:tblW w:w="89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854"/>
        <w:gridCol w:w="1754"/>
        <w:gridCol w:w="1996"/>
        <w:gridCol w:w="2077"/>
        <w:gridCol w:w="1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719" w:type="dxa"/>
            <w:tcBorders>
              <w:top w:val="single" w:color="auto" w:sz="4" w:space="0"/>
              <w:left w:val="single" w:color="auto" w:sz="4" w:space="0"/>
              <w:bottom w:val="single" w:color="auto" w:sz="4" w:space="0"/>
              <w:right w:val="single" w:color="auto" w:sz="4" w:space="0"/>
            </w:tcBorders>
            <w:noWrap/>
            <w:vAlign w:val="top"/>
          </w:tcPr>
          <w:p>
            <w:pPr>
              <w:spacing w:line="380" w:lineRule="exact"/>
              <w:jc w:val="center"/>
              <w:rPr>
                <w:rFonts w:ascii="宋体" w:hAnsi="宋体" w:cs="宋体"/>
                <w:color w:val="auto"/>
                <w:sz w:val="22"/>
                <w:highlight w:val="none"/>
              </w:rPr>
            </w:pPr>
          </w:p>
        </w:tc>
        <w:tc>
          <w:tcPr>
            <w:tcW w:w="8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序号</w:t>
            </w:r>
          </w:p>
        </w:tc>
        <w:tc>
          <w:tcPr>
            <w:tcW w:w="17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招标文件</w:t>
            </w:r>
          </w:p>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条目号</w:t>
            </w: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招标文件</w:t>
            </w:r>
          </w:p>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规范要求</w:t>
            </w:r>
          </w:p>
        </w:tc>
        <w:tc>
          <w:tcPr>
            <w:tcW w:w="207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投标文件</w:t>
            </w:r>
          </w:p>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对应规范</w:t>
            </w:r>
          </w:p>
        </w:tc>
        <w:tc>
          <w:tcPr>
            <w:tcW w:w="153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719" w:type="dxa"/>
            <w:vMerge w:val="restart"/>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商</w:t>
            </w:r>
          </w:p>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务</w:t>
            </w:r>
          </w:p>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条</w:t>
            </w:r>
          </w:p>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款</w:t>
            </w:r>
          </w:p>
        </w:tc>
        <w:tc>
          <w:tcPr>
            <w:tcW w:w="8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7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207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53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7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color w:val="auto"/>
                <w:sz w:val="22"/>
                <w:highlight w:val="none"/>
              </w:rPr>
            </w:pPr>
          </w:p>
        </w:tc>
        <w:tc>
          <w:tcPr>
            <w:tcW w:w="8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7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207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53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7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color w:val="auto"/>
                <w:sz w:val="22"/>
                <w:highlight w:val="none"/>
              </w:rPr>
            </w:pPr>
          </w:p>
        </w:tc>
        <w:tc>
          <w:tcPr>
            <w:tcW w:w="8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7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207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53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7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color w:val="auto"/>
                <w:sz w:val="22"/>
                <w:highlight w:val="none"/>
              </w:rPr>
            </w:pPr>
          </w:p>
        </w:tc>
        <w:tc>
          <w:tcPr>
            <w:tcW w:w="8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7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207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53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7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color w:val="auto"/>
                <w:sz w:val="22"/>
                <w:highlight w:val="none"/>
              </w:rPr>
            </w:pPr>
          </w:p>
        </w:tc>
        <w:tc>
          <w:tcPr>
            <w:tcW w:w="8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7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207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53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trPr>
        <w:tc>
          <w:tcPr>
            <w:tcW w:w="719" w:type="dxa"/>
            <w:vMerge w:val="restart"/>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技</w:t>
            </w:r>
          </w:p>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术</w:t>
            </w:r>
          </w:p>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规</w:t>
            </w:r>
          </w:p>
          <w:p>
            <w:pPr>
              <w:spacing w:line="380" w:lineRule="exact"/>
              <w:jc w:val="center"/>
              <w:rPr>
                <w:rFonts w:ascii="宋体" w:hAnsi="宋体" w:cs="宋体"/>
                <w:b/>
                <w:color w:val="auto"/>
                <w:sz w:val="22"/>
                <w:highlight w:val="none"/>
              </w:rPr>
            </w:pPr>
            <w:r>
              <w:rPr>
                <w:rFonts w:hint="eastAsia" w:ascii="宋体" w:hAnsi="宋体" w:cs="宋体"/>
                <w:b/>
                <w:color w:val="auto"/>
                <w:sz w:val="22"/>
                <w:highlight w:val="none"/>
              </w:rPr>
              <w:t>格</w:t>
            </w:r>
          </w:p>
        </w:tc>
        <w:tc>
          <w:tcPr>
            <w:tcW w:w="8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p>
            <w:pPr>
              <w:spacing w:line="380" w:lineRule="exact"/>
              <w:jc w:val="center"/>
              <w:rPr>
                <w:rFonts w:ascii="宋体" w:hAnsi="宋体" w:cs="宋体"/>
                <w:color w:val="auto"/>
                <w:sz w:val="22"/>
                <w:highlight w:val="none"/>
              </w:rPr>
            </w:pPr>
          </w:p>
        </w:tc>
        <w:tc>
          <w:tcPr>
            <w:tcW w:w="17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207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53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7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color w:val="auto"/>
                <w:sz w:val="22"/>
                <w:highlight w:val="none"/>
              </w:rPr>
            </w:pPr>
          </w:p>
        </w:tc>
        <w:tc>
          <w:tcPr>
            <w:tcW w:w="8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7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207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53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7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color w:val="auto"/>
                <w:sz w:val="22"/>
                <w:highlight w:val="none"/>
              </w:rPr>
            </w:pPr>
          </w:p>
        </w:tc>
        <w:tc>
          <w:tcPr>
            <w:tcW w:w="8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7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207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53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7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color w:val="auto"/>
                <w:sz w:val="22"/>
                <w:highlight w:val="none"/>
              </w:rPr>
            </w:pPr>
          </w:p>
        </w:tc>
        <w:tc>
          <w:tcPr>
            <w:tcW w:w="8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7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207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53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trPr>
        <w:tc>
          <w:tcPr>
            <w:tcW w:w="719" w:type="dxa"/>
            <w:vMerge w:val="continue"/>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b/>
                <w:color w:val="auto"/>
                <w:sz w:val="22"/>
                <w:highlight w:val="none"/>
              </w:rPr>
            </w:pPr>
          </w:p>
        </w:tc>
        <w:tc>
          <w:tcPr>
            <w:tcW w:w="8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75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996"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2077"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c>
          <w:tcPr>
            <w:tcW w:w="1534" w:type="dxa"/>
            <w:tcBorders>
              <w:top w:val="single" w:color="auto" w:sz="4" w:space="0"/>
              <w:left w:val="single" w:color="auto" w:sz="4" w:space="0"/>
              <w:bottom w:val="single" w:color="auto" w:sz="4" w:space="0"/>
              <w:right w:val="single" w:color="auto" w:sz="4" w:space="0"/>
            </w:tcBorders>
            <w:noWrap/>
            <w:vAlign w:val="center"/>
          </w:tcPr>
          <w:p>
            <w:pPr>
              <w:spacing w:line="380" w:lineRule="exact"/>
              <w:jc w:val="center"/>
              <w:rPr>
                <w:rFonts w:ascii="宋体" w:hAnsi="宋体" w:cs="宋体"/>
                <w:color w:val="auto"/>
                <w:sz w:val="22"/>
                <w:highlight w:val="none"/>
              </w:rPr>
            </w:pPr>
          </w:p>
        </w:tc>
      </w:tr>
    </w:tbl>
    <w:p>
      <w:pPr>
        <w:adjustRightInd w:val="0"/>
        <w:snapToGrid w:val="0"/>
        <w:spacing w:line="400" w:lineRule="exact"/>
        <w:ind w:firstLine="663" w:firstLineChars="300"/>
        <w:jc w:val="left"/>
        <w:rPr>
          <w:rFonts w:ascii="宋体" w:hAnsi="宋体" w:cs="宋体"/>
          <w:b/>
          <w:bCs/>
          <w:color w:val="auto"/>
          <w:spacing w:val="-6"/>
          <w:sz w:val="22"/>
          <w:highlight w:val="none"/>
        </w:rPr>
      </w:pPr>
      <w:r>
        <w:rPr>
          <w:rFonts w:hint="eastAsia" w:hAnsi="宋体" w:cs="宋体"/>
          <w:b/>
          <w:color w:val="auto"/>
          <w:sz w:val="22"/>
          <w:highlight w:val="none"/>
        </w:rPr>
        <w:t>注： 如有偏离，必须在偏离表中进行详细对比说明并注明正偏离和负偏离，如不说明偏离情况，视为完全响应招标文件要求无偏离。</w:t>
      </w:r>
    </w:p>
    <w:p>
      <w:pPr>
        <w:widowControl/>
        <w:spacing w:line="400" w:lineRule="exact"/>
        <w:rPr>
          <w:rFonts w:ascii="宋体" w:hAnsi="宋体" w:cs="宋体"/>
          <w:color w:val="auto"/>
          <w:kern w:val="0"/>
          <w:sz w:val="22"/>
          <w:highlight w:val="none"/>
        </w:rPr>
      </w:pPr>
    </w:p>
    <w:p>
      <w:pPr>
        <w:widowControl/>
        <w:spacing w:line="400" w:lineRule="exact"/>
        <w:rPr>
          <w:rFonts w:ascii="宋体" w:hAnsi="宋体" w:cs="宋体"/>
          <w:color w:val="auto"/>
          <w:kern w:val="0"/>
          <w:sz w:val="22"/>
          <w:highlight w:val="none"/>
          <w:u w:val="single"/>
        </w:rPr>
      </w:pPr>
      <w:r>
        <w:rPr>
          <w:rFonts w:hint="eastAsia" w:ascii="宋体" w:hAnsi="宋体" w:cs="宋体"/>
          <w:color w:val="auto"/>
          <w:kern w:val="0"/>
          <w:sz w:val="22"/>
          <w:highlight w:val="none"/>
        </w:rPr>
        <w:t>投标供应商全称(（盖章或电子签章）：</w:t>
      </w:r>
    </w:p>
    <w:p>
      <w:pPr>
        <w:snapToGrid w:val="0"/>
        <w:spacing w:line="40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法定代表人或授权代表(签字或盖章或电子签章)：</w:t>
      </w:r>
    </w:p>
    <w:p>
      <w:pPr>
        <w:snapToGrid w:val="0"/>
        <w:spacing w:line="400" w:lineRule="exact"/>
        <w:jc w:val="left"/>
        <w:rPr>
          <w:rFonts w:ascii="宋体" w:hAnsi="宋体" w:cs="宋体"/>
          <w:b/>
          <w:bCs/>
          <w:color w:val="auto"/>
          <w:sz w:val="32"/>
          <w:szCs w:val="32"/>
          <w:highlight w:val="none"/>
        </w:rPr>
      </w:pPr>
      <w:r>
        <w:rPr>
          <w:rFonts w:hint="eastAsia" w:ascii="宋体" w:hAnsi="宋体" w:cs="宋体"/>
          <w:color w:val="auto"/>
          <w:kern w:val="0"/>
          <w:sz w:val="22"/>
          <w:highlight w:val="none"/>
        </w:rPr>
        <w:t>日期：    年    月    日</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tabs>
          <w:tab w:val="left" w:pos="780"/>
        </w:tabs>
        <w:spacing w:line="400" w:lineRule="exact"/>
        <w:ind w:left="180"/>
        <w:rPr>
          <w:rFonts w:ascii="宋体" w:hAnsi="宋体" w:cs="宋体"/>
          <w:color w:val="auto"/>
          <w:sz w:val="24"/>
          <w:szCs w:val="24"/>
          <w:highlight w:val="none"/>
        </w:rPr>
      </w:pPr>
      <w:r>
        <w:rPr>
          <w:rFonts w:hint="eastAsia" w:ascii="宋体" w:hAnsi="宋体" w:cs="宋体"/>
          <w:b/>
          <w:bCs/>
          <w:color w:val="auto"/>
          <w:sz w:val="22"/>
          <w:highlight w:val="none"/>
        </w:rPr>
        <w:t xml:space="preserve">附件六 </w:t>
      </w:r>
    </w:p>
    <w:p>
      <w:pPr>
        <w:ind w:right="-10"/>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承诺投入的主要服务人员情况表</w:t>
      </w:r>
    </w:p>
    <w:p>
      <w:pPr>
        <w:pStyle w:val="12"/>
        <w:spacing w:line="400" w:lineRule="atLeast"/>
        <w:ind w:left="562"/>
        <w:rPr>
          <w:rFonts w:hAnsi="宋体"/>
          <w:b/>
          <w:bCs/>
          <w:color w:val="auto"/>
          <w:sz w:val="22"/>
          <w:highlight w:val="none"/>
        </w:rPr>
      </w:pPr>
      <w:r>
        <w:rPr>
          <w:rFonts w:hint="eastAsia" w:hAnsi="宋体"/>
          <w:b/>
          <w:bCs/>
          <w:color w:val="auto"/>
          <w:sz w:val="22"/>
          <w:highlight w:val="none"/>
        </w:rPr>
        <w:t xml:space="preserve">项目名称：                                       项目编号： </w:t>
      </w:r>
    </w:p>
    <w:tbl>
      <w:tblPr>
        <w:tblStyle w:val="22"/>
        <w:tblW w:w="9331" w:type="dxa"/>
        <w:tblInd w:w="-3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06"/>
        <w:gridCol w:w="804"/>
        <w:gridCol w:w="966"/>
        <w:gridCol w:w="1127"/>
        <w:gridCol w:w="975"/>
        <w:gridCol w:w="1350"/>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trPr>
        <w:tc>
          <w:tcPr>
            <w:tcW w:w="638" w:type="dxa"/>
            <w:noWrap/>
            <w:vAlign w:val="center"/>
          </w:tcPr>
          <w:p>
            <w:pPr>
              <w:jc w:val="center"/>
              <w:rPr>
                <w:rFonts w:ascii="宋体" w:hAnsi="宋体"/>
                <w:bCs/>
                <w:color w:val="auto"/>
                <w:sz w:val="22"/>
                <w:highlight w:val="none"/>
              </w:rPr>
            </w:pPr>
            <w:r>
              <w:rPr>
                <w:rFonts w:hint="eastAsia" w:ascii="宋体" w:hAnsi="宋体"/>
                <w:bCs/>
                <w:color w:val="auto"/>
                <w:sz w:val="22"/>
                <w:highlight w:val="none"/>
              </w:rPr>
              <w:t>序号</w:t>
            </w:r>
          </w:p>
        </w:tc>
        <w:tc>
          <w:tcPr>
            <w:tcW w:w="1106" w:type="dxa"/>
            <w:noWrap/>
            <w:vAlign w:val="center"/>
          </w:tcPr>
          <w:p>
            <w:pPr>
              <w:jc w:val="center"/>
              <w:rPr>
                <w:rFonts w:ascii="宋体" w:hAnsi="宋体"/>
                <w:bCs/>
                <w:color w:val="auto"/>
                <w:sz w:val="22"/>
                <w:highlight w:val="none"/>
              </w:rPr>
            </w:pPr>
            <w:r>
              <w:rPr>
                <w:rFonts w:hint="eastAsia" w:ascii="宋体" w:hAnsi="宋体"/>
                <w:bCs/>
                <w:color w:val="auto"/>
                <w:sz w:val="22"/>
                <w:highlight w:val="none"/>
              </w:rPr>
              <w:t>姓名</w:t>
            </w:r>
          </w:p>
        </w:tc>
        <w:tc>
          <w:tcPr>
            <w:tcW w:w="804" w:type="dxa"/>
            <w:noWrap/>
            <w:vAlign w:val="center"/>
          </w:tcPr>
          <w:p>
            <w:pPr>
              <w:jc w:val="center"/>
              <w:rPr>
                <w:rFonts w:ascii="宋体" w:hAnsi="宋体"/>
                <w:bCs/>
                <w:color w:val="auto"/>
                <w:sz w:val="22"/>
                <w:highlight w:val="none"/>
              </w:rPr>
            </w:pPr>
            <w:r>
              <w:rPr>
                <w:rFonts w:hint="eastAsia" w:ascii="宋体" w:hAnsi="宋体"/>
                <w:bCs/>
                <w:color w:val="auto"/>
                <w:sz w:val="22"/>
                <w:highlight w:val="none"/>
              </w:rPr>
              <w:t>性别</w:t>
            </w:r>
          </w:p>
        </w:tc>
        <w:tc>
          <w:tcPr>
            <w:tcW w:w="966" w:type="dxa"/>
            <w:noWrap/>
            <w:vAlign w:val="center"/>
          </w:tcPr>
          <w:p>
            <w:pPr>
              <w:jc w:val="center"/>
              <w:rPr>
                <w:rFonts w:ascii="宋体" w:hAnsi="宋体"/>
                <w:bCs/>
                <w:color w:val="auto"/>
                <w:sz w:val="22"/>
                <w:highlight w:val="none"/>
              </w:rPr>
            </w:pPr>
            <w:r>
              <w:rPr>
                <w:rFonts w:hint="eastAsia" w:ascii="宋体" w:hAnsi="宋体"/>
                <w:bCs/>
                <w:color w:val="auto"/>
                <w:sz w:val="22"/>
                <w:highlight w:val="none"/>
              </w:rPr>
              <w:t>年龄</w:t>
            </w:r>
          </w:p>
        </w:tc>
        <w:tc>
          <w:tcPr>
            <w:tcW w:w="1127" w:type="dxa"/>
            <w:noWrap/>
            <w:vAlign w:val="center"/>
          </w:tcPr>
          <w:p>
            <w:pPr>
              <w:jc w:val="center"/>
              <w:rPr>
                <w:rFonts w:ascii="宋体" w:hAnsi="宋体"/>
                <w:bCs/>
                <w:color w:val="auto"/>
                <w:sz w:val="22"/>
                <w:highlight w:val="none"/>
              </w:rPr>
            </w:pPr>
            <w:r>
              <w:rPr>
                <w:rFonts w:hint="eastAsia" w:ascii="宋体" w:hAnsi="宋体"/>
                <w:bCs/>
                <w:color w:val="auto"/>
                <w:sz w:val="22"/>
                <w:highlight w:val="none"/>
              </w:rPr>
              <w:t>专业/年限</w:t>
            </w:r>
          </w:p>
        </w:tc>
        <w:tc>
          <w:tcPr>
            <w:tcW w:w="975" w:type="dxa"/>
            <w:noWrap/>
            <w:vAlign w:val="center"/>
          </w:tcPr>
          <w:p>
            <w:pPr>
              <w:jc w:val="center"/>
              <w:rPr>
                <w:rFonts w:ascii="宋体" w:hAnsi="宋体"/>
                <w:bCs/>
                <w:color w:val="auto"/>
                <w:sz w:val="22"/>
                <w:highlight w:val="none"/>
              </w:rPr>
            </w:pPr>
            <w:r>
              <w:rPr>
                <w:rFonts w:hint="eastAsia" w:ascii="宋体" w:hAnsi="宋体"/>
                <w:bCs/>
                <w:color w:val="auto"/>
                <w:sz w:val="22"/>
                <w:highlight w:val="none"/>
              </w:rPr>
              <w:t>职称/</w:t>
            </w:r>
            <w:r>
              <w:rPr>
                <w:rFonts w:hint="eastAsia" w:ascii="宋体" w:hAnsi="宋体"/>
                <w:color w:val="auto"/>
                <w:sz w:val="22"/>
                <w:highlight w:val="none"/>
              </w:rPr>
              <w:t>资格</w:t>
            </w:r>
          </w:p>
        </w:tc>
        <w:tc>
          <w:tcPr>
            <w:tcW w:w="1350" w:type="dxa"/>
            <w:noWrap/>
            <w:vAlign w:val="center"/>
          </w:tcPr>
          <w:p>
            <w:pPr>
              <w:jc w:val="center"/>
              <w:rPr>
                <w:rFonts w:ascii="宋体" w:hAnsi="宋体"/>
                <w:bCs/>
                <w:color w:val="auto"/>
                <w:sz w:val="22"/>
                <w:highlight w:val="none"/>
              </w:rPr>
            </w:pPr>
            <w:r>
              <w:rPr>
                <w:rFonts w:hint="eastAsia" w:ascii="宋体" w:hAnsi="宋体"/>
                <w:bCs/>
                <w:color w:val="auto"/>
                <w:sz w:val="22"/>
                <w:highlight w:val="none"/>
              </w:rPr>
              <w:t>拟担任何种工作/职务</w:t>
            </w:r>
          </w:p>
        </w:tc>
        <w:tc>
          <w:tcPr>
            <w:tcW w:w="2365" w:type="dxa"/>
            <w:noWrap/>
            <w:vAlign w:val="center"/>
          </w:tcPr>
          <w:p>
            <w:pPr>
              <w:jc w:val="center"/>
              <w:rPr>
                <w:rFonts w:ascii="宋体" w:hAnsi="宋体"/>
                <w:bCs/>
                <w:color w:val="auto"/>
                <w:sz w:val="22"/>
                <w:highlight w:val="none"/>
              </w:rPr>
            </w:pPr>
            <w:r>
              <w:rPr>
                <w:rFonts w:hint="eastAsia" w:ascii="宋体" w:hAnsi="宋体"/>
                <w:bCs/>
                <w:color w:val="auto"/>
                <w:sz w:val="22"/>
                <w:highlight w:val="none"/>
              </w:rPr>
              <w:t>类似服务的经历、业绩、是否有上岗证等介绍（或另附简历）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38" w:type="dxa"/>
            <w:noWrap/>
            <w:vAlign w:val="center"/>
          </w:tcPr>
          <w:p>
            <w:pPr>
              <w:rPr>
                <w:rFonts w:ascii="宋体" w:hAnsi="宋体"/>
                <w:color w:val="auto"/>
                <w:sz w:val="22"/>
                <w:highlight w:val="none"/>
              </w:rPr>
            </w:pPr>
          </w:p>
        </w:tc>
        <w:tc>
          <w:tcPr>
            <w:tcW w:w="1106" w:type="dxa"/>
            <w:noWrap/>
            <w:vAlign w:val="center"/>
          </w:tcPr>
          <w:p>
            <w:pPr>
              <w:rPr>
                <w:rFonts w:ascii="宋体" w:hAnsi="宋体"/>
                <w:color w:val="auto"/>
                <w:sz w:val="22"/>
                <w:highlight w:val="none"/>
              </w:rPr>
            </w:pPr>
          </w:p>
        </w:tc>
        <w:tc>
          <w:tcPr>
            <w:tcW w:w="804" w:type="dxa"/>
            <w:noWrap/>
            <w:vAlign w:val="center"/>
          </w:tcPr>
          <w:p>
            <w:pPr>
              <w:rPr>
                <w:rFonts w:ascii="宋体" w:hAnsi="宋体"/>
                <w:color w:val="auto"/>
                <w:sz w:val="22"/>
                <w:highlight w:val="none"/>
              </w:rPr>
            </w:pPr>
          </w:p>
        </w:tc>
        <w:tc>
          <w:tcPr>
            <w:tcW w:w="966" w:type="dxa"/>
            <w:noWrap/>
            <w:vAlign w:val="center"/>
          </w:tcPr>
          <w:p>
            <w:pPr>
              <w:rPr>
                <w:rFonts w:ascii="宋体" w:hAnsi="宋体"/>
                <w:color w:val="auto"/>
                <w:sz w:val="22"/>
                <w:highlight w:val="none"/>
              </w:rPr>
            </w:pPr>
          </w:p>
        </w:tc>
        <w:tc>
          <w:tcPr>
            <w:tcW w:w="1127" w:type="dxa"/>
            <w:noWrap/>
            <w:vAlign w:val="center"/>
          </w:tcPr>
          <w:p>
            <w:pPr>
              <w:rPr>
                <w:rFonts w:ascii="宋体" w:hAnsi="宋体"/>
                <w:color w:val="auto"/>
                <w:sz w:val="22"/>
                <w:highlight w:val="none"/>
              </w:rPr>
            </w:pPr>
          </w:p>
        </w:tc>
        <w:tc>
          <w:tcPr>
            <w:tcW w:w="975" w:type="dxa"/>
            <w:noWrap/>
            <w:vAlign w:val="center"/>
          </w:tcPr>
          <w:p>
            <w:pPr>
              <w:rPr>
                <w:rFonts w:ascii="宋体" w:hAnsi="宋体"/>
                <w:color w:val="auto"/>
                <w:sz w:val="22"/>
                <w:highlight w:val="none"/>
              </w:rPr>
            </w:pPr>
          </w:p>
        </w:tc>
        <w:tc>
          <w:tcPr>
            <w:tcW w:w="1350" w:type="dxa"/>
            <w:noWrap/>
            <w:vAlign w:val="center"/>
          </w:tcPr>
          <w:p>
            <w:pPr>
              <w:rPr>
                <w:rFonts w:ascii="宋体" w:hAnsi="宋体"/>
                <w:color w:val="auto"/>
                <w:sz w:val="22"/>
                <w:highlight w:val="none"/>
              </w:rPr>
            </w:pPr>
          </w:p>
        </w:tc>
        <w:tc>
          <w:tcPr>
            <w:tcW w:w="2365" w:type="dxa"/>
            <w:noWrap/>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38" w:type="dxa"/>
            <w:noWrap/>
            <w:vAlign w:val="center"/>
          </w:tcPr>
          <w:p>
            <w:pPr>
              <w:rPr>
                <w:rFonts w:ascii="宋体" w:hAnsi="宋体"/>
                <w:color w:val="auto"/>
                <w:sz w:val="22"/>
                <w:highlight w:val="none"/>
              </w:rPr>
            </w:pPr>
          </w:p>
        </w:tc>
        <w:tc>
          <w:tcPr>
            <w:tcW w:w="1106" w:type="dxa"/>
            <w:noWrap/>
            <w:vAlign w:val="center"/>
          </w:tcPr>
          <w:p>
            <w:pPr>
              <w:rPr>
                <w:rFonts w:ascii="宋体" w:hAnsi="宋体"/>
                <w:color w:val="auto"/>
                <w:sz w:val="22"/>
                <w:highlight w:val="none"/>
              </w:rPr>
            </w:pPr>
          </w:p>
        </w:tc>
        <w:tc>
          <w:tcPr>
            <w:tcW w:w="804" w:type="dxa"/>
            <w:noWrap/>
            <w:vAlign w:val="center"/>
          </w:tcPr>
          <w:p>
            <w:pPr>
              <w:rPr>
                <w:rFonts w:ascii="宋体" w:hAnsi="宋体"/>
                <w:color w:val="auto"/>
                <w:sz w:val="22"/>
                <w:highlight w:val="none"/>
              </w:rPr>
            </w:pPr>
          </w:p>
        </w:tc>
        <w:tc>
          <w:tcPr>
            <w:tcW w:w="966" w:type="dxa"/>
            <w:noWrap/>
            <w:vAlign w:val="center"/>
          </w:tcPr>
          <w:p>
            <w:pPr>
              <w:rPr>
                <w:rFonts w:ascii="宋体" w:hAnsi="宋体"/>
                <w:color w:val="auto"/>
                <w:sz w:val="22"/>
                <w:highlight w:val="none"/>
              </w:rPr>
            </w:pPr>
          </w:p>
        </w:tc>
        <w:tc>
          <w:tcPr>
            <w:tcW w:w="1127" w:type="dxa"/>
            <w:noWrap/>
            <w:vAlign w:val="center"/>
          </w:tcPr>
          <w:p>
            <w:pPr>
              <w:rPr>
                <w:rFonts w:ascii="宋体" w:hAnsi="宋体"/>
                <w:color w:val="auto"/>
                <w:sz w:val="22"/>
                <w:highlight w:val="none"/>
              </w:rPr>
            </w:pPr>
          </w:p>
        </w:tc>
        <w:tc>
          <w:tcPr>
            <w:tcW w:w="975" w:type="dxa"/>
            <w:noWrap/>
            <w:vAlign w:val="center"/>
          </w:tcPr>
          <w:p>
            <w:pPr>
              <w:rPr>
                <w:rFonts w:ascii="宋体" w:hAnsi="宋体"/>
                <w:color w:val="auto"/>
                <w:sz w:val="22"/>
                <w:highlight w:val="none"/>
              </w:rPr>
            </w:pPr>
          </w:p>
        </w:tc>
        <w:tc>
          <w:tcPr>
            <w:tcW w:w="1350" w:type="dxa"/>
            <w:noWrap/>
            <w:vAlign w:val="center"/>
          </w:tcPr>
          <w:p>
            <w:pPr>
              <w:rPr>
                <w:rFonts w:ascii="宋体" w:hAnsi="宋体"/>
                <w:color w:val="auto"/>
                <w:sz w:val="22"/>
                <w:highlight w:val="none"/>
              </w:rPr>
            </w:pPr>
          </w:p>
        </w:tc>
        <w:tc>
          <w:tcPr>
            <w:tcW w:w="2365" w:type="dxa"/>
            <w:noWrap/>
            <w:vAlign w:val="center"/>
          </w:tcPr>
          <w:p>
            <w:pPr>
              <w:pStyle w:val="13"/>
              <w:ind w:left="5250"/>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38" w:type="dxa"/>
            <w:noWrap/>
            <w:vAlign w:val="center"/>
          </w:tcPr>
          <w:p>
            <w:pPr>
              <w:rPr>
                <w:rFonts w:ascii="宋体" w:hAnsi="宋体"/>
                <w:color w:val="auto"/>
                <w:sz w:val="22"/>
                <w:highlight w:val="none"/>
              </w:rPr>
            </w:pPr>
          </w:p>
        </w:tc>
        <w:tc>
          <w:tcPr>
            <w:tcW w:w="1106" w:type="dxa"/>
            <w:noWrap/>
            <w:vAlign w:val="center"/>
          </w:tcPr>
          <w:p>
            <w:pPr>
              <w:rPr>
                <w:rFonts w:ascii="宋体" w:hAnsi="宋体"/>
                <w:color w:val="auto"/>
                <w:sz w:val="22"/>
                <w:highlight w:val="none"/>
              </w:rPr>
            </w:pPr>
          </w:p>
        </w:tc>
        <w:tc>
          <w:tcPr>
            <w:tcW w:w="804" w:type="dxa"/>
            <w:noWrap/>
            <w:vAlign w:val="center"/>
          </w:tcPr>
          <w:p>
            <w:pPr>
              <w:rPr>
                <w:rFonts w:ascii="宋体" w:hAnsi="宋体"/>
                <w:color w:val="auto"/>
                <w:sz w:val="22"/>
                <w:highlight w:val="none"/>
              </w:rPr>
            </w:pPr>
          </w:p>
        </w:tc>
        <w:tc>
          <w:tcPr>
            <w:tcW w:w="966" w:type="dxa"/>
            <w:noWrap/>
            <w:vAlign w:val="center"/>
          </w:tcPr>
          <w:p>
            <w:pPr>
              <w:rPr>
                <w:rFonts w:ascii="宋体" w:hAnsi="宋体"/>
                <w:color w:val="auto"/>
                <w:sz w:val="22"/>
                <w:highlight w:val="none"/>
              </w:rPr>
            </w:pPr>
          </w:p>
        </w:tc>
        <w:tc>
          <w:tcPr>
            <w:tcW w:w="1127" w:type="dxa"/>
            <w:noWrap/>
            <w:vAlign w:val="center"/>
          </w:tcPr>
          <w:p>
            <w:pPr>
              <w:rPr>
                <w:rFonts w:ascii="宋体" w:hAnsi="宋体"/>
                <w:color w:val="auto"/>
                <w:sz w:val="22"/>
                <w:highlight w:val="none"/>
              </w:rPr>
            </w:pPr>
          </w:p>
        </w:tc>
        <w:tc>
          <w:tcPr>
            <w:tcW w:w="975" w:type="dxa"/>
            <w:noWrap/>
            <w:vAlign w:val="center"/>
          </w:tcPr>
          <w:p>
            <w:pPr>
              <w:rPr>
                <w:rFonts w:ascii="宋体" w:hAnsi="宋体"/>
                <w:color w:val="auto"/>
                <w:sz w:val="22"/>
                <w:highlight w:val="none"/>
              </w:rPr>
            </w:pPr>
          </w:p>
        </w:tc>
        <w:tc>
          <w:tcPr>
            <w:tcW w:w="1350" w:type="dxa"/>
            <w:noWrap/>
            <w:vAlign w:val="center"/>
          </w:tcPr>
          <w:p>
            <w:pPr>
              <w:rPr>
                <w:rFonts w:ascii="宋体" w:hAnsi="宋体"/>
                <w:color w:val="auto"/>
                <w:sz w:val="22"/>
                <w:highlight w:val="none"/>
              </w:rPr>
            </w:pPr>
          </w:p>
        </w:tc>
        <w:tc>
          <w:tcPr>
            <w:tcW w:w="2365" w:type="dxa"/>
            <w:noWrap/>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38" w:type="dxa"/>
            <w:noWrap/>
            <w:vAlign w:val="center"/>
          </w:tcPr>
          <w:p>
            <w:pPr>
              <w:rPr>
                <w:rFonts w:ascii="宋体" w:hAnsi="宋体"/>
                <w:color w:val="auto"/>
                <w:sz w:val="22"/>
                <w:highlight w:val="none"/>
              </w:rPr>
            </w:pPr>
          </w:p>
        </w:tc>
        <w:tc>
          <w:tcPr>
            <w:tcW w:w="1106" w:type="dxa"/>
            <w:noWrap/>
            <w:vAlign w:val="center"/>
          </w:tcPr>
          <w:p>
            <w:pPr>
              <w:rPr>
                <w:rFonts w:ascii="宋体" w:hAnsi="宋体"/>
                <w:color w:val="auto"/>
                <w:sz w:val="22"/>
                <w:highlight w:val="none"/>
              </w:rPr>
            </w:pPr>
          </w:p>
        </w:tc>
        <w:tc>
          <w:tcPr>
            <w:tcW w:w="804" w:type="dxa"/>
            <w:noWrap/>
            <w:vAlign w:val="center"/>
          </w:tcPr>
          <w:p>
            <w:pPr>
              <w:rPr>
                <w:rFonts w:ascii="宋体" w:hAnsi="宋体"/>
                <w:color w:val="auto"/>
                <w:sz w:val="22"/>
                <w:highlight w:val="none"/>
              </w:rPr>
            </w:pPr>
          </w:p>
        </w:tc>
        <w:tc>
          <w:tcPr>
            <w:tcW w:w="966" w:type="dxa"/>
            <w:noWrap/>
            <w:vAlign w:val="center"/>
          </w:tcPr>
          <w:p>
            <w:pPr>
              <w:rPr>
                <w:rFonts w:ascii="宋体" w:hAnsi="宋体"/>
                <w:color w:val="auto"/>
                <w:sz w:val="22"/>
                <w:highlight w:val="none"/>
              </w:rPr>
            </w:pPr>
          </w:p>
        </w:tc>
        <w:tc>
          <w:tcPr>
            <w:tcW w:w="1127" w:type="dxa"/>
            <w:noWrap/>
            <w:vAlign w:val="center"/>
          </w:tcPr>
          <w:p>
            <w:pPr>
              <w:rPr>
                <w:rFonts w:ascii="宋体" w:hAnsi="宋体"/>
                <w:color w:val="auto"/>
                <w:sz w:val="22"/>
                <w:highlight w:val="none"/>
              </w:rPr>
            </w:pPr>
          </w:p>
        </w:tc>
        <w:tc>
          <w:tcPr>
            <w:tcW w:w="975" w:type="dxa"/>
            <w:noWrap/>
            <w:vAlign w:val="center"/>
          </w:tcPr>
          <w:p>
            <w:pPr>
              <w:rPr>
                <w:rFonts w:ascii="宋体" w:hAnsi="宋体"/>
                <w:color w:val="auto"/>
                <w:sz w:val="22"/>
                <w:highlight w:val="none"/>
              </w:rPr>
            </w:pPr>
          </w:p>
        </w:tc>
        <w:tc>
          <w:tcPr>
            <w:tcW w:w="1350" w:type="dxa"/>
            <w:noWrap/>
            <w:vAlign w:val="center"/>
          </w:tcPr>
          <w:p>
            <w:pPr>
              <w:rPr>
                <w:rFonts w:ascii="宋体" w:hAnsi="宋体"/>
                <w:color w:val="auto"/>
                <w:sz w:val="22"/>
                <w:highlight w:val="none"/>
              </w:rPr>
            </w:pPr>
          </w:p>
        </w:tc>
        <w:tc>
          <w:tcPr>
            <w:tcW w:w="2365" w:type="dxa"/>
            <w:noWrap/>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38" w:type="dxa"/>
            <w:noWrap/>
            <w:vAlign w:val="center"/>
          </w:tcPr>
          <w:p>
            <w:pPr>
              <w:rPr>
                <w:rFonts w:ascii="宋体" w:hAnsi="宋体"/>
                <w:color w:val="auto"/>
                <w:sz w:val="22"/>
                <w:highlight w:val="none"/>
              </w:rPr>
            </w:pPr>
          </w:p>
        </w:tc>
        <w:tc>
          <w:tcPr>
            <w:tcW w:w="1106" w:type="dxa"/>
            <w:noWrap/>
            <w:vAlign w:val="center"/>
          </w:tcPr>
          <w:p>
            <w:pPr>
              <w:rPr>
                <w:rFonts w:ascii="宋体" w:hAnsi="宋体"/>
                <w:color w:val="auto"/>
                <w:sz w:val="22"/>
                <w:highlight w:val="none"/>
              </w:rPr>
            </w:pPr>
          </w:p>
        </w:tc>
        <w:tc>
          <w:tcPr>
            <w:tcW w:w="804" w:type="dxa"/>
            <w:noWrap/>
            <w:vAlign w:val="center"/>
          </w:tcPr>
          <w:p>
            <w:pPr>
              <w:rPr>
                <w:rFonts w:ascii="宋体" w:hAnsi="宋体"/>
                <w:color w:val="auto"/>
                <w:sz w:val="22"/>
                <w:highlight w:val="none"/>
              </w:rPr>
            </w:pPr>
          </w:p>
        </w:tc>
        <w:tc>
          <w:tcPr>
            <w:tcW w:w="966" w:type="dxa"/>
            <w:noWrap/>
            <w:vAlign w:val="center"/>
          </w:tcPr>
          <w:p>
            <w:pPr>
              <w:rPr>
                <w:rFonts w:ascii="宋体" w:hAnsi="宋体"/>
                <w:color w:val="auto"/>
                <w:sz w:val="22"/>
                <w:highlight w:val="none"/>
              </w:rPr>
            </w:pPr>
          </w:p>
        </w:tc>
        <w:tc>
          <w:tcPr>
            <w:tcW w:w="1127" w:type="dxa"/>
            <w:noWrap/>
            <w:vAlign w:val="center"/>
          </w:tcPr>
          <w:p>
            <w:pPr>
              <w:rPr>
                <w:rFonts w:ascii="宋体" w:hAnsi="宋体"/>
                <w:color w:val="auto"/>
                <w:sz w:val="22"/>
                <w:highlight w:val="none"/>
              </w:rPr>
            </w:pPr>
          </w:p>
        </w:tc>
        <w:tc>
          <w:tcPr>
            <w:tcW w:w="975" w:type="dxa"/>
            <w:noWrap/>
            <w:vAlign w:val="center"/>
          </w:tcPr>
          <w:p>
            <w:pPr>
              <w:rPr>
                <w:rFonts w:ascii="宋体" w:hAnsi="宋体"/>
                <w:color w:val="auto"/>
                <w:sz w:val="22"/>
                <w:highlight w:val="none"/>
              </w:rPr>
            </w:pPr>
          </w:p>
        </w:tc>
        <w:tc>
          <w:tcPr>
            <w:tcW w:w="1350" w:type="dxa"/>
            <w:noWrap/>
            <w:vAlign w:val="center"/>
          </w:tcPr>
          <w:p>
            <w:pPr>
              <w:rPr>
                <w:rFonts w:ascii="宋体" w:hAnsi="宋体"/>
                <w:color w:val="auto"/>
                <w:sz w:val="22"/>
                <w:highlight w:val="none"/>
              </w:rPr>
            </w:pPr>
          </w:p>
        </w:tc>
        <w:tc>
          <w:tcPr>
            <w:tcW w:w="2365" w:type="dxa"/>
            <w:noWrap/>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38" w:type="dxa"/>
            <w:noWrap/>
            <w:vAlign w:val="center"/>
          </w:tcPr>
          <w:p>
            <w:pPr>
              <w:rPr>
                <w:rFonts w:ascii="宋体" w:hAnsi="宋体"/>
                <w:color w:val="auto"/>
                <w:sz w:val="22"/>
                <w:highlight w:val="none"/>
              </w:rPr>
            </w:pPr>
          </w:p>
        </w:tc>
        <w:tc>
          <w:tcPr>
            <w:tcW w:w="1106" w:type="dxa"/>
            <w:noWrap/>
            <w:vAlign w:val="center"/>
          </w:tcPr>
          <w:p>
            <w:pPr>
              <w:rPr>
                <w:rFonts w:ascii="宋体" w:hAnsi="宋体"/>
                <w:color w:val="auto"/>
                <w:sz w:val="22"/>
                <w:highlight w:val="none"/>
              </w:rPr>
            </w:pPr>
          </w:p>
        </w:tc>
        <w:tc>
          <w:tcPr>
            <w:tcW w:w="804" w:type="dxa"/>
            <w:noWrap/>
            <w:vAlign w:val="center"/>
          </w:tcPr>
          <w:p>
            <w:pPr>
              <w:rPr>
                <w:rFonts w:ascii="宋体" w:hAnsi="宋体"/>
                <w:color w:val="auto"/>
                <w:sz w:val="22"/>
                <w:highlight w:val="none"/>
              </w:rPr>
            </w:pPr>
          </w:p>
        </w:tc>
        <w:tc>
          <w:tcPr>
            <w:tcW w:w="966" w:type="dxa"/>
            <w:noWrap/>
            <w:vAlign w:val="center"/>
          </w:tcPr>
          <w:p>
            <w:pPr>
              <w:rPr>
                <w:rFonts w:ascii="宋体" w:hAnsi="宋体"/>
                <w:color w:val="auto"/>
                <w:sz w:val="22"/>
                <w:highlight w:val="none"/>
              </w:rPr>
            </w:pPr>
          </w:p>
        </w:tc>
        <w:tc>
          <w:tcPr>
            <w:tcW w:w="1127" w:type="dxa"/>
            <w:noWrap/>
            <w:vAlign w:val="center"/>
          </w:tcPr>
          <w:p>
            <w:pPr>
              <w:rPr>
                <w:rFonts w:ascii="宋体" w:hAnsi="宋体"/>
                <w:color w:val="auto"/>
                <w:sz w:val="22"/>
                <w:highlight w:val="none"/>
              </w:rPr>
            </w:pPr>
          </w:p>
        </w:tc>
        <w:tc>
          <w:tcPr>
            <w:tcW w:w="975" w:type="dxa"/>
            <w:noWrap/>
            <w:vAlign w:val="center"/>
          </w:tcPr>
          <w:p>
            <w:pPr>
              <w:rPr>
                <w:rFonts w:ascii="宋体" w:hAnsi="宋体"/>
                <w:color w:val="auto"/>
                <w:sz w:val="22"/>
                <w:highlight w:val="none"/>
              </w:rPr>
            </w:pPr>
          </w:p>
        </w:tc>
        <w:tc>
          <w:tcPr>
            <w:tcW w:w="1350" w:type="dxa"/>
            <w:noWrap/>
            <w:vAlign w:val="center"/>
          </w:tcPr>
          <w:p>
            <w:pPr>
              <w:rPr>
                <w:rFonts w:ascii="宋体" w:hAnsi="宋体"/>
                <w:color w:val="auto"/>
                <w:sz w:val="22"/>
                <w:highlight w:val="none"/>
              </w:rPr>
            </w:pPr>
          </w:p>
        </w:tc>
        <w:tc>
          <w:tcPr>
            <w:tcW w:w="2365" w:type="dxa"/>
            <w:noWrap/>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38" w:type="dxa"/>
            <w:noWrap/>
            <w:vAlign w:val="center"/>
          </w:tcPr>
          <w:p>
            <w:pPr>
              <w:rPr>
                <w:rFonts w:ascii="宋体" w:hAnsi="宋体"/>
                <w:color w:val="auto"/>
                <w:sz w:val="22"/>
                <w:highlight w:val="none"/>
              </w:rPr>
            </w:pPr>
          </w:p>
        </w:tc>
        <w:tc>
          <w:tcPr>
            <w:tcW w:w="1106" w:type="dxa"/>
            <w:noWrap/>
            <w:vAlign w:val="center"/>
          </w:tcPr>
          <w:p>
            <w:pPr>
              <w:rPr>
                <w:rFonts w:ascii="宋体" w:hAnsi="宋体"/>
                <w:color w:val="auto"/>
                <w:sz w:val="22"/>
                <w:highlight w:val="none"/>
              </w:rPr>
            </w:pPr>
          </w:p>
        </w:tc>
        <w:tc>
          <w:tcPr>
            <w:tcW w:w="804" w:type="dxa"/>
            <w:noWrap/>
            <w:vAlign w:val="center"/>
          </w:tcPr>
          <w:p>
            <w:pPr>
              <w:rPr>
                <w:rFonts w:ascii="宋体" w:hAnsi="宋体"/>
                <w:color w:val="auto"/>
                <w:sz w:val="22"/>
                <w:highlight w:val="none"/>
              </w:rPr>
            </w:pPr>
          </w:p>
        </w:tc>
        <w:tc>
          <w:tcPr>
            <w:tcW w:w="966" w:type="dxa"/>
            <w:noWrap/>
            <w:vAlign w:val="center"/>
          </w:tcPr>
          <w:p>
            <w:pPr>
              <w:rPr>
                <w:rFonts w:ascii="宋体" w:hAnsi="宋体"/>
                <w:color w:val="auto"/>
                <w:sz w:val="22"/>
                <w:highlight w:val="none"/>
              </w:rPr>
            </w:pPr>
          </w:p>
        </w:tc>
        <w:tc>
          <w:tcPr>
            <w:tcW w:w="1127" w:type="dxa"/>
            <w:noWrap/>
            <w:vAlign w:val="center"/>
          </w:tcPr>
          <w:p>
            <w:pPr>
              <w:rPr>
                <w:rFonts w:ascii="宋体" w:hAnsi="宋体"/>
                <w:color w:val="auto"/>
                <w:sz w:val="22"/>
                <w:highlight w:val="none"/>
              </w:rPr>
            </w:pPr>
          </w:p>
        </w:tc>
        <w:tc>
          <w:tcPr>
            <w:tcW w:w="975" w:type="dxa"/>
            <w:noWrap/>
            <w:vAlign w:val="center"/>
          </w:tcPr>
          <w:p>
            <w:pPr>
              <w:rPr>
                <w:rFonts w:ascii="宋体" w:hAnsi="宋体"/>
                <w:color w:val="auto"/>
                <w:sz w:val="22"/>
                <w:highlight w:val="none"/>
              </w:rPr>
            </w:pPr>
          </w:p>
        </w:tc>
        <w:tc>
          <w:tcPr>
            <w:tcW w:w="1350" w:type="dxa"/>
            <w:noWrap/>
            <w:vAlign w:val="center"/>
          </w:tcPr>
          <w:p>
            <w:pPr>
              <w:rPr>
                <w:rFonts w:ascii="宋体" w:hAnsi="宋体"/>
                <w:color w:val="auto"/>
                <w:sz w:val="22"/>
                <w:highlight w:val="none"/>
              </w:rPr>
            </w:pPr>
          </w:p>
        </w:tc>
        <w:tc>
          <w:tcPr>
            <w:tcW w:w="2365" w:type="dxa"/>
            <w:noWrap/>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638" w:type="dxa"/>
            <w:noWrap/>
            <w:vAlign w:val="center"/>
          </w:tcPr>
          <w:p>
            <w:pPr>
              <w:rPr>
                <w:rFonts w:ascii="宋体" w:hAnsi="宋体"/>
                <w:color w:val="auto"/>
                <w:sz w:val="22"/>
                <w:highlight w:val="none"/>
              </w:rPr>
            </w:pPr>
          </w:p>
        </w:tc>
        <w:tc>
          <w:tcPr>
            <w:tcW w:w="1106" w:type="dxa"/>
            <w:noWrap/>
            <w:vAlign w:val="center"/>
          </w:tcPr>
          <w:p>
            <w:pPr>
              <w:rPr>
                <w:rFonts w:ascii="宋体" w:hAnsi="宋体"/>
                <w:color w:val="auto"/>
                <w:sz w:val="22"/>
                <w:highlight w:val="none"/>
              </w:rPr>
            </w:pPr>
          </w:p>
        </w:tc>
        <w:tc>
          <w:tcPr>
            <w:tcW w:w="804" w:type="dxa"/>
            <w:noWrap/>
            <w:vAlign w:val="center"/>
          </w:tcPr>
          <w:p>
            <w:pPr>
              <w:rPr>
                <w:rFonts w:ascii="宋体" w:hAnsi="宋体"/>
                <w:color w:val="auto"/>
                <w:sz w:val="22"/>
                <w:highlight w:val="none"/>
              </w:rPr>
            </w:pPr>
          </w:p>
        </w:tc>
        <w:tc>
          <w:tcPr>
            <w:tcW w:w="966" w:type="dxa"/>
            <w:noWrap/>
            <w:vAlign w:val="center"/>
          </w:tcPr>
          <w:p>
            <w:pPr>
              <w:rPr>
                <w:rFonts w:ascii="宋体" w:hAnsi="宋体"/>
                <w:color w:val="auto"/>
                <w:sz w:val="22"/>
                <w:highlight w:val="none"/>
              </w:rPr>
            </w:pPr>
          </w:p>
        </w:tc>
        <w:tc>
          <w:tcPr>
            <w:tcW w:w="1127" w:type="dxa"/>
            <w:noWrap/>
            <w:vAlign w:val="center"/>
          </w:tcPr>
          <w:p>
            <w:pPr>
              <w:rPr>
                <w:rFonts w:ascii="宋体" w:hAnsi="宋体"/>
                <w:color w:val="auto"/>
                <w:sz w:val="22"/>
                <w:highlight w:val="none"/>
              </w:rPr>
            </w:pPr>
          </w:p>
        </w:tc>
        <w:tc>
          <w:tcPr>
            <w:tcW w:w="975" w:type="dxa"/>
            <w:noWrap/>
            <w:vAlign w:val="center"/>
          </w:tcPr>
          <w:p>
            <w:pPr>
              <w:rPr>
                <w:rFonts w:ascii="宋体" w:hAnsi="宋体"/>
                <w:color w:val="auto"/>
                <w:sz w:val="22"/>
                <w:highlight w:val="none"/>
              </w:rPr>
            </w:pPr>
          </w:p>
        </w:tc>
        <w:tc>
          <w:tcPr>
            <w:tcW w:w="1350" w:type="dxa"/>
            <w:noWrap/>
            <w:vAlign w:val="center"/>
          </w:tcPr>
          <w:p>
            <w:pPr>
              <w:rPr>
                <w:rFonts w:ascii="宋体" w:hAnsi="宋体"/>
                <w:color w:val="auto"/>
                <w:sz w:val="22"/>
                <w:highlight w:val="none"/>
              </w:rPr>
            </w:pPr>
          </w:p>
        </w:tc>
        <w:tc>
          <w:tcPr>
            <w:tcW w:w="2365" w:type="dxa"/>
            <w:noWrap/>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38" w:type="dxa"/>
            <w:noWrap/>
            <w:vAlign w:val="center"/>
          </w:tcPr>
          <w:p>
            <w:pPr>
              <w:rPr>
                <w:rFonts w:ascii="宋体" w:hAnsi="宋体"/>
                <w:color w:val="auto"/>
                <w:sz w:val="22"/>
                <w:highlight w:val="none"/>
              </w:rPr>
            </w:pPr>
          </w:p>
        </w:tc>
        <w:tc>
          <w:tcPr>
            <w:tcW w:w="1106" w:type="dxa"/>
            <w:noWrap/>
            <w:vAlign w:val="center"/>
          </w:tcPr>
          <w:p>
            <w:pPr>
              <w:rPr>
                <w:rFonts w:ascii="宋体" w:hAnsi="宋体"/>
                <w:color w:val="auto"/>
                <w:sz w:val="22"/>
                <w:highlight w:val="none"/>
              </w:rPr>
            </w:pPr>
            <w:r>
              <w:rPr>
                <w:rFonts w:ascii="宋体" w:hAnsi="宋体"/>
                <w:color w:val="auto"/>
                <w:sz w:val="22"/>
                <w:highlight w:val="none"/>
              </w:rPr>
              <w:t>……</w:t>
            </w:r>
          </w:p>
        </w:tc>
        <w:tc>
          <w:tcPr>
            <w:tcW w:w="804" w:type="dxa"/>
            <w:noWrap/>
            <w:vAlign w:val="center"/>
          </w:tcPr>
          <w:p>
            <w:pPr>
              <w:rPr>
                <w:rFonts w:ascii="宋体" w:hAnsi="宋体"/>
                <w:color w:val="auto"/>
                <w:sz w:val="22"/>
                <w:highlight w:val="none"/>
              </w:rPr>
            </w:pPr>
          </w:p>
        </w:tc>
        <w:tc>
          <w:tcPr>
            <w:tcW w:w="966" w:type="dxa"/>
            <w:noWrap/>
            <w:vAlign w:val="center"/>
          </w:tcPr>
          <w:p>
            <w:pPr>
              <w:rPr>
                <w:rFonts w:ascii="宋体" w:hAnsi="宋体"/>
                <w:color w:val="auto"/>
                <w:sz w:val="22"/>
                <w:highlight w:val="none"/>
              </w:rPr>
            </w:pPr>
          </w:p>
        </w:tc>
        <w:tc>
          <w:tcPr>
            <w:tcW w:w="1127" w:type="dxa"/>
            <w:noWrap/>
            <w:vAlign w:val="center"/>
          </w:tcPr>
          <w:p>
            <w:pPr>
              <w:rPr>
                <w:rFonts w:ascii="宋体" w:hAnsi="宋体"/>
                <w:color w:val="auto"/>
                <w:sz w:val="22"/>
                <w:highlight w:val="none"/>
              </w:rPr>
            </w:pPr>
          </w:p>
        </w:tc>
        <w:tc>
          <w:tcPr>
            <w:tcW w:w="975" w:type="dxa"/>
            <w:noWrap/>
            <w:vAlign w:val="center"/>
          </w:tcPr>
          <w:p>
            <w:pPr>
              <w:rPr>
                <w:rFonts w:ascii="宋体" w:hAnsi="宋体"/>
                <w:color w:val="auto"/>
                <w:sz w:val="22"/>
                <w:highlight w:val="none"/>
              </w:rPr>
            </w:pPr>
          </w:p>
        </w:tc>
        <w:tc>
          <w:tcPr>
            <w:tcW w:w="1350" w:type="dxa"/>
            <w:noWrap/>
            <w:vAlign w:val="center"/>
          </w:tcPr>
          <w:p>
            <w:pPr>
              <w:rPr>
                <w:rFonts w:ascii="宋体" w:hAnsi="宋体"/>
                <w:color w:val="auto"/>
                <w:sz w:val="22"/>
                <w:highlight w:val="none"/>
              </w:rPr>
            </w:pPr>
          </w:p>
        </w:tc>
        <w:tc>
          <w:tcPr>
            <w:tcW w:w="2365" w:type="dxa"/>
            <w:noWrap/>
            <w:vAlign w:val="center"/>
          </w:tcPr>
          <w:p>
            <w:pPr>
              <w:rPr>
                <w:rFonts w:ascii="宋体" w:hAnsi="宋体"/>
                <w:color w:val="auto"/>
                <w:sz w:val="22"/>
                <w:highlight w:val="none"/>
              </w:rPr>
            </w:pPr>
          </w:p>
        </w:tc>
      </w:tr>
    </w:tbl>
    <w:p>
      <w:pPr>
        <w:tabs>
          <w:tab w:val="left" w:pos="1620"/>
        </w:tabs>
        <w:spacing w:line="400" w:lineRule="exact"/>
        <w:ind w:right="-107"/>
        <w:rPr>
          <w:rFonts w:ascii="宋体" w:hAnsi="宋体" w:cs="宋体"/>
          <w:color w:val="auto"/>
          <w:sz w:val="22"/>
          <w:highlight w:val="none"/>
        </w:rPr>
      </w:pPr>
      <w:r>
        <w:rPr>
          <w:rFonts w:hint="eastAsia" w:ascii="宋体" w:hAnsi="宋体"/>
          <w:color w:val="auto"/>
          <w:sz w:val="22"/>
          <w:highlight w:val="none"/>
        </w:rPr>
        <w:t>注：</w:t>
      </w:r>
      <w:r>
        <w:rPr>
          <w:rFonts w:hint="eastAsia" w:ascii="宋体" w:hAnsi="宋体" w:cs="宋体"/>
          <w:color w:val="auto"/>
          <w:sz w:val="22"/>
          <w:highlight w:val="none"/>
        </w:rPr>
        <w:t xml:space="preserve"> 1. 本表须附身份证、技术职称（资格）证书或上岗证等原件扫描件加盖电子公章。</w:t>
      </w:r>
    </w:p>
    <w:p>
      <w:pPr>
        <w:pStyle w:val="12"/>
        <w:spacing w:line="400" w:lineRule="exact"/>
        <w:ind w:left="548" w:leftChars="261"/>
        <w:rPr>
          <w:rFonts w:hAnsi="宋体" w:cs="宋体"/>
          <w:b/>
          <w:color w:val="auto"/>
          <w:sz w:val="22"/>
          <w:highlight w:val="none"/>
          <w:u w:val="single"/>
        </w:rPr>
      </w:pPr>
      <w:r>
        <w:rPr>
          <w:rFonts w:hint="eastAsia" w:hAnsi="宋体" w:cs="宋体"/>
          <w:b/>
          <w:color w:val="auto"/>
          <w:sz w:val="22"/>
          <w:highlight w:val="none"/>
        </w:rPr>
        <w:t>2. ▲</w:t>
      </w:r>
      <w:r>
        <w:rPr>
          <w:rFonts w:hint="eastAsia" w:hAnsi="宋体" w:cs="宋体"/>
          <w:b/>
          <w:color w:val="auto"/>
          <w:sz w:val="22"/>
          <w:highlight w:val="none"/>
          <w:u w:val="single"/>
        </w:rPr>
        <w:t>此表格上所列的人未经采购人允许，不得擅自更改。</w:t>
      </w:r>
    </w:p>
    <w:p>
      <w:pPr>
        <w:pStyle w:val="12"/>
        <w:spacing w:line="400" w:lineRule="exact"/>
        <w:ind w:left="548" w:leftChars="261"/>
        <w:rPr>
          <w:rFonts w:hAnsi="宋体" w:cs="宋体"/>
          <w:b/>
          <w:color w:val="auto"/>
          <w:sz w:val="22"/>
          <w:highlight w:val="none"/>
          <w:u w:val="single"/>
        </w:rPr>
      </w:pPr>
      <w:r>
        <w:rPr>
          <w:rFonts w:hint="eastAsia" w:hAnsi="宋体" w:cs="宋体"/>
          <w:b/>
          <w:color w:val="auto"/>
          <w:sz w:val="22"/>
          <w:highlight w:val="none"/>
        </w:rPr>
        <w:t>3. ▲</w:t>
      </w:r>
      <w:r>
        <w:rPr>
          <w:rFonts w:hint="eastAsia" w:hAnsi="宋体" w:cs="宋体"/>
          <w:b/>
          <w:color w:val="auto"/>
          <w:sz w:val="22"/>
          <w:highlight w:val="none"/>
          <w:u w:val="single"/>
        </w:rPr>
        <w:t>如遇特殊情况需要更改，则提供的替代人员的各方面均不得低于被替代人员，并提供相关证明材料给采购人确认之后方可更改。</w:t>
      </w:r>
    </w:p>
    <w:p>
      <w:pPr>
        <w:adjustRightInd w:val="0"/>
        <w:snapToGrid w:val="0"/>
        <w:spacing w:line="360" w:lineRule="auto"/>
        <w:jc w:val="center"/>
        <w:rPr>
          <w:rFonts w:ascii="宋体" w:hAnsi="宋体" w:cs="宋体"/>
          <w:b/>
          <w:color w:val="auto"/>
          <w:sz w:val="22"/>
          <w:highlight w:val="none"/>
          <w:u w:val="single"/>
        </w:rPr>
      </w:pPr>
    </w:p>
    <w:p>
      <w:pPr>
        <w:widowControl/>
        <w:spacing w:line="400" w:lineRule="exact"/>
        <w:rPr>
          <w:rFonts w:ascii="宋体" w:hAnsi="宋体" w:cs="宋体"/>
          <w:color w:val="auto"/>
          <w:kern w:val="0"/>
          <w:sz w:val="22"/>
          <w:highlight w:val="none"/>
          <w:u w:val="single"/>
        </w:rPr>
      </w:pPr>
      <w:r>
        <w:rPr>
          <w:rFonts w:hint="eastAsia" w:ascii="宋体" w:hAnsi="宋体" w:cs="宋体"/>
          <w:color w:val="auto"/>
          <w:kern w:val="0"/>
          <w:sz w:val="22"/>
          <w:highlight w:val="none"/>
        </w:rPr>
        <w:t>投标供应商全称(（盖章或电子签章）：</w:t>
      </w:r>
    </w:p>
    <w:p>
      <w:pPr>
        <w:snapToGrid w:val="0"/>
        <w:spacing w:line="40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法定代表人或授权代表(签字或盖章或电子签章)：</w:t>
      </w:r>
    </w:p>
    <w:p>
      <w:pPr>
        <w:pStyle w:val="7"/>
        <w:spacing w:line="400" w:lineRule="exact"/>
        <w:rPr>
          <w:color w:val="auto"/>
          <w:highlight w:val="none"/>
        </w:rPr>
      </w:pPr>
      <w:r>
        <w:rPr>
          <w:rFonts w:hint="eastAsia" w:ascii="宋体" w:hAnsi="宋体" w:cs="宋体"/>
          <w:color w:val="auto"/>
          <w:kern w:val="0"/>
          <w:sz w:val="22"/>
          <w:highlight w:val="none"/>
        </w:rPr>
        <w:t>日期：    年    月    日</w:t>
      </w:r>
    </w:p>
    <w:p>
      <w:pPr>
        <w:adjustRightInd w:val="0"/>
        <w:snapToGrid w:val="0"/>
        <w:spacing w:line="400" w:lineRule="exact"/>
        <w:jc w:val="center"/>
        <w:rPr>
          <w:rFonts w:ascii="宋体" w:hAnsi="宋体" w:cs="宋体"/>
          <w:b/>
          <w:color w:val="auto"/>
          <w:sz w:val="22"/>
          <w:highlight w:val="none"/>
          <w:u w:val="single"/>
        </w:rPr>
      </w:pPr>
    </w:p>
    <w:p>
      <w:pPr>
        <w:adjustRightInd w:val="0"/>
        <w:snapToGrid w:val="0"/>
        <w:spacing w:line="360" w:lineRule="auto"/>
        <w:jc w:val="center"/>
        <w:rPr>
          <w:rFonts w:hAnsi="宋体"/>
          <w:b/>
          <w:color w:val="auto"/>
          <w:sz w:val="22"/>
          <w:highlight w:val="none"/>
          <w:u w:val="single"/>
        </w:rPr>
      </w:pPr>
    </w:p>
    <w:p>
      <w:pPr>
        <w:adjustRightInd w:val="0"/>
        <w:snapToGrid w:val="0"/>
        <w:spacing w:line="360" w:lineRule="auto"/>
        <w:jc w:val="center"/>
        <w:rPr>
          <w:rFonts w:hAnsi="宋体"/>
          <w:b/>
          <w:color w:val="auto"/>
          <w:sz w:val="22"/>
          <w:highlight w:val="none"/>
          <w:u w:val="single"/>
        </w:rPr>
      </w:pPr>
    </w:p>
    <w:p>
      <w:pPr>
        <w:adjustRightInd w:val="0"/>
        <w:snapToGrid w:val="0"/>
        <w:spacing w:line="360" w:lineRule="auto"/>
        <w:rPr>
          <w:rFonts w:hAnsi="宋体"/>
          <w:b/>
          <w:color w:val="auto"/>
          <w:sz w:val="22"/>
          <w:highlight w:val="none"/>
          <w:u w:val="single"/>
        </w:rPr>
      </w:pPr>
      <w:r>
        <w:rPr>
          <w:rFonts w:hint="eastAsia" w:ascii="宋体" w:hAnsi="宋体" w:cs="宋体"/>
          <w:b/>
          <w:bCs/>
          <w:color w:val="auto"/>
          <w:sz w:val="22"/>
          <w:highlight w:val="none"/>
        </w:rPr>
        <w:t>附件七</w:t>
      </w:r>
    </w:p>
    <w:p>
      <w:pPr>
        <w:jc w:val="center"/>
        <w:rPr>
          <w:rFonts w:ascii="宋体" w:hAnsi="宋体"/>
          <w:b/>
          <w:color w:val="auto"/>
          <w:sz w:val="28"/>
          <w:szCs w:val="28"/>
          <w:highlight w:val="none"/>
        </w:rPr>
      </w:pPr>
      <w:r>
        <w:rPr>
          <w:rFonts w:hint="eastAsia" w:ascii="宋体" w:hAnsi="宋体"/>
          <w:b/>
          <w:color w:val="auto"/>
          <w:sz w:val="28"/>
          <w:szCs w:val="28"/>
          <w:highlight w:val="none"/>
        </w:rPr>
        <w:t>同类项目业绩</w:t>
      </w:r>
    </w:p>
    <w:p>
      <w:pPr>
        <w:spacing w:line="440" w:lineRule="exact"/>
        <w:rPr>
          <w:rFonts w:ascii="宋体" w:hAnsi="宋体"/>
          <w:b/>
          <w:bCs/>
          <w:color w:val="auto"/>
          <w:sz w:val="22"/>
          <w:highlight w:val="none"/>
        </w:rPr>
      </w:pPr>
      <w:r>
        <w:rPr>
          <w:rFonts w:hint="eastAsia" w:ascii="宋体" w:hAnsi="宋体"/>
          <w:b/>
          <w:bCs/>
          <w:color w:val="auto"/>
          <w:sz w:val="22"/>
          <w:highlight w:val="none"/>
        </w:rPr>
        <w:t>项目名称：                                               项目编号：</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2006"/>
        <w:gridCol w:w="2100"/>
        <w:gridCol w:w="1785"/>
        <w:gridCol w:w="1365"/>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r>
              <w:rPr>
                <w:rFonts w:hint="eastAsia" w:ascii="宋体" w:hAnsi="宋体"/>
                <w:b/>
                <w:bCs/>
                <w:color w:val="auto"/>
                <w:sz w:val="22"/>
                <w:highlight w:val="none"/>
              </w:rPr>
              <w:t>序号</w:t>
            </w:r>
          </w:p>
        </w:tc>
        <w:tc>
          <w:tcPr>
            <w:tcW w:w="2006" w:type="dxa"/>
            <w:noWrap/>
            <w:vAlign w:val="center"/>
          </w:tcPr>
          <w:p>
            <w:pPr>
              <w:spacing w:line="380" w:lineRule="exact"/>
              <w:jc w:val="center"/>
              <w:rPr>
                <w:rFonts w:ascii="宋体" w:hAnsi="宋体"/>
                <w:b/>
                <w:bCs/>
                <w:color w:val="auto"/>
                <w:sz w:val="22"/>
                <w:highlight w:val="none"/>
              </w:rPr>
            </w:pPr>
            <w:r>
              <w:rPr>
                <w:rFonts w:hint="eastAsia" w:ascii="宋体" w:hAnsi="宋体"/>
                <w:b/>
                <w:bCs/>
                <w:color w:val="auto"/>
                <w:sz w:val="22"/>
                <w:highlight w:val="none"/>
              </w:rPr>
              <w:t>项目名称</w:t>
            </w:r>
          </w:p>
        </w:tc>
        <w:tc>
          <w:tcPr>
            <w:tcW w:w="2100" w:type="dxa"/>
            <w:noWrap/>
            <w:vAlign w:val="center"/>
          </w:tcPr>
          <w:p>
            <w:pPr>
              <w:spacing w:line="380" w:lineRule="exact"/>
              <w:jc w:val="center"/>
              <w:rPr>
                <w:rFonts w:ascii="宋体" w:hAnsi="宋体"/>
                <w:b/>
                <w:bCs/>
                <w:color w:val="auto"/>
                <w:sz w:val="22"/>
                <w:highlight w:val="none"/>
              </w:rPr>
            </w:pPr>
            <w:r>
              <w:rPr>
                <w:rFonts w:hint="eastAsia" w:ascii="宋体" w:hAnsi="宋体"/>
                <w:b/>
                <w:bCs/>
                <w:color w:val="auto"/>
                <w:sz w:val="22"/>
                <w:highlight w:val="none"/>
              </w:rPr>
              <w:t>用户单位</w:t>
            </w:r>
          </w:p>
        </w:tc>
        <w:tc>
          <w:tcPr>
            <w:tcW w:w="1785" w:type="dxa"/>
            <w:noWrap/>
            <w:vAlign w:val="center"/>
          </w:tcPr>
          <w:p>
            <w:pPr>
              <w:spacing w:line="380" w:lineRule="exact"/>
              <w:jc w:val="center"/>
              <w:rPr>
                <w:rFonts w:ascii="宋体" w:hAnsi="宋体"/>
                <w:b/>
                <w:bCs/>
                <w:color w:val="auto"/>
                <w:sz w:val="22"/>
                <w:highlight w:val="none"/>
              </w:rPr>
            </w:pPr>
            <w:r>
              <w:rPr>
                <w:rFonts w:hint="eastAsia" w:ascii="宋体" w:hAnsi="宋体"/>
                <w:b/>
                <w:bCs/>
                <w:color w:val="auto"/>
                <w:sz w:val="22"/>
                <w:highlight w:val="none"/>
              </w:rPr>
              <w:t>合同金额</w:t>
            </w:r>
          </w:p>
        </w:tc>
        <w:tc>
          <w:tcPr>
            <w:tcW w:w="1365" w:type="dxa"/>
            <w:noWrap/>
            <w:vAlign w:val="center"/>
          </w:tcPr>
          <w:p>
            <w:pPr>
              <w:spacing w:line="380" w:lineRule="exact"/>
              <w:jc w:val="center"/>
              <w:rPr>
                <w:rFonts w:ascii="宋体" w:hAnsi="宋体"/>
                <w:b/>
                <w:bCs/>
                <w:color w:val="auto"/>
                <w:sz w:val="22"/>
                <w:highlight w:val="none"/>
              </w:rPr>
            </w:pPr>
            <w:r>
              <w:rPr>
                <w:rFonts w:hint="eastAsia" w:ascii="宋体" w:hAnsi="宋体"/>
                <w:b/>
                <w:bCs/>
                <w:color w:val="auto"/>
                <w:sz w:val="22"/>
                <w:highlight w:val="none"/>
              </w:rPr>
              <w:t>合同日期</w:t>
            </w:r>
          </w:p>
        </w:tc>
        <w:tc>
          <w:tcPr>
            <w:tcW w:w="1354" w:type="dxa"/>
            <w:noWrap/>
            <w:vAlign w:val="center"/>
          </w:tcPr>
          <w:p>
            <w:pPr>
              <w:spacing w:line="380" w:lineRule="exact"/>
              <w:jc w:val="center"/>
              <w:rPr>
                <w:rFonts w:ascii="宋体" w:hAnsi="宋体"/>
                <w:b/>
                <w:bCs/>
                <w:color w:val="auto"/>
                <w:sz w:val="22"/>
                <w:highlight w:val="none"/>
              </w:rPr>
            </w:pPr>
            <w:r>
              <w:rPr>
                <w:rFonts w:hint="eastAsia" w:ascii="宋体" w:hAnsi="宋体"/>
                <w:b/>
                <w:bCs/>
                <w:color w:val="auto"/>
                <w:sz w:val="22"/>
                <w:highlight w:val="none"/>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p>
        </w:tc>
        <w:tc>
          <w:tcPr>
            <w:tcW w:w="2006" w:type="dxa"/>
            <w:noWrap/>
            <w:vAlign w:val="center"/>
          </w:tcPr>
          <w:p>
            <w:pPr>
              <w:spacing w:line="380" w:lineRule="exact"/>
              <w:jc w:val="center"/>
              <w:rPr>
                <w:rFonts w:ascii="宋体" w:hAnsi="宋体"/>
                <w:b/>
                <w:bCs/>
                <w:color w:val="auto"/>
                <w:sz w:val="22"/>
                <w:highlight w:val="none"/>
              </w:rPr>
            </w:pPr>
          </w:p>
        </w:tc>
        <w:tc>
          <w:tcPr>
            <w:tcW w:w="2100" w:type="dxa"/>
            <w:noWrap/>
            <w:vAlign w:val="center"/>
          </w:tcPr>
          <w:p>
            <w:pPr>
              <w:spacing w:line="380" w:lineRule="exact"/>
              <w:jc w:val="center"/>
              <w:rPr>
                <w:rFonts w:ascii="宋体" w:hAnsi="宋体"/>
                <w:b/>
                <w:bCs/>
                <w:color w:val="auto"/>
                <w:sz w:val="22"/>
                <w:highlight w:val="none"/>
              </w:rPr>
            </w:pPr>
          </w:p>
        </w:tc>
        <w:tc>
          <w:tcPr>
            <w:tcW w:w="1785" w:type="dxa"/>
            <w:noWrap/>
            <w:vAlign w:val="center"/>
          </w:tcPr>
          <w:p>
            <w:pPr>
              <w:spacing w:line="380" w:lineRule="exact"/>
              <w:jc w:val="center"/>
              <w:rPr>
                <w:rFonts w:ascii="宋体" w:hAnsi="宋体"/>
                <w:b/>
                <w:bCs/>
                <w:color w:val="auto"/>
                <w:sz w:val="22"/>
                <w:highlight w:val="none"/>
              </w:rPr>
            </w:pPr>
          </w:p>
        </w:tc>
        <w:tc>
          <w:tcPr>
            <w:tcW w:w="1365" w:type="dxa"/>
            <w:noWrap/>
            <w:vAlign w:val="center"/>
          </w:tcPr>
          <w:p>
            <w:pPr>
              <w:spacing w:line="380" w:lineRule="exact"/>
              <w:jc w:val="center"/>
              <w:rPr>
                <w:rFonts w:ascii="宋体" w:hAnsi="宋体"/>
                <w:b/>
                <w:bCs/>
                <w:color w:val="auto"/>
                <w:sz w:val="22"/>
                <w:highlight w:val="none"/>
              </w:rPr>
            </w:pPr>
          </w:p>
        </w:tc>
        <w:tc>
          <w:tcPr>
            <w:tcW w:w="1354" w:type="dxa"/>
            <w:noWrap/>
            <w:vAlign w:val="center"/>
          </w:tcPr>
          <w:p>
            <w:pPr>
              <w:spacing w:line="380" w:lineRule="exact"/>
              <w:jc w:val="center"/>
              <w:rPr>
                <w:rFonts w:ascii="宋体" w:hAnsi="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p>
        </w:tc>
        <w:tc>
          <w:tcPr>
            <w:tcW w:w="2006" w:type="dxa"/>
            <w:noWrap/>
            <w:vAlign w:val="center"/>
          </w:tcPr>
          <w:p>
            <w:pPr>
              <w:spacing w:line="380" w:lineRule="exact"/>
              <w:jc w:val="center"/>
              <w:rPr>
                <w:rFonts w:ascii="宋体" w:hAnsi="宋体"/>
                <w:b/>
                <w:bCs/>
                <w:color w:val="auto"/>
                <w:sz w:val="22"/>
                <w:highlight w:val="none"/>
              </w:rPr>
            </w:pPr>
          </w:p>
        </w:tc>
        <w:tc>
          <w:tcPr>
            <w:tcW w:w="2100" w:type="dxa"/>
            <w:noWrap/>
            <w:vAlign w:val="center"/>
          </w:tcPr>
          <w:p>
            <w:pPr>
              <w:spacing w:line="380" w:lineRule="exact"/>
              <w:jc w:val="center"/>
              <w:rPr>
                <w:rFonts w:ascii="宋体" w:hAnsi="宋体"/>
                <w:b/>
                <w:bCs/>
                <w:color w:val="auto"/>
                <w:sz w:val="22"/>
                <w:highlight w:val="none"/>
              </w:rPr>
            </w:pPr>
          </w:p>
        </w:tc>
        <w:tc>
          <w:tcPr>
            <w:tcW w:w="1785" w:type="dxa"/>
            <w:noWrap/>
            <w:vAlign w:val="center"/>
          </w:tcPr>
          <w:p>
            <w:pPr>
              <w:spacing w:line="380" w:lineRule="exact"/>
              <w:jc w:val="center"/>
              <w:rPr>
                <w:rFonts w:ascii="宋体" w:hAnsi="宋体"/>
                <w:b/>
                <w:bCs/>
                <w:color w:val="auto"/>
                <w:sz w:val="22"/>
                <w:highlight w:val="none"/>
              </w:rPr>
            </w:pPr>
          </w:p>
        </w:tc>
        <w:tc>
          <w:tcPr>
            <w:tcW w:w="1365" w:type="dxa"/>
            <w:noWrap/>
            <w:vAlign w:val="center"/>
          </w:tcPr>
          <w:p>
            <w:pPr>
              <w:spacing w:line="380" w:lineRule="exact"/>
              <w:jc w:val="center"/>
              <w:rPr>
                <w:rFonts w:ascii="宋体" w:hAnsi="宋体"/>
                <w:b/>
                <w:bCs/>
                <w:color w:val="auto"/>
                <w:sz w:val="22"/>
                <w:highlight w:val="none"/>
              </w:rPr>
            </w:pPr>
          </w:p>
        </w:tc>
        <w:tc>
          <w:tcPr>
            <w:tcW w:w="1354" w:type="dxa"/>
            <w:noWrap/>
            <w:vAlign w:val="center"/>
          </w:tcPr>
          <w:p>
            <w:pPr>
              <w:spacing w:line="380" w:lineRule="exact"/>
              <w:jc w:val="center"/>
              <w:rPr>
                <w:rFonts w:ascii="宋体" w:hAnsi="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p>
        </w:tc>
        <w:tc>
          <w:tcPr>
            <w:tcW w:w="2006" w:type="dxa"/>
            <w:noWrap/>
            <w:vAlign w:val="center"/>
          </w:tcPr>
          <w:p>
            <w:pPr>
              <w:spacing w:line="380" w:lineRule="exact"/>
              <w:jc w:val="center"/>
              <w:rPr>
                <w:rFonts w:ascii="宋体" w:hAnsi="宋体"/>
                <w:b/>
                <w:bCs/>
                <w:color w:val="auto"/>
                <w:sz w:val="22"/>
                <w:highlight w:val="none"/>
              </w:rPr>
            </w:pPr>
          </w:p>
        </w:tc>
        <w:tc>
          <w:tcPr>
            <w:tcW w:w="2100" w:type="dxa"/>
            <w:noWrap/>
            <w:vAlign w:val="center"/>
          </w:tcPr>
          <w:p>
            <w:pPr>
              <w:spacing w:line="380" w:lineRule="exact"/>
              <w:jc w:val="center"/>
              <w:rPr>
                <w:rFonts w:ascii="宋体" w:hAnsi="宋体"/>
                <w:b/>
                <w:bCs/>
                <w:color w:val="auto"/>
                <w:sz w:val="22"/>
                <w:highlight w:val="none"/>
              </w:rPr>
            </w:pPr>
          </w:p>
        </w:tc>
        <w:tc>
          <w:tcPr>
            <w:tcW w:w="1785" w:type="dxa"/>
            <w:noWrap/>
            <w:vAlign w:val="center"/>
          </w:tcPr>
          <w:p>
            <w:pPr>
              <w:spacing w:line="380" w:lineRule="exact"/>
              <w:jc w:val="center"/>
              <w:rPr>
                <w:rFonts w:ascii="宋体" w:hAnsi="宋体"/>
                <w:b/>
                <w:bCs/>
                <w:color w:val="auto"/>
                <w:sz w:val="22"/>
                <w:highlight w:val="none"/>
              </w:rPr>
            </w:pPr>
          </w:p>
        </w:tc>
        <w:tc>
          <w:tcPr>
            <w:tcW w:w="1365" w:type="dxa"/>
            <w:noWrap/>
            <w:vAlign w:val="center"/>
          </w:tcPr>
          <w:p>
            <w:pPr>
              <w:spacing w:line="380" w:lineRule="exact"/>
              <w:jc w:val="center"/>
              <w:rPr>
                <w:rFonts w:ascii="宋体" w:hAnsi="宋体"/>
                <w:b/>
                <w:bCs/>
                <w:color w:val="auto"/>
                <w:sz w:val="22"/>
                <w:highlight w:val="none"/>
              </w:rPr>
            </w:pPr>
          </w:p>
        </w:tc>
        <w:tc>
          <w:tcPr>
            <w:tcW w:w="1354" w:type="dxa"/>
            <w:noWrap/>
            <w:vAlign w:val="center"/>
          </w:tcPr>
          <w:p>
            <w:pPr>
              <w:spacing w:line="380" w:lineRule="exact"/>
              <w:jc w:val="center"/>
              <w:rPr>
                <w:rFonts w:ascii="宋体" w:hAnsi="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p>
        </w:tc>
        <w:tc>
          <w:tcPr>
            <w:tcW w:w="2006" w:type="dxa"/>
            <w:noWrap/>
            <w:vAlign w:val="center"/>
          </w:tcPr>
          <w:p>
            <w:pPr>
              <w:spacing w:line="380" w:lineRule="exact"/>
              <w:jc w:val="center"/>
              <w:rPr>
                <w:rFonts w:ascii="宋体" w:hAnsi="宋体"/>
                <w:b/>
                <w:bCs/>
                <w:color w:val="auto"/>
                <w:sz w:val="22"/>
                <w:highlight w:val="none"/>
              </w:rPr>
            </w:pPr>
          </w:p>
        </w:tc>
        <w:tc>
          <w:tcPr>
            <w:tcW w:w="2100" w:type="dxa"/>
            <w:noWrap/>
            <w:vAlign w:val="center"/>
          </w:tcPr>
          <w:p>
            <w:pPr>
              <w:spacing w:line="380" w:lineRule="exact"/>
              <w:jc w:val="center"/>
              <w:rPr>
                <w:rFonts w:ascii="宋体" w:hAnsi="宋体"/>
                <w:b/>
                <w:bCs/>
                <w:color w:val="auto"/>
                <w:sz w:val="22"/>
                <w:highlight w:val="none"/>
              </w:rPr>
            </w:pPr>
          </w:p>
        </w:tc>
        <w:tc>
          <w:tcPr>
            <w:tcW w:w="1785" w:type="dxa"/>
            <w:noWrap/>
            <w:vAlign w:val="center"/>
          </w:tcPr>
          <w:p>
            <w:pPr>
              <w:spacing w:line="380" w:lineRule="exact"/>
              <w:jc w:val="center"/>
              <w:rPr>
                <w:rFonts w:ascii="宋体" w:hAnsi="宋体"/>
                <w:b/>
                <w:bCs/>
                <w:color w:val="auto"/>
                <w:sz w:val="22"/>
                <w:highlight w:val="none"/>
              </w:rPr>
            </w:pPr>
          </w:p>
        </w:tc>
        <w:tc>
          <w:tcPr>
            <w:tcW w:w="1365" w:type="dxa"/>
            <w:noWrap/>
            <w:vAlign w:val="center"/>
          </w:tcPr>
          <w:p>
            <w:pPr>
              <w:spacing w:line="380" w:lineRule="exact"/>
              <w:jc w:val="center"/>
              <w:rPr>
                <w:rFonts w:ascii="宋体" w:hAnsi="宋体"/>
                <w:b/>
                <w:bCs/>
                <w:color w:val="auto"/>
                <w:sz w:val="22"/>
                <w:highlight w:val="none"/>
              </w:rPr>
            </w:pPr>
          </w:p>
        </w:tc>
        <w:tc>
          <w:tcPr>
            <w:tcW w:w="1354" w:type="dxa"/>
            <w:noWrap/>
            <w:vAlign w:val="center"/>
          </w:tcPr>
          <w:p>
            <w:pPr>
              <w:spacing w:line="380" w:lineRule="exact"/>
              <w:jc w:val="center"/>
              <w:rPr>
                <w:rFonts w:ascii="宋体" w:hAnsi="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p>
        </w:tc>
        <w:tc>
          <w:tcPr>
            <w:tcW w:w="2006" w:type="dxa"/>
            <w:noWrap/>
            <w:vAlign w:val="center"/>
          </w:tcPr>
          <w:p>
            <w:pPr>
              <w:spacing w:line="380" w:lineRule="exact"/>
              <w:jc w:val="center"/>
              <w:rPr>
                <w:rFonts w:ascii="宋体" w:hAnsi="宋体"/>
                <w:b/>
                <w:bCs/>
                <w:color w:val="auto"/>
                <w:sz w:val="22"/>
                <w:highlight w:val="none"/>
              </w:rPr>
            </w:pPr>
          </w:p>
        </w:tc>
        <w:tc>
          <w:tcPr>
            <w:tcW w:w="2100" w:type="dxa"/>
            <w:noWrap/>
            <w:vAlign w:val="center"/>
          </w:tcPr>
          <w:p>
            <w:pPr>
              <w:spacing w:line="380" w:lineRule="exact"/>
              <w:jc w:val="center"/>
              <w:rPr>
                <w:rFonts w:ascii="宋体" w:hAnsi="宋体"/>
                <w:b/>
                <w:bCs/>
                <w:color w:val="auto"/>
                <w:sz w:val="22"/>
                <w:highlight w:val="none"/>
              </w:rPr>
            </w:pPr>
          </w:p>
        </w:tc>
        <w:tc>
          <w:tcPr>
            <w:tcW w:w="1785" w:type="dxa"/>
            <w:noWrap/>
            <w:vAlign w:val="center"/>
          </w:tcPr>
          <w:p>
            <w:pPr>
              <w:spacing w:line="380" w:lineRule="exact"/>
              <w:jc w:val="center"/>
              <w:rPr>
                <w:rFonts w:ascii="宋体" w:hAnsi="宋体"/>
                <w:b/>
                <w:bCs/>
                <w:color w:val="auto"/>
                <w:sz w:val="22"/>
                <w:highlight w:val="none"/>
              </w:rPr>
            </w:pPr>
          </w:p>
        </w:tc>
        <w:tc>
          <w:tcPr>
            <w:tcW w:w="1365" w:type="dxa"/>
            <w:noWrap/>
            <w:vAlign w:val="center"/>
          </w:tcPr>
          <w:p>
            <w:pPr>
              <w:spacing w:line="380" w:lineRule="exact"/>
              <w:jc w:val="center"/>
              <w:rPr>
                <w:rFonts w:ascii="宋体" w:hAnsi="宋体"/>
                <w:b/>
                <w:bCs/>
                <w:color w:val="auto"/>
                <w:sz w:val="22"/>
                <w:highlight w:val="none"/>
              </w:rPr>
            </w:pPr>
          </w:p>
        </w:tc>
        <w:tc>
          <w:tcPr>
            <w:tcW w:w="1354" w:type="dxa"/>
            <w:noWrap/>
            <w:vAlign w:val="center"/>
          </w:tcPr>
          <w:p>
            <w:pPr>
              <w:spacing w:line="380" w:lineRule="exact"/>
              <w:jc w:val="center"/>
              <w:rPr>
                <w:rFonts w:ascii="宋体" w:hAnsi="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p>
        </w:tc>
        <w:tc>
          <w:tcPr>
            <w:tcW w:w="2006" w:type="dxa"/>
            <w:noWrap/>
            <w:vAlign w:val="center"/>
          </w:tcPr>
          <w:p>
            <w:pPr>
              <w:spacing w:line="380" w:lineRule="exact"/>
              <w:jc w:val="center"/>
              <w:rPr>
                <w:rFonts w:ascii="宋体" w:hAnsi="宋体"/>
                <w:b/>
                <w:bCs/>
                <w:color w:val="auto"/>
                <w:sz w:val="22"/>
                <w:highlight w:val="none"/>
              </w:rPr>
            </w:pPr>
          </w:p>
        </w:tc>
        <w:tc>
          <w:tcPr>
            <w:tcW w:w="2100" w:type="dxa"/>
            <w:noWrap/>
            <w:vAlign w:val="center"/>
          </w:tcPr>
          <w:p>
            <w:pPr>
              <w:spacing w:line="380" w:lineRule="exact"/>
              <w:jc w:val="center"/>
              <w:rPr>
                <w:rFonts w:ascii="宋体" w:hAnsi="宋体"/>
                <w:b/>
                <w:bCs/>
                <w:color w:val="auto"/>
                <w:sz w:val="22"/>
                <w:highlight w:val="none"/>
              </w:rPr>
            </w:pPr>
          </w:p>
        </w:tc>
        <w:tc>
          <w:tcPr>
            <w:tcW w:w="1785" w:type="dxa"/>
            <w:noWrap/>
            <w:vAlign w:val="center"/>
          </w:tcPr>
          <w:p>
            <w:pPr>
              <w:spacing w:line="380" w:lineRule="exact"/>
              <w:jc w:val="center"/>
              <w:rPr>
                <w:rFonts w:ascii="宋体" w:hAnsi="宋体"/>
                <w:b/>
                <w:bCs/>
                <w:color w:val="auto"/>
                <w:sz w:val="22"/>
                <w:highlight w:val="none"/>
              </w:rPr>
            </w:pPr>
          </w:p>
        </w:tc>
        <w:tc>
          <w:tcPr>
            <w:tcW w:w="1365" w:type="dxa"/>
            <w:noWrap/>
            <w:vAlign w:val="center"/>
          </w:tcPr>
          <w:p>
            <w:pPr>
              <w:spacing w:line="380" w:lineRule="exact"/>
              <w:jc w:val="center"/>
              <w:rPr>
                <w:rFonts w:ascii="宋体" w:hAnsi="宋体"/>
                <w:b/>
                <w:bCs/>
                <w:color w:val="auto"/>
                <w:sz w:val="22"/>
                <w:highlight w:val="none"/>
              </w:rPr>
            </w:pPr>
          </w:p>
        </w:tc>
        <w:tc>
          <w:tcPr>
            <w:tcW w:w="1354" w:type="dxa"/>
            <w:noWrap/>
            <w:vAlign w:val="center"/>
          </w:tcPr>
          <w:p>
            <w:pPr>
              <w:spacing w:line="380" w:lineRule="exact"/>
              <w:jc w:val="center"/>
              <w:rPr>
                <w:rFonts w:ascii="宋体" w:hAnsi="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p>
        </w:tc>
        <w:tc>
          <w:tcPr>
            <w:tcW w:w="2006" w:type="dxa"/>
            <w:noWrap/>
            <w:vAlign w:val="center"/>
          </w:tcPr>
          <w:p>
            <w:pPr>
              <w:spacing w:line="380" w:lineRule="exact"/>
              <w:jc w:val="center"/>
              <w:rPr>
                <w:rFonts w:ascii="宋体" w:hAnsi="宋体"/>
                <w:b/>
                <w:bCs/>
                <w:color w:val="auto"/>
                <w:sz w:val="22"/>
                <w:highlight w:val="none"/>
              </w:rPr>
            </w:pPr>
          </w:p>
        </w:tc>
        <w:tc>
          <w:tcPr>
            <w:tcW w:w="2100" w:type="dxa"/>
            <w:noWrap/>
            <w:vAlign w:val="center"/>
          </w:tcPr>
          <w:p>
            <w:pPr>
              <w:spacing w:line="380" w:lineRule="exact"/>
              <w:jc w:val="center"/>
              <w:rPr>
                <w:rFonts w:ascii="宋体" w:hAnsi="宋体"/>
                <w:b/>
                <w:bCs/>
                <w:color w:val="auto"/>
                <w:sz w:val="22"/>
                <w:highlight w:val="none"/>
              </w:rPr>
            </w:pPr>
          </w:p>
        </w:tc>
        <w:tc>
          <w:tcPr>
            <w:tcW w:w="1785" w:type="dxa"/>
            <w:noWrap/>
            <w:vAlign w:val="center"/>
          </w:tcPr>
          <w:p>
            <w:pPr>
              <w:spacing w:line="380" w:lineRule="exact"/>
              <w:jc w:val="center"/>
              <w:rPr>
                <w:rFonts w:ascii="宋体" w:hAnsi="宋体"/>
                <w:b/>
                <w:bCs/>
                <w:color w:val="auto"/>
                <w:sz w:val="22"/>
                <w:highlight w:val="none"/>
              </w:rPr>
            </w:pPr>
          </w:p>
        </w:tc>
        <w:tc>
          <w:tcPr>
            <w:tcW w:w="1365" w:type="dxa"/>
            <w:noWrap/>
            <w:vAlign w:val="center"/>
          </w:tcPr>
          <w:p>
            <w:pPr>
              <w:spacing w:line="380" w:lineRule="exact"/>
              <w:jc w:val="center"/>
              <w:rPr>
                <w:rFonts w:ascii="宋体" w:hAnsi="宋体"/>
                <w:b/>
                <w:bCs/>
                <w:color w:val="auto"/>
                <w:sz w:val="22"/>
                <w:highlight w:val="none"/>
              </w:rPr>
            </w:pPr>
          </w:p>
        </w:tc>
        <w:tc>
          <w:tcPr>
            <w:tcW w:w="1354" w:type="dxa"/>
            <w:noWrap/>
            <w:vAlign w:val="center"/>
          </w:tcPr>
          <w:p>
            <w:pPr>
              <w:spacing w:line="380" w:lineRule="exact"/>
              <w:jc w:val="center"/>
              <w:rPr>
                <w:rFonts w:ascii="宋体" w:hAnsi="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p>
        </w:tc>
        <w:tc>
          <w:tcPr>
            <w:tcW w:w="2006" w:type="dxa"/>
            <w:noWrap/>
            <w:vAlign w:val="center"/>
          </w:tcPr>
          <w:p>
            <w:pPr>
              <w:spacing w:line="380" w:lineRule="exact"/>
              <w:jc w:val="center"/>
              <w:rPr>
                <w:rFonts w:ascii="宋体" w:hAnsi="宋体"/>
                <w:b/>
                <w:bCs/>
                <w:color w:val="auto"/>
                <w:sz w:val="22"/>
                <w:highlight w:val="none"/>
              </w:rPr>
            </w:pPr>
          </w:p>
        </w:tc>
        <w:tc>
          <w:tcPr>
            <w:tcW w:w="2100" w:type="dxa"/>
            <w:noWrap/>
            <w:vAlign w:val="center"/>
          </w:tcPr>
          <w:p>
            <w:pPr>
              <w:spacing w:line="380" w:lineRule="exact"/>
              <w:jc w:val="center"/>
              <w:rPr>
                <w:rFonts w:ascii="宋体" w:hAnsi="宋体"/>
                <w:b/>
                <w:bCs/>
                <w:color w:val="auto"/>
                <w:sz w:val="22"/>
                <w:highlight w:val="none"/>
              </w:rPr>
            </w:pPr>
          </w:p>
        </w:tc>
        <w:tc>
          <w:tcPr>
            <w:tcW w:w="1785" w:type="dxa"/>
            <w:noWrap/>
            <w:vAlign w:val="center"/>
          </w:tcPr>
          <w:p>
            <w:pPr>
              <w:spacing w:line="380" w:lineRule="exact"/>
              <w:jc w:val="center"/>
              <w:rPr>
                <w:rFonts w:ascii="宋体" w:hAnsi="宋体"/>
                <w:b/>
                <w:bCs/>
                <w:color w:val="auto"/>
                <w:sz w:val="22"/>
                <w:highlight w:val="none"/>
              </w:rPr>
            </w:pPr>
          </w:p>
        </w:tc>
        <w:tc>
          <w:tcPr>
            <w:tcW w:w="1365" w:type="dxa"/>
            <w:noWrap/>
            <w:vAlign w:val="center"/>
          </w:tcPr>
          <w:p>
            <w:pPr>
              <w:spacing w:line="380" w:lineRule="exact"/>
              <w:jc w:val="center"/>
              <w:rPr>
                <w:rFonts w:ascii="宋体" w:hAnsi="宋体"/>
                <w:b/>
                <w:bCs/>
                <w:color w:val="auto"/>
                <w:sz w:val="22"/>
                <w:highlight w:val="none"/>
              </w:rPr>
            </w:pPr>
          </w:p>
        </w:tc>
        <w:tc>
          <w:tcPr>
            <w:tcW w:w="1354" w:type="dxa"/>
            <w:noWrap/>
            <w:vAlign w:val="center"/>
          </w:tcPr>
          <w:p>
            <w:pPr>
              <w:spacing w:line="380" w:lineRule="exact"/>
              <w:jc w:val="center"/>
              <w:rPr>
                <w:rFonts w:ascii="宋体" w:hAnsi="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p>
        </w:tc>
        <w:tc>
          <w:tcPr>
            <w:tcW w:w="2006" w:type="dxa"/>
            <w:noWrap/>
            <w:vAlign w:val="center"/>
          </w:tcPr>
          <w:p>
            <w:pPr>
              <w:spacing w:line="380" w:lineRule="exact"/>
              <w:jc w:val="center"/>
              <w:rPr>
                <w:rFonts w:ascii="宋体" w:hAnsi="宋体"/>
                <w:b/>
                <w:bCs/>
                <w:color w:val="auto"/>
                <w:sz w:val="22"/>
                <w:highlight w:val="none"/>
              </w:rPr>
            </w:pPr>
          </w:p>
        </w:tc>
        <w:tc>
          <w:tcPr>
            <w:tcW w:w="2100" w:type="dxa"/>
            <w:noWrap/>
            <w:vAlign w:val="center"/>
          </w:tcPr>
          <w:p>
            <w:pPr>
              <w:spacing w:line="380" w:lineRule="exact"/>
              <w:jc w:val="center"/>
              <w:rPr>
                <w:rFonts w:ascii="宋体" w:hAnsi="宋体"/>
                <w:b/>
                <w:bCs/>
                <w:color w:val="auto"/>
                <w:sz w:val="22"/>
                <w:highlight w:val="none"/>
              </w:rPr>
            </w:pPr>
          </w:p>
        </w:tc>
        <w:tc>
          <w:tcPr>
            <w:tcW w:w="1785" w:type="dxa"/>
            <w:noWrap/>
            <w:vAlign w:val="center"/>
          </w:tcPr>
          <w:p>
            <w:pPr>
              <w:spacing w:line="380" w:lineRule="exact"/>
              <w:jc w:val="center"/>
              <w:rPr>
                <w:rFonts w:ascii="宋体" w:hAnsi="宋体"/>
                <w:b/>
                <w:bCs/>
                <w:color w:val="auto"/>
                <w:sz w:val="22"/>
                <w:highlight w:val="none"/>
              </w:rPr>
            </w:pPr>
          </w:p>
        </w:tc>
        <w:tc>
          <w:tcPr>
            <w:tcW w:w="1365" w:type="dxa"/>
            <w:noWrap/>
            <w:vAlign w:val="center"/>
          </w:tcPr>
          <w:p>
            <w:pPr>
              <w:spacing w:line="380" w:lineRule="exact"/>
              <w:jc w:val="center"/>
              <w:rPr>
                <w:rFonts w:ascii="宋体" w:hAnsi="宋体"/>
                <w:b/>
                <w:bCs/>
                <w:color w:val="auto"/>
                <w:sz w:val="22"/>
                <w:highlight w:val="none"/>
              </w:rPr>
            </w:pPr>
          </w:p>
        </w:tc>
        <w:tc>
          <w:tcPr>
            <w:tcW w:w="1354" w:type="dxa"/>
            <w:noWrap/>
            <w:vAlign w:val="center"/>
          </w:tcPr>
          <w:p>
            <w:pPr>
              <w:spacing w:line="380" w:lineRule="exact"/>
              <w:jc w:val="center"/>
              <w:rPr>
                <w:rFonts w:ascii="宋体" w:hAnsi="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p>
        </w:tc>
        <w:tc>
          <w:tcPr>
            <w:tcW w:w="2006" w:type="dxa"/>
            <w:noWrap/>
            <w:vAlign w:val="center"/>
          </w:tcPr>
          <w:p>
            <w:pPr>
              <w:spacing w:line="380" w:lineRule="exact"/>
              <w:jc w:val="center"/>
              <w:rPr>
                <w:rFonts w:ascii="宋体" w:hAnsi="宋体"/>
                <w:b/>
                <w:bCs/>
                <w:color w:val="auto"/>
                <w:sz w:val="22"/>
                <w:highlight w:val="none"/>
              </w:rPr>
            </w:pPr>
          </w:p>
        </w:tc>
        <w:tc>
          <w:tcPr>
            <w:tcW w:w="2100" w:type="dxa"/>
            <w:noWrap/>
            <w:vAlign w:val="center"/>
          </w:tcPr>
          <w:p>
            <w:pPr>
              <w:spacing w:line="380" w:lineRule="exact"/>
              <w:jc w:val="center"/>
              <w:rPr>
                <w:rFonts w:ascii="宋体" w:hAnsi="宋体"/>
                <w:b/>
                <w:bCs/>
                <w:color w:val="auto"/>
                <w:sz w:val="22"/>
                <w:highlight w:val="none"/>
              </w:rPr>
            </w:pPr>
          </w:p>
        </w:tc>
        <w:tc>
          <w:tcPr>
            <w:tcW w:w="1785" w:type="dxa"/>
            <w:noWrap/>
            <w:vAlign w:val="center"/>
          </w:tcPr>
          <w:p>
            <w:pPr>
              <w:spacing w:line="380" w:lineRule="exact"/>
              <w:jc w:val="center"/>
              <w:rPr>
                <w:rFonts w:ascii="宋体" w:hAnsi="宋体"/>
                <w:b/>
                <w:bCs/>
                <w:color w:val="auto"/>
                <w:sz w:val="22"/>
                <w:highlight w:val="none"/>
              </w:rPr>
            </w:pPr>
          </w:p>
        </w:tc>
        <w:tc>
          <w:tcPr>
            <w:tcW w:w="1365" w:type="dxa"/>
            <w:noWrap/>
            <w:vAlign w:val="center"/>
          </w:tcPr>
          <w:p>
            <w:pPr>
              <w:spacing w:line="380" w:lineRule="exact"/>
              <w:jc w:val="center"/>
              <w:rPr>
                <w:rFonts w:ascii="宋体" w:hAnsi="宋体"/>
                <w:b/>
                <w:bCs/>
                <w:color w:val="auto"/>
                <w:sz w:val="22"/>
                <w:highlight w:val="none"/>
              </w:rPr>
            </w:pPr>
          </w:p>
        </w:tc>
        <w:tc>
          <w:tcPr>
            <w:tcW w:w="1354" w:type="dxa"/>
            <w:noWrap/>
            <w:vAlign w:val="center"/>
          </w:tcPr>
          <w:p>
            <w:pPr>
              <w:spacing w:line="380" w:lineRule="exact"/>
              <w:jc w:val="center"/>
              <w:rPr>
                <w:rFonts w:ascii="宋体" w:hAnsi="宋体"/>
                <w:b/>
                <w:bCs/>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50" w:type="dxa"/>
            <w:noWrap/>
            <w:vAlign w:val="center"/>
          </w:tcPr>
          <w:p>
            <w:pPr>
              <w:spacing w:line="380" w:lineRule="exact"/>
              <w:jc w:val="center"/>
              <w:rPr>
                <w:rFonts w:ascii="宋体" w:hAnsi="宋体"/>
                <w:b/>
                <w:bCs/>
                <w:color w:val="auto"/>
                <w:sz w:val="22"/>
                <w:highlight w:val="none"/>
              </w:rPr>
            </w:pPr>
          </w:p>
        </w:tc>
        <w:tc>
          <w:tcPr>
            <w:tcW w:w="2006" w:type="dxa"/>
            <w:noWrap/>
            <w:vAlign w:val="center"/>
          </w:tcPr>
          <w:p>
            <w:pPr>
              <w:spacing w:line="380" w:lineRule="exact"/>
              <w:jc w:val="center"/>
              <w:rPr>
                <w:rFonts w:ascii="宋体" w:hAnsi="宋体"/>
                <w:b/>
                <w:bCs/>
                <w:color w:val="auto"/>
                <w:sz w:val="22"/>
                <w:highlight w:val="none"/>
              </w:rPr>
            </w:pPr>
          </w:p>
        </w:tc>
        <w:tc>
          <w:tcPr>
            <w:tcW w:w="2100" w:type="dxa"/>
            <w:noWrap/>
            <w:vAlign w:val="center"/>
          </w:tcPr>
          <w:p>
            <w:pPr>
              <w:spacing w:line="380" w:lineRule="exact"/>
              <w:jc w:val="center"/>
              <w:rPr>
                <w:rFonts w:ascii="宋体" w:hAnsi="宋体"/>
                <w:b/>
                <w:bCs/>
                <w:color w:val="auto"/>
                <w:sz w:val="22"/>
                <w:highlight w:val="none"/>
              </w:rPr>
            </w:pPr>
          </w:p>
        </w:tc>
        <w:tc>
          <w:tcPr>
            <w:tcW w:w="1785" w:type="dxa"/>
            <w:noWrap/>
            <w:vAlign w:val="center"/>
          </w:tcPr>
          <w:p>
            <w:pPr>
              <w:spacing w:line="380" w:lineRule="exact"/>
              <w:jc w:val="center"/>
              <w:rPr>
                <w:rFonts w:ascii="宋体" w:hAnsi="宋体"/>
                <w:b/>
                <w:bCs/>
                <w:color w:val="auto"/>
                <w:sz w:val="22"/>
                <w:highlight w:val="none"/>
              </w:rPr>
            </w:pPr>
          </w:p>
        </w:tc>
        <w:tc>
          <w:tcPr>
            <w:tcW w:w="1365" w:type="dxa"/>
            <w:noWrap/>
            <w:vAlign w:val="center"/>
          </w:tcPr>
          <w:p>
            <w:pPr>
              <w:spacing w:line="380" w:lineRule="exact"/>
              <w:jc w:val="center"/>
              <w:rPr>
                <w:rFonts w:ascii="宋体" w:hAnsi="宋体"/>
                <w:b/>
                <w:bCs/>
                <w:color w:val="auto"/>
                <w:sz w:val="22"/>
                <w:highlight w:val="none"/>
              </w:rPr>
            </w:pPr>
          </w:p>
        </w:tc>
        <w:tc>
          <w:tcPr>
            <w:tcW w:w="1354" w:type="dxa"/>
            <w:noWrap/>
            <w:vAlign w:val="center"/>
          </w:tcPr>
          <w:p>
            <w:pPr>
              <w:spacing w:line="380" w:lineRule="exact"/>
              <w:jc w:val="center"/>
              <w:rPr>
                <w:rFonts w:ascii="宋体" w:hAnsi="宋体"/>
                <w:b/>
                <w:bCs/>
                <w:color w:val="auto"/>
                <w:sz w:val="22"/>
                <w:highlight w:val="none"/>
              </w:rPr>
            </w:pPr>
          </w:p>
        </w:tc>
      </w:tr>
    </w:tbl>
    <w:p>
      <w:pPr>
        <w:pStyle w:val="12"/>
        <w:spacing w:line="500" w:lineRule="exact"/>
        <w:rPr>
          <w:rFonts w:hAnsi="宋体" w:cs="宋体"/>
          <w:b/>
          <w:bCs/>
          <w:color w:val="auto"/>
          <w:sz w:val="22"/>
          <w:highlight w:val="none"/>
          <w:u w:val="thick"/>
        </w:rPr>
      </w:pPr>
      <w:r>
        <w:rPr>
          <w:rFonts w:hint="eastAsia" w:hAnsi="宋体"/>
          <w:b/>
          <w:color w:val="auto"/>
          <w:sz w:val="22"/>
          <w:highlight w:val="none"/>
        </w:rPr>
        <w:t xml:space="preserve"> </w:t>
      </w:r>
      <w:r>
        <w:rPr>
          <w:rFonts w:hint="eastAsia" w:hAnsi="宋体"/>
          <w:b/>
          <w:color w:val="auto"/>
          <w:szCs w:val="21"/>
          <w:highlight w:val="none"/>
        </w:rPr>
        <w:t xml:space="preserve"> </w:t>
      </w:r>
      <w:r>
        <w:rPr>
          <w:rFonts w:hint="eastAsia" w:hAnsi="宋体" w:cs="宋体"/>
          <w:b/>
          <w:color w:val="auto"/>
          <w:sz w:val="22"/>
          <w:highlight w:val="none"/>
        </w:rPr>
        <w:t>注：根据评分细则的要求提供相应的业绩及证明材料。</w:t>
      </w:r>
    </w:p>
    <w:p>
      <w:pPr>
        <w:widowControl/>
        <w:spacing w:line="400" w:lineRule="exact"/>
        <w:rPr>
          <w:rFonts w:ascii="宋体" w:hAnsi="宋体" w:cs="宋体"/>
          <w:color w:val="auto"/>
          <w:kern w:val="0"/>
          <w:sz w:val="22"/>
          <w:highlight w:val="none"/>
        </w:rPr>
      </w:pPr>
    </w:p>
    <w:p>
      <w:pPr>
        <w:widowControl/>
        <w:spacing w:line="400" w:lineRule="exact"/>
        <w:rPr>
          <w:rFonts w:ascii="宋体" w:hAnsi="宋体" w:cs="宋体"/>
          <w:color w:val="auto"/>
          <w:kern w:val="0"/>
          <w:sz w:val="22"/>
          <w:highlight w:val="none"/>
          <w:u w:val="single"/>
        </w:rPr>
      </w:pPr>
      <w:r>
        <w:rPr>
          <w:rFonts w:hint="eastAsia" w:ascii="宋体" w:hAnsi="宋体" w:cs="宋体"/>
          <w:color w:val="auto"/>
          <w:kern w:val="0"/>
          <w:sz w:val="22"/>
          <w:highlight w:val="none"/>
        </w:rPr>
        <w:t>投标供应商全称(（盖章或电子签章）：</w:t>
      </w:r>
    </w:p>
    <w:p>
      <w:pPr>
        <w:snapToGrid w:val="0"/>
        <w:spacing w:line="400" w:lineRule="exact"/>
        <w:jc w:val="left"/>
        <w:rPr>
          <w:rFonts w:ascii="宋体" w:hAnsi="宋体" w:cs="宋体"/>
          <w:color w:val="auto"/>
          <w:spacing w:val="-6"/>
          <w:sz w:val="22"/>
          <w:highlight w:val="none"/>
        </w:rPr>
      </w:pPr>
      <w:r>
        <w:rPr>
          <w:rFonts w:hint="eastAsia" w:ascii="宋体" w:hAnsi="宋体" w:cs="宋体"/>
          <w:color w:val="auto"/>
          <w:spacing w:val="-6"/>
          <w:sz w:val="22"/>
          <w:highlight w:val="none"/>
        </w:rPr>
        <w:t>法定代表人或授权代表(签字或盖章或电子签章)：</w:t>
      </w:r>
    </w:p>
    <w:p>
      <w:pPr>
        <w:snapToGrid w:val="0"/>
        <w:spacing w:line="400" w:lineRule="exact"/>
        <w:jc w:val="left"/>
        <w:rPr>
          <w:rFonts w:ascii="宋体" w:hAnsi="宋体" w:cs="宋体"/>
          <w:color w:val="auto"/>
          <w:kern w:val="0"/>
          <w:sz w:val="22"/>
          <w:highlight w:val="none"/>
        </w:rPr>
      </w:pPr>
      <w:r>
        <w:rPr>
          <w:rFonts w:hint="eastAsia" w:ascii="宋体" w:hAnsi="宋体" w:cs="宋体"/>
          <w:color w:val="auto"/>
          <w:kern w:val="0"/>
          <w:sz w:val="22"/>
          <w:highlight w:val="none"/>
        </w:rPr>
        <w:t>日期：    年    月    日</w:t>
      </w:r>
    </w:p>
    <w:p>
      <w:pPr>
        <w:rPr>
          <w:rFonts w:ascii="宋体" w:hAnsi="宋体" w:cs="宋体"/>
          <w:b/>
          <w:color w:val="auto"/>
          <w:sz w:val="24"/>
          <w:szCs w:val="24"/>
          <w:highlight w:val="none"/>
        </w:rPr>
      </w:pPr>
      <w:r>
        <w:rPr>
          <w:rFonts w:hint="eastAsia" w:ascii="宋体" w:hAnsi="宋体" w:cs="宋体"/>
          <w:b/>
          <w:color w:val="auto"/>
          <w:sz w:val="24"/>
          <w:szCs w:val="24"/>
          <w:highlight w:val="none"/>
        </w:rPr>
        <w:br w:type="page"/>
      </w:r>
    </w:p>
    <w:p>
      <w:pPr>
        <w:pStyle w:val="2"/>
        <w:spacing w:line="240" w:lineRule="auto"/>
        <w:jc w:val="center"/>
        <w:rPr>
          <w:rFonts w:ascii="宋体" w:hAnsi="宋体" w:cs="宋体"/>
          <w:bCs w:val="0"/>
          <w:color w:val="auto"/>
          <w:kern w:val="2"/>
          <w:sz w:val="32"/>
          <w:szCs w:val="22"/>
          <w:highlight w:val="none"/>
        </w:rPr>
      </w:pPr>
      <w:bookmarkStart w:id="16" w:name="_Toc17939"/>
      <w:r>
        <w:rPr>
          <w:rFonts w:hint="eastAsia" w:ascii="宋体" w:hAnsi="宋体" w:cs="宋体"/>
          <w:bCs w:val="0"/>
          <w:color w:val="auto"/>
          <w:kern w:val="2"/>
          <w:sz w:val="32"/>
          <w:szCs w:val="22"/>
          <w:highlight w:val="none"/>
        </w:rPr>
        <w:t>第五部分 采购需求</w:t>
      </w:r>
      <w:bookmarkEnd w:id="16"/>
    </w:p>
    <w:p>
      <w:pPr>
        <w:pStyle w:val="32"/>
        <w:keepNext/>
        <w:keepLines/>
        <w:spacing w:line="400" w:lineRule="exact"/>
        <w:rPr>
          <w:rFonts w:hint="default"/>
          <w:bCs/>
          <w:color w:val="auto"/>
          <w:sz w:val="22"/>
          <w:szCs w:val="22"/>
          <w:highlight w:val="none"/>
        </w:rPr>
      </w:pPr>
      <w:bookmarkStart w:id="17" w:name="bookmark6"/>
      <w:r>
        <w:rPr>
          <w:rStyle w:val="33"/>
          <w:b/>
          <w:bCs/>
          <w:color w:val="auto"/>
          <w:sz w:val="22"/>
          <w:szCs w:val="22"/>
          <w:highlight w:val="none"/>
          <w:lang w:val="en-US"/>
        </w:rPr>
        <w:t>一</w:t>
      </w:r>
      <w:r>
        <w:rPr>
          <w:rStyle w:val="33"/>
          <w:b/>
          <w:bCs/>
          <w:color w:val="auto"/>
          <w:sz w:val="22"/>
          <w:szCs w:val="22"/>
          <w:highlight w:val="none"/>
        </w:rPr>
        <w:t>、项目采购内容及要求</w:t>
      </w:r>
      <w:bookmarkEnd w:id="17"/>
    </w:p>
    <w:p>
      <w:pPr>
        <w:widowControl/>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温州市规划展示馆位于惠民路856号，总建筑面积20377.54平方米，其中展馆面积约为7757平方米。以“山水智城，世界温州”为主题，围绕着温州山水城市的特点、智慧城市的建设方向、温州人商行天下的特色，记录了温州城市历史发展的律动，也展示了温州从沿江城市向着滨海城市拓展的前景，全面展示了温州城市规划及建设。规划展示馆是温州展示城市形象的名片、政府招商引资的平台、也是市民了解并参与城市规划的窗口。</w:t>
      </w:r>
    </w:p>
    <w:p>
      <w:pPr>
        <w:widowControl/>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展馆采用文字、图表、照片、实物、沙盘模型等形式，利用声、光、电、多媒体等现代科技手段，依次展示了温州城市建设的过去、现在和未来。一层主要有印象序厅、城市概况、历史沿革、山水斗城等展项；二层主要有规划历程、生态旅游、基础设施、温商家园等展项；三层主要有数字沙盘、总体规划、重点片区、4D影院等展项。</w:t>
      </w:r>
    </w:p>
    <w:p>
      <w:pPr>
        <w:widowControl/>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温州市城乡规划展示馆于2014年底试运行，2016年正式对外开放。开馆九年多来，共接待观众45万余人次，团队2000余个，其中包括多个国家领导人、数十个部级以上团队、近百个外宾团队，并以高质量的讲解受到各级领导及社会各界的充分肯定，为温州的经济发展作出了贡献。</w:t>
      </w:r>
      <w:bookmarkStart w:id="18" w:name="_Toc1581"/>
      <w:r>
        <w:rPr>
          <w:rFonts w:hint="eastAsia" w:ascii="宋体" w:hAnsi="宋体" w:cs="宋体"/>
          <w:color w:val="auto"/>
          <w:sz w:val="22"/>
          <w:highlight w:val="none"/>
        </w:rPr>
        <w:t xml:space="preserve"> </w:t>
      </w:r>
      <w:bookmarkEnd w:id="18"/>
    </w:p>
    <w:p>
      <w:pPr>
        <w:pStyle w:val="30"/>
        <w:spacing w:line="400" w:lineRule="exact"/>
        <w:rPr>
          <w:rStyle w:val="29"/>
          <w:rFonts w:hint="default" w:cs="宋体"/>
          <w:color w:val="auto"/>
          <w:sz w:val="22"/>
          <w:szCs w:val="22"/>
          <w:highlight w:val="none"/>
        </w:rPr>
      </w:pPr>
      <w:r>
        <w:rPr>
          <w:rStyle w:val="29"/>
          <w:rFonts w:cs="宋体"/>
          <w:color w:val="auto"/>
          <w:sz w:val="22"/>
          <w:szCs w:val="22"/>
          <w:highlight w:val="none"/>
        </w:rPr>
        <w:t>本次</w:t>
      </w:r>
      <w:r>
        <w:rPr>
          <w:rStyle w:val="29"/>
          <w:rFonts w:cs="宋体"/>
          <w:color w:val="auto"/>
          <w:sz w:val="22"/>
          <w:szCs w:val="22"/>
          <w:highlight w:val="none"/>
          <w:lang w:val="en-US"/>
        </w:rPr>
        <w:t>设备维护服务采购</w:t>
      </w:r>
      <w:r>
        <w:rPr>
          <w:rStyle w:val="29"/>
          <w:rFonts w:cs="宋体"/>
          <w:color w:val="auto"/>
          <w:sz w:val="22"/>
          <w:szCs w:val="22"/>
          <w:highlight w:val="none"/>
        </w:rPr>
        <w:t>项目主要根据展馆实际需要，要求专业人员定期保养、及时维修养护包括数字沙盘、4D影院等</w:t>
      </w:r>
      <w:r>
        <w:rPr>
          <w:rStyle w:val="29"/>
          <w:rFonts w:cs="宋体"/>
          <w:color w:val="auto"/>
          <w:sz w:val="22"/>
          <w:szCs w:val="22"/>
          <w:highlight w:val="none"/>
          <w:lang w:val="en-US"/>
        </w:rPr>
        <w:t>全部</w:t>
      </w:r>
      <w:r>
        <w:rPr>
          <w:rStyle w:val="29"/>
          <w:rFonts w:cs="宋体"/>
          <w:color w:val="auto"/>
          <w:sz w:val="22"/>
          <w:szCs w:val="22"/>
          <w:highlight w:val="none"/>
        </w:rPr>
        <w:t>展区设备，并及时维修更换损坏的LED配件、触摸屏、主板、拼接屏等展馆多媒体设备，做好展馆设备日常维护和定期巡察检测工作，确保设备正常运行。</w:t>
      </w:r>
    </w:p>
    <w:p>
      <w:pPr>
        <w:pStyle w:val="30"/>
        <w:spacing w:line="400" w:lineRule="exact"/>
        <w:rPr>
          <w:rFonts w:hint="default"/>
          <w:color w:val="auto"/>
          <w:sz w:val="22"/>
          <w:szCs w:val="22"/>
          <w:highlight w:val="none"/>
        </w:rPr>
      </w:pPr>
      <w:r>
        <w:rPr>
          <w:rStyle w:val="29"/>
          <w:color w:val="auto"/>
          <w:sz w:val="22"/>
          <w:szCs w:val="22"/>
          <w:highlight w:val="none"/>
          <w:lang w:val="en-US"/>
        </w:rPr>
        <w:t>服务</w:t>
      </w:r>
      <w:r>
        <w:rPr>
          <w:rStyle w:val="29"/>
          <w:color w:val="auto"/>
          <w:sz w:val="22"/>
          <w:szCs w:val="22"/>
          <w:highlight w:val="none"/>
        </w:rPr>
        <w:t>周期：本展品维修维护方案及预算周期为一个年度，在年度内需要根据实际需求完成以上定义的维修维护服务内容。</w:t>
      </w:r>
    </w:p>
    <w:p>
      <w:pPr>
        <w:pStyle w:val="19"/>
        <w:spacing w:before="0" w:beforeAutospacing="0" w:after="0" w:afterAutospacing="0" w:line="400" w:lineRule="exact"/>
        <w:rPr>
          <w:b/>
          <w:color w:val="auto"/>
          <w:sz w:val="22"/>
          <w:highlight w:val="none"/>
        </w:rPr>
      </w:pPr>
      <w:bookmarkStart w:id="19" w:name="bookmark9"/>
      <w:r>
        <w:rPr>
          <w:rFonts w:hint="eastAsia"/>
          <w:b/>
          <w:color w:val="auto"/>
          <w:sz w:val="22"/>
          <w:highlight w:val="none"/>
        </w:rPr>
        <w:t>二、技术和服务要求</w:t>
      </w:r>
    </w:p>
    <w:p>
      <w:pPr>
        <w:pStyle w:val="19"/>
        <w:spacing w:before="0" w:beforeAutospacing="0" w:after="0" w:afterAutospacing="0" w:line="400" w:lineRule="exact"/>
        <w:rPr>
          <w:rStyle w:val="24"/>
          <w:color w:val="auto"/>
          <w:sz w:val="22"/>
          <w:highlight w:val="none"/>
        </w:rPr>
      </w:pPr>
      <w:r>
        <w:rPr>
          <w:rStyle w:val="24"/>
          <w:rFonts w:hint="eastAsia"/>
          <w:color w:val="auto"/>
          <w:sz w:val="22"/>
          <w:highlight w:val="none"/>
        </w:rPr>
        <w:t>（一）对必要硬件进行更换</w:t>
      </w:r>
    </w:p>
    <w:p>
      <w:pPr>
        <w:pStyle w:val="19"/>
        <w:spacing w:before="0" w:beforeAutospacing="0" w:after="0" w:afterAutospacing="0" w:line="400" w:lineRule="exact"/>
        <w:rPr>
          <w:rStyle w:val="24"/>
          <w:color w:val="auto"/>
          <w:sz w:val="22"/>
          <w:highlight w:val="none"/>
        </w:rPr>
      </w:pPr>
      <w:r>
        <w:rPr>
          <w:rStyle w:val="24"/>
          <w:rFonts w:hint="eastAsia"/>
          <w:color w:val="auto"/>
          <w:sz w:val="22"/>
          <w:highlight w:val="none"/>
        </w:rPr>
        <w:t>（二）对必要硬件进行维修</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（三）维保服务内容：</w:t>
      </w:r>
    </w:p>
    <w:p>
      <w:pPr>
        <w:pStyle w:val="19"/>
        <w:spacing w:before="0" w:beforeAutospacing="0" w:after="0" w:afterAutospacing="0" w:line="400" w:lineRule="exact"/>
        <w:rPr>
          <w:b/>
          <w:bCs/>
          <w:color w:val="auto"/>
          <w:sz w:val="22"/>
          <w:highlight w:val="none"/>
        </w:rPr>
      </w:pPr>
      <w:r>
        <w:rPr>
          <w:rFonts w:hint="eastAsia"/>
          <w:b/>
          <w:bCs/>
          <w:color w:val="auto"/>
          <w:sz w:val="22"/>
          <w:highlight w:val="none"/>
        </w:rPr>
        <w:t>1.系统日常巡检</w:t>
      </w:r>
    </w:p>
    <w:p>
      <w:pPr>
        <w:pStyle w:val="19"/>
        <w:spacing w:before="0" w:beforeAutospacing="0" w:after="0" w:afterAutospacing="0" w:line="400" w:lineRule="exact"/>
        <w:ind w:left="418" w:leftChars="199"/>
        <w:rPr>
          <w:color w:val="auto"/>
          <w:sz w:val="22"/>
          <w:highlight w:val="none"/>
        </w:rPr>
      </w:pPr>
      <w:r>
        <w:rPr>
          <w:rFonts w:hint="eastAsia"/>
          <w:color w:val="auto"/>
          <w:sz w:val="22"/>
          <w:highlight w:val="none"/>
        </w:rPr>
        <w:t>1.1巡检中发现问题时，及时上报处理；</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1.2 中标供应商至少需组建不少于3人的维保技术团队，由1名驻场网络认证工程师提供本项目现场运维服务，1名网络高级认证工程师与1名信息安全认证工程师提供远程或现场技术支持。</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需派至少1名具有3年以上网络运维工作经验的工程师一名驻馆工作负责系统巡检、维护和日常操作事务处理，必须遵守馆内的考勤管理制度，做到按时上下班，不迟到、不早退、不旷工，按采购人规定进行上下班打卡；中标供应商负责其工作人员在工作期间所有的安全问题。（未经采购人同意不得随意更换驻点人员）；</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1.3工程师每月对“维保设备明细”及采购人所有弱电设备进行巡检，及时发现故障和排除故障，并做好日常巡检及故障隐患处置记录；维修工具自带；</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1.4派驻的驻场运维人员每周至少开展一次弱电硬件设备和软件系统的现场巡检服务，巡检过程中如发现故障将及时进行排障处理，确保多媒体软硬件系统以最佳状态正常运行。巡检过程建立设备运维记录，并向</w:t>
      </w:r>
      <w:r>
        <w:rPr>
          <w:rFonts w:hint="eastAsia"/>
          <w:color w:val="auto"/>
          <w:sz w:val="22"/>
          <w:highlight w:val="none"/>
          <w:lang w:val="en-US" w:eastAsia="zh-CN"/>
        </w:rPr>
        <w:t>采购人</w:t>
      </w:r>
      <w:r>
        <w:rPr>
          <w:rFonts w:hint="eastAsia"/>
          <w:color w:val="auto"/>
          <w:sz w:val="22"/>
          <w:highlight w:val="none"/>
        </w:rPr>
        <w:t>提供报告。</w:t>
      </w:r>
    </w:p>
    <w:p>
      <w:pPr>
        <w:pStyle w:val="19"/>
        <w:spacing w:before="0" w:beforeAutospacing="0" w:after="0" w:afterAutospacing="0" w:line="400" w:lineRule="exact"/>
        <w:rPr>
          <w:b/>
          <w:bCs/>
          <w:color w:val="auto"/>
          <w:sz w:val="22"/>
          <w:highlight w:val="none"/>
        </w:rPr>
      </w:pPr>
      <w:r>
        <w:rPr>
          <w:rFonts w:hint="eastAsia"/>
          <w:b/>
          <w:bCs/>
          <w:color w:val="auto"/>
          <w:sz w:val="22"/>
          <w:highlight w:val="none"/>
        </w:rPr>
        <w:t>2.巡检服务内容具体包括：</w:t>
      </w:r>
    </w:p>
    <w:p>
      <w:pPr>
        <w:pStyle w:val="19"/>
        <w:spacing w:before="0" w:beforeAutospacing="0" w:after="0" w:afterAutospacing="0" w:line="400" w:lineRule="exact"/>
        <w:ind w:left="418" w:leftChars="199"/>
        <w:rPr>
          <w:color w:val="auto"/>
          <w:sz w:val="22"/>
          <w:highlight w:val="none"/>
        </w:rPr>
      </w:pPr>
      <w:r>
        <w:rPr>
          <w:rFonts w:hint="eastAsia"/>
          <w:color w:val="auto"/>
          <w:sz w:val="22"/>
          <w:highlight w:val="none"/>
        </w:rPr>
        <w:t>2.1展示馆中的所有设备外观完整度，运行状态检查；</w:t>
      </w:r>
    </w:p>
    <w:p>
      <w:pPr>
        <w:pStyle w:val="19"/>
        <w:spacing w:before="0" w:beforeAutospacing="0" w:after="0" w:afterAutospacing="0" w:line="400" w:lineRule="exact"/>
        <w:ind w:left="418" w:leftChars="199"/>
        <w:rPr>
          <w:color w:val="auto"/>
          <w:sz w:val="22"/>
          <w:highlight w:val="none"/>
        </w:rPr>
      </w:pPr>
      <w:r>
        <w:rPr>
          <w:rFonts w:hint="eastAsia"/>
          <w:color w:val="auto"/>
          <w:sz w:val="22"/>
          <w:highlight w:val="none"/>
        </w:rPr>
        <w:t>2.2设备供电安全情况检查；</w:t>
      </w:r>
    </w:p>
    <w:p>
      <w:pPr>
        <w:pStyle w:val="19"/>
        <w:spacing w:before="0" w:beforeAutospacing="0" w:after="0" w:afterAutospacing="0" w:line="400" w:lineRule="exact"/>
        <w:ind w:left="418" w:leftChars="199"/>
        <w:rPr>
          <w:color w:val="auto"/>
          <w:sz w:val="22"/>
          <w:highlight w:val="none"/>
        </w:rPr>
      </w:pPr>
      <w:r>
        <w:rPr>
          <w:rFonts w:hint="eastAsia"/>
          <w:color w:val="auto"/>
          <w:sz w:val="22"/>
          <w:highlight w:val="none"/>
        </w:rPr>
        <w:t>2.3网络稳定性检查；</w:t>
      </w:r>
    </w:p>
    <w:p>
      <w:pPr>
        <w:pStyle w:val="19"/>
        <w:spacing w:before="0" w:beforeAutospacing="0" w:after="0" w:afterAutospacing="0" w:line="400" w:lineRule="exact"/>
        <w:ind w:left="418" w:leftChars="199"/>
        <w:rPr>
          <w:color w:val="auto"/>
          <w:sz w:val="22"/>
          <w:highlight w:val="none"/>
        </w:rPr>
      </w:pPr>
      <w:r>
        <w:rPr>
          <w:rFonts w:hint="eastAsia"/>
          <w:color w:val="auto"/>
          <w:sz w:val="22"/>
          <w:highlight w:val="none"/>
        </w:rPr>
        <w:t>2.4显示设备屏幕明亮度、色彩一致度检查；</w:t>
      </w:r>
    </w:p>
    <w:p>
      <w:pPr>
        <w:pStyle w:val="19"/>
        <w:spacing w:before="0" w:beforeAutospacing="0" w:after="0" w:afterAutospacing="0" w:line="400" w:lineRule="exact"/>
        <w:ind w:left="418" w:leftChars="199"/>
        <w:rPr>
          <w:color w:val="auto"/>
          <w:sz w:val="22"/>
          <w:highlight w:val="none"/>
        </w:rPr>
      </w:pPr>
      <w:r>
        <w:rPr>
          <w:rFonts w:hint="eastAsia"/>
          <w:color w:val="auto"/>
          <w:sz w:val="22"/>
          <w:highlight w:val="none"/>
        </w:rPr>
        <w:t>2.5软件升级和运行稳定性检查；</w:t>
      </w:r>
    </w:p>
    <w:p>
      <w:pPr>
        <w:pStyle w:val="19"/>
        <w:spacing w:before="0" w:beforeAutospacing="0" w:after="0" w:afterAutospacing="0" w:line="400" w:lineRule="exact"/>
        <w:ind w:left="418" w:leftChars="199"/>
        <w:rPr>
          <w:color w:val="auto"/>
          <w:sz w:val="22"/>
          <w:highlight w:val="none"/>
        </w:rPr>
      </w:pPr>
      <w:r>
        <w:rPr>
          <w:rFonts w:hint="eastAsia"/>
          <w:color w:val="auto"/>
          <w:sz w:val="22"/>
          <w:highlight w:val="none"/>
        </w:rPr>
        <w:t>2.6系统数据库安全检查；</w:t>
      </w:r>
    </w:p>
    <w:p>
      <w:pPr>
        <w:pStyle w:val="19"/>
        <w:spacing w:before="0" w:beforeAutospacing="0" w:after="0" w:afterAutospacing="0" w:line="400" w:lineRule="exact"/>
        <w:ind w:left="418" w:leftChars="199"/>
        <w:rPr>
          <w:color w:val="auto"/>
          <w:sz w:val="22"/>
          <w:highlight w:val="none"/>
        </w:rPr>
      </w:pPr>
      <w:r>
        <w:rPr>
          <w:rFonts w:hint="eastAsia"/>
          <w:color w:val="auto"/>
          <w:sz w:val="22"/>
          <w:highlight w:val="none"/>
        </w:rPr>
        <w:t>2.7计算机运行稳定性检查，运行冗余数据清除检查；</w:t>
      </w:r>
    </w:p>
    <w:p>
      <w:pPr>
        <w:pStyle w:val="19"/>
        <w:spacing w:before="0" w:beforeAutospacing="0" w:after="0" w:afterAutospacing="0" w:line="400" w:lineRule="exact"/>
        <w:rPr>
          <w:b/>
          <w:bCs/>
          <w:color w:val="auto"/>
          <w:sz w:val="22"/>
          <w:highlight w:val="none"/>
        </w:rPr>
      </w:pPr>
      <w:r>
        <w:rPr>
          <w:rFonts w:hint="eastAsia"/>
          <w:b/>
          <w:bCs/>
          <w:color w:val="auto"/>
          <w:sz w:val="22"/>
          <w:highlight w:val="none"/>
        </w:rPr>
        <w:t>3.每月设备养护</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中标供应商应每月派出专业工程师对“维保设备明细”中的设备运行状况及故障报警情况进行一次全面检查，具体内容及要求为：</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3.1机房及投影</w:t>
      </w:r>
    </w:p>
    <w:p>
      <w:pPr>
        <w:pStyle w:val="19"/>
        <w:spacing w:before="0" w:beforeAutospacing="0" w:after="0" w:afterAutospacing="0" w:line="400" w:lineRule="exact"/>
        <w:ind w:left="420" w:leftChars="200"/>
        <w:rPr>
          <w:color w:val="auto"/>
          <w:sz w:val="22"/>
          <w:highlight w:val="none"/>
        </w:rPr>
      </w:pPr>
      <w:r>
        <w:rPr>
          <w:rFonts w:hint="eastAsia"/>
          <w:color w:val="auto"/>
          <w:sz w:val="22"/>
          <w:highlight w:val="none"/>
        </w:rPr>
        <w:t>3.1.1清洁网络和服务器、存储设备、机柜、投影及所有易积灰设备的灰尘；</w:t>
      </w:r>
    </w:p>
    <w:p>
      <w:pPr>
        <w:pStyle w:val="19"/>
        <w:spacing w:before="0" w:beforeAutospacing="0" w:after="0" w:afterAutospacing="0" w:line="400" w:lineRule="exact"/>
        <w:ind w:left="420" w:leftChars="200"/>
        <w:rPr>
          <w:color w:val="auto"/>
          <w:sz w:val="22"/>
          <w:highlight w:val="none"/>
        </w:rPr>
      </w:pPr>
      <w:r>
        <w:rPr>
          <w:rFonts w:hint="eastAsia"/>
          <w:color w:val="auto"/>
          <w:sz w:val="22"/>
          <w:highlight w:val="none"/>
        </w:rPr>
        <w:t>3.1.2检查、整理各类线缆；</w:t>
      </w:r>
    </w:p>
    <w:p>
      <w:pPr>
        <w:pStyle w:val="19"/>
        <w:spacing w:before="0" w:beforeAutospacing="0" w:after="0" w:afterAutospacing="0" w:line="400" w:lineRule="exact"/>
        <w:ind w:left="420" w:leftChars="200"/>
        <w:rPr>
          <w:color w:val="auto"/>
          <w:sz w:val="22"/>
          <w:highlight w:val="none"/>
        </w:rPr>
      </w:pPr>
      <w:r>
        <w:rPr>
          <w:rFonts w:hint="eastAsia"/>
          <w:color w:val="auto"/>
          <w:sz w:val="22"/>
          <w:highlight w:val="none"/>
        </w:rPr>
        <w:t>3.1.3检查、整理、更新各类标签；</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3.2网络和服务器、设备情况</w:t>
      </w:r>
    </w:p>
    <w:p>
      <w:pPr>
        <w:pStyle w:val="19"/>
        <w:spacing w:before="0" w:beforeAutospacing="0" w:after="0" w:afterAutospacing="0" w:line="400" w:lineRule="exact"/>
        <w:ind w:left="418" w:leftChars="199"/>
        <w:rPr>
          <w:color w:val="auto"/>
          <w:sz w:val="22"/>
          <w:highlight w:val="none"/>
        </w:rPr>
      </w:pPr>
      <w:r>
        <w:rPr>
          <w:rFonts w:hint="eastAsia"/>
          <w:color w:val="auto"/>
          <w:sz w:val="22"/>
          <w:highlight w:val="none"/>
        </w:rPr>
        <w:t>3.2.1检查网络和服务器、设备是否正常运行，是否有指示硬件故障报警；</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3.2.2根据运行网络和服务器、设备参数，分析判断网络和服务器、设备可能存在的故障隐患及原因，第一时间向采购人提出修复、改善建议；</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3.3 网络和服务器、存储设备配置备份：对网络和服务器、存储设备配置文件等进行备份，并以光盘刻录的形式提交采购人，包括：</w:t>
      </w:r>
    </w:p>
    <w:p>
      <w:pPr>
        <w:pStyle w:val="19"/>
        <w:spacing w:before="0" w:beforeAutospacing="0" w:after="0" w:afterAutospacing="0" w:line="400" w:lineRule="exact"/>
        <w:ind w:left="420" w:leftChars="200"/>
        <w:rPr>
          <w:color w:val="auto"/>
          <w:sz w:val="22"/>
          <w:highlight w:val="none"/>
        </w:rPr>
      </w:pPr>
      <w:r>
        <w:rPr>
          <w:rFonts w:hint="eastAsia"/>
          <w:color w:val="auto"/>
          <w:sz w:val="22"/>
          <w:highlight w:val="none"/>
        </w:rPr>
        <w:t>3.3.1核心交换机的配置文件；</w:t>
      </w:r>
    </w:p>
    <w:p>
      <w:pPr>
        <w:pStyle w:val="19"/>
        <w:spacing w:before="0" w:beforeAutospacing="0" w:after="0" w:afterAutospacing="0" w:line="400" w:lineRule="exact"/>
        <w:ind w:left="420" w:leftChars="200"/>
        <w:rPr>
          <w:color w:val="auto"/>
          <w:sz w:val="22"/>
          <w:highlight w:val="none"/>
        </w:rPr>
      </w:pPr>
      <w:r>
        <w:rPr>
          <w:rFonts w:hint="eastAsia"/>
          <w:color w:val="auto"/>
          <w:sz w:val="22"/>
          <w:highlight w:val="none"/>
        </w:rPr>
        <w:t>3.3.2楼层交换机的配置文件；</w:t>
      </w:r>
    </w:p>
    <w:p>
      <w:pPr>
        <w:pStyle w:val="19"/>
        <w:spacing w:before="0" w:beforeAutospacing="0" w:after="0" w:afterAutospacing="0" w:line="400" w:lineRule="exact"/>
        <w:ind w:left="420" w:leftChars="200"/>
        <w:rPr>
          <w:color w:val="auto"/>
          <w:sz w:val="22"/>
          <w:highlight w:val="none"/>
        </w:rPr>
      </w:pPr>
      <w:r>
        <w:rPr>
          <w:rFonts w:hint="eastAsia"/>
          <w:color w:val="auto"/>
          <w:sz w:val="22"/>
          <w:highlight w:val="none"/>
        </w:rPr>
        <w:t>3.3.3存储的数据；</w:t>
      </w:r>
    </w:p>
    <w:p>
      <w:pPr>
        <w:pStyle w:val="19"/>
        <w:spacing w:before="0" w:beforeAutospacing="0" w:after="0" w:afterAutospacing="0" w:line="400" w:lineRule="exact"/>
        <w:ind w:left="420" w:leftChars="200"/>
        <w:rPr>
          <w:color w:val="auto"/>
          <w:sz w:val="22"/>
          <w:highlight w:val="none"/>
        </w:rPr>
      </w:pPr>
      <w:r>
        <w:rPr>
          <w:rFonts w:hint="eastAsia"/>
          <w:color w:val="auto"/>
          <w:sz w:val="22"/>
          <w:highlight w:val="none"/>
        </w:rPr>
        <w:t>3.3.4其它需要备份的数据。</w:t>
      </w:r>
    </w:p>
    <w:p>
      <w:pPr>
        <w:pStyle w:val="19"/>
        <w:spacing w:before="0" w:beforeAutospacing="0" w:after="0" w:afterAutospacing="0" w:line="400" w:lineRule="exact"/>
        <w:rPr>
          <w:b/>
          <w:bCs/>
          <w:color w:val="auto"/>
          <w:sz w:val="22"/>
          <w:highlight w:val="none"/>
        </w:rPr>
      </w:pPr>
      <w:r>
        <w:rPr>
          <w:rFonts w:hint="eastAsia"/>
          <w:b/>
          <w:bCs/>
          <w:color w:val="auto"/>
          <w:sz w:val="22"/>
          <w:highlight w:val="none"/>
        </w:rPr>
        <w:t>4.网络和服务器、存储设备故障处理及架构调整：</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当出现硬件系统问题或需要调整硬件系统结构时，需及时安排经验丰富的工程师制定解决方案，并协助采购人实施直至问题得到解决。</w:t>
      </w:r>
    </w:p>
    <w:p>
      <w:pPr>
        <w:pStyle w:val="19"/>
        <w:spacing w:before="0" w:beforeAutospacing="0" w:after="0" w:afterAutospacing="0" w:line="400" w:lineRule="exact"/>
        <w:rPr>
          <w:color w:val="auto"/>
          <w:sz w:val="22"/>
          <w:highlight w:val="none"/>
        </w:rPr>
      </w:pPr>
      <w:r>
        <w:rPr>
          <w:rFonts w:hint="eastAsia"/>
          <w:b/>
          <w:bCs/>
          <w:color w:val="auto"/>
          <w:sz w:val="22"/>
          <w:highlight w:val="none"/>
        </w:rPr>
        <w:t>5.故障抢修：</w:t>
      </w:r>
      <w:r>
        <w:rPr>
          <w:rFonts w:hint="eastAsia"/>
          <w:color w:val="auto"/>
          <w:sz w:val="22"/>
          <w:highlight w:val="none"/>
        </w:rPr>
        <w:t>要求做到全天候7*24小时的技术服务，对于故障抢修涉及的响应时间和故障处置时间的要求如下：</w:t>
      </w:r>
    </w:p>
    <w:p>
      <w:pPr>
        <w:pStyle w:val="19"/>
        <w:spacing w:before="0" w:beforeAutospacing="0" w:after="0" w:afterAutospacing="0" w:line="400" w:lineRule="exact"/>
        <w:ind w:left="17" w:leftChars="8" w:firstLine="440" w:firstLineChars="200"/>
        <w:rPr>
          <w:color w:val="auto"/>
          <w:sz w:val="22"/>
          <w:highlight w:val="none"/>
        </w:rPr>
      </w:pPr>
      <w:r>
        <w:rPr>
          <w:rFonts w:hint="eastAsia"/>
          <w:color w:val="auto"/>
          <w:sz w:val="22"/>
          <w:highlight w:val="none"/>
        </w:rPr>
        <w:t>5.1由于网络和服务器、设备故障导致展示馆无法正常对外开放，恢复时间应在60分钟以内；</w:t>
      </w:r>
    </w:p>
    <w:p>
      <w:pPr>
        <w:pStyle w:val="19"/>
        <w:spacing w:before="0" w:beforeAutospacing="0" w:after="0" w:afterAutospacing="0" w:line="400" w:lineRule="exact"/>
        <w:ind w:left="17" w:leftChars="8" w:firstLine="440" w:firstLineChars="200"/>
        <w:rPr>
          <w:color w:val="auto"/>
          <w:sz w:val="22"/>
          <w:highlight w:val="none"/>
        </w:rPr>
      </w:pPr>
      <w:r>
        <w:rPr>
          <w:rFonts w:hint="eastAsia"/>
          <w:color w:val="auto"/>
          <w:sz w:val="22"/>
          <w:highlight w:val="none"/>
        </w:rPr>
        <w:t>5.2其他隐患类故障，恢复时间由中标供应商与采购人协商决定，原则上不超过3个工作日；</w:t>
      </w:r>
    </w:p>
    <w:p>
      <w:pPr>
        <w:pStyle w:val="19"/>
        <w:spacing w:before="0" w:beforeAutospacing="0" w:after="0" w:afterAutospacing="0" w:line="400" w:lineRule="exact"/>
        <w:ind w:left="17" w:leftChars="8" w:firstLine="440" w:firstLineChars="200"/>
        <w:rPr>
          <w:color w:val="auto"/>
          <w:sz w:val="22"/>
          <w:highlight w:val="none"/>
        </w:rPr>
      </w:pPr>
      <w:r>
        <w:rPr>
          <w:rFonts w:hint="eastAsia"/>
          <w:color w:val="auto"/>
          <w:sz w:val="22"/>
          <w:highlight w:val="none"/>
        </w:rPr>
        <w:t>5.3故障处置完成后，除提交故障处置报告以外还应提交问题分析报告，分析故障产生的原因，并提出预防性改善建议；</w:t>
      </w:r>
    </w:p>
    <w:p>
      <w:pPr>
        <w:pStyle w:val="19"/>
        <w:spacing w:before="0" w:beforeAutospacing="0" w:after="0" w:afterAutospacing="0" w:line="400" w:lineRule="exact"/>
        <w:ind w:left="17" w:leftChars="8" w:firstLine="440" w:firstLineChars="200"/>
        <w:rPr>
          <w:color w:val="auto"/>
          <w:sz w:val="22"/>
          <w:highlight w:val="none"/>
        </w:rPr>
      </w:pPr>
      <w:r>
        <w:rPr>
          <w:rFonts w:hint="eastAsia"/>
          <w:color w:val="auto"/>
          <w:sz w:val="22"/>
          <w:highlight w:val="none"/>
        </w:rPr>
        <w:t>5.4在法定节假日（元旦、春节、五一、十一等）期间、重大活动（由采购人指 定并提前告知）前及其举行期间，应根据采购人的具体要求对网络和服务器、存储设备进行额外的维护巡检，确保设备及系统在此时期的正常工作，必要时应派专业工程师在现场实施驻点保障服务；</w:t>
      </w:r>
    </w:p>
    <w:p>
      <w:pPr>
        <w:pStyle w:val="19"/>
        <w:spacing w:before="0" w:beforeAutospacing="0" w:after="0" w:afterAutospacing="0" w:line="400" w:lineRule="exact"/>
        <w:ind w:left="17" w:leftChars="8" w:firstLine="440" w:firstLineChars="200"/>
        <w:rPr>
          <w:color w:val="auto"/>
          <w:sz w:val="22"/>
          <w:highlight w:val="none"/>
        </w:rPr>
      </w:pPr>
      <w:r>
        <w:rPr>
          <w:rFonts w:hint="eastAsia"/>
          <w:color w:val="auto"/>
          <w:sz w:val="22"/>
          <w:highlight w:val="none"/>
        </w:rPr>
        <w:t xml:space="preserve">5.5 </w:t>
      </w:r>
      <w:r>
        <w:rPr>
          <w:color w:val="auto"/>
          <w:sz w:val="22"/>
          <w:highlight w:val="none"/>
        </w:rPr>
        <w:t>为本项目重大接待提供专门技术保障服务。在重大接待前1天与接待当日，驻场维保人员将开展专项检查服务工作，针对接待参观区域的重点展项开展全方位的弱电硬件设备和软件系统检查。特别重大接待，除驻场维保人员外，</w:t>
      </w:r>
      <w:r>
        <w:rPr>
          <w:rFonts w:hint="eastAsia"/>
          <w:color w:val="auto"/>
          <w:sz w:val="22"/>
          <w:highlight w:val="none"/>
        </w:rPr>
        <w:t>需</w:t>
      </w:r>
      <w:r>
        <w:rPr>
          <w:color w:val="auto"/>
          <w:sz w:val="22"/>
          <w:highlight w:val="none"/>
        </w:rPr>
        <w:t>加派</w:t>
      </w:r>
      <w:r>
        <w:rPr>
          <w:rFonts w:hint="eastAsia"/>
          <w:color w:val="auto"/>
          <w:sz w:val="22"/>
          <w:highlight w:val="none"/>
        </w:rPr>
        <w:t>1至2名</w:t>
      </w:r>
      <w:r>
        <w:rPr>
          <w:color w:val="auto"/>
          <w:sz w:val="22"/>
          <w:highlight w:val="none"/>
        </w:rPr>
        <w:t>相关专业软硬件工程师到场</w:t>
      </w:r>
      <w:r>
        <w:rPr>
          <w:rFonts w:hint="eastAsia"/>
          <w:color w:val="auto"/>
          <w:sz w:val="22"/>
          <w:highlight w:val="none"/>
        </w:rPr>
        <w:t>进行运维保障。</w:t>
      </w:r>
    </w:p>
    <w:p>
      <w:pPr>
        <w:pStyle w:val="19"/>
        <w:spacing w:before="0" w:beforeAutospacing="0" w:after="0" w:afterAutospacing="0" w:line="400" w:lineRule="exact"/>
        <w:rPr>
          <w:b/>
          <w:bCs/>
          <w:color w:val="auto"/>
          <w:sz w:val="22"/>
          <w:highlight w:val="none"/>
        </w:rPr>
      </w:pPr>
      <w:r>
        <w:rPr>
          <w:rFonts w:hint="eastAsia"/>
          <w:b/>
          <w:bCs/>
          <w:color w:val="auto"/>
          <w:sz w:val="22"/>
          <w:highlight w:val="none"/>
        </w:rPr>
        <w:t>6.服务提供人员备份</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6.1中标供应商应提供与固定的技术工程师技术能力、资质、工作经验等基本一致的维护人员作为备份技术工程师，当固定的技术工程师有其他工作或休假等原因，不能按要求提供相应服务时，备份服务人员应能直接接管其服务内容，不需要重新学习、了解；</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6.2人员交替制度</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6.2.1中标供应商服务人员必须通过中标供应商公司内部培训，并且经过考核后才可以上岗。上岗前需提前7日通知采购人，每月不少于1次对驻场维保人员进行相关技术培训，驻场维保人员需熟练掌握相关技术，工作态度积极，如不能满足甲方需求的，</w:t>
      </w:r>
      <w:r>
        <w:rPr>
          <w:rFonts w:hint="eastAsia"/>
          <w:color w:val="auto"/>
          <w:sz w:val="22"/>
          <w:highlight w:val="none"/>
          <w:lang w:val="en-US" w:eastAsia="zh-CN"/>
        </w:rPr>
        <w:t>采购人</w:t>
      </w:r>
      <w:r>
        <w:rPr>
          <w:rFonts w:hint="eastAsia"/>
          <w:color w:val="auto"/>
          <w:sz w:val="22"/>
          <w:highlight w:val="none"/>
        </w:rPr>
        <w:t>有权要求中标供应商在30天内更换符合条件的人选。</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6.2.2当中标供应商有人员变更情况时，需提前至少15个工作日通知采购人。如果中标供应商服务提供人员发生重大变动时（变动比例等于或超过20%），中标供应商应提前两个月通知采购人，通知的同时应告知新服务提供人员的相关信息（资质、经验等），经采购人同意后方可更换。</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6.2.3值班人员在交接班时必须将在值班期间出现的问题进行书面交接；</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6.2.4中标供应商应定期对服务人员进行培训并考核，将考核结果向采购人进行汇报，并且建立和健全所有值班管理和交接制度；</w:t>
      </w:r>
    </w:p>
    <w:p>
      <w:pPr>
        <w:pStyle w:val="19"/>
        <w:spacing w:before="0" w:beforeAutospacing="0" w:after="0" w:afterAutospacing="0" w:line="400" w:lineRule="exact"/>
        <w:rPr>
          <w:color w:val="auto"/>
          <w:sz w:val="22"/>
          <w:highlight w:val="none"/>
        </w:rPr>
      </w:pPr>
      <w:r>
        <w:rPr>
          <w:rFonts w:hint="eastAsia"/>
          <w:color w:val="auto"/>
          <w:sz w:val="22"/>
          <w:highlight w:val="none"/>
        </w:rPr>
        <w:t>7.第三方软件：对运行维护工作中需要使用第三方软件，中标供应商应确保其合法性，同时应负责就第三方软件的使用向采购人提供相关培训。第三方软件使用引发的相关版权等问题，责任由中标供应商负责；</w:t>
      </w:r>
    </w:p>
    <w:p>
      <w:pPr>
        <w:pStyle w:val="19"/>
        <w:spacing w:before="0" w:beforeAutospacing="0" w:after="0" w:afterAutospacing="0" w:line="400" w:lineRule="exact"/>
        <w:rPr>
          <w:b/>
          <w:bCs/>
          <w:color w:val="auto"/>
          <w:sz w:val="22"/>
          <w:highlight w:val="none"/>
        </w:rPr>
      </w:pPr>
      <w:r>
        <w:rPr>
          <w:rFonts w:hint="eastAsia"/>
          <w:b/>
          <w:bCs/>
          <w:color w:val="auto"/>
          <w:sz w:val="22"/>
          <w:highlight w:val="none"/>
        </w:rPr>
        <w:t>8.故障排查</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8.1当采购人向中标供应商通报系统故障时，或者中标供应商在巡检期间发现系统已经产生的问题或潜在的问题时，中标供应商应及时对故障进行排查和处理。但故障排查和处理时应先及时通知采购人并在采购人同意的情况下才可以进行操作，并且操作全程应有采购人人员陪同；             </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8.2应急响应：当遇中标供应商运行工程师无法解决的故障时，中标供应商应立即增派熟悉现场的应急响应工程师在二小时内赶到用户现场（故障现场），进行诊断、排除故障；并建立有完善健全的供应链体系与外部专业技术团队，紧急情况下，将调用第三方后备资源，包括应急备件、专业技术资源、软硬件工程师等。</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8.3技术支持：中标供应商应有相应的服务团队为其运行人员和采购人技术人员提供必要的技术支持。</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（四）文档记录</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中标供应商应建立完整的文档记录，按时向采购人提供装订成册的纸质版与电子版，具体要求为：</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1、签订维保合同10天内，中标供应商提交《系统日常巡检作业指导书》，《系统日常巡检作业指导书》经采购人审核、批准后，由工程师执行日常巡检；</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2、签订维保合同10天内，中标供应商提交《维保设备信息登记表》，记录保修设备的详细配置信息，核对网络结构拓扑图；</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3、维保期内应及时维护和更新《维保设备信息登记表》和网络结构拓扑图，包括位置、参数、配置的变更；</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4、每个自然月的30日前向采购人提供当月的巡检报告，详细记录巡检日期、巡检人、巡检内容、问题、采取措施及建议、备品备件的使用及储备情况等内容，双方签字确认；</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5、故障抢修后的1个工作日内向采购人提交“故障检修报告”，每个自然月的30日前向采购人提供当月的抢修统计记录，其中至少记录接报修时间、报修人、到达现场时间、修复时间、故障原因、故障现象、抢修过程等；</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6、每</w:t>
      </w:r>
      <w:r>
        <w:rPr>
          <w:rFonts w:hint="eastAsia"/>
          <w:color w:val="auto"/>
          <w:sz w:val="22"/>
          <w:highlight w:val="none"/>
          <w:lang w:eastAsia="zh-CN"/>
        </w:rPr>
        <w:t>维护期</w:t>
      </w:r>
      <w:r>
        <w:rPr>
          <w:rFonts w:hint="eastAsia"/>
          <w:color w:val="auto"/>
          <w:sz w:val="22"/>
          <w:highlight w:val="none"/>
        </w:rPr>
        <w:t>第一月的10日前，提供上</w:t>
      </w:r>
      <w:r>
        <w:rPr>
          <w:rFonts w:hint="eastAsia"/>
          <w:color w:val="auto"/>
          <w:sz w:val="22"/>
          <w:highlight w:val="none"/>
          <w:lang w:eastAsia="zh-CN"/>
        </w:rPr>
        <w:t>维护期</w:t>
      </w:r>
      <w:r>
        <w:rPr>
          <w:rFonts w:hint="eastAsia"/>
          <w:color w:val="auto"/>
          <w:sz w:val="22"/>
          <w:highlight w:val="none"/>
        </w:rPr>
        <w:t>维保服务总结报告；</w:t>
      </w:r>
    </w:p>
    <w:p>
      <w:pPr>
        <w:pStyle w:val="19"/>
        <w:spacing w:before="0" w:beforeAutospacing="0" w:after="0" w:afterAutospacing="0" w:line="400" w:lineRule="exact"/>
        <w:ind w:firstLine="459" w:firstLineChars="209"/>
        <w:rPr>
          <w:color w:val="auto"/>
          <w:sz w:val="22"/>
          <w:highlight w:val="none"/>
        </w:rPr>
      </w:pPr>
      <w:r>
        <w:rPr>
          <w:rFonts w:hint="eastAsia"/>
          <w:color w:val="auto"/>
          <w:sz w:val="22"/>
          <w:highlight w:val="none"/>
        </w:rPr>
        <w:t>7、维保服务合同到期后的3天内，提供维保服务总结报告；</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（五）服务质量保证</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1.服务响应时间：未在规定时间内响应的或未在规定时间内修复故障按2000元/次扣除合同款（设备如因使用寿命终止出现无法修复的情况除外）。</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2.未按合同要求保质保量完成日常巡检、月度巡检养护工作的，按1000元/次扣除合同款。</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3.未在规定时间内提交日常巡检记录、月度巡检记录、抢修记录、运维总结的，按1000元/次扣除合同款。</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4.服务质量严重不到位的，采购人将对中标供应商处以整改通知书，中标供应商收到整改通知书后应于一周内向采购人提交整改报告。若逾期不提交整改报告或一年之内被二次处以整改通知书的，采购人有权中止合同，另选维保方继续当年的维保工作，期间产生的费用由中标供应商承担。</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5.提供不少于三人的运维团队（含1名驻点网络工程师）。</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6.未经采购人允许不得擅自更改原设备参数、线路等，并保证所有设备的原有功能正常。</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（六）展示馆具体设备维保要求：</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1.服务器、工控机及PC机维护服务内容</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1.1维护要求</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使用过程中出现的故障或不稳定因素及时排除，出现损坏及时进行维修、送修、跟踪维修进度，必要时进行更换，根据馆内需要，对设备进行升级或更新；保证展馆的正常运行。</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1.2具体工作内容</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工程师每天对馆内设备（包括弱电机房）巡检，了解和记录最新的使用情况，通过日服务报告上报馆方普查情况；对经常出现问题的设备进行登记和记录，并且制定知识库，对常出现故障的设备要重点检查、消除隐患，最大限度降低设备的故障率，维护工程师在对用户维护的时候，必须按服务流程来进行，给用户提供快速、标准、满意的服务。对经过维修或已更换配件的设备，根据具体情况延长保修期并更新资产库记录，更新配置库。</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1.3定期对设备系统进行维护（包括电脑程序的清理维护）</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2.LED屏幕维护内容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2.1检查供电线路、数据信号传输线、数据控制传输线、音响系统相关线路的老化状况，检测完记录实时数据；</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2.2检查连接线缆接口、RJ45网络接口、视频处理器信号端口是否老化、接触是否良好。对于接触不良的部件进行更换处理，并记录在册。</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2.3检查LED单元板的老化情况，是否有亮点、死点、部分偏色等故障，对出现问题的LED单元板进行维修处理，无法修复的单元板进行更换处理。</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2.4检测各供电电源、接收卡、发送卡、视频处理器是否稳 定，不稳 定设备进行修复处理。</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2.5清洁环境卫生，测试环境温度和湿度。尽量让环境温度保持在5~30℃，湿度保持在25%-60%。</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2.6检查备品备件库，保持一定数量的单元板、开关电源、连接线缆、接受卡、发送卡的备品。</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2.7播放系统视频，检测联动程序，看滑轨是否存在控制点位移等影响效果展示的现象。如有，通过程序或者物理调整，及时进行位置校准。</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2.8培训使用人员的维护意识。</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3.中控系统维护、更新项目内容</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3.1检查各设备控制情况并记录。</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3.2对于控制不灵敏的设备，检查无线信号是否覆盖。定期对展馆内外网无线覆盖进行检测，发现问题及时处理。</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3.3对于不受控制的设备，进行及时维修。</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3.4若整个系统瘫痪，则考虑软件问题，需重新恢复系统。</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3.5定时重启中控设备。</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3.6ipad操作系统的维护。</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3.7中控电源、AP等维护。</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4.网络设备、机房交换机项目内容</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4.1保证全网设备优质、高效、安全可靠运行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4.2强化网络设备、主机系统、有关线路和辅助设备电源的运行维护管理，充分利用各种技术手段，实时监控，迅速准确的排除各种故障，压缩故障时间，提高全网的设备可用率及故障修复及时率。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4.3定期对网络、系统、线路和设备的运行情况进行统计分析，优化网络性能，保证系统和设备运行正常、完好。</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5.公共广播维护项目内容</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5.1整个系统涉及的连接点和插接件比较多，细致的检查是有必要的；喇叭（扬声器），声箱、线间变压器，控制器、外接插座、扩音机、增音机、声频处理设备，屏蔽线，屏蔽电缆配管及管内穿线等方面的系统检查；安装安全性检查，供电线路是否合理，以及各插接件的连接是否正等。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5.2仔细检查每一件设备的状态设置是否满足要求，具有阻抗匹配开关，确认开关是否放到了正确的位置上。</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5.3各信号源设备的输出选择开关是否正确；信号处理设备的功能按钮是否得当；功放在桥接要求时，桥接开关是否置位。</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公共广播系统维护包括扬声器回路维护、背景音乐功能维护、业务呼叫功能维护、消防联动测试和记录等。</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5.3.1 扬声器回路维护。为了保证系统的正常运行，应定期对扬声器回路进行测试，以确保回路的正常功能，在出线紧急情况下能正常使用。</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5.3.2 背景音乐功能维护。定期对整个系统的背景音乐功能进行测试，确保系统功能正常。</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5.3.3 业务呼叫功能维护。定期地使用业务呼叫广播，确保其功能正常。</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5.3.4消防联动测试。对具有紧急联动功能的广播系统，应定期进行消防测试，检测消防系统的联动关系是否正常，对外广播是否正常，保证系统处于正常工作状态。</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5.3.5 历史记录。数字系统具有软件记录功能，在系统使用过程中，应定期将历史记录进行备份，以备查询。</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5.3.6 电子设备易受灰尘等影像而出现故障，在设备的使用过程中，应定期进行清洁，灰尘清理过程应采用清洁工具（软刷、吹气球等），注意勿将灰尘掉入设备内。</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5.3.7线缆维护时，需注意接连线缆的接口，勿使其连接处出现脱落现象，并保持走线工整，不乱拉乱接。</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5.3.8环境维护时，禁止设备周围堆放物品，在设备机柜内应保持其整个机柜的整洁，同时保证设备运行的环境温度及湿度。</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5.3.9 定期检查广播系统自检功能，及时发现一些蓄电池的电量不足、控制输出回路短路、控制程序无法检测到的设备等问题。</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（七）投影机维修、维护项目内容</w:t>
      </w:r>
    </w:p>
    <w:p>
      <w:pPr>
        <w:pStyle w:val="19"/>
        <w:spacing w:before="0" w:beforeAutospacing="0" w:after="0" w:afterAutospacing="0" w:line="400" w:lineRule="exact"/>
        <w:rPr>
          <w:color w:val="auto"/>
          <w:sz w:val="22"/>
          <w:highlight w:val="none"/>
        </w:rPr>
      </w:pPr>
      <w:r>
        <w:rPr>
          <w:rFonts w:hint="eastAsia"/>
          <w:b/>
          <w:bCs/>
          <w:color w:val="auto"/>
          <w:sz w:val="22"/>
          <w:highlight w:val="none"/>
        </w:rPr>
        <w:t xml:space="preserve">1.线路检查： </w:t>
      </w:r>
      <w:r>
        <w:rPr>
          <w:rFonts w:hint="eastAsia"/>
          <w:color w:val="auto"/>
          <w:sz w:val="22"/>
          <w:highlight w:val="none"/>
        </w:rPr>
        <w:t>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检查机房到设备之间的回路，看各种专用线缆是否老化，接口是否氧化，设备间是否存在静电；对存在问题的线路进行更换处理；对氧化的接口进行更换、重新焊头；对设备间存在静电的现象，检查接地线时候接好，检查插座插口接触是否牢固，消除设备间的电势差； 深度维护保养。</w:t>
      </w:r>
    </w:p>
    <w:p>
      <w:pPr>
        <w:pStyle w:val="19"/>
        <w:spacing w:before="0" w:beforeAutospacing="0" w:after="0" w:afterAutospacing="0" w:line="400" w:lineRule="exact"/>
        <w:rPr>
          <w:color w:val="auto"/>
          <w:sz w:val="22"/>
          <w:highlight w:val="none"/>
        </w:rPr>
      </w:pPr>
      <w:r>
        <w:rPr>
          <w:rFonts w:hint="eastAsia"/>
          <w:b/>
          <w:bCs/>
          <w:color w:val="auto"/>
          <w:sz w:val="22"/>
          <w:highlight w:val="none"/>
        </w:rPr>
        <w:t>2.画面测试：</w:t>
      </w:r>
      <w:r>
        <w:rPr>
          <w:rFonts w:hint="eastAsia"/>
          <w:color w:val="auto"/>
          <w:sz w:val="22"/>
          <w:highlight w:val="none"/>
        </w:rPr>
        <w:t xml:space="preserve">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使用Colorbar,黑白、方格等专业测试画面检测设备使用状况，看是否有缺色、偏色、色斑、亮点、死点、黑边，镜头模糊、不清晰等现象，对其中由于灰尘引起故障的设备，清洗灰尘，对于已经老化部件进行报修处理。</w:t>
      </w:r>
    </w:p>
    <w:p>
      <w:pPr>
        <w:pStyle w:val="19"/>
        <w:spacing w:before="0" w:beforeAutospacing="0" w:after="0" w:afterAutospacing="0" w:line="400" w:lineRule="exact"/>
        <w:rPr>
          <w:color w:val="auto"/>
          <w:sz w:val="22"/>
          <w:highlight w:val="none"/>
        </w:rPr>
      </w:pPr>
      <w:r>
        <w:rPr>
          <w:rFonts w:hint="eastAsia"/>
          <w:b/>
          <w:bCs/>
          <w:color w:val="auto"/>
          <w:sz w:val="22"/>
          <w:highlight w:val="none"/>
        </w:rPr>
        <w:t>3.功能性测试</w:t>
      </w:r>
      <w:r>
        <w:rPr>
          <w:rFonts w:hint="eastAsia"/>
          <w:color w:val="auto"/>
          <w:sz w:val="22"/>
          <w:highlight w:val="none"/>
        </w:rPr>
        <w:t xml:space="preserve">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看是否存在电脑无信号，遥控无作用等；对存在故障的设备检查线路，外部线路故障，比如VGA接口坏的设备，进行重新焊接VGA头，对于主机存在故障的，涉及到更换配件的维修，及时报馆方确认，然后进行维修处理。 </w:t>
      </w:r>
    </w:p>
    <w:p>
      <w:pPr>
        <w:pStyle w:val="19"/>
        <w:spacing w:before="0" w:beforeAutospacing="0" w:after="0" w:afterAutospacing="0" w:line="400" w:lineRule="exact"/>
        <w:rPr>
          <w:color w:val="auto"/>
          <w:sz w:val="22"/>
          <w:highlight w:val="none"/>
        </w:rPr>
      </w:pPr>
      <w:r>
        <w:rPr>
          <w:rFonts w:hint="eastAsia"/>
          <w:b/>
          <w:bCs/>
          <w:color w:val="auto"/>
          <w:sz w:val="22"/>
          <w:highlight w:val="none"/>
        </w:rPr>
        <w:t>4.易耗品的更换</w:t>
      </w:r>
      <w:r>
        <w:rPr>
          <w:rFonts w:hint="eastAsia"/>
          <w:color w:val="auto"/>
          <w:sz w:val="22"/>
          <w:highlight w:val="none"/>
        </w:rPr>
        <w:t xml:space="preserve">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检查灯泡、滤网等易耗品的使用时间；根据老化程度和展项要求进行处理，需要更换的部件，及时报馆方确认，然后进行更换处理。</w:t>
      </w:r>
    </w:p>
    <w:p>
      <w:pPr>
        <w:pStyle w:val="19"/>
        <w:spacing w:before="0" w:beforeAutospacing="0" w:after="0" w:afterAutospacing="0" w:line="400" w:lineRule="exact"/>
        <w:rPr>
          <w:color w:val="auto"/>
          <w:sz w:val="22"/>
          <w:highlight w:val="none"/>
        </w:rPr>
      </w:pPr>
      <w:r>
        <w:rPr>
          <w:rFonts w:hint="eastAsia"/>
          <w:b/>
          <w:bCs/>
          <w:color w:val="auto"/>
          <w:sz w:val="22"/>
          <w:highlight w:val="none"/>
        </w:rPr>
        <w:t>5.设备内部定期除尘</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清除主板、主电源板、灯电源板、DMD板、信号接口板等电路板上的灰尘；清除色轮(Colorwheel),光通道（Rod),DMD芯片，UV镜片、PBS、偏光片、液晶板、相位片、反光镜、树脂透镜、镜头等光学器件上的灰尘，未老化的光学器件及时保养，老化器件报馆方及时更换处理。</w:t>
      </w:r>
    </w:p>
    <w:p>
      <w:pPr>
        <w:pStyle w:val="19"/>
        <w:spacing w:before="0" w:beforeAutospacing="0" w:after="0" w:afterAutospacing="0" w:line="400" w:lineRule="exact"/>
        <w:rPr>
          <w:color w:val="auto"/>
          <w:sz w:val="22"/>
          <w:highlight w:val="none"/>
        </w:rPr>
      </w:pPr>
      <w:r>
        <w:rPr>
          <w:rFonts w:hint="eastAsia"/>
          <w:b/>
          <w:bCs/>
          <w:color w:val="auto"/>
          <w:sz w:val="22"/>
          <w:highlight w:val="none"/>
        </w:rPr>
        <w:t>6.其他关键部件的保养</w:t>
      </w:r>
      <w:r>
        <w:rPr>
          <w:rFonts w:hint="eastAsia"/>
          <w:color w:val="auto"/>
          <w:sz w:val="22"/>
          <w:highlight w:val="none"/>
        </w:rPr>
        <w:t xml:space="preserve">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设备内的风扇、色轮、镜头这些部件内部都用到了马达，用专业润滑油对马达进行保养，对保养后，噪音仍然较大的部件进行更换。</w:t>
      </w:r>
    </w:p>
    <w:p>
      <w:pPr>
        <w:pStyle w:val="19"/>
        <w:spacing w:before="0" w:beforeAutospacing="0" w:after="0" w:afterAutospacing="0" w:line="400" w:lineRule="exact"/>
        <w:rPr>
          <w:color w:val="auto"/>
          <w:sz w:val="22"/>
          <w:highlight w:val="none"/>
        </w:rPr>
      </w:pPr>
      <w:r>
        <w:rPr>
          <w:rFonts w:hint="eastAsia"/>
          <w:b/>
          <w:bCs/>
          <w:color w:val="auto"/>
          <w:sz w:val="22"/>
          <w:highlight w:val="none"/>
        </w:rPr>
        <w:t>7.接插件之间的保养</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设备内部有很多接插件，主板和电源之间，主板和DMD显示芯片之间，风扇和主板之间，灯电源和主板之间，色轮反馈板之间等等，部分接插件或者金手指会有不同程度的氧化，用专业的去氧化剂进行喷洗保养。</w:t>
      </w:r>
    </w:p>
    <w:p>
      <w:pPr>
        <w:pStyle w:val="19"/>
        <w:spacing w:before="0" w:beforeAutospacing="0" w:after="0" w:afterAutospacing="0" w:line="400" w:lineRule="exact"/>
        <w:rPr>
          <w:color w:val="auto"/>
          <w:sz w:val="22"/>
          <w:highlight w:val="none"/>
        </w:rPr>
      </w:pPr>
      <w:r>
        <w:rPr>
          <w:rFonts w:hint="eastAsia"/>
          <w:b/>
          <w:bCs/>
          <w:color w:val="auto"/>
          <w:sz w:val="22"/>
          <w:highlight w:val="none"/>
        </w:rPr>
        <w:t>8.安装调试</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安装调试，接口、遥控、投影融合等各种功能型测试。</w:t>
      </w:r>
    </w:p>
    <w:p>
      <w:pPr>
        <w:pStyle w:val="19"/>
        <w:spacing w:before="0" w:beforeAutospacing="0" w:after="0" w:afterAutospacing="0" w:line="400" w:lineRule="exact"/>
        <w:rPr>
          <w:color w:val="auto"/>
          <w:sz w:val="22"/>
          <w:highlight w:val="none"/>
        </w:rPr>
      </w:pPr>
      <w:r>
        <w:rPr>
          <w:rFonts w:hint="eastAsia"/>
          <w:b/>
          <w:bCs/>
          <w:color w:val="auto"/>
          <w:sz w:val="22"/>
          <w:highlight w:val="none"/>
        </w:rPr>
        <w:t>9.稳定性检测</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设备保养完毕，组机测试12小时，每次2小时，共计6次，如设备正常运行，完成深度保养。 </w:t>
      </w:r>
    </w:p>
    <w:p>
      <w:pPr>
        <w:pStyle w:val="19"/>
        <w:spacing w:before="0" w:beforeAutospacing="0" w:after="0" w:afterAutospacing="0" w:line="400" w:lineRule="exact"/>
        <w:rPr>
          <w:color w:val="auto"/>
          <w:sz w:val="22"/>
          <w:highlight w:val="none"/>
        </w:rPr>
      </w:pPr>
      <w:r>
        <w:rPr>
          <w:rFonts w:hint="eastAsia"/>
          <w:b/>
          <w:bCs/>
          <w:color w:val="auto"/>
          <w:sz w:val="22"/>
          <w:highlight w:val="none"/>
        </w:rPr>
        <w:t>10.投影的功放系统维护</w:t>
      </w:r>
    </w:p>
    <w:p>
      <w:pPr>
        <w:pStyle w:val="19"/>
        <w:spacing w:before="0" w:beforeAutospacing="0" w:after="0" w:afterAutospacing="0" w:line="400" w:lineRule="exact"/>
        <w:rPr>
          <w:rStyle w:val="24"/>
          <w:color w:val="auto"/>
          <w:sz w:val="22"/>
          <w:highlight w:val="none"/>
        </w:rPr>
      </w:pPr>
      <w:r>
        <w:rPr>
          <w:rStyle w:val="24"/>
          <w:rFonts w:hint="eastAsia"/>
          <w:color w:val="auto"/>
          <w:sz w:val="22"/>
          <w:highlight w:val="none"/>
        </w:rPr>
        <w:t>（八）电视机、透明屏、拼接屏、一体机等系统</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1.拼接屏表面经常性会呈现静电，会让空气中的灰尘附着在屏幕上，必须进行防静电处理。</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2.防尘处理。液晶拼接屏的屏幕上沾有灰尘会影响其效果，用眼镜布、镜头纸等柔软擦洗，注意在擦拭其屏幕的时候要注意不能用太大的力气，屏幕比较脆弱，不然容易对其屏幕造成伤害。</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3.防碰撞。液晶拼接屏的内部仪器比较脆弱，发生碰撞时容易对其内部的元器件造成损伤。</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4.防潮处理。液晶拼接屏属于电子屏幕，上潮会对其内部元件和线路造成损伤。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5.拼接屏使用年限过久，需要对衰减屏体进行逐块校正，保证整屏显示亮度、灰度、对比度一致。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6.通过大屏幕处理软件，针对用户界面进行调整，设置以及版本升级；</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7.检查拼接软件的端口设置是否正常，串口线路是否损坏，产品和PC接口的接触测试，地址码的设置完好以及单元板与信号端口的接触点检测；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8.图像的色彩异常显示处理、图像是否闪烁或条纹和拼接异常或图像错位调整</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9.功放系统的维护</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（九）语音系统系统维护</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1.易损件（耳机、麦克风、USB连接线）的修复，调试。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2.系统的使用培训，整体的项目介绍，产品的使用操作及使用说明，日常的进行维护保养及调试和配置等。</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3.发射器参数修改及语音文件更新。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4.协助馆内人员，进行导游讲解机和团队接收机的系统管理，和定期的臭氧装置消毒。</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5.大型游客参观，负责管理接收机，并进行接收机ID与导游发射机ID配置。</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6.语音充电设备维护。</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（十）综合布线项目</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1.需要排查每个子系统的线路，更新原有弱电图纸，绘制设备的点位，连接线缆，拓扑图。备用各类常用连接线缆或接口。</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2.补全线路上的标识、标签，补全设备的资产标签，有IP地址的，标识主机IP地址。</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3.连接线缆通过遥控测温仪在运行过程中测试线缆的表面温度，如有异常，立即更换。</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4.检查中发现的老化连接线缆立即更换处理，氧化或腐蚀生锈的接口件，转接器等也进行更换处理。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5.针对部分弱电设备的连接线，定期更换，保证信号和数据的传输。 </w:t>
      </w:r>
    </w:p>
    <w:p>
      <w:pPr>
        <w:pStyle w:val="19"/>
        <w:spacing w:before="0" w:beforeAutospacing="0" w:after="0" w:afterAutospacing="0" w:line="400" w:lineRule="exact"/>
        <w:rPr>
          <w:rStyle w:val="24"/>
          <w:color w:val="auto"/>
          <w:sz w:val="22"/>
          <w:highlight w:val="none"/>
        </w:rPr>
      </w:pPr>
      <w:r>
        <w:rPr>
          <w:rStyle w:val="24"/>
          <w:rFonts w:hint="eastAsia"/>
          <w:color w:val="auto"/>
          <w:sz w:val="22"/>
          <w:highlight w:val="none"/>
        </w:rPr>
        <w:t>（十一）技术人员驻场服务</w:t>
      </w:r>
    </w:p>
    <w:p>
      <w:pPr>
        <w:pStyle w:val="19"/>
        <w:spacing w:before="0" w:beforeAutospacing="0" w:after="0" w:afterAutospacing="0" w:line="400" w:lineRule="exact"/>
        <w:ind w:firstLine="440" w:firstLineChars="200"/>
        <w:rPr>
          <w:rStyle w:val="24"/>
          <w:color w:val="auto"/>
          <w:sz w:val="22"/>
          <w:highlight w:val="none"/>
        </w:rPr>
      </w:pPr>
      <w:r>
        <w:rPr>
          <w:rFonts w:hint="eastAsia"/>
          <w:color w:val="auto"/>
          <w:sz w:val="22"/>
          <w:highlight w:val="none"/>
        </w:rPr>
        <w:t>1.中标供应商需提供不少于6×8小时，一周6个工作日，每日实行8小时工作制，具体以</w:t>
      </w:r>
      <w:r>
        <w:rPr>
          <w:rFonts w:hint="eastAsia"/>
          <w:color w:val="auto"/>
          <w:sz w:val="22"/>
          <w:highlight w:val="none"/>
          <w:lang w:val="en-US" w:eastAsia="zh-CN"/>
        </w:rPr>
        <w:t>采购人</w:t>
      </w:r>
      <w:r>
        <w:rPr>
          <w:rFonts w:hint="eastAsia"/>
          <w:color w:val="auto"/>
          <w:sz w:val="22"/>
          <w:highlight w:val="none"/>
        </w:rPr>
        <w:t>开闭馆时间为准。驻场维保服务达到100%的用户即时响应度（非</w:t>
      </w:r>
      <w:r>
        <w:rPr>
          <w:rFonts w:hint="eastAsia"/>
          <w:color w:val="auto"/>
          <w:sz w:val="22"/>
          <w:highlight w:val="none"/>
          <w:lang w:val="en-US" w:eastAsia="zh-CN"/>
        </w:rPr>
        <w:t>采购人</w:t>
      </w:r>
      <w:r>
        <w:rPr>
          <w:rFonts w:hint="eastAsia"/>
          <w:color w:val="auto"/>
          <w:sz w:val="22"/>
          <w:highlight w:val="none"/>
        </w:rPr>
        <w:t>开馆时间提供热线电话支持服务）。非开馆时间或节假日有参观接待活动，驻场维保人员需无条件到场提供技术支持，以保障活动及接待的顺利进行。</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2.协助展示馆展示内容更新和接待任务等各项工作；承担展馆的设备日常运行和维护工作；做好设备检查、使用、简单维护维修、易耗品的更换等各项工作记录。</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3.每日开馆前10分钟打开馆内所有设备，检查设备运行状况，闭馆检查设备的关闭情况，中午休息关闭部分投影设备，并在工作时间开启；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4.做好设备的运维资料管理，针对馆内设备/灯具等进行维护、检查，一二层照明灯光由中标供应商负责维修及更换，采购人不负责。发现问题及时维修（每2个小时对馆内设备运行状况进行记录）；</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5.做好备品备件管理，所领用的灯具、设备、消耗品等必须记录使用位置及数量；备品备件不足时，及时提出补充计划；</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6.保持设备间的环境卫生，做好防水、防潮工作，注意天气、温度对设备的影响；下雨、下雪及时主动检查和关闭窗户                  </w:t>
      </w:r>
    </w:p>
    <w:p>
      <w:pPr>
        <w:pStyle w:val="19"/>
        <w:spacing w:before="0" w:beforeAutospacing="0" w:after="0" w:afterAutospacing="0" w:line="400" w:lineRule="exact"/>
        <w:ind w:firstLine="440" w:firstLineChars="200"/>
        <w:rPr>
          <w:color w:val="auto"/>
          <w:sz w:val="22"/>
          <w:highlight w:val="none"/>
        </w:rPr>
      </w:pPr>
      <w:r>
        <w:rPr>
          <w:rFonts w:hint="eastAsia"/>
          <w:color w:val="auto"/>
          <w:sz w:val="22"/>
          <w:highlight w:val="none"/>
        </w:rPr>
        <w:t>7.必须遵守馆内的考勤管理制度，做到按时上下班，不迟到、不早退、不旷工； </w:t>
      </w:r>
    </w:p>
    <w:p>
      <w:pPr>
        <w:pStyle w:val="19"/>
        <w:spacing w:before="0" w:beforeAutospacing="0" w:after="0" w:afterAutospacing="0" w:line="400" w:lineRule="exact"/>
        <w:ind w:firstLine="440" w:firstLineChars="200"/>
        <w:rPr>
          <w:rStyle w:val="33"/>
          <w:rFonts w:hint="default" w:ascii="Calibri" w:hAnsi="Calibri" w:eastAsia="Calibri"/>
          <w:b w:val="0"/>
          <w:color w:val="auto"/>
          <w:sz w:val="22"/>
          <w:szCs w:val="22"/>
          <w:highlight w:val="none"/>
        </w:rPr>
      </w:pPr>
      <w:r>
        <w:rPr>
          <w:rFonts w:hint="eastAsia"/>
          <w:color w:val="auto"/>
          <w:sz w:val="22"/>
          <w:highlight w:val="none"/>
        </w:rPr>
        <w:t>8.做好各项应急预案、紧急处理，预防停电、侵水、漏电以及恶劣天气等突发事件对展馆造成影响和损失；</w:t>
      </w:r>
    </w:p>
    <w:bookmarkEnd w:id="19"/>
    <w:p>
      <w:pPr>
        <w:pStyle w:val="30"/>
        <w:pageBreakBefore w:val="0"/>
        <w:numPr>
          <w:ilvl w:val="0"/>
          <w:numId w:val="0"/>
        </w:numPr>
        <w:kinsoku/>
        <w:wordWrap/>
        <w:overflowPunct/>
        <w:topLinePunct w:val="0"/>
        <w:autoSpaceDE/>
        <w:autoSpaceDN/>
        <w:bidi w:val="0"/>
        <w:adjustRightInd/>
        <w:snapToGrid/>
        <w:spacing w:beforeLines="0" w:afterLines="0" w:line="400" w:lineRule="exact"/>
        <w:textAlignment w:val="auto"/>
        <w:rPr>
          <w:rStyle w:val="29"/>
          <w:rFonts w:hint="default"/>
          <w:b/>
          <w:snapToGrid w:val="0"/>
          <w:color w:val="auto"/>
          <w:highlight w:val="none"/>
        </w:rPr>
      </w:pPr>
      <w:r>
        <w:rPr>
          <w:rStyle w:val="29"/>
          <w:b/>
          <w:snapToGrid w:val="0"/>
          <w:color w:val="auto"/>
          <w:sz w:val="22"/>
          <w:szCs w:val="22"/>
          <w:highlight w:val="none"/>
          <w:lang w:val="en-US"/>
        </w:rPr>
        <w:t>（</w:t>
      </w:r>
      <w:r>
        <w:rPr>
          <w:rStyle w:val="29"/>
          <w:rFonts w:hint="eastAsia"/>
          <w:b/>
          <w:snapToGrid w:val="0"/>
          <w:color w:val="auto"/>
          <w:sz w:val="22"/>
          <w:szCs w:val="22"/>
          <w:highlight w:val="none"/>
          <w:lang w:val="en-US"/>
        </w:rPr>
        <w:t>十二</w:t>
      </w:r>
      <w:r>
        <w:rPr>
          <w:rStyle w:val="29"/>
          <w:b/>
          <w:snapToGrid w:val="0"/>
          <w:color w:val="auto"/>
          <w:sz w:val="22"/>
          <w:szCs w:val="22"/>
          <w:highlight w:val="none"/>
          <w:lang w:val="en-US"/>
        </w:rPr>
        <w:t>）温州市城乡展示</w:t>
      </w:r>
      <w:r>
        <w:rPr>
          <w:rStyle w:val="29"/>
          <w:b/>
          <w:snapToGrid w:val="0"/>
          <w:color w:val="auto"/>
          <w:sz w:val="22"/>
          <w:szCs w:val="22"/>
          <w:highlight w:val="none"/>
        </w:rPr>
        <w:t>馆</w:t>
      </w:r>
      <w:r>
        <w:rPr>
          <w:rStyle w:val="29"/>
          <w:b/>
          <w:snapToGrid w:val="0"/>
          <w:color w:val="auto"/>
          <w:sz w:val="22"/>
          <w:szCs w:val="22"/>
          <w:highlight w:val="none"/>
          <w:lang w:val="en-US"/>
        </w:rPr>
        <w:t>设备</w:t>
      </w:r>
      <w:r>
        <w:rPr>
          <w:rStyle w:val="29"/>
          <w:b/>
          <w:snapToGrid w:val="0"/>
          <w:color w:val="auto"/>
          <w:sz w:val="22"/>
          <w:szCs w:val="22"/>
          <w:highlight w:val="none"/>
        </w:rPr>
        <w:t>维修维护项目清单</w:t>
      </w:r>
    </w:p>
    <w:tbl>
      <w:tblPr>
        <w:tblStyle w:val="22"/>
        <w:tblW w:w="9185" w:type="dxa"/>
        <w:jc w:val="center"/>
        <w:tblLayout w:type="autofit"/>
        <w:tblCellMar>
          <w:top w:w="0" w:type="dxa"/>
          <w:left w:w="108" w:type="dxa"/>
          <w:bottom w:w="0" w:type="dxa"/>
          <w:right w:w="108" w:type="dxa"/>
        </w:tblCellMar>
      </w:tblPr>
      <w:tblGrid>
        <w:gridCol w:w="1832"/>
        <w:gridCol w:w="2848"/>
        <w:gridCol w:w="2376"/>
        <w:gridCol w:w="840"/>
        <w:gridCol w:w="1289"/>
      </w:tblGrid>
      <w:tr>
        <w:tblPrEx>
          <w:tblCellMar>
            <w:top w:w="0" w:type="dxa"/>
            <w:left w:w="108" w:type="dxa"/>
            <w:bottom w:w="0" w:type="dxa"/>
            <w:right w:w="108" w:type="dxa"/>
          </w:tblCellMar>
        </w:tblPrEx>
        <w:trPr>
          <w:trHeight w:val="516" w:hRule="atLeast"/>
          <w:jc w:val="center"/>
        </w:trPr>
        <w:tc>
          <w:tcPr>
            <w:tcW w:w="9185" w:type="dxa"/>
            <w:gridSpan w:val="5"/>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40"/>
                <w:szCs w:val="40"/>
                <w:highlight w:val="none"/>
              </w:rPr>
            </w:pPr>
            <w:r>
              <w:rPr>
                <w:rStyle w:val="34"/>
                <w:rFonts w:hint="default" w:cs="宋体"/>
                <w:b/>
                <w:color w:val="auto"/>
                <w:sz w:val="20"/>
                <w:highlight w:val="none"/>
                <w:lang w:val="en-US"/>
              </w:rPr>
              <w:t>1</w:t>
            </w:r>
            <w:r>
              <w:rPr>
                <w:rStyle w:val="34"/>
                <w:rFonts w:hint="default" w:cs="宋体"/>
                <w:b/>
                <w:color w:val="auto"/>
                <w:sz w:val="20"/>
                <w:highlight w:val="none"/>
              </w:rPr>
              <w:t>、硬件维修维护、零部件及电子元器件</w:t>
            </w:r>
            <w:r>
              <w:rPr>
                <w:rStyle w:val="34"/>
                <w:rFonts w:hint="default" w:cs="宋体"/>
                <w:b/>
                <w:color w:val="auto"/>
                <w:sz w:val="20"/>
                <w:highlight w:val="none"/>
                <w:lang w:val="en-US"/>
              </w:rPr>
              <w:t>清单</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snapToGrid w:val="0"/>
                <w:color w:val="auto"/>
                <w:sz w:val="20"/>
                <w:szCs w:val="20"/>
                <w:highlight w:val="none"/>
              </w:rPr>
            </w:pPr>
            <w:r>
              <w:rPr>
                <w:rFonts w:hint="eastAsia" w:ascii="宋体" w:hAnsi="宋体" w:cs="宋体"/>
                <w:b/>
                <w:color w:val="auto"/>
                <w:sz w:val="20"/>
                <w:szCs w:val="20"/>
                <w:highlight w:val="none"/>
                <w:lang w:bidi="ar"/>
              </w:rPr>
              <w:t>展项</w:t>
            </w:r>
          </w:p>
        </w:tc>
        <w:tc>
          <w:tcPr>
            <w:tcW w:w="2848"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snapToGrid w:val="0"/>
                <w:color w:val="auto"/>
                <w:sz w:val="20"/>
                <w:szCs w:val="20"/>
                <w:highlight w:val="none"/>
              </w:rPr>
            </w:pPr>
            <w:r>
              <w:rPr>
                <w:rFonts w:hint="eastAsia" w:ascii="宋体" w:hAnsi="宋体" w:cs="宋体"/>
                <w:b/>
                <w:color w:val="auto"/>
                <w:sz w:val="20"/>
                <w:szCs w:val="20"/>
                <w:highlight w:val="none"/>
                <w:lang w:bidi="ar"/>
              </w:rPr>
              <w:t>设备名称</w:t>
            </w:r>
          </w:p>
        </w:tc>
        <w:tc>
          <w:tcPr>
            <w:tcW w:w="23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snapToGrid w:val="0"/>
                <w:color w:val="auto"/>
                <w:sz w:val="20"/>
                <w:szCs w:val="20"/>
                <w:highlight w:val="none"/>
              </w:rPr>
            </w:pPr>
            <w:r>
              <w:rPr>
                <w:rFonts w:hint="eastAsia" w:ascii="宋体" w:hAnsi="宋体" w:cs="宋体"/>
                <w:b/>
                <w:color w:val="auto"/>
                <w:sz w:val="20"/>
                <w:szCs w:val="20"/>
                <w:highlight w:val="none"/>
                <w:lang w:bidi="ar"/>
              </w:rPr>
              <w:t>品牌（规格）</w:t>
            </w:r>
          </w:p>
        </w:tc>
        <w:tc>
          <w:tcPr>
            <w:tcW w:w="840"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snapToGrid w:val="0"/>
                <w:color w:val="auto"/>
                <w:sz w:val="20"/>
                <w:szCs w:val="20"/>
                <w:highlight w:val="none"/>
              </w:rPr>
            </w:pPr>
            <w:r>
              <w:rPr>
                <w:rFonts w:hint="eastAsia" w:ascii="宋体" w:hAnsi="宋体" w:cs="宋体"/>
                <w:b/>
                <w:color w:val="auto"/>
                <w:sz w:val="20"/>
                <w:szCs w:val="20"/>
                <w:highlight w:val="none"/>
                <w:lang w:bidi="ar"/>
              </w:rPr>
              <w:t>单位</w:t>
            </w:r>
          </w:p>
        </w:tc>
        <w:tc>
          <w:tcPr>
            <w:tcW w:w="1289"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snapToGrid w:val="0"/>
                <w:color w:val="auto"/>
                <w:sz w:val="20"/>
                <w:szCs w:val="20"/>
                <w:highlight w:val="none"/>
              </w:rPr>
            </w:pPr>
            <w:r>
              <w:rPr>
                <w:rFonts w:hint="eastAsia" w:ascii="宋体" w:hAnsi="宋体" w:cs="宋体"/>
                <w:b/>
                <w:color w:val="auto"/>
                <w:sz w:val="20"/>
                <w:szCs w:val="20"/>
                <w:highlight w:val="none"/>
                <w:lang w:bidi="ar"/>
              </w:rPr>
              <w:t>数量</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宋体"/>
                <w:b/>
                <w:snapToGrid w:val="0"/>
                <w:color w:val="auto"/>
                <w:sz w:val="20"/>
                <w:szCs w:val="20"/>
                <w:highlight w:val="none"/>
              </w:rPr>
            </w:pPr>
          </w:p>
        </w:tc>
        <w:tc>
          <w:tcPr>
            <w:tcW w:w="2848"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宋体"/>
                <w:b/>
                <w:snapToGrid w:val="0"/>
                <w:color w:val="auto"/>
                <w:sz w:val="20"/>
                <w:szCs w:val="20"/>
                <w:highlight w:val="none"/>
              </w:rPr>
            </w:pPr>
          </w:p>
        </w:tc>
        <w:tc>
          <w:tcPr>
            <w:tcW w:w="2376"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宋体"/>
                <w:b/>
                <w:snapToGrid w:val="0"/>
                <w:color w:val="auto"/>
                <w:sz w:val="20"/>
                <w:szCs w:val="20"/>
                <w:highlight w:val="none"/>
              </w:rPr>
            </w:pPr>
          </w:p>
        </w:tc>
        <w:tc>
          <w:tcPr>
            <w:tcW w:w="840"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宋体"/>
                <w:b/>
                <w:snapToGrid w:val="0"/>
                <w:color w:val="auto"/>
                <w:sz w:val="20"/>
                <w:szCs w:val="20"/>
                <w:highlight w:val="none"/>
              </w:rPr>
            </w:pPr>
          </w:p>
        </w:tc>
        <w:tc>
          <w:tcPr>
            <w:tcW w:w="1289" w:type="dxa"/>
            <w:vMerge w:val="continue"/>
            <w:tcBorders>
              <w:top w:val="single" w:color="000000" w:sz="4" w:space="0"/>
              <w:left w:val="single" w:color="000000" w:sz="4" w:space="0"/>
              <w:bottom w:val="single" w:color="000000" w:sz="4" w:space="0"/>
              <w:right w:val="single" w:color="000000" w:sz="4" w:space="0"/>
            </w:tcBorders>
            <w:noWrap/>
            <w:vAlign w:val="center"/>
          </w:tcPr>
          <w:p>
            <w:pPr>
              <w:spacing w:beforeLines="0" w:afterLines="0"/>
              <w:jc w:val="center"/>
              <w:rPr>
                <w:rFonts w:hint="eastAsia" w:ascii="宋体" w:hAnsi="宋体" w:eastAsia="宋体" w:cs="宋体"/>
                <w:b/>
                <w:snapToGrid w:val="0"/>
                <w:color w:val="auto"/>
                <w:sz w:val="20"/>
                <w:szCs w:val="20"/>
                <w:highlight w:val="none"/>
              </w:rPr>
            </w:pP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Style w:val="36"/>
                <w:rFonts w:hint="default"/>
                <w:color w:val="auto"/>
                <w:highlight w:val="none"/>
                <w:lang w:bidi="ar"/>
              </w:rPr>
              <w:t>印象序厅团体入口</w:t>
            </w:r>
            <w:r>
              <w:rPr>
                <w:rStyle w:val="37"/>
                <w:rFonts w:hint="default"/>
                <w:color w:val="auto"/>
                <w:highlight w:val="none"/>
                <w:lang w:bidi="ar"/>
              </w:rPr>
              <w:t>LED</w:t>
            </w:r>
            <w:r>
              <w:rPr>
                <w:rStyle w:val="36"/>
                <w:rFonts w:hint="default"/>
                <w:color w:val="auto"/>
                <w:highlight w:val="none"/>
                <w:lang w:bidi="ar"/>
              </w:rPr>
              <w:t>欢迎屏系统及市民主出入口</w:t>
            </w:r>
            <w:r>
              <w:rPr>
                <w:rStyle w:val="37"/>
                <w:rFonts w:hint="default"/>
                <w:color w:val="auto"/>
                <w:highlight w:val="none"/>
                <w:lang w:bidi="ar"/>
              </w:rPr>
              <w:t>LED</w:t>
            </w:r>
            <w:r>
              <w:rPr>
                <w:rStyle w:val="36"/>
                <w:rFonts w:hint="default"/>
                <w:color w:val="auto"/>
                <w:highlight w:val="none"/>
                <w:lang w:bidi="ar"/>
              </w:rPr>
              <w:t>欢迎屏系统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LED欢迎屏服务器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LED欢迎屏显示器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23</w:t>
            </w:r>
            <w:r>
              <w:rPr>
                <w:rStyle w:val="38"/>
                <w:rFonts w:hint="default"/>
                <w:color w:val="auto"/>
                <w:highlight w:val="none"/>
                <w:lang w:bidi="ar"/>
              </w:rPr>
              <w:t>寸</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88"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P10LED屏</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7"/>
                <w:rFonts w:hint="default"/>
                <w:color w:val="auto"/>
                <w:highlight w:val="none"/>
                <w:lang w:bidi="ar"/>
              </w:rPr>
              <w:t>P10LED</w:t>
            </w:r>
            <w:r>
              <w:rPr>
                <w:rStyle w:val="38"/>
                <w:rFonts w:hint="default"/>
                <w:color w:val="auto"/>
                <w:highlight w:val="none"/>
                <w:lang w:bidi="ar"/>
              </w:rPr>
              <w:t>、</w:t>
            </w:r>
            <w:r>
              <w:rPr>
                <w:rStyle w:val="37"/>
                <w:rFonts w:hint="default"/>
                <w:color w:val="auto"/>
                <w:highlight w:val="none"/>
                <w:lang w:bidi="ar"/>
              </w:rPr>
              <w:t>4.9</w:t>
            </w:r>
            <w:r>
              <w:rPr>
                <w:rStyle w:val="38"/>
                <w:rFonts w:hint="default"/>
                <w:color w:val="auto"/>
                <w:highlight w:val="none"/>
                <w:lang w:bidi="ar"/>
              </w:rPr>
              <w: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4.9</w:t>
            </w:r>
          </w:p>
        </w:tc>
      </w:tr>
      <w:tr>
        <w:tblPrEx>
          <w:tblCellMar>
            <w:top w:w="0" w:type="dxa"/>
            <w:left w:w="108" w:type="dxa"/>
            <w:bottom w:w="0" w:type="dxa"/>
            <w:right w:w="108" w:type="dxa"/>
          </w:tblCellMar>
        </w:tblPrEx>
        <w:trPr>
          <w:trHeight w:val="288"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88"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23</w:t>
            </w:r>
            <w:r>
              <w:rPr>
                <w:rStyle w:val="38"/>
                <w:rFonts w:hint="default"/>
                <w:color w:val="auto"/>
                <w:highlight w:val="none"/>
                <w:lang w:bidi="ar"/>
              </w:rPr>
              <w:t>寸</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88"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印象序厅联接世界展示系统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22寸显示器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LB-M0220CM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5</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5</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印象序厅聚焦温州展示系统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55寸DID专业显示器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三星</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5</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5</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Style w:val="36"/>
                <w:rFonts w:hint="default"/>
                <w:color w:val="auto"/>
                <w:highlight w:val="none"/>
                <w:lang w:bidi="ar"/>
              </w:rPr>
              <w:t>印象序厅</w:t>
            </w:r>
            <w:r>
              <w:rPr>
                <w:rStyle w:val="37"/>
                <w:rFonts w:hint="default"/>
                <w:color w:val="auto"/>
                <w:highlight w:val="none"/>
                <w:lang w:bidi="ar"/>
              </w:rPr>
              <w:t>LED</w:t>
            </w:r>
            <w:r>
              <w:rPr>
                <w:rStyle w:val="36"/>
                <w:rFonts w:hint="default"/>
                <w:color w:val="auto"/>
                <w:highlight w:val="none"/>
                <w:lang w:bidi="ar"/>
              </w:rPr>
              <w:t>显示墙</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全彩P10LED屏</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P10LED</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50</w:t>
            </w:r>
          </w:p>
        </w:tc>
      </w:tr>
      <w:tr>
        <w:tblPrEx>
          <w:tblCellMar>
            <w:top w:w="0" w:type="dxa"/>
            <w:left w:w="108" w:type="dxa"/>
            <w:bottom w:w="0" w:type="dxa"/>
            <w:right w:w="108" w:type="dxa"/>
          </w:tblCellMar>
        </w:tblPrEx>
        <w:trPr>
          <w:trHeight w:val="29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戴尔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戴尔23寸</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印象序厅市民体验系统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22寸显示器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LB-M0220CM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32寸触控系统</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7"/>
                <w:rFonts w:hint="default"/>
                <w:color w:val="auto"/>
                <w:highlight w:val="none"/>
                <w:lang w:bidi="ar"/>
              </w:rPr>
              <w:t>32</w:t>
            </w:r>
            <w:r>
              <w:rPr>
                <w:rStyle w:val="38"/>
                <w:rFonts w:hint="default"/>
                <w:color w:val="auto"/>
                <w:highlight w:val="none"/>
                <w:lang w:bidi="ar"/>
              </w:rPr>
              <w:t>寸红外触摸屏</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城市概况厅印象温州影片展示系统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46寸DID专业显示器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三星</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9</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LB-M0220CM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吸顶扬声器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BW6.2TG</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只</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定压功放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BA3240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只</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Style w:val="36"/>
                <w:rFonts w:hint="default"/>
                <w:color w:val="auto"/>
                <w:highlight w:val="none"/>
                <w:lang w:bidi="ar"/>
              </w:rPr>
              <w:t>历史文化厅</w:t>
            </w:r>
            <w:r>
              <w:rPr>
                <w:rStyle w:val="37"/>
                <w:rFonts w:hint="default"/>
                <w:color w:val="auto"/>
                <w:highlight w:val="none"/>
                <w:lang w:bidi="ar"/>
              </w:rPr>
              <w:t>“</w:t>
            </w:r>
            <w:r>
              <w:rPr>
                <w:rStyle w:val="36"/>
                <w:rFonts w:hint="default"/>
                <w:color w:val="auto"/>
                <w:highlight w:val="none"/>
                <w:lang w:bidi="ar"/>
              </w:rPr>
              <w:t>智慧古城</w:t>
            </w:r>
            <w:r>
              <w:rPr>
                <w:rStyle w:val="37"/>
                <w:rFonts w:hint="default"/>
                <w:color w:val="auto"/>
                <w:highlight w:val="none"/>
                <w:lang w:bidi="ar"/>
              </w:rPr>
              <w:t>”</w:t>
            </w:r>
            <w:r>
              <w:rPr>
                <w:rStyle w:val="36"/>
                <w:rFonts w:hint="default"/>
                <w:color w:val="auto"/>
                <w:highlight w:val="none"/>
                <w:lang w:bidi="ar"/>
              </w:rPr>
              <w:t>展示模型及系统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投影机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巴可</w:t>
            </w:r>
            <w:r>
              <w:rPr>
                <w:rStyle w:val="37"/>
                <w:rFonts w:hint="default"/>
                <w:color w:val="auto"/>
                <w:highlight w:val="none"/>
                <w:lang w:bidi="ar"/>
              </w:rPr>
              <w:t>PGWX-61B</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4寸音响</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S400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β3 TA2.550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LB-M0220CM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投影机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巴可</w:t>
            </w:r>
            <w:r>
              <w:rPr>
                <w:rStyle w:val="37"/>
                <w:rFonts w:hint="default"/>
                <w:color w:val="auto"/>
                <w:highlight w:val="none"/>
                <w:lang w:bidi="ar"/>
              </w:rPr>
              <w:t>PGWX-61B</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50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短焦镜头</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巴可</w:t>
            </w:r>
            <w:r>
              <w:rPr>
                <w:rStyle w:val="37"/>
                <w:rFonts w:hint="default"/>
                <w:color w:val="auto"/>
                <w:highlight w:val="none"/>
                <w:lang w:bidi="ar"/>
              </w:rPr>
              <w:t>PGWX-61B</w:t>
            </w:r>
            <w:r>
              <w:rPr>
                <w:rStyle w:val="38"/>
                <w:rFonts w:hint="default"/>
                <w:color w:val="auto"/>
                <w:highlight w:val="none"/>
                <w:lang w:bidi="ar"/>
              </w:rPr>
              <w:t>专用短焦镜头</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385"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历史文化厅文化名郡区电子翻书互动系统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投影机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松下BX40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历史文化厅幻影成像历史街区展示系统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42寸DID专业显示器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LG</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功放及音响</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套</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历史文化厅历史文化街区展示系统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41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Style w:val="36"/>
                <w:rFonts w:hint="default"/>
                <w:color w:val="auto"/>
                <w:highlight w:val="none"/>
                <w:lang w:bidi="ar"/>
              </w:rPr>
              <w:t>历史文化厅</w:t>
            </w:r>
            <w:r>
              <w:rPr>
                <w:rStyle w:val="37"/>
                <w:rFonts w:hint="default"/>
                <w:color w:val="auto"/>
                <w:highlight w:val="none"/>
                <w:lang w:bidi="ar"/>
              </w:rPr>
              <w:t>“</w:t>
            </w:r>
            <w:r>
              <w:rPr>
                <w:rStyle w:val="36"/>
                <w:rFonts w:hint="default"/>
                <w:color w:val="auto"/>
                <w:highlight w:val="none"/>
                <w:lang w:bidi="ar"/>
              </w:rPr>
              <w:t>特色建筑扫描仪</w:t>
            </w:r>
            <w:r>
              <w:rPr>
                <w:rStyle w:val="37"/>
                <w:rFonts w:hint="default"/>
                <w:color w:val="auto"/>
                <w:highlight w:val="none"/>
                <w:lang w:bidi="ar"/>
              </w:rPr>
              <w:t>”</w:t>
            </w:r>
            <w:r>
              <w:rPr>
                <w:rStyle w:val="36"/>
                <w:rFonts w:hint="default"/>
                <w:color w:val="auto"/>
                <w:highlight w:val="none"/>
                <w:lang w:bidi="ar"/>
              </w:rPr>
              <w:t>交互式移动屏</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LB-M0320CM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阳光公示厅城市论坛展示系统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46寸DID专业显示器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7"/>
                <w:rFonts w:hint="default"/>
                <w:color w:val="auto"/>
                <w:highlight w:val="none"/>
                <w:lang w:bidi="ar"/>
              </w:rPr>
              <w:t>LB-PJGL4600</w:t>
            </w:r>
            <w:r>
              <w:rPr>
                <w:rStyle w:val="38"/>
                <w:rFonts w:hint="default"/>
                <w:color w:val="auto"/>
                <w:highlight w:val="none"/>
                <w:lang w:bidi="ar"/>
              </w:rPr>
              <w:t>三星</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4寸音响</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S400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无线话筒</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TS6780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只</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β3 TA2.550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规划之路移动互动屏展示系统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投影机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巴可</w:t>
            </w:r>
            <w:r>
              <w:rPr>
                <w:rStyle w:val="37"/>
                <w:rFonts w:hint="default"/>
                <w:color w:val="auto"/>
                <w:highlight w:val="none"/>
                <w:lang w:bidi="ar"/>
              </w:rPr>
              <w:t>PGWX-61B</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4寸音响</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S400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β3 TA2.550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LB-M0220CM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Style w:val="36"/>
                <w:rFonts w:hint="default"/>
                <w:color w:val="auto"/>
                <w:highlight w:val="none"/>
                <w:lang w:bidi="ar"/>
              </w:rPr>
              <w:t>靓丽山水厅</w:t>
            </w:r>
            <w:r>
              <w:rPr>
                <w:rStyle w:val="37"/>
                <w:rFonts w:hint="default"/>
                <w:color w:val="auto"/>
                <w:highlight w:val="none"/>
                <w:lang w:bidi="ar"/>
              </w:rPr>
              <w:t>“</w:t>
            </w:r>
            <w:r>
              <w:rPr>
                <w:rStyle w:val="36"/>
                <w:rFonts w:hint="default"/>
                <w:color w:val="auto"/>
                <w:highlight w:val="none"/>
                <w:lang w:bidi="ar"/>
              </w:rPr>
              <w:t>八十里荷塘</w:t>
            </w:r>
            <w:r>
              <w:rPr>
                <w:rStyle w:val="37"/>
                <w:rFonts w:hint="default"/>
                <w:color w:val="auto"/>
                <w:highlight w:val="none"/>
                <w:lang w:bidi="ar"/>
              </w:rPr>
              <w:t>”</w:t>
            </w:r>
            <w:r>
              <w:rPr>
                <w:rStyle w:val="36"/>
                <w:rFonts w:hint="default"/>
                <w:color w:val="auto"/>
                <w:highlight w:val="none"/>
                <w:lang w:bidi="ar"/>
              </w:rPr>
              <w:t>互动体验系统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投影机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巴可</w:t>
            </w:r>
            <w:r>
              <w:rPr>
                <w:rStyle w:val="37"/>
                <w:rFonts w:hint="default"/>
                <w:color w:val="auto"/>
                <w:highlight w:val="none"/>
                <w:lang w:bidi="ar"/>
              </w:rPr>
              <w:t>PGWX-61B</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4寸音响</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S400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β3 TA2.550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LB-M0320CM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Style w:val="36"/>
                <w:rFonts w:hint="default"/>
                <w:color w:val="auto"/>
                <w:highlight w:val="none"/>
                <w:lang w:bidi="ar"/>
              </w:rPr>
              <w:t>靓丽山水厅自行车</w:t>
            </w:r>
            <w:r>
              <w:rPr>
                <w:rStyle w:val="37"/>
                <w:rFonts w:hint="default"/>
                <w:color w:val="auto"/>
                <w:highlight w:val="none"/>
                <w:lang w:bidi="ar"/>
              </w:rPr>
              <w:t>VR</w:t>
            </w:r>
            <w:r>
              <w:rPr>
                <w:rStyle w:val="36"/>
                <w:rFonts w:hint="default"/>
                <w:color w:val="auto"/>
                <w:highlight w:val="none"/>
                <w:lang w:bidi="ar"/>
              </w:rPr>
              <w:t>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投影机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明基</w:t>
            </w:r>
            <w:r>
              <w:rPr>
                <w:rStyle w:val="37"/>
                <w:rFonts w:hint="default"/>
                <w:color w:val="auto"/>
                <w:highlight w:val="none"/>
                <w:lang w:bidi="ar"/>
              </w:rPr>
              <w:t>DX806ST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Style w:val="36"/>
                <w:rFonts w:hint="default"/>
                <w:color w:val="auto"/>
                <w:highlight w:val="none"/>
                <w:lang w:bidi="ar"/>
              </w:rPr>
              <w:t>靓丽山水厅</w:t>
            </w:r>
            <w:r>
              <w:rPr>
                <w:rStyle w:val="37"/>
                <w:rFonts w:hint="default"/>
                <w:color w:val="auto"/>
                <w:highlight w:val="none"/>
                <w:lang w:bidi="ar"/>
              </w:rPr>
              <w:t>“</w:t>
            </w:r>
            <w:r>
              <w:rPr>
                <w:rStyle w:val="36"/>
                <w:rFonts w:hint="default"/>
                <w:color w:val="auto"/>
                <w:highlight w:val="none"/>
                <w:lang w:bidi="ar"/>
              </w:rPr>
              <w:t>宜游温州</w:t>
            </w:r>
            <w:r>
              <w:rPr>
                <w:rStyle w:val="37"/>
                <w:rFonts w:hint="default"/>
                <w:color w:val="auto"/>
                <w:highlight w:val="none"/>
                <w:lang w:bidi="ar"/>
              </w:rPr>
              <w:t>”</w:t>
            </w:r>
            <w:r>
              <w:rPr>
                <w:rStyle w:val="36"/>
                <w:rFonts w:hint="default"/>
                <w:color w:val="auto"/>
                <w:highlight w:val="none"/>
                <w:lang w:bidi="ar"/>
              </w:rPr>
              <w:t>交互体验系统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55寸DID专业显示器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7"/>
                <w:rFonts w:hint="default"/>
                <w:color w:val="auto"/>
                <w:highlight w:val="none"/>
                <w:lang w:bidi="ar"/>
              </w:rPr>
              <w:t>LB-PJGL5500</w:t>
            </w:r>
            <w:r>
              <w:rPr>
                <w:rStyle w:val="36"/>
                <w:rFonts w:hint="default"/>
                <w:color w:val="auto"/>
                <w:highlight w:val="none"/>
                <w:lang w:bidi="ar"/>
              </w:rPr>
              <w:t>三星</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4寸音响</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S400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β3 TA2.550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60寸触摸显示器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LB-M0600CM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靓丽山水厅生态园区展示系统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60寸液晶显示器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LB-M0600CM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宜居城市厅基础设施规划展示系统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LB-M0320CM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LB-M0320CM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60寸触摸显示器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LB-M0600CM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宜居城市厅综合交通演示系统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投影机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巴可</w:t>
            </w:r>
            <w:r>
              <w:rPr>
                <w:rStyle w:val="37"/>
                <w:rFonts w:hint="default"/>
                <w:color w:val="auto"/>
                <w:highlight w:val="none"/>
                <w:lang w:bidi="ar"/>
              </w:rPr>
              <w:t>PGWX-61B</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4寸音响</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9"/>
                <w:rFonts w:hint="eastAsia" w:ascii="宋体" w:hAnsi="宋体" w:cs="宋体"/>
                <w:color w:val="auto"/>
                <w:highlight w:val="none"/>
                <w:lang w:bidi="ar"/>
              </w:rPr>
              <w:t>β</w:t>
            </w:r>
            <w:r>
              <w:rPr>
                <w:rStyle w:val="37"/>
                <w:rFonts w:hint="default"/>
                <w:color w:val="auto"/>
                <w:highlight w:val="none"/>
                <w:lang w:bidi="ar"/>
              </w:rPr>
              <w:t>3 S400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9"/>
                <w:rFonts w:hint="eastAsia" w:ascii="宋体" w:hAnsi="宋体" w:cs="宋体"/>
                <w:color w:val="auto"/>
                <w:highlight w:val="none"/>
                <w:lang w:bidi="ar"/>
              </w:rPr>
              <w:t>β</w:t>
            </w:r>
            <w:r>
              <w:rPr>
                <w:rStyle w:val="37"/>
                <w:rFonts w:hint="default"/>
                <w:color w:val="auto"/>
                <w:highlight w:val="none"/>
                <w:lang w:bidi="ar"/>
              </w:rPr>
              <w:t>3 TA2.550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宜居城市厅游艇体验展示系统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投影机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巴可</w:t>
            </w:r>
            <w:r>
              <w:rPr>
                <w:rStyle w:val="37"/>
                <w:rFonts w:hint="default"/>
                <w:color w:val="auto"/>
                <w:highlight w:val="none"/>
                <w:lang w:bidi="ar"/>
              </w:rPr>
              <w:t>PGWX-61B</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50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短焦镜头</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巴可</w:t>
            </w:r>
            <w:r>
              <w:rPr>
                <w:rStyle w:val="37"/>
                <w:rFonts w:hint="default"/>
                <w:color w:val="auto"/>
                <w:highlight w:val="none"/>
                <w:lang w:bidi="ar"/>
              </w:rPr>
              <w:t>PGWX-61B</w:t>
            </w:r>
            <w:r>
              <w:rPr>
                <w:rStyle w:val="38"/>
                <w:rFonts w:hint="default"/>
                <w:color w:val="auto"/>
                <w:highlight w:val="none"/>
                <w:lang w:bidi="ar"/>
              </w:rPr>
              <w:t>专用短焦镜头</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图形工作站</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4寸音响</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S400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β3 TA2.550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22寸显示器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 xml:space="preserve"> LB-M0220CM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宜居城市厅港口规划展示系统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 xml:space="preserve"> LB-M0220CM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宜居城市厅行政服务设施等展示系统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LB-M0420CM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LB-M0420CM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Style w:val="36"/>
                <w:rFonts w:hint="default"/>
                <w:color w:val="auto"/>
                <w:highlight w:val="none"/>
                <w:lang w:bidi="ar"/>
              </w:rPr>
              <w:t>温商家园展厅</w:t>
            </w:r>
            <w:r>
              <w:rPr>
                <w:rStyle w:val="37"/>
                <w:rFonts w:hint="default"/>
                <w:color w:val="auto"/>
                <w:highlight w:val="none"/>
                <w:lang w:bidi="ar"/>
              </w:rPr>
              <w:t>“</w:t>
            </w:r>
            <w:r>
              <w:rPr>
                <w:rStyle w:val="36"/>
                <w:rFonts w:hint="default"/>
                <w:color w:val="auto"/>
                <w:highlight w:val="none"/>
                <w:lang w:bidi="ar"/>
              </w:rPr>
              <w:t>招商引资</w:t>
            </w:r>
            <w:r>
              <w:rPr>
                <w:rStyle w:val="37"/>
                <w:rFonts w:hint="default"/>
                <w:color w:val="auto"/>
                <w:highlight w:val="none"/>
                <w:lang w:bidi="ar"/>
              </w:rPr>
              <w:t>”</w:t>
            </w:r>
            <w:r>
              <w:rPr>
                <w:rStyle w:val="36"/>
                <w:rFonts w:hint="default"/>
                <w:color w:val="auto"/>
                <w:highlight w:val="none"/>
                <w:lang w:bidi="ar"/>
              </w:rPr>
              <w:t>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投影机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巴可</w:t>
            </w:r>
            <w:r>
              <w:rPr>
                <w:rStyle w:val="37"/>
                <w:rFonts w:hint="default"/>
                <w:color w:val="auto"/>
                <w:highlight w:val="none"/>
                <w:lang w:bidi="ar"/>
              </w:rPr>
              <w:t>PFWX-51B</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4寸音响</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S400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36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β3 TA2.550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LB-M0320CM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规划科普长廊展示系统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LB-M0420CM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w:t>
            </w:r>
          </w:p>
        </w:tc>
      </w:tr>
      <w:tr>
        <w:tblPrEx>
          <w:tblCellMar>
            <w:top w:w="0" w:type="dxa"/>
            <w:left w:w="108" w:type="dxa"/>
            <w:bottom w:w="0" w:type="dxa"/>
            <w:right w:w="108" w:type="dxa"/>
          </w:tblCellMar>
        </w:tblPrEx>
        <w:trPr>
          <w:trHeight w:val="376"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重点片区厅中央绿轴展示系统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LB-M0220CM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352"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363"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重点片区厅龙湾中心区展示系统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47寸触摸显示器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LB-M0470CM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335"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528"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重点片区厅滨江商务区影片展示系统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46寸DID拼接屏</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6"/>
                <w:rFonts w:hint="default"/>
                <w:color w:val="auto"/>
                <w:highlight w:val="none"/>
                <w:lang w:bidi="ar"/>
              </w:rPr>
              <w:t>拼接屏</w:t>
            </w:r>
            <w:r>
              <w:rPr>
                <w:rStyle w:val="37"/>
                <w:rFonts w:hint="default"/>
                <w:color w:val="auto"/>
                <w:highlight w:val="none"/>
                <w:lang w:bidi="ar"/>
              </w:rPr>
              <w:t>3*4LB-PJGL4600</w:t>
            </w:r>
            <w:r>
              <w:rPr>
                <w:rStyle w:val="36"/>
                <w:rFonts w:hint="default"/>
                <w:color w:val="auto"/>
                <w:highlight w:val="none"/>
                <w:lang w:bidi="ar"/>
              </w:rPr>
              <w:t>三星</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8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4寸音响</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S400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5"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β3 TA2.550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31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 xml:space="preserve"> LB-M0220CM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311"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重点片区厅瓯海中心区展示系统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47寸触摸显示器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LB-M0470CM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城乡统筹厅县市区规划展示系统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47寸触摸显示器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LB-M0470CM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城乡统筹厅互动移屏系统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32寸液晶显示器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LB-M0320CM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戴尔</w:t>
            </w:r>
            <w:r>
              <w:rPr>
                <w:rStyle w:val="37"/>
                <w:rFonts w:hint="default"/>
                <w:color w:val="auto"/>
                <w:highlight w:val="none"/>
                <w:lang w:bidi="ar"/>
              </w:rPr>
              <w:t xml:space="preserve"> XPS 8500-R368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总规沙盘区看台城区规划展示系统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60寸触摸显示器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LB-M0600CM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未来城市体验厅智慧交通展示系统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60寸液晶显示器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LB-M0600CM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未来城市体验厅电子签名系统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60寸触摸显示器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LB-M0600CM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未来城市体验厅绿色交通展示系统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60寸液晶显示器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LB-M0600CM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未来城市体验厅低碳生活展示系统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60寸液晶显示器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LB-M0600CM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未来城市体验厅智慧城建展示系统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60寸液晶显示器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LB-M0600CM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 xml:space="preserve"> LB-M0220CM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8"/>
                <w:rFonts w:hint="default"/>
                <w:color w:val="auto"/>
                <w:highlight w:val="none"/>
                <w:lang w:bidi="ar"/>
              </w:rPr>
              <w:t>英特尔</w:t>
            </w:r>
            <w:r>
              <w:rPr>
                <w:rStyle w:val="37"/>
                <w:rFonts w:hint="default"/>
                <w:color w:val="auto"/>
                <w:highlight w:val="none"/>
                <w:lang w:bidi="ar"/>
              </w:rPr>
              <w:t>DC32171YE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三层走廊展示系统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42寸触摸显示器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LB-M0420CM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英特尔NUC</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英特尔</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325"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监控系统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高级网络红外半球摄像机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DS-2CD4324F-I</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46</w:t>
            </w:r>
          </w:p>
        </w:tc>
      </w:tr>
      <w:tr>
        <w:tblPrEx>
          <w:tblCellMar>
            <w:top w:w="0" w:type="dxa"/>
            <w:left w:w="108" w:type="dxa"/>
            <w:bottom w:w="0" w:type="dxa"/>
            <w:right w:w="108" w:type="dxa"/>
          </w:tblCellMar>
        </w:tblPrEx>
        <w:trPr>
          <w:trHeight w:val="299"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开关电源</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DC12V</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个</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w:t>
            </w:r>
          </w:p>
        </w:tc>
      </w:tr>
      <w:tr>
        <w:tblPrEx>
          <w:tblCellMar>
            <w:top w:w="0" w:type="dxa"/>
            <w:left w:w="108" w:type="dxa"/>
            <w:bottom w:w="0" w:type="dxa"/>
            <w:right w:w="108" w:type="dxa"/>
          </w:tblCellMar>
        </w:tblPrEx>
        <w:trPr>
          <w:trHeight w:val="29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16路嵌入式硬盘录像机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NVR DS-7916N-E4</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w:t>
            </w:r>
          </w:p>
        </w:tc>
      </w:tr>
      <w:tr>
        <w:tblPrEx>
          <w:tblCellMar>
            <w:top w:w="0" w:type="dxa"/>
            <w:left w:w="108" w:type="dxa"/>
            <w:bottom w:w="0" w:type="dxa"/>
            <w:right w:w="108" w:type="dxa"/>
          </w:tblCellMar>
        </w:tblPrEx>
        <w:trPr>
          <w:trHeight w:val="31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企业级硬</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块</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8</w:t>
            </w:r>
          </w:p>
        </w:tc>
      </w:tr>
      <w:tr>
        <w:tblPrEx>
          <w:tblCellMar>
            <w:top w:w="0" w:type="dxa"/>
            <w:left w:w="108" w:type="dxa"/>
            <w:bottom w:w="0" w:type="dxa"/>
            <w:right w:w="108" w:type="dxa"/>
          </w:tblCellMar>
        </w:tblPrEx>
        <w:trPr>
          <w:trHeight w:val="31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32寸液晶显示器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LB-M0320CM</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w:t>
            </w:r>
          </w:p>
        </w:tc>
      </w:tr>
      <w:tr>
        <w:tblPrEx>
          <w:tblCellMar>
            <w:top w:w="0" w:type="dxa"/>
            <w:left w:w="108" w:type="dxa"/>
            <w:bottom w:w="0" w:type="dxa"/>
            <w:right w:w="108" w:type="dxa"/>
          </w:tblCellMar>
        </w:tblPrEx>
        <w:trPr>
          <w:trHeight w:val="299"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24口交换机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个</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nil"/>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rPr>
              <w:t>中控系统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8路16A双值输出控制模块</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蓝科</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个</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32</w:t>
            </w:r>
          </w:p>
        </w:tc>
      </w:tr>
      <w:tr>
        <w:tblPrEx>
          <w:tblCellMar>
            <w:top w:w="0" w:type="dxa"/>
            <w:left w:w="108" w:type="dxa"/>
            <w:bottom w:w="0" w:type="dxa"/>
            <w:right w:w="108" w:type="dxa"/>
          </w:tblCellMar>
        </w:tblPrEx>
        <w:trPr>
          <w:trHeight w:val="264" w:hRule="atLeast"/>
          <w:jc w:val="center"/>
        </w:trPr>
        <w:tc>
          <w:tcPr>
            <w:tcW w:w="1832" w:type="dxa"/>
            <w:vMerge w:val="continue"/>
            <w:tcBorders>
              <w:top w:val="nil"/>
              <w:left w:val="single" w:color="000000" w:sz="4" w:space="0"/>
              <w:bottom w:val="nil"/>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智能集中控制器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蓝科</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套</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 xml:space="preserve">4 </w:t>
            </w:r>
          </w:p>
        </w:tc>
      </w:tr>
      <w:tr>
        <w:tblPrEx>
          <w:tblCellMar>
            <w:top w:w="0" w:type="dxa"/>
            <w:left w:w="108" w:type="dxa"/>
            <w:bottom w:w="0" w:type="dxa"/>
            <w:right w:w="108" w:type="dxa"/>
          </w:tblCellMar>
        </w:tblPrEx>
        <w:trPr>
          <w:trHeight w:val="264" w:hRule="atLeast"/>
          <w:jc w:val="center"/>
        </w:trPr>
        <w:tc>
          <w:tcPr>
            <w:tcW w:w="1832" w:type="dxa"/>
            <w:vMerge w:val="continue"/>
            <w:tcBorders>
              <w:top w:val="nil"/>
              <w:left w:val="single" w:color="000000" w:sz="4" w:space="0"/>
              <w:bottom w:val="nil"/>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无线控制器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TP-LINK</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个</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nil"/>
              <w:left w:val="single" w:color="000000" w:sz="4" w:space="0"/>
              <w:bottom w:val="nil"/>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无线AP接入点</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TP-LINK</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个</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48</w:t>
            </w:r>
          </w:p>
        </w:tc>
      </w:tr>
      <w:tr>
        <w:tblPrEx>
          <w:tblCellMar>
            <w:top w:w="0" w:type="dxa"/>
            <w:left w:w="108" w:type="dxa"/>
            <w:bottom w:w="0" w:type="dxa"/>
            <w:right w:w="108" w:type="dxa"/>
          </w:tblCellMar>
        </w:tblPrEx>
        <w:trPr>
          <w:trHeight w:val="264" w:hRule="atLeast"/>
          <w:jc w:val="center"/>
        </w:trPr>
        <w:tc>
          <w:tcPr>
            <w:tcW w:w="1832" w:type="dxa"/>
            <w:vMerge w:val="continue"/>
            <w:tcBorders>
              <w:top w:val="nil"/>
              <w:left w:val="single" w:color="000000" w:sz="4" w:space="0"/>
              <w:bottom w:val="nil"/>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千兆路由器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TP-LINK</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套</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nil"/>
              <w:left w:val="single" w:color="000000" w:sz="4" w:space="0"/>
              <w:bottom w:val="nil"/>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IPAD</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APPLE</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3</w:t>
            </w:r>
          </w:p>
        </w:tc>
      </w:tr>
      <w:tr>
        <w:tblPrEx>
          <w:tblCellMar>
            <w:top w:w="0" w:type="dxa"/>
            <w:left w:w="108" w:type="dxa"/>
            <w:bottom w:w="0" w:type="dxa"/>
            <w:right w:w="108" w:type="dxa"/>
          </w:tblCellMar>
        </w:tblPrEx>
        <w:trPr>
          <w:trHeight w:val="264" w:hRule="atLeast"/>
          <w:jc w:val="center"/>
        </w:trPr>
        <w:tc>
          <w:tcPr>
            <w:tcW w:w="1832" w:type="dxa"/>
            <w:vMerge w:val="continue"/>
            <w:tcBorders>
              <w:top w:val="nil"/>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服务器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DELL</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lang w:bidi="ar"/>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智慧讲解系统</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团队智能讲解接收器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HD-ZH2J-JS-02</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主播放器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HDWBZ-512</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61</w:t>
            </w:r>
          </w:p>
        </w:tc>
      </w:tr>
      <w:tr>
        <w:tblPrEx>
          <w:tblCellMar>
            <w:top w:w="0" w:type="dxa"/>
            <w:left w:w="108" w:type="dxa"/>
            <w:bottom w:w="0" w:type="dxa"/>
            <w:right w:w="108" w:type="dxa"/>
          </w:tblCellMar>
        </w:tblPrEx>
        <w:trPr>
          <w:trHeight w:val="32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8路音频智能优选模块</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HDWB-Y8</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通道自动适配器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HDWB-Z512</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团队智慧讲解发射</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HD-WT-T2-GS1-02</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5</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单路话筒自动链接</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HDWB-HTL1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自动讲解话筒</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HDWB-HT1</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335"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Style w:val="36"/>
                <w:rFonts w:hint="default"/>
                <w:color w:val="auto"/>
                <w:highlight w:val="none"/>
                <w:lang w:bidi="ar"/>
              </w:rPr>
              <w:t>户外</w:t>
            </w:r>
            <w:r>
              <w:rPr>
                <w:rStyle w:val="37"/>
                <w:rFonts w:hint="default"/>
                <w:color w:val="auto"/>
                <w:highlight w:val="none"/>
                <w:lang w:bidi="ar"/>
              </w:rPr>
              <w:t>LED</w:t>
            </w:r>
            <w:r>
              <w:rPr>
                <w:rStyle w:val="36"/>
                <w:rFonts w:hint="default"/>
                <w:color w:val="auto"/>
                <w:highlight w:val="none"/>
                <w:lang w:bidi="ar"/>
              </w:rPr>
              <w:t>全彩显示墙</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P6.0户外LED全彩显示墙</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7.1㎡晶元、华灿</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7.1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图形工作站</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DELL</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总规数字沙盘</w:t>
            </w: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LED全彩屏地幕系统</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7"/>
                <w:rFonts w:hint="default"/>
                <w:color w:val="auto"/>
                <w:highlight w:val="none"/>
                <w:lang w:bidi="ar"/>
              </w:rPr>
              <w:t>360</w:t>
            </w:r>
            <w:r>
              <w:rPr>
                <w:rStyle w:val="38"/>
                <w:rFonts w:hint="default"/>
                <w:color w:val="auto"/>
                <w:highlight w:val="none"/>
                <w:lang w:bidi="ar"/>
              </w:rPr>
              <w: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套</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P6.0LED全彩屏地幕</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360</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视频拼接器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套</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6</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LED直幕演示系统</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7"/>
                <w:rFonts w:hint="default"/>
                <w:color w:val="auto"/>
                <w:highlight w:val="none"/>
                <w:lang w:bidi="ar"/>
              </w:rPr>
              <w:t>168</w:t>
            </w:r>
            <w:r>
              <w:rPr>
                <w:rStyle w:val="38"/>
                <w:rFonts w:hint="default"/>
                <w:color w:val="auto"/>
                <w:highlight w:val="none"/>
                <w:lang w:bidi="ar"/>
              </w:rPr>
              <w:t>㎡</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套</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32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P6.0LED直幕演示系统</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168</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视频拼接器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套</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4</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22寸触控一体机</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套</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325"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数字沙盘区域音响系统</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套</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全频音箱</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ICE AUDIO</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只</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10</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单15寸超低音</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ICE AUDIO</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只</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全频音箱功放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TJ</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超低音响功放</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TJ</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音频处理器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DBX</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调音台</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YAMAHA</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电源时序器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Style w:val="39"/>
                <w:rFonts w:hint="eastAsia" w:ascii="宋体" w:hAnsi="宋体" w:cs="宋体"/>
                <w:color w:val="auto"/>
                <w:highlight w:val="none"/>
                <w:lang w:bidi="ar"/>
              </w:rPr>
              <w:t>β</w:t>
            </w:r>
            <w:r>
              <w:rPr>
                <w:rStyle w:val="37"/>
                <w:rFonts w:hint="default"/>
                <w:color w:val="auto"/>
                <w:highlight w:val="none"/>
                <w:lang w:bidi="ar"/>
              </w:rPr>
              <w:t>3</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48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高性能图形计算集群系统—空间屏</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Gvitech Tango V4</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节点</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7</w:t>
            </w:r>
          </w:p>
        </w:tc>
      </w:tr>
      <w:tr>
        <w:tblPrEx>
          <w:tblCellMar>
            <w:top w:w="0" w:type="dxa"/>
            <w:left w:w="108" w:type="dxa"/>
            <w:bottom w:w="0" w:type="dxa"/>
            <w:right w:w="108" w:type="dxa"/>
          </w:tblCellMar>
        </w:tblPrEx>
        <w:trPr>
          <w:trHeight w:val="480"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高性能图形计算集群系统—信息屏</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Gvitech Tango V2</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节点</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w:t>
            </w:r>
          </w:p>
        </w:tc>
      </w:tr>
      <w:tr>
        <w:tblPrEx>
          <w:tblCellMar>
            <w:top w:w="0" w:type="dxa"/>
            <w:left w:w="108" w:type="dxa"/>
            <w:bottom w:w="0" w:type="dxa"/>
            <w:right w:w="108" w:type="dxa"/>
          </w:tblCellMar>
        </w:tblPrEx>
        <w:trPr>
          <w:trHeight w:val="365"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高性能千兆网络交换机2台</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思科</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套</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24寸显示器</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3</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接收卡</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片</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75</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模块</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snapToGrid w:val="0"/>
                <w:color w:val="auto"/>
                <w:sz w:val="20"/>
                <w:szCs w:val="20"/>
                <w:highlight w:val="none"/>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片</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18</w:t>
            </w:r>
          </w:p>
        </w:tc>
      </w:tr>
      <w:tr>
        <w:tblPrEx>
          <w:tblCellMar>
            <w:top w:w="0" w:type="dxa"/>
            <w:left w:w="108" w:type="dxa"/>
            <w:bottom w:w="0" w:type="dxa"/>
            <w:right w:w="108" w:type="dxa"/>
          </w:tblCellMar>
        </w:tblPrEx>
        <w:trPr>
          <w:trHeight w:val="264" w:hRule="atLeast"/>
          <w:jc w:val="center"/>
        </w:trPr>
        <w:tc>
          <w:tcPr>
            <w:tcW w:w="183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snapToGrid w:val="0"/>
                <w:color w:val="auto"/>
                <w:sz w:val="20"/>
                <w:szCs w:val="20"/>
                <w:highlight w:val="none"/>
              </w:rPr>
            </w:pPr>
          </w:p>
        </w:tc>
        <w:tc>
          <w:tcPr>
            <w:tcW w:w="2848"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会商图形工作站</w:t>
            </w:r>
          </w:p>
        </w:tc>
        <w:tc>
          <w:tcPr>
            <w:tcW w:w="2376" w:type="dxa"/>
            <w:tcBorders>
              <w:top w:val="single" w:color="000000" w:sz="4" w:space="0"/>
              <w:left w:val="single" w:color="000000" w:sz="4" w:space="0"/>
              <w:bottom w:val="single" w:color="000000" w:sz="4" w:space="0"/>
              <w:right w:val="single" w:color="000000" w:sz="4" w:space="0"/>
            </w:tcBorders>
            <w:noWrap/>
            <w:vAlign w:val="center"/>
          </w:tcPr>
          <w:p>
            <w:pPr>
              <w:widowControl/>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DELL T3610</w:t>
            </w:r>
          </w:p>
        </w:tc>
        <w:tc>
          <w:tcPr>
            <w:tcW w:w="84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台</w:t>
            </w:r>
          </w:p>
        </w:tc>
        <w:tc>
          <w:tcPr>
            <w:tcW w:w="128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napToGrid w:val="0"/>
                <w:color w:val="auto"/>
                <w:sz w:val="20"/>
                <w:szCs w:val="20"/>
                <w:highlight w:val="none"/>
              </w:rPr>
            </w:pPr>
            <w:r>
              <w:rPr>
                <w:rFonts w:hint="eastAsia" w:ascii="宋体" w:hAnsi="宋体" w:cs="宋体"/>
                <w:color w:val="auto"/>
                <w:sz w:val="20"/>
                <w:szCs w:val="20"/>
                <w:highlight w:val="none"/>
                <w:lang w:bidi="ar"/>
              </w:rPr>
              <w:t>1</w:t>
            </w:r>
          </w:p>
        </w:tc>
      </w:tr>
      <w:tr>
        <w:tblPrEx>
          <w:tblCellMar>
            <w:top w:w="0" w:type="dxa"/>
            <w:left w:w="108" w:type="dxa"/>
            <w:bottom w:w="0" w:type="dxa"/>
            <w:right w:w="108" w:type="dxa"/>
          </w:tblCellMar>
        </w:tblPrEx>
        <w:trPr>
          <w:trHeight w:val="397" w:hRule="atLeast"/>
          <w:jc w:val="center"/>
        </w:trPr>
        <w:tc>
          <w:tcPr>
            <w:tcW w:w="918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b/>
                <w:bCs/>
                <w:snapToGrid w:val="0"/>
                <w:color w:val="auto"/>
                <w:sz w:val="20"/>
                <w:szCs w:val="20"/>
                <w:highlight w:val="none"/>
                <w:lang w:bidi="ar"/>
              </w:rPr>
            </w:pPr>
            <w:r>
              <w:rPr>
                <w:rStyle w:val="29"/>
                <w:rFonts w:cs="宋体"/>
                <w:b/>
                <w:color w:val="auto"/>
                <w:sz w:val="21"/>
                <w:szCs w:val="21"/>
                <w:highlight w:val="none"/>
              </w:rPr>
              <w:t>说明：</w:t>
            </w:r>
            <w:r>
              <w:rPr>
                <w:rStyle w:val="29"/>
                <w:rFonts w:cs="宋体"/>
                <w:color w:val="auto"/>
                <w:sz w:val="21"/>
                <w:szCs w:val="21"/>
                <w:highlight w:val="none"/>
              </w:rPr>
              <w:t>中标供应商须依据</w:t>
            </w:r>
            <w:r>
              <w:rPr>
                <w:rStyle w:val="29"/>
                <w:rFonts w:cs="宋体"/>
                <w:color w:val="auto"/>
                <w:sz w:val="21"/>
                <w:szCs w:val="21"/>
                <w:highlight w:val="none"/>
                <w:lang w:val="en-US"/>
              </w:rPr>
              <w:t>上述设备清单的</w:t>
            </w:r>
            <w:r>
              <w:rPr>
                <w:rStyle w:val="29"/>
                <w:rFonts w:cs="宋体"/>
                <w:color w:val="auto"/>
                <w:sz w:val="21"/>
                <w:szCs w:val="21"/>
                <w:highlight w:val="none"/>
              </w:rPr>
              <w:t>具体故障进行硬件、零部件及电子元器件维修或更换。</w:t>
            </w:r>
          </w:p>
        </w:tc>
      </w:tr>
      <w:tr>
        <w:tblPrEx>
          <w:tblCellMar>
            <w:top w:w="0" w:type="dxa"/>
            <w:left w:w="108" w:type="dxa"/>
            <w:bottom w:w="0" w:type="dxa"/>
            <w:right w:w="108" w:type="dxa"/>
          </w:tblCellMar>
        </w:tblPrEx>
        <w:trPr>
          <w:trHeight w:val="337" w:hRule="atLeast"/>
          <w:jc w:val="center"/>
        </w:trPr>
        <w:tc>
          <w:tcPr>
            <w:tcW w:w="918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snapToGrid w:val="0"/>
                <w:color w:val="auto"/>
                <w:sz w:val="20"/>
                <w:szCs w:val="20"/>
                <w:highlight w:val="none"/>
                <w:lang w:bidi="ar"/>
              </w:rPr>
            </w:pPr>
            <w:r>
              <w:rPr>
                <w:rStyle w:val="34"/>
                <w:rFonts w:hint="default"/>
                <w:b/>
                <w:color w:val="auto"/>
                <w:sz w:val="21"/>
                <w:highlight w:val="none"/>
              </w:rPr>
              <w:t>2、软件功能、多媒体技术维护</w:t>
            </w:r>
          </w:p>
        </w:tc>
      </w:tr>
      <w:tr>
        <w:tblPrEx>
          <w:tblCellMar>
            <w:top w:w="0" w:type="dxa"/>
            <w:left w:w="108" w:type="dxa"/>
            <w:bottom w:w="0" w:type="dxa"/>
            <w:right w:w="108" w:type="dxa"/>
          </w:tblCellMar>
        </w:tblPrEx>
        <w:trPr>
          <w:trHeight w:val="264" w:hRule="atLeast"/>
          <w:jc w:val="center"/>
        </w:trPr>
        <w:tc>
          <w:tcPr>
            <w:tcW w:w="1832" w:type="dxa"/>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240" w:firstLineChars="0"/>
              <w:rPr>
                <w:rFonts w:hint="eastAsia" w:ascii="宋体" w:hAnsi="宋体" w:eastAsia="宋体" w:cs="宋体"/>
                <w:snapToGrid w:val="0"/>
                <w:color w:val="auto"/>
                <w:sz w:val="20"/>
                <w:szCs w:val="20"/>
                <w:highlight w:val="none"/>
              </w:rPr>
            </w:pPr>
            <w:r>
              <w:rPr>
                <w:rStyle w:val="34"/>
                <w:b/>
                <w:color w:val="auto"/>
                <w:sz w:val="21"/>
                <w:highlight w:val="none"/>
              </w:rPr>
              <w:t>编号</w:t>
            </w:r>
          </w:p>
        </w:tc>
        <w:tc>
          <w:tcPr>
            <w:tcW w:w="2848" w:type="dxa"/>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b/>
                <w:color w:val="auto"/>
                <w:sz w:val="21"/>
                <w:highlight w:val="none"/>
              </w:rPr>
              <w:t>名称</w:t>
            </w:r>
          </w:p>
        </w:tc>
        <w:tc>
          <w:tcPr>
            <w:tcW w:w="2376" w:type="dxa"/>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b/>
                <w:color w:val="auto"/>
                <w:sz w:val="21"/>
                <w:highlight w:val="none"/>
              </w:rPr>
              <w:t>展品数量</w:t>
            </w:r>
          </w:p>
        </w:tc>
        <w:tc>
          <w:tcPr>
            <w:tcW w:w="2129" w:type="dxa"/>
            <w:gridSpan w:val="2"/>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b/>
                <w:color w:val="auto"/>
                <w:sz w:val="21"/>
                <w:highlight w:val="none"/>
                <w:lang w:val="en-US"/>
              </w:rPr>
              <w:t>单位</w:t>
            </w:r>
          </w:p>
        </w:tc>
      </w:tr>
      <w:tr>
        <w:tblPrEx>
          <w:tblCellMar>
            <w:top w:w="0" w:type="dxa"/>
            <w:left w:w="108" w:type="dxa"/>
            <w:bottom w:w="0" w:type="dxa"/>
            <w:right w:w="108" w:type="dxa"/>
          </w:tblCellMar>
        </w:tblPrEx>
        <w:trPr>
          <w:trHeight w:val="264" w:hRule="atLeast"/>
          <w:jc w:val="center"/>
        </w:trPr>
        <w:tc>
          <w:tcPr>
            <w:tcW w:w="1832" w:type="dxa"/>
            <w:tcBorders>
              <w:top w:val="single" w:color="000000" w:sz="4" w:space="0"/>
              <w:left w:val="single" w:color="000000" w:sz="4" w:space="0"/>
              <w:bottom w:val="single" w:color="000000" w:sz="4" w:space="0"/>
              <w:right w:val="single" w:color="000000" w:sz="4" w:space="0"/>
            </w:tcBorders>
            <w:noWrap/>
            <w:vAlign w:val="top"/>
          </w:tcPr>
          <w:p>
            <w:pPr>
              <w:pStyle w:val="35"/>
              <w:spacing w:line="240" w:lineRule="auto"/>
              <w:ind w:firstLine="240" w:firstLineChars="0"/>
              <w:rPr>
                <w:rFonts w:hint="eastAsia" w:ascii="宋体" w:hAnsi="宋体" w:eastAsia="宋体" w:cs="宋体"/>
                <w:snapToGrid w:val="0"/>
                <w:color w:val="auto"/>
                <w:sz w:val="20"/>
                <w:szCs w:val="20"/>
                <w:highlight w:val="none"/>
              </w:rPr>
            </w:pPr>
            <w:r>
              <w:rPr>
                <w:rStyle w:val="34"/>
                <w:color w:val="auto"/>
                <w:sz w:val="21"/>
                <w:highlight w:val="none"/>
                <w:lang w:val="en-US" w:eastAsia="en-US"/>
              </w:rPr>
              <w:t>2-1</w:t>
            </w:r>
          </w:p>
        </w:tc>
        <w:tc>
          <w:tcPr>
            <w:tcW w:w="2848" w:type="dxa"/>
            <w:tcBorders>
              <w:top w:val="single" w:color="000000" w:sz="4" w:space="0"/>
              <w:left w:val="single" w:color="000000" w:sz="4" w:space="0"/>
              <w:bottom w:val="single" w:color="000000" w:sz="4" w:space="0"/>
              <w:right w:val="single" w:color="000000" w:sz="4" w:space="0"/>
            </w:tcBorders>
            <w:noWrap/>
            <w:vAlign w:val="top"/>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color w:val="auto"/>
                <w:sz w:val="21"/>
                <w:highlight w:val="none"/>
                <w:lang w:val="en-US"/>
              </w:rPr>
              <w:t>融合系统</w:t>
            </w:r>
          </w:p>
        </w:tc>
        <w:tc>
          <w:tcPr>
            <w:tcW w:w="2376" w:type="dxa"/>
            <w:tcBorders>
              <w:top w:val="single" w:color="000000" w:sz="4" w:space="0"/>
              <w:left w:val="single" w:color="000000" w:sz="4" w:space="0"/>
              <w:bottom w:val="single" w:color="000000" w:sz="4" w:space="0"/>
              <w:right w:val="single" w:color="000000" w:sz="4" w:space="0"/>
            </w:tcBorders>
            <w:noWrap/>
            <w:vAlign w:val="top"/>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color w:val="auto"/>
                <w:sz w:val="21"/>
                <w:highlight w:val="none"/>
                <w:lang w:val="en-US"/>
              </w:rPr>
              <w:t>1</w:t>
            </w:r>
          </w:p>
        </w:tc>
        <w:tc>
          <w:tcPr>
            <w:tcW w:w="2129" w:type="dxa"/>
            <w:gridSpan w:val="2"/>
            <w:tcBorders>
              <w:top w:val="single" w:color="000000" w:sz="4" w:space="0"/>
              <w:left w:val="single" w:color="000000" w:sz="4" w:space="0"/>
              <w:bottom w:val="single" w:color="000000" w:sz="4" w:space="0"/>
              <w:right w:val="single" w:color="000000" w:sz="4" w:space="0"/>
            </w:tcBorders>
            <w:noWrap/>
            <w:vAlign w:val="top"/>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color w:val="auto"/>
                <w:sz w:val="21"/>
                <w:highlight w:val="none"/>
                <w:lang w:val="en-US"/>
              </w:rPr>
              <w:t>项</w:t>
            </w:r>
          </w:p>
        </w:tc>
      </w:tr>
      <w:tr>
        <w:tblPrEx>
          <w:tblCellMar>
            <w:top w:w="0" w:type="dxa"/>
            <w:left w:w="108" w:type="dxa"/>
            <w:bottom w:w="0" w:type="dxa"/>
            <w:right w:w="108" w:type="dxa"/>
          </w:tblCellMar>
        </w:tblPrEx>
        <w:trPr>
          <w:trHeight w:val="264" w:hRule="atLeast"/>
          <w:jc w:val="center"/>
        </w:trPr>
        <w:tc>
          <w:tcPr>
            <w:tcW w:w="1832" w:type="dxa"/>
            <w:tcBorders>
              <w:top w:val="single" w:color="000000" w:sz="4" w:space="0"/>
              <w:left w:val="single" w:color="000000" w:sz="4" w:space="0"/>
              <w:bottom w:val="single" w:color="000000" w:sz="4" w:space="0"/>
              <w:right w:val="single" w:color="000000" w:sz="4" w:space="0"/>
            </w:tcBorders>
            <w:noWrap/>
            <w:vAlign w:val="top"/>
          </w:tcPr>
          <w:p>
            <w:pPr>
              <w:pStyle w:val="35"/>
              <w:spacing w:line="240" w:lineRule="auto"/>
              <w:ind w:firstLine="240" w:firstLineChars="0"/>
              <w:rPr>
                <w:rFonts w:hint="eastAsia" w:ascii="宋体" w:hAnsi="宋体" w:eastAsia="宋体" w:cs="宋体"/>
                <w:snapToGrid w:val="0"/>
                <w:color w:val="auto"/>
                <w:sz w:val="20"/>
                <w:szCs w:val="20"/>
                <w:highlight w:val="none"/>
              </w:rPr>
            </w:pPr>
            <w:r>
              <w:rPr>
                <w:rStyle w:val="34"/>
                <w:color w:val="auto"/>
                <w:sz w:val="21"/>
                <w:highlight w:val="none"/>
                <w:lang w:val="en-US" w:eastAsia="en-US"/>
              </w:rPr>
              <w:t>2-2</w:t>
            </w:r>
          </w:p>
        </w:tc>
        <w:tc>
          <w:tcPr>
            <w:tcW w:w="2848" w:type="dxa"/>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color w:val="auto"/>
                <w:sz w:val="21"/>
                <w:highlight w:val="none"/>
                <w:lang w:val="en-US"/>
              </w:rPr>
              <w:t>VR系统</w:t>
            </w:r>
          </w:p>
        </w:tc>
        <w:tc>
          <w:tcPr>
            <w:tcW w:w="2376" w:type="dxa"/>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color w:val="auto"/>
                <w:sz w:val="21"/>
                <w:highlight w:val="none"/>
                <w:lang w:val="en-US"/>
              </w:rPr>
              <w:t>1</w:t>
            </w:r>
          </w:p>
        </w:tc>
        <w:tc>
          <w:tcPr>
            <w:tcW w:w="2129" w:type="dxa"/>
            <w:gridSpan w:val="2"/>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color w:val="auto"/>
                <w:sz w:val="21"/>
                <w:highlight w:val="none"/>
                <w:lang w:val="en-US"/>
              </w:rPr>
              <w:t>项</w:t>
            </w:r>
          </w:p>
        </w:tc>
      </w:tr>
      <w:tr>
        <w:tblPrEx>
          <w:tblCellMar>
            <w:top w:w="0" w:type="dxa"/>
            <w:left w:w="108" w:type="dxa"/>
            <w:bottom w:w="0" w:type="dxa"/>
            <w:right w:w="108" w:type="dxa"/>
          </w:tblCellMar>
        </w:tblPrEx>
        <w:trPr>
          <w:trHeight w:val="264" w:hRule="atLeast"/>
          <w:jc w:val="center"/>
        </w:trPr>
        <w:tc>
          <w:tcPr>
            <w:tcW w:w="1832" w:type="dxa"/>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240" w:firstLineChars="0"/>
              <w:rPr>
                <w:rFonts w:hint="eastAsia" w:ascii="宋体" w:hAnsi="宋体" w:eastAsia="宋体" w:cs="宋体"/>
                <w:snapToGrid w:val="0"/>
                <w:color w:val="auto"/>
                <w:sz w:val="20"/>
                <w:szCs w:val="20"/>
                <w:highlight w:val="none"/>
              </w:rPr>
            </w:pPr>
            <w:r>
              <w:rPr>
                <w:rStyle w:val="34"/>
                <w:color w:val="auto"/>
                <w:sz w:val="21"/>
                <w:highlight w:val="none"/>
                <w:lang w:val="en-US" w:eastAsia="en-US"/>
              </w:rPr>
              <w:t>2-3</w:t>
            </w:r>
          </w:p>
        </w:tc>
        <w:tc>
          <w:tcPr>
            <w:tcW w:w="2848" w:type="dxa"/>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color w:val="auto"/>
                <w:sz w:val="21"/>
                <w:highlight w:val="none"/>
                <w:lang w:val="en-US"/>
              </w:rPr>
              <w:t>多媒体交互系统</w:t>
            </w:r>
          </w:p>
        </w:tc>
        <w:tc>
          <w:tcPr>
            <w:tcW w:w="2376" w:type="dxa"/>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color w:val="auto"/>
                <w:sz w:val="21"/>
                <w:highlight w:val="none"/>
                <w:lang w:val="en-US"/>
              </w:rPr>
              <w:t>1</w:t>
            </w:r>
          </w:p>
        </w:tc>
        <w:tc>
          <w:tcPr>
            <w:tcW w:w="2129" w:type="dxa"/>
            <w:gridSpan w:val="2"/>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color w:val="auto"/>
                <w:sz w:val="21"/>
                <w:highlight w:val="none"/>
                <w:lang w:val="en-US"/>
              </w:rPr>
              <w:t>项</w:t>
            </w:r>
          </w:p>
        </w:tc>
      </w:tr>
      <w:tr>
        <w:tblPrEx>
          <w:tblCellMar>
            <w:top w:w="0" w:type="dxa"/>
            <w:left w:w="108" w:type="dxa"/>
            <w:bottom w:w="0" w:type="dxa"/>
            <w:right w:w="108" w:type="dxa"/>
          </w:tblCellMar>
        </w:tblPrEx>
        <w:trPr>
          <w:trHeight w:val="264" w:hRule="atLeast"/>
          <w:jc w:val="center"/>
        </w:trPr>
        <w:tc>
          <w:tcPr>
            <w:tcW w:w="1832" w:type="dxa"/>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240" w:firstLineChars="0"/>
              <w:rPr>
                <w:rFonts w:hint="eastAsia" w:ascii="宋体" w:hAnsi="宋体" w:eastAsia="宋体" w:cs="宋体"/>
                <w:snapToGrid w:val="0"/>
                <w:color w:val="auto"/>
                <w:sz w:val="20"/>
                <w:szCs w:val="20"/>
                <w:highlight w:val="none"/>
              </w:rPr>
            </w:pPr>
            <w:r>
              <w:rPr>
                <w:rStyle w:val="34"/>
                <w:color w:val="auto"/>
                <w:sz w:val="21"/>
                <w:highlight w:val="none"/>
                <w:lang w:val="en-US" w:eastAsia="en-US"/>
              </w:rPr>
              <w:t>2-4</w:t>
            </w:r>
          </w:p>
        </w:tc>
        <w:tc>
          <w:tcPr>
            <w:tcW w:w="2848" w:type="dxa"/>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color w:val="auto"/>
                <w:sz w:val="21"/>
                <w:highlight w:val="none"/>
                <w:lang w:val="en-US"/>
              </w:rPr>
              <w:t>模型灯光联动系统</w:t>
            </w:r>
          </w:p>
        </w:tc>
        <w:tc>
          <w:tcPr>
            <w:tcW w:w="2376" w:type="dxa"/>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color w:val="auto"/>
                <w:sz w:val="21"/>
                <w:highlight w:val="none"/>
                <w:lang w:val="en-US"/>
              </w:rPr>
              <w:t>1</w:t>
            </w:r>
          </w:p>
        </w:tc>
        <w:tc>
          <w:tcPr>
            <w:tcW w:w="2129" w:type="dxa"/>
            <w:gridSpan w:val="2"/>
            <w:tcBorders>
              <w:top w:val="single" w:color="000000" w:sz="4" w:space="0"/>
              <w:left w:val="single" w:color="000000" w:sz="4" w:space="0"/>
              <w:bottom w:val="single" w:color="000000" w:sz="4" w:space="0"/>
              <w:right w:val="single" w:color="000000" w:sz="4" w:space="0"/>
            </w:tcBorders>
            <w:noWrap/>
            <w:vAlign w:val="bottom"/>
          </w:tcPr>
          <w:p>
            <w:pPr>
              <w:pStyle w:val="35"/>
              <w:spacing w:line="240" w:lineRule="auto"/>
              <w:ind w:firstLine="0" w:firstLineChars="0"/>
              <w:jc w:val="center"/>
              <w:rPr>
                <w:rFonts w:hint="eastAsia" w:ascii="宋体" w:hAnsi="宋体" w:eastAsia="宋体" w:cs="宋体"/>
                <w:snapToGrid w:val="0"/>
                <w:color w:val="auto"/>
                <w:sz w:val="20"/>
                <w:szCs w:val="20"/>
                <w:highlight w:val="none"/>
                <w:lang w:bidi="ar"/>
              </w:rPr>
            </w:pPr>
            <w:r>
              <w:rPr>
                <w:rStyle w:val="34"/>
                <w:color w:val="auto"/>
                <w:sz w:val="21"/>
                <w:highlight w:val="none"/>
                <w:lang w:val="en-US"/>
              </w:rPr>
              <w:t>项</w:t>
            </w:r>
          </w:p>
        </w:tc>
      </w:tr>
      <w:tr>
        <w:tblPrEx>
          <w:tblCellMar>
            <w:top w:w="0" w:type="dxa"/>
            <w:left w:w="108" w:type="dxa"/>
            <w:bottom w:w="0" w:type="dxa"/>
            <w:right w:w="108" w:type="dxa"/>
          </w:tblCellMar>
        </w:tblPrEx>
        <w:trPr>
          <w:trHeight w:val="264" w:hRule="atLeast"/>
          <w:jc w:val="center"/>
        </w:trPr>
        <w:tc>
          <w:tcPr>
            <w:tcW w:w="9185" w:type="dxa"/>
            <w:gridSpan w:val="5"/>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snapToGrid w:val="0"/>
                <w:color w:val="auto"/>
                <w:sz w:val="20"/>
                <w:szCs w:val="20"/>
                <w:highlight w:val="none"/>
                <w:lang w:bidi="ar"/>
              </w:rPr>
            </w:pPr>
            <w:r>
              <w:rPr>
                <w:rStyle w:val="34"/>
                <w:rFonts w:hint="default"/>
                <w:b/>
                <w:color w:val="auto"/>
                <w:sz w:val="21"/>
                <w:highlight w:val="none"/>
              </w:rPr>
              <w:t>说明：</w:t>
            </w:r>
            <w:r>
              <w:rPr>
                <w:rStyle w:val="34"/>
                <w:rFonts w:hint="default"/>
                <w:color w:val="auto"/>
                <w:sz w:val="21"/>
                <w:highlight w:val="none"/>
              </w:rPr>
              <w:t>中标供应商须根据展品具体功能故障进行软件功能修复升级。</w:t>
            </w:r>
          </w:p>
        </w:tc>
      </w:tr>
    </w:tbl>
    <w:p>
      <w:pPr>
        <w:pStyle w:val="30"/>
        <w:spacing w:line="400" w:lineRule="exact"/>
        <w:ind w:firstLine="0"/>
        <w:rPr>
          <w:rFonts w:hint="default"/>
          <w:color w:val="auto"/>
          <w:sz w:val="22"/>
          <w:szCs w:val="22"/>
          <w:highlight w:val="none"/>
        </w:rPr>
      </w:pPr>
      <w:r>
        <w:rPr>
          <w:rStyle w:val="29"/>
          <w:b/>
          <w:color w:val="auto"/>
          <w:sz w:val="22"/>
          <w:szCs w:val="22"/>
          <w:highlight w:val="none"/>
        </w:rPr>
        <w:t>三、项目商务要求</w:t>
      </w:r>
    </w:p>
    <w:p>
      <w:pPr>
        <w:pStyle w:val="30"/>
        <w:spacing w:line="400" w:lineRule="exact"/>
        <w:ind w:firstLine="442" w:firstLineChars="200"/>
        <w:rPr>
          <w:rFonts w:hint="default" w:cs="宋体"/>
          <w:color w:val="auto"/>
          <w:sz w:val="22"/>
          <w:szCs w:val="22"/>
          <w:highlight w:val="none"/>
        </w:rPr>
      </w:pPr>
      <w:r>
        <w:rPr>
          <w:rStyle w:val="29"/>
          <w:rFonts w:cs="宋体"/>
          <w:b/>
          <w:color w:val="auto"/>
          <w:sz w:val="22"/>
          <w:szCs w:val="22"/>
          <w:highlight w:val="none"/>
        </w:rPr>
        <w:t>1</w:t>
      </w:r>
      <w:r>
        <w:rPr>
          <w:rStyle w:val="29"/>
          <w:rFonts w:cs="宋体"/>
          <w:b/>
          <w:color w:val="auto"/>
          <w:sz w:val="22"/>
          <w:szCs w:val="22"/>
          <w:highlight w:val="none"/>
          <w:lang w:val="en-US"/>
        </w:rPr>
        <w:t>.</w:t>
      </w:r>
      <w:r>
        <w:rPr>
          <w:rStyle w:val="29"/>
          <w:rFonts w:cs="宋体"/>
          <w:b/>
          <w:color w:val="auto"/>
          <w:sz w:val="22"/>
          <w:szCs w:val="22"/>
          <w:highlight w:val="none"/>
        </w:rPr>
        <w:t>▲项目服务期限</w:t>
      </w:r>
    </w:p>
    <w:p>
      <w:pPr>
        <w:widowControl/>
        <w:spacing w:line="400" w:lineRule="exact"/>
        <w:ind w:firstLine="440" w:firstLineChars="200"/>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服务期限为：</w:t>
      </w:r>
      <w:r>
        <w:rPr>
          <w:rFonts w:hint="eastAsia" w:ascii="宋体" w:hAnsi="宋体" w:eastAsia="宋体" w:cs="宋体"/>
          <w:color w:val="auto"/>
          <w:sz w:val="22"/>
          <w:szCs w:val="22"/>
          <w:highlight w:val="none"/>
        </w:rPr>
        <w:t>202</w:t>
      </w:r>
      <w:r>
        <w:rPr>
          <w:rFonts w:hint="eastAsia" w:ascii="宋体" w:hAnsi="宋体" w:cs="宋体"/>
          <w:color w:val="auto"/>
          <w:sz w:val="22"/>
          <w:szCs w:val="22"/>
          <w:highlight w:val="none"/>
          <w:lang w:val="en-US" w:eastAsia="zh-CN"/>
        </w:rPr>
        <w:t>4</w:t>
      </w:r>
      <w:r>
        <w:rPr>
          <w:rFonts w:hint="eastAsia" w:ascii="宋体" w:hAnsi="宋体" w:eastAsia="宋体" w:cs="宋体"/>
          <w:color w:val="auto"/>
          <w:sz w:val="22"/>
          <w:szCs w:val="22"/>
          <w:highlight w:val="none"/>
        </w:rPr>
        <w:t>年6月-202</w:t>
      </w:r>
      <w:r>
        <w:rPr>
          <w:rFonts w:hint="eastAsia" w:ascii="宋体" w:hAnsi="宋体" w:cs="宋体"/>
          <w:color w:val="auto"/>
          <w:sz w:val="22"/>
          <w:szCs w:val="22"/>
          <w:highlight w:val="none"/>
          <w:lang w:val="en-US" w:eastAsia="zh-CN"/>
        </w:rPr>
        <w:t>5</w:t>
      </w:r>
      <w:r>
        <w:rPr>
          <w:rFonts w:hint="eastAsia" w:ascii="宋体" w:hAnsi="宋体" w:eastAsia="宋体" w:cs="宋体"/>
          <w:color w:val="auto"/>
          <w:sz w:val="22"/>
          <w:szCs w:val="22"/>
          <w:highlight w:val="none"/>
        </w:rPr>
        <w:t>年5月</w:t>
      </w:r>
      <w:r>
        <w:rPr>
          <w:rFonts w:hint="eastAsia" w:ascii="宋体" w:hAnsi="宋体" w:eastAsia="宋体" w:cs="宋体"/>
          <w:color w:val="auto"/>
          <w:sz w:val="22"/>
          <w:szCs w:val="22"/>
          <w:highlight w:val="none"/>
          <w:lang w:eastAsia="zh-CN"/>
        </w:rPr>
        <w:t>（</w:t>
      </w:r>
      <w:r>
        <w:rPr>
          <w:rFonts w:hint="eastAsia" w:ascii="宋体" w:hAnsi="宋体" w:cs="宋体"/>
          <w:color w:val="auto"/>
          <w:sz w:val="22"/>
          <w:highlight w:val="none"/>
          <w:lang w:val="en-US" w:eastAsia="zh-CN"/>
        </w:rPr>
        <w:t>服务共分为四期：第一期为2024年6、7、8月；第二期为2024年9、10、11月；第三期为2024年12月、2025年1、2月；第四期为2025年3、4、5月</w:t>
      </w:r>
      <w:r>
        <w:rPr>
          <w:rFonts w:hint="eastAsia" w:ascii="宋体" w:hAnsi="宋体" w:eastAsia="宋体" w:cs="宋体"/>
          <w:color w:val="auto"/>
          <w:sz w:val="22"/>
          <w:szCs w:val="22"/>
          <w:highlight w:val="none"/>
          <w:lang w:eastAsia="zh-CN"/>
        </w:rPr>
        <w:t>）。</w:t>
      </w:r>
    </w:p>
    <w:p>
      <w:pPr>
        <w:pStyle w:val="30"/>
        <w:spacing w:line="400" w:lineRule="exact"/>
        <w:rPr>
          <w:rFonts w:hint="default" w:cs="宋体"/>
          <w:color w:val="auto"/>
          <w:sz w:val="22"/>
          <w:szCs w:val="22"/>
          <w:highlight w:val="none"/>
        </w:rPr>
      </w:pPr>
      <w:r>
        <w:rPr>
          <w:rStyle w:val="29"/>
          <w:rFonts w:cs="宋体"/>
          <w:color w:val="auto"/>
          <w:sz w:val="22"/>
          <w:szCs w:val="22"/>
          <w:highlight w:val="none"/>
        </w:rPr>
        <w:t>2</w:t>
      </w:r>
      <w:r>
        <w:rPr>
          <w:rStyle w:val="29"/>
          <w:rFonts w:cs="宋体"/>
          <w:color w:val="auto"/>
          <w:sz w:val="22"/>
          <w:szCs w:val="22"/>
          <w:highlight w:val="none"/>
          <w:lang w:val="en-US"/>
        </w:rPr>
        <w:t>.</w:t>
      </w:r>
      <w:r>
        <w:rPr>
          <w:rStyle w:val="29"/>
          <w:rFonts w:cs="宋体"/>
          <w:color w:val="auto"/>
          <w:sz w:val="22"/>
          <w:szCs w:val="22"/>
          <w:highlight w:val="none"/>
        </w:rPr>
        <w:t>经验要求：具有同类型项目服务业绩。</w:t>
      </w:r>
    </w:p>
    <w:p>
      <w:pPr>
        <w:pStyle w:val="30"/>
        <w:spacing w:line="400" w:lineRule="exact"/>
        <w:rPr>
          <w:rFonts w:hint="default" w:cs="宋体"/>
          <w:color w:val="auto"/>
          <w:sz w:val="22"/>
          <w:szCs w:val="22"/>
          <w:highlight w:val="none"/>
        </w:rPr>
      </w:pPr>
      <w:r>
        <w:rPr>
          <w:rStyle w:val="29"/>
          <w:rFonts w:cs="宋体"/>
          <w:color w:val="auto"/>
          <w:sz w:val="22"/>
          <w:szCs w:val="22"/>
          <w:highlight w:val="none"/>
        </w:rPr>
        <w:t>3</w:t>
      </w:r>
      <w:r>
        <w:rPr>
          <w:rStyle w:val="29"/>
          <w:rFonts w:cs="宋体"/>
          <w:color w:val="auto"/>
          <w:sz w:val="22"/>
          <w:szCs w:val="22"/>
          <w:highlight w:val="none"/>
          <w:lang w:val="en-US"/>
        </w:rPr>
        <w:t>.</w:t>
      </w:r>
      <w:r>
        <w:rPr>
          <w:rStyle w:val="29"/>
          <w:rFonts w:cs="宋体"/>
          <w:color w:val="auto"/>
          <w:sz w:val="22"/>
          <w:szCs w:val="22"/>
          <w:highlight w:val="none"/>
        </w:rPr>
        <w:t>服务地点：采购人指定地点。</w:t>
      </w:r>
    </w:p>
    <w:p>
      <w:pPr>
        <w:pStyle w:val="30"/>
        <w:spacing w:line="400" w:lineRule="exact"/>
        <w:rPr>
          <w:rFonts w:hint="default" w:cs="宋体"/>
          <w:color w:val="auto"/>
          <w:sz w:val="22"/>
          <w:szCs w:val="22"/>
          <w:highlight w:val="none"/>
        </w:rPr>
      </w:pPr>
      <w:r>
        <w:rPr>
          <w:rStyle w:val="29"/>
          <w:rFonts w:cs="宋体"/>
          <w:color w:val="auto"/>
          <w:sz w:val="22"/>
          <w:szCs w:val="22"/>
          <w:highlight w:val="none"/>
        </w:rPr>
        <w:t>4</w:t>
      </w:r>
      <w:r>
        <w:rPr>
          <w:rStyle w:val="29"/>
          <w:rFonts w:cs="宋体"/>
          <w:color w:val="auto"/>
          <w:sz w:val="22"/>
          <w:szCs w:val="22"/>
          <w:highlight w:val="none"/>
          <w:lang w:val="en-US"/>
        </w:rPr>
        <w:t>.</w:t>
      </w:r>
      <w:r>
        <w:rPr>
          <w:rStyle w:val="29"/>
          <w:rFonts w:cs="宋体"/>
          <w:color w:val="auto"/>
          <w:sz w:val="22"/>
          <w:szCs w:val="22"/>
          <w:highlight w:val="none"/>
        </w:rPr>
        <w:t>验收要求：按相关规定、规范进行。验收时如发现所交付的成果有不符合招标文 件规定之情形者，采购人应做出详尽的现场记录，或由采购人/用户和中标供应商双方签署备 忘录。此现场记录或备忘录可用作补充、缺失和更换的有效证据。由此产生的有关费用由 中标供应商承担。</w:t>
      </w:r>
    </w:p>
    <w:p>
      <w:pPr>
        <w:pStyle w:val="30"/>
        <w:spacing w:line="400" w:lineRule="exact"/>
        <w:ind w:firstLine="480"/>
        <w:rPr>
          <w:rStyle w:val="29"/>
          <w:rFonts w:hint="default" w:cs="宋体"/>
          <w:b/>
          <w:color w:val="auto"/>
          <w:sz w:val="22"/>
          <w:szCs w:val="22"/>
          <w:highlight w:val="none"/>
        </w:rPr>
      </w:pPr>
      <w:r>
        <w:rPr>
          <w:rStyle w:val="29"/>
          <w:rFonts w:cs="宋体"/>
          <w:color w:val="auto"/>
          <w:sz w:val="22"/>
          <w:szCs w:val="22"/>
          <w:highlight w:val="none"/>
        </w:rPr>
        <w:t>5</w:t>
      </w:r>
      <w:r>
        <w:rPr>
          <w:rStyle w:val="29"/>
          <w:rFonts w:cs="宋体"/>
          <w:color w:val="auto"/>
          <w:sz w:val="22"/>
          <w:szCs w:val="22"/>
          <w:highlight w:val="none"/>
          <w:lang w:val="en-US"/>
        </w:rPr>
        <w:t>.</w:t>
      </w:r>
      <w:r>
        <w:rPr>
          <w:rStyle w:val="29"/>
          <w:rFonts w:cs="宋体"/>
          <w:b/>
          <w:color w:val="auto"/>
          <w:sz w:val="22"/>
          <w:szCs w:val="22"/>
          <w:highlight w:val="none"/>
        </w:rPr>
        <w:t>▲</w:t>
      </w:r>
      <w:r>
        <w:rPr>
          <w:rStyle w:val="29"/>
          <w:rFonts w:cs="宋体"/>
          <w:color w:val="auto"/>
          <w:sz w:val="22"/>
          <w:szCs w:val="22"/>
          <w:highlight w:val="none"/>
        </w:rPr>
        <w:t>报价要求：</w:t>
      </w:r>
      <w:r>
        <w:rPr>
          <w:rStyle w:val="29"/>
          <w:rFonts w:cs="宋体"/>
          <w:b/>
          <w:color w:val="auto"/>
          <w:sz w:val="22"/>
          <w:szCs w:val="22"/>
          <w:highlight w:val="none"/>
        </w:rPr>
        <w:t>投标供应商报价中</w:t>
      </w:r>
      <w:r>
        <w:rPr>
          <w:rFonts w:ascii="新宋体" w:hAnsi="新宋体" w:eastAsia="新宋体"/>
          <w:b/>
          <w:color w:val="auto"/>
          <w:sz w:val="22"/>
          <w:szCs w:val="22"/>
          <w:highlight w:val="none"/>
        </w:rPr>
        <w:t>包括人工费、系统维保费用、维修工具、人员驻场津贴、交通费、派驻人员的食宿费、硬件设备维修、配件更换及内容、软件升级、不可预见费用、企业管理费、人身意外伤害险、履约验收费用、利润、税金及处理一切伤亡事故等完成合同所需的一切本身和不可或缺的所有工作开支、政策性文件规定及合同包含的所有风险、责任等各项全部费用</w:t>
      </w:r>
      <w:r>
        <w:rPr>
          <w:rFonts w:ascii="新宋体" w:hAnsi="新宋体" w:eastAsia="新宋体"/>
          <w:b/>
          <w:bCs/>
          <w:color w:val="auto"/>
          <w:sz w:val="22"/>
          <w:szCs w:val="22"/>
          <w:highlight w:val="none"/>
        </w:rPr>
        <w:t>。费用不管是否在投标供应商报价书中单列，均视为投标总价中已包括该费用。</w:t>
      </w:r>
      <w:r>
        <w:rPr>
          <w:rFonts w:eastAsia="新宋体" w:cs="宋体"/>
          <w:color w:val="auto"/>
          <w:sz w:val="22"/>
          <w:szCs w:val="22"/>
          <w:highlight w:val="none"/>
        </w:rPr>
        <w:t>投标供应商</w:t>
      </w:r>
      <w:r>
        <w:rPr>
          <w:rFonts w:cs="宋体"/>
          <w:color w:val="auto"/>
          <w:sz w:val="22"/>
          <w:szCs w:val="22"/>
          <w:highlight w:val="none"/>
        </w:rPr>
        <w:t>应根据上述因素自行考虑含入投标总价。</w:t>
      </w:r>
      <w:r>
        <w:rPr>
          <w:rFonts w:cs="宋体"/>
          <w:color w:val="auto"/>
          <w:sz w:val="22"/>
          <w:szCs w:val="22"/>
          <w:highlight w:val="none"/>
          <w:lang w:val="en-US"/>
        </w:rPr>
        <w:t>投标供应商</w:t>
      </w:r>
      <w:r>
        <w:rPr>
          <w:rFonts w:cs="宋体"/>
          <w:color w:val="auto"/>
          <w:sz w:val="22"/>
          <w:szCs w:val="22"/>
          <w:highlight w:val="none"/>
        </w:rPr>
        <w:t>不得以低于成本报价进行竞标，评标委员会有权利要求其对成本构成进行介绍，并要求</w:t>
      </w:r>
      <w:r>
        <w:rPr>
          <w:rFonts w:cs="宋体"/>
          <w:color w:val="auto"/>
          <w:sz w:val="22"/>
          <w:szCs w:val="22"/>
          <w:highlight w:val="none"/>
          <w:lang w:val="en-US"/>
        </w:rPr>
        <w:t>投标供应商</w:t>
      </w:r>
      <w:r>
        <w:rPr>
          <w:rFonts w:cs="宋体"/>
          <w:color w:val="auto"/>
          <w:sz w:val="22"/>
          <w:szCs w:val="22"/>
          <w:highlight w:val="none"/>
        </w:rPr>
        <w:t>用书面的形式进行低价说明；如</w:t>
      </w:r>
      <w:r>
        <w:rPr>
          <w:rFonts w:cs="宋体"/>
          <w:color w:val="auto"/>
          <w:sz w:val="22"/>
          <w:szCs w:val="22"/>
          <w:highlight w:val="none"/>
          <w:lang w:val="en-US"/>
        </w:rPr>
        <w:t>投标供应商</w:t>
      </w:r>
      <w:r>
        <w:rPr>
          <w:rFonts w:cs="宋体"/>
          <w:color w:val="auto"/>
          <w:sz w:val="22"/>
          <w:szCs w:val="22"/>
          <w:highlight w:val="none"/>
        </w:rPr>
        <w:t>没有合理的理由或不按要求提供低价说明，评标委员应作废标处理。</w:t>
      </w:r>
    </w:p>
    <w:p>
      <w:pPr>
        <w:pStyle w:val="19"/>
        <w:spacing w:before="0" w:beforeAutospacing="0" w:after="0" w:afterAutospacing="0" w:line="400" w:lineRule="exact"/>
        <w:rPr>
          <w:color w:val="auto"/>
          <w:sz w:val="22"/>
          <w:highlight w:val="none"/>
        </w:rPr>
      </w:pPr>
      <w:r>
        <w:rPr>
          <w:rStyle w:val="24"/>
          <w:rFonts w:hint="eastAsia"/>
          <w:color w:val="auto"/>
          <w:sz w:val="22"/>
          <w:highlight w:val="none"/>
        </w:rPr>
        <w:t>6.验收方式数据表格</w:t>
      </w:r>
    </w:p>
    <w:tbl>
      <w:tblPr>
        <w:tblStyle w:val="2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667"/>
        <w:gridCol w:w="66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1000" w:type="pct"/>
            <w:tcBorders>
              <w:top w:val="outset" w:color="auto" w:sz="6" w:space="0"/>
              <w:left w:val="outset" w:color="auto" w:sz="6" w:space="0"/>
              <w:bottom w:val="outset" w:color="auto" w:sz="6" w:space="0"/>
              <w:right w:val="outset" w:color="auto" w:sz="6" w:space="0"/>
            </w:tcBorders>
            <w:noWrap/>
            <w:vAlign w:val="center"/>
          </w:tcPr>
          <w:p>
            <w:pPr>
              <w:widowControl/>
              <w:spacing w:line="400" w:lineRule="exact"/>
              <w:jc w:val="center"/>
              <w:rPr>
                <w:rFonts w:ascii="宋体" w:hAnsi="宋体" w:cs="宋体"/>
                <w:color w:val="auto"/>
                <w:sz w:val="22"/>
                <w:highlight w:val="none"/>
              </w:rPr>
            </w:pPr>
            <w:r>
              <w:rPr>
                <w:rFonts w:hint="eastAsia" w:ascii="宋体" w:hAnsi="宋体" w:cs="宋体"/>
                <w:color w:val="auto"/>
                <w:sz w:val="22"/>
                <w:highlight w:val="none"/>
                <w:lang w:bidi="ar"/>
              </w:rPr>
              <w:t>验收期次</w:t>
            </w:r>
          </w:p>
        </w:tc>
        <w:tc>
          <w:tcPr>
            <w:tcW w:w="4000" w:type="pct"/>
            <w:tcBorders>
              <w:top w:val="outset" w:color="auto" w:sz="6" w:space="0"/>
              <w:left w:val="outset" w:color="auto" w:sz="6" w:space="0"/>
              <w:bottom w:val="outset" w:color="auto" w:sz="6" w:space="0"/>
              <w:right w:val="outset" w:color="auto" w:sz="6" w:space="0"/>
            </w:tcBorders>
            <w:noWrap/>
            <w:vAlign w:val="center"/>
          </w:tcPr>
          <w:p>
            <w:pPr>
              <w:widowControl/>
              <w:spacing w:line="400" w:lineRule="exact"/>
              <w:jc w:val="center"/>
              <w:rPr>
                <w:rFonts w:ascii="宋体" w:hAnsi="宋体" w:cs="宋体"/>
                <w:color w:val="auto"/>
                <w:sz w:val="22"/>
                <w:highlight w:val="none"/>
              </w:rPr>
            </w:pPr>
            <w:r>
              <w:rPr>
                <w:rFonts w:hint="eastAsia" w:ascii="宋体" w:hAnsi="宋体" w:cs="宋体"/>
                <w:color w:val="auto"/>
                <w:sz w:val="22"/>
                <w:highlight w:val="none"/>
                <w:lang w:bidi="ar"/>
              </w:rPr>
              <w:t>验收期次说明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0" w:type="auto"/>
            <w:tcBorders>
              <w:top w:val="outset" w:color="auto" w:sz="6" w:space="0"/>
              <w:left w:val="outset" w:color="auto" w:sz="6" w:space="0"/>
              <w:bottom w:val="outset" w:color="auto" w:sz="6" w:space="0"/>
              <w:right w:val="outset" w:color="auto" w:sz="6" w:space="0"/>
            </w:tcBorders>
            <w:noWrap/>
            <w:vAlign w:val="center"/>
          </w:tcPr>
          <w:p>
            <w:pPr>
              <w:widowControl/>
              <w:spacing w:line="400" w:lineRule="exact"/>
              <w:jc w:val="center"/>
              <w:rPr>
                <w:rFonts w:ascii="宋体" w:hAnsi="宋体" w:cs="宋体"/>
                <w:color w:val="auto"/>
                <w:sz w:val="22"/>
                <w:highlight w:val="none"/>
              </w:rPr>
            </w:pPr>
            <w:r>
              <w:rPr>
                <w:rFonts w:hint="eastAsia" w:ascii="宋体" w:hAnsi="宋体" w:cs="宋体"/>
                <w:color w:val="auto"/>
                <w:sz w:val="22"/>
                <w:highlight w:val="none"/>
                <w:lang w:bidi="ar"/>
              </w:rPr>
              <w:t>1</w:t>
            </w:r>
          </w:p>
        </w:tc>
        <w:tc>
          <w:tcPr>
            <w:tcW w:w="0" w:type="auto"/>
            <w:tcBorders>
              <w:top w:val="outset" w:color="auto" w:sz="6" w:space="0"/>
              <w:left w:val="outset" w:color="auto" w:sz="6" w:space="0"/>
              <w:bottom w:val="outset" w:color="auto" w:sz="6" w:space="0"/>
              <w:right w:val="outset" w:color="auto" w:sz="6" w:space="0"/>
            </w:tcBorders>
            <w:noWrap/>
            <w:vAlign w:val="center"/>
          </w:tcPr>
          <w:p>
            <w:pPr>
              <w:widowControl/>
              <w:spacing w:line="400" w:lineRule="exact"/>
              <w:jc w:val="center"/>
              <w:rPr>
                <w:rFonts w:ascii="宋体" w:hAnsi="宋体" w:cs="宋体"/>
                <w:color w:val="auto"/>
                <w:sz w:val="22"/>
                <w:highlight w:val="none"/>
              </w:rPr>
            </w:pPr>
            <w:r>
              <w:rPr>
                <w:rFonts w:hint="eastAsia" w:ascii="宋体" w:hAnsi="宋体" w:cs="宋体"/>
                <w:color w:val="auto"/>
                <w:sz w:val="22"/>
                <w:highlight w:val="none"/>
                <w:lang w:bidi="ar"/>
              </w:rPr>
              <w:t>采购人通过采购人设备设施维护工作考核表进行考核验收</w:t>
            </w:r>
          </w:p>
        </w:tc>
      </w:tr>
    </w:tbl>
    <w:p>
      <w:pPr>
        <w:numPr>
          <w:ilvl w:val="0"/>
          <w:numId w:val="4"/>
        </w:numPr>
        <w:spacing w:line="400" w:lineRule="exact"/>
        <w:rPr>
          <w:rStyle w:val="24"/>
          <w:rFonts w:ascii="宋体" w:hAnsi="宋体" w:cs="宋体"/>
          <w:color w:val="auto"/>
          <w:sz w:val="22"/>
          <w:highlight w:val="none"/>
          <w:lang w:bidi="ar"/>
        </w:rPr>
      </w:pPr>
      <w:r>
        <w:rPr>
          <w:rStyle w:val="24"/>
          <w:rFonts w:hint="eastAsia" w:ascii="宋体" w:hAnsi="宋体" w:cs="宋体"/>
          <w:color w:val="auto"/>
          <w:sz w:val="22"/>
          <w:highlight w:val="none"/>
          <w:lang w:bidi="ar"/>
        </w:rPr>
        <w:t>履约保证金</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签订合同后7个工作日内乙方向甲方提交合同金额的1%为履约保证金，履约保证金的形式可以为银行转账或保函（金融机构、担保机构出具）。</w:t>
      </w:r>
    </w:p>
    <w:p>
      <w:pPr>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履约保证金用于补偿甲方因乙方不能完成其合同义务而蒙受的损失。</w:t>
      </w:r>
    </w:p>
    <w:p>
      <w:pPr>
        <w:widowControl/>
        <w:spacing w:line="40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履约保证金自合同签订之日起至项目验收合格之日起有效。有效期满后15日内，甲方应及时将履约保证金无息退还给乙方。</w:t>
      </w:r>
    </w:p>
    <w:p>
      <w:pPr>
        <w:widowControl/>
        <w:spacing w:line="400" w:lineRule="exact"/>
        <w:rPr>
          <w:rFonts w:ascii="宋体" w:hAnsi="宋体" w:cs="宋体"/>
          <w:color w:val="auto"/>
          <w:sz w:val="22"/>
          <w:highlight w:val="none"/>
        </w:rPr>
      </w:pPr>
      <w:r>
        <w:rPr>
          <w:rStyle w:val="24"/>
          <w:rFonts w:hint="eastAsia" w:ascii="宋体" w:hAnsi="宋体" w:cs="宋体"/>
          <w:color w:val="auto"/>
          <w:sz w:val="22"/>
          <w:highlight w:val="none"/>
          <w:lang w:bidi="ar"/>
        </w:rPr>
        <w:t>8.支付方式数据表格</w:t>
      </w:r>
    </w:p>
    <w:tbl>
      <w:tblPr>
        <w:tblStyle w:val="22"/>
        <w:tblW w:w="5000" w:type="pct"/>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0" w:type="dxa"/>
          <w:left w:w="0" w:type="dxa"/>
          <w:bottom w:w="0" w:type="dxa"/>
          <w:right w:w="0" w:type="dxa"/>
        </w:tblCellMar>
      </w:tblPr>
      <w:tblGrid>
        <w:gridCol w:w="1209"/>
        <w:gridCol w:w="1240"/>
        <w:gridCol w:w="58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tblCellSpacing w:w="0" w:type="dxa"/>
        </w:trPr>
        <w:tc>
          <w:tcPr>
            <w:tcW w:w="767"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jc w:val="center"/>
              <w:rPr>
                <w:rFonts w:ascii="宋体" w:hAnsi="宋体" w:cs="宋体"/>
                <w:color w:val="auto"/>
                <w:sz w:val="22"/>
                <w:highlight w:val="none"/>
              </w:rPr>
            </w:pPr>
            <w:r>
              <w:rPr>
                <w:rFonts w:hint="eastAsia" w:ascii="宋体" w:hAnsi="宋体" w:cs="宋体"/>
                <w:color w:val="auto"/>
                <w:sz w:val="22"/>
                <w:highlight w:val="none"/>
                <w:lang w:bidi="ar"/>
              </w:rPr>
              <w:t>支付期次</w:t>
            </w:r>
          </w:p>
        </w:tc>
        <w:tc>
          <w:tcPr>
            <w:tcW w:w="660"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jc w:val="center"/>
              <w:rPr>
                <w:rFonts w:ascii="宋体" w:hAnsi="宋体" w:cs="宋体"/>
                <w:color w:val="auto"/>
                <w:sz w:val="22"/>
                <w:highlight w:val="none"/>
              </w:rPr>
            </w:pPr>
            <w:r>
              <w:rPr>
                <w:rFonts w:hint="eastAsia" w:ascii="宋体" w:hAnsi="宋体" w:cs="宋体"/>
                <w:color w:val="auto"/>
                <w:sz w:val="22"/>
                <w:highlight w:val="none"/>
                <w:lang w:bidi="ar"/>
              </w:rPr>
              <w:t>支付比例(%)</w:t>
            </w:r>
          </w:p>
        </w:tc>
        <w:tc>
          <w:tcPr>
            <w:tcW w:w="3572"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jc w:val="center"/>
              <w:rPr>
                <w:rFonts w:ascii="宋体" w:hAnsi="宋体" w:cs="宋体"/>
                <w:color w:val="auto"/>
                <w:sz w:val="22"/>
                <w:highlight w:val="none"/>
              </w:rPr>
            </w:pPr>
            <w:r>
              <w:rPr>
                <w:rFonts w:hint="eastAsia" w:ascii="宋体" w:hAnsi="宋体" w:cs="宋体"/>
                <w:color w:val="auto"/>
                <w:sz w:val="22"/>
                <w:highlight w:val="none"/>
                <w:lang w:bidi="ar"/>
              </w:rPr>
              <w:t>支付期次说明</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67"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jc w:val="center"/>
              <w:rPr>
                <w:rFonts w:ascii="宋体" w:hAnsi="宋体" w:cs="宋体"/>
                <w:color w:val="auto"/>
                <w:sz w:val="22"/>
                <w:highlight w:val="none"/>
              </w:rPr>
            </w:pPr>
            <w:r>
              <w:rPr>
                <w:rFonts w:hint="eastAsia" w:ascii="宋体" w:hAnsi="宋体" w:cs="宋体"/>
                <w:color w:val="auto"/>
                <w:sz w:val="22"/>
                <w:highlight w:val="none"/>
                <w:lang w:bidi="ar"/>
              </w:rPr>
              <w:t>1</w:t>
            </w:r>
          </w:p>
        </w:tc>
        <w:tc>
          <w:tcPr>
            <w:tcW w:w="660"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jc w:val="center"/>
              <w:rPr>
                <w:rFonts w:ascii="宋体" w:hAnsi="宋体" w:cs="宋体"/>
                <w:color w:val="auto"/>
                <w:sz w:val="22"/>
                <w:highlight w:val="none"/>
              </w:rPr>
            </w:pPr>
            <w:r>
              <w:rPr>
                <w:rFonts w:hint="eastAsia" w:ascii="宋体" w:hAnsi="宋体" w:cs="宋体"/>
                <w:color w:val="auto"/>
                <w:sz w:val="22"/>
                <w:highlight w:val="none"/>
                <w:lang w:bidi="ar"/>
              </w:rPr>
              <w:t>40</w:t>
            </w:r>
          </w:p>
        </w:tc>
        <w:tc>
          <w:tcPr>
            <w:tcW w:w="3572"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rPr>
                <w:rFonts w:ascii="宋体" w:hAnsi="宋体" w:cs="宋体"/>
                <w:color w:val="auto"/>
                <w:sz w:val="22"/>
                <w:highlight w:val="none"/>
              </w:rPr>
            </w:pPr>
            <w:r>
              <w:rPr>
                <w:rFonts w:hint="eastAsia" w:ascii="宋体" w:hAnsi="宋体" w:cs="宋体"/>
                <w:color w:val="auto"/>
                <w:sz w:val="22"/>
                <w:highlight w:val="none"/>
                <w:lang w:bidi="ar"/>
              </w:rPr>
              <w:t>签订合同后，维保人员入驻，采购人支付合同金额40%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67"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jc w:val="center"/>
              <w:rPr>
                <w:rFonts w:ascii="宋体" w:hAnsi="宋体" w:cs="宋体"/>
                <w:color w:val="auto"/>
                <w:sz w:val="22"/>
                <w:highlight w:val="none"/>
              </w:rPr>
            </w:pPr>
            <w:r>
              <w:rPr>
                <w:rFonts w:hint="eastAsia" w:ascii="宋体" w:hAnsi="宋体" w:cs="宋体"/>
                <w:color w:val="auto"/>
                <w:sz w:val="22"/>
                <w:highlight w:val="none"/>
                <w:lang w:bidi="ar"/>
              </w:rPr>
              <w:t>2</w:t>
            </w:r>
          </w:p>
        </w:tc>
        <w:tc>
          <w:tcPr>
            <w:tcW w:w="660"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jc w:val="center"/>
              <w:rPr>
                <w:rFonts w:ascii="宋体" w:hAnsi="宋体" w:cs="宋体"/>
                <w:color w:val="auto"/>
                <w:sz w:val="22"/>
                <w:highlight w:val="none"/>
              </w:rPr>
            </w:pPr>
            <w:r>
              <w:rPr>
                <w:rFonts w:hint="eastAsia" w:ascii="宋体" w:hAnsi="宋体" w:cs="宋体"/>
                <w:color w:val="auto"/>
                <w:sz w:val="22"/>
                <w:highlight w:val="none"/>
                <w:lang w:bidi="ar"/>
              </w:rPr>
              <w:t>20</w:t>
            </w:r>
          </w:p>
        </w:tc>
        <w:tc>
          <w:tcPr>
            <w:tcW w:w="3572"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rPr>
                <w:rFonts w:ascii="宋体" w:hAnsi="宋体" w:cs="宋体"/>
                <w:color w:val="auto"/>
                <w:sz w:val="22"/>
                <w:highlight w:val="none"/>
              </w:rPr>
            </w:pPr>
            <w:r>
              <w:rPr>
                <w:rFonts w:hint="eastAsia" w:ascii="宋体" w:hAnsi="宋体" w:cs="宋体"/>
                <w:color w:val="auto"/>
                <w:sz w:val="22"/>
                <w:highlight w:val="none"/>
                <w:lang w:bidi="ar"/>
              </w:rPr>
              <w:t>第</w:t>
            </w:r>
            <w:r>
              <w:rPr>
                <w:rFonts w:hint="eastAsia" w:ascii="宋体" w:hAnsi="宋体" w:cs="宋体"/>
                <w:color w:val="auto"/>
                <w:sz w:val="22"/>
                <w:highlight w:val="none"/>
                <w:lang w:val="en-US" w:eastAsia="zh-CN" w:bidi="ar"/>
              </w:rPr>
              <w:t>二期</w:t>
            </w:r>
            <w:r>
              <w:rPr>
                <w:rFonts w:hint="eastAsia" w:ascii="宋体" w:hAnsi="宋体" w:cs="宋体"/>
                <w:color w:val="auto"/>
                <w:sz w:val="22"/>
                <w:highlight w:val="none"/>
                <w:lang w:bidi="ar"/>
              </w:rPr>
              <w:t>维保分表95分以上，采购人支付合同金额的20%。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67"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jc w:val="center"/>
              <w:rPr>
                <w:rFonts w:ascii="宋体" w:hAnsi="宋体" w:cs="宋体"/>
                <w:color w:val="auto"/>
                <w:sz w:val="22"/>
                <w:highlight w:val="none"/>
              </w:rPr>
            </w:pPr>
            <w:r>
              <w:rPr>
                <w:rFonts w:hint="eastAsia" w:ascii="宋体" w:hAnsi="宋体" w:cs="宋体"/>
                <w:color w:val="auto"/>
                <w:sz w:val="22"/>
                <w:highlight w:val="none"/>
                <w:lang w:bidi="ar"/>
              </w:rPr>
              <w:t>3</w:t>
            </w:r>
          </w:p>
        </w:tc>
        <w:tc>
          <w:tcPr>
            <w:tcW w:w="660"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jc w:val="center"/>
              <w:rPr>
                <w:rFonts w:ascii="宋体" w:hAnsi="宋体" w:cs="宋体"/>
                <w:color w:val="auto"/>
                <w:sz w:val="22"/>
                <w:highlight w:val="none"/>
              </w:rPr>
            </w:pPr>
            <w:r>
              <w:rPr>
                <w:rFonts w:hint="eastAsia" w:ascii="宋体" w:hAnsi="宋体" w:cs="宋体"/>
                <w:color w:val="auto"/>
                <w:sz w:val="22"/>
                <w:highlight w:val="none"/>
                <w:lang w:bidi="ar"/>
              </w:rPr>
              <w:t>20</w:t>
            </w:r>
          </w:p>
        </w:tc>
        <w:tc>
          <w:tcPr>
            <w:tcW w:w="3572"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rPr>
                <w:rFonts w:ascii="宋体" w:hAnsi="宋体" w:cs="宋体"/>
                <w:color w:val="auto"/>
                <w:sz w:val="22"/>
                <w:highlight w:val="none"/>
              </w:rPr>
            </w:pPr>
            <w:r>
              <w:rPr>
                <w:rFonts w:hint="eastAsia" w:ascii="宋体" w:hAnsi="宋体" w:cs="宋体"/>
                <w:color w:val="auto"/>
                <w:sz w:val="22"/>
                <w:highlight w:val="none"/>
                <w:lang w:bidi="ar"/>
              </w:rPr>
              <w:t>第</w:t>
            </w:r>
            <w:r>
              <w:rPr>
                <w:rFonts w:hint="eastAsia" w:ascii="宋体" w:hAnsi="宋体" w:cs="宋体"/>
                <w:color w:val="auto"/>
                <w:sz w:val="22"/>
                <w:highlight w:val="none"/>
                <w:lang w:val="en-US" w:eastAsia="zh-CN" w:bidi="ar"/>
              </w:rPr>
              <w:t>三期</w:t>
            </w:r>
            <w:r>
              <w:rPr>
                <w:rFonts w:hint="eastAsia" w:ascii="宋体" w:hAnsi="宋体" w:cs="宋体"/>
                <w:color w:val="auto"/>
                <w:sz w:val="22"/>
                <w:highlight w:val="none"/>
                <w:lang w:bidi="ar"/>
              </w:rPr>
              <w:t>维保分表95分以上，采购人支付合同金额的20%。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767"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jc w:val="center"/>
              <w:rPr>
                <w:rFonts w:ascii="宋体" w:hAnsi="宋体" w:cs="宋体"/>
                <w:color w:val="auto"/>
                <w:sz w:val="22"/>
                <w:highlight w:val="none"/>
              </w:rPr>
            </w:pPr>
            <w:r>
              <w:rPr>
                <w:rFonts w:hint="eastAsia" w:ascii="宋体" w:hAnsi="宋体" w:cs="宋体"/>
                <w:color w:val="auto"/>
                <w:sz w:val="22"/>
                <w:highlight w:val="none"/>
                <w:lang w:bidi="ar"/>
              </w:rPr>
              <w:t>4</w:t>
            </w:r>
          </w:p>
        </w:tc>
        <w:tc>
          <w:tcPr>
            <w:tcW w:w="660"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jc w:val="center"/>
              <w:rPr>
                <w:rFonts w:ascii="宋体" w:hAnsi="宋体" w:cs="宋体"/>
                <w:color w:val="auto"/>
                <w:sz w:val="22"/>
                <w:highlight w:val="none"/>
              </w:rPr>
            </w:pPr>
            <w:r>
              <w:rPr>
                <w:rFonts w:hint="eastAsia" w:ascii="宋体" w:hAnsi="宋体" w:cs="宋体"/>
                <w:color w:val="auto"/>
                <w:sz w:val="22"/>
                <w:highlight w:val="none"/>
                <w:lang w:bidi="ar"/>
              </w:rPr>
              <w:t>20</w:t>
            </w:r>
          </w:p>
        </w:tc>
        <w:tc>
          <w:tcPr>
            <w:tcW w:w="3572" w:type="pct"/>
            <w:tcBorders>
              <w:top w:val="outset" w:color="auto" w:sz="6" w:space="0"/>
              <w:left w:val="outset" w:color="auto" w:sz="6" w:space="0"/>
              <w:bottom w:val="outset" w:color="auto" w:sz="6" w:space="0"/>
              <w:right w:val="outset" w:color="auto" w:sz="6" w:space="0"/>
            </w:tcBorders>
            <w:noWrap/>
            <w:vAlign w:val="center"/>
          </w:tcPr>
          <w:p>
            <w:pPr>
              <w:widowControl/>
              <w:spacing w:line="320" w:lineRule="exact"/>
              <w:rPr>
                <w:rFonts w:ascii="宋体" w:hAnsi="宋体" w:cs="宋体"/>
                <w:color w:val="auto"/>
                <w:sz w:val="22"/>
                <w:highlight w:val="none"/>
              </w:rPr>
            </w:pPr>
            <w:r>
              <w:rPr>
                <w:rFonts w:hint="eastAsia" w:ascii="宋体" w:hAnsi="宋体" w:cs="宋体"/>
                <w:color w:val="auto"/>
                <w:sz w:val="22"/>
                <w:highlight w:val="none"/>
                <w:lang w:bidi="ar"/>
              </w:rPr>
              <w:t>第</w:t>
            </w:r>
            <w:r>
              <w:rPr>
                <w:rFonts w:hint="eastAsia" w:ascii="宋体" w:hAnsi="宋体" w:cs="宋体"/>
                <w:color w:val="auto"/>
                <w:sz w:val="22"/>
                <w:highlight w:val="none"/>
                <w:lang w:val="en-US" w:eastAsia="zh-CN" w:bidi="ar"/>
              </w:rPr>
              <w:t>四期</w:t>
            </w:r>
            <w:r>
              <w:rPr>
                <w:rFonts w:hint="eastAsia" w:ascii="宋体" w:hAnsi="宋体" w:cs="宋体"/>
                <w:color w:val="auto"/>
                <w:sz w:val="22"/>
                <w:highlight w:val="none"/>
                <w:lang w:bidi="ar"/>
              </w:rPr>
              <w:t>维保分表95分以上，采购人支付合同金额的20%。</w:t>
            </w:r>
          </w:p>
        </w:tc>
      </w:tr>
    </w:tbl>
    <w:p>
      <w:pPr>
        <w:pStyle w:val="30"/>
        <w:spacing w:line="400" w:lineRule="exact"/>
        <w:ind w:firstLine="0"/>
        <w:rPr>
          <w:rFonts w:hint="default"/>
          <w:color w:val="auto"/>
          <w:sz w:val="22"/>
          <w:szCs w:val="22"/>
          <w:highlight w:val="none"/>
        </w:rPr>
      </w:pPr>
      <w:r>
        <w:rPr>
          <w:rStyle w:val="29"/>
          <w:color w:val="auto"/>
          <w:sz w:val="22"/>
          <w:szCs w:val="22"/>
          <w:highlight w:val="none"/>
          <w:lang w:val="en-US"/>
        </w:rPr>
        <w:t>9.</w:t>
      </w:r>
      <w:r>
        <w:rPr>
          <w:rStyle w:val="29"/>
          <w:color w:val="auto"/>
          <w:sz w:val="22"/>
          <w:szCs w:val="22"/>
          <w:highlight w:val="none"/>
        </w:rPr>
        <w:t>其他未尽事宜双方在合同中约定。</w:t>
      </w:r>
    </w:p>
    <w:p>
      <w:pPr>
        <w:pStyle w:val="30"/>
        <w:spacing w:line="400" w:lineRule="exact"/>
        <w:ind w:firstLine="442" w:firstLineChars="200"/>
        <w:rPr>
          <w:rStyle w:val="29"/>
          <w:rFonts w:hint="default"/>
          <w:b/>
          <w:color w:val="auto"/>
          <w:sz w:val="22"/>
          <w:szCs w:val="22"/>
          <w:highlight w:val="none"/>
        </w:rPr>
      </w:pPr>
      <w:r>
        <w:rPr>
          <w:rStyle w:val="29"/>
          <w:b/>
          <w:color w:val="auto"/>
          <w:sz w:val="22"/>
          <w:szCs w:val="22"/>
          <w:highlight w:val="none"/>
        </w:rPr>
        <w:t>打</w:t>
      </w:r>
      <w:r>
        <w:rPr>
          <w:rStyle w:val="29"/>
          <w:rFonts w:ascii="Calibri" w:hAnsi="Calibri" w:eastAsia="Calibri"/>
          <w:b/>
          <w:color w:val="auto"/>
          <w:sz w:val="22"/>
          <w:szCs w:val="22"/>
          <w:highlight w:val="none"/>
        </w:rPr>
        <w:t>“</w:t>
      </w:r>
      <w:r>
        <w:rPr>
          <w:rStyle w:val="29"/>
          <w:b/>
          <w:color w:val="auto"/>
          <w:sz w:val="22"/>
          <w:szCs w:val="22"/>
          <w:highlight w:val="none"/>
        </w:rPr>
        <w:t>▲</w:t>
      </w:r>
      <w:r>
        <w:rPr>
          <w:rStyle w:val="29"/>
          <w:rFonts w:ascii="Calibri" w:hAnsi="Calibri" w:eastAsia="Calibri"/>
          <w:b/>
          <w:color w:val="auto"/>
          <w:sz w:val="22"/>
          <w:szCs w:val="22"/>
          <w:highlight w:val="none"/>
        </w:rPr>
        <w:t>”</w:t>
      </w:r>
      <w:r>
        <w:rPr>
          <w:rStyle w:val="29"/>
          <w:b/>
          <w:color w:val="auto"/>
          <w:sz w:val="22"/>
          <w:szCs w:val="22"/>
          <w:highlight w:val="none"/>
        </w:rPr>
        <w:t>项为不可负偏离</w:t>
      </w:r>
      <w:r>
        <w:rPr>
          <w:rStyle w:val="29"/>
          <w:rFonts w:ascii="Calibri" w:hAnsi="Calibri" w:eastAsia="Calibri"/>
          <w:b/>
          <w:color w:val="auto"/>
          <w:sz w:val="22"/>
          <w:szCs w:val="22"/>
          <w:highlight w:val="none"/>
        </w:rPr>
        <w:t>（</w:t>
      </w:r>
      <w:r>
        <w:rPr>
          <w:rStyle w:val="29"/>
          <w:b/>
          <w:color w:val="auto"/>
          <w:sz w:val="22"/>
          <w:szCs w:val="22"/>
          <w:highlight w:val="none"/>
        </w:rPr>
        <w:t>劣于</w:t>
      </w:r>
      <w:r>
        <w:rPr>
          <w:rStyle w:val="29"/>
          <w:rFonts w:ascii="Calibri" w:hAnsi="Calibri" w:eastAsia="Calibri"/>
          <w:b/>
          <w:color w:val="auto"/>
          <w:sz w:val="22"/>
          <w:szCs w:val="22"/>
          <w:highlight w:val="none"/>
        </w:rPr>
        <w:t>）</w:t>
      </w:r>
      <w:r>
        <w:rPr>
          <w:rStyle w:val="29"/>
          <w:b/>
          <w:color w:val="auto"/>
          <w:sz w:val="22"/>
          <w:szCs w:val="22"/>
          <w:highlight w:val="none"/>
        </w:rPr>
        <w:t>的重要项，任何偏离将导致废标。</w:t>
      </w:r>
    </w:p>
    <w:p>
      <w:pPr>
        <w:pStyle w:val="19"/>
        <w:spacing w:before="0" w:beforeAutospacing="0" w:after="0" w:afterAutospacing="0" w:line="400" w:lineRule="exact"/>
        <w:rPr>
          <w:b/>
          <w:bCs/>
          <w:color w:val="auto"/>
          <w:sz w:val="22"/>
          <w:highlight w:val="none"/>
        </w:rPr>
      </w:pPr>
      <w:r>
        <w:rPr>
          <w:rFonts w:hint="eastAsia"/>
          <w:b/>
          <w:bCs/>
          <w:color w:val="auto"/>
          <w:sz w:val="22"/>
          <w:highlight w:val="none"/>
        </w:rPr>
        <w:t>四、其他事项</w:t>
      </w:r>
    </w:p>
    <w:p>
      <w:pPr>
        <w:pStyle w:val="19"/>
        <w:spacing w:before="0" w:beforeAutospacing="0" w:after="0" w:afterAutospacing="0" w:line="400" w:lineRule="exact"/>
        <w:rPr>
          <w:color w:val="auto"/>
          <w:sz w:val="22"/>
          <w:highlight w:val="none"/>
        </w:rPr>
      </w:pPr>
      <w:r>
        <w:rPr>
          <w:rFonts w:hint="eastAsia"/>
          <w:color w:val="auto"/>
          <w:sz w:val="22"/>
          <w:highlight w:val="none"/>
        </w:rPr>
        <w:t>1.除招标文件另有规定外，若出现有关法律、法规和规章有强制性规定但招标文件未列明的情形，则投标供应商应按照有关法律、法规和规章强制性规定执行。</w:t>
      </w:r>
    </w:p>
    <w:p>
      <w:pPr>
        <w:pStyle w:val="19"/>
        <w:spacing w:before="0" w:beforeAutospacing="0" w:after="0" w:afterAutospacing="0" w:line="400" w:lineRule="exact"/>
        <w:rPr>
          <w:color w:val="auto"/>
          <w:sz w:val="22"/>
          <w:highlight w:val="none"/>
        </w:rPr>
      </w:pPr>
      <w:r>
        <w:rPr>
          <w:rFonts w:hint="eastAsia"/>
          <w:color w:val="auto"/>
          <w:sz w:val="22"/>
          <w:highlight w:val="none"/>
        </w:rPr>
        <w:t>2.其他：</w:t>
      </w:r>
    </w:p>
    <w:p>
      <w:pPr>
        <w:pStyle w:val="19"/>
        <w:spacing w:before="0" w:beforeAutospacing="0" w:after="0" w:afterAutospacing="0" w:line="400" w:lineRule="exact"/>
        <w:rPr>
          <w:color w:val="auto"/>
          <w:sz w:val="22"/>
          <w:highlight w:val="none"/>
        </w:rPr>
      </w:pPr>
      <w:r>
        <w:rPr>
          <w:rFonts w:hint="eastAsia"/>
          <w:color w:val="auto"/>
          <w:sz w:val="22"/>
          <w:highlight w:val="none"/>
        </w:rPr>
        <w:t>设备设施维护工作考核表</w:t>
      </w:r>
    </w:p>
    <w:p>
      <w:pPr>
        <w:pStyle w:val="7"/>
        <w:jc w:val="center"/>
        <w:rPr>
          <w:rFonts w:ascii="宋体" w:hAnsi="宋体" w:cs="宋体"/>
          <w:b/>
          <w:color w:val="auto"/>
          <w:sz w:val="20"/>
          <w:szCs w:val="20"/>
          <w:highlight w:val="none"/>
        </w:rPr>
      </w:pPr>
      <w:r>
        <w:rPr>
          <w:rFonts w:hint="eastAsia" w:ascii="宋体" w:hAnsi="宋体" w:cs="宋体"/>
          <w:b/>
          <w:color w:val="auto"/>
          <w:sz w:val="20"/>
          <w:szCs w:val="20"/>
          <w:highlight w:val="none"/>
        </w:rPr>
        <w:t>设备设施维护工作考核表</w:t>
      </w:r>
    </w:p>
    <w:tbl>
      <w:tblPr>
        <w:tblStyle w:val="22"/>
        <w:tblW w:w="10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187"/>
        <w:gridCol w:w="5610"/>
        <w:gridCol w:w="720"/>
        <w:gridCol w:w="1105"/>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058" w:type="dxa"/>
            <w:gridSpan w:val="6"/>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考核周期：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序号</w:t>
            </w:r>
          </w:p>
        </w:tc>
        <w:tc>
          <w:tcPr>
            <w:tcW w:w="1187"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考核内容</w:t>
            </w:r>
          </w:p>
        </w:tc>
        <w:tc>
          <w:tcPr>
            <w:tcW w:w="561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考核细则</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分值</w:t>
            </w:r>
          </w:p>
        </w:tc>
        <w:tc>
          <w:tcPr>
            <w:tcW w:w="1105"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考核分值</w:t>
            </w:r>
          </w:p>
        </w:tc>
        <w:tc>
          <w:tcPr>
            <w:tcW w:w="6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restart"/>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（一）</w:t>
            </w:r>
          </w:p>
        </w:tc>
        <w:tc>
          <w:tcPr>
            <w:tcW w:w="1187" w:type="dxa"/>
            <w:vMerge w:val="restart"/>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内部管理（33分）</w:t>
            </w: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工作时间内统一着装，佩戴工作牌，严守工作岗位，人员配足额、到位。</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6</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按时到岗、不串岗、不进入与工作无关的部门。</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6</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落实值班制度，做好值班记录，确保节假日各项设备安全运行。</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安全实施行之有效，全年无事故。</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能源管理到位，开支节省，浪费减少。</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restart"/>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（二）</w:t>
            </w:r>
          </w:p>
        </w:tc>
        <w:tc>
          <w:tcPr>
            <w:tcW w:w="1187" w:type="dxa"/>
            <w:vMerge w:val="restart"/>
            <w:noWrap w:val="0"/>
            <w:vAlign w:val="center"/>
          </w:tcPr>
          <w:p>
            <w:pPr>
              <w:pStyle w:val="19"/>
              <w:spacing w:before="0" w:beforeAutospacing="0" w:after="0" w:afterAutospacing="0" w:line="320" w:lineRule="exact"/>
              <w:jc w:val="center"/>
              <w:rPr>
                <w:color w:val="auto"/>
                <w:sz w:val="20"/>
                <w:szCs w:val="20"/>
                <w:highlight w:val="none"/>
              </w:rPr>
            </w:pPr>
            <w:r>
              <w:rPr>
                <w:rFonts w:hint="eastAsia"/>
                <w:color w:val="auto"/>
                <w:sz w:val="20"/>
                <w:szCs w:val="20"/>
                <w:highlight w:val="none"/>
              </w:rPr>
              <w:t>模型、展厅、电脑、投影、机房、弱电等设备设施</w:t>
            </w:r>
          </w:p>
          <w:p>
            <w:pPr>
              <w:pStyle w:val="19"/>
              <w:spacing w:before="0" w:beforeAutospacing="0" w:after="0" w:afterAutospacing="0" w:line="320" w:lineRule="exact"/>
              <w:jc w:val="center"/>
              <w:rPr>
                <w:color w:val="auto"/>
                <w:highlight w:val="none"/>
              </w:rPr>
            </w:pPr>
            <w:r>
              <w:rPr>
                <w:rFonts w:hint="eastAsia"/>
                <w:color w:val="auto"/>
                <w:sz w:val="20"/>
                <w:szCs w:val="20"/>
                <w:highlight w:val="none"/>
              </w:rPr>
              <w:t>（47分）</w:t>
            </w: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掌握各类系统的性能和运行方式，熟悉各设备设施运行情况，发生一般性故障及时处理。</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设备运行和维护管理的备品备件计划及采购到位。</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按规定巡视检查各种设施设备运行状况，按时认真做好各种运行记录及报表，保管好各种技术资料，做好保密工作。</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做好各机房和设备设施的卫生工作，达到整洁。</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熟悉所有系统的运行规则，按操作规程实施操作；确保全系统正常安全运行，设备完好率达以上</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7</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做好各种设备常规保养，做好保养记录。</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设备故障；一般维修任务当天完成，应急抢修任务，维修人员分钟之内赶到现场处理，并做好维护和应急抢修记录并上报展馆。</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9</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restart"/>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（三）</w:t>
            </w:r>
          </w:p>
        </w:tc>
        <w:tc>
          <w:tcPr>
            <w:tcW w:w="1187" w:type="dxa"/>
            <w:vMerge w:val="restart"/>
            <w:noWrap w:val="0"/>
            <w:vAlign w:val="center"/>
          </w:tcPr>
          <w:p>
            <w:pPr>
              <w:pStyle w:val="19"/>
              <w:spacing w:before="0" w:beforeAutospacing="0" w:after="0" w:afterAutospacing="0" w:line="320" w:lineRule="exact"/>
              <w:jc w:val="center"/>
              <w:rPr>
                <w:color w:val="auto"/>
                <w:sz w:val="20"/>
                <w:szCs w:val="20"/>
                <w:highlight w:val="none"/>
              </w:rPr>
            </w:pPr>
            <w:r>
              <w:rPr>
                <w:rFonts w:hint="eastAsia"/>
                <w:color w:val="auto"/>
                <w:sz w:val="20"/>
                <w:szCs w:val="20"/>
                <w:highlight w:val="none"/>
              </w:rPr>
              <w:t>与专业在保单位沟通协调</w:t>
            </w:r>
          </w:p>
          <w:p>
            <w:pPr>
              <w:pStyle w:val="19"/>
              <w:spacing w:before="0" w:beforeAutospacing="0" w:after="0" w:afterAutospacing="0" w:line="320" w:lineRule="exact"/>
              <w:jc w:val="center"/>
              <w:rPr>
                <w:color w:val="auto"/>
                <w:highlight w:val="none"/>
              </w:rPr>
            </w:pPr>
            <w:r>
              <w:rPr>
                <w:rFonts w:hint="eastAsia"/>
                <w:color w:val="auto"/>
                <w:sz w:val="20"/>
                <w:szCs w:val="20"/>
                <w:highlight w:val="none"/>
              </w:rPr>
              <w:t>（20分）</w:t>
            </w: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设施设备故障后保持与在保单位的日常沟通联络衔接工作。</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监督在保方按照合同约定履行服务保养义务</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专业维修人员前来维护、维修时，派人现在陪同并确认需更换的配件及数量情况并上报展馆。</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16" w:type="dxa"/>
            <w:vMerge w:val="continue"/>
            <w:noWrap w:val="0"/>
            <w:vAlign w:val="center"/>
          </w:tcPr>
          <w:p>
            <w:pPr>
              <w:spacing w:line="320" w:lineRule="exact"/>
              <w:rPr>
                <w:color w:val="auto"/>
                <w:highlight w:val="none"/>
              </w:rPr>
            </w:pPr>
          </w:p>
        </w:tc>
        <w:tc>
          <w:tcPr>
            <w:tcW w:w="1187" w:type="dxa"/>
            <w:vMerge w:val="continue"/>
            <w:noWrap w:val="0"/>
            <w:vAlign w:val="center"/>
          </w:tcPr>
          <w:p>
            <w:pPr>
              <w:spacing w:line="320" w:lineRule="exact"/>
              <w:rPr>
                <w:color w:val="auto"/>
                <w:highlight w:val="none"/>
              </w:rPr>
            </w:pPr>
          </w:p>
        </w:tc>
        <w:tc>
          <w:tcPr>
            <w:tcW w:w="5610" w:type="dxa"/>
            <w:noWrap w:val="0"/>
            <w:vAlign w:val="center"/>
          </w:tcPr>
          <w:p>
            <w:pPr>
              <w:pStyle w:val="19"/>
              <w:spacing w:before="0" w:beforeAutospacing="0" w:after="0" w:afterAutospacing="0" w:line="320" w:lineRule="exact"/>
              <w:rPr>
                <w:color w:val="auto"/>
                <w:highlight w:val="none"/>
              </w:rPr>
            </w:pPr>
            <w:r>
              <w:rPr>
                <w:rFonts w:hint="eastAsia"/>
                <w:color w:val="auto"/>
                <w:sz w:val="20"/>
                <w:szCs w:val="20"/>
                <w:highlight w:val="none"/>
              </w:rPr>
              <w:t>监督考核维保方的服务项目、服务内容和服务质量。</w:t>
            </w:r>
          </w:p>
        </w:tc>
        <w:tc>
          <w:tcPr>
            <w:tcW w:w="720" w:type="dxa"/>
            <w:noWrap w:val="0"/>
            <w:vAlign w:val="center"/>
          </w:tcPr>
          <w:p>
            <w:pPr>
              <w:pStyle w:val="19"/>
              <w:spacing w:before="0" w:beforeAutospacing="0" w:after="0" w:afterAutospacing="0" w:line="320" w:lineRule="exact"/>
              <w:jc w:val="center"/>
              <w:rPr>
                <w:color w:val="auto"/>
                <w:highlight w:val="none"/>
              </w:rPr>
            </w:pPr>
            <w:r>
              <w:rPr>
                <w:rFonts w:hint="eastAsia"/>
                <w:color w:val="auto"/>
                <w:sz w:val="20"/>
                <w:szCs w:val="20"/>
                <w:highlight w:val="none"/>
              </w:rPr>
              <w:t>5</w:t>
            </w:r>
          </w:p>
        </w:tc>
        <w:tc>
          <w:tcPr>
            <w:tcW w:w="1105" w:type="dxa"/>
            <w:noWrap w:val="0"/>
            <w:vAlign w:val="center"/>
          </w:tcPr>
          <w:p>
            <w:pPr>
              <w:widowControl/>
              <w:spacing w:line="320" w:lineRule="exact"/>
              <w:rPr>
                <w:color w:val="auto"/>
                <w:highlight w:val="none"/>
              </w:rPr>
            </w:pPr>
          </w:p>
        </w:tc>
        <w:tc>
          <w:tcPr>
            <w:tcW w:w="620" w:type="dxa"/>
            <w:noWrap w:val="0"/>
            <w:vAlign w:val="center"/>
          </w:tcPr>
          <w:p>
            <w:pPr>
              <w:widowControl/>
              <w:spacing w:line="320" w:lineRule="exact"/>
              <w:rPr>
                <w:color w:val="auto"/>
                <w:highlight w:val="none"/>
              </w:rPr>
            </w:pPr>
          </w:p>
        </w:tc>
      </w:tr>
    </w:tbl>
    <w:p>
      <w:pPr>
        <w:spacing w:line="272" w:lineRule="auto"/>
        <w:rPr>
          <w:rFonts w:ascii="宋体" w:hAnsi="宋体" w:cs="宋体"/>
          <w:color w:val="auto"/>
          <w:highlight w:val="none"/>
        </w:rPr>
      </w:pPr>
    </w:p>
    <w:p>
      <w:pPr>
        <w:pStyle w:val="9"/>
        <w:rPr>
          <w:rFonts w:ascii="宋体" w:hAnsi="宋体" w:cs="宋体"/>
          <w:color w:val="auto"/>
          <w:highlight w:val="none"/>
        </w:rPr>
      </w:pPr>
    </w:p>
    <w:p>
      <w:pPr>
        <w:rPr>
          <w:rFonts w:ascii="宋体" w:hAnsi="宋体" w:cs="宋体"/>
          <w:b/>
          <w:color w:val="auto"/>
          <w:sz w:val="32"/>
          <w:highlight w:val="none"/>
        </w:rPr>
      </w:pPr>
      <w:r>
        <w:rPr>
          <w:rFonts w:hint="eastAsia" w:ascii="宋体" w:hAnsi="宋体" w:cs="宋体"/>
          <w:b/>
          <w:color w:val="auto"/>
          <w:sz w:val="32"/>
          <w:highlight w:val="none"/>
        </w:rPr>
        <w:br w:type="page"/>
      </w:r>
    </w:p>
    <w:p>
      <w:pPr>
        <w:snapToGrid w:val="0"/>
        <w:spacing w:line="400" w:lineRule="exact"/>
        <w:jc w:val="center"/>
        <w:rPr>
          <w:rFonts w:ascii="宋体" w:hAnsi="宋体" w:cs="宋体"/>
          <w:b/>
          <w:color w:val="auto"/>
          <w:sz w:val="32"/>
          <w:highlight w:val="none"/>
        </w:rPr>
      </w:pPr>
      <w:r>
        <w:rPr>
          <w:rFonts w:hint="eastAsia" w:ascii="宋体" w:hAnsi="宋体" w:cs="宋体"/>
          <w:b/>
          <w:color w:val="auto"/>
          <w:sz w:val="32"/>
          <w:highlight w:val="none"/>
        </w:rPr>
        <w:t>第六部分   评标原则及方法</w:t>
      </w:r>
    </w:p>
    <w:p>
      <w:pPr>
        <w:pStyle w:val="7"/>
        <w:adjustRightInd w:val="0"/>
        <w:snapToGrid w:val="0"/>
        <w:spacing w:after="0" w:line="360" w:lineRule="exact"/>
        <w:rPr>
          <w:rFonts w:ascii="宋体" w:hAnsi="宋体" w:cs="宋体"/>
          <w:b/>
          <w:color w:val="auto"/>
          <w:sz w:val="22"/>
          <w:highlight w:val="none"/>
        </w:rPr>
      </w:pPr>
      <w:r>
        <w:rPr>
          <w:rFonts w:hint="eastAsia" w:ascii="宋体" w:hAnsi="宋体" w:cs="宋体"/>
          <w:b/>
          <w:color w:val="auto"/>
          <w:sz w:val="22"/>
          <w:highlight w:val="none"/>
        </w:rPr>
        <w:t>根据《中华人民共和国政府采购法》等相关法规特制定以下评标办法。</w:t>
      </w:r>
    </w:p>
    <w:p>
      <w:pPr>
        <w:pStyle w:val="3"/>
        <w:numPr>
          <w:ilvl w:val="1"/>
          <w:numId w:val="0"/>
        </w:numPr>
        <w:spacing w:line="500" w:lineRule="exact"/>
        <w:jc w:val="left"/>
        <w:rPr>
          <w:rFonts w:ascii="宋体" w:hAnsi="宋体" w:cs="宋体"/>
          <w:bCs/>
          <w:color w:val="auto"/>
          <w:sz w:val="22"/>
          <w:highlight w:val="none"/>
        </w:rPr>
      </w:pPr>
      <w:r>
        <w:rPr>
          <w:rFonts w:hint="eastAsia" w:ascii="宋体" w:hAnsi="宋体" w:cs="宋体"/>
          <w:bCs/>
          <w:color w:val="auto"/>
          <w:sz w:val="22"/>
          <w:highlight w:val="none"/>
        </w:rPr>
        <w:t>一、</w:t>
      </w:r>
      <w:r>
        <w:rPr>
          <w:rFonts w:hint="eastAsia" w:ascii="宋体" w:hAnsi="宋体"/>
          <w:color w:val="auto"/>
          <w:sz w:val="22"/>
          <w:highlight w:val="none"/>
        </w:rPr>
        <w:t>总  则</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pStyle w:val="3"/>
        <w:numPr>
          <w:ilvl w:val="1"/>
          <w:numId w:val="0"/>
        </w:numPr>
        <w:spacing w:line="500" w:lineRule="exact"/>
        <w:jc w:val="left"/>
        <w:rPr>
          <w:rFonts w:ascii="宋体" w:hAnsi="宋体" w:cs="宋体"/>
          <w:bCs/>
          <w:color w:val="auto"/>
          <w:sz w:val="22"/>
          <w:highlight w:val="none"/>
        </w:rPr>
      </w:pPr>
      <w:r>
        <w:rPr>
          <w:rFonts w:hint="eastAsia" w:ascii="宋体" w:hAnsi="宋体" w:cs="宋体"/>
          <w:bCs/>
          <w:color w:val="auto"/>
          <w:sz w:val="22"/>
          <w:highlight w:val="none"/>
        </w:rPr>
        <w:t>二、评标</w:t>
      </w:r>
      <w:r>
        <w:rPr>
          <w:rFonts w:hint="eastAsia" w:ascii="宋体" w:hAnsi="宋体"/>
          <w:color w:val="auto"/>
          <w:sz w:val="22"/>
          <w:highlight w:val="none"/>
        </w:rPr>
        <w:t>组织</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评标工作由采购人依法组建的评标委员会负责，评标全过程由有关部门指导监督。</w:t>
      </w:r>
    </w:p>
    <w:p>
      <w:pPr>
        <w:pStyle w:val="3"/>
        <w:numPr>
          <w:ilvl w:val="1"/>
          <w:numId w:val="0"/>
        </w:numPr>
        <w:spacing w:line="500" w:lineRule="exact"/>
        <w:jc w:val="left"/>
        <w:rPr>
          <w:rFonts w:ascii="宋体" w:hAnsi="宋体" w:cs="宋体"/>
          <w:bCs/>
          <w:color w:val="auto"/>
          <w:sz w:val="22"/>
          <w:highlight w:val="none"/>
        </w:rPr>
      </w:pPr>
      <w:r>
        <w:rPr>
          <w:rFonts w:hint="eastAsia" w:ascii="宋体" w:hAnsi="宋体" w:cs="宋体"/>
          <w:bCs/>
          <w:color w:val="auto"/>
          <w:sz w:val="22"/>
          <w:highlight w:val="none"/>
        </w:rPr>
        <w:t>三、评标程序</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采购人或者采购代理机构对各投标供应商的投标资格进行审查；然后评标委员会对合格投标供应商进行符合性审查，对审查通过的商务和技术文件进行评审；商务和技术文件评审结束之后对报价文件评审，综合评审结果，提交评审报告。</w:t>
      </w:r>
    </w:p>
    <w:p>
      <w:pPr>
        <w:pStyle w:val="3"/>
        <w:numPr>
          <w:ilvl w:val="1"/>
          <w:numId w:val="0"/>
        </w:numPr>
        <w:spacing w:line="500" w:lineRule="exact"/>
        <w:jc w:val="left"/>
        <w:rPr>
          <w:rFonts w:ascii="宋体" w:hAnsi="宋体" w:cs="宋体"/>
          <w:bCs/>
          <w:color w:val="auto"/>
          <w:sz w:val="22"/>
          <w:highlight w:val="none"/>
        </w:rPr>
      </w:pPr>
      <w:r>
        <w:rPr>
          <w:rFonts w:hint="eastAsia" w:ascii="宋体" w:hAnsi="宋体" w:cs="宋体"/>
          <w:bCs/>
          <w:color w:val="auto"/>
          <w:sz w:val="22"/>
          <w:highlight w:val="none"/>
        </w:rPr>
        <w:t>四、评标办法</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本评标办法采用百分制综合评分法，商务和技术80分（商务和技术权值80%），报价20分（价格权值20%）。最大限度地满足招标文件中规定的各项综合评价标准且综合得分最高的投标供应商，将被推荐为</w:t>
      </w:r>
      <w:r>
        <w:rPr>
          <w:rFonts w:hint="eastAsia" w:ascii="宋体" w:hAnsi="宋体" w:cs="宋体"/>
          <w:color w:val="auto"/>
          <w:sz w:val="22"/>
          <w:highlight w:val="none"/>
          <w:lang w:eastAsia="zh-CN"/>
        </w:rPr>
        <w:t>中标候选供应商</w:t>
      </w:r>
      <w:r>
        <w:rPr>
          <w:rFonts w:hint="eastAsia" w:ascii="宋体" w:hAnsi="宋体" w:cs="宋体"/>
          <w:color w:val="auto"/>
          <w:sz w:val="22"/>
          <w:highlight w:val="none"/>
        </w:rPr>
        <w:t>。</w:t>
      </w:r>
    </w:p>
    <w:p>
      <w:pPr>
        <w:pStyle w:val="3"/>
        <w:numPr>
          <w:ilvl w:val="1"/>
          <w:numId w:val="0"/>
        </w:numPr>
        <w:spacing w:line="500" w:lineRule="exact"/>
        <w:jc w:val="left"/>
        <w:rPr>
          <w:rFonts w:ascii="宋体" w:hAnsi="宋体" w:cs="新宋体"/>
          <w:color w:val="auto"/>
          <w:sz w:val="22"/>
          <w:highlight w:val="none"/>
        </w:rPr>
      </w:pPr>
      <w:r>
        <w:rPr>
          <w:rFonts w:hint="eastAsia" w:ascii="宋体" w:hAnsi="宋体" w:cs="宋体"/>
          <w:bCs/>
          <w:color w:val="auto"/>
          <w:sz w:val="22"/>
          <w:highlight w:val="none"/>
        </w:rPr>
        <w:t>五、评分细则</w:t>
      </w:r>
    </w:p>
    <w:p>
      <w:pPr>
        <w:spacing w:line="360" w:lineRule="exact"/>
        <w:rPr>
          <w:rFonts w:ascii="宋体" w:hAnsi="宋体" w:cs="宋体"/>
          <w:color w:val="auto"/>
          <w:sz w:val="22"/>
          <w:highlight w:val="none"/>
        </w:rPr>
      </w:pPr>
      <w:r>
        <w:rPr>
          <w:rFonts w:hint="eastAsia" w:ascii="宋体" w:hAnsi="宋体" w:cs="宋体"/>
          <w:color w:val="auto"/>
          <w:sz w:val="22"/>
          <w:highlight w:val="none"/>
        </w:rPr>
        <w:t>1.商务和技术分的评定（80分）</w:t>
      </w:r>
    </w:p>
    <w:p>
      <w:pPr>
        <w:pStyle w:val="40"/>
        <w:spacing w:line="360" w:lineRule="exact"/>
        <w:ind w:firstLine="440"/>
        <w:rPr>
          <w:rFonts w:ascii="宋体" w:hAnsi="宋体" w:cs="宋体"/>
          <w:color w:val="auto"/>
          <w:sz w:val="22"/>
          <w:highlight w:val="none"/>
        </w:rPr>
      </w:pPr>
      <w:r>
        <w:rPr>
          <w:rFonts w:hint="eastAsia" w:ascii="宋体" w:hAnsi="宋体" w:cs="宋体"/>
          <w:color w:val="auto"/>
          <w:sz w:val="22"/>
          <w:highlight w:val="none"/>
        </w:rPr>
        <w:t>各评委成员按下列评分项目进行评判，每人一张评分计算票，并记名。投标文件各项评分内容由评标委员会成员各自评分，如某张票的一个因素项目超过规定的范围，则该张票无效。各评标委员会成员对各投标供应商的各项评分内容评分的和计算术平均值为各投标供应商商务和技术分得分（小数点后按四舍五入保留2位）。</w:t>
      </w:r>
    </w:p>
    <w:tbl>
      <w:tblPr>
        <w:tblStyle w:val="22"/>
        <w:tblW w:w="5491" w:type="pct"/>
        <w:tblInd w:w="-607"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06"/>
        <w:gridCol w:w="406"/>
        <w:gridCol w:w="1640"/>
        <w:gridCol w:w="666"/>
        <w:gridCol w:w="6041"/>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tblHeader/>
        </w:trPr>
        <w:tc>
          <w:tcPr>
            <w:tcW w:w="324" w:type="pct"/>
            <w:tcBorders>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序号</w:t>
            </w:r>
          </w:p>
        </w:tc>
        <w:tc>
          <w:tcPr>
            <w:tcW w:w="1093" w:type="pct"/>
            <w:gridSpan w:val="2"/>
            <w:tcBorders>
              <w:left w:val="single" w:color="auto" w:sz="4" w:space="0"/>
              <w:bottom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评分内容</w:t>
            </w:r>
          </w:p>
        </w:tc>
        <w:tc>
          <w:tcPr>
            <w:tcW w:w="355" w:type="pct"/>
            <w:tcBorders>
              <w:left w:val="single" w:color="auto" w:sz="4" w:space="0"/>
              <w:bottom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分值</w:t>
            </w:r>
          </w:p>
        </w:tc>
        <w:tc>
          <w:tcPr>
            <w:tcW w:w="3226" w:type="pct"/>
            <w:tcBorders>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评分标准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5" w:hRule="atLeast"/>
        </w:trPr>
        <w:tc>
          <w:tcPr>
            <w:tcW w:w="32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1</w:t>
            </w:r>
          </w:p>
        </w:tc>
        <w:tc>
          <w:tcPr>
            <w:tcW w:w="1093" w:type="pct"/>
            <w:gridSpan w:val="2"/>
            <w:tcBorders>
              <w:top w:val="single" w:color="auto" w:sz="4" w:space="0"/>
              <w:left w:val="single" w:color="auto" w:sz="4" w:space="0"/>
              <w:bottom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企业综合实力</w:t>
            </w:r>
          </w:p>
        </w:tc>
        <w:tc>
          <w:tcPr>
            <w:tcW w:w="355" w:type="pct"/>
            <w:tcBorders>
              <w:top w:val="single" w:color="auto" w:sz="4" w:space="0"/>
              <w:left w:val="single" w:color="auto" w:sz="4" w:space="0"/>
              <w:bottom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6分</w:t>
            </w:r>
          </w:p>
        </w:tc>
        <w:tc>
          <w:tcPr>
            <w:tcW w:w="3226"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ascii="宋体" w:hAnsi="宋体" w:cs="宋体"/>
                <w:color w:val="auto"/>
                <w:sz w:val="22"/>
                <w:highlight w:val="none"/>
              </w:rPr>
            </w:pPr>
            <w:r>
              <w:rPr>
                <w:rFonts w:hint="eastAsia" w:ascii="宋体" w:hAnsi="宋体" w:cs="宋体"/>
                <w:color w:val="auto"/>
                <w:sz w:val="22"/>
                <w:highlight w:val="none"/>
              </w:rPr>
              <w:t>投标供应商通过CCRC-ISV-C01：2018信息系统安全集成服务三级及以上服务资质认证得2分，ISO/IEC27001:2013信息安全管理体系认证的得2分，ISO/IEC20000-1:2011 IT服务管理体系认证的得2分；</w:t>
            </w:r>
          </w:p>
          <w:p>
            <w:pPr>
              <w:pStyle w:val="7"/>
              <w:spacing w:after="0" w:line="320" w:lineRule="exact"/>
              <w:rPr>
                <w:rFonts w:ascii="宋体" w:hAnsi="宋体" w:cs="宋体"/>
                <w:color w:val="auto"/>
                <w:sz w:val="22"/>
                <w:highlight w:val="none"/>
              </w:rPr>
            </w:pPr>
            <w:r>
              <w:rPr>
                <w:rFonts w:hint="eastAsia" w:ascii="宋体" w:hAnsi="宋体" w:cs="宋体"/>
                <w:color w:val="auto"/>
                <w:sz w:val="22"/>
                <w:highlight w:val="none"/>
              </w:rPr>
              <w:t>注：以上须提供相关证书复制件并加盖公章，否则不得分。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5" w:hRule="atLeast"/>
        </w:trPr>
        <w:tc>
          <w:tcPr>
            <w:tcW w:w="32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2</w:t>
            </w:r>
          </w:p>
        </w:tc>
        <w:tc>
          <w:tcPr>
            <w:tcW w:w="1093" w:type="pct"/>
            <w:gridSpan w:val="2"/>
            <w:tcBorders>
              <w:top w:val="single" w:color="auto" w:sz="4" w:space="0"/>
              <w:left w:val="single" w:color="auto" w:sz="4" w:space="0"/>
              <w:bottom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技术人员配备情况</w:t>
            </w:r>
          </w:p>
        </w:tc>
        <w:tc>
          <w:tcPr>
            <w:tcW w:w="355" w:type="pct"/>
            <w:tcBorders>
              <w:top w:val="single" w:color="auto" w:sz="4" w:space="0"/>
              <w:left w:val="single" w:color="auto" w:sz="4" w:space="0"/>
              <w:bottom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10分</w:t>
            </w:r>
          </w:p>
        </w:tc>
        <w:tc>
          <w:tcPr>
            <w:tcW w:w="3226" w:type="pct"/>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spacing w:before="0" w:after="0" w:line="320" w:lineRule="exact"/>
              <w:rPr>
                <w:rFonts w:ascii="宋体" w:hAnsi="宋体" w:eastAsia="宋体" w:cs="宋体"/>
                <w:b w:val="0"/>
                <w:bCs w:val="0"/>
                <w:color w:val="auto"/>
                <w:sz w:val="22"/>
                <w:szCs w:val="22"/>
                <w:highlight w:val="none"/>
              </w:rPr>
            </w:pPr>
            <w:r>
              <w:rPr>
                <w:rFonts w:hint="eastAsia" w:ascii="宋体" w:hAnsi="宋体" w:eastAsia="宋体" w:cs="宋体"/>
                <w:b w:val="0"/>
                <w:bCs w:val="0"/>
                <w:color w:val="auto"/>
                <w:sz w:val="22"/>
                <w:szCs w:val="22"/>
                <w:highlight w:val="none"/>
              </w:rPr>
              <w:t>根据投标供应商对项目所投入技术人员配备情况，由专家横向比较，进行综合打分：优的得10-7.1分；良的得7-4.1分；一般的得4-0分。</w:t>
            </w:r>
          </w:p>
          <w:p>
            <w:pPr>
              <w:pStyle w:val="5"/>
              <w:keepNext w:val="0"/>
              <w:keepLines w:val="0"/>
              <w:spacing w:before="0" w:after="0" w:line="320" w:lineRule="exact"/>
              <w:rPr>
                <w:rFonts w:ascii="宋体" w:hAnsi="宋体" w:eastAsia="宋体" w:cs="宋体"/>
                <w:color w:val="auto"/>
                <w:sz w:val="22"/>
                <w:szCs w:val="22"/>
                <w:highlight w:val="none"/>
              </w:rPr>
            </w:pPr>
            <w:r>
              <w:rPr>
                <w:rFonts w:hint="eastAsia" w:ascii="宋体" w:hAnsi="宋体" w:eastAsia="宋体" w:cs="宋体"/>
                <w:b w:val="0"/>
                <w:bCs w:val="0"/>
                <w:color w:val="auto"/>
                <w:sz w:val="22"/>
                <w:szCs w:val="22"/>
                <w:highlight w:val="none"/>
              </w:rPr>
              <w:t>注：须提供相关证书复制件并加盖公章和所在单位连续缴纳近三个月社保证明，否则不得分。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32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3</w:t>
            </w:r>
          </w:p>
        </w:tc>
        <w:tc>
          <w:tcPr>
            <w:tcW w:w="1093" w:type="pct"/>
            <w:gridSpan w:val="2"/>
            <w:tcBorders>
              <w:top w:val="single" w:color="auto" w:sz="4" w:space="0"/>
              <w:left w:val="single" w:color="auto" w:sz="4" w:space="0"/>
              <w:bottom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同类业绩</w:t>
            </w:r>
          </w:p>
        </w:tc>
        <w:tc>
          <w:tcPr>
            <w:tcW w:w="355" w:type="pct"/>
            <w:tcBorders>
              <w:top w:val="single" w:color="auto" w:sz="4" w:space="0"/>
              <w:left w:val="single" w:color="auto" w:sz="4" w:space="0"/>
              <w:bottom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2分</w:t>
            </w:r>
          </w:p>
        </w:tc>
        <w:tc>
          <w:tcPr>
            <w:tcW w:w="3226"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kern w:val="0"/>
                <w:sz w:val="22"/>
                <w:highlight w:val="none"/>
              </w:rPr>
            </w:pPr>
            <w:r>
              <w:rPr>
                <w:rFonts w:hint="eastAsia" w:ascii="宋体" w:hAnsi="宋体" w:cs="宋体"/>
                <w:color w:val="auto"/>
                <w:kern w:val="0"/>
                <w:sz w:val="22"/>
                <w:highlight w:val="none"/>
              </w:rPr>
              <w:t>根据各投标供应商202</w:t>
            </w:r>
            <w:r>
              <w:rPr>
                <w:rFonts w:hint="eastAsia" w:ascii="宋体" w:hAnsi="宋体" w:cs="宋体"/>
                <w:color w:val="auto"/>
                <w:kern w:val="0"/>
                <w:sz w:val="22"/>
                <w:highlight w:val="none"/>
                <w:lang w:val="en-US" w:eastAsia="zh-CN"/>
              </w:rPr>
              <w:t>1</w:t>
            </w:r>
            <w:r>
              <w:rPr>
                <w:rFonts w:hint="eastAsia" w:ascii="宋体" w:hAnsi="宋体" w:cs="宋体"/>
                <w:color w:val="auto"/>
                <w:kern w:val="0"/>
                <w:sz w:val="22"/>
                <w:highlight w:val="none"/>
              </w:rPr>
              <w:t>年以来维保维护同类业绩评分，每个案例得1分，最多得2分</w:t>
            </w:r>
            <w:r>
              <w:rPr>
                <w:rFonts w:hint="eastAsia" w:ascii="宋体" w:hAnsi="宋体" w:cs="宋体"/>
                <w:color w:val="auto"/>
                <w:kern w:val="0"/>
                <w:sz w:val="22"/>
                <w:highlight w:val="none"/>
              </w:rPr>
              <w:t>。</w:t>
            </w:r>
          </w:p>
          <w:p>
            <w:pPr>
              <w:spacing w:line="320" w:lineRule="exact"/>
              <w:rPr>
                <w:rFonts w:ascii="宋体" w:hAnsi="宋体" w:cs="宋体"/>
                <w:color w:val="auto"/>
                <w:sz w:val="22"/>
                <w:highlight w:val="none"/>
              </w:rPr>
            </w:pPr>
            <w:r>
              <w:rPr>
                <w:rFonts w:hint="eastAsia" w:ascii="宋体" w:hAnsi="宋体" w:cs="宋体"/>
                <w:color w:val="auto"/>
                <w:sz w:val="22"/>
                <w:highlight w:val="none"/>
              </w:rPr>
              <w:t>注：须提供</w:t>
            </w:r>
            <w:r>
              <w:rPr>
                <w:rFonts w:hint="eastAsia" w:ascii="宋体" w:hAnsi="宋体" w:cs="宋体"/>
                <w:color w:val="auto"/>
                <w:kern w:val="0"/>
                <w:sz w:val="22"/>
                <w:highlight w:val="none"/>
              </w:rPr>
              <w:t>业绩合同复制件加盖公章</w:t>
            </w:r>
            <w:r>
              <w:rPr>
                <w:rFonts w:hint="eastAsia" w:ascii="宋体" w:hAnsi="宋体" w:cs="宋体"/>
                <w:color w:val="auto"/>
                <w:sz w:val="22"/>
                <w:highlight w:val="none"/>
              </w:rPr>
              <w:t>，否则不得分</w:t>
            </w:r>
            <w:r>
              <w:rPr>
                <w:rFonts w:hint="eastAsia" w:ascii="宋体" w:hAnsi="宋体" w:cs="宋体"/>
                <w:color w:val="auto"/>
                <w:kern w:val="0"/>
                <w:sz w:val="22"/>
                <w:highlight w:val="none"/>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2" w:hRule="atLeast"/>
        </w:trPr>
        <w:tc>
          <w:tcPr>
            <w:tcW w:w="324" w:type="pct"/>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4</w:t>
            </w:r>
          </w:p>
        </w:tc>
        <w:tc>
          <w:tcPr>
            <w:tcW w:w="217" w:type="pct"/>
            <w:vMerge w:val="restar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维修维护方案</w:t>
            </w:r>
          </w:p>
        </w:tc>
        <w:tc>
          <w:tcPr>
            <w:tcW w:w="876" w:type="pct"/>
            <w:tcBorders>
              <w:top w:val="single" w:color="auto" w:sz="4" w:space="0"/>
              <w:left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维修维护工作方案</w:t>
            </w:r>
          </w:p>
        </w:tc>
        <w:tc>
          <w:tcPr>
            <w:tcW w:w="355" w:type="pct"/>
            <w:tcBorders>
              <w:top w:val="single" w:color="auto" w:sz="4" w:space="0"/>
              <w:left w:val="single" w:color="auto" w:sz="4" w:space="0"/>
            </w:tcBorders>
            <w:noWrap w:val="0"/>
            <w:vAlign w:val="center"/>
          </w:tcPr>
          <w:p>
            <w:pPr>
              <w:spacing w:line="320" w:lineRule="exact"/>
              <w:jc w:val="center"/>
              <w:rPr>
                <w:rFonts w:hint="eastAsia" w:ascii="宋体" w:hAnsi="宋体" w:cs="宋体"/>
                <w:color w:val="auto"/>
                <w:sz w:val="22"/>
                <w:highlight w:val="none"/>
              </w:rPr>
            </w:pPr>
            <w:r>
              <w:rPr>
                <w:rFonts w:hint="eastAsia" w:ascii="宋体" w:hAnsi="宋体" w:cs="宋体"/>
                <w:color w:val="auto"/>
                <w:sz w:val="22"/>
                <w:highlight w:val="none"/>
              </w:rPr>
              <w:t>12分</w:t>
            </w:r>
          </w:p>
        </w:tc>
        <w:tc>
          <w:tcPr>
            <w:tcW w:w="3226"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auto"/>
                <w:sz w:val="22"/>
                <w:highlight w:val="none"/>
              </w:rPr>
            </w:pPr>
            <w:r>
              <w:rPr>
                <w:rFonts w:hint="eastAsia" w:ascii="宋体" w:hAnsi="宋体" w:cs="宋体"/>
                <w:color w:val="auto"/>
                <w:sz w:val="22"/>
                <w:highlight w:val="none"/>
              </w:rPr>
              <w:t>根据投标供应商</w:t>
            </w:r>
            <w:r>
              <w:rPr>
                <w:rFonts w:hint="eastAsia" w:ascii="宋体" w:hAnsi="宋体" w:cs="宋体"/>
                <w:color w:val="auto"/>
                <w:sz w:val="22"/>
                <w:highlight w:val="none"/>
                <w:lang w:bidi="ar"/>
              </w:rPr>
              <w:t>针对展品故障维修维护的工作实施方案</w:t>
            </w:r>
            <w:r>
              <w:rPr>
                <w:rFonts w:hint="eastAsia" w:ascii="宋体" w:hAnsi="宋体" w:cs="宋体"/>
                <w:color w:val="auto"/>
                <w:sz w:val="22"/>
                <w:highlight w:val="none"/>
              </w:rPr>
              <w:t>，由专家横向比较，进行综合打分：</w:t>
            </w:r>
            <w:r>
              <w:rPr>
                <w:rFonts w:hint="eastAsia" w:ascii="宋体" w:hAnsi="宋体" w:cs="宋体"/>
                <w:color w:val="auto"/>
                <w:sz w:val="22"/>
                <w:highlight w:val="none"/>
                <w:lang w:bidi="ar"/>
              </w:rPr>
              <w:t>优的得12-</w:t>
            </w:r>
            <w:r>
              <w:rPr>
                <w:rFonts w:hint="eastAsia" w:ascii="宋体" w:hAnsi="宋体" w:cs="宋体"/>
                <w:color w:val="auto"/>
                <w:sz w:val="22"/>
                <w:highlight w:val="none"/>
                <w:lang w:val="en-US" w:eastAsia="zh-CN" w:bidi="ar"/>
              </w:rPr>
              <w:t>8</w:t>
            </w:r>
            <w:r>
              <w:rPr>
                <w:rFonts w:hint="eastAsia" w:ascii="宋体" w:hAnsi="宋体" w:cs="宋体"/>
                <w:color w:val="auto"/>
                <w:sz w:val="22"/>
                <w:highlight w:val="none"/>
                <w:lang w:bidi="ar"/>
              </w:rPr>
              <w:t>.1分；良的得</w:t>
            </w:r>
            <w:r>
              <w:rPr>
                <w:rFonts w:hint="eastAsia" w:ascii="宋体" w:hAnsi="宋体" w:cs="宋体"/>
                <w:color w:val="auto"/>
                <w:sz w:val="22"/>
                <w:highlight w:val="none"/>
                <w:lang w:val="en-US" w:eastAsia="zh-CN" w:bidi="ar"/>
              </w:rPr>
              <w:t>8</w:t>
            </w:r>
            <w:r>
              <w:rPr>
                <w:rFonts w:hint="eastAsia" w:ascii="宋体" w:hAnsi="宋体" w:cs="宋体"/>
                <w:color w:val="auto"/>
                <w:sz w:val="22"/>
                <w:highlight w:val="none"/>
                <w:lang w:bidi="ar"/>
              </w:rPr>
              <w:t>-</w:t>
            </w:r>
            <w:r>
              <w:rPr>
                <w:rFonts w:hint="eastAsia" w:ascii="宋体" w:hAnsi="宋体" w:cs="宋体"/>
                <w:color w:val="auto"/>
                <w:sz w:val="22"/>
                <w:highlight w:val="none"/>
                <w:lang w:val="en-US" w:eastAsia="zh-CN" w:bidi="ar"/>
              </w:rPr>
              <w:t>4</w:t>
            </w:r>
            <w:r>
              <w:rPr>
                <w:rFonts w:hint="eastAsia" w:ascii="宋体" w:hAnsi="宋体" w:cs="宋体"/>
                <w:color w:val="auto"/>
                <w:sz w:val="22"/>
                <w:highlight w:val="none"/>
                <w:lang w:bidi="ar"/>
              </w:rPr>
              <w:t>.1分；一般的得</w:t>
            </w:r>
            <w:r>
              <w:rPr>
                <w:rFonts w:hint="eastAsia" w:ascii="宋体" w:hAnsi="宋体" w:cs="宋体"/>
                <w:color w:val="auto"/>
                <w:sz w:val="22"/>
                <w:highlight w:val="none"/>
                <w:lang w:val="en-US" w:eastAsia="zh-CN" w:bidi="ar"/>
              </w:rPr>
              <w:t>4</w:t>
            </w:r>
            <w:r>
              <w:rPr>
                <w:rFonts w:hint="eastAsia" w:ascii="宋体" w:hAnsi="宋体" w:cs="宋体"/>
                <w:color w:val="auto"/>
                <w:sz w:val="22"/>
                <w:highlight w:val="none"/>
                <w:lang w:bidi="ar"/>
              </w:rPr>
              <w:t>-0分。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2" w:hRule="atLeast"/>
        </w:trPr>
        <w:tc>
          <w:tcPr>
            <w:tcW w:w="324" w:type="pct"/>
            <w:vMerge w:val="continue"/>
            <w:tcBorders>
              <w:left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p>
        </w:tc>
        <w:tc>
          <w:tcPr>
            <w:tcW w:w="217" w:type="pct"/>
            <w:vMerge w:val="continue"/>
            <w:tcBorders>
              <w:left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p>
        </w:tc>
        <w:tc>
          <w:tcPr>
            <w:tcW w:w="876"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保障展品维修维护的可靠性和稳定性</w:t>
            </w:r>
          </w:p>
        </w:tc>
        <w:tc>
          <w:tcPr>
            <w:tcW w:w="355" w:type="pct"/>
            <w:tcBorders>
              <w:top w:val="single" w:color="auto" w:sz="4" w:space="0"/>
              <w:left w:val="single" w:color="auto" w:sz="4" w:space="0"/>
              <w:bottom w:val="single" w:color="auto" w:sz="4" w:space="0"/>
            </w:tcBorders>
            <w:noWrap w:val="0"/>
            <w:vAlign w:val="center"/>
          </w:tcPr>
          <w:p>
            <w:pPr>
              <w:spacing w:line="320" w:lineRule="exact"/>
              <w:jc w:val="center"/>
              <w:rPr>
                <w:rFonts w:hint="eastAsia" w:ascii="宋体" w:hAnsi="宋体" w:cs="宋体"/>
                <w:color w:val="auto"/>
                <w:sz w:val="22"/>
                <w:highlight w:val="none"/>
              </w:rPr>
            </w:pPr>
            <w:r>
              <w:rPr>
                <w:rFonts w:hint="eastAsia" w:ascii="宋体" w:hAnsi="宋体" w:cs="宋体"/>
                <w:color w:val="auto"/>
                <w:sz w:val="22"/>
                <w:highlight w:val="none"/>
              </w:rPr>
              <w:t>12分</w:t>
            </w:r>
          </w:p>
        </w:tc>
        <w:tc>
          <w:tcPr>
            <w:tcW w:w="3226"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auto"/>
                <w:sz w:val="22"/>
                <w:highlight w:val="none"/>
              </w:rPr>
            </w:pPr>
            <w:r>
              <w:rPr>
                <w:rFonts w:hint="eastAsia" w:ascii="宋体" w:hAnsi="宋体" w:cs="宋体"/>
                <w:color w:val="auto"/>
                <w:sz w:val="22"/>
                <w:highlight w:val="none"/>
              </w:rPr>
              <w:t>根据投标供应商</w:t>
            </w:r>
            <w:r>
              <w:rPr>
                <w:rFonts w:hint="eastAsia" w:ascii="宋体" w:hAnsi="宋体" w:cs="宋体"/>
                <w:color w:val="auto"/>
                <w:sz w:val="22"/>
                <w:highlight w:val="none"/>
                <w:lang w:bidi="ar"/>
              </w:rPr>
              <w:t>针对展品维修维护提供的稳定性和可靠性保障措施</w:t>
            </w:r>
            <w:r>
              <w:rPr>
                <w:rFonts w:hint="eastAsia" w:ascii="宋体" w:hAnsi="宋体" w:cs="宋体"/>
                <w:color w:val="auto"/>
                <w:sz w:val="22"/>
                <w:highlight w:val="none"/>
              </w:rPr>
              <w:t>，由专家横向比较，进行综合打分：</w:t>
            </w:r>
            <w:r>
              <w:rPr>
                <w:rFonts w:hint="eastAsia" w:ascii="宋体" w:hAnsi="宋体" w:cs="宋体"/>
                <w:color w:val="auto"/>
                <w:sz w:val="22"/>
                <w:highlight w:val="none"/>
                <w:lang w:bidi="ar"/>
              </w:rPr>
              <w:t>优的得12-</w:t>
            </w:r>
            <w:r>
              <w:rPr>
                <w:rFonts w:hint="eastAsia" w:ascii="宋体" w:hAnsi="宋体" w:cs="宋体"/>
                <w:color w:val="auto"/>
                <w:sz w:val="22"/>
                <w:highlight w:val="none"/>
                <w:lang w:val="en-US" w:eastAsia="zh-CN" w:bidi="ar"/>
              </w:rPr>
              <w:t>8</w:t>
            </w:r>
            <w:r>
              <w:rPr>
                <w:rFonts w:hint="eastAsia" w:ascii="宋体" w:hAnsi="宋体" w:cs="宋体"/>
                <w:color w:val="auto"/>
                <w:sz w:val="22"/>
                <w:highlight w:val="none"/>
                <w:lang w:bidi="ar"/>
              </w:rPr>
              <w:t>.1分；良的得</w:t>
            </w:r>
            <w:r>
              <w:rPr>
                <w:rFonts w:hint="eastAsia" w:ascii="宋体" w:hAnsi="宋体" w:cs="宋体"/>
                <w:color w:val="auto"/>
                <w:sz w:val="22"/>
                <w:highlight w:val="none"/>
                <w:lang w:val="en-US" w:eastAsia="zh-CN" w:bidi="ar"/>
              </w:rPr>
              <w:t>8</w:t>
            </w:r>
            <w:r>
              <w:rPr>
                <w:rFonts w:hint="eastAsia" w:ascii="宋体" w:hAnsi="宋体" w:cs="宋体"/>
                <w:color w:val="auto"/>
                <w:sz w:val="22"/>
                <w:highlight w:val="none"/>
                <w:lang w:bidi="ar"/>
              </w:rPr>
              <w:t>-</w:t>
            </w:r>
            <w:r>
              <w:rPr>
                <w:rFonts w:hint="eastAsia" w:ascii="宋体" w:hAnsi="宋体" w:cs="宋体"/>
                <w:color w:val="auto"/>
                <w:sz w:val="22"/>
                <w:highlight w:val="none"/>
                <w:lang w:val="en-US" w:eastAsia="zh-CN" w:bidi="ar"/>
              </w:rPr>
              <w:t>4</w:t>
            </w:r>
            <w:r>
              <w:rPr>
                <w:rFonts w:hint="eastAsia" w:ascii="宋体" w:hAnsi="宋体" w:cs="宋体"/>
                <w:color w:val="auto"/>
                <w:sz w:val="22"/>
                <w:highlight w:val="none"/>
                <w:lang w:bidi="ar"/>
              </w:rPr>
              <w:t>.1分；一般的得</w:t>
            </w:r>
            <w:r>
              <w:rPr>
                <w:rFonts w:hint="eastAsia" w:ascii="宋体" w:hAnsi="宋体" w:cs="宋体"/>
                <w:color w:val="auto"/>
                <w:sz w:val="22"/>
                <w:highlight w:val="none"/>
                <w:lang w:val="en-US" w:eastAsia="zh-CN" w:bidi="ar"/>
              </w:rPr>
              <w:t>4</w:t>
            </w:r>
            <w:r>
              <w:rPr>
                <w:rFonts w:hint="eastAsia" w:ascii="宋体" w:hAnsi="宋体" w:cs="宋体"/>
                <w:color w:val="auto"/>
                <w:sz w:val="22"/>
                <w:highlight w:val="none"/>
                <w:lang w:bidi="ar"/>
              </w:rPr>
              <w:t>-0分。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324" w:type="pct"/>
            <w:vMerge w:val="continue"/>
            <w:tcBorders>
              <w:left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p>
        </w:tc>
        <w:tc>
          <w:tcPr>
            <w:tcW w:w="217" w:type="pct"/>
            <w:vMerge w:val="continue"/>
            <w:tcBorders>
              <w:left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p>
        </w:tc>
        <w:tc>
          <w:tcPr>
            <w:tcW w:w="876"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维修维护实施方案的可行性</w:t>
            </w:r>
          </w:p>
        </w:tc>
        <w:tc>
          <w:tcPr>
            <w:tcW w:w="355" w:type="pct"/>
            <w:tcBorders>
              <w:top w:val="single" w:color="auto" w:sz="4" w:space="0"/>
              <w:left w:val="single" w:color="auto" w:sz="4" w:space="0"/>
              <w:bottom w:val="single" w:color="auto" w:sz="4" w:space="0"/>
            </w:tcBorders>
            <w:noWrap w:val="0"/>
            <w:vAlign w:val="center"/>
          </w:tcPr>
          <w:p>
            <w:pPr>
              <w:spacing w:line="320" w:lineRule="exact"/>
              <w:jc w:val="center"/>
              <w:rPr>
                <w:rFonts w:hint="eastAsia" w:ascii="宋体" w:hAnsi="宋体" w:cs="宋体"/>
                <w:color w:val="auto"/>
                <w:sz w:val="22"/>
                <w:highlight w:val="none"/>
              </w:rPr>
            </w:pPr>
            <w:r>
              <w:rPr>
                <w:rFonts w:hint="eastAsia" w:ascii="宋体" w:hAnsi="宋体" w:cs="宋体"/>
                <w:color w:val="auto"/>
                <w:sz w:val="22"/>
                <w:highlight w:val="none"/>
              </w:rPr>
              <w:t>12分</w:t>
            </w:r>
          </w:p>
        </w:tc>
        <w:tc>
          <w:tcPr>
            <w:tcW w:w="3226"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auto"/>
                <w:sz w:val="22"/>
                <w:highlight w:val="none"/>
              </w:rPr>
            </w:pPr>
            <w:r>
              <w:rPr>
                <w:rFonts w:hint="eastAsia" w:ascii="宋体" w:hAnsi="宋体" w:cs="宋体"/>
                <w:color w:val="auto"/>
                <w:sz w:val="22"/>
                <w:highlight w:val="none"/>
              </w:rPr>
              <w:t>根据投标供应商</w:t>
            </w:r>
            <w:r>
              <w:rPr>
                <w:rFonts w:hint="eastAsia" w:ascii="宋体" w:hAnsi="宋体" w:cs="宋体"/>
                <w:color w:val="auto"/>
                <w:sz w:val="22"/>
                <w:highlight w:val="none"/>
                <w:lang w:bidi="ar"/>
              </w:rPr>
              <w:t>针对维修维护实施方案的可行性（维修进度、维修时间、维修合理性）</w:t>
            </w:r>
            <w:r>
              <w:rPr>
                <w:rFonts w:hint="eastAsia" w:ascii="宋体" w:hAnsi="宋体" w:cs="宋体"/>
                <w:color w:val="auto"/>
                <w:sz w:val="22"/>
                <w:highlight w:val="none"/>
              </w:rPr>
              <w:t>，由专家横向比较，进行综合打分：</w:t>
            </w:r>
            <w:r>
              <w:rPr>
                <w:rFonts w:hint="eastAsia" w:ascii="宋体" w:hAnsi="宋体" w:cs="宋体"/>
                <w:color w:val="auto"/>
                <w:sz w:val="22"/>
                <w:highlight w:val="none"/>
                <w:lang w:bidi="ar"/>
              </w:rPr>
              <w:t>优的得12-</w:t>
            </w:r>
            <w:r>
              <w:rPr>
                <w:rFonts w:hint="eastAsia" w:ascii="宋体" w:hAnsi="宋体" w:cs="宋体"/>
                <w:color w:val="auto"/>
                <w:sz w:val="22"/>
                <w:highlight w:val="none"/>
                <w:lang w:val="en-US" w:eastAsia="zh-CN" w:bidi="ar"/>
              </w:rPr>
              <w:t>8</w:t>
            </w:r>
            <w:r>
              <w:rPr>
                <w:rFonts w:hint="eastAsia" w:ascii="宋体" w:hAnsi="宋体" w:cs="宋体"/>
                <w:color w:val="auto"/>
                <w:sz w:val="22"/>
                <w:highlight w:val="none"/>
                <w:lang w:bidi="ar"/>
              </w:rPr>
              <w:t>.1分；良的得</w:t>
            </w:r>
            <w:r>
              <w:rPr>
                <w:rFonts w:hint="eastAsia" w:ascii="宋体" w:hAnsi="宋体" w:cs="宋体"/>
                <w:color w:val="auto"/>
                <w:sz w:val="22"/>
                <w:highlight w:val="none"/>
                <w:lang w:val="en-US" w:eastAsia="zh-CN" w:bidi="ar"/>
              </w:rPr>
              <w:t>8</w:t>
            </w:r>
            <w:r>
              <w:rPr>
                <w:rFonts w:hint="eastAsia" w:ascii="宋体" w:hAnsi="宋体" w:cs="宋体"/>
                <w:color w:val="auto"/>
                <w:sz w:val="22"/>
                <w:highlight w:val="none"/>
                <w:lang w:bidi="ar"/>
              </w:rPr>
              <w:t>-</w:t>
            </w:r>
            <w:r>
              <w:rPr>
                <w:rFonts w:hint="eastAsia" w:ascii="宋体" w:hAnsi="宋体" w:cs="宋体"/>
                <w:color w:val="auto"/>
                <w:sz w:val="22"/>
                <w:highlight w:val="none"/>
                <w:lang w:val="en-US" w:eastAsia="zh-CN" w:bidi="ar"/>
              </w:rPr>
              <w:t>4</w:t>
            </w:r>
            <w:r>
              <w:rPr>
                <w:rFonts w:hint="eastAsia" w:ascii="宋体" w:hAnsi="宋体" w:cs="宋体"/>
                <w:color w:val="auto"/>
                <w:sz w:val="22"/>
                <w:highlight w:val="none"/>
                <w:lang w:bidi="ar"/>
              </w:rPr>
              <w:t>.1分；一般的得</w:t>
            </w:r>
            <w:r>
              <w:rPr>
                <w:rFonts w:hint="eastAsia" w:ascii="宋体" w:hAnsi="宋体" w:cs="宋体"/>
                <w:color w:val="auto"/>
                <w:sz w:val="22"/>
                <w:highlight w:val="none"/>
                <w:lang w:val="en-US" w:eastAsia="zh-CN" w:bidi="ar"/>
              </w:rPr>
              <w:t>4</w:t>
            </w:r>
            <w:r>
              <w:rPr>
                <w:rFonts w:hint="eastAsia" w:ascii="宋体" w:hAnsi="宋体" w:cs="宋体"/>
                <w:color w:val="auto"/>
                <w:sz w:val="22"/>
                <w:highlight w:val="none"/>
                <w:lang w:bidi="ar"/>
              </w:rPr>
              <w:t>-0分。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5" w:hRule="atLeast"/>
        </w:trPr>
        <w:tc>
          <w:tcPr>
            <w:tcW w:w="324" w:type="pct"/>
            <w:vMerge w:val="continue"/>
            <w:tcBorders>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p>
        </w:tc>
        <w:tc>
          <w:tcPr>
            <w:tcW w:w="217" w:type="pct"/>
            <w:vMerge w:val="continue"/>
            <w:tcBorders>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p>
        </w:tc>
        <w:tc>
          <w:tcPr>
            <w:tcW w:w="876"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宋体"/>
                <w:color w:val="auto"/>
                <w:sz w:val="22"/>
                <w:highlight w:val="none"/>
              </w:rPr>
            </w:pPr>
            <w:r>
              <w:rPr>
                <w:rFonts w:hint="eastAsia" w:ascii="宋体" w:hAnsi="宋体" w:cs="宋体"/>
                <w:color w:val="auto"/>
                <w:sz w:val="22"/>
                <w:highlight w:val="none"/>
              </w:rPr>
              <w:t>合理化建议方案</w:t>
            </w:r>
          </w:p>
        </w:tc>
        <w:tc>
          <w:tcPr>
            <w:tcW w:w="355" w:type="pct"/>
            <w:tcBorders>
              <w:top w:val="single" w:color="auto" w:sz="4" w:space="0"/>
              <w:left w:val="single" w:color="auto" w:sz="4" w:space="0"/>
              <w:bottom w:val="single" w:color="auto" w:sz="4" w:space="0"/>
            </w:tcBorders>
            <w:noWrap w:val="0"/>
            <w:vAlign w:val="center"/>
          </w:tcPr>
          <w:p>
            <w:pPr>
              <w:spacing w:line="320" w:lineRule="exact"/>
              <w:jc w:val="center"/>
              <w:rPr>
                <w:rFonts w:hint="eastAsia" w:ascii="宋体" w:hAnsi="宋体" w:cs="宋体"/>
                <w:color w:val="auto"/>
                <w:sz w:val="22"/>
                <w:highlight w:val="none"/>
              </w:rPr>
            </w:pPr>
            <w:r>
              <w:rPr>
                <w:rFonts w:hint="eastAsia" w:ascii="宋体" w:hAnsi="宋体" w:cs="宋体"/>
                <w:color w:val="auto"/>
                <w:sz w:val="22"/>
                <w:highlight w:val="none"/>
              </w:rPr>
              <w:t>15分</w:t>
            </w:r>
          </w:p>
        </w:tc>
        <w:tc>
          <w:tcPr>
            <w:tcW w:w="3226"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hint="eastAsia" w:ascii="宋体" w:hAnsi="宋体" w:cs="宋体"/>
                <w:color w:val="auto"/>
                <w:sz w:val="22"/>
                <w:highlight w:val="none"/>
              </w:rPr>
            </w:pPr>
            <w:r>
              <w:rPr>
                <w:rFonts w:hint="eastAsia"/>
                <w:color w:val="auto"/>
                <w:highlight w:val="none"/>
              </w:rPr>
              <w:t>根据</w:t>
            </w:r>
            <w:r>
              <w:rPr>
                <w:rFonts w:hint="eastAsia" w:ascii="宋体" w:hAnsi="宋体" w:cs="宋体"/>
                <w:color w:val="auto"/>
                <w:sz w:val="22"/>
                <w:highlight w:val="none"/>
              </w:rPr>
              <w:t>供应商</w:t>
            </w:r>
            <w:r>
              <w:rPr>
                <w:rFonts w:hint="eastAsia"/>
                <w:color w:val="auto"/>
                <w:highlight w:val="none"/>
              </w:rPr>
              <w:t>对采购人现有场馆系统现状的分析及理解情况，</w:t>
            </w:r>
            <w:r>
              <w:rPr>
                <w:rFonts w:hint="eastAsia" w:ascii="Times New Roman" w:hAnsi="Times New Roman"/>
                <w:color w:val="auto"/>
                <w:highlight w:val="none"/>
              </w:rPr>
              <w:t>有针对性的提出系统存在的问题及针对性的建议方案</w:t>
            </w:r>
            <w:r>
              <w:rPr>
                <w:rFonts w:hint="eastAsia"/>
                <w:color w:val="auto"/>
                <w:highlight w:val="none"/>
              </w:rPr>
              <w:t>情况，</w:t>
            </w:r>
            <w:r>
              <w:rPr>
                <w:rFonts w:hint="eastAsia" w:ascii="宋体" w:hAnsi="宋体" w:cs="宋体"/>
                <w:color w:val="auto"/>
                <w:sz w:val="22"/>
                <w:highlight w:val="none"/>
              </w:rPr>
              <w:t>由专家横向比较，进行综合打分：</w:t>
            </w:r>
            <w:r>
              <w:rPr>
                <w:rFonts w:hint="eastAsia" w:ascii="宋体" w:hAnsi="宋体" w:cs="宋体"/>
                <w:color w:val="auto"/>
                <w:sz w:val="22"/>
                <w:highlight w:val="none"/>
                <w:lang w:bidi="ar"/>
              </w:rPr>
              <w:t>优的得15-</w:t>
            </w:r>
            <w:r>
              <w:rPr>
                <w:rFonts w:hint="eastAsia" w:ascii="宋体" w:hAnsi="宋体" w:cs="宋体"/>
                <w:color w:val="auto"/>
                <w:sz w:val="22"/>
                <w:highlight w:val="none"/>
                <w:lang w:val="en-US" w:eastAsia="zh-CN" w:bidi="ar"/>
              </w:rPr>
              <w:t>10.1</w:t>
            </w:r>
            <w:r>
              <w:rPr>
                <w:rFonts w:hint="eastAsia" w:ascii="宋体" w:hAnsi="宋体" w:cs="宋体"/>
                <w:color w:val="auto"/>
                <w:sz w:val="22"/>
                <w:highlight w:val="none"/>
                <w:lang w:bidi="ar"/>
              </w:rPr>
              <w:t>分；良的得</w:t>
            </w:r>
            <w:r>
              <w:rPr>
                <w:rFonts w:hint="eastAsia" w:ascii="宋体" w:hAnsi="宋体" w:cs="宋体"/>
                <w:color w:val="auto"/>
                <w:sz w:val="22"/>
                <w:highlight w:val="none"/>
                <w:lang w:val="en-US" w:eastAsia="zh-CN" w:bidi="ar"/>
              </w:rPr>
              <w:t>10</w:t>
            </w:r>
            <w:r>
              <w:rPr>
                <w:rFonts w:hint="eastAsia" w:ascii="宋体" w:hAnsi="宋体" w:cs="宋体"/>
                <w:color w:val="auto"/>
                <w:sz w:val="22"/>
                <w:highlight w:val="none"/>
                <w:lang w:bidi="ar"/>
              </w:rPr>
              <w:t>-</w:t>
            </w:r>
            <w:r>
              <w:rPr>
                <w:rFonts w:hint="eastAsia" w:ascii="宋体" w:hAnsi="宋体" w:cs="宋体"/>
                <w:color w:val="auto"/>
                <w:sz w:val="22"/>
                <w:highlight w:val="none"/>
                <w:lang w:val="en-US" w:eastAsia="zh-CN" w:bidi="ar"/>
              </w:rPr>
              <w:t>5.1</w:t>
            </w:r>
            <w:r>
              <w:rPr>
                <w:rFonts w:hint="eastAsia" w:ascii="宋体" w:hAnsi="宋体" w:cs="宋体"/>
                <w:color w:val="auto"/>
                <w:sz w:val="22"/>
                <w:highlight w:val="none"/>
                <w:lang w:bidi="ar"/>
              </w:rPr>
              <w:t>分；一般的得</w:t>
            </w:r>
            <w:r>
              <w:rPr>
                <w:rFonts w:hint="eastAsia" w:ascii="宋体" w:hAnsi="宋体" w:cs="宋体"/>
                <w:color w:val="auto"/>
                <w:sz w:val="22"/>
                <w:highlight w:val="none"/>
                <w:lang w:val="en-US" w:eastAsia="zh-CN" w:bidi="ar"/>
              </w:rPr>
              <w:t>5</w:t>
            </w:r>
            <w:r>
              <w:rPr>
                <w:rFonts w:hint="eastAsia" w:ascii="宋体" w:hAnsi="宋体" w:cs="宋体"/>
                <w:color w:val="auto"/>
                <w:sz w:val="22"/>
                <w:highlight w:val="none"/>
                <w:lang w:bidi="ar"/>
              </w:rPr>
              <w:t>-</w:t>
            </w:r>
            <w:r>
              <w:rPr>
                <w:rFonts w:hint="eastAsia" w:ascii="宋体" w:hAnsi="宋体" w:cs="宋体"/>
                <w:color w:val="auto"/>
                <w:sz w:val="22"/>
                <w:highlight w:val="none"/>
                <w:lang w:val="en-US" w:eastAsia="zh-CN" w:bidi="ar"/>
              </w:rPr>
              <w:t>0</w:t>
            </w:r>
            <w:r>
              <w:rPr>
                <w:rFonts w:hint="eastAsia" w:ascii="宋体" w:hAnsi="宋体" w:cs="宋体"/>
                <w:color w:val="auto"/>
                <w:sz w:val="22"/>
                <w:highlight w:val="none"/>
                <w:lang w:bidi="ar"/>
              </w:rPr>
              <w:t>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8" w:hRule="atLeast"/>
        </w:trPr>
        <w:tc>
          <w:tcPr>
            <w:tcW w:w="32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5</w:t>
            </w:r>
          </w:p>
        </w:tc>
        <w:tc>
          <w:tcPr>
            <w:tcW w:w="1093"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对招标文件响应程 度</w:t>
            </w:r>
          </w:p>
        </w:tc>
        <w:tc>
          <w:tcPr>
            <w:tcW w:w="355" w:type="pct"/>
            <w:tcBorders>
              <w:top w:val="single" w:color="auto" w:sz="4" w:space="0"/>
              <w:left w:val="single" w:color="auto" w:sz="4" w:space="0"/>
              <w:bottom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6分</w:t>
            </w:r>
          </w:p>
        </w:tc>
        <w:tc>
          <w:tcPr>
            <w:tcW w:w="3226" w:type="pct"/>
            <w:tcBorders>
              <w:top w:val="single" w:color="auto" w:sz="4" w:space="0"/>
              <w:left w:val="single" w:color="auto" w:sz="4" w:space="0"/>
              <w:bottom w:val="single" w:color="auto" w:sz="4" w:space="0"/>
              <w:right w:val="single" w:color="auto" w:sz="4" w:space="0"/>
            </w:tcBorders>
            <w:noWrap w:val="0"/>
            <w:vAlign w:val="center"/>
          </w:tcPr>
          <w:p>
            <w:pPr>
              <w:widowControl/>
              <w:jc w:val="left"/>
              <w:textAlignment w:val="center"/>
              <w:rPr>
                <w:rFonts w:ascii="宋体" w:hAnsi="宋体" w:cs="宋体"/>
                <w:color w:val="auto"/>
                <w:sz w:val="22"/>
                <w:highlight w:val="none"/>
              </w:rPr>
            </w:pPr>
            <w:r>
              <w:rPr>
                <w:rFonts w:hint="eastAsia" w:ascii="宋体" w:hAnsi="宋体" w:cs="宋体"/>
                <w:color w:val="auto"/>
                <w:sz w:val="22"/>
                <w:highlight w:val="none"/>
              </w:rPr>
              <w:t>根据招标文件中的商务条款等要求，由专家横向比较，进行综合打分：优的得6-</w:t>
            </w:r>
            <w:r>
              <w:rPr>
                <w:rFonts w:hint="eastAsia" w:ascii="宋体" w:hAnsi="宋体" w:cs="宋体"/>
                <w:color w:val="auto"/>
                <w:sz w:val="22"/>
                <w:highlight w:val="none"/>
                <w:lang w:val="en-US" w:eastAsia="zh-CN"/>
              </w:rPr>
              <w:t>4</w:t>
            </w:r>
            <w:r>
              <w:rPr>
                <w:rFonts w:hint="eastAsia" w:ascii="宋体" w:hAnsi="宋体" w:cs="宋体"/>
                <w:color w:val="auto"/>
                <w:sz w:val="22"/>
                <w:highlight w:val="none"/>
              </w:rPr>
              <w:t>.1分；良的得</w:t>
            </w:r>
            <w:r>
              <w:rPr>
                <w:rFonts w:hint="eastAsia" w:ascii="宋体" w:hAnsi="宋体" w:cs="宋体"/>
                <w:color w:val="auto"/>
                <w:sz w:val="22"/>
                <w:highlight w:val="none"/>
                <w:lang w:val="en-US" w:eastAsia="zh-CN"/>
              </w:rPr>
              <w:t>4</w:t>
            </w:r>
            <w:r>
              <w:rPr>
                <w:rFonts w:hint="eastAsia" w:ascii="宋体" w:hAnsi="宋体" w:cs="宋体"/>
                <w:color w:val="auto"/>
                <w:sz w:val="22"/>
                <w:highlight w:val="none"/>
              </w:rPr>
              <w:t>-</w:t>
            </w:r>
            <w:r>
              <w:rPr>
                <w:rFonts w:hint="eastAsia" w:ascii="宋体" w:hAnsi="宋体" w:cs="宋体"/>
                <w:color w:val="auto"/>
                <w:sz w:val="22"/>
                <w:highlight w:val="none"/>
                <w:lang w:val="en-US" w:eastAsia="zh-CN"/>
              </w:rPr>
              <w:t>2.1</w:t>
            </w:r>
            <w:r>
              <w:rPr>
                <w:rFonts w:hint="eastAsia" w:ascii="宋体" w:hAnsi="宋体" w:cs="宋体"/>
                <w:color w:val="auto"/>
                <w:sz w:val="22"/>
                <w:highlight w:val="none"/>
              </w:rPr>
              <w:t>分；一般的得</w:t>
            </w:r>
            <w:r>
              <w:rPr>
                <w:rFonts w:hint="eastAsia" w:ascii="宋体" w:hAnsi="宋体" w:cs="宋体"/>
                <w:color w:val="auto"/>
                <w:sz w:val="22"/>
                <w:highlight w:val="none"/>
                <w:lang w:val="en-US" w:eastAsia="zh-CN"/>
              </w:rPr>
              <w:t>2</w:t>
            </w:r>
            <w:r>
              <w:rPr>
                <w:rFonts w:hint="eastAsia" w:ascii="宋体" w:hAnsi="宋体" w:cs="宋体"/>
                <w:color w:val="auto"/>
                <w:sz w:val="22"/>
                <w:highlight w:val="none"/>
              </w:rPr>
              <w:t>-0分。</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0" w:hRule="atLeast"/>
        </w:trPr>
        <w:tc>
          <w:tcPr>
            <w:tcW w:w="32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6</w:t>
            </w:r>
          </w:p>
        </w:tc>
        <w:tc>
          <w:tcPr>
            <w:tcW w:w="1093" w:type="pct"/>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售后服务</w:t>
            </w:r>
          </w:p>
        </w:tc>
        <w:tc>
          <w:tcPr>
            <w:tcW w:w="355" w:type="pct"/>
            <w:tcBorders>
              <w:top w:val="single" w:color="auto" w:sz="4" w:space="0"/>
              <w:left w:val="single" w:color="auto" w:sz="4" w:space="0"/>
              <w:bottom w:val="single" w:color="auto" w:sz="4" w:space="0"/>
            </w:tcBorders>
            <w:noWrap w:val="0"/>
            <w:vAlign w:val="center"/>
          </w:tcPr>
          <w:p>
            <w:pPr>
              <w:spacing w:line="320" w:lineRule="exact"/>
              <w:jc w:val="center"/>
              <w:rPr>
                <w:rFonts w:ascii="宋体" w:hAnsi="宋体" w:cs="宋体"/>
                <w:color w:val="auto"/>
                <w:sz w:val="22"/>
                <w:highlight w:val="none"/>
              </w:rPr>
            </w:pPr>
            <w:r>
              <w:rPr>
                <w:rFonts w:hint="eastAsia" w:ascii="宋体" w:hAnsi="宋体" w:cs="宋体"/>
                <w:color w:val="auto"/>
                <w:sz w:val="22"/>
                <w:highlight w:val="none"/>
              </w:rPr>
              <w:t>5分</w:t>
            </w:r>
          </w:p>
        </w:tc>
        <w:tc>
          <w:tcPr>
            <w:tcW w:w="3226" w:type="pc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ascii="宋体" w:hAnsi="宋体" w:cs="宋体"/>
                <w:color w:val="auto"/>
                <w:sz w:val="22"/>
                <w:highlight w:val="none"/>
              </w:rPr>
            </w:pPr>
            <w:r>
              <w:rPr>
                <w:rFonts w:ascii="宋体" w:hAnsi="宋体" w:cs="宋体"/>
                <w:color w:val="auto"/>
                <w:sz w:val="22"/>
                <w:highlight w:val="none"/>
              </w:rPr>
              <w:t>根据投标人针对本项目的服务网点设置情况及人员配置情况，</w:t>
            </w:r>
            <w:r>
              <w:rPr>
                <w:rFonts w:hint="eastAsia" w:ascii="宋体" w:hAnsi="宋体" w:cs="宋体"/>
                <w:color w:val="auto"/>
                <w:sz w:val="22"/>
                <w:highlight w:val="none"/>
              </w:rPr>
              <w:t>由专家横向比较，进行综合打分：优的得5-</w:t>
            </w:r>
            <w:r>
              <w:rPr>
                <w:rFonts w:hint="eastAsia" w:ascii="宋体" w:hAnsi="宋体" w:cs="宋体"/>
                <w:color w:val="auto"/>
                <w:sz w:val="22"/>
                <w:highlight w:val="none"/>
                <w:lang w:val="en-US" w:eastAsia="zh-CN"/>
              </w:rPr>
              <w:t>3.1</w:t>
            </w:r>
            <w:r>
              <w:rPr>
                <w:rFonts w:hint="eastAsia" w:ascii="宋体" w:hAnsi="宋体" w:cs="宋体"/>
                <w:color w:val="auto"/>
                <w:sz w:val="22"/>
                <w:highlight w:val="none"/>
              </w:rPr>
              <w:t>分；良的得</w:t>
            </w:r>
            <w:r>
              <w:rPr>
                <w:rFonts w:hint="eastAsia" w:ascii="宋体" w:hAnsi="宋体" w:cs="宋体"/>
                <w:color w:val="auto"/>
                <w:sz w:val="22"/>
                <w:highlight w:val="none"/>
                <w:lang w:val="en-US" w:eastAsia="zh-CN"/>
              </w:rPr>
              <w:t>3</w:t>
            </w:r>
            <w:r>
              <w:rPr>
                <w:rFonts w:hint="eastAsia" w:ascii="宋体" w:hAnsi="宋体" w:cs="宋体"/>
                <w:color w:val="auto"/>
                <w:sz w:val="22"/>
                <w:highlight w:val="none"/>
              </w:rPr>
              <w:t>-</w:t>
            </w:r>
            <w:r>
              <w:rPr>
                <w:rFonts w:hint="eastAsia" w:ascii="宋体" w:hAnsi="宋体" w:cs="宋体"/>
                <w:color w:val="auto"/>
                <w:sz w:val="22"/>
                <w:highlight w:val="none"/>
                <w:lang w:val="en-US" w:eastAsia="zh-CN"/>
              </w:rPr>
              <w:t>1.6</w:t>
            </w:r>
            <w:r>
              <w:rPr>
                <w:rFonts w:hint="eastAsia" w:ascii="宋体" w:hAnsi="宋体" w:cs="宋体"/>
                <w:color w:val="auto"/>
                <w:sz w:val="22"/>
                <w:highlight w:val="none"/>
              </w:rPr>
              <w:t>分；一般的得</w:t>
            </w:r>
            <w:r>
              <w:rPr>
                <w:rFonts w:hint="eastAsia" w:ascii="宋体" w:hAnsi="宋体" w:cs="宋体"/>
                <w:color w:val="auto"/>
                <w:sz w:val="22"/>
                <w:highlight w:val="none"/>
                <w:lang w:val="en-US" w:eastAsia="zh-CN"/>
              </w:rPr>
              <w:t>1.5</w:t>
            </w:r>
            <w:r>
              <w:rPr>
                <w:rFonts w:hint="eastAsia" w:ascii="宋体" w:hAnsi="宋体" w:cs="宋体"/>
                <w:color w:val="auto"/>
                <w:sz w:val="22"/>
                <w:highlight w:val="none"/>
              </w:rPr>
              <w:t>-0分。</w:t>
            </w:r>
          </w:p>
        </w:tc>
      </w:tr>
    </w:tbl>
    <w:p>
      <w:pPr>
        <w:spacing w:line="360" w:lineRule="exact"/>
        <w:rPr>
          <w:rFonts w:ascii="宋体" w:hAnsi="宋体" w:cs="宋体"/>
          <w:color w:val="auto"/>
          <w:sz w:val="22"/>
          <w:highlight w:val="none"/>
        </w:rPr>
      </w:pPr>
      <w:r>
        <w:rPr>
          <w:rFonts w:hint="eastAsia" w:ascii="宋体" w:hAnsi="宋体" w:cs="宋体"/>
          <w:color w:val="auto"/>
          <w:sz w:val="22"/>
          <w:highlight w:val="none"/>
        </w:rPr>
        <w:t>2.报价评分（20分）：</w:t>
      </w:r>
    </w:p>
    <w:p>
      <w:pPr>
        <w:keepNext w:val="0"/>
        <w:keepLines w:val="0"/>
        <w:pageBreakBefore w:val="0"/>
        <w:widowControl w:val="0"/>
        <w:kinsoku/>
        <w:wordWrap/>
        <w:overflowPunct/>
        <w:topLinePunct w:val="0"/>
        <w:bidi w:val="0"/>
        <w:spacing w:line="360" w:lineRule="exact"/>
        <w:ind w:firstLine="420"/>
        <w:textAlignment w:val="auto"/>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rPr>
        <w:t>2.1最高限价</w:t>
      </w:r>
    </w:p>
    <w:p>
      <w:pPr>
        <w:keepNext w:val="0"/>
        <w:keepLines w:val="0"/>
        <w:pageBreakBefore w:val="0"/>
        <w:widowControl w:val="0"/>
        <w:kinsoku/>
        <w:wordWrap/>
        <w:overflowPunct/>
        <w:topLinePunct w:val="0"/>
        <w:bidi w:val="0"/>
        <w:spacing w:line="360" w:lineRule="exact"/>
        <w:ind w:firstLine="420"/>
        <w:textAlignment w:val="auto"/>
        <w:rPr>
          <w:rFonts w:hint="eastAsia" w:ascii="宋体" w:hAnsi="宋体" w:eastAsia="宋体" w:cs="宋体"/>
          <w:b/>
          <w:color w:val="auto"/>
          <w:sz w:val="22"/>
          <w:szCs w:val="22"/>
          <w:highlight w:val="none"/>
          <w:u w:val="single"/>
        </w:rPr>
      </w:pPr>
      <w:r>
        <w:rPr>
          <w:rFonts w:hint="eastAsia" w:ascii="宋体" w:hAnsi="宋体" w:eastAsia="宋体" w:cs="宋体"/>
          <w:color w:val="auto"/>
          <w:sz w:val="22"/>
          <w:szCs w:val="22"/>
          <w:highlight w:val="none"/>
        </w:rPr>
        <w:t>▲</w:t>
      </w:r>
      <w:r>
        <w:rPr>
          <w:rFonts w:hint="eastAsia" w:ascii="宋体" w:hAnsi="宋体" w:eastAsia="宋体" w:cs="宋体"/>
          <w:b/>
          <w:color w:val="auto"/>
          <w:sz w:val="22"/>
          <w:szCs w:val="22"/>
          <w:highlight w:val="none"/>
          <w:u w:val="single"/>
        </w:rPr>
        <w:t>本次采购设有最高限价，最高限价为</w:t>
      </w:r>
      <w:r>
        <w:rPr>
          <w:rFonts w:hint="eastAsia" w:ascii="宋体" w:hAnsi="宋体" w:eastAsia="宋体" w:cs="宋体"/>
          <w:b/>
          <w:color w:val="auto"/>
          <w:sz w:val="22"/>
          <w:szCs w:val="22"/>
          <w:highlight w:val="none"/>
          <w:u w:val="single"/>
          <w:lang w:val="en-US" w:eastAsia="zh-CN"/>
        </w:rPr>
        <w:t>750000</w:t>
      </w:r>
      <w:r>
        <w:rPr>
          <w:rFonts w:hint="eastAsia" w:ascii="宋体" w:hAnsi="宋体" w:eastAsia="宋体" w:cs="宋体"/>
          <w:b/>
          <w:color w:val="auto"/>
          <w:sz w:val="22"/>
          <w:szCs w:val="22"/>
          <w:highlight w:val="none"/>
          <w:u w:val="single"/>
        </w:rPr>
        <w:t>元</w:t>
      </w:r>
      <w:r>
        <w:rPr>
          <w:rFonts w:hint="eastAsia" w:ascii="宋体" w:hAnsi="宋体" w:eastAsia="宋体" w:cs="宋体"/>
          <w:b/>
          <w:color w:val="auto"/>
          <w:sz w:val="22"/>
          <w:szCs w:val="22"/>
          <w:highlight w:val="none"/>
          <w:u w:val="single"/>
          <w:lang w:eastAsia="zh-CN"/>
        </w:rPr>
        <w:t>；</w:t>
      </w:r>
      <w:r>
        <w:rPr>
          <w:rFonts w:hint="eastAsia" w:ascii="宋体" w:hAnsi="宋体" w:eastAsia="宋体" w:cs="宋体"/>
          <w:b/>
          <w:color w:val="auto"/>
          <w:sz w:val="22"/>
          <w:szCs w:val="22"/>
          <w:highlight w:val="none"/>
          <w:u w:val="single"/>
        </w:rPr>
        <w:t>采购预算：</w:t>
      </w:r>
      <w:r>
        <w:rPr>
          <w:rFonts w:hint="eastAsia" w:ascii="宋体" w:hAnsi="宋体" w:eastAsia="宋体" w:cs="宋体"/>
          <w:b/>
          <w:color w:val="auto"/>
          <w:sz w:val="22"/>
          <w:szCs w:val="22"/>
          <w:highlight w:val="none"/>
          <w:u w:val="single"/>
          <w:lang w:val="en-US" w:eastAsia="zh-CN"/>
        </w:rPr>
        <w:t>750000</w:t>
      </w:r>
      <w:r>
        <w:rPr>
          <w:rFonts w:hint="eastAsia" w:ascii="宋体" w:hAnsi="宋体" w:eastAsia="宋体" w:cs="宋体"/>
          <w:b/>
          <w:color w:val="auto"/>
          <w:sz w:val="22"/>
          <w:szCs w:val="22"/>
          <w:highlight w:val="none"/>
          <w:u w:val="single"/>
        </w:rPr>
        <w:t>元，供应商的报价高于最高限价，按无效标处理，不进入基准价的计算。</w:t>
      </w:r>
    </w:p>
    <w:p>
      <w:pPr>
        <w:spacing w:line="360" w:lineRule="exact"/>
        <w:ind w:firstLine="330" w:firstLineChars="150"/>
        <w:rPr>
          <w:rFonts w:hint="eastAsia" w:ascii="宋体" w:hAnsi="宋体" w:cs="宋体"/>
          <w:color w:val="auto"/>
          <w:sz w:val="22"/>
          <w:highlight w:val="none"/>
          <w:lang w:val="en-US" w:eastAsia="zh-CN"/>
        </w:rPr>
      </w:pPr>
      <w:r>
        <w:rPr>
          <w:rFonts w:hint="eastAsia" w:ascii="宋体" w:hAnsi="宋体" w:cs="宋体"/>
          <w:color w:val="auto"/>
          <w:sz w:val="22"/>
          <w:highlight w:val="none"/>
          <w:lang w:val="en-US" w:eastAsia="zh-CN"/>
        </w:rPr>
        <w:t>2.2报价得分</w:t>
      </w:r>
    </w:p>
    <w:p>
      <w:pPr>
        <w:spacing w:line="360" w:lineRule="exact"/>
        <w:ind w:firstLine="330" w:firstLineChars="150"/>
        <w:rPr>
          <w:rFonts w:hint="eastAsia" w:ascii="宋体" w:hAnsi="宋体" w:eastAsia="宋体" w:cs="宋体"/>
          <w:color w:val="auto"/>
          <w:sz w:val="22"/>
          <w:highlight w:val="none"/>
          <w:lang w:eastAsia="zh-CN"/>
        </w:rPr>
      </w:pPr>
      <w:r>
        <w:rPr>
          <w:rFonts w:hint="eastAsia" w:ascii="宋体" w:hAnsi="宋体" w:cs="宋体"/>
          <w:color w:val="auto"/>
          <w:sz w:val="22"/>
          <w:highlight w:val="none"/>
        </w:rPr>
        <w:t>满足招标文件要求且投标价格最低的投标报价为评标基准价</w:t>
      </w:r>
      <w:r>
        <w:rPr>
          <w:rFonts w:hint="eastAsia" w:ascii="宋体" w:hAnsi="宋体" w:cs="宋体"/>
          <w:color w:val="auto"/>
          <w:sz w:val="22"/>
          <w:highlight w:val="none"/>
          <w:lang w:eastAsia="zh-CN"/>
        </w:rPr>
        <w:t>。</w:t>
      </w:r>
    </w:p>
    <w:p>
      <w:pPr>
        <w:spacing w:line="36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1）有效投标供应商的投标价等于评标基准价时，其报价</w:t>
      </w:r>
      <w:r>
        <w:rPr>
          <w:rFonts w:hint="eastAsia" w:ascii="宋体" w:hAnsi="宋体" w:cs="宋体"/>
          <w:color w:val="auto"/>
          <w:sz w:val="22"/>
          <w:highlight w:val="none"/>
          <w:lang w:eastAsia="zh-CN"/>
        </w:rPr>
        <w:t>得分</w:t>
      </w:r>
      <w:r>
        <w:rPr>
          <w:rFonts w:hint="eastAsia" w:ascii="宋体" w:hAnsi="宋体" w:cs="宋体"/>
          <w:color w:val="auto"/>
          <w:sz w:val="22"/>
          <w:highlight w:val="none"/>
        </w:rPr>
        <w:t>为满分20分；</w:t>
      </w:r>
    </w:p>
    <w:p>
      <w:pPr>
        <w:spacing w:line="360" w:lineRule="exact"/>
        <w:ind w:firstLine="330" w:firstLineChars="150"/>
        <w:rPr>
          <w:rFonts w:ascii="宋体" w:hAnsi="宋体" w:cs="宋体"/>
          <w:color w:val="auto"/>
          <w:sz w:val="22"/>
          <w:highlight w:val="none"/>
        </w:rPr>
      </w:pPr>
      <w:r>
        <w:rPr>
          <w:rFonts w:hint="eastAsia" w:ascii="宋体" w:hAnsi="宋体" w:cs="宋体"/>
          <w:color w:val="auto"/>
          <w:sz w:val="22"/>
          <w:highlight w:val="none"/>
        </w:rPr>
        <w:t>2）其他投标供应商的价格分按以下公式计算：</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lang w:eastAsia="zh-CN"/>
        </w:rPr>
        <w:t>报价</w:t>
      </w:r>
      <w:r>
        <w:rPr>
          <w:rFonts w:hint="eastAsia" w:ascii="宋体" w:hAnsi="宋体" w:cs="宋体"/>
          <w:color w:val="auto"/>
          <w:sz w:val="22"/>
          <w:highlight w:val="none"/>
        </w:rPr>
        <w:t>得分=（评标基准价/投标供应商投标报价）×价格权值×100（得分四舍五入后保留小数2位，价格权值为20%）</w:t>
      </w:r>
    </w:p>
    <w:p>
      <w:pPr>
        <w:spacing w:line="36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3）</w:t>
      </w:r>
      <w:r>
        <w:rPr>
          <w:rFonts w:hint="eastAsia" w:ascii="宋体" w:hAnsi="宋体" w:cs="宋体"/>
          <w:b/>
          <w:bCs/>
          <w:color w:val="auto"/>
          <w:sz w:val="22"/>
          <w:highlight w:val="none"/>
          <w:u w:val="single"/>
        </w:rPr>
        <w:t>本项目为预留份额项目，专门面向中小企业采购。专门面向中小企业采购的项目或者标项，不再执行价格评审优惠的扶持政策。</w:t>
      </w:r>
    </w:p>
    <w:p>
      <w:pPr>
        <w:spacing w:line="360" w:lineRule="exact"/>
        <w:ind w:firstLine="330" w:firstLineChars="150"/>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4）</w:t>
      </w:r>
      <w:r>
        <w:rPr>
          <w:rFonts w:hint="eastAsia" w:ascii="宋体" w:hAnsi="宋体" w:eastAsia="宋体" w:cs="宋体"/>
          <w:color w:val="auto"/>
          <w:sz w:val="22"/>
          <w:highlight w:val="none"/>
        </w:rPr>
        <w:t>投标供应商的报价均超过了采购预算，且采购人不能支付的，则应予废标，重新组织招标。</w:t>
      </w:r>
    </w:p>
    <w:p>
      <w:pPr>
        <w:spacing w:line="360" w:lineRule="exact"/>
        <w:ind w:firstLine="330" w:firstLineChars="150"/>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5）</w:t>
      </w:r>
      <w:r>
        <w:rPr>
          <w:rFonts w:hint="eastAsia" w:ascii="宋体" w:hAnsi="宋体" w:eastAsia="宋体" w:cs="宋体"/>
          <w:color w:val="auto"/>
          <w:sz w:val="22"/>
          <w:highlight w:val="none"/>
        </w:rPr>
        <w:t>有效投标供应商的综合得分为技术商务文件得分和报价文件得分的总和。</w:t>
      </w:r>
    </w:p>
    <w:p>
      <w:pPr>
        <w:spacing w:line="360" w:lineRule="exact"/>
        <w:ind w:firstLine="330" w:firstLineChars="150"/>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6）</w:t>
      </w:r>
      <w:r>
        <w:rPr>
          <w:rFonts w:hint="eastAsia" w:ascii="宋体" w:hAnsi="宋体" w:eastAsia="宋体" w:cs="宋体"/>
          <w:color w:val="auto"/>
          <w:sz w:val="22"/>
          <w:highlight w:val="none"/>
        </w:rPr>
        <w:t>评标委员会按有效投标供应商综合得分高低顺序排列，根据投标供应商综合得分从高到低的顺序依次作为</w:t>
      </w:r>
      <w:r>
        <w:rPr>
          <w:rFonts w:hint="eastAsia" w:ascii="宋体" w:hAnsi="宋体" w:eastAsia="宋体" w:cs="宋体"/>
          <w:color w:val="auto"/>
          <w:sz w:val="22"/>
          <w:highlight w:val="none"/>
          <w:lang w:eastAsia="zh-CN"/>
        </w:rPr>
        <w:t>中标候选供应商</w:t>
      </w:r>
      <w:r>
        <w:rPr>
          <w:rFonts w:hint="eastAsia" w:ascii="宋体" w:hAnsi="宋体" w:eastAsia="宋体" w:cs="宋体"/>
          <w:color w:val="auto"/>
          <w:sz w:val="22"/>
          <w:highlight w:val="none"/>
        </w:rPr>
        <w:t>向采购人推荐，并提交评标报告。</w:t>
      </w:r>
    </w:p>
    <w:p>
      <w:pPr>
        <w:spacing w:line="360" w:lineRule="exact"/>
        <w:ind w:firstLine="330" w:firstLineChars="150"/>
        <w:rPr>
          <w:rFonts w:hint="eastAsia" w:ascii="宋体" w:hAnsi="宋体" w:eastAsia="宋体" w:cs="宋体"/>
          <w:color w:val="auto"/>
          <w:sz w:val="22"/>
          <w:highlight w:val="none"/>
        </w:rPr>
      </w:pPr>
      <w:r>
        <w:rPr>
          <w:rFonts w:hint="eastAsia" w:ascii="宋体" w:hAnsi="宋体" w:eastAsia="宋体" w:cs="宋体"/>
          <w:color w:val="auto"/>
          <w:sz w:val="22"/>
          <w:highlight w:val="none"/>
          <w:lang w:val="en-US" w:eastAsia="zh-CN"/>
        </w:rPr>
        <w:t>7）</w:t>
      </w:r>
      <w:r>
        <w:rPr>
          <w:rFonts w:hint="eastAsia" w:ascii="宋体" w:hAnsi="宋体" w:eastAsia="宋体" w:cs="宋体"/>
          <w:color w:val="auto"/>
          <w:sz w:val="22"/>
          <w:highlight w:val="none"/>
        </w:rPr>
        <w:t>评标委员会认为投标供应商的报价明显低于其他通过符合性审查投标供应商的报价，有可能影响产品质量或者不能诚信履约的，应当要求其在评标现场合理的时间内提供书面说明，必要时提交相关证明材料；投标供应商不能证明其报价合理性的，评标委员会应当将其作为无效投标处理。</w:t>
      </w:r>
    </w:p>
    <w:p>
      <w:pPr>
        <w:pStyle w:val="3"/>
        <w:numPr>
          <w:ilvl w:val="1"/>
          <w:numId w:val="0"/>
        </w:numPr>
        <w:spacing w:line="500" w:lineRule="exact"/>
        <w:jc w:val="left"/>
        <w:rPr>
          <w:rFonts w:ascii="宋体" w:hAnsi="宋体" w:cs="宋体"/>
          <w:snapToGrid w:val="0"/>
          <w:color w:val="auto"/>
          <w:sz w:val="22"/>
          <w:highlight w:val="none"/>
        </w:rPr>
      </w:pPr>
      <w:r>
        <w:rPr>
          <w:rFonts w:hint="eastAsia" w:ascii="宋体" w:hAnsi="宋体" w:cs="宋体"/>
          <w:snapToGrid w:val="0"/>
          <w:color w:val="auto"/>
          <w:sz w:val="22"/>
          <w:highlight w:val="none"/>
        </w:rPr>
        <w:t>六、定标办法</w:t>
      </w:r>
    </w:p>
    <w:p>
      <w:pPr>
        <w:pStyle w:val="7"/>
        <w:adjustRightInd w:val="0"/>
        <w:snapToGrid w:val="0"/>
        <w:spacing w:after="0" w:line="360" w:lineRule="exact"/>
        <w:ind w:firstLine="440" w:firstLineChars="200"/>
        <w:rPr>
          <w:rFonts w:ascii="宋体" w:hAnsi="宋体" w:cs="宋体"/>
          <w:b/>
          <w:snapToGrid w:val="0"/>
          <w:color w:val="auto"/>
          <w:kern w:val="0"/>
          <w:sz w:val="22"/>
          <w:highlight w:val="none"/>
        </w:rPr>
      </w:pPr>
      <w:r>
        <w:rPr>
          <w:rFonts w:hint="eastAsia" w:ascii="宋体" w:hAnsi="宋体" w:cs="宋体"/>
          <w:snapToGrid w:val="0"/>
          <w:color w:val="auto"/>
          <w:kern w:val="0"/>
          <w:sz w:val="22"/>
          <w:highlight w:val="none"/>
        </w:rPr>
        <w:t>本次招标由评标委员会直接确定</w:t>
      </w:r>
      <w:r>
        <w:rPr>
          <w:rFonts w:hint="eastAsia" w:ascii="宋体" w:hAnsi="宋体" w:cs="宋体"/>
          <w:snapToGrid w:val="0"/>
          <w:color w:val="auto"/>
          <w:kern w:val="0"/>
          <w:sz w:val="22"/>
          <w:highlight w:val="none"/>
          <w:lang w:eastAsia="zh-CN"/>
        </w:rPr>
        <w:t>中标候选供应商</w:t>
      </w:r>
      <w:r>
        <w:rPr>
          <w:rFonts w:hint="eastAsia" w:ascii="宋体" w:hAnsi="宋体" w:cs="宋体"/>
          <w:snapToGrid w:val="0"/>
          <w:color w:val="auto"/>
          <w:kern w:val="0"/>
          <w:sz w:val="22"/>
          <w:highlight w:val="none"/>
        </w:rPr>
        <w:t>。排名第一的</w:t>
      </w:r>
      <w:r>
        <w:rPr>
          <w:rFonts w:hint="eastAsia" w:ascii="宋体" w:hAnsi="宋体" w:cs="宋体"/>
          <w:snapToGrid w:val="0"/>
          <w:color w:val="auto"/>
          <w:kern w:val="0"/>
          <w:sz w:val="22"/>
          <w:highlight w:val="none"/>
          <w:lang w:eastAsia="zh-CN"/>
        </w:rPr>
        <w:t>中标候选供应商</w:t>
      </w:r>
      <w:r>
        <w:rPr>
          <w:rFonts w:hint="eastAsia" w:ascii="宋体" w:hAnsi="宋体" w:cs="宋体"/>
          <w:snapToGrid w:val="0"/>
          <w:color w:val="auto"/>
          <w:kern w:val="0"/>
          <w:sz w:val="22"/>
          <w:highlight w:val="none"/>
        </w:rPr>
        <w:t>放弃中标；因不可抗力或自身原因提出不能履行合同；或者招标文件规定或合同约定应当提交履约保证金而在规定的期限内未能提交的；或未能在规定时间内与采购人签订合同的；或在规定时间内借故否认已经承诺的条件而拒签合同的；或已签合同却拒绝按合同约定履约的；或者经质疑，采购人审查后，确因排名第一的</w:t>
      </w:r>
      <w:r>
        <w:rPr>
          <w:rFonts w:hint="eastAsia" w:ascii="宋体" w:hAnsi="宋体" w:cs="宋体"/>
          <w:snapToGrid w:val="0"/>
          <w:color w:val="auto"/>
          <w:kern w:val="0"/>
          <w:sz w:val="22"/>
          <w:highlight w:val="none"/>
          <w:lang w:eastAsia="zh-CN"/>
        </w:rPr>
        <w:t>中标候选供应商</w:t>
      </w:r>
      <w:r>
        <w:rPr>
          <w:rFonts w:hint="eastAsia" w:ascii="宋体" w:hAnsi="宋体" w:cs="宋体"/>
          <w:snapToGrid w:val="0"/>
          <w:color w:val="auto"/>
          <w:kern w:val="0"/>
          <w:sz w:val="22"/>
          <w:highlight w:val="none"/>
        </w:rPr>
        <w:t>在本次采购活动中存在违法违规行为或其他原因使质疑成立的，采购人可以视情况根据候选排名情况依次确定下一个</w:t>
      </w:r>
      <w:r>
        <w:rPr>
          <w:rFonts w:hint="eastAsia" w:ascii="宋体" w:hAnsi="宋体" w:cs="宋体"/>
          <w:snapToGrid w:val="0"/>
          <w:color w:val="auto"/>
          <w:kern w:val="0"/>
          <w:sz w:val="22"/>
          <w:highlight w:val="none"/>
          <w:lang w:eastAsia="zh-CN"/>
        </w:rPr>
        <w:t>中标候选供应商</w:t>
      </w:r>
      <w:r>
        <w:rPr>
          <w:rFonts w:hint="eastAsia" w:ascii="宋体" w:hAnsi="宋体" w:cs="宋体"/>
          <w:snapToGrid w:val="0"/>
          <w:color w:val="auto"/>
          <w:kern w:val="0"/>
          <w:sz w:val="22"/>
          <w:highlight w:val="none"/>
        </w:rPr>
        <w:t>为中标供应商，也可重新招标。</w:t>
      </w:r>
    </w:p>
    <w:p>
      <w:pPr>
        <w:pStyle w:val="3"/>
        <w:numPr>
          <w:ilvl w:val="1"/>
          <w:numId w:val="0"/>
        </w:numPr>
        <w:spacing w:line="500" w:lineRule="exact"/>
        <w:jc w:val="left"/>
        <w:rPr>
          <w:rFonts w:ascii="宋体" w:hAnsi="宋体" w:cs="宋体"/>
          <w:snapToGrid w:val="0"/>
          <w:color w:val="auto"/>
          <w:sz w:val="22"/>
          <w:highlight w:val="none"/>
        </w:rPr>
      </w:pPr>
      <w:r>
        <w:rPr>
          <w:rFonts w:hint="eastAsia" w:ascii="宋体" w:hAnsi="宋体" w:cs="宋体"/>
          <w:snapToGrid w:val="0"/>
          <w:color w:val="auto"/>
          <w:sz w:val="22"/>
          <w:highlight w:val="none"/>
        </w:rPr>
        <w:t>七、确定</w:t>
      </w:r>
      <w:r>
        <w:rPr>
          <w:rFonts w:hint="eastAsia" w:ascii="宋体" w:hAnsi="宋体" w:cs="宋体"/>
          <w:color w:val="auto"/>
          <w:sz w:val="22"/>
          <w:highlight w:val="none"/>
        </w:rPr>
        <w:t>中标</w:t>
      </w:r>
      <w:r>
        <w:rPr>
          <w:rFonts w:hint="eastAsia" w:ascii="宋体" w:hAnsi="宋体" w:cs="宋体"/>
          <w:snapToGrid w:val="0"/>
          <w:color w:val="auto"/>
          <w:sz w:val="22"/>
          <w:highlight w:val="none"/>
        </w:rPr>
        <w:t>供应商</w:t>
      </w:r>
    </w:p>
    <w:p>
      <w:pPr>
        <w:pStyle w:val="7"/>
        <w:adjustRightInd w:val="0"/>
        <w:snapToGrid w:val="0"/>
        <w:spacing w:after="0" w:line="360" w:lineRule="exact"/>
        <w:ind w:firstLine="440" w:firstLineChars="200"/>
        <w:rPr>
          <w:rFonts w:hint="eastAsia" w:ascii="宋体" w:hAnsi="宋体" w:eastAsia="宋体" w:cs="宋体"/>
          <w:snapToGrid w:val="0"/>
          <w:color w:val="auto"/>
          <w:kern w:val="0"/>
          <w:sz w:val="22"/>
          <w:highlight w:val="none"/>
        </w:rPr>
      </w:pPr>
      <w:r>
        <w:rPr>
          <w:rFonts w:hint="eastAsia" w:ascii="宋体" w:hAnsi="宋体" w:eastAsia="宋体" w:cs="宋体"/>
          <w:snapToGrid w:val="0"/>
          <w:color w:val="auto"/>
          <w:kern w:val="0"/>
          <w:sz w:val="22"/>
          <w:highlight w:val="none"/>
        </w:rPr>
        <w:t>评标结束后，采购人将在浙江政府采购网上公示中标结果，公示期为1个工作日，公示期结束后，如无异议，招标机构将向中标供应商发出中标通知书。</w:t>
      </w:r>
    </w:p>
    <w:p>
      <w:pPr>
        <w:pStyle w:val="3"/>
        <w:numPr>
          <w:ilvl w:val="1"/>
          <w:numId w:val="0"/>
        </w:numPr>
        <w:spacing w:line="500" w:lineRule="exact"/>
        <w:jc w:val="left"/>
        <w:rPr>
          <w:rFonts w:ascii="宋体" w:hAnsi="宋体" w:cs="宋体"/>
          <w:snapToGrid w:val="0"/>
          <w:color w:val="auto"/>
          <w:sz w:val="22"/>
          <w:highlight w:val="none"/>
        </w:rPr>
      </w:pPr>
      <w:r>
        <w:rPr>
          <w:rFonts w:hint="eastAsia" w:ascii="宋体" w:hAnsi="宋体" w:cs="宋体"/>
          <w:snapToGrid w:val="0"/>
          <w:color w:val="auto"/>
          <w:sz w:val="22"/>
          <w:highlight w:val="none"/>
        </w:rPr>
        <w:t>八、投标</w:t>
      </w:r>
      <w:r>
        <w:rPr>
          <w:rFonts w:hint="eastAsia" w:ascii="宋体" w:hAnsi="宋体" w:cs="宋体"/>
          <w:color w:val="auto"/>
          <w:sz w:val="22"/>
          <w:highlight w:val="none"/>
        </w:rPr>
        <w:t>供应商</w:t>
      </w:r>
      <w:r>
        <w:rPr>
          <w:rFonts w:hint="eastAsia" w:ascii="宋体" w:hAnsi="宋体" w:cs="宋体"/>
          <w:snapToGrid w:val="0"/>
          <w:color w:val="auto"/>
          <w:sz w:val="22"/>
          <w:highlight w:val="none"/>
        </w:rPr>
        <w:t>义务</w:t>
      </w:r>
    </w:p>
    <w:p>
      <w:pPr>
        <w:pStyle w:val="7"/>
        <w:adjustRightInd w:val="0"/>
        <w:snapToGrid w:val="0"/>
        <w:spacing w:after="0" w:line="360" w:lineRule="exact"/>
        <w:ind w:firstLine="440" w:firstLineChars="200"/>
        <w:rPr>
          <w:rFonts w:hint="eastAsia" w:ascii="宋体" w:hAnsi="宋体" w:eastAsia="宋体" w:cs="宋体"/>
          <w:snapToGrid w:val="0"/>
          <w:color w:val="auto"/>
          <w:kern w:val="0"/>
          <w:sz w:val="22"/>
          <w:highlight w:val="none"/>
          <w:lang w:val="en-US" w:eastAsia="zh-CN"/>
        </w:rPr>
      </w:pPr>
      <w:r>
        <w:rPr>
          <w:rFonts w:hint="eastAsia" w:ascii="宋体" w:hAnsi="宋体" w:eastAsia="宋体" w:cs="宋体"/>
          <w:snapToGrid w:val="0"/>
          <w:color w:val="auto"/>
          <w:kern w:val="0"/>
          <w:sz w:val="22"/>
          <w:highlight w:val="none"/>
        </w:rPr>
        <w:t>投标供应商应随时接受评标委员会的询标，解答包括有关的商务、技术问题等。评标结束，所有评标资料存招标机构备查</w:t>
      </w:r>
      <w:r>
        <w:rPr>
          <w:rFonts w:hint="eastAsia" w:ascii="宋体" w:hAnsi="宋体" w:eastAsia="宋体" w:cs="宋体"/>
          <w:snapToGrid w:val="0"/>
          <w:color w:val="auto"/>
          <w:kern w:val="0"/>
          <w:sz w:val="22"/>
          <w:highlight w:val="none"/>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EkZ47sAQAA1QMAAA4AAABkcnMvZTJvRG9jLnhtbK1TzY7TMBC+I/EO&#10;lu80aatdVVHdFVAtWgkB0sIDuI7TWPKfPG6T8gDwBpy4cOe5+hyMnaRFy2UPXJIZz8w3830er+96&#10;o8lRBlDOMjqflZRIK1yt7J7RL5/vX60ogchtzbWzktGTBHq3efli3flKLlzrdC0DQRALVecZbWP0&#10;VVGAaKXhMHNeWgw2Lhge0Q37og68Q3Sji0VZ3hadC7UPTkgAPN0OQToihucAuqZRQm6dOBhp44Aa&#10;pOYRKUGrPNBNnrZppIgfmwZkJJpRZBrzF5ugvUvfYrPm1T5w3yoxjsCfM8ITToYri00vUFseOTkE&#10;9Q+UUSI4cE2cCWeKgUhWBFnMyyfaPLbcy8wFpQZ/ER3+H6z4cPwUiKoZXVJiucELP//4fv75+/zr&#10;G1kmeToPFWY9esyL/RvX49JM54CHiXXfBJP+yIdgHMU9XcSVfSQiFa0Wq1WJIYGxyUH84lruA8R3&#10;0hmSDEYD3l4WlR/fQxxSp5TUzbp7pXW+QW1Jx+jt8qbMBZcIgmubcmXehREmURpGT1bsd/3Ic+fq&#10;E9LE14HtWxe+UtLhbjBq8SlQoh8sSp/WaDLCZOwmg1uBhYxGSgbzbRzW7eCD2reIO88jgn99iEgg&#10;80pjDL1Rj+TgbWdlxs1M6/S3n7Our3Hz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AxJGeO&#10;7AEAANUDAAAOAAAAAAAAAAEAIAAAAB8BAABkcnMvZTJvRG9jLnhtbFBLBQYAAAAABgAGAFkBAAB9&#10;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28</w:t>
                          </w:r>
                          <w: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ArAvztAQAA1QMAAA4AAABkcnMvZTJvRG9jLnhtbK1TzY7TMBC+I+07&#10;WL5vkxZ1VUV1V0C1CAkB0rIP4DpOY8l/8rhNygPAG3Diwp3n6nMwdpLuarnsgUsy45n5Zr7P4/Vt&#10;bzQ5ygDKWUbns5ISaYWrld0z+vD17npFCURua66dlYyeJNDbzdWrdecruXCt07UMBEEsVJ1ntI3R&#10;V0UBopWGw8x5aTHYuGB4RDfsizrwDtGNLhZleVN0LtQ+OCEB8HQ7BOmIGF4C6JpGCbl14mCkjQNq&#10;kJpHpASt8kA3edqmkSJ+bhqQkWhGkWnMX2yC9i59i82aV/vAfavEOAJ/yQjPOBmuLDa9QG155OQQ&#10;1D9QRongwDVxJpwpBiJZEWQxL59pc99yLzMXlBr8RXT4f7Di0/FLIKpmdEmJ5QYv/Pzzx/nXn/Pv&#10;72SZ5Ok8VJh17zEv9m9dj0sznQMeJtZ9E0z6Ix+CcRT3dBFX9pGIVLRarFYlhgTGJgfxi8dyHyC+&#10;l86QZDAa8PayqPz4EeKQOqWkbtbdKa3zDWpLOkZvXi/LXHCJILi2KVfmXRhhEqVh9GTFftePPHeu&#10;PiFNfB3YvnXhGyUd7gajFp8CJfqDRenTGk1GmIzdZHArsJDRSMlgvovDuh18UPsWced5RPBvDhEJ&#10;ZF5pjKE36pEcvO2szLiZaZ2e+jnr8TVu/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SVju0AAA&#10;AAUBAAAPAAAAAAAAAAEAIAAAACIAAABkcnMvZG93bnJldi54bWxQSwECFAAUAAAACACHTuJA0CsC&#10;/O0BAADVAwAADgAAAAAAAAABACAAAAAfAQAAZHJzL2Uyb0RvYy54bWxQSwUGAAAAAAYABgBZAQAA&#10;fg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28</w:t>
                    </w:r>
                    <w:r>
                      <w:fldChar w:fldCharType="end"/>
                    </w:r>
                  </w:p>
                </w:txbxContent>
              </v:textbox>
            </v:shape>
          </w:pict>
        </mc:Fallback>
      </mc:AlternateContent>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4</w:t>
    </w:r>
    <w:r>
      <w:rPr>
        <w:lang w:val="zh-CN"/>
      </w:rPr>
      <w:fldChar w:fldCharType="end"/>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59" w:rightChars="171"/>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40</w:t>
                          </w:r>
                          <w: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AviCjrAQAA1QMAAA4AAABkcnMvZTJvRG9jLnhtbK1TzY7TMBC+I/EO&#10;lu80aRFVVTVdAdUiJARICw/gOk5jyX8aT5uUB4A34MSFO8/V59ixk3TRctkDl2TGM/PNfJ/Hm5ve&#10;GnZSELV3FZ/PSs6Uk77W7lDxr19uX6w4iyhcLYx3quJnFfnN9vmzTRfWauFbb2oFjEBcXHeh4i1i&#10;WBdFlK2yIs58UI6CjQcrkFw4FDWIjtCtKRZluSw6D3UAL1WMdLobgnxEhKcA+qbRUu28PFrlcEAF&#10;ZQQSpdjqEPk2T9s0SuKnpokKmak4McX8pSZk79O32G7E+gAitFqOI4injPCIkxXaUdMr1E6gYEfQ&#10;/0BZLcFH3+BMelsMRLIixGJePtLmrhVBZS4kdQxX0eP/g5UfT5+B6briS86csHThl58/Lr/+XH5/&#10;Z8skTxfimrLuAuVh/8b3tDTTeaTDxLpvwKY/8WEUJ3HPV3FVj0ymotVitSopJCk2OYRfPJQHiPhO&#10;ecuSUXGg28uiitOHiEPqlJK6OX+rjck3aBzriMLLV2UuuEYI3LiUq/IujDCJ0jB6srDf9yPPva/P&#10;RJNeB7VvPXzjrKPdqLijp8CZee9I+rRGkwGTsZ8M4SQVVhw5G8y3OKzbMYA+tIQ7zyPG8PqIRCDz&#10;SmMMvUmP5NBtZ2XGzUzr9Lefsx5e4/Y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s0lY7tAAAAAF&#10;AQAADwAAAAAAAAABACAAAAAiAAAAZHJzL2Rvd25yZXYueG1sUEsBAhQAFAAAAAgAh07iQAAviCjr&#10;AQAA1QMAAA4AAAAAAAAAAQAgAAAAHwEAAGRycy9lMm9Eb2MueG1sUEsFBgAAAAAGAAYAWQEAAHwF&#10;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40</w:t>
                    </w:r>
                    <w:r>
                      <w:fldChar w:fldCharType="end"/>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532130" cy="163195"/>
              <wp:effectExtent l="0" t="0" r="0" b="0"/>
              <wp:wrapNone/>
              <wp:docPr id="7" name="文本框 7"/>
              <wp:cNvGraphicFramePr/>
              <a:graphic xmlns:a="http://schemas.openxmlformats.org/drawingml/2006/main">
                <a:graphicData uri="http://schemas.microsoft.com/office/word/2010/wordprocessingShape">
                  <wps:wsp>
                    <wps:cNvSpPr txBox="1"/>
                    <wps:spPr>
                      <a:xfrm>
                        <a:off x="0" y="0"/>
                        <a:ext cx="532130" cy="163195"/>
                      </a:xfrm>
                      <a:prstGeom prst="rect">
                        <a:avLst/>
                      </a:prstGeom>
                      <a:noFill/>
                      <a:ln w="15875">
                        <a:noFill/>
                      </a:ln>
                      <a:effectLst/>
                    </wps:spPr>
                    <wps:txbx>
                      <w:txbxContent>
                        <w:p>
                          <w:pPr>
                            <w:snapToGrid w:val="0"/>
                            <w:rPr>
                              <w:sz w:val="1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85pt;width:41.9pt;mso-position-horizontal:center;mso-position-horizontal-relative:margin;mso-wrap-style:none;z-index:251661312;mso-width-relative:page;mso-height-relative:page;" filled="f" stroked="f" coordsize="21600,21600" o:gfxdata="UEsDBAoAAAAAAIdO4kAAAAAAAAAAAAAAAAAEAAAAZHJzL1BLAwQUAAAACACHTuJA3eLpxdUAAAAD&#10;AQAADwAAAGRycy9kb3ducmV2LnhtbE2PS0/DMBCE70j8B2uRuFTUbnmFNE4lkHoDqQ8krm68TVLi&#10;dWS7aeHXs3Chl5FWs5r5ppifXCcGDLH1pGEyViCQKm9bqjW8bxY3GYiYDFnTeUINXxhhXl5eFCa3&#10;/kgrHNapFhxCMTcampT6XMpYNehMHPseib2dD84kPkMtbTBHDnednCr1IJ1piRsa0+NLg9Xn+uA0&#10;fLx+I66y59FouNvvg1o8LSv5pvX11UTNQCQ8pf9n+MVndCiZaesPZKPoNPCQ9KfsZbe8Yqthev8I&#10;sizkOXv5A1BLAwQUAAAACACHTuJAzUh5RNsBAACvAwAADgAAAGRycy9lMm9Eb2MueG1srVPNjtMw&#10;EL4j8Q6W7zRNq26XqOkKVC1CQoC08ACuYzeW/CeP26QvAG/AiQt3nqvPwdhJumi57IGLM54ZfzPf&#10;N5PNXW80OYkAytmalrM5JcJy1yh7qOnXL/evbimByGzDtLOipmcB9G778sWm85VYuNbpRgSCIBaq&#10;zte0jdFXRQG8FYbBzHlhMShdMCziNRyKJrAO0Y0uFvP5TdG50PjguABA724I0hExPAfQSam42Dl+&#10;NMLGATUIzSJSglZ5oNvcrZSCx09SgohE1xSZxnxiEbT36Sy2G1YdAvOt4mML7DktPOFkmLJY9Aq1&#10;Y5GRY1D/QBnFgwMn44w7UwxEsiLIopw/0eahZV5kLig1+Kvo8P9g+cfT50BUU9M1JZYZHPjlx/fL&#10;z9+XX9/IOsnTeagw68FjXuzfuh6XZvIDOhPrXgaTvsiHYBzFPV/FFX0kHJ2r5aJcYoRjqLxZlq9X&#10;CaV4fOwDxHfCGZKMmgacXZaUnT5AHFKnlFTLunuldZ6ftqRD0NXtepVfXEOIrm1KFnkVRpzEaOg8&#10;WbHf9yPNvWvOyLLDdaipxe2nRL+3qHbanMkIk7GfjKMP6tBiy2WuDv7NMWJzuedUYYBFrumCc8ys&#10;x51Li/L3PWc9/mfb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N3i6cXVAAAAAwEAAA8AAAAAAAAA&#10;AQAgAAAAIgAAAGRycy9kb3ducmV2LnhtbFBLAQIUABQAAAAIAIdO4kDNSHlE2wEAAK8DAAAOAAAA&#10;AAAAAAEAIAAAACQBAABkcnMvZTJvRG9jLnhtbFBLBQYAAAAABgAGAFkBAABxBQAAAAA=&#10;">
              <v:fill on="f" focussize="0,0"/>
              <v:stroke on="f" weight="1.25pt"/>
              <v:imagedata o:title=""/>
              <o:lock v:ext="edit" aspectratio="f"/>
              <v:textbox inset="0mm,0mm,0mm,0mm" style="mso-fit-shape-to-text:t;">
                <w:txbxContent>
                  <w:p>
                    <w:pPr>
                      <w:snapToGrid w:val="0"/>
                      <w:rPr>
                        <w:sz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4"/>
                          </w:pPr>
                          <w:r>
                            <w:fldChar w:fldCharType="begin"/>
                          </w:r>
                          <w:r>
                            <w:instrText xml:space="preserve"> PAGE  \* MERGEFORMAT </w:instrText>
                          </w:r>
                          <w:r>
                            <w:fldChar w:fldCharType="separate"/>
                          </w:r>
                          <w:r>
                            <w:t>41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u9Vxe0BAADXAwAADgAAAGRycy9lMm9Eb2MueG1srVPNjtMwEL4j8Q6W&#10;7zRppUWlarpaqBYhIUBaeADXcRpL/tN42qQ8ALwBJy7cea4+x46dpIuWyx72koxnxt/M9814fd1b&#10;w44Kovau4vNZyZly0tfa7Sv+7evtqyVnEYWrhfFOVfykIr/evHyx7sJKLXzrTa2AEYiLqy5UvEUM&#10;q6KIslVWxJkPylGw8WAF0hH2RQ2iI3RrikVZvi46D3UAL1WM5N0OQT4iwlMAfdNoqbZeHqxyOKCC&#10;MgKJUmx1iHyTu20aJfFz00SFzFScmGL+UhGyd+lbbNZitQcRWi3HFsRTWnjEyQrtqOgFaitQsAPo&#10;/6CsluCjb3AmvS0GIlkRYjEvH2lz14qgMheSOoaL6PH5YOWn4xdguqZNmHPmhKWJn3/9PP/+e/7z&#10;g5GPBOpCXFHeXaBM7N/6npInfyRn4t03YNOfGDGKk7yni7yqRybTpeViuSwpJCk2HQi/eLgeIOJ7&#10;5S1LRsWB5pdlFcePEYfUKSVVc/5WG5NnaBzrKv7manGVL1wiBG5cylV5G0aYRGloPVnY7/qR587X&#10;J6JJ74PKtx6+c9bRdlTc0WPgzHxwJH5apMmAydhNhnCSLlYcORvMdzgs3CGA3rd5BVNDMdwckAhk&#10;XqmNoTbpkQ4076zMuJtpof4956yH97i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6pebnPAAAA&#10;BQEAAA8AAAAAAAAAAQAgAAAAIgAAAGRycy9kb3ducmV2LnhtbFBLAQIUABQAAAAIAIdO4kDu71XF&#10;7QEAANcDAAAOAAAAAAAAAAEAIAAAAB4BAABkcnMvZTJvRG9jLnhtbFBLBQYAAAAABgAGAFkBAAB9&#10;BQAAAAA=&#10;">
              <v:fill on="f" focussize="0,0"/>
              <v:stroke on="f"/>
              <v:imagedata o:title=""/>
              <o:lock v:ext="edit" aspectratio="f"/>
              <v:textbox inset="0mm,0mm,0mm,0mm" style="mso-fit-shape-to-text:t;">
                <w:txbxContent>
                  <w:p>
                    <w:pPr>
                      <w:pStyle w:val="14"/>
                    </w:pPr>
                    <w:r>
                      <w:fldChar w:fldCharType="begin"/>
                    </w:r>
                    <w:r>
                      <w:instrText xml:space="preserve"> PAGE  \* MERGEFORMAT </w:instrText>
                    </w:r>
                    <w:r>
                      <w:fldChar w:fldCharType="separate"/>
                    </w:r>
                    <w:r>
                      <w:t>41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r>
      <w:drawing>
        <wp:inline distT="0" distB="0" distL="114300" distR="114300">
          <wp:extent cx="1697990" cy="241300"/>
          <wp:effectExtent l="0" t="0" r="16510" b="6350"/>
          <wp:docPr id="1" name="图片 1" descr="公司名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名称"/>
                  <pic:cNvPicPr>
                    <a:picLocks noChangeAspect="1"/>
                  </pic:cNvPicPr>
                </pic:nvPicPr>
                <pic:blipFill>
                  <a:blip r:embed="rId1"/>
                  <a:stretch>
                    <a:fillRect/>
                  </a:stretch>
                </pic:blipFill>
                <pic:spPr>
                  <a:xfrm>
                    <a:off x="0" y="0"/>
                    <a:ext cx="1697990" cy="241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CAF54"/>
    <w:multiLevelType w:val="singleLevel"/>
    <w:tmpl w:val="AA7CAF54"/>
    <w:lvl w:ilvl="0" w:tentative="0">
      <w:start w:val="2"/>
      <w:numFmt w:val="decimal"/>
      <w:lvlText w:val="%1."/>
      <w:lvlJc w:val="left"/>
      <w:pPr>
        <w:tabs>
          <w:tab w:val="left" w:pos="312"/>
        </w:tabs>
        <w:ind w:left="524" w:firstLine="0"/>
      </w:pPr>
    </w:lvl>
  </w:abstractNum>
  <w:abstractNum w:abstractNumId="1">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5E26B6E4"/>
    <w:multiLevelType w:val="singleLevel"/>
    <w:tmpl w:val="5E26B6E4"/>
    <w:lvl w:ilvl="0" w:tentative="0">
      <w:start w:val="7"/>
      <w:numFmt w:val="decimal"/>
      <w:lvlText w:val="%1."/>
      <w:lvlJc w:val="left"/>
      <w:pPr>
        <w:tabs>
          <w:tab w:val="left" w:pos="312"/>
        </w:tabs>
      </w:pPr>
    </w:lvl>
  </w:abstractNum>
  <w:abstractNum w:abstractNumId="3">
    <w:nsid w:val="76DEF578"/>
    <w:multiLevelType w:val="singleLevel"/>
    <w:tmpl w:val="76DEF578"/>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xOGYzMWE5YzM1NGI4N2Q4MzA0YmI5MzBhYThmZWUifQ=="/>
  </w:docVars>
  <w:rsids>
    <w:rsidRoot w:val="0B446C10"/>
    <w:rsid w:val="0B446C10"/>
    <w:rsid w:val="0E297690"/>
    <w:rsid w:val="4F87640C"/>
    <w:rsid w:val="56B476CF"/>
    <w:rsid w:val="59907A7D"/>
    <w:rsid w:val="61FC0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6"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numPr>
        <w:ilvl w:val="1"/>
        <w:numId w:val="1"/>
      </w:numPr>
      <w:spacing w:line="413" w:lineRule="auto"/>
      <w:outlineLvl w:val="1"/>
    </w:pPr>
    <w:rPr>
      <w:rFonts w:ascii="Arial" w:hAnsi="Arial"/>
      <w:b/>
      <w:kern w:val="0"/>
      <w:sz w:val="32"/>
      <w:szCs w:val="24"/>
    </w:rPr>
  </w:style>
  <w:style w:type="paragraph" w:styleId="4">
    <w:name w:val="heading 3"/>
    <w:basedOn w:val="1"/>
    <w:next w:val="1"/>
    <w:qFormat/>
    <w:uiPriority w:val="9"/>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autoRedefine/>
    <w:semiHidden/>
    <w:qFormat/>
    <w:uiPriority w:val="0"/>
  </w:style>
  <w:style w:type="table" w:default="1" w:styleId="22">
    <w:name w:val="Normal Table"/>
    <w:autoRedefine/>
    <w:semiHidden/>
    <w:uiPriority w:val="0"/>
    <w:tblPr>
      <w:tblCellMar>
        <w:top w:w="0" w:type="dxa"/>
        <w:left w:w="108" w:type="dxa"/>
        <w:bottom w:w="0" w:type="dxa"/>
        <w:right w:w="108" w:type="dxa"/>
      </w:tblCellMar>
    </w:tblPr>
  </w:style>
  <w:style w:type="paragraph" w:styleId="6">
    <w:name w:val="Normal Indent"/>
    <w:basedOn w:val="1"/>
    <w:next w:val="1"/>
    <w:autoRedefine/>
    <w:qFormat/>
    <w:uiPriority w:val="0"/>
    <w:pPr>
      <w:adjustRightInd w:val="0"/>
      <w:spacing w:line="312" w:lineRule="atLeast"/>
      <w:ind w:firstLine="420"/>
      <w:textAlignment w:val="baseline"/>
    </w:pPr>
    <w:rPr>
      <w:rFonts w:ascii="宋体" w:hAnsi="Courier New"/>
      <w:kern w:val="0"/>
    </w:rPr>
  </w:style>
  <w:style w:type="paragraph" w:styleId="7">
    <w:name w:val="Body Text"/>
    <w:basedOn w:val="1"/>
    <w:next w:val="8"/>
    <w:qFormat/>
    <w:uiPriority w:val="0"/>
    <w:pPr>
      <w:spacing w:after="120"/>
    </w:pPr>
  </w:style>
  <w:style w:type="paragraph" w:styleId="8">
    <w:name w:val="Body Text First Indent"/>
    <w:basedOn w:val="7"/>
    <w:next w:val="1"/>
    <w:qFormat/>
    <w:uiPriority w:val="0"/>
    <w:pPr>
      <w:autoSpaceDE w:val="0"/>
      <w:autoSpaceDN w:val="0"/>
      <w:adjustRightInd w:val="0"/>
      <w:ind w:firstLine="420" w:firstLineChars="100"/>
      <w:jc w:val="left"/>
    </w:pPr>
    <w:rPr>
      <w:rFonts w:ascii="仿宋_GB2312" w:hAnsi="Times New Roman"/>
      <w:b/>
      <w:kern w:val="0"/>
      <w:sz w:val="32"/>
      <w:szCs w:val="32"/>
    </w:rPr>
  </w:style>
  <w:style w:type="paragraph" w:styleId="9">
    <w:name w:val="Body Text Indent"/>
    <w:basedOn w:val="1"/>
    <w:next w:val="1"/>
    <w:qFormat/>
    <w:uiPriority w:val="0"/>
    <w:pPr>
      <w:ind w:left="480" w:hanging="480" w:hangingChars="200"/>
    </w:pPr>
    <w:rPr>
      <w:sz w:val="24"/>
    </w:rPr>
  </w:style>
  <w:style w:type="paragraph" w:styleId="10">
    <w:name w:val="List 2"/>
    <w:basedOn w:val="1"/>
    <w:autoRedefine/>
    <w:qFormat/>
    <w:uiPriority w:val="99"/>
    <w:pPr>
      <w:ind w:left="100" w:leftChars="200" w:hanging="200" w:hangingChars="200"/>
    </w:pPr>
    <w:rPr>
      <w:sz w:val="28"/>
      <w:szCs w:val="28"/>
    </w:rPr>
  </w:style>
  <w:style w:type="paragraph" w:styleId="11">
    <w:name w:val="Block Text"/>
    <w:basedOn w:val="1"/>
    <w:qFormat/>
    <w:uiPriority w:val="99"/>
    <w:pPr>
      <w:spacing w:after="120"/>
      <w:ind w:left="1440" w:leftChars="700" w:right="1440" w:rightChars="700"/>
    </w:pPr>
  </w:style>
  <w:style w:type="paragraph" w:styleId="12">
    <w:name w:val="Plain Text"/>
    <w:basedOn w:val="1"/>
    <w:next w:val="1"/>
    <w:autoRedefine/>
    <w:qFormat/>
    <w:uiPriority w:val="0"/>
    <w:pPr>
      <w:widowControl/>
      <w:overflowPunct w:val="0"/>
      <w:autoSpaceDE w:val="0"/>
      <w:autoSpaceDN w:val="0"/>
      <w:adjustRightInd w:val="0"/>
      <w:jc w:val="left"/>
      <w:textAlignment w:val="baseline"/>
    </w:pPr>
    <w:rPr>
      <w:rFonts w:ascii="宋体" w:hAnsi="Courier New"/>
      <w:sz w:val="24"/>
    </w:rPr>
  </w:style>
  <w:style w:type="paragraph" w:styleId="13">
    <w:name w:val="Date"/>
    <w:basedOn w:val="1"/>
    <w:next w:val="1"/>
    <w:qFormat/>
    <w:uiPriority w:val="0"/>
    <w:pPr>
      <w:ind w:left="2500" w:leftChars="2500"/>
    </w:pPr>
    <w:rPr>
      <w:rFonts w:eastAsia="楷体_GB2312"/>
      <w:sz w:val="32"/>
      <w:szCs w:val="20"/>
    </w:rPr>
  </w:style>
  <w:style w:type="paragraph" w:styleId="14">
    <w:name w:val="footer"/>
    <w:basedOn w:val="1"/>
    <w:qFormat/>
    <w:uiPriority w:val="99"/>
    <w:pPr>
      <w:tabs>
        <w:tab w:val="center" w:pos="4153"/>
        <w:tab w:val="right" w:pos="8306"/>
      </w:tabs>
      <w:snapToGrid w:val="0"/>
      <w:jc w:val="left"/>
    </w:pPr>
    <w:rPr>
      <w:sz w:val="18"/>
    </w:rPr>
  </w:style>
  <w:style w:type="paragraph" w:styleId="15">
    <w:name w:val="header"/>
    <w:basedOn w:val="1"/>
    <w:qFormat/>
    <w:uiPriority w:val="99"/>
    <w:pPr>
      <w:pBdr>
        <w:bottom w:val="single" w:color="auto" w:sz="6" w:space="1"/>
      </w:pBdr>
      <w:tabs>
        <w:tab w:val="center" w:pos="4153"/>
        <w:tab w:val="right" w:pos="8306"/>
      </w:tabs>
      <w:snapToGrid w:val="0"/>
      <w:jc w:val="center"/>
    </w:pPr>
    <w:rPr>
      <w:sz w:val="18"/>
    </w:rPr>
  </w:style>
  <w:style w:type="paragraph" w:styleId="16">
    <w:name w:val="toc 1"/>
    <w:basedOn w:val="1"/>
    <w:next w:val="1"/>
    <w:autoRedefine/>
    <w:qFormat/>
    <w:uiPriority w:val="39"/>
    <w:pPr>
      <w:spacing w:before="120" w:after="120"/>
      <w:jc w:val="left"/>
    </w:pPr>
    <w:rPr>
      <w:b/>
      <w:bCs/>
      <w:caps/>
      <w:sz w:val="20"/>
      <w:szCs w:val="20"/>
    </w:rPr>
  </w:style>
  <w:style w:type="paragraph" w:styleId="17">
    <w:name w:val="List"/>
    <w:basedOn w:val="1"/>
    <w:qFormat/>
    <w:uiPriority w:val="0"/>
    <w:pPr>
      <w:ind w:left="200" w:hanging="200" w:hangingChars="200"/>
    </w:pPr>
  </w:style>
  <w:style w:type="paragraph" w:styleId="18">
    <w:name w:val="toc 2"/>
    <w:basedOn w:val="1"/>
    <w:next w:val="1"/>
    <w:qFormat/>
    <w:uiPriority w:val="39"/>
    <w:pPr>
      <w:ind w:left="420" w:leftChars="200"/>
    </w:pPr>
  </w:style>
  <w:style w:type="paragraph" w:styleId="19">
    <w:name w:val="Normal (Web)"/>
    <w:basedOn w:val="1"/>
    <w:next w:val="20"/>
    <w:autoRedefine/>
    <w:qFormat/>
    <w:uiPriority w:val="0"/>
    <w:pPr>
      <w:widowControl/>
      <w:spacing w:before="100" w:beforeAutospacing="1" w:after="100" w:afterAutospacing="1"/>
      <w:jc w:val="left"/>
    </w:pPr>
    <w:rPr>
      <w:rFonts w:ascii="宋体" w:hAnsi="宋体" w:cs="宋体"/>
      <w:kern w:val="0"/>
      <w:sz w:val="24"/>
    </w:rPr>
  </w:style>
  <w:style w:type="paragraph" w:customStyle="1" w:styleId="20">
    <w:name w:val="样式 标题 3 + (中文) 黑体 小四 非加粗 段前: 7.8 磅 段后: 0 磅 行距: 固定值 20 磅"/>
    <w:basedOn w:val="4"/>
    <w:qFormat/>
    <w:uiPriority w:val="0"/>
    <w:pPr>
      <w:spacing w:before="0" w:after="0" w:line="400" w:lineRule="exact"/>
    </w:pPr>
    <w:rPr>
      <w:rFonts w:eastAsia="黑体" w:cs="宋体"/>
      <w:b w:val="0"/>
      <w:sz w:val="24"/>
      <w:szCs w:val="20"/>
    </w:rPr>
  </w:style>
  <w:style w:type="paragraph" w:styleId="21">
    <w:name w:val="Body Text First Indent 2"/>
    <w:basedOn w:val="9"/>
    <w:unhideWhenUsed/>
    <w:qFormat/>
    <w:uiPriority w:val="99"/>
    <w:pPr>
      <w:ind w:firstLine="420"/>
    </w:pPr>
  </w:style>
  <w:style w:type="character" w:styleId="24">
    <w:name w:val="Strong"/>
    <w:basedOn w:val="23"/>
    <w:qFormat/>
    <w:uiPriority w:val="0"/>
    <w:rPr>
      <w:b/>
    </w:rPr>
  </w:style>
  <w:style w:type="character" w:styleId="25">
    <w:name w:val="page number"/>
    <w:basedOn w:val="23"/>
    <w:qFormat/>
    <w:uiPriority w:val="6"/>
  </w:style>
  <w:style w:type="character" w:styleId="26">
    <w:name w:val="Hyperlink"/>
    <w:basedOn w:val="23"/>
    <w:qFormat/>
    <w:uiPriority w:val="99"/>
  </w:style>
  <w:style w:type="paragraph" w:customStyle="1" w:styleId="27">
    <w:name w:val="TOC 标题1"/>
    <w:basedOn w:val="2"/>
    <w:next w:val="1"/>
    <w:unhideWhenUsed/>
    <w:qFormat/>
    <w:uiPriority w:val="39"/>
    <w:pPr>
      <w:widowControl/>
      <w:spacing w:before="480" w:after="0" w:line="276" w:lineRule="auto"/>
      <w:jc w:val="left"/>
      <w:outlineLvl w:val="9"/>
    </w:pPr>
    <w:rPr>
      <w:rFonts w:ascii="Calibri" w:hAnsi="Calibri" w:eastAsia="宋体" w:cs="Times New Roman"/>
      <w:color w:val="365F91"/>
      <w:kern w:val="0"/>
      <w:sz w:val="28"/>
      <w:szCs w:val="28"/>
    </w:rPr>
  </w:style>
  <w:style w:type="paragraph" w:customStyle="1" w:styleId="28">
    <w:name w:val="表格文字"/>
    <w:basedOn w:val="1"/>
    <w:next w:val="7"/>
    <w:autoRedefine/>
    <w:qFormat/>
    <w:uiPriority w:val="0"/>
    <w:pPr>
      <w:adjustRightInd w:val="0"/>
      <w:spacing w:line="420" w:lineRule="atLeast"/>
      <w:jc w:val="left"/>
      <w:textAlignment w:val="baseline"/>
    </w:pPr>
    <w:rPr>
      <w:kern w:val="0"/>
      <w:szCs w:val="24"/>
    </w:rPr>
  </w:style>
  <w:style w:type="character" w:customStyle="1" w:styleId="29">
    <w:name w:val="正文文本_"/>
    <w:basedOn w:val="23"/>
    <w:link w:val="30"/>
    <w:autoRedefine/>
    <w:unhideWhenUsed/>
    <w:qFormat/>
    <w:uiPriority w:val="99"/>
    <w:rPr>
      <w:rFonts w:hint="eastAsia" w:ascii="宋体" w:hAnsi="宋体"/>
      <w:sz w:val="24"/>
      <w:szCs w:val="24"/>
      <w:lang w:val="zh-CN" w:eastAsia="zh-CN" w:bidi="ar-SA"/>
    </w:rPr>
  </w:style>
  <w:style w:type="paragraph" w:customStyle="1" w:styleId="30">
    <w:name w:val="正文文本1"/>
    <w:link w:val="29"/>
    <w:autoRedefine/>
    <w:unhideWhenUsed/>
    <w:qFormat/>
    <w:uiPriority w:val="99"/>
    <w:pPr>
      <w:spacing w:line="398" w:lineRule="auto"/>
      <w:ind w:firstLine="400"/>
    </w:pPr>
    <w:rPr>
      <w:rFonts w:hint="eastAsia" w:ascii="宋体" w:hAnsi="宋体" w:eastAsia="宋体" w:cs="Times New Roman"/>
      <w:sz w:val="24"/>
      <w:szCs w:val="24"/>
      <w:lang w:val="zh-CN" w:eastAsia="zh-CN" w:bidi="ar-SA"/>
    </w:rPr>
  </w:style>
  <w:style w:type="paragraph" w:customStyle="1" w:styleId="31">
    <w:name w:val="默认段落字体 Para Char Char Char Char Char Char Char Char Char1 Char Char Char Char"/>
    <w:basedOn w:val="1"/>
    <w:autoRedefine/>
    <w:qFormat/>
    <w:uiPriority w:val="99"/>
    <w:rPr>
      <w:rFonts w:ascii="Tahoma" w:hAnsi="Tahoma" w:cs="Tahoma"/>
      <w:sz w:val="24"/>
      <w:szCs w:val="24"/>
    </w:rPr>
  </w:style>
  <w:style w:type="paragraph" w:customStyle="1" w:styleId="32">
    <w:name w:val="标题 #4"/>
    <w:basedOn w:val="1"/>
    <w:link w:val="33"/>
    <w:autoRedefine/>
    <w:unhideWhenUsed/>
    <w:qFormat/>
    <w:uiPriority w:val="99"/>
    <w:pPr>
      <w:spacing w:beforeLines="0" w:afterLines="0" w:line="466" w:lineRule="exact"/>
      <w:outlineLvl w:val="3"/>
    </w:pPr>
    <w:rPr>
      <w:rFonts w:hint="eastAsia" w:ascii="宋体" w:hAnsi="宋体"/>
      <w:b/>
      <w:sz w:val="24"/>
      <w:szCs w:val="24"/>
      <w:lang w:val="zh-CN" w:eastAsia="zh-CN"/>
    </w:rPr>
  </w:style>
  <w:style w:type="character" w:customStyle="1" w:styleId="33">
    <w:name w:val="标题 #4_"/>
    <w:basedOn w:val="23"/>
    <w:link w:val="32"/>
    <w:autoRedefine/>
    <w:unhideWhenUsed/>
    <w:qFormat/>
    <w:uiPriority w:val="99"/>
    <w:rPr>
      <w:rFonts w:hint="eastAsia" w:ascii="宋体" w:hAnsi="宋体"/>
      <w:b/>
      <w:sz w:val="24"/>
      <w:szCs w:val="24"/>
      <w:lang w:val="zh-CN" w:eastAsia="zh-CN"/>
    </w:rPr>
  </w:style>
  <w:style w:type="character" w:customStyle="1" w:styleId="34">
    <w:name w:val="其他_"/>
    <w:basedOn w:val="23"/>
    <w:link w:val="35"/>
    <w:autoRedefine/>
    <w:unhideWhenUsed/>
    <w:qFormat/>
    <w:uiPriority w:val="99"/>
    <w:rPr>
      <w:rFonts w:hint="eastAsia" w:ascii="宋体" w:hAnsi="宋体"/>
      <w:sz w:val="24"/>
      <w:szCs w:val="24"/>
      <w:lang w:val="zh-CN" w:eastAsia="zh-CN"/>
    </w:rPr>
  </w:style>
  <w:style w:type="paragraph" w:customStyle="1" w:styleId="35">
    <w:name w:val="其他"/>
    <w:basedOn w:val="1"/>
    <w:link w:val="34"/>
    <w:autoRedefine/>
    <w:unhideWhenUsed/>
    <w:qFormat/>
    <w:uiPriority w:val="99"/>
    <w:pPr>
      <w:spacing w:beforeLines="0" w:afterLines="0" w:line="398" w:lineRule="auto"/>
      <w:ind w:firstLine="400"/>
    </w:pPr>
    <w:rPr>
      <w:rFonts w:hint="eastAsia" w:ascii="宋体" w:hAnsi="宋体"/>
      <w:sz w:val="24"/>
      <w:szCs w:val="24"/>
      <w:lang w:val="zh-CN" w:eastAsia="zh-CN"/>
    </w:rPr>
  </w:style>
  <w:style w:type="character" w:customStyle="1" w:styleId="36">
    <w:name w:val="font71"/>
    <w:basedOn w:val="23"/>
    <w:autoRedefine/>
    <w:qFormat/>
    <w:uiPriority w:val="0"/>
    <w:rPr>
      <w:rFonts w:hint="eastAsia" w:ascii="宋体" w:hAnsi="宋体" w:eastAsia="宋体" w:cs="宋体"/>
      <w:color w:val="000000"/>
      <w:sz w:val="20"/>
      <w:szCs w:val="20"/>
      <w:u w:val="none"/>
    </w:rPr>
  </w:style>
  <w:style w:type="character" w:customStyle="1" w:styleId="37">
    <w:name w:val="font21"/>
    <w:basedOn w:val="23"/>
    <w:autoRedefine/>
    <w:qFormat/>
    <w:uiPriority w:val="0"/>
    <w:rPr>
      <w:rFonts w:hint="eastAsia" w:ascii="宋体" w:hAnsi="宋体" w:eastAsia="宋体" w:cs="宋体"/>
      <w:b/>
      <w:color w:val="000000"/>
      <w:sz w:val="22"/>
      <w:szCs w:val="22"/>
      <w:u w:val="none"/>
    </w:rPr>
  </w:style>
  <w:style w:type="character" w:customStyle="1" w:styleId="38">
    <w:name w:val="font61"/>
    <w:basedOn w:val="23"/>
    <w:autoRedefine/>
    <w:unhideWhenUsed/>
    <w:qFormat/>
    <w:uiPriority w:val="0"/>
    <w:rPr>
      <w:rFonts w:hint="eastAsia" w:ascii="宋体" w:hAnsi="宋体" w:eastAsia="宋体" w:cs="宋体"/>
      <w:color w:val="000000"/>
      <w:sz w:val="20"/>
      <w:szCs w:val="20"/>
    </w:rPr>
  </w:style>
  <w:style w:type="character" w:customStyle="1" w:styleId="39">
    <w:name w:val="font91"/>
    <w:basedOn w:val="23"/>
    <w:autoRedefine/>
    <w:qFormat/>
    <w:uiPriority w:val="0"/>
    <w:rPr>
      <w:rFonts w:ascii="Arial" w:hAnsi="Arial" w:cs="Arial"/>
      <w:color w:val="000000"/>
      <w:sz w:val="20"/>
      <w:szCs w:val="20"/>
      <w:u w:val="none"/>
    </w:rPr>
  </w:style>
  <w:style w:type="paragraph" w:customStyle="1" w:styleId="40">
    <w:name w:val="列出段落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63</Pages>
  <Words>0</Words>
  <Characters>0</Characters>
  <Lines>0</Lines>
  <Paragraphs>0</Paragraphs>
  <TotalTime>228</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2024-04-21T13:58:00Z</dcterms:created>
  <dc:creator>旅行</dc:creator>
  <cp:lastModifiedBy>旅行</cp:lastModifiedBy>
  <dcterms:modified xsi:type="dcterms:W3CDTF">2024-04-24T06:43:32Z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2FC4444AF8274FAFA2465D885FAA0FA8_13</vt:lpwstr>
  </property>
</Properties>
</file>