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
        <w:rPr>
          <w:rFonts w:hint="eastAsia" w:ascii="仿宋" w:hAnsi="仿宋" w:eastAsia="仿宋" w:cs="仿宋"/>
          <w:color w:val="auto"/>
          <w:highlight w:val="none"/>
          <w:lang w:val="en-US" w:eastAsia="zh-CN"/>
        </w:rPr>
      </w:pPr>
    </w:p>
    <w:p>
      <w:pPr>
        <w:adjustRightInd/>
        <w:spacing w:line="360" w:lineRule="auto"/>
        <w:jc w:val="center"/>
        <w:rPr>
          <w:rFonts w:hint="eastAsia" w:ascii="仿宋" w:hAnsi="仿宋" w:eastAsia="仿宋" w:cs="仿宋"/>
          <w:color w:val="auto"/>
          <w:sz w:val="72"/>
          <w:szCs w:val="72"/>
          <w:highlight w:val="none"/>
        </w:rPr>
      </w:pPr>
      <w:r>
        <w:rPr>
          <w:rFonts w:hint="eastAsia" w:ascii="仿宋" w:hAnsi="仿宋" w:eastAsia="仿宋" w:cs="仿宋"/>
          <w:color w:val="auto"/>
          <w:sz w:val="56"/>
          <w:szCs w:val="56"/>
          <w:highlight w:val="none"/>
          <w:lang w:val="en-US" w:eastAsia="zh-CN"/>
        </w:rPr>
        <w:t>温州经济技术开发区地下市政基础设施普查项目</w:t>
      </w:r>
    </w:p>
    <w:p>
      <w:pPr>
        <w:adjustRightInd/>
        <w:spacing w:line="360" w:lineRule="auto"/>
        <w:jc w:val="center"/>
        <w:rPr>
          <w:rFonts w:hint="eastAsia" w:ascii="仿宋" w:hAnsi="仿宋" w:eastAsia="仿宋" w:cs="仿宋"/>
          <w:color w:val="auto"/>
          <w:sz w:val="48"/>
          <w:szCs w:val="48"/>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96"/>
          <w:szCs w:val="96"/>
          <w:highlight w:val="none"/>
          <w:lang w:val="en-US" w:eastAsia="zh-CN"/>
        </w:rPr>
      </w:pPr>
      <w:r>
        <w:rPr>
          <w:rFonts w:hint="eastAsia" w:ascii="仿宋" w:hAnsi="仿宋" w:eastAsia="仿宋" w:cs="仿宋"/>
          <w:color w:val="auto"/>
          <w:sz w:val="104"/>
          <w:szCs w:val="104"/>
          <w:highlight w:val="none"/>
        </w:rPr>
        <w:t>招标文件</w:t>
      </w:r>
      <w:r>
        <w:rPr>
          <w:rFonts w:hint="eastAsia" w:ascii="仿宋" w:hAnsi="仿宋" w:eastAsia="仿宋" w:cs="仿宋"/>
          <w:color w:val="auto"/>
          <w:sz w:val="96"/>
          <w:szCs w:val="96"/>
          <w:highlight w:val="none"/>
          <w:lang w:val="en-US" w:eastAsia="zh-CN"/>
        </w:rPr>
        <w:t xml:space="preserve"> </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pPr>
        <w:snapToGrid w:val="0"/>
        <w:spacing w:line="360" w:lineRule="auto"/>
        <w:jc w:val="center"/>
        <w:rPr>
          <w:rFonts w:hint="eastAsia" w:ascii="仿宋" w:hAnsi="仿宋" w:eastAsia="仿宋" w:cs="仿宋"/>
          <w:color w:val="auto"/>
          <w:sz w:val="30"/>
          <w:szCs w:val="30"/>
          <w:highlight w:val="none"/>
          <w:lang w:eastAsia="zh-CN"/>
        </w:rPr>
      </w:pPr>
    </w:p>
    <w:p>
      <w:pPr>
        <w:snapToGrid w:val="0"/>
        <w:spacing w:line="360" w:lineRule="auto"/>
        <w:jc w:val="center"/>
        <w:rPr>
          <w:rFonts w:hint="eastAsia" w:ascii="仿宋" w:hAnsi="仿宋" w:eastAsia="仿宋" w:cs="仿宋"/>
          <w:color w:val="auto"/>
          <w:sz w:val="30"/>
          <w:szCs w:val="30"/>
          <w:highlight w:val="none"/>
          <w:lang w:eastAsia="zh-CN"/>
        </w:rPr>
      </w:pPr>
    </w:p>
    <w:p>
      <w:pPr>
        <w:pStyle w:val="6"/>
        <w:rPr>
          <w:rFonts w:hint="eastAsia" w:ascii="仿宋" w:hAnsi="仿宋" w:eastAsia="仿宋" w:cs="仿宋"/>
          <w:color w:val="auto"/>
          <w:highlight w:val="none"/>
          <w:lang w:eastAsia="zh-CN"/>
        </w:rPr>
      </w:pPr>
    </w:p>
    <w:p>
      <w:pPr>
        <w:snapToGrid w:val="0"/>
        <w:spacing w:line="360" w:lineRule="auto"/>
        <w:ind w:firstLine="3000" w:firstLineChars="1000"/>
        <w:jc w:val="both"/>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采购方式：公开招标</w:t>
      </w:r>
    </w:p>
    <w:p>
      <w:pPr>
        <w:snapToGrid w:val="0"/>
        <w:spacing w:line="360" w:lineRule="auto"/>
        <w:jc w:val="center"/>
        <w:rPr>
          <w:rFonts w:hint="eastAsia" w:ascii="仿宋" w:hAnsi="仿宋" w:eastAsia="仿宋" w:cs="仿宋"/>
          <w:color w:val="auto"/>
          <w:sz w:val="30"/>
          <w:szCs w:val="30"/>
          <w:highlight w:val="none"/>
          <w:u w:val="singl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u w:val="single"/>
          <w:lang w:eastAsia="zh-CN"/>
        </w:rPr>
        <w:t>ZQCG-XZ-2022-055</w:t>
      </w:r>
    </w:p>
    <w:p>
      <w:pPr>
        <w:adjustRightInd/>
        <w:spacing w:line="360" w:lineRule="auto"/>
        <w:rPr>
          <w:rFonts w:hint="eastAsia" w:ascii="仿宋" w:hAnsi="仿宋" w:eastAsia="仿宋" w:cs="仿宋"/>
          <w:color w:val="auto"/>
          <w:sz w:val="28"/>
          <w:szCs w:val="20"/>
          <w:highlight w:val="none"/>
        </w:rPr>
      </w:pPr>
    </w:p>
    <w:p>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spacing w:line="360" w:lineRule="auto"/>
        <w:jc w:val="center"/>
        <w:rPr>
          <w:rFonts w:hint="eastAsia" w:ascii="仿宋" w:hAnsi="仿宋" w:eastAsia="仿宋" w:cs="仿宋"/>
          <w:b/>
          <w:color w:val="auto"/>
          <w:sz w:val="44"/>
          <w:szCs w:val="44"/>
          <w:highlight w:val="none"/>
        </w:rPr>
      </w:pPr>
    </w:p>
    <w:p>
      <w:pPr>
        <w:pStyle w:val="2"/>
        <w:rPr>
          <w:rFonts w:hint="eastAsia" w:ascii="仿宋" w:hAnsi="仿宋" w:eastAsia="仿宋" w:cs="仿宋"/>
          <w:b/>
          <w:color w:val="auto"/>
          <w:sz w:val="44"/>
          <w:szCs w:val="44"/>
          <w:highlight w:val="none"/>
        </w:rPr>
      </w:pPr>
    </w:p>
    <w:p>
      <w:pPr>
        <w:pStyle w:val="4"/>
        <w:rPr>
          <w:rFonts w:hint="eastAsia"/>
          <w:color w:val="auto"/>
          <w:highlight w:val="none"/>
        </w:rPr>
      </w:pPr>
    </w:p>
    <w:p>
      <w:pPr>
        <w:snapToGrid w:val="0"/>
        <w:spacing w:line="360" w:lineRule="auto"/>
        <w:ind w:firstLine="1280" w:firstLineChars="400"/>
        <w:jc w:val="both"/>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lang w:val="en-US" w:eastAsia="zh-CN"/>
        </w:rPr>
        <w:t>采购人：</w:t>
      </w:r>
      <w:r>
        <w:rPr>
          <w:rFonts w:hint="eastAsia" w:ascii="仿宋" w:hAnsi="仿宋" w:eastAsia="仿宋" w:cs="仿宋"/>
          <w:color w:val="auto"/>
          <w:sz w:val="32"/>
          <w:szCs w:val="32"/>
          <w:highlight w:val="none"/>
          <w:u w:val="single"/>
          <w:lang w:eastAsia="zh-CN"/>
        </w:rPr>
        <w:t>温州市自然资源和规划局经济技术开发区分局</w:t>
      </w:r>
      <w:r>
        <w:rPr>
          <w:rFonts w:hint="eastAsia" w:ascii="仿宋" w:hAnsi="仿宋" w:eastAsia="仿宋" w:cs="仿宋"/>
          <w:color w:val="auto"/>
          <w:sz w:val="32"/>
          <w:szCs w:val="32"/>
          <w:highlight w:val="none"/>
          <w:u w:val="single"/>
          <w:lang w:val="en-US" w:eastAsia="zh-CN"/>
        </w:rPr>
        <w:t xml:space="preserve"> </w:t>
      </w:r>
    </w:p>
    <w:p>
      <w:pPr>
        <w:spacing w:line="360" w:lineRule="auto"/>
        <w:ind w:firstLine="1280" w:firstLineChars="400"/>
        <w:jc w:val="both"/>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rPr>
        <w:t>采购代理机构</w:t>
      </w:r>
      <w:r>
        <w:rPr>
          <w:rFonts w:hint="eastAsia" w:ascii="仿宋" w:hAnsi="仿宋" w:eastAsia="仿宋" w:cs="仿宋"/>
          <w:color w:val="auto"/>
          <w:sz w:val="32"/>
          <w:szCs w:val="32"/>
          <w:highlight w:val="none"/>
          <w:lang w:val="en-US" w:eastAsia="zh-CN"/>
        </w:rPr>
        <w:t>：</w:t>
      </w:r>
      <w:r>
        <w:rPr>
          <w:rFonts w:hint="eastAsia" w:ascii="仿宋" w:hAnsi="仿宋" w:eastAsia="仿宋" w:cs="仿宋"/>
          <w:bCs/>
          <w:color w:val="auto"/>
          <w:sz w:val="32"/>
          <w:szCs w:val="32"/>
          <w:highlight w:val="none"/>
          <w:u w:val="single"/>
          <w:lang w:eastAsia="zh-CN"/>
        </w:rPr>
        <w:t>温州鑫正招标代理有限公司</w:t>
      </w:r>
    </w:p>
    <w:p>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Cs/>
          <w:color w:val="auto"/>
          <w:sz w:val="32"/>
          <w:szCs w:val="32"/>
          <w:highlight w:val="none"/>
          <w:lang w:eastAsia="zh-CN"/>
        </w:rPr>
        <w:t>日期：</w:t>
      </w: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eastAsia="zh-CN"/>
        </w:rPr>
        <w:t>二</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八</w:t>
      </w:r>
      <w:r>
        <w:rPr>
          <w:rFonts w:hint="eastAsia" w:ascii="仿宋" w:hAnsi="仿宋" w:eastAsia="仿宋" w:cs="仿宋"/>
          <w:bCs/>
          <w:color w:val="auto"/>
          <w:sz w:val="32"/>
          <w:szCs w:val="32"/>
          <w:highlight w:val="none"/>
        </w:rPr>
        <w:t>月</w:t>
      </w:r>
      <w:bookmarkStart w:id="0" w:name="_Hlt67893495"/>
      <w:bookmarkEnd w:id="0"/>
      <w:r>
        <w:rPr>
          <w:rFonts w:hint="eastAsia" w:ascii="仿宋" w:hAnsi="仿宋" w:eastAsia="仿宋" w:cs="仿宋"/>
          <w:b/>
          <w:color w:val="auto"/>
          <w:sz w:val="48"/>
          <w:szCs w:val="48"/>
          <w:highlight w:val="none"/>
        </w:rPr>
        <w:br w:type="page"/>
      </w:r>
      <w:r>
        <w:rPr>
          <w:rFonts w:hint="eastAsia" w:ascii="仿宋" w:hAnsi="仿宋" w:eastAsia="仿宋" w:cs="仿宋"/>
          <w:b/>
          <w:color w:val="auto"/>
          <w:sz w:val="48"/>
          <w:szCs w:val="48"/>
          <w:highlight w:val="none"/>
        </w:rPr>
        <w:t>目  录</w:t>
      </w:r>
    </w:p>
    <w:p>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TOC \o "1-3" \h \u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_Toc19983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rPr>
        <w:t>第一部分 招标公告</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_Toc19983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3</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_Toc26716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rPr>
        <w:t>第二部分 投标人须知</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_Toc26716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7</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_Toc3019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rPr>
        <w:t>前附表</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_Toc3019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7</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_Toc18105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kern w:val="2"/>
          <w:sz w:val="24"/>
          <w:szCs w:val="32"/>
          <w:highlight w:val="none"/>
          <w:lang w:val="zh-CN" w:eastAsia="zh-CN" w:bidi="ar-SA"/>
        </w:rPr>
        <w:t>一、总则</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_Toc18105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11</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4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_Toc13895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lang w:val="zh-CN" w:eastAsia="zh-CN"/>
        </w:rPr>
        <w:t>二、招标文件的构成、澄清、修改</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_Toc13895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15</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ind w:left="0" w:leftChars="0" w:firstLine="480" w:firstLineChars="200"/>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_Toc22850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lang w:val="zh-CN" w:eastAsia="zh-CN"/>
        </w:rPr>
        <w:t>三、投标</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_Toc22850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16</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_Toc9641 </w:instrText>
      </w:r>
      <w:r>
        <w:rPr>
          <w:rFonts w:hint="eastAsia" w:ascii="仿宋" w:hAnsi="仿宋" w:eastAsia="仿宋" w:cs="仿宋"/>
          <w:color w:val="auto"/>
          <w:sz w:val="24"/>
          <w:szCs w:val="28"/>
          <w:highlight w:val="none"/>
        </w:rPr>
        <w:fldChar w:fldCharType="separate"/>
      </w:r>
      <w:r>
        <w:rPr>
          <w:rFonts w:hint="eastAsia" w:ascii="仿宋" w:hAnsi="仿宋" w:eastAsia="仿宋" w:cs="仿宋"/>
          <w:bCs/>
          <w:color w:val="auto"/>
          <w:kern w:val="2"/>
          <w:sz w:val="24"/>
          <w:szCs w:val="32"/>
          <w:highlight w:val="none"/>
          <w:lang w:val="zh-CN" w:eastAsia="zh-CN" w:bidi="ar-SA"/>
        </w:rPr>
        <w:t>四、开标、</w:t>
      </w:r>
      <w:bookmarkStart w:id="455" w:name="_GoBack"/>
      <w:r>
        <w:rPr>
          <w:rFonts w:hint="eastAsia" w:ascii="仿宋" w:hAnsi="仿宋" w:eastAsia="仿宋" w:cs="仿宋"/>
          <w:bCs/>
          <w:color w:val="auto"/>
          <w:kern w:val="2"/>
          <w:sz w:val="24"/>
          <w:szCs w:val="32"/>
          <w:highlight w:val="none"/>
          <w:lang w:val="zh-CN" w:eastAsia="zh-CN" w:bidi="ar-SA"/>
        </w:rPr>
        <w:t>资格审查</w:t>
      </w:r>
      <w:bookmarkEnd w:id="455"/>
      <w:r>
        <w:rPr>
          <w:rFonts w:hint="eastAsia" w:ascii="仿宋" w:hAnsi="仿宋" w:eastAsia="仿宋" w:cs="仿宋"/>
          <w:bCs/>
          <w:color w:val="auto"/>
          <w:kern w:val="2"/>
          <w:sz w:val="24"/>
          <w:szCs w:val="32"/>
          <w:highlight w:val="none"/>
          <w:lang w:val="zh-CN" w:eastAsia="zh-CN" w:bidi="ar-SA"/>
        </w:rPr>
        <w:t>与信用信息查询</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_Toc9641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19</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_Toc4576 </w:instrText>
      </w:r>
      <w:r>
        <w:rPr>
          <w:rFonts w:hint="eastAsia" w:ascii="仿宋" w:hAnsi="仿宋" w:eastAsia="仿宋" w:cs="仿宋"/>
          <w:color w:val="auto"/>
          <w:sz w:val="24"/>
          <w:szCs w:val="28"/>
          <w:highlight w:val="none"/>
        </w:rPr>
        <w:fldChar w:fldCharType="separate"/>
      </w:r>
      <w:r>
        <w:rPr>
          <w:rFonts w:hint="eastAsia" w:ascii="仿宋" w:hAnsi="仿宋" w:eastAsia="仿宋" w:cs="仿宋"/>
          <w:bCs/>
          <w:color w:val="auto"/>
          <w:kern w:val="2"/>
          <w:sz w:val="24"/>
          <w:szCs w:val="32"/>
          <w:highlight w:val="none"/>
          <w:lang w:val="zh-CN" w:eastAsia="zh-CN" w:bidi="ar-SA"/>
        </w:rPr>
        <w:t>五、评标</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_Toc4576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20</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_Toc29955 </w:instrText>
      </w:r>
      <w:r>
        <w:rPr>
          <w:rFonts w:hint="eastAsia" w:ascii="仿宋" w:hAnsi="仿宋" w:eastAsia="仿宋" w:cs="仿宋"/>
          <w:color w:val="auto"/>
          <w:sz w:val="24"/>
          <w:szCs w:val="28"/>
          <w:highlight w:val="none"/>
        </w:rPr>
        <w:fldChar w:fldCharType="separate"/>
      </w:r>
      <w:r>
        <w:rPr>
          <w:rFonts w:hint="eastAsia" w:ascii="仿宋" w:hAnsi="仿宋" w:eastAsia="仿宋" w:cs="仿宋"/>
          <w:bCs/>
          <w:color w:val="auto"/>
          <w:kern w:val="2"/>
          <w:sz w:val="24"/>
          <w:szCs w:val="32"/>
          <w:highlight w:val="none"/>
          <w:lang w:val="zh-CN" w:eastAsia="zh-CN" w:bidi="ar-SA"/>
        </w:rPr>
        <w:t>六、定 标</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_Toc29955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21</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_Toc11698 </w:instrText>
      </w:r>
      <w:r>
        <w:rPr>
          <w:rFonts w:hint="eastAsia" w:ascii="仿宋" w:hAnsi="仿宋" w:eastAsia="仿宋" w:cs="仿宋"/>
          <w:color w:val="auto"/>
          <w:sz w:val="24"/>
          <w:szCs w:val="28"/>
          <w:highlight w:val="none"/>
        </w:rPr>
        <w:fldChar w:fldCharType="separate"/>
      </w:r>
      <w:r>
        <w:rPr>
          <w:rFonts w:hint="eastAsia" w:ascii="仿宋" w:hAnsi="仿宋" w:eastAsia="仿宋" w:cs="仿宋"/>
          <w:bCs/>
          <w:color w:val="auto"/>
          <w:kern w:val="2"/>
          <w:sz w:val="24"/>
          <w:szCs w:val="32"/>
          <w:highlight w:val="none"/>
          <w:lang w:val="zh-CN" w:eastAsia="zh-CN" w:bidi="ar-SA"/>
        </w:rPr>
        <w:t>七、合同授予</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_Toc11698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21</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_Toc4363 </w:instrText>
      </w:r>
      <w:r>
        <w:rPr>
          <w:rFonts w:hint="eastAsia" w:ascii="仿宋" w:hAnsi="仿宋" w:eastAsia="仿宋" w:cs="仿宋"/>
          <w:color w:val="auto"/>
          <w:sz w:val="24"/>
          <w:szCs w:val="28"/>
          <w:highlight w:val="none"/>
        </w:rPr>
        <w:fldChar w:fldCharType="separate"/>
      </w:r>
      <w:r>
        <w:rPr>
          <w:rFonts w:hint="eastAsia" w:ascii="仿宋" w:hAnsi="仿宋" w:eastAsia="仿宋" w:cs="仿宋"/>
          <w:bCs/>
          <w:color w:val="auto"/>
          <w:kern w:val="2"/>
          <w:sz w:val="24"/>
          <w:szCs w:val="32"/>
          <w:highlight w:val="none"/>
          <w:lang w:val="zh-CN" w:eastAsia="zh-CN" w:bidi="ar-SA"/>
        </w:rPr>
        <w:t>八、电子交易活动的中止</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_Toc4363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22</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_Toc25540 </w:instrText>
      </w:r>
      <w:r>
        <w:rPr>
          <w:rFonts w:hint="eastAsia" w:ascii="仿宋" w:hAnsi="仿宋" w:eastAsia="仿宋" w:cs="仿宋"/>
          <w:color w:val="auto"/>
          <w:sz w:val="24"/>
          <w:szCs w:val="28"/>
          <w:highlight w:val="none"/>
        </w:rPr>
        <w:fldChar w:fldCharType="separate"/>
      </w:r>
      <w:r>
        <w:rPr>
          <w:rFonts w:hint="eastAsia" w:ascii="仿宋" w:hAnsi="仿宋" w:eastAsia="仿宋" w:cs="仿宋"/>
          <w:bCs/>
          <w:color w:val="auto"/>
          <w:kern w:val="2"/>
          <w:sz w:val="24"/>
          <w:szCs w:val="32"/>
          <w:highlight w:val="none"/>
          <w:lang w:val="zh-CN" w:eastAsia="zh-CN" w:bidi="ar-SA"/>
        </w:rPr>
        <w:t>九、验收</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_Toc25540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22</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_Toc18048 </w:instrText>
      </w:r>
      <w:r>
        <w:rPr>
          <w:rFonts w:hint="eastAsia" w:ascii="仿宋" w:hAnsi="仿宋" w:eastAsia="仿宋" w:cs="仿宋"/>
          <w:color w:val="auto"/>
          <w:sz w:val="24"/>
          <w:szCs w:val="28"/>
          <w:highlight w:val="none"/>
        </w:rPr>
        <w:fldChar w:fldCharType="separate"/>
      </w:r>
      <w:r>
        <w:rPr>
          <w:rFonts w:hint="eastAsia" w:ascii="仿宋" w:hAnsi="仿宋" w:eastAsia="仿宋" w:cs="仿宋"/>
          <w:bCs/>
          <w:color w:val="auto"/>
          <w:kern w:val="2"/>
          <w:sz w:val="24"/>
          <w:szCs w:val="32"/>
          <w:highlight w:val="none"/>
          <w:lang w:val="zh-CN" w:eastAsia="zh-CN" w:bidi="ar-SA"/>
        </w:rPr>
        <w:t>第三部分   采购需求</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_Toc18048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24</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_Toc23043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kern w:val="2"/>
          <w:sz w:val="24"/>
          <w:szCs w:val="32"/>
          <w:highlight w:val="none"/>
          <w:lang w:eastAsia="zh-CN" w:bidi="ar-SA"/>
        </w:rPr>
        <w:t>第四部分   评标办法</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_Toc23043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24</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_Toc9682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lang w:eastAsia="zh-CN"/>
        </w:rPr>
        <w:t>第五部分 拟签订的合同文本</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_Toc9682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47</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_Toc12650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lang w:eastAsia="zh-CN"/>
        </w:rPr>
        <w:t>第六部分 应提交的有关格式范例</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_Toc12650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64</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_Toc13322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rPr>
        <w:t>资格文件部分</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_Toc13322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64</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_Toc31209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rPr>
        <w:t>商务技术文件部分</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_Toc31209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73</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54"/>
        <w:keepNext w:val="0"/>
        <w:keepLines w:val="0"/>
        <w:pageBreakBefore w:val="0"/>
        <w:widowControl w:val="0"/>
        <w:tabs>
          <w:tab w:val="right" w:leader="dot" w:pos="9070"/>
        </w:tabs>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28"/>
          <w:highlight w:val="none"/>
        </w:rPr>
        <w:fldChar w:fldCharType="begin"/>
      </w:r>
      <w:r>
        <w:rPr>
          <w:rFonts w:hint="eastAsia" w:ascii="仿宋" w:hAnsi="仿宋" w:eastAsia="仿宋" w:cs="仿宋"/>
          <w:color w:val="auto"/>
          <w:sz w:val="24"/>
          <w:szCs w:val="28"/>
          <w:highlight w:val="none"/>
        </w:rPr>
        <w:instrText xml:space="preserve"> HYPERLINK \l _Toc29762 </w:instrText>
      </w:r>
      <w:r>
        <w:rPr>
          <w:rFonts w:hint="eastAsia" w:ascii="仿宋" w:hAnsi="仿宋" w:eastAsia="仿宋" w:cs="仿宋"/>
          <w:color w:val="auto"/>
          <w:sz w:val="24"/>
          <w:szCs w:val="28"/>
          <w:highlight w:val="none"/>
        </w:rPr>
        <w:fldChar w:fldCharType="separate"/>
      </w:r>
      <w:r>
        <w:rPr>
          <w:rFonts w:hint="eastAsia" w:ascii="仿宋" w:hAnsi="仿宋" w:eastAsia="仿宋" w:cs="仿宋"/>
          <w:color w:val="auto"/>
          <w:sz w:val="24"/>
          <w:szCs w:val="32"/>
          <w:highlight w:val="none"/>
        </w:rPr>
        <w:t>报价文件部分</w:t>
      </w:r>
      <w:r>
        <w:rPr>
          <w:rFonts w:hint="eastAsia" w:ascii="仿宋" w:hAnsi="仿宋" w:eastAsia="仿宋" w:cs="仿宋"/>
          <w:color w:val="auto"/>
          <w:sz w:val="24"/>
          <w:szCs w:val="32"/>
          <w:highlight w:val="none"/>
        </w:rPr>
        <w:tab/>
      </w:r>
      <w:r>
        <w:rPr>
          <w:rFonts w:hint="eastAsia" w:ascii="仿宋" w:hAnsi="仿宋" w:eastAsia="仿宋" w:cs="仿宋"/>
          <w:color w:val="auto"/>
          <w:sz w:val="24"/>
          <w:szCs w:val="32"/>
          <w:highlight w:val="none"/>
        </w:rPr>
        <w:fldChar w:fldCharType="begin"/>
      </w:r>
      <w:r>
        <w:rPr>
          <w:rFonts w:hint="eastAsia" w:ascii="仿宋" w:hAnsi="仿宋" w:eastAsia="仿宋" w:cs="仿宋"/>
          <w:color w:val="auto"/>
          <w:sz w:val="24"/>
          <w:szCs w:val="32"/>
          <w:highlight w:val="none"/>
        </w:rPr>
        <w:instrText xml:space="preserve"> PAGEREF _Toc29762 \h </w:instrText>
      </w:r>
      <w:r>
        <w:rPr>
          <w:rFonts w:hint="eastAsia" w:ascii="仿宋" w:hAnsi="仿宋" w:eastAsia="仿宋" w:cs="仿宋"/>
          <w:color w:val="auto"/>
          <w:sz w:val="24"/>
          <w:szCs w:val="32"/>
          <w:highlight w:val="none"/>
        </w:rPr>
        <w:fldChar w:fldCharType="separate"/>
      </w:r>
      <w:r>
        <w:rPr>
          <w:rFonts w:hint="eastAsia" w:ascii="仿宋" w:hAnsi="仿宋" w:eastAsia="仿宋" w:cs="仿宋"/>
          <w:color w:val="auto"/>
          <w:sz w:val="24"/>
          <w:szCs w:val="32"/>
          <w:highlight w:val="none"/>
        </w:rPr>
        <w:t>78</w:t>
      </w:r>
      <w:r>
        <w:rPr>
          <w:rFonts w:hint="eastAsia" w:ascii="仿宋" w:hAnsi="仿宋" w:eastAsia="仿宋" w:cs="仿宋"/>
          <w:color w:val="auto"/>
          <w:sz w:val="24"/>
          <w:szCs w:val="32"/>
          <w:highlight w:val="none"/>
        </w:rPr>
        <w:fldChar w:fldCharType="end"/>
      </w:r>
      <w:r>
        <w:rPr>
          <w:rFonts w:hint="eastAsia" w:ascii="仿宋" w:hAnsi="仿宋" w:eastAsia="仿宋" w:cs="仿宋"/>
          <w:color w:val="auto"/>
          <w:sz w:val="24"/>
          <w:szCs w:val="28"/>
          <w:highlight w:val="none"/>
        </w:rPr>
        <w:fldChar w:fldCharType="end"/>
      </w:r>
    </w:p>
    <w:p>
      <w:pPr>
        <w:pStyle w:val="44"/>
        <w:tabs>
          <w:tab w:val="right" w:leader="dot" w:pos="9070"/>
        </w:tabs>
        <w:rPr>
          <w:rFonts w:hint="eastAsia" w:ascii="仿宋" w:hAnsi="仿宋" w:eastAsia="仿宋" w:cs="仿宋"/>
          <w:color w:val="auto"/>
          <w:highlight w:val="none"/>
        </w:rPr>
      </w:pPr>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color w:val="auto"/>
          <w:szCs w:val="22"/>
          <w:highlight w:val="none"/>
        </w:rPr>
        <w:fldChar w:fldCharType="end"/>
      </w:r>
      <w:bookmarkStart w:id="1" w:name="第一部分"/>
      <w:bookmarkStart w:id="2" w:name="_Toc91899869"/>
      <w:bookmarkStart w:id="3" w:name="_Toc19983"/>
      <w:r>
        <w:rPr>
          <w:rFonts w:hint="eastAsia" w:ascii="仿宋" w:hAnsi="仿宋" w:eastAsia="仿宋" w:cs="仿宋"/>
          <w:b/>
          <w:color w:val="auto"/>
          <w:sz w:val="36"/>
          <w:szCs w:val="36"/>
          <w:highlight w:val="none"/>
        </w:rPr>
        <w:br w:type="page"/>
      </w:r>
      <w:bookmarkEnd w:id="1"/>
      <w:bookmarkEnd w:id="2"/>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Style w:val="82"/>
          <w:rFonts w:hint="eastAsia" w:ascii="仿宋" w:hAnsi="仿宋" w:eastAsia="仿宋" w:cs="仿宋"/>
          <w:color w:val="auto"/>
          <w:highlight w:val="none"/>
        </w:rPr>
        <w:t>第一部分 招标公告</w:t>
      </w:r>
      <w:bookmarkEnd w:id="3"/>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温州经济技术开发区地下市政基础设施普查项目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HYPERLINK "https://www.zcygov.cn/）获取（下载）招标文件，并于2021年"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00秒</w:t>
      </w:r>
      <w:r>
        <w:rPr>
          <w:rFonts w:hint="eastAsia" w:ascii="仿宋" w:hAnsi="仿宋" w:eastAsia="仿宋" w:cs="仿宋"/>
          <w:color w:val="auto"/>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360" w:lineRule="auto"/>
        <w:ind w:firstLine="480"/>
        <w:rPr>
          <w:rFonts w:hint="eastAsia" w:ascii="仿宋" w:hAnsi="仿宋" w:eastAsia="仿宋" w:cs="仿宋"/>
          <w:color w:val="auto"/>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u w:val="single"/>
          <w:lang w:eastAsia="zh-CN"/>
        </w:rPr>
        <w:t>ZQCG-XZ-2022-055</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highlight w:val="none"/>
          <w:lang w:val="en-US" w:eastAsia="zh-CN"/>
        </w:rPr>
        <w:t xml:space="preserve"> </w:t>
      </w:r>
    </w:p>
    <w:p>
      <w:pPr>
        <w:spacing w:line="360" w:lineRule="auto"/>
        <w:ind w:firstLine="480"/>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u w:val="single"/>
          <w:lang w:eastAsia="zh-CN"/>
        </w:rPr>
        <w:t>温州经济技术开发区地下市政基础设施普查项目</w:t>
      </w:r>
      <w:r>
        <w:rPr>
          <w:rFonts w:hint="eastAsia" w:ascii="仿宋" w:hAnsi="仿宋" w:eastAsia="仿宋" w:cs="仿宋"/>
          <w:color w:val="auto"/>
          <w:highlight w:val="none"/>
          <w:lang w:val="en-US" w:eastAsia="zh-CN"/>
        </w:rPr>
        <w:t xml:space="preserve"> </w:t>
      </w:r>
    </w:p>
    <w:p>
      <w:pPr>
        <w:spacing w:line="360" w:lineRule="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color w:val="auto"/>
          <w:sz w:val="24"/>
          <w:highlight w:val="none"/>
          <w:u w:val="single"/>
          <w:lang w:val="en-US" w:eastAsia="zh-CN"/>
        </w:rPr>
        <w:t>11160000</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u w:val="single"/>
          <w:lang w:val="en-US" w:eastAsia="zh-CN"/>
        </w:rPr>
        <w:t>11160000</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sz w:val="24"/>
          <w:highlight w:val="none"/>
        </w:rPr>
        <w:t xml:space="preserve">  </w:t>
      </w:r>
    </w:p>
    <w:p>
      <w:pPr>
        <w:pStyle w:val="19"/>
        <w:spacing w:line="360" w:lineRule="auto"/>
        <w:ind w:firstLine="480"/>
        <w:rPr>
          <w:rFonts w:hint="eastAsia" w:ascii="仿宋" w:hAnsi="仿宋" w:eastAsia="仿宋" w:cs="仿宋"/>
          <w:bCs/>
          <w:snapToGrid/>
          <w:color w:val="auto"/>
          <w:kern w:val="2"/>
          <w:sz w:val="24"/>
          <w:szCs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w:t>
      </w:r>
    </w:p>
    <w:p>
      <w:pPr>
        <w:spacing w:line="360" w:lineRule="auto"/>
        <w:ind w:firstLine="480"/>
        <w:rPr>
          <w:rFonts w:hint="eastAsia" w:ascii="仿宋" w:hAnsi="仿宋" w:eastAsia="仿宋" w:cs="仿宋"/>
          <w:snapToGrid w:val="0"/>
          <w:color w:val="auto"/>
          <w:kern w:val="28"/>
          <w:sz w:val="24"/>
          <w:szCs w:val="20"/>
          <w:highlight w:val="none"/>
          <w:lang w:eastAsia="zh-CN"/>
        </w:rPr>
      </w:pPr>
      <w:bookmarkStart w:id="11" w:name="_Toc26996"/>
      <w:bookmarkStart w:id="12" w:name="_Toc142"/>
      <w:bookmarkStart w:id="13" w:name="_Toc28404"/>
      <w:r>
        <w:rPr>
          <w:rFonts w:hint="eastAsia" w:ascii="仿宋" w:hAnsi="仿宋" w:eastAsia="仿宋" w:cs="仿宋"/>
          <w:snapToGrid w:val="0"/>
          <w:color w:val="auto"/>
          <w:kern w:val="28"/>
          <w:sz w:val="24"/>
          <w:szCs w:val="20"/>
          <w:highlight w:val="none"/>
          <w:lang w:eastAsia="zh-CN"/>
        </w:rPr>
        <w:t>标项一：</w:t>
      </w:r>
    </w:p>
    <w:p>
      <w:pPr>
        <w:spacing w:line="360" w:lineRule="auto"/>
        <w:ind w:firstLine="480"/>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bCs/>
          <w:snapToGrid w:val="0"/>
          <w:color w:val="auto"/>
          <w:kern w:val="28"/>
          <w:sz w:val="24"/>
          <w:szCs w:val="20"/>
          <w:highlight w:val="none"/>
        </w:rPr>
        <w:t>标项名称:</w:t>
      </w:r>
      <w:r>
        <w:rPr>
          <w:rFonts w:hint="eastAsia" w:ascii="仿宋" w:hAnsi="仿宋" w:eastAsia="仿宋" w:cs="仿宋"/>
          <w:b w:val="0"/>
          <w:bCs w:val="0"/>
          <w:color w:val="auto"/>
          <w:kern w:val="0"/>
          <w:sz w:val="24"/>
          <w:szCs w:val="24"/>
          <w:highlight w:val="none"/>
          <w:lang w:val="en-US" w:eastAsia="zh-CN" w:bidi="ar"/>
        </w:rPr>
        <w:t>温州经济技术开发区地下市政基础设施普查（地下管线及其附属设施部分）</w:t>
      </w:r>
    </w:p>
    <w:p>
      <w:pPr>
        <w:spacing w:line="360" w:lineRule="auto"/>
        <w:ind w:firstLine="480"/>
        <w:rPr>
          <w:rFonts w:hint="eastAsia" w:ascii="仿宋" w:hAnsi="仿宋" w:eastAsia="仿宋" w:cs="仿宋"/>
          <w:b/>
          <w:bCs/>
          <w:snapToGrid w:val="0"/>
          <w:color w:val="auto"/>
          <w:kern w:val="28"/>
          <w:sz w:val="24"/>
          <w:szCs w:val="20"/>
          <w:highlight w:val="none"/>
          <w:u w:val="single"/>
          <w:lang w:val="en-US" w:eastAsia="zh-CN"/>
        </w:rPr>
      </w:pPr>
      <w:r>
        <w:rPr>
          <w:rFonts w:hint="eastAsia" w:ascii="仿宋" w:hAnsi="仿宋" w:eastAsia="仿宋" w:cs="仿宋"/>
          <w:b/>
          <w:bCs/>
          <w:snapToGrid w:val="0"/>
          <w:color w:val="auto"/>
          <w:kern w:val="28"/>
          <w:sz w:val="24"/>
          <w:szCs w:val="20"/>
          <w:highlight w:val="none"/>
        </w:rPr>
        <w:t xml:space="preserve">    </w:t>
      </w:r>
      <w:r>
        <w:rPr>
          <w:rFonts w:hint="eastAsia" w:ascii="仿宋" w:hAnsi="仿宋" w:eastAsia="仿宋" w:cs="仿宋"/>
          <w:b/>
          <w:bCs/>
          <w:snapToGrid w:val="0"/>
          <w:color w:val="auto"/>
          <w:kern w:val="28"/>
          <w:sz w:val="24"/>
          <w:szCs w:val="20"/>
          <w:highlight w:val="none"/>
          <w:lang w:val="en-US" w:eastAsia="zh-CN"/>
        </w:rPr>
        <w:t xml:space="preserve"> </w:t>
      </w:r>
      <w:r>
        <w:rPr>
          <w:rFonts w:hint="eastAsia" w:ascii="仿宋" w:hAnsi="仿宋" w:eastAsia="仿宋" w:cs="仿宋"/>
          <w:b/>
          <w:bCs/>
          <w:snapToGrid w:val="0"/>
          <w:color w:val="auto"/>
          <w:kern w:val="28"/>
          <w:sz w:val="24"/>
          <w:szCs w:val="20"/>
          <w:highlight w:val="none"/>
        </w:rPr>
        <w:t>数量:</w:t>
      </w:r>
      <w:r>
        <w:rPr>
          <w:rFonts w:hint="eastAsia" w:ascii="仿宋" w:hAnsi="仿宋" w:eastAsia="仿宋" w:cs="仿宋"/>
          <w:b/>
          <w:bCs/>
          <w:snapToGrid w:val="0"/>
          <w:color w:val="auto"/>
          <w:kern w:val="28"/>
          <w:sz w:val="24"/>
          <w:szCs w:val="20"/>
          <w:highlight w:val="none"/>
          <w:u w:val="single"/>
          <w:lang w:val="en-US" w:eastAsia="zh-CN"/>
        </w:rPr>
        <w:t>1项</w:t>
      </w:r>
    </w:p>
    <w:p>
      <w:pPr>
        <w:spacing w:line="360" w:lineRule="auto"/>
        <w:ind w:firstLine="480"/>
        <w:rPr>
          <w:rFonts w:hint="default" w:ascii="仿宋" w:hAnsi="仿宋" w:eastAsia="仿宋" w:cs="仿宋"/>
          <w:b/>
          <w:bCs/>
          <w:snapToGrid w:val="0"/>
          <w:color w:val="auto"/>
          <w:kern w:val="28"/>
          <w:sz w:val="24"/>
          <w:szCs w:val="20"/>
          <w:highlight w:val="none"/>
          <w:lang w:val="en-US" w:eastAsia="zh-CN"/>
        </w:rPr>
      </w:pPr>
      <w:r>
        <w:rPr>
          <w:rFonts w:hint="eastAsia" w:ascii="仿宋" w:hAnsi="仿宋" w:eastAsia="仿宋" w:cs="仿宋"/>
          <w:b/>
          <w:bCs/>
          <w:snapToGrid w:val="0"/>
          <w:color w:val="auto"/>
          <w:kern w:val="28"/>
          <w:sz w:val="24"/>
          <w:szCs w:val="20"/>
          <w:highlight w:val="none"/>
        </w:rPr>
        <w:t xml:space="preserve">    </w:t>
      </w:r>
      <w:r>
        <w:rPr>
          <w:rFonts w:hint="eastAsia" w:ascii="仿宋" w:hAnsi="仿宋" w:eastAsia="仿宋" w:cs="仿宋"/>
          <w:b/>
          <w:bCs/>
          <w:snapToGrid w:val="0"/>
          <w:color w:val="auto"/>
          <w:kern w:val="28"/>
          <w:sz w:val="24"/>
          <w:szCs w:val="20"/>
          <w:highlight w:val="none"/>
          <w:lang w:val="en-US" w:eastAsia="zh-CN"/>
        </w:rPr>
        <w:t xml:space="preserve"> </w:t>
      </w:r>
      <w:r>
        <w:rPr>
          <w:rFonts w:hint="eastAsia" w:ascii="仿宋" w:hAnsi="仿宋" w:eastAsia="仿宋" w:cs="仿宋"/>
          <w:b/>
          <w:bCs/>
          <w:snapToGrid w:val="0"/>
          <w:color w:val="auto"/>
          <w:kern w:val="28"/>
          <w:sz w:val="24"/>
          <w:szCs w:val="20"/>
          <w:highlight w:val="none"/>
        </w:rPr>
        <w:t>预算金额（元）:</w:t>
      </w:r>
      <w:r>
        <w:rPr>
          <w:rFonts w:hint="eastAsia" w:ascii="仿宋" w:hAnsi="仿宋" w:eastAsia="仿宋" w:cs="仿宋"/>
          <w:b/>
          <w:bCs/>
          <w:snapToGrid w:val="0"/>
          <w:color w:val="auto"/>
          <w:kern w:val="28"/>
          <w:sz w:val="24"/>
          <w:szCs w:val="20"/>
          <w:highlight w:val="none"/>
          <w:lang w:val="en-US" w:eastAsia="zh-CN"/>
        </w:rPr>
        <w:t>10550000</w:t>
      </w:r>
    </w:p>
    <w:p>
      <w:pPr>
        <w:spacing w:line="360" w:lineRule="auto"/>
        <w:ind w:firstLine="480"/>
        <w:rPr>
          <w:rFonts w:hint="eastAsia" w:ascii="仿宋" w:hAnsi="仿宋" w:eastAsia="仿宋" w:cs="仿宋"/>
          <w:b/>
          <w:color w:val="auto"/>
          <w:sz w:val="24"/>
          <w:highlight w:val="none"/>
          <w:u w:val="none"/>
          <w:lang w:val="en-US" w:eastAsia="zh-CN"/>
        </w:rPr>
      </w:pPr>
      <w:r>
        <w:rPr>
          <w:rFonts w:hint="eastAsia" w:ascii="仿宋" w:hAnsi="仿宋" w:eastAsia="仿宋" w:cs="仿宋"/>
          <w:b/>
          <w:bCs/>
          <w:snapToGrid w:val="0"/>
          <w:color w:val="auto"/>
          <w:kern w:val="28"/>
          <w:sz w:val="24"/>
          <w:szCs w:val="20"/>
          <w:highlight w:val="none"/>
        </w:rPr>
        <w:t xml:space="preserve">    </w:t>
      </w:r>
      <w:r>
        <w:rPr>
          <w:rFonts w:hint="eastAsia" w:ascii="仿宋" w:hAnsi="仿宋" w:eastAsia="仿宋" w:cs="仿宋"/>
          <w:b/>
          <w:bCs/>
          <w:snapToGrid w:val="0"/>
          <w:color w:val="auto"/>
          <w:kern w:val="28"/>
          <w:sz w:val="24"/>
          <w:szCs w:val="20"/>
          <w:highlight w:val="none"/>
          <w:lang w:val="en-US" w:eastAsia="zh-CN"/>
        </w:rPr>
        <w:t xml:space="preserve"> </w:t>
      </w:r>
      <w:r>
        <w:rPr>
          <w:rFonts w:hint="eastAsia" w:ascii="仿宋" w:hAnsi="仿宋" w:eastAsia="仿宋" w:cs="仿宋"/>
          <w:b/>
          <w:bCs/>
          <w:snapToGrid w:val="0"/>
          <w:color w:val="auto"/>
          <w:kern w:val="28"/>
          <w:sz w:val="24"/>
          <w:szCs w:val="20"/>
          <w:highlight w:val="none"/>
        </w:rPr>
        <w:t>简要规格描述或项目基本概况介绍、用途：</w:t>
      </w:r>
      <w:r>
        <w:rPr>
          <w:rFonts w:hint="eastAsia" w:ascii="仿宋" w:hAnsi="仿宋" w:eastAsia="仿宋" w:cs="仿宋"/>
          <w:b/>
          <w:color w:val="auto"/>
          <w:sz w:val="24"/>
          <w:highlight w:val="none"/>
          <w:u w:val="none"/>
          <w:lang w:val="en-US" w:eastAsia="zh-CN"/>
        </w:rPr>
        <w:t>主要内容包括对鹿城区范围内地下管线全部重新测绘、普查与建库；对现有数据核查全面核实、补充调查与建库等，具体详见招标文件第三部分采购需求。</w:t>
      </w:r>
    </w:p>
    <w:p>
      <w:pPr>
        <w:spacing w:line="360" w:lineRule="auto"/>
        <w:ind w:firstLine="480"/>
        <w:rPr>
          <w:rFonts w:hint="eastAsia" w:ascii="仿宋" w:hAnsi="仿宋" w:eastAsia="仿宋" w:cs="仿宋"/>
          <w:b/>
          <w:bCs/>
          <w:snapToGrid w:val="0"/>
          <w:color w:val="auto"/>
          <w:kern w:val="28"/>
          <w:sz w:val="24"/>
          <w:szCs w:val="20"/>
          <w:highlight w:val="none"/>
          <w:u w:val="single"/>
          <w:lang w:val="en-US" w:eastAsia="zh-CN"/>
        </w:rPr>
      </w:pPr>
      <w:r>
        <w:rPr>
          <w:rFonts w:hint="eastAsia" w:ascii="仿宋" w:hAnsi="仿宋" w:eastAsia="仿宋" w:cs="仿宋"/>
          <w:b/>
          <w:bCs/>
          <w:snapToGrid w:val="0"/>
          <w:color w:val="auto"/>
          <w:kern w:val="28"/>
          <w:sz w:val="24"/>
          <w:szCs w:val="20"/>
          <w:highlight w:val="none"/>
        </w:rPr>
        <w:t>备注：</w:t>
      </w:r>
      <w:r>
        <w:rPr>
          <w:rFonts w:hint="eastAsia" w:ascii="仿宋" w:hAnsi="仿宋" w:eastAsia="仿宋" w:cs="仿宋"/>
          <w:b/>
          <w:bCs/>
          <w:snapToGrid w:val="0"/>
          <w:color w:val="auto"/>
          <w:kern w:val="28"/>
          <w:sz w:val="24"/>
          <w:szCs w:val="20"/>
          <w:highlight w:val="none"/>
          <w:u w:val="single"/>
          <w:lang w:val="en-US" w:eastAsia="zh-CN"/>
        </w:rPr>
        <w:t xml:space="preserve">             </w:t>
      </w:r>
    </w:p>
    <w:p>
      <w:pPr>
        <w:pStyle w:val="326"/>
        <w:ind w:firstLine="480"/>
        <w:outlineLvl w:val="2"/>
        <w:rPr>
          <w:rFonts w:hint="eastAsia" w:ascii="仿宋" w:hAnsi="仿宋" w:eastAsia="仿宋" w:cs="仿宋"/>
          <w:b w:val="0"/>
          <w:bCs/>
          <w:color w:val="auto"/>
          <w:highlight w:val="none"/>
        </w:rPr>
      </w:pPr>
      <w:r>
        <w:rPr>
          <w:rFonts w:hint="eastAsia" w:ascii="仿宋" w:hAnsi="仿宋" w:eastAsia="仿宋" w:cs="仿宋"/>
          <w:b/>
          <w:color w:val="auto"/>
          <w:highlight w:val="none"/>
        </w:rPr>
        <w:t>合同履约期限：</w:t>
      </w:r>
      <w:bookmarkEnd w:id="11"/>
      <w:bookmarkEnd w:id="12"/>
      <w:bookmarkEnd w:id="13"/>
      <w:r>
        <w:rPr>
          <w:rFonts w:hint="eastAsia" w:ascii="仿宋" w:hAnsi="仿宋" w:eastAsia="仿宋" w:cs="仿宋"/>
          <w:b w:val="0"/>
          <w:bCs/>
          <w:color w:val="auto"/>
          <w:highlight w:val="none"/>
        </w:rPr>
        <w:t>1</w:t>
      </w:r>
      <w:r>
        <w:rPr>
          <w:rFonts w:hint="eastAsia" w:ascii="仿宋" w:hAnsi="仿宋" w:eastAsia="仿宋" w:cs="仿宋"/>
          <w:b w:val="0"/>
          <w:bCs/>
          <w:color w:val="auto"/>
          <w:highlight w:val="none"/>
          <w:lang w:eastAsia="zh-CN"/>
        </w:rPr>
        <w:t>、2022年11月底前完成全部普查及建库工作</w:t>
      </w:r>
      <w:r>
        <w:rPr>
          <w:rFonts w:hint="eastAsia" w:ascii="仿宋" w:hAnsi="仿宋" w:eastAsia="仿宋" w:cs="仿宋"/>
          <w:b w:val="0"/>
          <w:bCs/>
          <w:color w:val="auto"/>
          <w:highlight w:val="none"/>
        </w:rPr>
        <w:t>，并出具相关数据成果。</w:t>
      </w:r>
      <w:r>
        <w:rPr>
          <w:rFonts w:hint="eastAsia" w:ascii="仿宋" w:hAnsi="仿宋" w:eastAsia="仿宋" w:cs="仿宋"/>
          <w:b w:val="0"/>
          <w:bCs/>
          <w:color w:val="auto"/>
          <w:highlight w:val="none"/>
          <w:lang w:val="en-US" w:eastAsia="zh-CN"/>
        </w:rPr>
        <w:t>2</w:t>
      </w:r>
      <w:r>
        <w:rPr>
          <w:rFonts w:hint="eastAsia" w:ascii="仿宋" w:hAnsi="仿宋" w:eastAsia="仿宋" w:cs="仿宋"/>
          <w:b w:val="0"/>
          <w:bCs/>
          <w:color w:val="auto"/>
          <w:highlight w:val="none"/>
        </w:rPr>
        <w:t>、2022年12月底前完成项目全部工作内容并通过验收，绘制城市地下市政基础设施“一张图”，并向省自然资源厅汇交普查成果。</w:t>
      </w:r>
    </w:p>
    <w:p>
      <w:pPr>
        <w:pStyle w:val="19"/>
        <w:spacing w:line="360" w:lineRule="auto"/>
        <w:ind w:firstLine="480"/>
        <w:rPr>
          <w:rFonts w:hint="eastAsia" w:ascii="仿宋" w:hAnsi="仿宋" w:eastAsia="仿宋" w:cs="仿宋"/>
          <w:b w:val="0"/>
          <w:bCs/>
          <w:color w:val="auto"/>
          <w:kern w:val="0"/>
          <w:sz w:val="24"/>
          <w:highlight w:val="none"/>
        </w:rPr>
      </w:pPr>
      <w:r>
        <w:rPr>
          <w:rFonts w:hint="eastAsia" w:ascii="仿宋" w:hAnsi="仿宋" w:eastAsia="仿宋" w:cs="仿宋"/>
          <w:b w:val="0"/>
          <w:bCs/>
          <w:color w:val="auto"/>
          <w:sz w:val="24"/>
          <w:highlight w:val="none"/>
        </w:rPr>
        <w:t>本项目</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kern w:val="0"/>
          <w:sz w:val="24"/>
          <w:highlight w:val="none"/>
        </w:rPr>
        <w:sym w:font="Wingdings" w:char="00FE"/>
      </w:r>
      <w:r>
        <w:rPr>
          <w:rFonts w:hint="eastAsia" w:ascii="仿宋" w:hAnsi="仿宋" w:eastAsia="仿宋" w:cs="仿宋"/>
          <w:b w:val="0"/>
          <w:bCs/>
          <w:color w:val="auto"/>
          <w:sz w:val="24"/>
          <w:highlight w:val="none"/>
        </w:rPr>
        <w:t>是，</w:t>
      </w:r>
      <w:r>
        <w:rPr>
          <w:rFonts w:hint="eastAsia" w:ascii="仿宋" w:hAnsi="仿宋" w:eastAsia="仿宋" w:cs="仿宋"/>
          <w:b w:val="0"/>
          <w:bCs/>
          <w:color w:val="auto"/>
          <w:kern w:val="0"/>
          <w:sz w:val="24"/>
          <w:highlight w:val="none"/>
        </w:rPr>
        <w:sym w:font="Wingdings" w:char="00A8"/>
      </w:r>
      <w:r>
        <w:rPr>
          <w:rFonts w:hint="eastAsia" w:ascii="仿宋" w:hAnsi="仿宋" w:eastAsia="仿宋" w:cs="仿宋"/>
          <w:b w:val="0"/>
          <w:bCs/>
          <w:color w:val="auto"/>
          <w:sz w:val="24"/>
          <w:highlight w:val="none"/>
        </w:rPr>
        <w:t>否</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rPr>
        <w:t>接受联合体投标</w:t>
      </w:r>
      <w:r>
        <w:rPr>
          <w:rFonts w:hint="eastAsia" w:ascii="仿宋" w:hAnsi="仿宋" w:eastAsia="仿宋" w:cs="仿宋"/>
          <w:b w:val="0"/>
          <w:bCs/>
          <w:color w:val="auto"/>
          <w:kern w:val="0"/>
          <w:sz w:val="24"/>
          <w:highlight w:val="none"/>
        </w:rPr>
        <w:t>。</w:t>
      </w:r>
    </w:p>
    <w:p>
      <w:pPr>
        <w:spacing w:line="360" w:lineRule="auto"/>
        <w:ind w:firstLine="480"/>
        <w:rPr>
          <w:rFonts w:hint="eastAsia" w:ascii="仿宋" w:hAnsi="仿宋" w:eastAsia="仿宋" w:cs="仿宋"/>
          <w:snapToGrid w:val="0"/>
          <w:color w:val="auto"/>
          <w:kern w:val="28"/>
          <w:sz w:val="24"/>
          <w:szCs w:val="20"/>
          <w:highlight w:val="none"/>
          <w:lang w:eastAsia="zh-CN"/>
        </w:rPr>
      </w:pPr>
      <w:r>
        <w:rPr>
          <w:rFonts w:hint="eastAsia" w:ascii="仿宋" w:hAnsi="仿宋" w:eastAsia="仿宋" w:cs="仿宋"/>
          <w:snapToGrid w:val="0"/>
          <w:color w:val="auto"/>
          <w:kern w:val="28"/>
          <w:sz w:val="24"/>
          <w:szCs w:val="20"/>
          <w:highlight w:val="none"/>
          <w:lang w:eastAsia="zh-CN"/>
        </w:rPr>
        <w:t>标项二：</w:t>
      </w:r>
    </w:p>
    <w:p>
      <w:pPr>
        <w:spacing w:line="360" w:lineRule="auto"/>
        <w:ind w:firstLine="480"/>
        <w:rPr>
          <w:rFonts w:hint="eastAsia" w:ascii="仿宋" w:hAnsi="仿宋" w:eastAsia="仿宋" w:cs="仿宋"/>
          <w:b/>
          <w:bCs/>
          <w:snapToGrid w:val="0"/>
          <w:color w:val="auto"/>
          <w:kern w:val="28"/>
          <w:sz w:val="24"/>
          <w:szCs w:val="20"/>
          <w:highlight w:val="none"/>
          <w:lang w:val="en-US" w:eastAsia="zh-CN"/>
        </w:rPr>
      </w:pPr>
      <w:r>
        <w:rPr>
          <w:rFonts w:hint="eastAsia" w:ascii="仿宋" w:hAnsi="仿宋" w:eastAsia="仿宋" w:cs="仿宋"/>
          <w:b/>
          <w:bCs/>
          <w:snapToGrid w:val="0"/>
          <w:color w:val="auto"/>
          <w:kern w:val="28"/>
          <w:sz w:val="24"/>
          <w:szCs w:val="20"/>
          <w:highlight w:val="none"/>
        </w:rPr>
        <w:t>标项名称:</w:t>
      </w:r>
      <w:r>
        <w:rPr>
          <w:rFonts w:hint="eastAsia" w:ascii="仿宋" w:hAnsi="仿宋" w:eastAsia="仿宋" w:cs="仿宋"/>
          <w:b/>
          <w:bCs/>
          <w:snapToGrid w:val="0"/>
          <w:color w:val="auto"/>
          <w:kern w:val="28"/>
          <w:sz w:val="24"/>
          <w:szCs w:val="20"/>
          <w:highlight w:val="none"/>
          <w:lang w:val="en-US" w:eastAsia="zh-CN"/>
        </w:rPr>
        <w:t>温州经济技术开发区地下市政基础设施普查（地下管线及其附属设施部分）监理服务</w:t>
      </w:r>
    </w:p>
    <w:p>
      <w:pPr>
        <w:spacing w:line="360" w:lineRule="auto"/>
        <w:ind w:firstLine="480"/>
        <w:rPr>
          <w:rFonts w:hint="eastAsia" w:ascii="仿宋" w:hAnsi="仿宋" w:eastAsia="仿宋" w:cs="仿宋"/>
          <w:b/>
          <w:bCs/>
          <w:snapToGrid w:val="0"/>
          <w:color w:val="auto"/>
          <w:kern w:val="28"/>
          <w:sz w:val="24"/>
          <w:szCs w:val="20"/>
          <w:highlight w:val="none"/>
          <w:u w:val="single"/>
          <w:lang w:val="en-US" w:eastAsia="zh-CN"/>
        </w:rPr>
      </w:pPr>
      <w:r>
        <w:rPr>
          <w:rFonts w:hint="eastAsia" w:ascii="仿宋" w:hAnsi="仿宋" w:eastAsia="仿宋" w:cs="仿宋"/>
          <w:b/>
          <w:bCs/>
          <w:snapToGrid w:val="0"/>
          <w:color w:val="auto"/>
          <w:kern w:val="28"/>
          <w:sz w:val="24"/>
          <w:szCs w:val="20"/>
          <w:highlight w:val="none"/>
        </w:rPr>
        <w:t xml:space="preserve">    </w:t>
      </w:r>
      <w:r>
        <w:rPr>
          <w:rFonts w:hint="eastAsia" w:ascii="仿宋" w:hAnsi="仿宋" w:eastAsia="仿宋" w:cs="仿宋"/>
          <w:b/>
          <w:bCs/>
          <w:snapToGrid w:val="0"/>
          <w:color w:val="auto"/>
          <w:kern w:val="28"/>
          <w:sz w:val="24"/>
          <w:szCs w:val="20"/>
          <w:highlight w:val="none"/>
          <w:lang w:val="en-US" w:eastAsia="zh-CN"/>
        </w:rPr>
        <w:t xml:space="preserve"> </w:t>
      </w:r>
      <w:r>
        <w:rPr>
          <w:rFonts w:hint="eastAsia" w:ascii="仿宋" w:hAnsi="仿宋" w:eastAsia="仿宋" w:cs="仿宋"/>
          <w:b/>
          <w:bCs/>
          <w:snapToGrid w:val="0"/>
          <w:color w:val="auto"/>
          <w:kern w:val="28"/>
          <w:sz w:val="24"/>
          <w:szCs w:val="20"/>
          <w:highlight w:val="none"/>
        </w:rPr>
        <w:t>数量:</w:t>
      </w:r>
      <w:r>
        <w:rPr>
          <w:rFonts w:hint="eastAsia" w:ascii="仿宋" w:hAnsi="仿宋" w:eastAsia="仿宋" w:cs="仿宋"/>
          <w:b/>
          <w:bCs/>
          <w:snapToGrid w:val="0"/>
          <w:color w:val="auto"/>
          <w:kern w:val="28"/>
          <w:sz w:val="24"/>
          <w:szCs w:val="20"/>
          <w:highlight w:val="none"/>
          <w:u w:val="single"/>
          <w:lang w:val="en-US" w:eastAsia="zh-CN"/>
        </w:rPr>
        <w:t>1项</w:t>
      </w:r>
    </w:p>
    <w:p>
      <w:pPr>
        <w:spacing w:line="360" w:lineRule="auto"/>
        <w:ind w:firstLine="480"/>
        <w:rPr>
          <w:rFonts w:hint="eastAsia" w:ascii="仿宋" w:hAnsi="仿宋" w:eastAsia="仿宋" w:cs="仿宋"/>
          <w:b/>
          <w:bCs/>
          <w:snapToGrid w:val="0"/>
          <w:color w:val="auto"/>
          <w:kern w:val="28"/>
          <w:sz w:val="24"/>
          <w:szCs w:val="20"/>
          <w:highlight w:val="none"/>
          <w:lang w:val="en-US" w:eastAsia="zh-CN"/>
        </w:rPr>
      </w:pPr>
      <w:r>
        <w:rPr>
          <w:rFonts w:hint="eastAsia" w:ascii="仿宋" w:hAnsi="仿宋" w:eastAsia="仿宋" w:cs="仿宋"/>
          <w:b/>
          <w:bCs/>
          <w:snapToGrid w:val="0"/>
          <w:color w:val="auto"/>
          <w:kern w:val="28"/>
          <w:sz w:val="24"/>
          <w:szCs w:val="20"/>
          <w:highlight w:val="none"/>
        </w:rPr>
        <w:t xml:space="preserve">    </w:t>
      </w:r>
      <w:r>
        <w:rPr>
          <w:rFonts w:hint="eastAsia" w:ascii="仿宋" w:hAnsi="仿宋" w:eastAsia="仿宋" w:cs="仿宋"/>
          <w:b/>
          <w:bCs/>
          <w:snapToGrid w:val="0"/>
          <w:color w:val="auto"/>
          <w:kern w:val="28"/>
          <w:sz w:val="24"/>
          <w:szCs w:val="20"/>
          <w:highlight w:val="none"/>
          <w:lang w:val="en-US" w:eastAsia="zh-CN"/>
        </w:rPr>
        <w:t xml:space="preserve"> </w:t>
      </w:r>
      <w:r>
        <w:rPr>
          <w:rFonts w:hint="eastAsia" w:ascii="仿宋" w:hAnsi="仿宋" w:eastAsia="仿宋" w:cs="仿宋"/>
          <w:b/>
          <w:bCs/>
          <w:snapToGrid w:val="0"/>
          <w:color w:val="auto"/>
          <w:kern w:val="28"/>
          <w:sz w:val="24"/>
          <w:szCs w:val="20"/>
          <w:highlight w:val="none"/>
        </w:rPr>
        <w:t>预算金额（元）:</w:t>
      </w:r>
      <w:r>
        <w:rPr>
          <w:rFonts w:hint="eastAsia" w:ascii="仿宋" w:hAnsi="仿宋" w:eastAsia="仿宋" w:cs="仿宋"/>
          <w:b/>
          <w:bCs/>
          <w:snapToGrid w:val="0"/>
          <w:color w:val="auto"/>
          <w:kern w:val="28"/>
          <w:sz w:val="24"/>
          <w:szCs w:val="20"/>
          <w:highlight w:val="none"/>
          <w:lang w:val="en-US" w:eastAsia="zh-CN"/>
        </w:rPr>
        <w:t>610000</w:t>
      </w:r>
    </w:p>
    <w:p>
      <w:pPr>
        <w:spacing w:line="360" w:lineRule="auto"/>
        <w:ind w:firstLine="480"/>
        <w:rPr>
          <w:rFonts w:hint="eastAsia" w:ascii="仿宋" w:hAnsi="仿宋" w:eastAsia="仿宋" w:cs="仿宋"/>
          <w:b/>
          <w:color w:val="auto"/>
          <w:sz w:val="24"/>
          <w:highlight w:val="none"/>
          <w:u w:val="none"/>
          <w:lang w:val="en-US" w:eastAsia="zh-CN"/>
        </w:rPr>
      </w:pPr>
      <w:r>
        <w:rPr>
          <w:rFonts w:hint="eastAsia" w:ascii="仿宋" w:hAnsi="仿宋" w:eastAsia="仿宋" w:cs="仿宋"/>
          <w:b/>
          <w:bCs/>
          <w:snapToGrid w:val="0"/>
          <w:color w:val="auto"/>
          <w:kern w:val="28"/>
          <w:sz w:val="24"/>
          <w:szCs w:val="20"/>
          <w:highlight w:val="none"/>
        </w:rPr>
        <w:t xml:space="preserve">    </w:t>
      </w:r>
      <w:r>
        <w:rPr>
          <w:rFonts w:hint="eastAsia" w:ascii="仿宋" w:hAnsi="仿宋" w:eastAsia="仿宋" w:cs="仿宋"/>
          <w:b/>
          <w:bCs/>
          <w:snapToGrid w:val="0"/>
          <w:color w:val="auto"/>
          <w:kern w:val="28"/>
          <w:sz w:val="24"/>
          <w:szCs w:val="20"/>
          <w:highlight w:val="none"/>
          <w:lang w:val="en-US" w:eastAsia="zh-CN"/>
        </w:rPr>
        <w:t xml:space="preserve"> </w:t>
      </w:r>
      <w:r>
        <w:rPr>
          <w:rFonts w:hint="eastAsia" w:ascii="仿宋" w:hAnsi="仿宋" w:eastAsia="仿宋" w:cs="仿宋"/>
          <w:b/>
          <w:bCs/>
          <w:snapToGrid w:val="0"/>
          <w:color w:val="auto"/>
          <w:kern w:val="28"/>
          <w:sz w:val="24"/>
          <w:szCs w:val="20"/>
          <w:highlight w:val="none"/>
        </w:rPr>
        <w:t>简要规格描述或项目基本概况介绍、用途：</w:t>
      </w:r>
      <w:r>
        <w:rPr>
          <w:rFonts w:hint="eastAsia" w:ascii="仿宋" w:hAnsi="仿宋" w:eastAsia="仿宋" w:cs="仿宋"/>
          <w:b/>
          <w:bCs/>
          <w:snapToGrid w:val="0"/>
          <w:color w:val="auto"/>
          <w:kern w:val="28"/>
          <w:sz w:val="24"/>
          <w:szCs w:val="20"/>
          <w:highlight w:val="none"/>
          <w:lang w:val="en-US" w:eastAsia="zh-CN"/>
        </w:rPr>
        <w:t>温州经济技术开发区地下市政基础设施普查（地下管线及其附属设施部分）监理服务</w:t>
      </w:r>
      <w:r>
        <w:rPr>
          <w:rFonts w:hint="eastAsia" w:ascii="仿宋" w:hAnsi="仿宋" w:eastAsia="仿宋" w:cs="仿宋"/>
          <w:b/>
          <w:color w:val="auto"/>
          <w:sz w:val="24"/>
          <w:highlight w:val="none"/>
          <w:u w:val="none"/>
          <w:lang w:val="en-US" w:eastAsia="zh-CN"/>
        </w:rPr>
        <w:t>，具体详见招标文件第三部分采购需求。</w:t>
      </w:r>
    </w:p>
    <w:p>
      <w:pPr>
        <w:spacing w:line="360" w:lineRule="auto"/>
        <w:ind w:firstLine="480"/>
        <w:rPr>
          <w:rFonts w:hint="eastAsia" w:ascii="仿宋" w:hAnsi="仿宋" w:eastAsia="仿宋" w:cs="仿宋"/>
          <w:b/>
          <w:bCs/>
          <w:snapToGrid w:val="0"/>
          <w:color w:val="auto"/>
          <w:kern w:val="28"/>
          <w:sz w:val="24"/>
          <w:szCs w:val="20"/>
          <w:highlight w:val="none"/>
          <w:u w:val="single"/>
          <w:lang w:val="en-US" w:eastAsia="zh-CN"/>
        </w:rPr>
      </w:pPr>
      <w:r>
        <w:rPr>
          <w:rFonts w:hint="eastAsia" w:ascii="仿宋" w:hAnsi="仿宋" w:eastAsia="仿宋" w:cs="仿宋"/>
          <w:b/>
          <w:bCs/>
          <w:snapToGrid w:val="0"/>
          <w:color w:val="auto"/>
          <w:kern w:val="28"/>
          <w:sz w:val="24"/>
          <w:szCs w:val="20"/>
          <w:highlight w:val="none"/>
        </w:rPr>
        <w:t>备注：</w:t>
      </w:r>
      <w:r>
        <w:rPr>
          <w:rFonts w:hint="eastAsia" w:ascii="仿宋" w:hAnsi="仿宋" w:eastAsia="仿宋" w:cs="仿宋"/>
          <w:b/>
          <w:bCs/>
          <w:snapToGrid w:val="0"/>
          <w:color w:val="auto"/>
          <w:kern w:val="28"/>
          <w:sz w:val="24"/>
          <w:szCs w:val="20"/>
          <w:highlight w:val="none"/>
          <w:u w:val="single"/>
          <w:lang w:val="en-US" w:eastAsia="zh-CN"/>
        </w:rPr>
        <w:t xml:space="preserve">             </w:t>
      </w:r>
    </w:p>
    <w:p>
      <w:pPr>
        <w:pStyle w:val="326"/>
        <w:ind w:firstLine="480"/>
        <w:outlineLvl w:val="2"/>
        <w:rPr>
          <w:rFonts w:hint="eastAsia" w:ascii="仿宋" w:hAnsi="仿宋" w:eastAsia="仿宋" w:cs="仿宋"/>
          <w:color w:val="auto"/>
          <w:highlight w:val="none"/>
        </w:rPr>
      </w:pPr>
      <w:r>
        <w:rPr>
          <w:rFonts w:hint="eastAsia" w:ascii="仿宋" w:hAnsi="仿宋" w:eastAsia="仿宋" w:cs="仿宋"/>
          <w:b/>
          <w:color w:val="auto"/>
          <w:highlight w:val="none"/>
        </w:rPr>
        <w:t>合同履约期限：自普查服务单位工作开始至普查项目验收通过，普查成果提交省自然资源厅且录入采购人指定系统</w:t>
      </w:r>
      <w:r>
        <w:rPr>
          <w:rFonts w:hint="eastAsia" w:ascii="仿宋" w:hAnsi="仿宋" w:eastAsia="仿宋" w:cs="仿宋"/>
          <w:b/>
          <w:color w:val="auto"/>
          <w:highlight w:val="none"/>
          <w:lang w:eastAsia="zh-CN"/>
        </w:rPr>
        <w:t>并</w:t>
      </w:r>
      <w:r>
        <w:rPr>
          <w:rFonts w:hint="eastAsia" w:ascii="仿宋" w:hAnsi="仿宋" w:eastAsia="仿宋" w:cs="仿宋"/>
          <w:b/>
          <w:color w:val="auto"/>
          <w:highlight w:val="none"/>
          <w:lang w:val="en-US" w:eastAsia="zh-CN"/>
        </w:rPr>
        <w:t>接入一张图管理系统</w:t>
      </w:r>
      <w:r>
        <w:rPr>
          <w:rFonts w:hint="eastAsia" w:ascii="仿宋" w:hAnsi="仿宋" w:eastAsia="仿宋" w:cs="仿宋"/>
          <w:b/>
          <w:color w:val="auto"/>
          <w:highlight w:val="none"/>
        </w:rPr>
        <w:t>可正常使用后为止</w:t>
      </w:r>
      <w:r>
        <w:rPr>
          <w:rFonts w:hint="eastAsia" w:ascii="仿宋" w:hAnsi="仿宋" w:eastAsia="仿宋" w:cs="仿宋"/>
          <w:color w:val="auto"/>
          <w:highlight w:val="none"/>
        </w:rPr>
        <w:t>。</w:t>
      </w:r>
      <w:r>
        <w:rPr>
          <w:rFonts w:hint="eastAsia" w:ascii="仿宋" w:hAnsi="仿宋" w:eastAsia="仿宋" w:cs="仿宋"/>
          <w:color w:val="auto"/>
          <w:sz w:val="24"/>
          <w:highlight w:val="none"/>
        </w:rPr>
        <w:t xml:space="preserve"> </w:t>
      </w:r>
    </w:p>
    <w:p>
      <w:pPr>
        <w:pStyle w:val="19"/>
        <w:spacing w:line="360" w:lineRule="auto"/>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w:t>
      </w:r>
      <w:r>
        <w:rPr>
          <w:rFonts w:hint="eastAsia" w:ascii="仿宋" w:hAnsi="仿宋" w:eastAsia="仿宋" w:cs="仿宋"/>
          <w:b/>
          <w:color w:val="auto"/>
          <w:sz w:val="24"/>
          <w:highlight w:val="none"/>
          <w:lang w:eastAsia="zh-CN"/>
        </w:rPr>
        <w:t>（</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接受联合体投标</w:t>
      </w:r>
      <w:r>
        <w:rPr>
          <w:rFonts w:hint="eastAsia" w:ascii="仿宋" w:hAnsi="仿宋" w:eastAsia="仿宋" w:cs="仿宋"/>
          <w:color w:val="auto"/>
          <w:kern w:val="0"/>
          <w:sz w:val="24"/>
          <w:highlight w:val="none"/>
        </w:rPr>
        <w:t>。</w:t>
      </w:r>
    </w:p>
    <w:p>
      <w:pPr>
        <w:spacing w:line="360" w:lineRule="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 xml:space="preserve">    2.落实政府采购政策需满足的资格要求：</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p>
    <w:p>
      <w:pPr>
        <w:numPr>
          <w:ilvl w:val="0"/>
          <w:numId w:val="1"/>
        </w:numPr>
        <w:spacing w:line="360" w:lineRule="auto"/>
        <w:ind w:firstLine="480" w:firstLineChars="200"/>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rPr>
        <w:t>本项目的特定资格要求：</w:t>
      </w:r>
      <w:r>
        <w:rPr>
          <w:rFonts w:hint="eastAsia" w:ascii="仿宋" w:hAnsi="仿宋" w:eastAsia="仿宋" w:cs="仿宋"/>
          <w:color w:val="auto"/>
          <w:kern w:val="2"/>
          <w:sz w:val="24"/>
          <w:szCs w:val="20"/>
          <w:highlight w:val="none"/>
          <w:u w:val="single"/>
          <w:lang w:val="en-US" w:eastAsia="zh-CN" w:bidi="ar-SA"/>
        </w:rPr>
        <w:t xml:space="preserve"> 标段一：同时具备地理信息系统工程、工程测量（含地下管线测量）甲级测绘资质。 标段二：同时具备地理信息系统工程监理、工程测量监理甲级测绘资质。</w:t>
      </w:r>
    </w:p>
    <w:p>
      <w:pPr>
        <w:spacing w:line="360" w:lineRule="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bCs/>
          <w:color w:val="auto"/>
          <w:sz w:val="24"/>
          <w:highlight w:val="none"/>
          <w:u w:val="single"/>
        </w:rPr>
        <w:t xml:space="preserve"> </w:t>
      </w:r>
    </w:p>
    <w:p>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，温州市行政审批与公共资源交易服务管理中心（温州市会展路1268号温州市民中心A座3楼，见当日大厅公示栏)</w:t>
      </w:r>
    </w:p>
    <w:p>
      <w:pPr>
        <w:spacing w:line="360" w:lineRule="auto"/>
        <w:outlineLvl w:val="1"/>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其他事项：电子招投标的说明：①电子招投标：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lang w:val="en-US" w:eastAsia="zh-CN"/>
        </w:rPr>
        <w:t>具体操作指南：详见政采云平台“服务中心-帮助文档-项目采购-操作流程-电子招投标-政府采购项目电子交易管理操作指南-供应商”：浙江省政府采购项目政采云平台学习专题https://edu.zcygov.cn/luban/e-biding。</w:t>
      </w:r>
    </w:p>
    <w:p>
      <w:pPr>
        <w:spacing w:line="360" w:lineRule="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spacing w:line="360" w:lineRule="auto"/>
        <w:outlineLvl w:val="2"/>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u w:val="single"/>
          <w:lang w:eastAsia="zh-CN"/>
        </w:rPr>
        <w:t>温州市自然资源和规划局经济技术开发区分局</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u w:val="single"/>
        </w:rPr>
        <w:t>温州</w:t>
      </w:r>
      <w:r>
        <w:rPr>
          <w:rFonts w:hint="eastAsia" w:ascii="仿宋" w:hAnsi="仿宋" w:eastAsia="仿宋" w:cs="仿宋"/>
          <w:color w:val="auto"/>
          <w:sz w:val="24"/>
          <w:highlight w:val="none"/>
          <w:u w:val="single"/>
          <w:lang w:val="en-US" w:eastAsia="zh-CN"/>
        </w:rPr>
        <w:t>经济技术开发区</w:t>
      </w:r>
      <w:r>
        <w:rPr>
          <w:rFonts w:hint="eastAsia" w:ascii="仿宋" w:hAnsi="仿宋" w:eastAsia="仿宋" w:cs="仿宋"/>
          <w:color w:val="auto"/>
          <w:sz w:val="24"/>
          <w:highlight w:val="none"/>
          <w:u w:val="single"/>
          <w:lang w:eastAsia="zh-CN"/>
        </w:rPr>
        <w:t>滨海十七路浙南经济总部大厦</w:t>
      </w:r>
      <w:r>
        <w:rPr>
          <w:rFonts w:hint="eastAsia" w:ascii="仿宋" w:hAnsi="仿宋" w:eastAsia="仿宋" w:cs="仿宋"/>
          <w:color w:val="auto"/>
          <w:sz w:val="24"/>
          <w:highlight w:val="none"/>
          <w:u w:val="single"/>
          <w:lang w:val="en-US" w:eastAsia="zh-CN"/>
        </w:rPr>
        <w:t>7楼</w:t>
      </w:r>
      <w:r>
        <w:rPr>
          <w:rFonts w:hint="eastAsia" w:ascii="仿宋" w:hAnsi="仿宋" w:eastAsia="仿宋" w:cs="仿宋"/>
          <w:color w:val="auto"/>
          <w:sz w:val="24"/>
          <w:highlight w:val="none"/>
        </w:rPr>
        <w:t xml:space="preserve">   </w:t>
      </w:r>
    </w:p>
    <w:p>
      <w:pPr>
        <w:spacing w:line="360" w:lineRule="auto"/>
        <w:ind w:firstLine="480"/>
        <w:rPr>
          <w:rFonts w:hint="eastAsia" w:ascii="仿宋" w:hAnsi="仿宋" w:eastAsia="仿宋" w:cs="仿宋"/>
          <w:color w:val="auto"/>
          <w:highlight w:val="none"/>
          <w:u w:val="singl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highlight w:val="none"/>
          <w:u w:val="single"/>
        </w:rPr>
        <w:tab/>
      </w:r>
      <w:r>
        <w:rPr>
          <w:rFonts w:hint="eastAsia" w:ascii="仿宋" w:hAnsi="仿宋" w:eastAsia="仿宋" w:cs="仿宋"/>
          <w:color w:val="auto"/>
          <w:highlight w:val="none"/>
          <w:u w:val="single"/>
          <w:lang w:val="en-US" w:eastAsia="zh-CN"/>
        </w:rPr>
        <w:t xml:space="preserve">    /            </w:t>
      </w:r>
    </w:p>
    <w:p>
      <w:pPr>
        <w:spacing w:line="360" w:lineRule="auto"/>
        <w:ind w:firstLine="48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项目联系人（询问）：</w:t>
      </w:r>
      <w:r>
        <w:rPr>
          <w:rFonts w:hint="eastAsia" w:ascii="仿宋" w:hAnsi="仿宋" w:eastAsia="仿宋" w:cs="仿宋"/>
          <w:color w:val="auto"/>
          <w:highlight w:val="none"/>
          <w:u w:val="single"/>
        </w:rPr>
        <w:tab/>
      </w:r>
      <w:r>
        <w:rPr>
          <w:rFonts w:hint="eastAsia" w:ascii="仿宋" w:hAnsi="仿宋" w:eastAsia="仿宋" w:cs="仿宋"/>
          <w:color w:val="auto"/>
          <w:sz w:val="24"/>
          <w:highlight w:val="none"/>
          <w:u w:val="single"/>
          <w:lang w:val="en-US" w:eastAsia="zh-CN"/>
        </w:rPr>
        <w:t xml:space="preserve">郑先生   </w:t>
      </w:r>
    </w:p>
    <w:p>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u w:val="single"/>
          <w:lang w:val="en-US" w:eastAsia="zh-CN"/>
        </w:rPr>
        <w:t>0577-89629239</w:t>
      </w:r>
    </w:p>
    <w:p>
      <w:pPr>
        <w:spacing w:line="360" w:lineRule="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u w:val="single"/>
          <w:lang w:val="en-US" w:eastAsia="zh-CN"/>
        </w:rPr>
        <w:t xml:space="preserve">方先生             </w:t>
      </w:r>
    </w:p>
    <w:p>
      <w:pPr>
        <w:spacing w:line="360" w:lineRule="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u w:val="single"/>
          <w:lang w:val="en-US" w:eastAsia="zh-CN"/>
        </w:rPr>
        <w:t xml:space="preserve"> 0577-89889915</w:t>
      </w:r>
    </w:p>
    <w:p>
      <w:pPr>
        <w:spacing w:line="360" w:lineRule="auto"/>
        <w:outlineLvl w:val="2"/>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u w:val="single"/>
          <w:lang w:eastAsia="zh-CN"/>
        </w:rPr>
        <w:t>温州鑫正招标代理有限公司</w:t>
      </w:r>
      <w:r>
        <w:rPr>
          <w:rFonts w:hint="eastAsia" w:ascii="仿宋" w:hAnsi="仿宋" w:eastAsia="仿宋" w:cs="仿宋"/>
          <w:color w:val="auto"/>
          <w:sz w:val="24"/>
          <w:highlight w:val="none"/>
          <w:u w:val="single"/>
          <w:lang w:val="en-US" w:eastAsia="zh-CN"/>
        </w:rPr>
        <w:t xml:space="preserve">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lang w:eastAsia="zh-CN"/>
        </w:rPr>
        <w:t xml:space="preserve">温州市会展路1268号市民中心世界温州人家园1幢903室 </w:t>
      </w:r>
    </w:p>
    <w:p>
      <w:pPr>
        <w:spacing w:line="360" w:lineRule="auto"/>
        <w:ind w:firstLine="480"/>
        <w:rPr>
          <w:rFonts w:hint="eastAsia" w:ascii="仿宋" w:hAnsi="仿宋" w:eastAsia="仿宋" w:cs="仿宋"/>
          <w:color w:val="auto"/>
          <w:highlight w:val="none"/>
          <w:u w:val="singl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lang w:eastAsia="zh-CN"/>
        </w:rPr>
        <w:tab/>
      </w:r>
      <w:r>
        <w:rPr>
          <w:rFonts w:hint="eastAsia" w:ascii="仿宋" w:hAnsi="仿宋" w:eastAsia="仿宋" w:cs="仿宋"/>
          <w:color w:val="auto"/>
          <w:sz w:val="24"/>
          <w:highlight w:val="none"/>
          <w:u w:val="single"/>
          <w:lang w:val="en-US" w:eastAsia="zh-CN"/>
        </w:rPr>
        <w:t xml:space="preserve">                  </w:t>
      </w:r>
    </w:p>
    <w:p>
      <w:pPr>
        <w:spacing w:line="360" w:lineRule="auto"/>
        <w:ind w:firstLine="480"/>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u w:val="single"/>
          <w:lang w:eastAsia="zh-CN"/>
        </w:rPr>
        <w:t>吴先生</w:t>
      </w:r>
      <w:r>
        <w:rPr>
          <w:rFonts w:hint="eastAsia" w:ascii="仿宋" w:hAnsi="仿宋" w:eastAsia="仿宋" w:cs="仿宋"/>
          <w:color w:val="auto"/>
          <w:sz w:val="24"/>
          <w:highlight w:val="none"/>
          <w:u w:val="single"/>
          <w:lang w:eastAsia="zh-CN"/>
        </w:rPr>
        <w:tab/>
      </w:r>
      <w:r>
        <w:rPr>
          <w:rFonts w:hint="eastAsia" w:ascii="仿宋" w:hAnsi="仿宋" w:eastAsia="仿宋" w:cs="仿宋"/>
          <w:color w:val="auto"/>
          <w:sz w:val="24"/>
          <w:highlight w:val="none"/>
          <w:u w:val="single"/>
          <w:lang w:val="en-US" w:eastAsia="zh-CN"/>
        </w:rPr>
        <w:t xml:space="preserve">    </w:t>
      </w:r>
    </w:p>
    <w:p>
      <w:pPr>
        <w:spacing w:line="360" w:lineRule="auto"/>
        <w:ind w:firstLine="480"/>
        <w:rPr>
          <w:rFonts w:hint="eastAsia" w:ascii="仿宋" w:hAnsi="仿宋" w:eastAsia="仿宋" w:cs="仿宋"/>
          <w:color w:val="auto"/>
          <w:highlight w:val="none"/>
          <w:u w:val="singl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b w:val="0"/>
          <w:bCs w:val="0"/>
          <w:color w:val="auto"/>
          <w:sz w:val="24"/>
          <w:highlight w:val="none"/>
          <w:u w:val="single"/>
          <w:lang w:eastAsia="zh-CN"/>
        </w:rPr>
        <w:t>1505878266</w:t>
      </w:r>
      <w:r>
        <w:rPr>
          <w:rFonts w:hint="eastAsia" w:ascii="仿宋" w:hAnsi="仿宋" w:eastAsia="仿宋" w:cs="仿宋"/>
          <w:color w:val="auto"/>
          <w:sz w:val="24"/>
          <w:highlight w:val="none"/>
          <w:u w:val="single"/>
          <w:lang w:eastAsia="zh-CN"/>
        </w:rPr>
        <w:t>9</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u w:val="single"/>
          <w:lang w:eastAsia="zh-CN"/>
        </w:rPr>
        <w:t>张女士</w:t>
      </w:r>
      <w:r>
        <w:rPr>
          <w:rFonts w:hint="eastAsia" w:ascii="仿宋" w:hAnsi="仿宋" w:eastAsia="仿宋" w:cs="仿宋"/>
          <w:color w:val="auto"/>
          <w:highlight w:val="none"/>
          <w:u w:val="single"/>
        </w:rPr>
        <w:tab/>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sz w:val="24"/>
          <w:highlight w:val="none"/>
        </w:rPr>
        <w:t xml:space="preserve">             </w:t>
      </w:r>
    </w:p>
    <w:p>
      <w:pPr>
        <w:spacing w:line="360" w:lineRule="auto"/>
        <w:ind w:firstLine="480"/>
        <w:rPr>
          <w:rFonts w:hint="eastAsia" w:ascii="仿宋" w:hAnsi="仿宋" w:eastAsia="仿宋" w:cs="仿宋"/>
          <w:color w:val="auto"/>
          <w:highlight w:val="none"/>
          <w:u w:val="singl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u w:val="single"/>
          <w:lang w:eastAsia="zh-CN"/>
        </w:rPr>
        <w:t>15058782669</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highlight w:val="none"/>
          <w:u w:val="single"/>
          <w:lang w:val="en-US" w:eastAsia="zh-CN"/>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同级政府采购监管部门</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称：温州经济技术开发区财政局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址：温州市经开区滨海17路350号浙南经济总部大楼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：王先生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监督投诉电话：0577-86998861</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pStyle w:val="7"/>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 xml:space="preserve">                              </w:t>
      </w:r>
    </w:p>
    <w:p>
      <w:pPr>
        <w:numPr>
          <w:ilvl w:val="0"/>
          <w:numId w:val="2"/>
        </w:numPr>
        <w:adjustRightInd/>
        <w:spacing w:line="360" w:lineRule="auto"/>
        <w:jc w:val="center"/>
        <w:outlineLvl w:val="0"/>
        <w:rPr>
          <w:rStyle w:val="82"/>
          <w:rFonts w:hint="eastAsia" w:ascii="仿宋" w:hAnsi="仿宋" w:eastAsia="仿宋" w:cs="仿宋"/>
          <w:color w:val="auto"/>
          <w:highlight w:val="none"/>
        </w:rPr>
      </w:pPr>
      <w:r>
        <w:rPr>
          <w:rFonts w:hint="eastAsia" w:ascii="仿宋" w:hAnsi="仿宋" w:eastAsia="仿宋" w:cs="仿宋"/>
          <w:b/>
          <w:color w:val="auto"/>
          <w:sz w:val="36"/>
          <w:szCs w:val="20"/>
          <w:highlight w:val="none"/>
        </w:rPr>
        <w:br w:type="page"/>
      </w:r>
      <w:bookmarkEnd w:id="8"/>
      <w:bookmarkStart w:id="14" w:name="_Toc26716"/>
      <w:r>
        <w:rPr>
          <w:rStyle w:val="82"/>
          <w:rFonts w:hint="eastAsia" w:ascii="仿宋" w:hAnsi="仿宋" w:eastAsia="仿宋" w:cs="仿宋"/>
          <w:color w:val="auto"/>
          <w:highlight w:val="none"/>
        </w:rPr>
        <w:t>投标人须知</w:t>
      </w:r>
      <w:bookmarkEnd w:id="9"/>
      <w:bookmarkEnd w:id="14"/>
    </w:p>
    <w:p>
      <w:pPr>
        <w:adjustRightInd/>
        <w:spacing w:line="360" w:lineRule="auto"/>
        <w:jc w:val="center"/>
        <w:outlineLvl w:val="0"/>
        <w:rPr>
          <w:rStyle w:val="82"/>
          <w:rFonts w:hint="eastAsia" w:ascii="仿宋" w:hAnsi="仿宋" w:eastAsia="仿宋" w:cs="仿宋"/>
          <w:color w:val="auto"/>
          <w:highlight w:val="none"/>
        </w:rPr>
      </w:pPr>
      <w:bookmarkStart w:id="15" w:name="_Toc3019"/>
      <w:r>
        <w:rPr>
          <w:rStyle w:val="82"/>
          <w:rFonts w:hint="eastAsia" w:ascii="仿宋" w:hAnsi="仿宋" w:eastAsia="仿宋" w:cs="仿宋"/>
          <w:color w:val="auto"/>
          <w:highlight w:val="none"/>
        </w:rPr>
        <w:t>前附表</w:t>
      </w:r>
      <w:bookmarkEnd w:id="15"/>
    </w:p>
    <w:tbl>
      <w:tblPr>
        <w:tblStyle w:val="62"/>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9"/>
        <w:gridCol w:w="1826"/>
        <w:gridCol w:w="649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31" w:hRule="atLeast"/>
          <w:tblHeader/>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   目</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内       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温州经济技术开发区地下市政基础设施普查项目 </w:t>
            </w:r>
          </w:p>
          <w:p>
            <w:pPr>
              <w:keepNext w:val="0"/>
              <w:keepLines w:val="0"/>
              <w:pageBreakBefore w:val="0"/>
              <w:kinsoku/>
              <w:wordWrap/>
              <w:overflowPunct/>
              <w:topLinePunct w:val="0"/>
              <w:bidi w:val="0"/>
              <w:adjustRightInd w:val="0"/>
              <w:snapToGri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标项一：</w:t>
            </w:r>
            <w:r>
              <w:rPr>
                <w:rFonts w:hint="eastAsia" w:ascii="仿宋" w:hAnsi="仿宋" w:eastAsia="仿宋" w:cs="仿宋"/>
                <w:b w:val="0"/>
                <w:bCs w:val="0"/>
                <w:color w:val="auto"/>
                <w:kern w:val="0"/>
                <w:sz w:val="24"/>
                <w:szCs w:val="24"/>
                <w:highlight w:val="none"/>
                <w:lang w:val="en-US" w:eastAsia="zh-CN" w:bidi="ar"/>
              </w:rPr>
              <w:t>温州经济技术开发区地下市政基础设施普查（地下管线及其附属设施部分）</w:t>
            </w:r>
            <w:r>
              <w:rPr>
                <w:rFonts w:hint="eastAsia" w:ascii="仿宋" w:hAnsi="仿宋" w:eastAsia="仿宋" w:cs="仿宋"/>
                <w:color w:val="auto"/>
                <w:sz w:val="24"/>
                <w:szCs w:val="24"/>
                <w:highlight w:val="none"/>
                <w:lang w:val="en-US" w:eastAsia="zh-CN"/>
              </w:rPr>
              <w:t xml:space="preserve">  </w:t>
            </w:r>
          </w:p>
          <w:p>
            <w:pPr>
              <w:keepNext w:val="0"/>
              <w:keepLines w:val="0"/>
              <w:pageBreakBefore w:val="0"/>
              <w:kinsoku/>
              <w:wordWrap/>
              <w:overflowPunct/>
              <w:topLinePunct w:val="0"/>
              <w:bidi w:val="0"/>
              <w:adjustRightInd w:val="0"/>
              <w:snapToGrid/>
              <w:spacing w:line="240" w:lineRule="auto"/>
              <w:jc w:val="left"/>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标项二：温州经济技术开发区地下市政基础设施普查（地下管线及其附属设施部分）监理服务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合同履行地点</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bCs/>
                <w:color w:val="auto"/>
                <w:kern w:val="0"/>
                <w:sz w:val="24"/>
                <w:szCs w:val="24"/>
                <w:highlight w:val="none"/>
                <w:lang w:val="en-US" w:eastAsia="zh-CN"/>
              </w:rPr>
              <w:t>温州经济技术开发区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3"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bCs/>
                <w:color w:val="auto"/>
                <w:kern w:val="0"/>
                <w:sz w:val="24"/>
                <w:szCs w:val="24"/>
                <w:highlight w:val="none"/>
                <w:lang w:val="en-US" w:eastAsia="zh-CN"/>
              </w:rPr>
              <w:t xml:space="preserve">ZQCG-XZ-2022-055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采购方式</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公开招标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采购需求</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具体详见招标文件第三部分采购需求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u w:val="single"/>
              </w:rPr>
              <w:t>▲合同履约期限</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标段一：</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1、2022年11月底前完成全部普查及建库工作，并出具相关数据成果。2、2022年12月底前完成项目全部工作内容并通过验收，绘制城市地下市政基础设施“一张图”，并向省自然资源厅汇交普查成果。</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标段二：</w:t>
            </w:r>
          </w:p>
          <w:p>
            <w:pPr>
              <w:keepNext w:val="0"/>
              <w:keepLines w:val="0"/>
              <w:pageBreakBefore w:val="0"/>
              <w:kinsoku/>
              <w:wordWrap/>
              <w:overflowPunct/>
              <w:topLinePunct w:val="0"/>
              <w:bidi w:val="0"/>
              <w:adjustRightInd w:val="0"/>
              <w:snapToGrid/>
              <w:spacing w:line="240" w:lineRule="auto"/>
              <w:textAlignment w:val="auto"/>
              <w:rPr>
                <w:rFonts w:hint="eastAsia"/>
                <w:color w:val="auto"/>
                <w:highlight w:val="none"/>
                <w:lang w:eastAsia="zh-CN"/>
              </w:rPr>
            </w:pPr>
            <w:r>
              <w:rPr>
                <w:rFonts w:hint="eastAsia" w:ascii="仿宋" w:hAnsi="仿宋" w:eastAsia="仿宋" w:cs="仿宋"/>
                <w:color w:val="auto"/>
                <w:sz w:val="24"/>
                <w:szCs w:val="24"/>
                <w:highlight w:val="none"/>
                <w:lang w:val="en-US" w:eastAsia="zh-CN"/>
              </w:rPr>
              <w:t xml:space="preserve">自普查服务单位工作开始至普查项目验收通过，普查成果提交省自然资源厅且录入采购人指定系统并接入一张图管理系统可正常使用后为止。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资金来源</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财政资金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投标保证金</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本项目不需缴纳投标保证金。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履约保证金</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bCs/>
                <w:color w:val="auto"/>
                <w:kern w:val="0"/>
                <w:sz w:val="24"/>
                <w:szCs w:val="24"/>
                <w:highlight w:val="none"/>
                <w:lang w:eastAsia="zh-CN"/>
              </w:rPr>
              <w:t>详见第三部分“采购需求”商务要求。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u w:val="single"/>
              </w:rPr>
              <w:t>▲最高限价</w:t>
            </w:r>
          </w:p>
        </w:tc>
        <w:tc>
          <w:tcPr>
            <w:tcW w:w="64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详见第一部分“招标公告”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7"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开标前答疑会或现场</w:t>
            </w:r>
            <w:r>
              <w:rPr>
                <w:rFonts w:hint="eastAsia" w:ascii="仿宋" w:hAnsi="仿宋" w:eastAsia="仿宋" w:cs="仿宋"/>
                <w:color w:val="auto"/>
                <w:kern w:val="0"/>
                <w:sz w:val="24"/>
                <w:szCs w:val="24"/>
                <w:highlight w:val="none"/>
                <w:lang w:val="en-US" w:eastAsia="zh-CN"/>
              </w:rPr>
              <w:t>踏勘</w:t>
            </w:r>
          </w:p>
        </w:tc>
        <w:tc>
          <w:tcPr>
            <w:tcW w:w="64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不组织。</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组织，时间：</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,地点：</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，联系人：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，联系方式</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分包</w:t>
            </w:r>
            <w:r>
              <w:rPr>
                <w:rFonts w:hint="eastAsia" w:ascii="仿宋" w:hAnsi="仿宋" w:eastAsia="仿宋" w:cs="仿宋"/>
                <w:b w:val="0"/>
                <w:bCs/>
                <w:color w:val="auto"/>
                <w:sz w:val="24"/>
                <w:szCs w:val="24"/>
                <w:highlight w:val="none"/>
                <w:lang w:val="en-US" w:eastAsia="zh-CN"/>
              </w:rPr>
              <w:t>与转包</w:t>
            </w:r>
          </w:p>
        </w:tc>
        <w:tc>
          <w:tcPr>
            <w:tcW w:w="64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1</w:t>
            </w:r>
            <w:r>
              <w:rPr>
                <w:rFonts w:hint="eastAsia" w:ascii="仿宋" w:hAnsi="仿宋" w:eastAsia="仿宋" w:cs="仿宋"/>
                <w:b w:val="0"/>
                <w:bCs/>
                <w:color w:val="auto"/>
                <w:kern w:val="0"/>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分包：</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sym w:font="Wingdings" w:char="00FE"/>
            </w:r>
            <w:r>
              <w:rPr>
                <w:rFonts w:hint="eastAsia" w:ascii="仿宋" w:hAnsi="仿宋" w:eastAsia="仿宋" w:cs="仿宋"/>
                <w:b w:val="0"/>
                <w:bCs/>
                <w:color w:val="auto"/>
                <w:kern w:val="0"/>
                <w:sz w:val="24"/>
                <w:szCs w:val="24"/>
                <w:highlight w:val="none"/>
              </w:rPr>
              <w:t xml:space="preserve"> 同意</w:t>
            </w:r>
            <w:r>
              <w:rPr>
                <w:rFonts w:hint="eastAsia" w:ascii="仿宋" w:hAnsi="仿宋" w:eastAsia="仿宋" w:cs="仿宋"/>
                <w:b w:val="0"/>
                <w:bCs/>
                <w:color w:val="auto"/>
                <w:kern w:val="0"/>
                <w:sz w:val="24"/>
                <w:szCs w:val="24"/>
                <w:highlight w:val="none"/>
                <w:lang w:eastAsia="zh-CN"/>
              </w:rPr>
              <w:t>；分包范围须符合《浙江省测绘地理信息条例》及政府采购有关政策要求。</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sym w:font="Wingdings" w:char="00A8"/>
            </w:r>
            <w:r>
              <w:rPr>
                <w:rFonts w:hint="eastAsia" w:ascii="仿宋" w:hAnsi="仿宋" w:eastAsia="仿宋" w:cs="仿宋"/>
                <w:b w:val="0"/>
                <w:bCs/>
                <w:color w:val="auto"/>
                <w:kern w:val="0"/>
                <w:sz w:val="24"/>
                <w:szCs w:val="24"/>
                <w:highlight w:val="none"/>
              </w:rPr>
              <w:t xml:space="preserve"> 不同意分包。</w:t>
            </w:r>
          </w:p>
          <w:p>
            <w:pPr>
              <w:keepNext w:val="0"/>
              <w:keepLines w:val="0"/>
              <w:pageBreakBefore w:val="0"/>
              <w:widowControl w:val="0"/>
              <w:numPr>
                <w:ilvl w:val="0"/>
                <w:numId w:val="3"/>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highlight w:val="none"/>
                <w:lang w:val="en-US" w:eastAsia="zh-CN"/>
              </w:rPr>
            </w:pPr>
            <w:r>
              <w:rPr>
                <w:rFonts w:hint="eastAsia" w:ascii="仿宋" w:hAnsi="仿宋" w:eastAsia="仿宋" w:cs="仿宋"/>
                <w:b w:val="0"/>
                <w:bCs/>
                <w:color w:val="auto"/>
                <w:kern w:val="0"/>
                <w:sz w:val="24"/>
                <w:szCs w:val="24"/>
                <w:highlight w:val="none"/>
                <w:lang w:val="en-US" w:eastAsia="zh-CN"/>
              </w:rPr>
              <w:t>转包：本项目不允许转包。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kern w:val="0"/>
                <w:sz w:val="24"/>
                <w:szCs w:val="24"/>
                <w:highlight w:val="none"/>
                <w:lang w:eastAsia="zh-CN"/>
              </w:rPr>
            </w:pPr>
            <w:r>
              <w:rPr>
                <w:rFonts w:hint="eastAsia" w:ascii="仿宋" w:hAnsi="仿宋" w:eastAsia="仿宋" w:cs="仿宋"/>
                <w:b w:val="0"/>
                <w:bCs/>
                <w:color w:val="auto"/>
                <w:kern w:val="0"/>
                <w:sz w:val="24"/>
                <w:szCs w:val="24"/>
                <w:highlight w:val="none"/>
                <w:lang w:eastAsia="zh-CN"/>
              </w:rPr>
              <w:t>联合体</w:t>
            </w:r>
          </w:p>
        </w:tc>
        <w:tc>
          <w:tcPr>
            <w:tcW w:w="64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1</w:t>
            </w:r>
            <w:r>
              <w:rPr>
                <w:rFonts w:hint="eastAsia" w:ascii="仿宋" w:hAnsi="仿宋" w:eastAsia="仿宋" w:cs="仿宋"/>
                <w:b w:val="0"/>
                <w:bCs/>
                <w:color w:val="auto"/>
                <w:kern w:val="0"/>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联合体：</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eastAsia="zh-CN"/>
              </w:rPr>
              <w:sym w:font="Wingdings" w:char="00FE"/>
            </w:r>
            <w:r>
              <w:rPr>
                <w:rFonts w:hint="eastAsia" w:ascii="仿宋" w:hAnsi="仿宋" w:eastAsia="仿宋" w:cs="仿宋"/>
                <w:b w:val="0"/>
                <w:bCs/>
                <w:color w:val="auto"/>
                <w:kern w:val="0"/>
                <w:sz w:val="24"/>
                <w:szCs w:val="24"/>
                <w:highlight w:val="none"/>
                <w:lang w:eastAsia="zh-CN"/>
              </w:rPr>
              <w:t xml:space="preserve"> 接受联合体；</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项目属性与核心产品</w:t>
            </w:r>
          </w:p>
        </w:tc>
        <w:tc>
          <w:tcPr>
            <w:tcW w:w="64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color w:val="auto"/>
                <w:kern w:val="0"/>
                <w:sz w:val="24"/>
                <w:szCs w:val="24"/>
                <w:highlight w:val="none"/>
              </w:rPr>
              <w:t>货物类，单一产品或核心产品为：</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szCs w:val="24"/>
                <w:highlight w:val="none"/>
              </w:rPr>
              <w:t>服务类。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7"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是否允许采购进口产品</w:t>
            </w:r>
          </w:p>
        </w:tc>
        <w:tc>
          <w:tcPr>
            <w:tcW w:w="64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sym w:font="Wingdings" w:char="00FE"/>
            </w:r>
            <w:r>
              <w:rPr>
                <w:rFonts w:hint="eastAsia" w:ascii="仿宋" w:hAnsi="仿宋" w:eastAsia="仿宋" w:cs="仿宋"/>
                <w:b w:val="0"/>
                <w:bCs/>
                <w:color w:val="auto"/>
                <w:kern w:val="0"/>
                <w:sz w:val="24"/>
                <w:szCs w:val="24"/>
                <w:highlight w:val="none"/>
              </w:rPr>
              <w:t>本项目不允许采购进口产品。</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sym w:font="Wingdings" w:char="00A8"/>
            </w:r>
            <w:r>
              <w:rPr>
                <w:rFonts w:hint="eastAsia" w:ascii="仿宋" w:hAnsi="仿宋" w:eastAsia="仿宋" w:cs="仿宋"/>
                <w:b w:val="0"/>
                <w:bCs/>
                <w:color w:val="auto"/>
                <w:kern w:val="0"/>
                <w:sz w:val="24"/>
                <w:szCs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10"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val="0"/>
                <w:bCs/>
                <w:snapToGrid w:val="0"/>
                <w:color w:val="auto"/>
                <w:kern w:val="0"/>
                <w:sz w:val="24"/>
                <w:szCs w:val="24"/>
                <w:highlight w:val="none"/>
              </w:rPr>
            </w:pPr>
            <w:r>
              <w:rPr>
                <w:rFonts w:hint="eastAsia" w:ascii="仿宋" w:hAnsi="仿宋" w:eastAsia="仿宋" w:cs="仿宋"/>
                <w:b w:val="0"/>
                <w:bCs/>
                <w:color w:val="auto"/>
                <w:sz w:val="24"/>
                <w:szCs w:val="24"/>
                <w:highlight w:val="none"/>
              </w:rPr>
              <w:t>样品提供</w:t>
            </w:r>
          </w:p>
        </w:tc>
        <w:tc>
          <w:tcPr>
            <w:tcW w:w="64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sz w:val="24"/>
                <w:szCs w:val="24"/>
                <w:highlight w:val="none"/>
              </w:rPr>
              <w:t>不要求提供。</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要求提供</w:t>
            </w:r>
            <w:r>
              <w:rPr>
                <w:rFonts w:hint="eastAsia" w:ascii="仿宋" w:hAnsi="仿宋" w:eastAsia="仿宋" w:cs="仿宋"/>
                <w:color w:val="auto"/>
                <w:kern w:val="0"/>
                <w:sz w:val="24"/>
                <w:szCs w:val="24"/>
                <w:highlight w:val="none"/>
                <w:lang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5"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方案讲解演示</w:t>
            </w:r>
          </w:p>
        </w:tc>
        <w:tc>
          <w:tcPr>
            <w:tcW w:w="6499"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sz w:val="24"/>
                <w:szCs w:val="24"/>
                <w:highlight w:val="none"/>
              </w:rPr>
              <w:t>不组织。</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投标文件的编制</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lang w:val="en-US"/>
              </w:rPr>
            </w:pPr>
            <w:r>
              <w:rPr>
                <w:rFonts w:hint="eastAsia" w:ascii="仿宋" w:hAnsi="仿宋" w:eastAsia="仿宋" w:cs="仿宋"/>
                <w:b w:val="0"/>
                <w:bCs/>
                <w:color w:val="auto"/>
                <w:kern w:val="0"/>
                <w:sz w:val="24"/>
                <w:szCs w:val="24"/>
                <w:highlight w:val="none"/>
                <w:lang w:eastAsia="zh-CN"/>
              </w:rPr>
              <w:t>详见第二部分“</w:t>
            </w:r>
            <w:r>
              <w:rPr>
                <w:rFonts w:hint="eastAsia" w:ascii="仿宋" w:hAnsi="仿宋" w:eastAsia="仿宋" w:cs="仿宋"/>
                <w:b w:val="0"/>
                <w:bCs w:val="0"/>
                <w:color w:val="auto"/>
                <w:sz w:val="24"/>
                <w:szCs w:val="24"/>
                <w:highlight w:val="none"/>
                <w:lang w:val="zh-CN" w:eastAsia="zh-CN"/>
              </w:rPr>
              <w:t>投标人须知</w:t>
            </w:r>
            <w:r>
              <w:rPr>
                <w:rFonts w:hint="eastAsia" w:ascii="仿宋" w:hAnsi="仿宋" w:eastAsia="仿宋" w:cs="仿宋"/>
                <w:b w:val="0"/>
                <w:bCs/>
                <w:color w:val="auto"/>
                <w:kern w:val="0"/>
                <w:sz w:val="24"/>
                <w:szCs w:val="24"/>
                <w:highlight w:val="none"/>
                <w:lang w:eastAsia="zh-CN"/>
              </w:rPr>
              <w:t>”</w:t>
            </w:r>
            <w:r>
              <w:rPr>
                <w:rFonts w:hint="eastAsia" w:ascii="仿宋" w:hAnsi="仿宋" w:eastAsia="仿宋" w:cs="仿宋"/>
                <w:b w:val="0"/>
                <w:bCs w:val="0"/>
                <w:color w:val="auto"/>
                <w:sz w:val="24"/>
                <w:szCs w:val="24"/>
                <w:highlight w:val="none"/>
                <w:lang w:val="zh-CN" w:eastAsia="zh-CN"/>
              </w:rPr>
              <w:t>第</w:t>
            </w:r>
            <w:r>
              <w:rPr>
                <w:rFonts w:hint="eastAsia" w:ascii="仿宋" w:hAnsi="仿宋" w:eastAsia="仿宋" w:cs="仿宋"/>
                <w:b w:val="0"/>
                <w:bCs w:val="0"/>
                <w:color w:val="auto"/>
                <w:sz w:val="24"/>
                <w:szCs w:val="24"/>
                <w:highlight w:val="none"/>
                <w:lang w:val="en-US" w:eastAsia="zh-CN"/>
              </w:rPr>
              <w:t>12</w:t>
            </w:r>
            <w:r>
              <w:rPr>
                <w:rFonts w:hint="eastAsia" w:ascii="仿宋" w:hAnsi="仿宋" w:eastAsia="仿宋" w:cs="仿宋"/>
                <w:b w:val="0"/>
                <w:bCs w:val="0"/>
                <w:color w:val="auto"/>
                <w:sz w:val="24"/>
                <w:szCs w:val="24"/>
                <w:highlight w:val="none"/>
                <w:lang w:val="zh-CN" w:eastAsia="zh-CN"/>
              </w:rPr>
              <w:t>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投标文件的形式</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电子投标文件（包括“电子加密投标文件”和“备份投标文件”，在投标文件编制完成后同时生成）；</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（1）“电子加密投标文件”是指通过“政采云电子交易客户端”完成投标文件编制后生成并加密的数据电文形式的投标文件。</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（2）“备份投标文件”是指与“电子加密投标文件”同时生成的数据电文形式的电子文件（备份标书，用于供应商标书解密异常时应急使用），其他方式编制的备份投标文件视为无效备份投标文件。</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投标文件的传输递交</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详见第二部分“投标人须知”第</w:t>
            </w:r>
            <w:r>
              <w:rPr>
                <w:rFonts w:hint="eastAsia" w:ascii="仿宋" w:hAnsi="仿宋" w:eastAsia="仿宋" w:cs="仿宋"/>
                <w:b w:val="0"/>
                <w:bCs w:val="0"/>
                <w:color w:val="auto"/>
                <w:sz w:val="24"/>
                <w:szCs w:val="24"/>
                <w:highlight w:val="none"/>
                <w:lang w:val="en-US" w:eastAsia="zh-CN"/>
              </w:rPr>
              <w:t>15款</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eastAsia="zh-CN"/>
              </w:rPr>
              <w:t>注：</w:t>
            </w:r>
            <w:r>
              <w:rPr>
                <w:rFonts w:hint="eastAsia" w:ascii="仿宋" w:hAnsi="仿宋" w:eastAsia="仿宋" w:cs="仿宋"/>
                <w:b w:val="0"/>
                <w:bCs w:val="0"/>
                <w:color w:val="auto"/>
                <w:sz w:val="24"/>
                <w:szCs w:val="24"/>
                <w:highlight w:val="none"/>
              </w:rPr>
              <w:t>上传、递交过程中如有疑问，可咨询“政采云”客服热线：400-881-7190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0"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提交投标文件截止时间、开标时间和地点</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详见第一部分“招标公告”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6"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的组建</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b w:val="0"/>
                <w:bCs w:val="0"/>
                <w:color w:val="auto"/>
                <w:sz w:val="24"/>
                <w:szCs w:val="24"/>
                <w:highlight w:val="none"/>
                <w:lang w:val="en-US" w:eastAsia="zh-CN"/>
              </w:rPr>
              <w:t>评标委员会由采购人代表和评审专家组成，成员人数应当为7 人以上单数，其中评审专家不得少于成员总数的三分之二。</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评标办法</w:t>
            </w:r>
          </w:p>
        </w:tc>
        <w:tc>
          <w:tcPr>
            <w:tcW w:w="6499" w:type="dxa"/>
            <w:noWrap w:val="0"/>
            <w:vAlign w:val="center"/>
          </w:tcPr>
          <w:p>
            <w:pPr>
              <w:pStyle w:val="956"/>
              <w:numPr>
                <w:ilvl w:val="0"/>
                <w:numId w:val="4"/>
              </w:numPr>
              <w:tabs>
                <w:tab w:val="left" w:pos="727"/>
              </w:tabs>
              <w:ind w:left="105" w:leftChars="50" w:right="105" w:rightChars="50" w:firstLine="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本项目的评审顺序按标项一→标项二的先后顺序依次进行；</w:t>
            </w:r>
          </w:p>
          <w:p>
            <w:pPr>
              <w:pStyle w:val="956"/>
              <w:numPr>
                <w:ilvl w:val="0"/>
                <w:numId w:val="4"/>
              </w:numPr>
              <w:tabs>
                <w:tab w:val="left" w:pos="727"/>
              </w:tabs>
              <w:ind w:left="105" w:leftChars="50" w:right="105" w:rightChars="50" w:firstLine="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每个供应商最多只允许中标（成交）一个标项。如果同一投标人在标项一中被推荐为中标（成交）单位，就不再进入标项二的评审；</w:t>
            </w:r>
            <w:r>
              <w:rPr>
                <w:rFonts w:hint="eastAsia" w:ascii="仿宋" w:hAnsi="仿宋" w:eastAsia="仿宋" w:cs="仿宋"/>
                <w:color w:val="auto"/>
                <w:kern w:val="2"/>
                <w:sz w:val="24"/>
                <w:szCs w:val="24"/>
                <w:highlight w:val="none"/>
                <w:u w:val="single"/>
                <w:lang w:val="en-US" w:eastAsia="zh-CN" w:bidi="ar-SA"/>
              </w:rPr>
              <w:t>▲投标人被推荐为标段一中标（成交）单位后，后续标段投标响应文件按符合性不通过处理。</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本项目由采购人授权评标委员会直接确定中标（成交）供应商，并出具评审报告。</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具体</w:t>
            </w:r>
            <w:r>
              <w:rPr>
                <w:rFonts w:hint="eastAsia" w:ascii="仿宋" w:hAnsi="仿宋" w:eastAsia="仿宋" w:cs="仿宋"/>
                <w:color w:val="auto"/>
                <w:sz w:val="24"/>
                <w:szCs w:val="24"/>
                <w:highlight w:val="none"/>
              </w:rPr>
              <w:t>评标办法</w:t>
            </w:r>
            <w:r>
              <w:rPr>
                <w:rFonts w:hint="eastAsia" w:ascii="仿宋" w:hAnsi="仿宋" w:eastAsia="仿宋" w:cs="仿宋"/>
                <w:color w:val="auto"/>
                <w:kern w:val="2"/>
                <w:sz w:val="24"/>
                <w:szCs w:val="24"/>
                <w:highlight w:val="none"/>
                <w:lang w:val="en-US" w:eastAsia="zh-CN" w:bidi="ar-SA"/>
              </w:rPr>
              <w:t>详见招标文件“第四部分 评标办法”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中标结果公告</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结果经采购人确认后2个工作日内，采购代理机构将对外发布中标成交公告和中标通知书。采购代理机构按相关政府采购规定将中标结果发布在政府采购网上进行公示，公示期为1个工作日。采购人、采购代理机构及评标委员会对未中标的投标人不作落标原因解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合同签订时间</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中标通知书发出后30日内。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0"/>
                <w:highlight w:val="none"/>
              </w:rPr>
              <w:t>投标有效期为从提交投标文件的截止之日起</w:t>
            </w:r>
            <w:r>
              <w:rPr>
                <w:rFonts w:hint="eastAsia" w:ascii="仿宋" w:hAnsi="仿宋" w:eastAsia="仿宋" w:cs="仿宋"/>
                <w:color w:val="auto"/>
                <w:sz w:val="24"/>
                <w:szCs w:val="20"/>
                <w:highlight w:val="none"/>
                <w:u w:val="single"/>
                <w:lang w:val="en-US" w:eastAsia="zh-CN"/>
              </w:rPr>
              <w:t xml:space="preserve"> 90</w:t>
            </w:r>
            <w:r>
              <w:rPr>
                <w:rFonts w:hint="eastAsia" w:ascii="仿宋" w:hAnsi="仿宋" w:eastAsia="仿宋" w:cs="仿宋"/>
                <w:color w:val="auto"/>
                <w:sz w:val="24"/>
                <w:szCs w:val="20"/>
                <w:highlight w:val="none"/>
              </w:rPr>
              <w:t>天</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3"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w:t>
            </w:r>
          </w:p>
        </w:tc>
        <w:tc>
          <w:tcPr>
            <w:tcW w:w="6499" w:type="dxa"/>
            <w:noWrap w:val="0"/>
            <w:vAlign w:val="center"/>
          </w:tcPr>
          <w:p>
            <w:pPr>
              <w:spacing w:line="360" w:lineRule="auto"/>
              <w:rPr>
                <w:rFonts w:hint="eastAsia" w:ascii="仿宋" w:hAnsi="仿宋" w:eastAsia="仿宋" w:cs="仿宋"/>
                <w:snapToGrid w:val="0"/>
                <w:color w:val="auto"/>
                <w:kern w:val="0"/>
                <w:sz w:val="24"/>
                <w:szCs w:val="24"/>
                <w:highlight w:val="none"/>
              </w:rPr>
            </w:pPr>
            <w:r>
              <w:rPr>
                <w:rFonts w:hint="eastAsia" w:ascii="仿宋" w:hAnsi="仿宋" w:eastAsia="仿宋" w:cs="仿宋"/>
                <w:b/>
                <w:color w:val="auto"/>
                <w:sz w:val="24"/>
                <w:highlight w:val="none"/>
                <w:lang w:val="en-US" w:eastAsia="zh-CN"/>
              </w:rPr>
              <w:t>详见招标文件“一 总则”部分第5款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8</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b/>
                <w:color w:val="auto"/>
                <w:sz w:val="24"/>
                <w:highlight w:val="none"/>
                <w:lang w:val="en-US" w:eastAsia="zh-CN"/>
              </w:rPr>
              <w:t>详见招标文件“一 总则”部分第5款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29</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Cs/>
                <w:color w:val="auto"/>
                <w:kern w:val="0"/>
                <w:sz w:val="24"/>
                <w:szCs w:val="24"/>
                <w:highlight w:val="none"/>
                <w:u w:val="none"/>
                <w:lang w:eastAsia="zh-CN"/>
              </w:rPr>
            </w:pPr>
            <w:r>
              <w:rPr>
                <w:rFonts w:hint="eastAsia" w:ascii="仿宋" w:hAnsi="仿宋" w:eastAsia="仿宋" w:cs="仿宋"/>
                <w:b w:val="0"/>
                <w:bCs/>
                <w:color w:val="auto"/>
                <w:sz w:val="24"/>
                <w:szCs w:val="24"/>
                <w:highlight w:val="none"/>
                <w:u w:val="thick"/>
                <w:lang w:val="en-US" w:eastAsia="zh-CN"/>
              </w:rPr>
              <w:t>▲</w:t>
            </w:r>
            <w:r>
              <w:rPr>
                <w:rFonts w:hint="eastAsia" w:ascii="仿宋" w:hAnsi="仿宋" w:eastAsia="仿宋" w:cs="仿宋"/>
                <w:b/>
                <w:color w:val="auto"/>
                <w:sz w:val="24"/>
                <w:szCs w:val="24"/>
                <w:highlight w:val="none"/>
                <w:u w:val="thick"/>
                <w:lang w:eastAsia="zh-CN"/>
              </w:rPr>
              <w:t>无效标条款</w:t>
            </w:r>
          </w:p>
        </w:tc>
        <w:tc>
          <w:tcPr>
            <w:tcW w:w="6499" w:type="dxa"/>
            <w:noWrap w:val="0"/>
            <w:vAlign w:val="center"/>
          </w:tcPr>
          <w:p>
            <w:pPr>
              <w:pStyle w:val="482"/>
              <w:keepNext w:val="0"/>
              <w:keepLines w:val="0"/>
              <w:pageBreakBefore w:val="0"/>
              <w:kinsoku/>
              <w:wordWrap/>
              <w:overflowPunct/>
              <w:topLinePunct w:val="0"/>
              <w:bidi w:val="0"/>
              <w:adjustRightInd w:val="0"/>
              <w:snapToGrid/>
              <w:spacing w:line="240" w:lineRule="auto"/>
              <w:ind w:firstLine="0" w:firstLineChars="0"/>
              <w:textAlignment w:val="auto"/>
              <w:rPr>
                <w:rFonts w:hint="eastAsia" w:ascii="仿宋" w:hAnsi="仿宋" w:eastAsia="仿宋" w:cs="仿宋"/>
                <w:bCs/>
                <w:snapToGrid w:val="0"/>
                <w:color w:val="auto"/>
                <w:kern w:val="0"/>
                <w:sz w:val="24"/>
                <w:szCs w:val="24"/>
                <w:highlight w:val="none"/>
                <w:u w:val="none"/>
                <w:lang w:val="en-US" w:eastAsia="zh-CN"/>
              </w:rPr>
            </w:pPr>
            <w:r>
              <w:rPr>
                <w:rFonts w:hint="eastAsia" w:ascii="仿宋" w:hAnsi="仿宋" w:eastAsia="仿宋" w:cs="仿宋"/>
                <w:b/>
                <w:bCs w:val="0"/>
                <w:snapToGrid w:val="0"/>
                <w:color w:val="auto"/>
                <w:kern w:val="0"/>
                <w:sz w:val="24"/>
                <w:szCs w:val="24"/>
                <w:highlight w:val="none"/>
                <w:u w:val="single"/>
                <w:lang w:val="en-US" w:eastAsia="zh-CN"/>
              </w:rPr>
              <w:t>详见招标文件“第四部分 评标办法”2.2款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供应商信用信息查询</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根据《关于在政府采购活动中查询及使用信用记录有关问题的通知》财库[2016]125号的规定：</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1）采购人或采购代理机构将对本项目投标人的信用信息进行查询。</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2）查询渠道为信用中国网站（www.creditchina.gov.cn）、中国政府采购网（www.ccgp.gov.cn）。</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3）信用信息截止时点为从本项目投标截止日往前追溯三年，期间被列入失信被执行人名单、重大税收违法案件当事人名单、政府采购严重违法失信行为记录名单等投标人信用信息均将用于本项目。</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4）信用信息查询记录和证据以网页截图等方式留存。</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5）信用信息将作为评审和确定成交投标人的依据。</w:t>
            </w:r>
          </w:p>
          <w:p>
            <w:pPr>
              <w:pStyle w:val="482"/>
              <w:keepNext w:val="0"/>
              <w:keepLines w:val="0"/>
              <w:pageBreakBefore w:val="0"/>
              <w:kinsoku/>
              <w:wordWrap/>
              <w:overflowPunct/>
              <w:topLinePunct w:val="0"/>
              <w:bidi w:val="0"/>
              <w:adjustRightInd w:val="0"/>
              <w:snapToGrid/>
              <w:spacing w:line="240" w:lineRule="auto"/>
              <w:ind w:firstLine="0" w:firstLineChars="0"/>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rPr>
              <w:t>6）联合体成员存在不良信用记录的，视同联合体存在不良信用记录。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Cs/>
                <w:color w:val="auto"/>
                <w:kern w:val="0"/>
                <w:sz w:val="24"/>
                <w:szCs w:val="24"/>
                <w:highlight w:val="none"/>
                <w:lang w:eastAsia="zh-CN"/>
              </w:rPr>
            </w:pPr>
            <w:r>
              <w:rPr>
                <w:rFonts w:hint="eastAsia" w:ascii="仿宋" w:hAnsi="仿宋" w:eastAsia="仿宋" w:cs="仿宋"/>
                <w:bCs/>
                <w:color w:val="auto"/>
                <w:kern w:val="0"/>
                <w:sz w:val="24"/>
                <w:szCs w:val="24"/>
                <w:highlight w:val="none"/>
                <w:lang w:eastAsia="zh-CN"/>
              </w:rPr>
              <w:t>本项目</w:t>
            </w:r>
            <w:r>
              <w:rPr>
                <w:rFonts w:hint="eastAsia" w:ascii="仿宋" w:hAnsi="仿宋" w:eastAsia="仿宋" w:cs="仿宋"/>
                <w:bCs/>
                <w:color w:val="auto"/>
                <w:kern w:val="0"/>
                <w:sz w:val="24"/>
                <w:szCs w:val="24"/>
                <w:highlight w:val="none"/>
              </w:rPr>
              <w:t>扶持中小企业（监狱企业、残疾人福利性单位）</w:t>
            </w:r>
            <w:r>
              <w:rPr>
                <w:rFonts w:hint="eastAsia" w:ascii="仿宋" w:hAnsi="仿宋" w:eastAsia="仿宋" w:cs="仿宋"/>
                <w:bCs/>
                <w:color w:val="auto"/>
                <w:kern w:val="0"/>
                <w:sz w:val="24"/>
                <w:szCs w:val="24"/>
                <w:highlight w:val="none"/>
                <w:lang w:eastAsia="zh-CN"/>
              </w:rPr>
              <w:t>有关政策</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 xml:space="preserve">扶持中小企业（监狱企业、残疾人福利性单位）： </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（1）根据工信部等部委发布的《关于印发中小企业划型标准规定的通知》（工信部联企业〔2011〕300号），本项目属于</w:t>
            </w:r>
            <w:r>
              <w:rPr>
                <w:rFonts w:hint="eastAsia" w:ascii="仿宋" w:hAnsi="仿宋" w:eastAsia="仿宋" w:cs="仿宋"/>
                <w:i w:val="0"/>
                <w:iCs w:val="0"/>
                <w:color w:val="auto"/>
                <w:sz w:val="24"/>
                <w:szCs w:val="24"/>
                <w:highlight w:val="none"/>
                <w:u w:val="single"/>
              </w:rPr>
              <w:sym w:font="Wingdings" w:char="00FE"/>
            </w:r>
            <w:r>
              <w:rPr>
                <w:rFonts w:hint="eastAsia" w:ascii="仿宋" w:hAnsi="仿宋" w:eastAsia="仿宋" w:cs="仿宋"/>
                <w:i w:val="0"/>
                <w:iCs w:val="0"/>
                <w:color w:val="auto"/>
                <w:sz w:val="24"/>
                <w:szCs w:val="24"/>
                <w:highlight w:val="none"/>
                <w:u w:val="single"/>
              </w:rPr>
              <w:t>其他未列明行业（包括科学研究和技术服务业，水利、环境和公共设施管理业，居民服务、修理和其他服务业，社会工作，文化、体育和娱乐业等）</w:t>
            </w:r>
            <w:r>
              <w:rPr>
                <w:rFonts w:hint="eastAsia" w:ascii="仿宋" w:hAnsi="仿宋" w:eastAsia="仿宋" w:cs="仿宋"/>
                <w:i w:val="0"/>
                <w:iCs w:val="0"/>
                <w:color w:val="auto"/>
                <w:sz w:val="24"/>
                <w:szCs w:val="24"/>
                <w:highlight w:val="none"/>
                <w:u w:val="single"/>
                <w:lang w:val="en-US" w:eastAsia="zh-CN"/>
              </w:rPr>
              <w:t xml:space="preserve"> </w:t>
            </w:r>
            <w:r>
              <w:rPr>
                <w:rFonts w:hint="eastAsia" w:ascii="仿宋" w:hAnsi="仿宋" w:eastAsia="仿宋" w:cs="仿宋"/>
                <w:i w:val="0"/>
                <w:iCs w:val="0"/>
                <w:color w:val="auto"/>
                <w:sz w:val="24"/>
                <w:szCs w:val="24"/>
                <w:highlight w:val="none"/>
                <w:u w:val="none"/>
                <w:lang w:val="en-US" w:eastAsia="zh-CN"/>
              </w:rPr>
              <w:t>行业。</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根据财政部发布的《政府采购促进中小企业发展管理办法》财库（2020）46号的相关规定：</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2.1.是否为预留份额项目：</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本项目</w:t>
            </w:r>
            <w:r>
              <w:rPr>
                <w:rFonts w:hint="eastAsia" w:ascii="仿宋" w:hAnsi="仿宋" w:eastAsia="仿宋" w:cs="仿宋"/>
                <w:b/>
                <w:bCs/>
                <w:color w:val="auto"/>
                <w:kern w:val="2"/>
                <w:sz w:val="24"/>
                <w:szCs w:val="24"/>
                <w:highlight w:val="none"/>
                <w:u w:val="single"/>
                <w:lang w:val="en-US" w:eastAsia="zh-CN" w:bidi="ar-SA"/>
              </w:rPr>
              <w:t xml:space="preserve"> 非 </w:t>
            </w:r>
            <w:r>
              <w:rPr>
                <w:rFonts w:hint="eastAsia" w:ascii="仿宋" w:hAnsi="仿宋" w:eastAsia="仿宋" w:cs="仿宋"/>
                <w:b/>
                <w:bCs/>
                <w:color w:val="auto"/>
                <w:kern w:val="2"/>
                <w:sz w:val="24"/>
                <w:szCs w:val="24"/>
                <w:highlight w:val="none"/>
                <w:lang w:val="en-US" w:eastAsia="zh-CN" w:bidi="ar-SA"/>
              </w:rPr>
              <w:t xml:space="preserve">（“是”或者“非”）专门面向中小企业的采购项目，也 </w:t>
            </w:r>
            <w:r>
              <w:rPr>
                <w:rFonts w:hint="eastAsia" w:ascii="仿宋" w:hAnsi="仿宋" w:eastAsia="仿宋" w:cs="仿宋"/>
                <w:b/>
                <w:bCs/>
                <w:color w:val="auto"/>
                <w:kern w:val="2"/>
                <w:sz w:val="24"/>
                <w:szCs w:val="24"/>
                <w:highlight w:val="none"/>
                <w:u w:val="single"/>
                <w:lang w:val="en-US" w:eastAsia="zh-CN" w:bidi="ar-SA"/>
              </w:rPr>
              <w:t xml:space="preserve">非 </w:t>
            </w:r>
            <w:r>
              <w:rPr>
                <w:rFonts w:hint="eastAsia" w:ascii="仿宋" w:hAnsi="仿宋" w:eastAsia="仿宋" w:cs="仿宋"/>
                <w:b/>
                <w:bCs/>
                <w:color w:val="auto"/>
                <w:kern w:val="2"/>
                <w:sz w:val="24"/>
                <w:szCs w:val="24"/>
                <w:highlight w:val="none"/>
                <w:lang w:val="en-US" w:eastAsia="zh-CN" w:bidi="ar-SA"/>
              </w:rPr>
              <w:t>（“是”或者“非”）预留份额的采购项目。</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sym w:font="Wingdings" w:char="00FE"/>
            </w:r>
            <w:r>
              <w:rPr>
                <w:rFonts w:hint="eastAsia" w:ascii="仿宋" w:hAnsi="仿宋" w:eastAsia="仿宋" w:cs="仿宋"/>
                <w:color w:val="auto"/>
                <w:kern w:val="2"/>
                <w:sz w:val="24"/>
                <w:szCs w:val="24"/>
                <w:highlight w:val="none"/>
                <w:lang w:val="en-US" w:eastAsia="zh-CN" w:bidi="ar-SA"/>
              </w:rPr>
              <w:t>在评审时对小型和微型企业报价给予</w:t>
            </w:r>
            <w:r>
              <w:rPr>
                <w:rFonts w:hint="eastAsia" w:ascii="仿宋" w:hAnsi="仿宋" w:eastAsia="仿宋" w:cs="仿宋"/>
                <w:b/>
                <w:bCs/>
                <w:color w:val="auto"/>
                <w:kern w:val="2"/>
                <w:sz w:val="24"/>
                <w:szCs w:val="24"/>
                <w:highlight w:val="none"/>
                <w:u w:val="single"/>
                <w:lang w:val="en-US" w:eastAsia="zh-CN" w:bidi="ar-SA"/>
              </w:rPr>
              <w:t>20%</w:t>
            </w:r>
            <w:r>
              <w:rPr>
                <w:rFonts w:hint="eastAsia" w:ascii="仿宋" w:hAnsi="仿宋" w:eastAsia="仿宋" w:cs="仿宋"/>
                <w:color w:val="auto"/>
                <w:kern w:val="2"/>
                <w:sz w:val="24"/>
                <w:szCs w:val="24"/>
                <w:highlight w:val="none"/>
                <w:lang w:val="en-US" w:eastAsia="zh-CN" w:bidi="ar-SA"/>
              </w:rPr>
              <w:t>的扣除，用扣除后的价格参加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b/>
                <w:bCs/>
                <w:color w:val="auto"/>
                <w:kern w:val="2"/>
                <w:sz w:val="24"/>
                <w:szCs w:val="24"/>
                <w:highlight w:val="none"/>
                <w:u w:val="single"/>
                <w:lang w:val="en-US" w:eastAsia="zh-CN" w:bidi="ar-SA"/>
              </w:rPr>
              <w:t>6%</w:t>
            </w:r>
            <w:r>
              <w:rPr>
                <w:rFonts w:hint="eastAsia" w:ascii="仿宋" w:hAnsi="仿宋" w:eastAsia="仿宋" w:cs="仿宋"/>
                <w:color w:val="auto"/>
                <w:kern w:val="2"/>
                <w:sz w:val="24"/>
                <w:szCs w:val="24"/>
                <w:highlight w:val="none"/>
                <w:lang w:val="en-US" w:eastAsia="zh-CN" w:bidi="ar-SA"/>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根据财库〔2017〕141号的相关规定，在政府采购活动中，残疾人福利性单位视同小型、微型企业，享受评审中价格扣除政策。属于享受政府采购支持政策的残疾人福利性单位，应满足财库〔2017〕141号文件第一条的规定，并在响应文件中提供残疾人福利性单位声明函。</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根据财库〔2014〕68号的相关规定，在政府采购活动中，监狱企业视同小型、微型企业，享受评审中价格扣除政策，并在响应文件中提供由省级以上监狱管理局、戒毒管理局（含新疆生产建设兵团）出具的属于监狱企业的证明文件。</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(注：未提供以上材料的，均不给予价格扣除，以上优惠政策只享受一次）。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43"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w:t>
            </w:r>
          </w:p>
        </w:tc>
        <w:tc>
          <w:tcPr>
            <w:tcW w:w="1826"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
                <w:color w:val="auto"/>
                <w:sz w:val="24"/>
                <w:szCs w:val="24"/>
                <w:highlight w:val="none"/>
              </w:rPr>
              <w:t>节能产品、环境标志产品</w:t>
            </w:r>
          </w:p>
        </w:tc>
        <w:tc>
          <w:tcPr>
            <w:tcW w:w="6499" w:type="dxa"/>
            <w:noWrap w:val="0"/>
            <w:vAlign w:val="center"/>
          </w:tcPr>
          <w:p>
            <w:pPr>
              <w:pStyle w:val="3"/>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snapToGrid w:val="0"/>
                <w:color w:val="auto"/>
                <w:kern w:val="2"/>
                <w:sz w:val="24"/>
                <w:szCs w:val="24"/>
                <w:highlight w:val="none"/>
                <w:lang w:val="en-US" w:eastAsia="zh-CN" w:bidi="ar-SA"/>
              </w:rPr>
              <w:t>投标报价其他要求</w:t>
            </w:r>
          </w:p>
        </w:tc>
        <w:tc>
          <w:tcPr>
            <w:tcW w:w="6499" w:type="dxa"/>
            <w:noWrap w:val="0"/>
            <w:vAlign w:val="center"/>
          </w:tcPr>
          <w:p>
            <w:pPr>
              <w:snapToGrid w:val="0"/>
              <w:rPr>
                <w:rFonts w:hint="eastAsia" w:ascii="仿宋" w:hAnsi="仿宋" w:eastAsia="仿宋" w:cs="仿宋"/>
                <w:snapToGrid w:val="0"/>
                <w:color w:val="auto"/>
                <w:kern w:val="2"/>
                <w:sz w:val="24"/>
                <w:szCs w:val="24"/>
                <w:highlight w:val="none"/>
                <w:lang w:val="zh-CN" w:eastAsia="zh-CN" w:bidi="ar-SA"/>
              </w:rPr>
            </w:pPr>
            <w:r>
              <w:rPr>
                <w:rFonts w:hint="eastAsia" w:ascii="仿宋" w:hAnsi="仿宋" w:eastAsia="仿宋" w:cs="仿宋"/>
                <w:snapToGrid w:val="0"/>
                <w:color w:val="auto"/>
                <w:kern w:val="2"/>
                <w:sz w:val="24"/>
                <w:szCs w:val="24"/>
                <w:highlight w:val="none"/>
                <w:lang w:val="zh-CN" w:eastAsia="zh-CN" w:bidi="ar-SA"/>
              </w:rPr>
              <w:t>投标报价包含的内容：</w:t>
            </w:r>
          </w:p>
          <w:p>
            <w:pPr>
              <w:snapToGrid w:val="0"/>
              <w:rPr>
                <w:rFonts w:hint="eastAsia" w:ascii="仿宋" w:hAnsi="仿宋" w:eastAsia="仿宋" w:cs="仿宋"/>
                <w:snapToGrid w:val="0"/>
                <w:color w:val="auto"/>
                <w:kern w:val="2"/>
                <w:sz w:val="24"/>
                <w:szCs w:val="24"/>
                <w:highlight w:val="none"/>
                <w:lang w:val="zh-CN" w:eastAsia="zh-CN" w:bidi="ar-SA"/>
              </w:rPr>
            </w:pPr>
            <w:r>
              <w:rPr>
                <w:rFonts w:hint="eastAsia" w:ascii="仿宋" w:hAnsi="仿宋" w:eastAsia="仿宋" w:cs="仿宋"/>
                <w:snapToGrid w:val="0"/>
                <w:color w:val="auto"/>
                <w:kern w:val="2"/>
                <w:sz w:val="24"/>
                <w:szCs w:val="24"/>
                <w:highlight w:val="none"/>
                <w:lang w:val="zh-CN" w:eastAsia="zh-CN" w:bidi="ar-SA"/>
              </w:rPr>
              <w:sym w:font="Wingdings" w:char="F0FE"/>
            </w:r>
            <w:r>
              <w:rPr>
                <w:rFonts w:hint="eastAsia" w:ascii="仿宋" w:hAnsi="仿宋" w:eastAsia="仿宋" w:cs="仿宋"/>
                <w:snapToGrid w:val="0"/>
                <w:color w:val="auto"/>
                <w:kern w:val="2"/>
                <w:sz w:val="24"/>
                <w:szCs w:val="24"/>
                <w:highlight w:val="none"/>
                <w:lang w:val="zh-CN" w:eastAsia="zh-CN" w:bidi="ar-SA"/>
              </w:rPr>
              <w:t>采购代理服务费，收费标准：</w:t>
            </w:r>
            <w:r>
              <w:rPr>
                <w:rFonts w:hint="eastAsia" w:ascii="仿宋" w:hAnsi="仿宋" w:eastAsia="仿宋" w:cs="仿宋"/>
                <w:snapToGrid w:val="0"/>
                <w:color w:val="auto"/>
                <w:kern w:val="2"/>
                <w:sz w:val="24"/>
                <w:szCs w:val="24"/>
                <w:highlight w:val="none"/>
                <w:u w:val="single"/>
                <w:lang w:val="zh-CN" w:eastAsia="zh-CN" w:bidi="ar-SA"/>
              </w:rPr>
              <w:t>本次招标，招标代理费按照《招标代理服务收费管理暂行办法》(计价格[2002]1980号) 货物/服务类标准，</w:t>
            </w:r>
            <w:r>
              <w:rPr>
                <w:rFonts w:hint="eastAsia" w:ascii="仿宋" w:hAnsi="仿宋" w:eastAsia="仿宋" w:cs="仿宋"/>
                <w:snapToGrid w:val="0"/>
                <w:color w:val="auto"/>
                <w:kern w:val="2"/>
                <w:sz w:val="24"/>
                <w:szCs w:val="24"/>
                <w:highlight w:val="none"/>
                <w:u w:val="single"/>
                <w:lang w:val="en-US" w:eastAsia="zh-CN" w:bidi="ar-SA"/>
              </w:rPr>
              <w:t>优惠后按照</w:t>
            </w:r>
            <w:r>
              <w:rPr>
                <w:rFonts w:hint="eastAsia" w:ascii="仿宋" w:hAnsi="仿宋" w:eastAsia="仿宋" w:cs="仿宋"/>
                <w:snapToGrid w:val="0"/>
                <w:color w:val="auto"/>
                <w:kern w:val="2"/>
                <w:sz w:val="24"/>
                <w:szCs w:val="24"/>
                <w:highlight w:val="none"/>
                <w:u w:val="single"/>
                <w:lang w:val="zh-CN" w:eastAsia="zh-CN" w:bidi="ar-SA"/>
              </w:rPr>
              <w:t>标段一按照566</w:t>
            </w:r>
            <w:r>
              <w:rPr>
                <w:rFonts w:hint="eastAsia" w:ascii="仿宋" w:hAnsi="仿宋" w:eastAsia="仿宋" w:cs="仿宋"/>
                <w:snapToGrid w:val="0"/>
                <w:color w:val="auto"/>
                <w:kern w:val="2"/>
                <w:sz w:val="24"/>
                <w:szCs w:val="24"/>
                <w:highlight w:val="none"/>
                <w:u w:val="single"/>
                <w:lang w:val="en-US" w:eastAsia="zh-CN" w:bidi="ar-SA"/>
              </w:rPr>
              <w:t>00</w:t>
            </w:r>
            <w:r>
              <w:rPr>
                <w:rFonts w:hint="eastAsia" w:ascii="仿宋" w:hAnsi="仿宋" w:eastAsia="仿宋" w:cs="仿宋"/>
                <w:snapToGrid w:val="0"/>
                <w:color w:val="auto"/>
                <w:kern w:val="2"/>
                <w:sz w:val="24"/>
                <w:szCs w:val="24"/>
                <w:highlight w:val="none"/>
                <w:u w:val="single"/>
                <w:lang w:val="zh-CN" w:eastAsia="zh-CN" w:bidi="ar-SA"/>
              </w:rPr>
              <w:t>元计取；标段二按照</w:t>
            </w:r>
            <w:r>
              <w:rPr>
                <w:rFonts w:hint="eastAsia" w:ascii="仿宋" w:hAnsi="仿宋" w:eastAsia="仿宋" w:cs="仿宋"/>
                <w:snapToGrid w:val="0"/>
                <w:color w:val="auto"/>
                <w:kern w:val="2"/>
                <w:sz w:val="24"/>
                <w:szCs w:val="24"/>
                <w:highlight w:val="none"/>
                <w:u w:val="single"/>
                <w:lang w:val="en-US" w:eastAsia="zh-CN" w:bidi="ar-SA"/>
              </w:rPr>
              <w:t>8000元计取；采购代理服务费</w:t>
            </w:r>
            <w:r>
              <w:rPr>
                <w:rFonts w:hint="eastAsia" w:ascii="仿宋" w:hAnsi="仿宋" w:eastAsia="仿宋" w:cs="仿宋"/>
                <w:snapToGrid w:val="0"/>
                <w:color w:val="auto"/>
                <w:kern w:val="2"/>
                <w:sz w:val="24"/>
                <w:szCs w:val="24"/>
                <w:highlight w:val="none"/>
                <w:u w:val="single"/>
                <w:lang w:val="zh-CN" w:eastAsia="zh-CN" w:bidi="ar-SA"/>
              </w:rPr>
              <w:t>由中标人在领取中标（成交）通知书之前将代理服务费用支付给招标代理机构；</w:t>
            </w:r>
          </w:p>
          <w:p>
            <w:pPr>
              <w:snapToGrid w:val="0"/>
              <w:rPr>
                <w:rFonts w:hint="eastAsia" w:ascii="仿宋" w:hAnsi="仿宋" w:eastAsia="仿宋" w:cs="仿宋"/>
                <w:snapToGrid w:val="0"/>
                <w:color w:val="auto"/>
                <w:kern w:val="2"/>
                <w:sz w:val="24"/>
                <w:szCs w:val="24"/>
                <w:highlight w:val="none"/>
                <w:lang w:val="zh-CN" w:eastAsia="zh-CN" w:bidi="ar-SA"/>
              </w:rPr>
            </w:pPr>
            <w:r>
              <w:rPr>
                <w:rFonts w:hint="eastAsia" w:ascii="仿宋" w:hAnsi="仿宋" w:eastAsia="仿宋" w:cs="仿宋"/>
                <w:snapToGrid w:val="0"/>
                <w:color w:val="auto"/>
                <w:kern w:val="2"/>
                <w:sz w:val="24"/>
                <w:szCs w:val="24"/>
                <w:highlight w:val="none"/>
                <w:lang w:val="zh-CN" w:eastAsia="zh-CN" w:bidi="ar-SA"/>
              </w:rPr>
              <w:sym w:font="Wingdings" w:char="F0FE"/>
            </w:r>
            <w:r>
              <w:rPr>
                <w:rFonts w:hint="eastAsia" w:ascii="仿宋" w:hAnsi="仿宋" w:eastAsia="仿宋" w:cs="仿宋"/>
                <w:snapToGrid w:val="0"/>
                <w:color w:val="auto"/>
                <w:kern w:val="2"/>
                <w:sz w:val="24"/>
                <w:szCs w:val="24"/>
                <w:highlight w:val="none"/>
                <w:lang w:val="en-US" w:eastAsia="zh-CN" w:bidi="ar-SA"/>
              </w:rPr>
              <w:t>政府采购</w:t>
            </w:r>
            <w:r>
              <w:rPr>
                <w:rFonts w:hint="eastAsia" w:ascii="仿宋" w:hAnsi="仿宋" w:eastAsia="仿宋" w:cs="仿宋"/>
                <w:snapToGrid w:val="0"/>
                <w:color w:val="auto"/>
                <w:kern w:val="2"/>
                <w:sz w:val="24"/>
                <w:szCs w:val="24"/>
                <w:highlight w:val="none"/>
                <w:lang w:val="zh-CN" w:eastAsia="zh-CN" w:bidi="ar-SA"/>
              </w:rPr>
              <w:t>履约验收费用（包含第三方检测及评审费用），本项目政府采购履约验收费用由中标单位承担；</w:t>
            </w:r>
          </w:p>
          <w:p>
            <w:pPr>
              <w:snapToGrid w:val="0"/>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i/>
                <w:iCs/>
                <w:snapToGrid w:val="0"/>
                <w:color w:val="auto"/>
                <w:kern w:val="2"/>
                <w:sz w:val="24"/>
                <w:szCs w:val="24"/>
                <w:highlight w:val="none"/>
                <w:lang w:val="zh-CN" w:eastAsia="zh-CN" w:bidi="ar-SA"/>
              </w:rPr>
              <w:sym w:font="Wingdings" w:char="00A8"/>
            </w:r>
            <w:r>
              <w:rPr>
                <w:rFonts w:hint="eastAsia" w:ascii="仿宋" w:hAnsi="仿宋" w:eastAsia="仿宋" w:cs="仿宋"/>
                <w:i/>
                <w:iCs/>
                <w:snapToGrid w:val="0"/>
                <w:color w:val="auto"/>
                <w:kern w:val="2"/>
                <w:sz w:val="24"/>
                <w:szCs w:val="24"/>
                <w:highlight w:val="none"/>
                <w:u w:val="single"/>
                <w:lang w:val="zh-CN" w:eastAsia="zh-CN" w:bidi="ar-SA"/>
              </w:rPr>
              <w:t xml:space="preserve"> </w:t>
            </w:r>
            <w:r>
              <w:rPr>
                <w:rFonts w:hint="eastAsia" w:ascii="仿宋" w:hAnsi="仿宋" w:eastAsia="仿宋" w:cs="仿宋"/>
                <w:i/>
                <w:iCs/>
                <w:snapToGrid w:val="0"/>
                <w:color w:val="auto"/>
                <w:kern w:val="2"/>
                <w:sz w:val="24"/>
                <w:szCs w:val="24"/>
                <w:highlight w:val="none"/>
                <w:u w:val="single"/>
                <w:lang w:val="en-US" w:eastAsia="zh-CN" w:bidi="ar-SA"/>
              </w:rPr>
              <w:t xml:space="preserve">其他：  </w:t>
            </w:r>
            <w:r>
              <w:rPr>
                <w:rFonts w:hint="eastAsia" w:ascii="仿宋" w:hAnsi="仿宋" w:eastAsia="仿宋" w:cs="仿宋"/>
                <w:i/>
                <w:iCs/>
                <w:snapToGrid w:val="0"/>
                <w:color w:val="auto"/>
                <w:kern w:val="2"/>
                <w:sz w:val="24"/>
                <w:szCs w:val="24"/>
                <w:highlight w:val="none"/>
                <w:u w:val="single"/>
                <w:lang w:val="zh-CN" w:eastAsia="zh-CN" w:bidi="ar-SA"/>
              </w:rPr>
              <w:t xml:space="preserve">              </w:t>
            </w:r>
            <w:r>
              <w:rPr>
                <w:rFonts w:hint="eastAsia" w:ascii="仿宋" w:hAnsi="仿宋" w:eastAsia="仿宋" w:cs="仿宋"/>
                <w:i/>
                <w:iCs/>
                <w:snapToGrid w:val="0"/>
                <w:color w:val="auto"/>
                <w:kern w:val="2"/>
                <w:sz w:val="24"/>
                <w:szCs w:val="24"/>
                <w:highlight w:val="none"/>
                <w:lang w:val="zh-CN" w:eastAsia="zh-CN" w:bidi="ar-SA"/>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975"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Cs/>
                <w:color w:val="auto"/>
                <w:kern w:val="0"/>
                <w:sz w:val="24"/>
                <w:szCs w:val="24"/>
                <w:highlight w:val="none"/>
              </w:rPr>
            </w:pPr>
            <w:r>
              <w:rPr>
                <w:rFonts w:hint="eastAsia" w:ascii="仿宋" w:hAnsi="仿宋" w:eastAsia="仿宋" w:cs="仿宋"/>
                <w:b w:val="0"/>
                <w:bCs w:val="0"/>
                <w:color w:val="auto"/>
                <w:sz w:val="24"/>
                <w:szCs w:val="24"/>
                <w:highlight w:val="none"/>
                <w:lang w:val="en-US" w:eastAsia="zh-CN"/>
              </w:rPr>
              <w:t>特别说明</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如果发现本采购文件中存在含糊不清、相互矛盾、多种含义以及歧视性不公正条款或违法违规等内容时，请投标人在获取采购文件后，答疑截止时间前按要求书面提出，逾期视同自动放弃疑问提出的权利或采购人不作答复。</w:t>
            </w:r>
          </w:p>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snapToGrid w:val="0"/>
                <w:color w:val="auto"/>
                <w:kern w:val="0"/>
                <w:sz w:val="24"/>
                <w:szCs w:val="24"/>
                <w:highlight w:val="none"/>
                <w:lang w:val="en-US" w:eastAsia="zh-CN"/>
              </w:rPr>
              <w:t>（2）该项目中标公示期间，投标人不得通过非正当途径、更不得通过非正当手段获取法律法规规定评标委员会（包括其他相关人员）应当保密的相关内容。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779"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35</w:t>
            </w:r>
          </w:p>
        </w:tc>
        <w:tc>
          <w:tcPr>
            <w:tcW w:w="1826" w:type="dxa"/>
            <w:noWrap w:val="0"/>
            <w:vAlign w:val="center"/>
          </w:tcPr>
          <w:p>
            <w:pPr>
              <w:keepNext w:val="0"/>
              <w:keepLines w:val="0"/>
              <w:pageBreakBefore w:val="0"/>
              <w:kinsoku/>
              <w:wordWrap/>
              <w:overflowPunct/>
              <w:topLinePunct w:val="0"/>
              <w:bidi w:val="0"/>
              <w:adjustRightInd w:val="0"/>
              <w:snapToGrid/>
              <w:spacing w:line="24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i/>
                <w:iCs/>
                <w:color w:val="auto"/>
                <w:sz w:val="24"/>
                <w:szCs w:val="24"/>
                <w:highlight w:val="none"/>
                <w:lang w:val="en-US" w:eastAsia="zh-CN"/>
              </w:rPr>
              <w:t>项目需要增加的其他约定</w:t>
            </w:r>
          </w:p>
        </w:tc>
        <w:tc>
          <w:tcPr>
            <w:tcW w:w="6499" w:type="dxa"/>
            <w:noWrap w:val="0"/>
            <w:vAlign w:val="center"/>
          </w:tcPr>
          <w:p>
            <w:pPr>
              <w:keepNext w:val="0"/>
              <w:keepLines w:val="0"/>
              <w:pageBreakBefore w:val="0"/>
              <w:kinsoku/>
              <w:wordWrap/>
              <w:overflowPunct/>
              <w:topLinePunct w:val="0"/>
              <w:bidi w:val="0"/>
              <w:adjustRightInd w:val="0"/>
              <w:snapToGrid/>
              <w:spacing w:line="240" w:lineRule="auto"/>
              <w:textAlignment w:val="auto"/>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无</w:t>
            </w:r>
          </w:p>
        </w:tc>
      </w:tr>
    </w:tbl>
    <w:p>
      <w:pPr>
        <w:adjustRightInd/>
        <w:spacing w:line="360" w:lineRule="auto"/>
        <w:jc w:val="center"/>
        <w:outlineLvl w:val="1"/>
        <w:rPr>
          <w:rStyle w:val="82"/>
          <w:rFonts w:hint="eastAsia" w:ascii="仿宋" w:hAnsi="仿宋" w:eastAsia="仿宋" w:cs="仿宋"/>
          <w:color w:val="auto"/>
          <w:kern w:val="2"/>
          <w:highlight w:val="none"/>
          <w:lang w:val="zh-CN" w:eastAsia="zh-CN" w:bidi="ar-SA"/>
        </w:rPr>
      </w:pPr>
      <w:r>
        <w:rPr>
          <w:rStyle w:val="82"/>
          <w:rFonts w:hint="eastAsia" w:ascii="仿宋" w:hAnsi="仿宋" w:eastAsia="仿宋" w:cs="仿宋"/>
          <w:color w:val="auto"/>
          <w:highlight w:val="none"/>
        </w:rPr>
        <w:br w:type="page"/>
      </w:r>
      <w:bookmarkEnd w:id="10"/>
      <w:bookmarkStart w:id="16" w:name="_Toc18105"/>
      <w:bookmarkStart w:id="17" w:name="第三部分"/>
      <w:bookmarkStart w:id="18" w:name="_Toc164416483"/>
      <w:r>
        <w:rPr>
          <w:rStyle w:val="82"/>
          <w:rFonts w:hint="eastAsia" w:ascii="仿宋" w:hAnsi="仿宋" w:eastAsia="仿宋" w:cs="仿宋"/>
          <w:color w:val="auto"/>
          <w:kern w:val="2"/>
          <w:highlight w:val="none"/>
          <w:lang w:val="zh-CN" w:eastAsia="zh-CN" w:bidi="ar-SA"/>
        </w:rPr>
        <w:t>一、总则</w:t>
      </w:r>
      <w:bookmarkEnd w:id="16"/>
    </w:p>
    <w:p>
      <w:pPr>
        <w:tabs>
          <w:tab w:val="left" w:pos="540"/>
          <w:tab w:val="left" w:pos="900"/>
        </w:tabs>
        <w:snapToGrid w:val="0"/>
        <w:spacing w:line="360" w:lineRule="auto"/>
        <w:ind w:firstLine="480" w:firstLineChars="200"/>
        <w:rPr>
          <w:rFonts w:hint="eastAsia" w:ascii="仿宋" w:hAnsi="仿宋" w:eastAsia="仿宋" w:cs="仿宋"/>
          <w:color w:val="auto"/>
          <w:sz w:val="24"/>
          <w:highlight w:val="none"/>
        </w:rPr>
      </w:pPr>
      <w:bookmarkStart w:id="19" w:name="_Toc29857"/>
      <w:bookmarkStart w:id="20" w:name="_Toc5882"/>
      <w:r>
        <w:rPr>
          <w:rFonts w:hint="eastAsia" w:ascii="仿宋" w:hAnsi="仿宋" w:eastAsia="仿宋" w:cs="仿宋"/>
          <w:color w:val="auto"/>
          <w:sz w:val="24"/>
          <w:highlight w:val="none"/>
        </w:rPr>
        <w:t>本项目采购是按照</w:t>
      </w:r>
      <w:r>
        <w:rPr>
          <w:rFonts w:hint="eastAsia" w:ascii="仿宋" w:hAnsi="仿宋" w:eastAsia="仿宋" w:cs="仿宋"/>
          <w:b w:val="0"/>
          <w:bCs w:val="0"/>
          <w:color w:val="auto"/>
          <w:sz w:val="24"/>
          <w:szCs w:val="24"/>
          <w:highlight w:val="none"/>
          <w:lang w:eastAsia="zh-CN"/>
        </w:rPr>
        <w:t>《中华人民共和国政府采购法》、《政府采购货物和服务招标投标管理办法》（财政部第87号令）、《浙江省政府采购项目电子交易管理暂行办法》（浙财采监〔2019〕10号）</w:t>
      </w:r>
      <w:r>
        <w:rPr>
          <w:rFonts w:hint="eastAsia" w:ascii="仿宋" w:hAnsi="仿宋" w:eastAsia="仿宋" w:cs="仿宋"/>
          <w:color w:val="auto"/>
          <w:sz w:val="24"/>
          <w:highlight w:val="none"/>
        </w:rPr>
        <w:t>等法律及有关法规组织和实施的。</w:t>
      </w:r>
    </w:p>
    <w:p>
      <w:pPr>
        <w:snapToGrid w:val="0"/>
        <w:spacing w:line="360" w:lineRule="auto"/>
        <w:ind w:firstLine="361" w:firstLineChars="150"/>
        <w:jc w:val="left"/>
        <w:outlineLvl w:val="2"/>
        <w:rPr>
          <w:rFonts w:hint="eastAsia" w:ascii="仿宋" w:hAnsi="仿宋" w:eastAsia="仿宋" w:cs="仿宋"/>
          <w:b/>
          <w:color w:val="auto"/>
          <w:sz w:val="24"/>
          <w:highlight w:val="none"/>
        </w:rPr>
      </w:pPr>
      <w:bookmarkStart w:id="21" w:name="_Toc27055"/>
      <w:r>
        <w:rPr>
          <w:rFonts w:hint="eastAsia" w:ascii="仿宋" w:hAnsi="仿宋" w:eastAsia="仿宋" w:cs="仿宋"/>
          <w:b/>
          <w:color w:val="auto"/>
          <w:sz w:val="24"/>
          <w:highlight w:val="none"/>
        </w:rPr>
        <w:t>1. 适用范围</w:t>
      </w:r>
      <w:bookmarkEnd w:id="19"/>
      <w:bookmarkEnd w:id="20"/>
      <w:bookmarkEnd w:id="21"/>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bookmarkStart w:id="22" w:name="_Toc3235"/>
      <w:bookmarkStart w:id="23" w:name="_Toc19066"/>
      <w:bookmarkStart w:id="24" w:name="_Toc31546"/>
      <w:r>
        <w:rPr>
          <w:rFonts w:hint="eastAsia" w:ascii="仿宋" w:hAnsi="仿宋" w:eastAsia="仿宋" w:cs="仿宋"/>
          <w:b/>
          <w:color w:val="auto"/>
          <w:sz w:val="24"/>
          <w:highlight w:val="none"/>
        </w:rPr>
        <w:t>2.定义</w:t>
      </w:r>
      <w:bookmarkEnd w:id="22"/>
      <w:bookmarkEnd w:id="23"/>
      <w:bookmarkEnd w:id="24"/>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均</w:t>
      </w:r>
      <w:r>
        <w:rPr>
          <w:rFonts w:hint="eastAsia" w:ascii="仿宋" w:hAnsi="仿宋" w:eastAsia="仿宋" w:cs="仿宋"/>
          <w:color w:val="auto"/>
          <w:sz w:val="24"/>
          <w:highlight w:val="none"/>
        </w:rPr>
        <w:t>系指是指响应招标、参加投标竞争的法人、其他组织或者自然人。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2.7 </w:t>
      </w:r>
      <w:r>
        <w:rPr>
          <w:rFonts w:hint="eastAsia" w:ascii="仿宋" w:hAnsi="仿宋" w:eastAsia="仿宋" w:cs="仿宋"/>
          <w:b w:val="0"/>
          <w:bCs w:val="0"/>
          <w:color w:val="auto"/>
          <w:sz w:val="24"/>
          <w:highlight w:val="none"/>
          <w:u w:val="none"/>
        </w:rPr>
        <w:t>“▲”</w:t>
      </w:r>
      <w:r>
        <w:rPr>
          <w:rFonts w:hint="eastAsia" w:ascii="仿宋" w:hAnsi="仿宋" w:eastAsia="仿宋" w:cs="仿宋"/>
          <w:b w:val="0"/>
          <w:bCs w:val="0"/>
          <w:snapToGrid w:val="0"/>
          <w:color w:val="auto"/>
          <w:kern w:val="28"/>
          <w:sz w:val="24"/>
          <w:szCs w:val="20"/>
          <w:highlight w:val="none"/>
          <w:u w:val="none"/>
        </w:rPr>
        <w:t>且加下划线的条款</w:t>
      </w:r>
      <w:r>
        <w:rPr>
          <w:rFonts w:hint="eastAsia" w:ascii="仿宋" w:hAnsi="仿宋" w:eastAsia="仿宋" w:cs="仿宋"/>
          <w:b w:val="0"/>
          <w:bCs w:val="0"/>
          <w:color w:val="auto"/>
          <w:sz w:val="24"/>
          <w:highlight w:val="none"/>
          <w:u w:val="none"/>
        </w:rPr>
        <w:t>系指实质性要求条款，</w:t>
      </w:r>
      <w:r>
        <w:rPr>
          <w:rFonts w:hint="eastAsia" w:ascii="仿宋" w:hAnsi="仿宋" w:eastAsia="仿宋" w:cs="仿宋"/>
          <w:color w:val="auto"/>
          <w:sz w:val="24"/>
          <w:highlight w:val="none"/>
        </w:rPr>
        <w:t>“★”系产品采购项目中单一产品或核心产品，“</w:t>
      </w: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 系指适用本项目的要求，“</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 系指不适用本项目的要求。</w:t>
      </w:r>
    </w:p>
    <w:p>
      <w:pPr>
        <w:spacing w:line="360" w:lineRule="auto"/>
        <w:ind w:firstLine="241" w:firstLineChars="100"/>
        <w:outlineLvl w:val="2"/>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合格投标人要求</w:t>
      </w:r>
    </w:p>
    <w:p>
      <w:pPr>
        <w:tabs>
          <w:tab w:val="left" w:pos="540"/>
          <w:tab w:val="left" w:pos="900"/>
        </w:tabs>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3.1合格的投标人应满足招标文件第一部分“招标公告”对申请人的资格要求。</w:t>
      </w:r>
    </w:p>
    <w:p>
      <w:pPr>
        <w:snapToGrid w:val="0"/>
        <w:spacing w:line="360" w:lineRule="auto"/>
        <w:ind w:firstLine="504" w:firstLineChars="200"/>
        <w:rPr>
          <w:rFonts w:hint="eastAsia" w:ascii="仿宋" w:hAnsi="仿宋" w:eastAsia="仿宋" w:cs="仿宋"/>
          <w:bCs/>
          <w:color w:val="auto"/>
          <w:spacing w:val="6"/>
          <w:sz w:val="24"/>
          <w:highlight w:val="none"/>
        </w:rPr>
      </w:pPr>
      <w:r>
        <w:rPr>
          <w:rFonts w:hint="eastAsia" w:ascii="仿宋" w:hAnsi="仿宋" w:eastAsia="仿宋" w:cs="仿宋"/>
          <w:bCs/>
          <w:color w:val="auto"/>
          <w:spacing w:val="6"/>
          <w:sz w:val="24"/>
          <w:highlight w:val="none"/>
        </w:rPr>
        <w:t>3.2</w:t>
      </w:r>
      <w:r>
        <w:rPr>
          <w:rFonts w:hint="eastAsia" w:ascii="仿宋" w:hAnsi="仿宋" w:eastAsia="仿宋" w:cs="仿宋"/>
          <w:b/>
          <w:color w:val="auto"/>
          <w:kern w:val="0"/>
          <w:sz w:val="24"/>
          <w:highlight w:val="none"/>
          <w:u w:val="single"/>
        </w:rPr>
        <w:t>▲</w:t>
      </w:r>
      <w:r>
        <w:rPr>
          <w:rFonts w:hint="eastAsia" w:ascii="仿宋" w:hAnsi="仿宋" w:eastAsia="仿宋" w:cs="仿宋"/>
          <w:b/>
          <w:bCs/>
          <w:color w:val="auto"/>
          <w:spacing w:val="6"/>
          <w:sz w:val="24"/>
          <w:highlight w:val="none"/>
          <w:u w:val="singl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r>
        <w:rPr>
          <w:rFonts w:hint="eastAsia" w:ascii="仿宋" w:hAnsi="仿宋" w:eastAsia="仿宋" w:cs="仿宋"/>
          <w:bCs/>
          <w:color w:val="auto"/>
          <w:spacing w:val="6"/>
          <w:sz w:val="24"/>
          <w:highlight w:val="none"/>
        </w:rPr>
        <w:t>。</w:t>
      </w:r>
    </w:p>
    <w:p>
      <w:pPr>
        <w:tabs>
          <w:tab w:val="left" w:pos="540"/>
          <w:tab w:val="left" w:pos="900"/>
        </w:tabs>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投标人可授权投标人代表以投标人名义参加本次采购的投标活动（包括投标文件的签署、澄清、说明、补正、递交、撤回、修改等以及签订合同和处理有关事宜）。如果投标人代表不是法定代表人(负责人)，须持有《法定代表人(负责人)授权书》。</w:t>
      </w:r>
    </w:p>
    <w:p>
      <w:pPr>
        <w:snapToGrid w:val="0"/>
        <w:spacing w:line="360" w:lineRule="auto"/>
        <w:ind w:firstLine="504" w:firstLineChars="200"/>
        <w:rPr>
          <w:rFonts w:hint="eastAsia" w:ascii="仿宋" w:hAnsi="仿宋" w:eastAsia="仿宋" w:cs="仿宋"/>
          <w:bCs/>
          <w:color w:val="auto"/>
          <w:spacing w:val="6"/>
          <w:sz w:val="24"/>
          <w:highlight w:val="none"/>
        </w:rPr>
      </w:pPr>
      <w:r>
        <w:rPr>
          <w:rFonts w:hint="eastAsia" w:ascii="仿宋" w:hAnsi="仿宋" w:eastAsia="仿宋" w:cs="仿宋"/>
          <w:bCs/>
          <w:color w:val="auto"/>
          <w:spacing w:val="6"/>
          <w:sz w:val="24"/>
          <w:highlight w:val="none"/>
          <w:lang w:val="en-US" w:eastAsia="zh-CN"/>
        </w:rPr>
        <w:t>3.4</w:t>
      </w:r>
      <w:r>
        <w:rPr>
          <w:rFonts w:hint="eastAsia" w:ascii="仿宋" w:hAnsi="仿宋" w:eastAsia="仿宋" w:cs="仿宋"/>
          <w:bCs/>
          <w:color w:val="auto"/>
          <w:spacing w:val="6"/>
          <w:sz w:val="24"/>
          <w:highlight w:val="none"/>
        </w:rPr>
        <w:t>采用最低评标价法的</w:t>
      </w:r>
      <w:r>
        <w:rPr>
          <w:rFonts w:hint="eastAsia" w:ascii="仿宋" w:hAnsi="仿宋" w:eastAsia="仿宋" w:cs="仿宋"/>
          <w:color w:val="auto"/>
          <w:sz w:val="24"/>
          <w:highlight w:val="none"/>
        </w:rPr>
        <w:t>货物类</w:t>
      </w:r>
      <w:r>
        <w:rPr>
          <w:rFonts w:hint="eastAsia" w:ascii="仿宋" w:hAnsi="仿宋" w:eastAsia="仿宋" w:cs="仿宋"/>
          <w:bCs/>
          <w:color w:val="auto"/>
          <w:spacing w:val="6"/>
          <w:sz w:val="24"/>
          <w:highlight w:val="none"/>
        </w:rPr>
        <w:t>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snapToGrid w:val="0"/>
        <w:spacing w:line="360" w:lineRule="auto"/>
        <w:ind w:firstLine="504" w:firstLineChars="200"/>
        <w:rPr>
          <w:rFonts w:hint="eastAsia" w:ascii="仿宋" w:hAnsi="仿宋" w:eastAsia="仿宋" w:cs="仿宋"/>
          <w:bCs/>
          <w:color w:val="auto"/>
          <w:spacing w:val="6"/>
          <w:sz w:val="24"/>
          <w:highlight w:val="none"/>
        </w:rPr>
      </w:pPr>
      <w:r>
        <w:rPr>
          <w:rFonts w:hint="eastAsia" w:ascii="仿宋" w:hAnsi="仿宋" w:eastAsia="仿宋" w:cs="仿宋"/>
          <w:bCs/>
          <w:color w:val="auto"/>
          <w:spacing w:val="6"/>
          <w:sz w:val="24"/>
          <w:highlight w:val="none"/>
        </w:rPr>
        <w:t>使用综合评分法的</w:t>
      </w:r>
      <w:r>
        <w:rPr>
          <w:rFonts w:hint="eastAsia" w:ascii="仿宋" w:hAnsi="仿宋" w:eastAsia="仿宋" w:cs="仿宋"/>
          <w:color w:val="auto"/>
          <w:sz w:val="24"/>
          <w:highlight w:val="none"/>
        </w:rPr>
        <w:t>货物类</w:t>
      </w:r>
      <w:r>
        <w:rPr>
          <w:rFonts w:hint="eastAsia" w:ascii="仿宋" w:hAnsi="仿宋" w:eastAsia="仿宋" w:cs="仿宋"/>
          <w:bCs/>
          <w:color w:val="auto"/>
          <w:spacing w:val="6"/>
          <w:sz w:val="24"/>
          <w:highlight w:val="none"/>
        </w:rPr>
        <w:t>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napToGrid w:val="0"/>
        <w:spacing w:line="360" w:lineRule="auto"/>
        <w:ind w:firstLine="504" w:firstLineChars="200"/>
        <w:rPr>
          <w:rFonts w:hint="eastAsia" w:ascii="仿宋" w:hAnsi="仿宋" w:eastAsia="仿宋" w:cs="仿宋"/>
          <w:bCs/>
          <w:color w:val="auto"/>
          <w:spacing w:val="6"/>
          <w:sz w:val="24"/>
          <w:highlight w:val="none"/>
        </w:rPr>
      </w:pPr>
      <w:r>
        <w:rPr>
          <w:rFonts w:hint="eastAsia" w:ascii="仿宋" w:hAnsi="仿宋" w:eastAsia="仿宋" w:cs="仿宋"/>
          <w:bCs/>
          <w:color w:val="auto"/>
          <w:spacing w:val="6"/>
          <w:sz w:val="24"/>
          <w:highlight w:val="none"/>
        </w:rPr>
        <w:t>非单一产品采购项目，多家投标人提供的核心产品（见</w:t>
      </w:r>
      <w:r>
        <w:rPr>
          <w:rFonts w:hint="eastAsia" w:ascii="仿宋" w:hAnsi="仿宋" w:eastAsia="仿宋" w:cs="仿宋"/>
          <w:color w:val="auto"/>
          <w:sz w:val="24"/>
          <w:highlight w:val="none"/>
        </w:rPr>
        <w:t>投标人须知前附表</w:t>
      </w:r>
      <w:r>
        <w:rPr>
          <w:rFonts w:hint="eastAsia" w:ascii="仿宋" w:hAnsi="仿宋" w:eastAsia="仿宋" w:cs="仿宋"/>
          <w:bCs/>
          <w:color w:val="auto"/>
          <w:spacing w:val="6"/>
          <w:sz w:val="24"/>
          <w:highlight w:val="none"/>
        </w:rPr>
        <w:t>）品牌相同的，按前两款规定处理。</w:t>
      </w:r>
    </w:p>
    <w:p>
      <w:pPr>
        <w:snapToGrid w:val="0"/>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货物类是否允许采购进口产品、是否要求节能/环境标志产品等情况见投标人须知前附表。</w:t>
      </w:r>
    </w:p>
    <w:p>
      <w:pPr>
        <w:spacing w:line="360" w:lineRule="auto"/>
        <w:ind w:firstLine="241" w:firstLineChars="100"/>
        <w:outlineLvl w:val="2"/>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采购项目需要落实的政府采购政策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.1 </w:t>
      </w:r>
      <w:r>
        <w:rPr>
          <w:rFonts w:hint="eastAsia" w:ascii="仿宋" w:hAnsi="仿宋" w:eastAsia="仿宋" w:cs="仿宋"/>
          <w:color w:val="auto"/>
          <w:sz w:val="24"/>
          <w:highlight w:val="none"/>
          <w:lang w:eastAsia="zh-CN"/>
        </w:rPr>
        <w:t>根据《政府采购进口产品管理办法》的通知（财库〔2007〕119 号）文件相关规定，</w:t>
      </w:r>
      <w:r>
        <w:rPr>
          <w:rFonts w:hint="eastAsia" w:ascii="仿宋" w:hAnsi="仿宋" w:eastAsia="仿宋" w:cs="仿宋"/>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不会对其加以限制，仍将按照公平竞争原则实施采购）。</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 支持绿色发展</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color w:val="auto"/>
          <w:sz w:val="24"/>
          <w:highlight w:val="none"/>
          <w:u w:val="single"/>
        </w:rPr>
        <w:t>▲</w:t>
      </w:r>
      <w:r>
        <w:rPr>
          <w:rFonts w:hint="eastAsia" w:ascii="仿宋" w:hAnsi="仿宋" w:eastAsia="仿宋" w:cs="仿宋"/>
          <w:b/>
          <w:color w:val="auto"/>
          <w:sz w:val="24"/>
          <w:highlight w:val="none"/>
          <w:u w:val="singl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.3支持中小企业发展</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.3.2</w:t>
      </w:r>
      <w:r>
        <w:rPr>
          <w:rFonts w:hint="eastAsia" w:ascii="仿宋" w:hAnsi="仿宋" w:eastAsia="仿宋" w:cs="仿宋"/>
          <w:color w:val="auto"/>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.3.2.1在货物采购项目中，货物由中小企业制造，即货物由中小企业生产且使用该中小企业商号或者注册商标；</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.3.2.2在工程采购项目中，工程由中小企业承建，即工程施工单位为中小企业；</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中小企业享受扶持政策获得政府采购合同的，小微企业不得将合同分包给大中型企业，中型企业不得将合同分包给大型企业。</w:t>
      </w:r>
    </w:p>
    <w:p>
      <w:pPr>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4.4</w:t>
      </w:r>
      <w:r>
        <w:rPr>
          <w:rFonts w:hint="eastAsia" w:ascii="仿宋" w:hAnsi="仿宋" w:eastAsia="仿宋" w:cs="仿宋"/>
          <w:color w:val="auto"/>
          <w:sz w:val="22"/>
          <w:szCs w:val="22"/>
          <w:highlight w:val="none"/>
        </w:rPr>
        <w:t>中小企业信用融资：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pPr>
        <w:snapToGrid w:val="0"/>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snapToGrid w:val="0"/>
          <w:color w:val="auto"/>
          <w:kern w:val="28"/>
          <w:sz w:val="22"/>
          <w:szCs w:val="22"/>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pPr>
        <w:spacing w:line="360" w:lineRule="auto"/>
        <w:outlineLvl w:val="2"/>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lang w:val="en-US" w:eastAsia="zh-CN"/>
        </w:rPr>
        <w:t>5</w:t>
      </w:r>
      <w:r>
        <w:rPr>
          <w:rFonts w:hint="eastAsia" w:ascii="仿宋" w:hAnsi="仿宋" w:eastAsia="仿宋" w:cs="仿宋"/>
          <w:b/>
          <w:color w:val="auto"/>
          <w:sz w:val="22"/>
          <w:szCs w:val="22"/>
          <w:highlight w:val="none"/>
        </w:rPr>
        <w:t>. 询问、质疑、投诉</w:t>
      </w:r>
    </w:p>
    <w:p>
      <w:pPr>
        <w:autoSpaceDE w:val="0"/>
        <w:autoSpaceDN w:val="0"/>
        <w:spacing w:line="360" w:lineRule="auto"/>
        <w:ind w:firstLine="220" w:firstLineChars="100"/>
        <w:jc w:val="left"/>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.1供应商询问</w:t>
      </w:r>
    </w:p>
    <w:p>
      <w:pPr>
        <w:autoSpaceDE w:val="0"/>
        <w:autoSpaceDN w:val="0"/>
        <w:spacing w:line="360" w:lineRule="auto"/>
        <w:ind w:firstLine="440" w:firstLineChars="200"/>
        <w:jc w:val="left"/>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20" w:firstLineChars="100"/>
        <w:jc w:val="left"/>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.2供应商质疑</w:t>
      </w:r>
    </w:p>
    <w:p>
      <w:pPr>
        <w:pStyle w:val="7"/>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w:t>
      </w:r>
      <w:r>
        <w:rPr>
          <w:rFonts w:hint="eastAsia" w:ascii="仿宋" w:hAnsi="仿宋" w:eastAsia="仿宋" w:cs="仿宋"/>
          <w:color w:val="auto"/>
          <w:sz w:val="22"/>
          <w:szCs w:val="22"/>
          <w:highlight w:val="none"/>
        </w:rPr>
        <w:t>.1提出质疑的供应商应当是参与所质疑项目采购活动的供应商。潜在供应商已依法获取其可质疑的招标文件的，可以对该文件提出质疑。</w:t>
      </w:r>
    </w:p>
    <w:p>
      <w:pPr>
        <w:spacing w:line="360" w:lineRule="auto"/>
        <w:ind w:firstLine="440" w:firstLineChars="200"/>
        <w:rPr>
          <w:rFonts w:hint="eastAsia" w:ascii="仿宋" w:hAnsi="仿宋" w:eastAsia="仿宋" w:cs="仿宋"/>
          <w:color w:val="auto"/>
          <w:sz w:val="22"/>
          <w:szCs w:val="22"/>
          <w:highlight w:val="none"/>
          <w:lang w:eastAsia="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w:t>
      </w:r>
      <w:r>
        <w:rPr>
          <w:rFonts w:hint="eastAsia" w:ascii="仿宋" w:hAnsi="仿宋" w:eastAsia="仿宋" w:cs="仿宋"/>
          <w:color w:val="auto"/>
          <w:sz w:val="22"/>
          <w:szCs w:val="22"/>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2"/>
          <w:szCs w:val="22"/>
          <w:highlight w:val="none"/>
          <w:lang w:eastAsia="zh-CN"/>
        </w:rPr>
        <w:t>采购代理机构</w:t>
      </w:r>
      <w:r>
        <w:rPr>
          <w:rFonts w:hint="eastAsia" w:ascii="仿宋" w:hAnsi="仿宋" w:eastAsia="仿宋" w:cs="仿宋"/>
          <w:color w:val="auto"/>
          <w:sz w:val="22"/>
          <w:szCs w:val="22"/>
          <w:highlight w:val="none"/>
        </w:rPr>
        <w:t>提出质疑，否则，采购人或者</w:t>
      </w:r>
      <w:r>
        <w:rPr>
          <w:rFonts w:hint="eastAsia" w:ascii="仿宋" w:hAnsi="仿宋" w:eastAsia="仿宋" w:cs="仿宋"/>
          <w:color w:val="auto"/>
          <w:sz w:val="22"/>
          <w:szCs w:val="22"/>
          <w:highlight w:val="none"/>
          <w:lang w:eastAsia="zh-CN"/>
        </w:rPr>
        <w:t>采购代理机构</w:t>
      </w:r>
      <w:r>
        <w:rPr>
          <w:rFonts w:hint="eastAsia" w:ascii="仿宋" w:hAnsi="仿宋" w:eastAsia="仿宋" w:cs="仿宋"/>
          <w:color w:val="auto"/>
          <w:sz w:val="22"/>
          <w:szCs w:val="22"/>
          <w:highlight w:val="none"/>
        </w:rPr>
        <w:t>不予受理</w:t>
      </w:r>
      <w:r>
        <w:rPr>
          <w:rFonts w:hint="eastAsia" w:ascii="仿宋" w:hAnsi="仿宋" w:eastAsia="仿宋" w:cs="仿宋"/>
          <w:color w:val="auto"/>
          <w:sz w:val="22"/>
          <w:szCs w:val="22"/>
          <w:highlight w:val="none"/>
          <w:lang w:eastAsia="zh-CN"/>
        </w:rPr>
        <w:t>。</w:t>
      </w:r>
    </w:p>
    <w:p>
      <w:pPr>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19"/>
        <w:spacing w:line="360" w:lineRule="auto"/>
        <w:ind w:firstLine="440" w:firstLineChars="200"/>
        <w:rPr>
          <w:rFonts w:hint="eastAsia" w:ascii="仿宋" w:hAnsi="仿宋" w:eastAsia="仿宋" w:cs="仿宋"/>
          <w:snapToGrid/>
          <w:color w:val="auto"/>
          <w:kern w:val="2"/>
          <w:sz w:val="22"/>
          <w:szCs w:val="22"/>
          <w:highlight w:val="none"/>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.2.2.</w:t>
      </w:r>
      <w:r>
        <w:rPr>
          <w:rFonts w:hint="eastAsia" w:ascii="仿宋" w:hAnsi="仿宋" w:eastAsia="仿宋" w:cs="仿宋"/>
          <w:color w:val="auto"/>
          <w:sz w:val="22"/>
          <w:szCs w:val="22"/>
          <w:highlight w:val="none"/>
          <w:lang w:val="en-US" w:eastAsia="zh-CN"/>
        </w:rPr>
        <w:t>1</w:t>
      </w:r>
      <w:r>
        <w:rPr>
          <w:rFonts w:hint="eastAsia" w:ascii="仿宋" w:hAnsi="仿宋" w:eastAsia="仿宋" w:cs="仿宋"/>
          <w:snapToGrid/>
          <w:color w:val="auto"/>
          <w:kern w:val="2"/>
          <w:sz w:val="22"/>
          <w:szCs w:val="22"/>
          <w:highlight w:val="none"/>
        </w:rPr>
        <w:t>对招标文件提出质疑的，质疑期限为供应商获得招标文件之日或者招标文件公告期限届满之日起计算。</w:t>
      </w:r>
    </w:p>
    <w:p>
      <w:pPr>
        <w:pStyle w:val="7"/>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.2.2.</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对采购过程提出质疑的，质疑期限为各采购程序环节结束之日起计算。对同一采购程序环节的质疑，供应商须一次性提出。</w:t>
      </w:r>
    </w:p>
    <w:p>
      <w:pPr>
        <w:pStyle w:val="7"/>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.2.2.</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对采购结果提出质疑的，质疑期限自采购结果公告期限届满之日起计算。</w:t>
      </w:r>
    </w:p>
    <w:p>
      <w:pPr>
        <w:pStyle w:val="7"/>
        <w:spacing w:line="360" w:lineRule="auto"/>
        <w:ind w:firstLine="440" w:firstLineChars="200"/>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.2.3</w:t>
      </w:r>
      <w:r>
        <w:rPr>
          <w:rFonts w:hint="eastAsia" w:ascii="仿宋" w:hAnsi="仿宋" w:eastAsia="仿宋" w:cs="仿宋"/>
          <w:color w:val="auto"/>
          <w:sz w:val="22"/>
          <w:szCs w:val="22"/>
          <w:highlight w:val="none"/>
        </w:rPr>
        <w:t>供应商提出质疑应当提交质疑函和必要的证明材料。质疑函应当包括下列内容：</w:t>
      </w:r>
    </w:p>
    <w:p>
      <w:pPr>
        <w:pStyle w:val="7"/>
        <w:spacing w:line="360" w:lineRule="auto"/>
        <w:ind w:firstLine="440" w:firstLineChars="200"/>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.2.3.1供应商的姓名或者名称、地址、邮编、联系人及联系电话；</w:t>
      </w:r>
    </w:p>
    <w:p>
      <w:pPr>
        <w:pStyle w:val="7"/>
        <w:spacing w:line="360" w:lineRule="auto"/>
        <w:ind w:firstLine="440" w:firstLineChars="200"/>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.2.3.2质疑项目的名称、编号；</w:t>
      </w:r>
    </w:p>
    <w:p>
      <w:pPr>
        <w:pStyle w:val="7"/>
        <w:spacing w:line="360" w:lineRule="auto"/>
        <w:ind w:firstLine="440" w:firstLineChars="200"/>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.2.3.3具体、明确的质疑事项和与质疑事项相关的请求；</w:t>
      </w:r>
    </w:p>
    <w:p>
      <w:pPr>
        <w:pStyle w:val="7"/>
        <w:spacing w:line="360" w:lineRule="auto"/>
        <w:ind w:firstLine="440" w:firstLineChars="200"/>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.2.3.4事实依据；</w:t>
      </w:r>
    </w:p>
    <w:p>
      <w:pPr>
        <w:pStyle w:val="7"/>
        <w:spacing w:line="360" w:lineRule="auto"/>
        <w:ind w:firstLine="440" w:firstLineChars="200"/>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en-US" w:eastAsia="zh-CN"/>
        </w:rPr>
        <w:t>5</w:t>
      </w:r>
      <w:r>
        <w:rPr>
          <w:rFonts w:hint="eastAsia" w:ascii="仿宋" w:hAnsi="仿宋" w:eastAsia="仿宋" w:cs="仿宋"/>
          <w:color w:val="auto"/>
          <w:kern w:val="0"/>
          <w:sz w:val="22"/>
          <w:szCs w:val="22"/>
          <w:highlight w:val="none"/>
          <w:lang w:val="zh-CN"/>
        </w:rPr>
        <w:t>.2.3.5必要的法律依据；</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lang w:val="zh-CN"/>
        </w:rPr>
        <w:t>.2.3.6提出质疑的日期。</w:t>
      </w:r>
    </w:p>
    <w:p>
      <w:pPr>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供应商为自然人的，应当由本人签字；供应商为法人或者其他组织的，应当由法定代表人、主要负责人，或者其授权代表签字或者盖章，并加盖公章。</w:t>
      </w:r>
    </w:p>
    <w:p>
      <w:pPr>
        <w:spacing w:line="360" w:lineRule="auto"/>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质疑函范本及制作说明详见附件2。</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lang w:val="zh-CN"/>
        </w:rPr>
        <w:t>.2.4采购人或者</w:t>
      </w:r>
      <w:r>
        <w:rPr>
          <w:rFonts w:hint="eastAsia" w:ascii="仿宋" w:hAnsi="仿宋" w:eastAsia="仿宋" w:cs="仿宋"/>
          <w:color w:val="auto"/>
          <w:sz w:val="22"/>
          <w:szCs w:val="22"/>
          <w:highlight w:val="none"/>
          <w:lang w:val="zh-CN" w:eastAsia="zh-CN"/>
        </w:rPr>
        <w:t>采购代理机构</w:t>
      </w:r>
      <w:r>
        <w:rPr>
          <w:rFonts w:hint="eastAsia" w:ascii="仿宋" w:hAnsi="仿宋" w:eastAsia="仿宋" w:cs="仿宋"/>
          <w:color w:val="auto"/>
          <w:sz w:val="22"/>
          <w:szCs w:val="22"/>
          <w:highlight w:val="none"/>
          <w:lang w:val="zh-CN"/>
        </w:rPr>
        <w:t>应当在收到供应商的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w:t>
      </w:r>
      <w:r>
        <w:rPr>
          <w:rFonts w:hint="eastAsia" w:ascii="仿宋" w:hAnsi="仿宋" w:eastAsia="仿宋" w:cs="仿宋"/>
          <w:color w:val="auto"/>
          <w:sz w:val="22"/>
          <w:szCs w:val="22"/>
          <w:highlight w:val="none"/>
          <w:lang w:val="zh-CN" w:eastAsia="zh-CN"/>
        </w:rPr>
        <w:t>采购代理机构</w:t>
      </w:r>
      <w:r>
        <w:rPr>
          <w:rFonts w:hint="eastAsia" w:ascii="仿宋" w:hAnsi="仿宋" w:eastAsia="仿宋" w:cs="仿宋"/>
          <w:color w:val="auto"/>
          <w:sz w:val="22"/>
          <w:szCs w:val="22"/>
          <w:highlight w:val="none"/>
          <w:lang w:val="zh-CN"/>
        </w:rPr>
        <w:t>在质疑回复后5个工作日内，在浙江政府采购网的“其他公告”栏目公开质疑答复，答复内容应当完整。质疑函作为附件上传。</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lang w:val="zh-CN"/>
        </w:rPr>
        <w:t>.2.5询问或者质疑事项可能影响采购结果的，采购人应当暂停签订合同，已经签订合同的，应当中止履行合同。</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lang w:val="zh-CN"/>
        </w:rPr>
        <w:t>.3供应商投诉</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5.3.1质疑供应商对采购人、</w:t>
      </w:r>
      <w:r>
        <w:rPr>
          <w:rFonts w:hint="eastAsia" w:ascii="仿宋" w:hAnsi="仿宋" w:eastAsia="仿宋" w:cs="仿宋"/>
          <w:color w:val="auto"/>
          <w:sz w:val="22"/>
          <w:szCs w:val="22"/>
          <w:highlight w:val="none"/>
          <w:lang w:val="zh-CN" w:eastAsia="zh-CN"/>
        </w:rPr>
        <w:t>采购代理机构</w:t>
      </w:r>
      <w:r>
        <w:rPr>
          <w:rFonts w:hint="eastAsia" w:ascii="仿宋" w:hAnsi="仿宋" w:eastAsia="仿宋" w:cs="仿宋"/>
          <w:color w:val="auto"/>
          <w:sz w:val="22"/>
          <w:szCs w:val="22"/>
          <w:highlight w:val="none"/>
          <w:lang w:val="zh-CN"/>
        </w:rPr>
        <w:t>的答复不满意或者采购人、</w:t>
      </w:r>
      <w:r>
        <w:rPr>
          <w:rFonts w:hint="eastAsia" w:ascii="仿宋" w:hAnsi="仿宋" w:eastAsia="仿宋" w:cs="仿宋"/>
          <w:color w:val="auto"/>
          <w:sz w:val="22"/>
          <w:szCs w:val="22"/>
          <w:highlight w:val="none"/>
          <w:lang w:val="zh-CN" w:eastAsia="zh-CN"/>
        </w:rPr>
        <w:t>采购代理机构</w:t>
      </w:r>
      <w:r>
        <w:rPr>
          <w:rFonts w:hint="eastAsia" w:ascii="仿宋" w:hAnsi="仿宋" w:eastAsia="仿宋" w:cs="仿宋"/>
          <w:color w:val="auto"/>
          <w:sz w:val="22"/>
          <w:szCs w:val="22"/>
          <w:highlight w:val="none"/>
          <w:lang w:val="zh-CN"/>
        </w:rPr>
        <w:t>未在规定的时间内作出答复的，可以在答复期满后十五个工作日内向同级政府采购监督管理部门提出投诉。</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5.3.2供应商投诉的事项不得超出已质疑事项的范围，基于质疑答复内容提出的投诉事项除外。</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5.3.3供应商投诉应当有明确的请求和必要的证明材料。</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5.3.5 以联合体形式参加政府采购活动的，其投诉应当由组成联合体的所有供应商共同提出。</w:t>
      </w:r>
    </w:p>
    <w:p>
      <w:pPr>
        <w:spacing w:line="360" w:lineRule="auto"/>
        <w:ind w:firstLine="440" w:firstLineChars="200"/>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投诉书范本及制作说明详见附件3。</w:t>
      </w:r>
    </w:p>
    <w:p>
      <w:pPr>
        <w:adjustRightInd/>
        <w:spacing w:line="360" w:lineRule="auto"/>
        <w:jc w:val="center"/>
        <w:outlineLvl w:val="1"/>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w:t>
      </w:r>
      <w:r>
        <w:rPr>
          <w:rStyle w:val="82"/>
          <w:rFonts w:hint="eastAsia" w:ascii="仿宋" w:hAnsi="仿宋" w:eastAsia="仿宋" w:cs="仿宋"/>
          <w:color w:val="auto"/>
          <w:highlight w:val="none"/>
        </w:rPr>
        <w:t xml:space="preserve"> </w:t>
      </w:r>
      <w:r>
        <w:rPr>
          <w:rStyle w:val="82"/>
          <w:rFonts w:hint="eastAsia" w:ascii="仿宋" w:hAnsi="仿宋" w:eastAsia="仿宋" w:cs="仿宋"/>
          <w:color w:val="auto"/>
          <w:highlight w:val="none"/>
          <w:lang w:val="zh-CN" w:eastAsia="zh-CN"/>
        </w:rPr>
        <w:t xml:space="preserve">  </w:t>
      </w:r>
      <w:bookmarkStart w:id="25" w:name="_Toc13895"/>
      <w:r>
        <w:rPr>
          <w:rStyle w:val="82"/>
          <w:rFonts w:hint="eastAsia" w:ascii="仿宋" w:hAnsi="仿宋" w:eastAsia="仿宋" w:cs="仿宋"/>
          <w:color w:val="auto"/>
          <w:highlight w:val="none"/>
          <w:lang w:val="zh-CN" w:eastAsia="zh-CN"/>
        </w:rPr>
        <w:t>二、招标文件的构成、澄清、修改</w:t>
      </w:r>
      <w:bookmarkEnd w:id="25"/>
    </w:p>
    <w:p>
      <w:pPr>
        <w:pStyle w:val="7"/>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．招标文件的构成</w:t>
      </w:r>
    </w:p>
    <w:p>
      <w:pPr>
        <w:pStyle w:val="7"/>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6.1</w:t>
      </w:r>
      <w:r>
        <w:rPr>
          <w:rFonts w:hint="eastAsia" w:ascii="仿宋" w:hAnsi="仿宋" w:eastAsia="仿宋" w:cs="仿宋"/>
          <w:color w:val="auto"/>
          <w:sz w:val="24"/>
          <w:szCs w:val="24"/>
          <w:highlight w:val="none"/>
        </w:rPr>
        <w:t xml:space="preserve"> 招标文件包括下列文件及附件：</w:t>
      </w:r>
    </w:p>
    <w:p>
      <w:pPr>
        <w:pStyle w:val="7"/>
        <w:tabs>
          <w:tab w:val="left" w:pos="84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6.1</w:t>
      </w:r>
      <w:r>
        <w:rPr>
          <w:rFonts w:hint="eastAsia" w:ascii="仿宋" w:hAnsi="仿宋" w:eastAsia="仿宋" w:cs="仿宋"/>
          <w:color w:val="auto"/>
          <w:sz w:val="24"/>
          <w:szCs w:val="24"/>
          <w:highlight w:val="none"/>
        </w:rPr>
        <w:t>.1招标公告；</w:t>
      </w:r>
    </w:p>
    <w:p>
      <w:pPr>
        <w:pStyle w:val="7"/>
        <w:tabs>
          <w:tab w:val="left" w:pos="84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6.1</w:t>
      </w:r>
      <w:r>
        <w:rPr>
          <w:rFonts w:hint="eastAsia" w:ascii="仿宋" w:hAnsi="仿宋" w:eastAsia="仿宋" w:cs="仿宋"/>
          <w:color w:val="auto"/>
          <w:sz w:val="24"/>
          <w:szCs w:val="24"/>
          <w:highlight w:val="none"/>
        </w:rPr>
        <w:t>.2投标人须知；</w:t>
      </w:r>
    </w:p>
    <w:p>
      <w:pPr>
        <w:pStyle w:val="7"/>
        <w:tabs>
          <w:tab w:val="left" w:pos="84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6.1</w:t>
      </w:r>
      <w:r>
        <w:rPr>
          <w:rFonts w:hint="eastAsia" w:ascii="仿宋" w:hAnsi="仿宋" w:eastAsia="仿宋" w:cs="仿宋"/>
          <w:color w:val="auto"/>
          <w:sz w:val="24"/>
          <w:szCs w:val="24"/>
          <w:highlight w:val="none"/>
        </w:rPr>
        <w:t>.3采购需求；</w:t>
      </w:r>
    </w:p>
    <w:p>
      <w:pPr>
        <w:pStyle w:val="7"/>
        <w:tabs>
          <w:tab w:val="left" w:pos="84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6.1</w:t>
      </w:r>
      <w:r>
        <w:rPr>
          <w:rFonts w:hint="eastAsia" w:ascii="仿宋" w:hAnsi="仿宋" w:eastAsia="仿宋" w:cs="仿宋"/>
          <w:color w:val="auto"/>
          <w:sz w:val="24"/>
          <w:szCs w:val="24"/>
          <w:highlight w:val="none"/>
        </w:rPr>
        <w:t>.4评标办法；</w:t>
      </w:r>
    </w:p>
    <w:p>
      <w:pPr>
        <w:pStyle w:val="7"/>
        <w:tabs>
          <w:tab w:val="left" w:pos="84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6.1</w:t>
      </w:r>
      <w:r>
        <w:rPr>
          <w:rFonts w:hint="eastAsia" w:ascii="仿宋" w:hAnsi="仿宋" w:eastAsia="仿宋" w:cs="仿宋"/>
          <w:color w:val="auto"/>
          <w:sz w:val="24"/>
          <w:szCs w:val="24"/>
          <w:highlight w:val="none"/>
        </w:rPr>
        <w:t>.5拟签订的合同文本；</w:t>
      </w:r>
    </w:p>
    <w:p>
      <w:pPr>
        <w:pStyle w:val="7"/>
        <w:tabs>
          <w:tab w:val="left" w:pos="84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6.1</w:t>
      </w:r>
      <w:r>
        <w:rPr>
          <w:rFonts w:hint="eastAsia" w:ascii="仿宋" w:hAnsi="仿宋" w:eastAsia="仿宋" w:cs="仿宋"/>
          <w:color w:val="auto"/>
          <w:sz w:val="24"/>
          <w:highlight w:val="none"/>
        </w:rPr>
        <w:t>.6</w:t>
      </w:r>
      <w:r>
        <w:rPr>
          <w:rFonts w:hint="eastAsia" w:ascii="仿宋" w:hAnsi="仿宋" w:eastAsia="仿宋" w:cs="仿宋"/>
          <w:color w:val="auto"/>
          <w:sz w:val="24"/>
          <w:szCs w:val="24"/>
          <w:highlight w:val="none"/>
        </w:rPr>
        <w:t>应提交的有关格式范例。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pPr>
        <w:pStyle w:val="7"/>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rPr>
        <w:t>. 招标文件的澄清、修改</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.1已获取招标文件的潜在投标人，若有问题需要澄清，应于投标截止时间前，以书面形式向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 xml:space="preserve">.2 </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pStyle w:val="6"/>
        <w:bidi w:val="0"/>
        <w:jc w:val="center"/>
        <w:rPr>
          <w:rFonts w:hint="eastAsia" w:ascii="仿宋" w:hAnsi="仿宋" w:eastAsia="仿宋" w:cs="仿宋"/>
          <w:color w:val="auto"/>
          <w:highlight w:val="none"/>
          <w:lang w:val="zh-CN" w:eastAsia="zh-CN"/>
        </w:rPr>
      </w:pPr>
      <w:bookmarkStart w:id="26" w:name="_Toc22850"/>
      <w:r>
        <w:rPr>
          <w:rFonts w:hint="eastAsia" w:ascii="仿宋" w:hAnsi="仿宋" w:eastAsia="仿宋" w:cs="仿宋"/>
          <w:color w:val="auto"/>
          <w:highlight w:val="none"/>
          <w:lang w:val="zh-CN" w:eastAsia="zh-CN"/>
        </w:rPr>
        <w:t>三、投标</w:t>
      </w:r>
      <w:bookmarkEnd w:id="26"/>
    </w:p>
    <w:p>
      <w:pPr>
        <w:pStyle w:val="7"/>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 招标文件的获取</w:t>
      </w:r>
    </w:p>
    <w:p>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pPr>
        <w:pStyle w:val="7"/>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.开标前答疑会或现场考察</w:t>
      </w:r>
    </w:p>
    <w:p>
      <w:pPr>
        <w:pStyle w:val="7"/>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pPr>
        <w:pStyle w:val="7"/>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lang w:val="en-US" w:eastAsia="zh-CN"/>
        </w:rPr>
        <w:t>1</w:t>
      </w:r>
      <w:r>
        <w:rPr>
          <w:rFonts w:hint="eastAsia" w:ascii="仿宋" w:hAnsi="仿宋" w:eastAsia="仿宋" w:cs="仿宋"/>
          <w:b/>
          <w:color w:val="auto"/>
          <w:kern w:val="28"/>
          <w:sz w:val="24"/>
          <w:szCs w:val="24"/>
          <w:highlight w:val="none"/>
          <w:lang w:val="en-US" w:eastAsia="zh-CN"/>
        </w:rPr>
        <w:t>0</w:t>
      </w:r>
      <w:r>
        <w:rPr>
          <w:rFonts w:hint="eastAsia" w:ascii="仿宋" w:hAnsi="仿宋" w:eastAsia="仿宋" w:cs="仿宋"/>
          <w:b/>
          <w:color w:val="auto"/>
          <w:kern w:val="28"/>
          <w:sz w:val="24"/>
          <w:szCs w:val="24"/>
          <w:highlight w:val="none"/>
        </w:rPr>
        <w:t>.投标保证金</w:t>
      </w:r>
    </w:p>
    <w:p>
      <w:pPr>
        <w:pStyle w:val="19"/>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7"/>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 投标文件的语言</w:t>
      </w:r>
    </w:p>
    <w:p>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pPr>
        <w:pStyle w:val="7"/>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tbl>
      <w:tblPr>
        <w:tblStyle w:val="62"/>
        <w:tblW w:w="0" w:type="auto"/>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7038"/>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30" w:lineRule="atLeast"/>
              <w:ind w:left="-63" w:leftChars="-30" w:right="-63" w:rightChars="-30"/>
              <w:textAlignment w:val="auto"/>
              <w:rPr>
                <w:rFonts w:hint="eastAsia" w:ascii="仿宋" w:hAnsi="仿宋" w:eastAsia="仿宋" w:cs="仿宋"/>
                <w:b/>
                <w:color w:val="auto"/>
                <w:sz w:val="22"/>
                <w:szCs w:val="22"/>
                <w:highlight w:val="none"/>
                <w:lang w:val="zh-CN"/>
              </w:rPr>
            </w:pPr>
            <w:r>
              <w:rPr>
                <w:rFonts w:hint="eastAsia" w:ascii="仿宋" w:hAnsi="仿宋" w:eastAsia="仿宋" w:cs="仿宋"/>
                <w:b/>
                <w:color w:val="auto"/>
                <w:sz w:val="22"/>
                <w:szCs w:val="22"/>
                <w:highlight w:val="none"/>
                <w:lang w:val="zh-CN"/>
              </w:rPr>
              <w:t>序号</w:t>
            </w:r>
          </w:p>
        </w:tc>
        <w:tc>
          <w:tcPr>
            <w:tcW w:w="7038" w:type="dxa"/>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30" w:lineRule="atLeast"/>
              <w:ind w:left="-63" w:leftChars="-30" w:right="-63" w:rightChars="-30"/>
              <w:jc w:val="center"/>
              <w:textAlignment w:val="auto"/>
              <w:rPr>
                <w:rFonts w:hint="eastAsia" w:ascii="仿宋" w:hAnsi="仿宋" w:eastAsia="仿宋" w:cs="仿宋"/>
                <w:b/>
                <w:color w:val="auto"/>
                <w:sz w:val="22"/>
                <w:szCs w:val="22"/>
                <w:highlight w:val="none"/>
                <w:lang w:val="zh-CN"/>
              </w:rPr>
            </w:pPr>
            <w:r>
              <w:rPr>
                <w:rFonts w:hint="eastAsia" w:ascii="仿宋" w:hAnsi="仿宋" w:eastAsia="仿宋" w:cs="仿宋"/>
                <w:b/>
                <w:color w:val="auto"/>
                <w:sz w:val="22"/>
                <w:szCs w:val="22"/>
                <w:highlight w:val="none"/>
                <w:lang w:val="zh-CN"/>
              </w:rPr>
              <w:t>内容</w:t>
            </w:r>
          </w:p>
        </w:tc>
        <w:tc>
          <w:tcPr>
            <w:tcW w:w="1641" w:type="dxa"/>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30" w:lineRule="atLeast"/>
              <w:ind w:left="-63" w:leftChars="-30" w:right="-63" w:rightChars="-30"/>
              <w:jc w:val="center"/>
              <w:textAlignment w:val="auto"/>
              <w:rPr>
                <w:rFonts w:hint="eastAsia" w:ascii="仿宋" w:hAnsi="仿宋" w:eastAsia="仿宋" w:cs="仿宋"/>
                <w:b/>
                <w:color w:val="auto"/>
                <w:sz w:val="22"/>
                <w:szCs w:val="22"/>
                <w:highlight w:val="none"/>
                <w:lang w:val="zh-CN"/>
              </w:rPr>
            </w:pPr>
            <w:r>
              <w:rPr>
                <w:rFonts w:hint="eastAsia" w:ascii="仿宋" w:hAnsi="仿宋" w:eastAsia="仿宋" w:cs="仿宋"/>
                <w:b/>
                <w:color w:val="auto"/>
                <w:sz w:val="22"/>
                <w:szCs w:val="22"/>
                <w:highlight w:val="none"/>
                <w:lang w:val="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center"/>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1</w:t>
            </w:r>
          </w:p>
        </w:tc>
        <w:tc>
          <w:tcPr>
            <w:tcW w:w="7038"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提供符合参加政府采购活动应当具备的一般条件的承诺函</w:t>
            </w:r>
          </w:p>
        </w:tc>
        <w:tc>
          <w:tcPr>
            <w:tcW w:w="1641"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格式详见附件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center"/>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2</w:t>
            </w:r>
          </w:p>
        </w:tc>
        <w:tc>
          <w:tcPr>
            <w:tcW w:w="7038"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有效的企业营业执照（或事业法人登记证书或其它工商等登记证明材料，自然人提供身份证)复制件（如为联合体，则联合体各方均应提供）（五选一）：</w:t>
            </w:r>
          </w:p>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①如投标人是企业（包括合伙企业），提供在工商部门注册的有效“企业法人营业执照”或“营业执照”；</w:t>
            </w:r>
          </w:p>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②如投标人是事业单位，提供有效的“事业单位法人证书”；</w:t>
            </w:r>
          </w:p>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③如投标人是非企业专业服务机构的，提供执业许可证等证明文件；</w:t>
            </w:r>
          </w:p>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④如投标人是个体工商户，提供有效的“个体工商户营业执照”；</w:t>
            </w:r>
          </w:p>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⑤如投标人是自然人，提供有效的自然人身份证明（居民身份证正反面或公安机关出具的临时居民身份证正反面或港澳台胞证或护照）。</w:t>
            </w:r>
          </w:p>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tc>
        <w:tc>
          <w:tcPr>
            <w:tcW w:w="1641"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7038"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联合协议</w:t>
            </w:r>
            <w:r>
              <w:rPr>
                <w:rFonts w:hint="eastAsia" w:ascii="仿宋" w:hAnsi="仿宋" w:eastAsia="仿宋" w:cs="仿宋"/>
                <w:color w:val="auto"/>
                <w:sz w:val="22"/>
                <w:szCs w:val="22"/>
                <w:highlight w:val="none"/>
                <w:lang w:eastAsia="zh-CN"/>
              </w:rPr>
              <w:t>（或</w:t>
            </w:r>
            <w:r>
              <w:rPr>
                <w:rFonts w:hint="eastAsia" w:ascii="仿宋" w:hAnsi="仿宋" w:eastAsia="仿宋" w:cs="仿宋"/>
                <w:color w:val="auto"/>
                <w:sz w:val="22"/>
                <w:szCs w:val="22"/>
                <w:highlight w:val="none"/>
              </w:rPr>
              <w:t>分包意向协议</w:t>
            </w:r>
            <w:r>
              <w:rPr>
                <w:rFonts w:hint="eastAsia" w:ascii="仿宋" w:hAnsi="仿宋" w:eastAsia="仿宋" w:cs="仿宋"/>
                <w:color w:val="auto"/>
                <w:sz w:val="22"/>
                <w:szCs w:val="22"/>
                <w:highlight w:val="none"/>
                <w:lang w:eastAsia="zh-CN"/>
              </w:rPr>
              <w:t>），如以联合体（分包）形式参与投标的，必须提供</w:t>
            </w:r>
            <w:r>
              <w:rPr>
                <w:rFonts w:hint="eastAsia" w:ascii="仿宋" w:hAnsi="仿宋" w:eastAsia="仿宋" w:cs="仿宋"/>
                <w:color w:val="auto"/>
                <w:sz w:val="22"/>
                <w:szCs w:val="22"/>
                <w:highlight w:val="none"/>
              </w:rPr>
              <w:t>；</w:t>
            </w:r>
          </w:p>
        </w:tc>
        <w:tc>
          <w:tcPr>
            <w:tcW w:w="1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格式详见附件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w:t>
            </w:r>
          </w:p>
        </w:tc>
        <w:tc>
          <w:tcPr>
            <w:tcW w:w="7038"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授权委托书或法定代表人（单位负责人、自然人本人）身份证明</w:t>
            </w:r>
          </w:p>
        </w:tc>
        <w:tc>
          <w:tcPr>
            <w:tcW w:w="16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格式详见附件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w:t>
            </w:r>
          </w:p>
        </w:tc>
        <w:tc>
          <w:tcPr>
            <w:tcW w:w="7038"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落实政府采购政策需满足的资格要求</w:t>
            </w:r>
            <w:r>
              <w:rPr>
                <w:rFonts w:hint="eastAsia" w:ascii="仿宋" w:hAnsi="仿宋" w:eastAsia="仿宋" w:cs="仿宋"/>
                <w:color w:val="auto"/>
                <w:sz w:val="22"/>
                <w:szCs w:val="22"/>
                <w:highlight w:val="none"/>
                <w:lang w:val="zh-CN" w:eastAsia="zh-CN"/>
              </w:rPr>
              <w:t>证明材料</w:t>
            </w:r>
          </w:p>
        </w:tc>
        <w:tc>
          <w:tcPr>
            <w:tcW w:w="1641"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w:t>
            </w:r>
          </w:p>
        </w:tc>
        <w:tc>
          <w:tcPr>
            <w:tcW w:w="7038"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rPr>
              <w:t>本项目的特定资格要求</w:t>
            </w:r>
            <w:r>
              <w:rPr>
                <w:rFonts w:hint="eastAsia" w:ascii="仿宋" w:hAnsi="仿宋" w:eastAsia="仿宋" w:cs="仿宋"/>
                <w:color w:val="auto"/>
                <w:sz w:val="22"/>
                <w:szCs w:val="22"/>
                <w:highlight w:val="none"/>
                <w:lang w:eastAsia="zh-CN"/>
              </w:rPr>
              <w:t>：</w:t>
            </w:r>
          </w:p>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zh-CN" w:eastAsia="zh-CN"/>
              </w:rPr>
              <w:t>标段一：</w:t>
            </w:r>
            <w:r>
              <w:rPr>
                <w:rFonts w:hint="eastAsia" w:ascii="仿宋" w:hAnsi="仿宋" w:eastAsia="仿宋" w:cs="仿宋"/>
                <w:color w:val="auto"/>
                <w:sz w:val="22"/>
                <w:szCs w:val="22"/>
                <w:highlight w:val="none"/>
                <w:lang w:val="en-US" w:eastAsia="zh-CN"/>
              </w:rPr>
              <w:t>提供具备地理信息系统工程、工程测量（含地下管线测量）甲级测绘资质证书证明材料。</w:t>
            </w:r>
          </w:p>
          <w:p>
            <w:pPr>
              <w:keepNext w:val="0"/>
              <w:keepLines w:val="0"/>
              <w:pageBreakBefore w:val="0"/>
              <w:widowControl w:val="0"/>
              <w:kinsoku/>
              <w:wordWrap/>
              <w:overflowPunct/>
              <w:topLinePunct w:val="0"/>
              <w:bidi w:val="0"/>
              <w:adjustRightInd w:val="0"/>
              <w:snapToGrid w:val="0"/>
              <w:spacing w:line="360" w:lineRule="auto"/>
              <w:ind w:left="-63" w:leftChars="-30" w:right="-63" w:rightChars="-30"/>
              <w:jc w:val="both"/>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标段二：提供具备地理信息系统工程监理、工程测量监理甲级测绘资质证明材料。</w:t>
            </w:r>
          </w:p>
        </w:tc>
        <w:tc>
          <w:tcPr>
            <w:tcW w:w="1641" w:type="dxa"/>
            <w:noWrap w:val="0"/>
            <w:vAlign w:val="center"/>
          </w:tcPr>
          <w:p>
            <w:pPr>
              <w:keepNext w:val="0"/>
              <w:keepLines w:val="0"/>
              <w:pageBreakBefore w:val="0"/>
              <w:widowControl w:val="0"/>
              <w:kinsoku/>
              <w:wordWrap/>
              <w:overflowPunct/>
              <w:topLinePunct w:val="0"/>
              <w:bidi w:val="0"/>
              <w:adjustRightInd w:val="0"/>
              <w:snapToGrid w:val="0"/>
              <w:spacing w:line="360" w:lineRule="auto"/>
              <w:ind w:left="-63" w:leftChars="-30" w:right="-63" w:rightChars="-30" w:firstLine="440" w:firstLineChars="200"/>
              <w:jc w:val="both"/>
              <w:textAlignment w:val="auto"/>
              <w:rPr>
                <w:rFonts w:hint="eastAsia" w:ascii="仿宋" w:hAnsi="仿宋" w:eastAsia="仿宋" w:cs="仿宋"/>
                <w:color w:val="auto"/>
                <w:sz w:val="22"/>
                <w:szCs w:val="22"/>
                <w:highlight w:val="none"/>
                <w:lang w:eastAsia="zh-CN"/>
              </w:rPr>
            </w:pPr>
          </w:p>
        </w:tc>
      </w:tr>
    </w:tbl>
    <w:p>
      <w:pPr>
        <w:snapToGrid w:val="0"/>
        <w:spacing w:line="360" w:lineRule="auto"/>
        <w:ind w:firstLine="482" w:firstLineChars="200"/>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1</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zh-CN"/>
        </w:rPr>
        <w:t xml:space="preserve">  </w:t>
      </w:r>
      <w:r>
        <w:rPr>
          <w:rFonts w:hint="eastAsia" w:ascii="仿宋" w:hAnsi="仿宋" w:eastAsia="仿宋" w:cs="仿宋"/>
          <w:b/>
          <w:bCs/>
          <w:color w:val="auto"/>
          <w:sz w:val="24"/>
          <w:highlight w:val="none"/>
        </w:rPr>
        <w:t>商务技术</w:t>
      </w:r>
      <w:r>
        <w:rPr>
          <w:rFonts w:hint="eastAsia" w:ascii="仿宋" w:hAnsi="仿宋" w:eastAsia="仿宋" w:cs="仿宋"/>
          <w:b/>
          <w:bCs/>
          <w:color w:val="auto"/>
          <w:sz w:val="24"/>
          <w:highlight w:val="none"/>
          <w:lang w:val="zh-CN"/>
        </w:rPr>
        <w:t>文件：</w:t>
      </w:r>
    </w:p>
    <w:tbl>
      <w:tblPr>
        <w:tblStyle w:val="62"/>
        <w:tblW w:w="0" w:type="auto"/>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7100"/>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top"/>
          </w:tcPr>
          <w:p>
            <w:pPr>
              <w:autoSpaceDE w:val="0"/>
              <w:autoSpaceDN w:val="0"/>
              <w:adjustRightInd w:val="0"/>
              <w:snapToGrid w:val="0"/>
              <w:spacing w:line="430" w:lineRule="atLeast"/>
              <w:rPr>
                <w:rFonts w:hint="eastAsia" w:ascii="仿宋" w:hAnsi="仿宋" w:eastAsia="仿宋" w:cs="仿宋"/>
                <w:b/>
                <w:color w:val="auto"/>
                <w:sz w:val="22"/>
                <w:highlight w:val="none"/>
                <w:lang w:val="zh-CN"/>
              </w:rPr>
            </w:pPr>
            <w:r>
              <w:rPr>
                <w:rFonts w:hint="eastAsia" w:ascii="仿宋" w:hAnsi="仿宋" w:eastAsia="仿宋" w:cs="仿宋"/>
                <w:b/>
                <w:color w:val="auto"/>
                <w:sz w:val="22"/>
                <w:highlight w:val="none"/>
                <w:lang w:val="zh-CN"/>
              </w:rPr>
              <w:t>序号</w:t>
            </w:r>
          </w:p>
        </w:tc>
        <w:tc>
          <w:tcPr>
            <w:tcW w:w="7100" w:type="dxa"/>
            <w:noWrap w:val="0"/>
            <w:vAlign w:val="top"/>
          </w:tcPr>
          <w:p>
            <w:pPr>
              <w:autoSpaceDE w:val="0"/>
              <w:autoSpaceDN w:val="0"/>
              <w:adjustRightInd w:val="0"/>
              <w:snapToGrid w:val="0"/>
              <w:spacing w:line="430" w:lineRule="atLeast"/>
              <w:jc w:val="center"/>
              <w:rPr>
                <w:rFonts w:hint="eastAsia" w:ascii="仿宋" w:hAnsi="仿宋" w:eastAsia="仿宋" w:cs="仿宋"/>
                <w:b/>
                <w:color w:val="auto"/>
                <w:sz w:val="22"/>
                <w:highlight w:val="none"/>
                <w:lang w:val="zh-CN"/>
              </w:rPr>
            </w:pPr>
            <w:r>
              <w:rPr>
                <w:rFonts w:hint="eastAsia" w:ascii="仿宋" w:hAnsi="仿宋" w:eastAsia="仿宋" w:cs="仿宋"/>
                <w:b/>
                <w:color w:val="auto"/>
                <w:sz w:val="22"/>
                <w:highlight w:val="none"/>
                <w:lang w:val="zh-CN"/>
              </w:rPr>
              <w:t>内容</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b/>
                <w:color w:val="auto"/>
                <w:sz w:val="22"/>
                <w:highlight w:val="none"/>
                <w:lang w:val="zh-CN"/>
              </w:rPr>
            </w:pPr>
            <w:r>
              <w:rPr>
                <w:rFonts w:hint="eastAsia" w:ascii="仿宋" w:hAnsi="仿宋" w:eastAsia="仿宋" w:cs="仿宋"/>
                <w:b/>
                <w:color w:val="auto"/>
                <w:sz w:val="22"/>
                <w:highlight w:val="none"/>
                <w:lang w:val="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pPr>
              <w:autoSpaceDE w:val="0"/>
              <w:autoSpaceDN w:val="0"/>
              <w:adjustRightInd w:val="0"/>
              <w:snapToGrid w:val="0"/>
              <w:spacing w:line="430" w:lineRule="atLeast"/>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1</w:t>
            </w:r>
          </w:p>
        </w:tc>
        <w:tc>
          <w:tcPr>
            <w:tcW w:w="7100" w:type="dxa"/>
            <w:noWrap w:val="0"/>
            <w:vAlign w:val="center"/>
          </w:tcPr>
          <w:p>
            <w:pPr>
              <w:spacing w:line="380" w:lineRule="exact"/>
              <w:jc w:val="both"/>
              <w:rPr>
                <w:rFonts w:hint="eastAsia" w:ascii="仿宋" w:hAnsi="仿宋" w:eastAsia="仿宋" w:cs="仿宋"/>
                <w:color w:val="auto"/>
                <w:sz w:val="22"/>
                <w:szCs w:val="22"/>
                <w:highlight w:val="none"/>
              </w:rPr>
            </w:pPr>
            <w:r>
              <w:rPr>
                <w:rFonts w:hint="eastAsia" w:ascii="仿宋" w:hAnsi="仿宋" w:eastAsia="仿宋" w:cs="仿宋"/>
                <w:color w:val="auto"/>
                <w:sz w:val="24"/>
                <w:highlight w:val="none"/>
              </w:rPr>
              <w:t>投标函；</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pPr>
              <w:autoSpaceDE w:val="0"/>
              <w:autoSpaceDN w:val="0"/>
              <w:adjustRightInd w:val="0"/>
              <w:snapToGrid w:val="0"/>
              <w:spacing w:line="430" w:lineRule="atLeast"/>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2</w:t>
            </w:r>
          </w:p>
        </w:tc>
        <w:tc>
          <w:tcPr>
            <w:tcW w:w="7100" w:type="dxa"/>
            <w:noWrap w:val="0"/>
            <w:vAlign w:val="top"/>
          </w:tcPr>
          <w:p>
            <w:pPr>
              <w:spacing w:line="38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评标标准相应的商务技术资料；</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pPr>
              <w:autoSpaceDE w:val="0"/>
              <w:autoSpaceDN w:val="0"/>
              <w:adjustRightInd w:val="0"/>
              <w:snapToGrid w:val="0"/>
              <w:spacing w:line="430" w:lineRule="atLeast"/>
              <w:jc w:val="center"/>
              <w:rPr>
                <w:rFonts w:hint="eastAsia" w:ascii="仿宋" w:hAnsi="仿宋" w:eastAsia="仿宋" w:cs="仿宋"/>
                <w:color w:val="auto"/>
                <w:sz w:val="22"/>
                <w:highlight w:val="none"/>
              </w:rPr>
            </w:pPr>
            <w:r>
              <w:rPr>
                <w:rFonts w:hint="eastAsia" w:ascii="仿宋" w:hAnsi="仿宋" w:eastAsia="仿宋" w:cs="仿宋"/>
                <w:color w:val="auto"/>
                <w:sz w:val="22"/>
                <w:highlight w:val="none"/>
              </w:rPr>
              <w:t>3</w:t>
            </w:r>
          </w:p>
        </w:tc>
        <w:tc>
          <w:tcPr>
            <w:tcW w:w="7100" w:type="dxa"/>
            <w:noWrap w:val="0"/>
            <w:vAlign w:val="top"/>
          </w:tcPr>
          <w:p>
            <w:pPr>
              <w:spacing w:line="380" w:lineRule="exact"/>
              <w:rPr>
                <w:rFonts w:hint="eastAsia" w:ascii="仿宋" w:hAnsi="仿宋" w:eastAsia="仿宋" w:cs="仿宋"/>
                <w:color w:val="auto"/>
                <w:sz w:val="22"/>
                <w:highlight w:val="none"/>
              </w:rPr>
            </w:pPr>
            <w:r>
              <w:rPr>
                <w:rFonts w:hint="eastAsia" w:ascii="仿宋" w:hAnsi="仿宋" w:eastAsia="仿宋" w:cs="仿宋"/>
                <w:color w:val="auto"/>
                <w:sz w:val="22"/>
                <w:highlight w:val="none"/>
              </w:rPr>
              <w:t>商务技术偏离表；</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pPr>
              <w:autoSpaceDE w:val="0"/>
              <w:autoSpaceDN w:val="0"/>
              <w:adjustRightInd w:val="0"/>
              <w:snapToGrid w:val="0"/>
              <w:spacing w:line="430" w:lineRule="atLeast"/>
              <w:jc w:val="center"/>
              <w:rPr>
                <w:rFonts w:hint="eastAsia" w:ascii="仿宋" w:hAnsi="仿宋" w:eastAsia="仿宋" w:cs="仿宋"/>
                <w:color w:val="auto"/>
                <w:sz w:val="22"/>
                <w:highlight w:val="none"/>
                <w:lang w:eastAsia="zh-CN"/>
              </w:rPr>
            </w:pPr>
            <w:r>
              <w:rPr>
                <w:rFonts w:hint="eastAsia" w:ascii="仿宋" w:hAnsi="仿宋" w:eastAsia="仿宋" w:cs="仿宋"/>
                <w:color w:val="auto"/>
                <w:sz w:val="22"/>
                <w:highlight w:val="none"/>
                <w:lang w:val="en-US" w:eastAsia="zh-CN"/>
              </w:rPr>
              <w:t>4</w:t>
            </w:r>
          </w:p>
        </w:tc>
        <w:tc>
          <w:tcPr>
            <w:tcW w:w="7100" w:type="dxa"/>
            <w:noWrap w:val="0"/>
            <w:vAlign w:val="top"/>
          </w:tcPr>
          <w:p>
            <w:pPr>
              <w:spacing w:line="380" w:lineRule="exact"/>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同类服务业绩一览表</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pPr>
              <w:autoSpaceDE w:val="0"/>
              <w:autoSpaceDN w:val="0"/>
              <w:adjustRightInd w:val="0"/>
              <w:snapToGrid w:val="0"/>
              <w:spacing w:line="430" w:lineRule="atLeast"/>
              <w:jc w:val="center"/>
              <w:rPr>
                <w:rFonts w:hint="eastAsia" w:ascii="仿宋" w:hAnsi="仿宋" w:eastAsia="仿宋" w:cs="仿宋"/>
                <w:color w:val="auto"/>
                <w:sz w:val="22"/>
                <w:highlight w:val="none"/>
                <w:lang w:eastAsia="zh-CN"/>
              </w:rPr>
            </w:pPr>
            <w:r>
              <w:rPr>
                <w:rFonts w:hint="eastAsia" w:ascii="仿宋" w:hAnsi="仿宋" w:eastAsia="仿宋" w:cs="仿宋"/>
                <w:color w:val="auto"/>
                <w:sz w:val="22"/>
                <w:highlight w:val="none"/>
                <w:lang w:val="en-US" w:eastAsia="zh-CN"/>
              </w:rPr>
              <w:t>5</w:t>
            </w:r>
          </w:p>
        </w:tc>
        <w:tc>
          <w:tcPr>
            <w:tcW w:w="7100" w:type="dxa"/>
            <w:noWrap w:val="0"/>
            <w:vAlign w:val="top"/>
          </w:tcPr>
          <w:p>
            <w:pPr>
              <w:spacing w:line="38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zh-CN"/>
              </w:rPr>
              <w:t>投标人认为需要提供的其他材料。</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pPr>
              <w:autoSpaceDE w:val="0"/>
              <w:autoSpaceDN w:val="0"/>
              <w:adjustRightInd w:val="0"/>
              <w:snapToGrid w:val="0"/>
              <w:spacing w:line="430" w:lineRule="atLeast"/>
              <w:jc w:val="center"/>
              <w:rPr>
                <w:rFonts w:hint="eastAsia" w:ascii="仿宋" w:hAnsi="仿宋" w:eastAsia="仿宋" w:cs="仿宋"/>
                <w:color w:val="auto"/>
                <w:sz w:val="22"/>
                <w:highlight w:val="none"/>
                <w:lang w:eastAsia="zh-CN"/>
              </w:rPr>
            </w:pPr>
            <w:r>
              <w:rPr>
                <w:rFonts w:hint="eastAsia" w:ascii="仿宋" w:hAnsi="仿宋" w:eastAsia="仿宋" w:cs="仿宋"/>
                <w:color w:val="auto"/>
                <w:sz w:val="22"/>
                <w:highlight w:val="none"/>
                <w:lang w:val="en-US" w:eastAsia="zh-CN"/>
              </w:rPr>
              <w:t>6</w:t>
            </w:r>
          </w:p>
        </w:tc>
        <w:tc>
          <w:tcPr>
            <w:tcW w:w="7100" w:type="dxa"/>
            <w:noWrap w:val="0"/>
            <w:vAlign w:val="center"/>
          </w:tcPr>
          <w:p>
            <w:pPr>
              <w:spacing w:line="380" w:lineRule="exact"/>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根据招标文件中的采购内容与技术要求、评标细则，需要提供的其它文件和资料。</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color w:val="auto"/>
                <w:sz w:val="22"/>
                <w:szCs w:val="22"/>
                <w:highlight w:val="none"/>
              </w:rPr>
            </w:pPr>
          </w:p>
        </w:tc>
      </w:tr>
    </w:tbl>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12.3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120"/>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pPr>
              <w:autoSpaceDE w:val="0"/>
              <w:autoSpaceDN w:val="0"/>
              <w:adjustRightInd w:val="0"/>
              <w:snapToGrid w:val="0"/>
              <w:spacing w:line="430" w:lineRule="atLeast"/>
              <w:jc w:val="center"/>
              <w:rPr>
                <w:rFonts w:hint="eastAsia" w:ascii="仿宋" w:hAnsi="仿宋" w:eastAsia="仿宋" w:cs="仿宋"/>
                <w:b/>
                <w:color w:val="auto"/>
                <w:sz w:val="22"/>
                <w:highlight w:val="none"/>
                <w:lang w:val="zh-CN"/>
              </w:rPr>
            </w:pPr>
            <w:r>
              <w:rPr>
                <w:rFonts w:hint="eastAsia" w:ascii="仿宋" w:hAnsi="仿宋" w:eastAsia="仿宋" w:cs="仿宋"/>
                <w:b/>
                <w:color w:val="auto"/>
                <w:sz w:val="22"/>
                <w:highlight w:val="none"/>
                <w:lang w:val="zh-CN"/>
              </w:rPr>
              <w:t>序号</w:t>
            </w:r>
          </w:p>
        </w:tc>
        <w:tc>
          <w:tcPr>
            <w:tcW w:w="7120" w:type="dxa"/>
            <w:noWrap w:val="0"/>
            <w:vAlign w:val="top"/>
          </w:tcPr>
          <w:p>
            <w:pPr>
              <w:autoSpaceDE w:val="0"/>
              <w:autoSpaceDN w:val="0"/>
              <w:adjustRightInd w:val="0"/>
              <w:snapToGrid w:val="0"/>
              <w:spacing w:line="430" w:lineRule="atLeast"/>
              <w:jc w:val="center"/>
              <w:rPr>
                <w:rFonts w:hint="eastAsia" w:ascii="仿宋" w:hAnsi="仿宋" w:eastAsia="仿宋" w:cs="仿宋"/>
                <w:b/>
                <w:color w:val="auto"/>
                <w:sz w:val="22"/>
                <w:highlight w:val="none"/>
                <w:lang w:val="zh-CN"/>
              </w:rPr>
            </w:pPr>
            <w:r>
              <w:rPr>
                <w:rFonts w:hint="eastAsia" w:ascii="仿宋" w:hAnsi="仿宋" w:eastAsia="仿宋" w:cs="仿宋"/>
                <w:b/>
                <w:color w:val="auto"/>
                <w:sz w:val="22"/>
                <w:highlight w:val="none"/>
                <w:lang w:val="zh-CN"/>
              </w:rPr>
              <w:t>内容</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b/>
                <w:color w:val="auto"/>
                <w:sz w:val="22"/>
                <w:highlight w:val="none"/>
                <w:lang w:val="zh-CN"/>
              </w:rPr>
            </w:pPr>
            <w:r>
              <w:rPr>
                <w:rFonts w:hint="eastAsia" w:ascii="仿宋" w:hAnsi="仿宋" w:eastAsia="仿宋" w:cs="仿宋"/>
                <w:b/>
                <w:color w:val="auto"/>
                <w:sz w:val="22"/>
                <w:highlight w:val="none"/>
                <w:lang w:val="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pPr>
              <w:autoSpaceDE w:val="0"/>
              <w:autoSpaceDN w:val="0"/>
              <w:adjustRightInd w:val="0"/>
              <w:snapToGrid w:val="0"/>
              <w:spacing w:line="430" w:lineRule="atLeast"/>
              <w:jc w:val="center"/>
              <w:rPr>
                <w:rFonts w:hint="eastAsia" w:ascii="仿宋" w:hAnsi="仿宋" w:eastAsia="仿宋" w:cs="仿宋"/>
                <w:b/>
                <w:color w:val="auto"/>
                <w:sz w:val="22"/>
                <w:highlight w:val="none"/>
                <w:lang w:val="zh-CN"/>
              </w:rPr>
            </w:pPr>
            <w:r>
              <w:rPr>
                <w:rFonts w:hint="eastAsia" w:ascii="仿宋" w:hAnsi="仿宋" w:eastAsia="仿宋" w:cs="仿宋"/>
                <w:b/>
                <w:color w:val="auto"/>
                <w:sz w:val="22"/>
                <w:highlight w:val="none"/>
                <w:lang w:val="zh-CN"/>
              </w:rPr>
              <w:t>1</w:t>
            </w:r>
          </w:p>
        </w:tc>
        <w:tc>
          <w:tcPr>
            <w:tcW w:w="7120" w:type="dxa"/>
            <w:noWrap w:val="0"/>
            <w:vAlign w:val="top"/>
          </w:tcPr>
          <w:p>
            <w:pPr>
              <w:autoSpaceDE w:val="0"/>
              <w:autoSpaceDN w:val="0"/>
              <w:adjustRightInd w:val="0"/>
              <w:snapToGrid w:val="0"/>
              <w:spacing w:line="430" w:lineRule="atLeas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开标一览表</w:t>
            </w:r>
            <w:r>
              <w:rPr>
                <w:rFonts w:hint="eastAsia" w:ascii="仿宋" w:hAnsi="仿宋" w:eastAsia="仿宋" w:cs="仿宋"/>
                <w:color w:val="auto"/>
                <w:sz w:val="22"/>
                <w:szCs w:val="22"/>
                <w:highlight w:val="none"/>
              </w:rPr>
              <w:t>；</w:t>
            </w:r>
          </w:p>
        </w:tc>
        <w:tc>
          <w:tcPr>
            <w:tcW w:w="1616" w:type="dxa"/>
            <w:noWrap w:val="0"/>
            <w:vAlign w:val="top"/>
          </w:tcPr>
          <w:p>
            <w:pPr>
              <w:autoSpaceDE w:val="0"/>
              <w:autoSpaceDN w:val="0"/>
              <w:adjustRightInd w:val="0"/>
              <w:spacing w:line="430" w:lineRule="atLeast"/>
              <w:jc w:val="center"/>
              <w:textAlignment w:val="bottom"/>
              <w:rPr>
                <w:rFonts w:hint="eastAsia" w:ascii="仿宋" w:hAnsi="仿宋" w:eastAsia="仿宋" w:cs="仿宋"/>
                <w:b/>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pPr>
              <w:autoSpaceDE w:val="0"/>
              <w:autoSpaceDN w:val="0"/>
              <w:adjustRightInd w:val="0"/>
              <w:snapToGrid w:val="0"/>
              <w:spacing w:line="430" w:lineRule="atLeast"/>
              <w:jc w:val="center"/>
              <w:rPr>
                <w:rFonts w:hint="eastAsia" w:ascii="仿宋" w:hAnsi="仿宋" w:eastAsia="仿宋" w:cs="仿宋"/>
                <w:b/>
                <w:color w:val="auto"/>
                <w:sz w:val="22"/>
                <w:highlight w:val="none"/>
                <w:lang w:val="zh-CN"/>
              </w:rPr>
            </w:pPr>
            <w:r>
              <w:rPr>
                <w:rFonts w:hint="eastAsia" w:ascii="仿宋" w:hAnsi="仿宋" w:eastAsia="仿宋" w:cs="仿宋"/>
                <w:b/>
                <w:color w:val="auto"/>
                <w:sz w:val="22"/>
                <w:highlight w:val="none"/>
              </w:rPr>
              <w:t>2</w:t>
            </w:r>
          </w:p>
        </w:tc>
        <w:tc>
          <w:tcPr>
            <w:tcW w:w="7120" w:type="dxa"/>
            <w:noWrap w:val="0"/>
            <w:vAlign w:val="top"/>
          </w:tcPr>
          <w:p>
            <w:pPr>
              <w:autoSpaceDE w:val="0"/>
              <w:autoSpaceDN w:val="0"/>
              <w:adjustRightInd w:val="0"/>
              <w:snapToGrid w:val="0"/>
              <w:spacing w:line="430" w:lineRule="atLeas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投标分项报价表；</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b/>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pPr>
              <w:autoSpaceDE w:val="0"/>
              <w:autoSpaceDN w:val="0"/>
              <w:adjustRightInd w:val="0"/>
              <w:snapToGrid w:val="0"/>
              <w:spacing w:line="430" w:lineRule="atLeast"/>
              <w:jc w:val="center"/>
              <w:rPr>
                <w:rFonts w:hint="eastAsia" w:ascii="仿宋" w:hAnsi="仿宋" w:eastAsia="仿宋" w:cs="仿宋"/>
                <w:bCs/>
                <w:color w:val="auto"/>
                <w:sz w:val="22"/>
                <w:highlight w:val="none"/>
              </w:rPr>
            </w:pPr>
            <w:r>
              <w:rPr>
                <w:rFonts w:hint="eastAsia" w:ascii="仿宋" w:hAnsi="仿宋" w:eastAsia="仿宋" w:cs="仿宋"/>
                <w:bCs/>
                <w:color w:val="auto"/>
                <w:sz w:val="22"/>
                <w:highlight w:val="none"/>
              </w:rPr>
              <w:t>3</w:t>
            </w:r>
          </w:p>
        </w:tc>
        <w:tc>
          <w:tcPr>
            <w:tcW w:w="7120" w:type="dxa"/>
            <w:noWrap w:val="0"/>
            <w:vAlign w:val="top"/>
          </w:tcPr>
          <w:p>
            <w:pPr>
              <w:autoSpaceDE w:val="0"/>
              <w:autoSpaceDN w:val="0"/>
              <w:adjustRightInd w:val="0"/>
              <w:snapToGrid w:val="0"/>
              <w:spacing w:line="430" w:lineRule="atLeas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中小企业声明函</w:t>
            </w:r>
            <w:r>
              <w:rPr>
                <w:rFonts w:hint="eastAsia" w:ascii="仿宋" w:hAnsi="仿宋" w:eastAsia="仿宋" w:cs="仿宋"/>
                <w:color w:val="auto"/>
                <w:sz w:val="22"/>
                <w:szCs w:val="22"/>
                <w:highlight w:val="none"/>
                <w:lang w:eastAsia="zh-CN"/>
              </w:rPr>
              <w:t>（残疾人福利性单位声明函、监狱企业提供的相关证明材料）</w:t>
            </w:r>
          </w:p>
        </w:tc>
        <w:tc>
          <w:tcPr>
            <w:tcW w:w="1616" w:type="dxa"/>
            <w:noWrap w:val="0"/>
            <w:vAlign w:val="top"/>
          </w:tcPr>
          <w:p>
            <w:pPr>
              <w:autoSpaceDE w:val="0"/>
              <w:autoSpaceDN w:val="0"/>
              <w:adjustRightInd w:val="0"/>
              <w:snapToGrid w:val="0"/>
              <w:spacing w:line="430" w:lineRule="atLeast"/>
              <w:jc w:val="center"/>
              <w:rPr>
                <w:rFonts w:hint="eastAsia" w:ascii="仿宋" w:hAnsi="仿宋" w:eastAsia="仿宋" w:cs="仿宋"/>
                <w:b/>
                <w:bCs/>
                <w:color w:val="auto"/>
                <w:sz w:val="22"/>
                <w:highlight w:val="none"/>
              </w:rPr>
            </w:pPr>
          </w:p>
        </w:tc>
      </w:tr>
    </w:tbl>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pPr>
        <w:spacing w:line="360" w:lineRule="auto"/>
        <w:ind w:firstLine="482" w:firstLineChars="200"/>
        <w:rPr>
          <w:rFonts w:hint="eastAsia" w:ascii="仿宋" w:hAnsi="仿宋" w:eastAsia="仿宋" w:cs="仿宋"/>
          <w:b/>
          <w:color w:val="auto"/>
          <w:sz w:val="24"/>
          <w:szCs w:val="21"/>
          <w:highlight w:val="none"/>
          <w:lang w:val="en-US" w:eastAsia="zh-CN"/>
        </w:rPr>
      </w:pPr>
      <w:r>
        <w:rPr>
          <w:rFonts w:hint="eastAsia" w:ascii="仿宋" w:hAnsi="仿宋" w:eastAsia="仿宋" w:cs="仿宋"/>
          <w:b/>
          <w:color w:val="auto"/>
          <w:sz w:val="24"/>
          <w:highlight w:val="none"/>
        </w:rPr>
        <w:t>投标人提供虚假材料投标的，投标无效。</w:t>
      </w:r>
      <w:r>
        <w:rPr>
          <w:rFonts w:hint="eastAsia" w:ascii="仿宋" w:hAnsi="仿宋" w:eastAsia="仿宋" w:cs="仿宋"/>
          <w:b/>
          <w:color w:val="auto"/>
          <w:sz w:val="24"/>
          <w:highlight w:val="none"/>
          <w:lang w:val="en-US" w:eastAsia="zh-CN"/>
        </w:rPr>
        <w:t xml:space="preserve"> </w:t>
      </w:r>
    </w:p>
    <w:p>
      <w:pPr>
        <w:pStyle w:val="326"/>
        <w:snapToGrid w:val="0"/>
        <w:spacing w:before="0"/>
        <w:ind w:firstLine="0" w:firstLineChars="0"/>
        <w:outlineLvl w:val="0"/>
        <w:rPr>
          <w:rFonts w:hint="eastAsia" w:ascii="仿宋" w:hAnsi="仿宋" w:eastAsia="仿宋" w:cs="仿宋"/>
          <w:b/>
          <w:color w:val="auto"/>
          <w:szCs w:val="24"/>
          <w:highlight w:val="none"/>
        </w:rPr>
      </w:pPr>
      <w:bookmarkStart w:id="27" w:name="_Toc23416"/>
      <w:bookmarkStart w:id="28" w:name="_Toc19035"/>
      <w:bookmarkStart w:id="29" w:name="_Toc6297"/>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val="en-US" w:eastAsia="zh-CN"/>
        </w:rPr>
        <w:t>3</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bookmarkEnd w:id="27"/>
      <w:bookmarkEnd w:id="28"/>
      <w:bookmarkEnd w:id="29"/>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pPr>
        <w:pStyle w:val="326"/>
        <w:snapToGrid w:val="0"/>
        <w:spacing w:before="0"/>
        <w:ind w:firstLine="480"/>
        <w:rPr>
          <w:rFonts w:hint="eastAsia" w:ascii="仿宋" w:hAnsi="仿宋" w:eastAsia="仿宋" w:cs="仿宋"/>
          <w:b/>
          <w:bCs/>
          <w:color w:val="auto"/>
          <w:highlight w:val="none"/>
          <w:u w:val="single"/>
          <w:lang w:val="en-US" w:eastAsia="zh-CN"/>
        </w:rPr>
      </w:pPr>
      <w:bookmarkStart w:id="30" w:name="_Toc1765"/>
      <w:r>
        <w:rPr>
          <w:rFonts w:hint="eastAsia" w:ascii="仿宋" w:hAnsi="仿宋" w:eastAsia="仿宋" w:cs="仿宋"/>
          <w:b/>
          <w:color w:val="auto"/>
          <w:szCs w:val="24"/>
          <w:highlight w:val="none"/>
          <w:lang w:val="en-US" w:eastAsia="zh-CN"/>
        </w:rPr>
        <w:t>14</w:t>
      </w:r>
      <w:r>
        <w:rPr>
          <w:rFonts w:hint="eastAsia" w:ascii="仿宋" w:hAnsi="仿宋" w:eastAsia="仿宋" w:cs="仿宋"/>
          <w:b/>
          <w:color w:val="auto"/>
          <w:szCs w:val="24"/>
          <w:highlight w:val="none"/>
        </w:rPr>
        <w:t>投标报价</w:t>
      </w:r>
      <w:bookmarkEnd w:id="30"/>
    </w:p>
    <w:p>
      <w:pPr>
        <w:pStyle w:val="326"/>
        <w:snapToGrid w:val="0"/>
        <w:spacing w:before="0"/>
        <w:ind w:firstLine="480"/>
        <w:rPr>
          <w:rFonts w:hint="eastAsia" w:ascii="仿宋" w:hAnsi="仿宋" w:eastAsia="仿宋" w:cs="仿宋"/>
          <w:b/>
          <w:bCs/>
          <w:color w:val="auto"/>
          <w:highlight w:val="none"/>
          <w:u w:val="single"/>
          <w:lang w:val="en-US" w:eastAsia="zh-CN"/>
        </w:rPr>
      </w:pPr>
      <w:r>
        <w:rPr>
          <w:rFonts w:hint="eastAsia" w:ascii="仿宋" w:hAnsi="仿宋" w:eastAsia="仿宋" w:cs="仿宋"/>
          <w:b/>
          <w:bCs/>
          <w:color w:val="auto"/>
          <w:highlight w:val="none"/>
          <w:u w:val="single"/>
          <w:lang w:val="en-US" w:eastAsia="zh-CN"/>
        </w:rPr>
        <w:t>14.</w:t>
      </w:r>
      <w:r>
        <w:rPr>
          <w:rFonts w:hint="eastAsia" w:ascii="仿宋" w:hAnsi="仿宋" w:eastAsia="仿宋" w:cs="仿宋"/>
          <w:b/>
          <w:bCs/>
          <w:color w:val="auto"/>
          <w:highlight w:val="none"/>
          <w:u w:val="single"/>
          <w:lang w:val="zh-CN" w:eastAsia="zh-CN"/>
        </w:rPr>
        <w:t>1 ▲</w:t>
      </w:r>
      <w:r>
        <w:rPr>
          <w:rFonts w:hint="eastAsia" w:ascii="仿宋" w:hAnsi="仿宋" w:eastAsia="仿宋" w:cs="仿宋"/>
          <w:b/>
          <w:bCs/>
          <w:color w:val="auto"/>
          <w:highlight w:val="none"/>
          <w:u w:val="single"/>
          <w:lang w:val="en-US" w:eastAsia="zh-CN"/>
        </w:rPr>
        <w:t xml:space="preserve">投标报价形式: </w:t>
      </w:r>
    </w:p>
    <w:p>
      <w:pPr>
        <w:pStyle w:val="326"/>
        <w:snapToGrid w:val="0"/>
        <w:spacing w:before="0"/>
        <w:ind w:firstLine="480"/>
        <w:rPr>
          <w:rFonts w:hint="eastAsia" w:ascii="仿宋" w:hAnsi="仿宋" w:eastAsia="仿宋" w:cs="仿宋"/>
          <w:color w:val="auto"/>
          <w:highlight w:val="none"/>
          <w:u w:val="none"/>
          <w:lang w:val="zh-CN"/>
        </w:rPr>
      </w:pPr>
      <w:r>
        <w:rPr>
          <w:rFonts w:hint="eastAsia" w:ascii="仿宋" w:hAnsi="仿宋" w:eastAsia="仿宋" w:cs="仿宋"/>
          <w:color w:val="auto"/>
          <w:highlight w:val="none"/>
          <w:lang w:val="en-US" w:eastAsia="zh-CN"/>
        </w:rPr>
        <w:t xml:space="preserve">14.2 </w:t>
      </w:r>
      <w:r>
        <w:rPr>
          <w:rFonts w:hint="eastAsia" w:ascii="仿宋" w:hAnsi="仿宋" w:eastAsia="仿宋" w:cs="仿宋"/>
          <w:b/>
          <w:bCs/>
          <w:color w:val="auto"/>
          <w:highlight w:val="none"/>
          <w:u w:val="single"/>
          <w:lang w:val="en-US" w:eastAsia="zh-CN"/>
        </w:rPr>
        <w:t xml:space="preserve">标段一： </w:t>
      </w:r>
      <w:r>
        <w:rPr>
          <w:rFonts w:hint="eastAsia" w:ascii="仿宋" w:hAnsi="仿宋" w:eastAsia="仿宋" w:cs="仿宋"/>
          <w:color w:val="auto"/>
          <w:sz w:val="24"/>
          <w:highlight w:val="none"/>
          <w:u w:val="single"/>
        </w:rPr>
        <w:sym w:font="Wingdings" w:char="00FE"/>
      </w:r>
      <w:r>
        <w:rPr>
          <w:rFonts w:hint="eastAsia" w:ascii="仿宋" w:hAnsi="仿宋" w:eastAsia="仿宋" w:cs="仿宋"/>
          <w:b/>
          <w:bCs/>
          <w:color w:val="auto"/>
          <w:highlight w:val="none"/>
          <w:u w:val="single"/>
          <w:lang w:val="en-US" w:eastAsia="zh-CN"/>
        </w:rPr>
        <w:t>人民币单价报价</w:t>
      </w:r>
      <w:r>
        <w:rPr>
          <w:rFonts w:hint="eastAsia" w:ascii="仿宋" w:hAnsi="仿宋" w:eastAsia="仿宋" w:cs="仿宋"/>
          <w:color w:val="auto"/>
          <w:sz w:val="24"/>
          <w:highlight w:val="none"/>
          <w:u w:val="none"/>
          <w:lang w:val="en-US" w:eastAsia="zh-CN"/>
        </w:rPr>
        <w:t>：</w:t>
      </w:r>
      <w:r>
        <w:rPr>
          <w:rFonts w:hint="eastAsia" w:ascii="仿宋" w:hAnsi="仿宋" w:eastAsia="仿宋" w:cs="仿宋"/>
          <w:color w:val="auto"/>
          <w:kern w:val="0"/>
          <w:sz w:val="24"/>
          <w:highlight w:val="none"/>
          <w:u w:val="none"/>
          <w:lang w:val="zh-CN"/>
        </w:rPr>
        <w:t>本项目合同</w:t>
      </w:r>
      <w:r>
        <w:rPr>
          <w:rFonts w:hint="eastAsia" w:ascii="仿宋" w:hAnsi="仿宋" w:eastAsia="仿宋" w:cs="仿宋"/>
          <w:color w:val="auto"/>
          <w:kern w:val="0"/>
          <w:sz w:val="24"/>
          <w:highlight w:val="none"/>
          <w:u w:val="none"/>
          <w:lang w:val="en-US" w:eastAsia="zh-CN"/>
        </w:rPr>
        <w:t>价</w:t>
      </w:r>
      <w:r>
        <w:rPr>
          <w:rFonts w:hint="eastAsia" w:ascii="仿宋" w:hAnsi="仿宋" w:eastAsia="仿宋" w:cs="仿宋"/>
          <w:color w:val="auto"/>
          <w:kern w:val="0"/>
          <w:sz w:val="24"/>
          <w:highlight w:val="none"/>
          <w:u w:val="none"/>
          <w:lang w:val="zh-CN"/>
        </w:rPr>
        <w:t>格以</w:t>
      </w:r>
      <w:r>
        <w:rPr>
          <w:rFonts w:hint="eastAsia" w:ascii="仿宋" w:hAnsi="仿宋" w:eastAsia="仿宋" w:cs="仿宋"/>
          <w:color w:val="auto"/>
          <w:kern w:val="0"/>
          <w:sz w:val="24"/>
          <w:highlight w:val="none"/>
          <w:u w:val="none"/>
          <w:lang w:val="en-US" w:eastAsia="zh-CN"/>
        </w:rPr>
        <w:t>合同履行过程</w:t>
      </w:r>
      <w:r>
        <w:rPr>
          <w:rFonts w:hint="eastAsia" w:ascii="仿宋" w:hAnsi="仿宋" w:eastAsia="仿宋" w:cs="仿宋"/>
          <w:color w:val="auto"/>
          <w:kern w:val="0"/>
          <w:sz w:val="24"/>
          <w:highlight w:val="none"/>
          <w:u w:val="none"/>
          <w:lang w:val="zh-CN"/>
        </w:rPr>
        <w:t>中实际供货数量</w:t>
      </w:r>
      <w:r>
        <w:rPr>
          <w:rFonts w:hint="eastAsia" w:ascii="仿宋" w:hAnsi="仿宋" w:eastAsia="仿宋" w:cs="仿宋"/>
          <w:i w:val="0"/>
          <w:iCs w:val="0"/>
          <w:color w:val="auto"/>
          <w:kern w:val="0"/>
          <w:sz w:val="24"/>
          <w:highlight w:val="none"/>
          <w:u w:val="none"/>
          <w:lang w:val="zh-CN"/>
        </w:rPr>
        <w:t>（</w:t>
      </w:r>
      <w:r>
        <w:rPr>
          <w:rFonts w:hint="eastAsia" w:ascii="仿宋" w:hAnsi="仿宋" w:eastAsia="仿宋" w:cs="仿宋"/>
          <w:i w:val="0"/>
          <w:iCs w:val="0"/>
          <w:color w:val="auto"/>
          <w:kern w:val="0"/>
          <w:sz w:val="24"/>
          <w:highlight w:val="none"/>
          <w:u w:val="none"/>
          <w:lang w:val="en-US" w:eastAsia="zh-CN"/>
        </w:rPr>
        <w:t>或提供服务数量</w:t>
      </w:r>
      <w:r>
        <w:rPr>
          <w:rFonts w:hint="eastAsia" w:ascii="仿宋" w:hAnsi="仿宋" w:eastAsia="仿宋" w:cs="仿宋"/>
          <w:i w:val="0"/>
          <w:iCs w:val="0"/>
          <w:color w:val="auto"/>
          <w:kern w:val="0"/>
          <w:sz w:val="24"/>
          <w:highlight w:val="none"/>
          <w:u w:val="none"/>
          <w:lang w:val="zh-CN"/>
        </w:rPr>
        <w:t>）</w:t>
      </w:r>
      <w:r>
        <w:rPr>
          <w:rFonts w:hint="eastAsia" w:ascii="仿宋" w:hAnsi="仿宋" w:eastAsia="仿宋" w:cs="仿宋"/>
          <w:i w:val="0"/>
          <w:iCs w:val="0"/>
          <w:color w:val="auto"/>
          <w:kern w:val="0"/>
          <w:sz w:val="24"/>
          <w:highlight w:val="none"/>
          <w:u w:val="none"/>
          <w:lang w:val="en-US" w:eastAsia="zh-CN"/>
        </w:rPr>
        <w:t>为结算依据</w:t>
      </w:r>
      <w:r>
        <w:rPr>
          <w:rFonts w:hint="eastAsia" w:ascii="仿宋" w:hAnsi="仿宋" w:eastAsia="仿宋" w:cs="仿宋"/>
          <w:i/>
          <w:iCs/>
          <w:color w:val="auto"/>
          <w:kern w:val="0"/>
          <w:sz w:val="24"/>
          <w:highlight w:val="none"/>
          <w:u w:val="none"/>
          <w:lang w:val="en-US" w:eastAsia="zh-CN"/>
        </w:rPr>
        <w:t>，</w:t>
      </w:r>
      <w:r>
        <w:rPr>
          <w:rFonts w:hint="eastAsia" w:ascii="仿宋" w:hAnsi="仿宋" w:eastAsia="仿宋" w:cs="仿宋"/>
          <w:i w:val="0"/>
          <w:iCs w:val="0"/>
          <w:color w:val="auto"/>
          <w:kern w:val="0"/>
          <w:sz w:val="24"/>
          <w:highlight w:val="none"/>
          <w:u w:val="none"/>
          <w:lang w:val="en-US" w:eastAsia="zh-CN"/>
        </w:rPr>
        <w:t>合同结算价=报价单价*</w:t>
      </w:r>
      <w:r>
        <w:rPr>
          <w:rFonts w:hint="eastAsia" w:ascii="仿宋" w:hAnsi="仿宋" w:eastAsia="仿宋" w:cs="仿宋"/>
          <w:i w:val="0"/>
          <w:iCs w:val="0"/>
          <w:color w:val="auto"/>
          <w:kern w:val="0"/>
          <w:sz w:val="24"/>
          <w:highlight w:val="none"/>
          <w:u w:val="none"/>
          <w:lang w:val="zh-CN"/>
        </w:rPr>
        <w:t>实际供货数量（</w:t>
      </w:r>
      <w:r>
        <w:rPr>
          <w:rFonts w:hint="eastAsia" w:ascii="仿宋" w:hAnsi="仿宋" w:eastAsia="仿宋" w:cs="仿宋"/>
          <w:i w:val="0"/>
          <w:iCs w:val="0"/>
          <w:color w:val="auto"/>
          <w:kern w:val="0"/>
          <w:sz w:val="24"/>
          <w:highlight w:val="none"/>
          <w:u w:val="none"/>
          <w:lang w:val="en-US" w:eastAsia="zh-CN"/>
        </w:rPr>
        <w:t>或提供服务数量</w:t>
      </w:r>
      <w:r>
        <w:rPr>
          <w:rFonts w:hint="eastAsia" w:ascii="仿宋" w:hAnsi="仿宋" w:eastAsia="仿宋" w:cs="仿宋"/>
          <w:i w:val="0"/>
          <w:iCs w:val="0"/>
          <w:color w:val="auto"/>
          <w:kern w:val="0"/>
          <w:sz w:val="24"/>
          <w:highlight w:val="none"/>
          <w:u w:val="none"/>
          <w:lang w:val="zh-CN"/>
        </w:rPr>
        <w:t>）</w:t>
      </w:r>
      <w:r>
        <w:rPr>
          <w:rFonts w:hint="eastAsia" w:ascii="仿宋" w:hAnsi="仿宋" w:eastAsia="仿宋" w:cs="仿宋"/>
          <w:color w:val="auto"/>
          <w:kern w:val="0"/>
          <w:sz w:val="24"/>
          <w:highlight w:val="none"/>
          <w:u w:val="none"/>
          <w:lang w:val="en-US" w:eastAsia="zh-CN"/>
        </w:rPr>
        <w:t>。</w:t>
      </w:r>
      <w:r>
        <w:rPr>
          <w:rFonts w:hint="eastAsia" w:ascii="仿宋" w:hAnsi="仿宋" w:eastAsia="仿宋" w:cs="仿宋"/>
          <w:color w:val="auto"/>
          <w:highlight w:val="none"/>
          <w:u w:val="none"/>
          <w:lang w:val="zh-CN"/>
        </w:rPr>
        <w:t>有关本项目实施所需的所有费用（含税费）均计入</w:t>
      </w:r>
      <w:r>
        <w:rPr>
          <w:rFonts w:hint="eastAsia" w:ascii="仿宋" w:hAnsi="仿宋" w:eastAsia="仿宋" w:cs="仿宋"/>
          <w:color w:val="auto"/>
          <w:highlight w:val="none"/>
          <w:u w:val="none"/>
          <w:lang w:val="en-US" w:eastAsia="zh-CN"/>
        </w:rPr>
        <w:t>单价</w:t>
      </w:r>
      <w:r>
        <w:rPr>
          <w:rFonts w:hint="eastAsia" w:ascii="仿宋" w:hAnsi="仿宋" w:eastAsia="仿宋" w:cs="仿宋"/>
          <w:color w:val="auto"/>
          <w:highlight w:val="none"/>
          <w:u w:val="none"/>
          <w:lang w:val="zh-CN"/>
        </w:rPr>
        <w:t>报价。</w:t>
      </w:r>
      <w:r>
        <w:rPr>
          <w:rFonts w:hint="eastAsia" w:ascii="仿宋" w:hAnsi="仿宋" w:eastAsia="仿宋" w:cs="仿宋"/>
          <w:color w:val="auto"/>
          <w:highlight w:val="none"/>
          <w:u w:val="none"/>
          <w:lang w:eastAsia="zh-CN"/>
        </w:rPr>
        <w:t>开标一览表</w:t>
      </w:r>
      <w:r>
        <w:rPr>
          <w:rFonts w:hint="eastAsia" w:ascii="仿宋" w:hAnsi="仿宋" w:eastAsia="仿宋" w:cs="仿宋"/>
          <w:color w:val="auto"/>
          <w:highlight w:val="none"/>
          <w:u w:val="none"/>
        </w:rPr>
        <w:t>是报价的唯一载体</w:t>
      </w:r>
      <w:r>
        <w:rPr>
          <w:rFonts w:hint="eastAsia" w:ascii="仿宋" w:hAnsi="仿宋" w:eastAsia="仿宋" w:cs="仿宋"/>
          <w:color w:val="auto"/>
          <w:highlight w:val="none"/>
          <w:u w:val="none"/>
          <w:lang w:val="zh-CN"/>
        </w:rPr>
        <w:t>。投标文件中价格全部采用人民币报价。招标文件未列明，而投标人认为必需的费用也需列入报价。</w:t>
      </w:r>
    </w:p>
    <w:p>
      <w:pPr>
        <w:pStyle w:val="326"/>
        <w:snapToGrid w:val="0"/>
        <w:spacing w:before="0"/>
        <w:ind w:firstLine="964" w:firstLineChars="400"/>
        <w:rPr>
          <w:rFonts w:hint="eastAsia" w:ascii="仿宋" w:hAnsi="仿宋" w:eastAsia="仿宋" w:cs="仿宋"/>
          <w:color w:val="auto"/>
          <w:highlight w:val="none"/>
          <w:u w:val="none"/>
          <w:lang w:val="zh-CN"/>
        </w:rPr>
      </w:pPr>
      <w:r>
        <w:rPr>
          <w:rFonts w:hint="eastAsia" w:ascii="仿宋" w:hAnsi="仿宋" w:eastAsia="仿宋" w:cs="仿宋"/>
          <w:b/>
          <w:bCs/>
          <w:color w:val="auto"/>
          <w:highlight w:val="none"/>
          <w:u w:val="single"/>
          <w:lang w:val="en-US" w:eastAsia="zh-CN"/>
        </w:rPr>
        <w:t>标段二：</w:t>
      </w:r>
      <w:r>
        <w:rPr>
          <w:rFonts w:hint="eastAsia" w:ascii="仿宋" w:hAnsi="仿宋" w:eastAsia="仿宋" w:cs="仿宋"/>
          <w:b/>
          <w:bCs/>
          <w:color w:val="auto"/>
          <w:highlight w:val="none"/>
          <w:u w:val="single"/>
        </w:rPr>
        <w:t xml:space="preserve"> </w:t>
      </w:r>
      <w:r>
        <w:rPr>
          <w:rFonts w:hint="eastAsia" w:ascii="仿宋" w:hAnsi="仿宋" w:eastAsia="仿宋" w:cs="仿宋"/>
          <w:b/>
          <w:bCs/>
          <w:color w:val="auto"/>
          <w:sz w:val="24"/>
          <w:highlight w:val="none"/>
          <w:u w:val="single"/>
        </w:rPr>
        <w:sym w:font="Wingdings" w:char="00FE"/>
      </w:r>
      <w:r>
        <w:rPr>
          <w:rFonts w:hint="eastAsia" w:ascii="仿宋" w:hAnsi="仿宋" w:eastAsia="仿宋" w:cs="仿宋"/>
          <w:b/>
          <w:bCs/>
          <w:color w:val="auto"/>
          <w:sz w:val="24"/>
          <w:highlight w:val="none"/>
          <w:u w:val="single"/>
          <w:lang w:val="en-US" w:eastAsia="zh-CN"/>
        </w:rPr>
        <w:t>人民币总价报价：</w:t>
      </w:r>
      <w:r>
        <w:rPr>
          <w:rFonts w:hint="eastAsia" w:ascii="仿宋" w:hAnsi="仿宋" w:eastAsia="仿宋" w:cs="仿宋"/>
          <w:color w:val="auto"/>
          <w:highlight w:val="none"/>
          <w:u w:val="none"/>
          <w:lang w:val="zh-CN"/>
        </w:rPr>
        <w:t>有关本项目实施所需的所有费用（含税费）均计入报价。</w:t>
      </w:r>
      <w:r>
        <w:rPr>
          <w:rFonts w:hint="eastAsia" w:ascii="仿宋" w:hAnsi="仿宋" w:eastAsia="仿宋" w:cs="仿宋"/>
          <w:color w:val="auto"/>
          <w:highlight w:val="none"/>
          <w:u w:val="none"/>
          <w:lang w:eastAsia="zh-CN"/>
        </w:rPr>
        <w:t>开标一览表</w:t>
      </w:r>
      <w:r>
        <w:rPr>
          <w:rFonts w:hint="eastAsia" w:ascii="仿宋" w:hAnsi="仿宋" w:eastAsia="仿宋" w:cs="仿宋"/>
          <w:color w:val="auto"/>
          <w:highlight w:val="none"/>
          <w:u w:val="none"/>
        </w:rPr>
        <w:t>是报价的唯一载体</w:t>
      </w:r>
      <w:r>
        <w:rPr>
          <w:rFonts w:hint="eastAsia" w:ascii="仿宋" w:hAnsi="仿宋" w:eastAsia="仿宋" w:cs="仿宋"/>
          <w:color w:val="auto"/>
          <w:highlight w:val="none"/>
          <w:u w:val="none"/>
          <w:lang w:val="zh-CN"/>
        </w:rPr>
        <w:t>。投标文件中价格全部采用人民币报价。招标文件未列明，而投标人认为必需的费用也需列入报价。</w:t>
      </w:r>
    </w:p>
    <w:p>
      <w:pPr>
        <w:pStyle w:val="326"/>
        <w:snapToGrid w:val="0"/>
        <w:spacing w:before="0"/>
        <w:ind w:firstLine="480"/>
        <w:rPr>
          <w:rFonts w:hint="eastAsia" w:ascii="仿宋" w:hAnsi="仿宋" w:eastAsia="仿宋" w:cs="仿宋"/>
          <w:b/>
          <w:bCs/>
          <w:color w:val="auto"/>
          <w:highlight w:val="none"/>
          <w:lang w:val="zh-CN"/>
        </w:rPr>
      </w:pPr>
      <w:r>
        <w:rPr>
          <w:rFonts w:hint="eastAsia" w:ascii="仿宋" w:hAnsi="仿宋" w:eastAsia="仿宋" w:cs="仿宋"/>
          <w:color w:val="auto"/>
          <w:highlight w:val="none"/>
          <w:lang w:val="en-US" w:eastAsia="zh-CN"/>
        </w:rPr>
        <w:t xml:space="preserve">   14</w:t>
      </w:r>
      <w:r>
        <w:rPr>
          <w:rFonts w:hint="eastAsia" w:ascii="仿宋" w:hAnsi="仿宋" w:eastAsia="仿宋" w:cs="仿宋"/>
          <w:color w:val="auto"/>
          <w:highlight w:val="none"/>
        </w:rPr>
        <w:t>.3</w:t>
      </w:r>
      <w:r>
        <w:rPr>
          <w:rFonts w:hint="eastAsia" w:ascii="仿宋" w:hAnsi="仿宋" w:eastAsia="仿宋" w:cs="仿宋"/>
          <w:b/>
          <w:bCs/>
          <w:color w:val="auto"/>
          <w:highlight w:val="none"/>
          <w:u w:val="single"/>
        </w:rPr>
        <w:t>▲所投标项只允许有一个报价，不接受有选择报价的投标文件。</w:t>
      </w: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.投标文件的签署、盖章</w:t>
      </w:r>
    </w:p>
    <w:p>
      <w:pPr>
        <w:pStyle w:val="326"/>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lang w:val="en-US" w:eastAsia="zh-CN"/>
        </w:rPr>
        <w:t>15</w:t>
      </w:r>
      <w:r>
        <w:rPr>
          <w:rFonts w:hint="eastAsia" w:ascii="仿宋" w:hAnsi="仿宋" w:eastAsia="仿宋" w:cs="仿宋"/>
          <w:color w:val="auto"/>
          <w:szCs w:val="24"/>
          <w:highlight w:val="none"/>
        </w:rPr>
        <w:t>.1投标文件按照招标文件第六部分格式要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u w:val="single"/>
        </w:rPr>
        <w:t>▲投标人的投标文件未按照招标文件要求签署、盖章的，其投标无效</w:t>
      </w:r>
      <w:r>
        <w:rPr>
          <w:rFonts w:hint="eastAsia" w:ascii="仿宋" w:hAnsi="仿宋" w:eastAsia="仿宋" w:cs="仿宋"/>
          <w:color w:val="auto"/>
          <w:szCs w:val="24"/>
          <w:highlight w:val="none"/>
          <w:u w:val="single"/>
        </w:rPr>
        <w:t>。</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rPr>
        <w:t>.2为确保网上操作合法、有效和安全，投标人应当在投标截止时间前完成在“政府采购云平台”的身份认证，确保在电子投标过程中能够对相关数据电文进行加密和使用电子签名。</w:t>
      </w:r>
    </w:p>
    <w:p>
      <w:pPr>
        <w:pStyle w:val="326"/>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rPr>
        <w:t>.3招标文件对投标文件签署、盖章的要求适用于电子签名。</w:t>
      </w:r>
    </w:p>
    <w:p>
      <w:pPr>
        <w:pStyle w:val="326"/>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1</w:t>
      </w:r>
      <w:r>
        <w:rPr>
          <w:rFonts w:hint="eastAsia" w:ascii="仿宋" w:hAnsi="仿宋" w:eastAsia="仿宋" w:cs="仿宋"/>
          <w:b/>
          <w:color w:val="auto"/>
          <w:szCs w:val="24"/>
          <w:highlight w:val="none"/>
          <w:lang w:val="en-US" w:eastAsia="zh-CN"/>
        </w:rPr>
        <w:t>6</w:t>
      </w:r>
      <w:r>
        <w:rPr>
          <w:rFonts w:hint="eastAsia" w:ascii="仿宋" w:hAnsi="仿宋" w:eastAsia="仿宋" w:cs="仿宋"/>
          <w:b/>
          <w:color w:val="auto"/>
          <w:szCs w:val="24"/>
          <w:highlight w:val="none"/>
        </w:rPr>
        <w:t>. 投标文件的提交、补充、修改、撤回</w:t>
      </w:r>
    </w:p>
    <w:p>
      <w:pPr>
        <w:pStyle w:val="326"/>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.1 供应商应当在投标截止时间</w:t>
      </w:r>
      <w:r>
        <w:rPr>
          <w:rFonts w:hint="eastAsia" w:ascii="仿宋" w:hAnsi="仿宋" w:eastAsia="仿宋" w:cs="仿宋"/>
          <w:color w:val="auto"/>
          <w:sz w:val="24"/>
          <w:highlight w:val="none"/>
        </w:rPr>
        <w:t>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Cs w:val="24"/>
          <w:highlight w:val="none"/>
        </w:rPr>
        <w:t>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326"/>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.2电子交易平台收到投标文件，将妥善保存并即时向供应商发出确认回执通知。在投标截止时间前，除供应商补充、修改或者撤回投标文件外，任何单位和个人不得解密或提取投标文件。</w:t>
      </w:r>
    </w:p>
    <w:p>
      <w:pPr>
        <w:pStyle w:val="326"/>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.3采购人、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可以视情况延长投标文件提交的截止时间。在上述情况下，</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与投标人以前在投标截止期方面的全部权利、责任和义务，将适用于延长至新的投标截止期。</w:t>
      </w:r>
    </w:p>
    <w:p>
      <w:pPr>
        <w:pStyle w:val="326"/>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16.4</w:t>
      </w:r>
      <w:r>
        <w:rPr>
          <w:rFonts w:hint="eastAsia" w:ascii="仿宋" w:hAnsi="仿宋" w:eastAsia="仿宋" w:cs="仿宋"/>
          <w:color w:val="auto"/>
          <w:szCs w:val="24"/>
          <w:highlight w:val="none"/>
        </w:rPr>
        <w:t>备份投标文件</w:t>
      </w:r>
    </w:p>
    <w:p>
      <w:pPr>
        <w:pStyle w:val="7"/>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备份投标文件”是指与“电子加密投标文件”同时生成的数据电文形式的电子文件（备份标书），其他方式编制的备份投标文件视为无效备份投标文件。</w:t>
      </w:r>
    </w:p>
    <w:p>
      <w:pPr>
        <w:pStyle w:val="7"/>
        <w:spacing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highlight w:val="none"/>
        </w:rPr>
        <w:t>为确保采购项目顺利实施，避免因政采云上电子投标文件解密失败导致投标人投标无效，</w:t>
      </w:r>
      <w:r>
        <w:rPr>
          <w:rFonts w:hint="eastAsia" w:ascii="仿宋" w:hAnsi="仿宋" w:eastAsia="仿宋" w:cs="仿宋"/>
          <w:color w:val="auto"/>
          <w:sz w:val="24"/>
          <w:szCs w:val="24"/>
          <w:highlight w:val="none"/>
        </w:rPr>
        <w:t>投标人在电子交易平台传输递交投标文件后，还可以在投标截止时间前提交电文文档形式的备份投标文件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备份投标文件提交形式：</w:t>
      </w:r>
    </w:p>
    <w:p>
      <w:pPr>
        <w:pStyle w:val="7"/>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u w:val="none"/>
        </w:rPr>
        <w:sym w:font="Wingdings" w:char="00FE"/>
      </w:r>
      <w:r>
        <w:rPr>
          <w:rFonts w:hint="eastAsia" w:ascii="仿宋" w:hAnsi="仿宋" w:eastAsia="仿宋" w:cs="仿宋"/>
          <w:color w:val="auto"/>
          <w:sz w:val="24"/>
          <w:szCs w:val="24"/>
          <w:highlight w:val="none"/>
          <w:lang w:eastAsia="zh-CN"/>
        </w:rPr>
        <w:t>以电子邮件形式将生成的备份投标文件</w:t>
      </w:r>
      <w:r>
        <w:rPr>
          <w:rFonts w:hint="eastAsia" w:ascii="仿宋" w:hAnsi="仿宋" w:eastAsia="仿宋" w:cs="仿宋"/>
          <w:color w:val="auto"/>
          <w:sz w:val="24"/>
          <w:szCs w:val="24"/>
          <w:highlight w:val="none"/>
        </w:rPr>
        <w:t>发送到采购代理机构邮箱号</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single"/>
        </w:rPr>
        <w:t>2186436381@qq.com</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none"/>
          <w:lang w:eastAsia="zh-CN"/>
        </w:rPr>
        <w:t>备份投标文件签收人员联系</w:t>
      </w:r>
      <w:r>
        <w:rPr>
          <w:rFonts w:hint="eastAsia" w:ascii="仿宋" w:hAnsi="仿宋" w:eastAsia="仿宋" w:cs="仿宋"/>
          <w:color w:val="auto"/>
          <w:sz w:val="24"/>
          <w:szCs w:val="24"/>
          <w:highlight w:val="none"/>
          <w:u w:val="none"/>
          <w:lang w:val="en-US" w:eastAsia="zh-CN"/>
        </w:rPr>
        <w:t>方式</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single"/>
          <w:lang w:eastAsia="zh-CN"/>
        </w:rPr>
        <w:t>吴先生</w:t>
      </w:r>
      <w:r>
        <w:rPr>
          <w:rFonts w:hint="eastAsia" w:ascii="仿宋" w:hAnsi="仿宋" w:eastAsia="仿宋" w:cs="仿宋"/>
          <w:b w:val="0"/>
          <w:bCs w:val="0"/>
          <w:color w:val="auto"/>
          <w:sz w:val="24"/>
          <w:highlight w:val="none"/>
          <w:u w:val="single"/>
          <w:lang w:eastAsia="zh-CN"/>
        </w:rPr>
        <w:t>1505878266</w:t>
      </w:r>
      <w:r>
        <w:rPr>
          <w:rFonts w:hint="eastAsia" w:ascii="仿宋" w:hAnsi="仿宋" w:eastAsia="仿宋" w:cs="仿宋"/>
          <w:color w:val="auto"/>
          <w:sz w:val="24"/>
          <w:highlight w:val="none"/>
          <w:u w:val="single"/>
          <w:lang w:eastAsia="zh-CN"/>
        </w:rPr>
        <w:t>9</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lang w:eastAsia="zh-CN"/>
        </w:rPr>
        <w:t>，并注明</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投标人名称</w:t>
      </w:r>
      <w:r>
        <w:rPr>
          <w:rFonts w:hint="eastAsia" w:ascii="仿宋" w:hAnsi="仿宋" w:eastAsia="仿宋" w:cs="仿宋"/>
          <w:color w:val="auto"/>
          <w:sz w:val="24"/>
          <w:szCs w:val="24"/>
          <w:highlight w:val="none"/>
          <w:lang w:val="en-US" w:eastAsia="zh-CN"/>
        </w:rPr>
        <w:t>、项目编号、项目名称、</w:t>
      </w:r>
      <w:r>
        <w:rPr>
          <w:rFonts w:hint="eastAsia" w:ascii="仿宋" w:hAnsi="仿宋" w:eastAsia="仿宋" w:cs="仿宋"/>
          <w:color w:val="auto"/>
          <w:sz w:val="24"/>
          <w:szCs w:val="24"/>
          <w:highlight w:val="none"/>
        </w:rPr>
        <w:t>备份投标文件</w:t>
      </w:r>
      <w:r>
        <w:rPr>
          <w:rFonts w:hint="eastAsia" w:ascii="仿宋" w:hAnsi="仿宋" w:eastAsia="仿宋" w:cs="仿宋"/>
          <w:color w:val="auto"/>
          <w:sz w:val="24"/>
          <w:szCs w:val="24"/>
          <w:highlight w:val="none"/>
          <w:lang w:val="zh-CN"/>
        </w:rPr>
        <w:t>等”信息，</w:t>
      </w:r>
      <w:r>
        <w:rPr>
          <w:rFonts w:hint="eastAsia" w:ascii="仿宋" w:hAnsi="仿宋" w:eastAsia="仿宋" w:cs="仿宋"/>
          <w:b/>
          <w:color w:val="auto"/>
          <w:sz w:val="24"/>
          <w:szCs w:val="24"/>
          <w:highlight w:val="none"/>
        </w:rPr>
        <w:t>不符合上述制作规定的备份投标文件将被视为无效或者被拒绝接收。</w:t>
      </w:r>
    </w:p>
    <w:p>
      <w:pPr>
        <w:pStyle w:val="7"/>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解密CA必须是上传并制作电子投标文件CA锁，</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pPr>
        <w:pStyle w:val="7"/>
        <w:spacing w:line="360" w:lineRule="auto"/>
        <w:ind w:firstLine="477" w:firstLineChars="199"/>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b/>
          <w:color w:val="auto"/>
          <w:sz w:val="24"/>
          <w:szCs w:val="24"/>
          <w:highlight w:val="none"/>
        </w:rPr>
        <w:t>投标人仅提交备份投标文件，没有在电子交易平台传输递交投标文件的，投标无效。</w:t>
      </w:r>
    </w:p>
    <w:p>
      <w:pPr>
        <w:pStyle w:val="326"/>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w:t>
      </w:r>
      <w:r>
        <w:rPr>
          <w:rFonts w:hint="eastAsia" w:ascii="仿宋" w:hAnsi="仿宋" w:eastAsia="仿宋" w:cs="仿宋"/>
          <w:color w:val="auto"/>
          <w:sz w:val="24"/>
          <w:szCs w:val="20"/>
          <w:highlight w:val="none"/>
          <w:lang w:val="en-US" w:eastAsia="zh-CN"/>
        </w:rPr>
        <w:t>详见投标须知前附表</w:t>
      </w:r>
      <w:r>
        <w:rPr>
          <w:rFonts w:hint="eastAsia" w:ascii="仿宋" w:hAnsi="仿宋" w:eastAsia="仿宋" w:cs="仿宋"/>
          <w:color w:val="auto"/>
          <w:sz w:val="24"/>
          <w:szCs w:val="20"/>
          <w:highlight w:val="none"/>
        </w:rPr>
        <w:t>。</w:t>
      </w:r>
      <w:r>
        <w:rPr>
          <w:rFonts w:hint="eastAsia" w:ascii="仿宋" w:hAnsi="仿宋" w:eastAsia="仿宋" w:cs="仿宋"/>
          <w:color w:val="auto"/>
          <w:sz w:val="24"/>
          <w:szCs w:val="20"/>
          <w:highlight w:val="none"/>
          <w:u w:val="single"/>
        </w:rPr>
        <w:t>▲</w:t>
      </w:r>
      <w:r>
        <w:rPr>
          <w:rFonts w:hint="eastAsia" w:ascii="仿宋" w:hAnsi="仿宋" w:eastAsia="仿宋" w:cs="仿宋"/>
          <w:b/>
          <w:color w:val="auto"/>
          <w:sz w:val="24"/>
          <w:szCs w:val="20"/>
          <w:highlight w:val="none"/>
          <w:u w:val="single"/>
        </w:rPr>
        <w:t>投标人的投标文件中承</w:t>
      </w:r>
      <w:r>
        <w:rPr>
          <w:rFonts w:hint="eastAsia" w:ascii="仿宋" w:hAnsi="仿宋" w:eastAsia="仿宋" w:cs="仿宋"/>
          <w:b/>
          <w:color w:val="auto"/>
          <w:sz w:val="24"/>
          <w:szCs w:val="21"/>
          <w:highlight w:val="none"/>
          <w:u w:val="single"/>
        </w:rPr>
        <w:t>诺的投标有效期少于招标文件中载明的投标有效期的，投标无效。</w:t>
      </w:r>
    </w:p>
    <w:p>
      <w:pPr>
        <w:pStyle w:val="326"/>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pStyle w:val="326"/>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可以以书面形式通知投标人延长投标有效期。投标人同意延长的，不得要求或被允许修改其投标文件，投标人拒绝延长的，其投标无效。</w:t>
      </w:r>
    </w:p>
    <w:p>
      <w:pPr>
        <w:pStyle w:val="326"/>
        <w:spacing w:before="0"/>
        <w:ind w:firstLine="1063" w:firstLineChars="331"/>
        <w:rPr>
          <w:rFonts w:hint="eastAsia" w:ascii="仿宋" w:hAnsi="仿宋" w:eastAsia="仿宋" w:cs="仿宋"/>
          <w:b/>
          <w:color w:val="auto"/>
          <w:sz w:val="32"/>
          <w:highlight w:val="none"/>
        </w:rPr>
      </w:pPr>
    </w:p>
    <w:p>
      <w:pPr>
        <w:pStyle w:val="6"/>
        <w:bidi w:val="0"/>
        <w:jc w:val="center"/>
        <w:rPr>
          <w:rStyle w:val="82"/>
          <w:rFonts w:hint="eastAsia" w:ascii="仿宋" w:hAnsi="仿宋" w:eastAsia="仿宋" w:cs="仿宋"/>
          <w:b/>
          <w:bCs/>
          <w:color w:val="auto"/>
          <w:kern w:val="2"/>
          <w:highlight w:val="none"/>
          <w:lang w:val="zh-CN" w:eastAsia="zh-CN" w:bidi="ar-SA"/>
        </w:rPr>
      </w:pPr>
      <w:bookmarkStart w:id="31" w:name="_Toc9641"/>
      <w:r>
        <w:rPr>
          <w:rStyle w:val="82"/>
          <w:rFonts w:hint="eastAsia" w:ascii="仿宋" w:hAnsi="仿宋" w:eastAsia="仿宋" w:cs="仿宋"/>
          <w:b/>
          <w:bCs/>
          <w:color w:val="auto"/>
          <w:kern w:val="2"/>
          <w:highlight w:val="none"/>
          <w:lang w:val="zh-CN" w:eastAsia="zh-CN" w:bidi="ar-SA"/>
        </w:rPr>
        <w:t>四、开标、资格审查与信用信息查询</w:t>
      </w:r>
      <w:bookmarkEnd w:id="31"/>
    </w:p>
    <w:p>
      <w:pPr>
        <w:pStyle w:val="625"/>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pPr>
        <w:pStyle w:val="625"/>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按照招标文件规定的时间通过电子交易平台组织开标，所有投标人均应当准时在线参加。投标人不足3家的，不得开标。</w:t>
      </w:r>
    </w:p>
    <w:p>
      <w:pPr>
        <w:pStyle w:val="625"/>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依托电子交易平台发起开始解密指令，投标人按照平台提示和招标文件的规定在半小时内完成在线解密。</w:t>
      </w:r>
    </w:p>
    <w:p>
      <w:pPr>
        <w:pStyle w:val="625"/>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pPr>
        <w:pStyle w:val="326"/>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19.1开标后，采购人或</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将依法对投标人的资格进行审查。</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依据法律法规和招标文件的规定，对投标人的基本资格条件、特定资格条件</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进行审查。</w:t>
      </w:r>
    </w:p>
    <w:p>
      <w:pPr>
        <w:pStyle w:val="326"/>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19.3</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Cs w:val="24"/>
          <w:highlight w:val="none"/>
          <w:u w:val="single"/>
        </w:rPr>
        <w:t>投标人未按照招标文件要求提供与</w:t>
      </w:r>
      <w:r>
        <w:rPr>
          <w:rFonts w:hint="eastAsia" w:ascii="仿宋" w:hAnsi="仿宋" w:eastAsia="仿宋" w:cs="仿宋"/>
          <w:color w:val="auto"/>
          <w:highlight w:val="none"/>
          <w:u w:val="single"/>
        </w:rPr>
        <w:t>基本资格条件、特定资格条件相应的</w:t>
      </w:r>
      <w:r>
        <w:rPr>
          <w:rFonts w:hint="eastAsia" w:ascii="仿宋" w:hAnsi="仿宋" w:eastAsia="仿宋" w:cs="仿宋"/>
          <w:color w:val="auto"/>
          <w:kern w:val="0"/>
          <w:szCs w:val="24"/>
          <w:highlight w:val="none"/>
          <w:u w:val="single"/>
        </w:rPr>
        <w:t>有效资格证明材料的，视为</w:t>
      </w:r>
      <w:r>
        <w:rPr>
          <w:rFonts w:hint="eastAsia" w:ascii="仿宋" w:hAnsi="仿宋" w:eastAsia="仿宋" w:cs="仿宋"/>
          <w:color w:val="auto"/>
          <w:highlight w:val="none"/>
          <w:u w:val="single"/>
        </w:rPr>
        <w:t>投标人不具备招标文件中规定的资格要求，其投标无效。</w:t>
      </w:r>
    </w:p>
    <w:p>
      <w:pPr>
        <w:pStyle w:val="326"/>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4对未通过资格审查的投标人，采购人或</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告知其未通过的原因。</w:t>
      </w:r>
    </w:p>
    <w:p>
      <w:pPr>
        <w:pStyle w:val="326"/>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5合格投标人不足3家的，不再评标。</w:t>
      </w:r>
    </w:p>
    <w:p>
      <w:pPr>
        <w:pStyle w:val="326"/>
        <w:spacing w:before="0"/>
        <w:ind w:firstLine="241" w:firstLineChars="1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pPr>
        <w:pStyle w:val="326"/>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将通过“信用中国”网站(www.creditchina.gov.cn)、中国政府采购网(www.ccgp.gov.cn)渠道查询投标人投标截止时间当天的信用记录。</w:t>
      </w:r>
    </w:p>
    <w:p>
      <w:pPr>
        <w:pStyle w:val="326"/>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pPr>
        <w:pStyle w:val="326"/>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326"/>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pPr>
        <w:pStyle w:val="326"/>
        <w:spacing w:before="0"/>
        <w:ind w:firstLine="0" w:firstLineChars="0"/>
        <w:rPr>
          <w:rFonts w:hint="eastAsia" w:ascii="仿宋" w:hAnsi="仿宋" w:eastAsia="仿宋" w:cs="仿宋"/>
          <w:color w:val="auto"/>
          <w:kern w:val="0"/>
          <w:szCs w:val="24"/>
          <w:highlight w:val="none"/>
        </w:rPr>
      </w:pPr>
    </w:p>
    <w:p>
      <w:pPr>
        <w:pStyle w:val="6"/>
        <w:bidi w:val="0"/>
        <w:jc w:val="center"/>
        <w:rPr>
          <w:rStyle w:val="82"/>
          <w:rFonts w:hint="eastAsia" w:ascii="仿宋" w:hAnsi="仿宋" w:eastAsia="仿宋" w:cs="仿宋"/>
          <w:b/>
          <w:bCs/>
          <w:color w:val="auto"/>
          <w:kern w:val="2"/>
          <w:highlight w:val="none"/>
          <w:lang w:val="zh-CN" w:eastAsia="zh-CN" w:bidi="ar-SA"/>
        </w:rPr>
      </w:pPr>
      <w:bookmarkStart w:id="32" w:name="_Toc4576"/>
      <w:r>
        <w:rPr>
          <w:rStyle w:val="82"/>
          <w:rFonts w:hint="eastAsia" w:ascii="仿宋" w:hAnsi="仿宋" w:eastAsia="仿宋" w:cs="仿宋"/>
          <w:b/>
          <w:bCs/>
          <w:color w:val="auto"/>
          <w:kern w:val="2"/>
          <w:highlight w:val="none"/>
          <w:lang w:val="zh-CN" w:eastAsia="zh-CN" w:bidi="ar-SA"/>
        </w:rPr>
        <w:t>五、评标</w:t>
      </w:r>
      <w:bookmarkEnd w:id="32"/>
    </w:p>
    <w:p>
      <w:pPr>
        <w:spacing w:line="360" w:lineRule="auto"/>
        <w:rPr>
          <w:rFonts w:hint="eastAsia" w:ascii="仿宋" w:hAnsi="仿宋" w:eastAsia="仿宋" w:cs="仿宋"/>
          <w:b w:val="0"/>
          <w:bCs/>
          <w:color w:val="auto"/>
          <w:sz w:val="24"/>
          <w:highlight w:val="none"/>
        </w:rPr>
      </w:pPr>
      <w:bookmarkStart w:id="33" w:name="_Toc91899903"/>
      <w:r>
        <w:rPr>
          <w:rFonts w:hint="eastAsia" w:ascii="仿宋" w:hAnsi="仿宋" w:eastAsia="仿宋" w:cs="仿宋"/>
          <w:b w:val="0"/>
          <w:bCs/>
          <w:color w:val="auto"/>
          <w:sz w:val="24"/>
          <w:highlight w:val="none"/>
        </w:rPr>
        <w:t>21.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p>
    <w:p>
      <w:pPr>
        <w:spacing w:line="360" w:lineRule="auto"/>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评标过程的保密性。开标后直至向中标人授予合同时止，凡与招标有关的资料均不得向投标人及与投标无关人员透露。如果投标人在评标过程中试图向招标采购单位和评标委员会成员施加影响，或扰乱开标和评标秩序，其投标将被拒绝。</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详见招标文件第四部分评标办法。</w:t>
      </w:r>
    </w:p>
    <w:p>
      <w:pPr>
        <w:pStyle w:val="6"/>
        <w:bidi w:val="0"/>
        <w:jc w:val="center"/>
        <w:rPr>
          <w:rStyle w:val="82"/>
          <w:rFonts w:hint="eastAsia" w:ascii="仿宋" w:hAnsi="仿宋" w:eastAsia="仿宋" w:cs="仿宋"/>
          <w:b/>
          <w:bCs/>
          <w:color w:val="auto"/>
          <w:kern w:val="2"/>
          <w:highlight w:val="none"/>
          <w:lang w:val="zh-CN" w:eastAsia="zh-CN" w:bidi="ar-SA"/>
        </w:rPr>
      </w:pPr>
      <w:bookmarkStart w:id="34" w:name="_Toc29955"/>
      <w:r>
        <w:rPr>
          <w:rStyle w:val="82"/>
          <w:rFonts w:hint="eastAsia" w:ascii="仿宋" w:hAnsi="仿宋" w:eastAsia="仿宋" w:cs="仿宋"/>
          <w:b/>
          <w:bCs/>
          <w:color w:val="auto"/>
          <w:kern w:val="2"/>
          <w:highlight w:val="none"/>
          <w:lang w:val="zh-CN" w:eastAsia="zh-CN" w:bidi="ar-SA"/>
        </w:rPr>
        <w:t>六、定 标</w:t>
      </w:r>
      <w:bookmarkEnd w:id="34"/>
    </w:p>
    <w:p>
      <w:pPr>
        <w:pStyle w:val="27"/>
        <w:spacing w:line="360" w:lineRule="auto"/>
        <w:ind w:left="478" w:hanging="479" w:hangingChars="199"/>
        <w:rPr>
          <w:rFonts w:hint="eastAsia" w:ascii="仿宋" w:hAnsi="仿宋" w:eastAsia="仿宋" w:cs="仿宋"/>
          <w:b/>
          <w:color w:val="auto"/>
          <w:highlight w:val="none"/>
          <w:lang w:eastAsia="zh-CN"/>
        </w:rPr>
      </w:pPr>
      <w:r>
        <w:rPr>
          <w:rFonts w:hint="eastAsia" w:ascii="仿宋" w:hAnsi="仿宋" w:eastAsia="仿宋" w:cs="仿宋"/>
          <w:b/>
          <w:color w:val="auto"/>
          <w:highlight w:val="none"/>
        </w:rPr>
        <w:t>22. 确定</w:t>
      </w:r>
      <w:r>
        <w:rPr>
          <w:rFonts w:hint="eastAsia" w:ascii="仿宋" w:hAnsi="仿宋" w:eastAsia="仿宋" w:cs="仿宋"/>
          <w:b/>
          <w:color w:val="auto"/>
          <w:highlight w:val="none"/>
          <w:lang w:eastAsia="zh-CN"/>
        </w:rPr>
        <w:t>中标人</w:t>
      </w:r>
    </w:p>
    <w:p>
      <w:pPr>
        <w:pStyle w:val="326"/>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采购人将自收到评审报告之日起5个工作日内通过电子交易平台在评审报告推荐的中标候选人中按顺序确定</w:t>
      </w:r>
      <w:r>
        <w:rPr>
          <w:rFonts w:hint="eastAsia" w:ascii="仿宋" w:hAnsi="仿宋" w:eastAsia="仿宋" w:cs="仿宋"/>
          <w:color w:val="auto"/>
          <w:szCs w:val="24"/>
          <w:highlight w:val="none"/>
          <w:lang w:eastAsia="zh-CN"/>
        </w:rPr>
        <w:t>中标人</w:t>
      </w:r>
      <w:r>
        <w:rPr>
          <w:rFonts w:hint="eastAsia" w:ascii="仿宋" w:hAnsi="仿宋" w:eastAsia="仿宋" w:cs="仿宋"/>
          <w:color w:val="auto"/>
          <w:szCs w:val="24"/>
          <w:highlight w:val="none"/>
        </w:rPr>
        <w:t>。</w:t>
      </w:r>
    </w:p>
    <w:p>
      <w:pPr>
        <w:pStyle w:val="326"/>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通过电子交易平台向中标人发出中标通知书，同时编制发布采购结果公告。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也可以以纸质形式进行中标通知。</w:t>
      </w:r>
    </w:p>
    <w:p>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pPr>
        <w:snapToGrid w:val="0"/>
        <w:spacing w:line="360" w:lineRule="auto"/>
        <w:ind w:left="120" w:leftChars="57" w:firstLine="482" w:firstLineChars="150"/>
        <w:jc w:val="center"/>
        <w:rPr>
          <w:rFonts w:hint="eastAsia" w:ascii="仿宋" w:hAnsi="仿宋" w:eastAsia="仿宋" w:cs="仿宋"/>
          <w:b/>
          <w:color w:val="auto"/>
          <w:sz w:val="32"/>
          <w:highlight w:val="none"/>
        </w:rPr>
      </w:pPr>
    </w:p>
    <w:p>
      <w:pPr>
        <w:pStyle w:val="6"/>
        <w:bidi w:val="0"/>
        <w:jc w:val="center"/>
        <w:rPr>
          <w:rStyle w:val="82"/>
          <w:rFonts w:hint="eastAsia" w:ascii="仿宋" w:hAnsi="仿宋" w:eastAsia="仿宋" w:cs="仿宋"/>
          <w:b/>
          <w:bCs/>
          <w:color w:val="auto"/>
          <w:kern w:val="2"/>
          <w:highlight w:val="none"/>
          <w:lang w:val="zh-CN" w:eastAsia="zh-CN" w:bidi="ar-SA"/>
        </w:rPr>
      </w:pPr>
      <w:bookmarkStart w:id="35" w:name="_Toc11698"/>
      <w:r>
        <w:rPr>
          <w:rStyle w:val="82"/>
          <w:rFonts w:hint="eastAsia" w:ascii="仿宋" w:hAnsi="仿宋" w:eastAsia="仿宋" w:cs="仿宋"/>
          <w:b/>
          <w:bCs/>
          <w:color w:val="auto"/>
          <w:kern w:val="2"/>
          <w:highlight w:val="none"/>
          <w:lang w:val="zh-CN" w:eastAsia="zh-CN" w:bidi="ar-SA"/>
        </w:rPr>
        <w:t>七、合同授予</w:t>
      </w:r>
      <w:bookmarkEnd w:id="35"/>
    </w:p>
    <w:p>
      <w:pPr>
        <w:pStyle w:val="27"/>
        <w:spacing w:line="360" w:lineRule="auto"/>
        <w:ind w:left="478"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pPr>
        <w:pStyle w:val="27"/>
        <w:spacing w:line="360" w:lineRule="auto"/>
        <w:ind w:left="478"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326"/>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w:t>
      </w:r>
      <w:r>
        <w:rPr>
          <w:rFonts w:hint="eastAsia" w:ascii="仿宋" w:hAnsi="仿宋" w:eastAsia="仿宋" w:cs="仿宋"/>
          <w:color w:val="auto"/>
          <w:highlight w:val="none"/>
          <w:lang w:eastAsia="zh-CN"/>
        </w:rPr>
        <w:t>中标人</w:t>
      </w:r>
      <w:r>
        <w:rPr>
          <w:rFonts w:hint="eastAsia" w:ascii="仿宋" w:hAnsi="仿宋" w:eastAsia="仿宋" w:cs="仿宋"/>
          <w:color w:val="auto"/>
          <w:highlight w:val="none"/>
        </w:rPr>
        <w:t>拒绝与采购人签订合同的，采购人可以按照评审报告推荐的中标或者成交候选人名单排序，确定下一候选人为</w:t>
      </w:r>
      <w:r>
        <w:rPr>
          <w:rFonts w:hint="eastAsia" w:ascii="仿宋" w:hAnsi="仿宋" w:eastAsia="仿宋" w:cs="仿宋"/>
          <w:color w:val="auto"/>
          <w:highlight w:val="none"/>
          <w:lang w:eastAsia="zh-CN"/>
        </w:rPr>
        <w:t>中标人</w:t>
      </w:r>
      <w:r>
        <w:rPr>
          <w:rFonts w:hint="eastAsia" w:ascii="仿宋" w:hAnsi="仿宋" w:eastAsia="仿宋" w:cs="仿宋"/>
          <w:color w:val="auto"/>
          <w:highlight w:val="none"/>
        </w:rPr>
        <w:t>，也可以重新开展政府采购活动。</w:t>
      </w:r>
    </w:p>
    <w:p>
      <w:pPr>
        <w:pStyle w:val="326"/>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w:t>
      </w:r>
      <w:r>
        <w:rPr>
          <w:rFonts w:hint="eastAsia" w:ascii="仿宋" w:hAnsi="仿宋" w:eastAsia="仿宋" w:cs="仿宋"/>
          <w:color w:val="auto"/>
          <w:highlight w:val="none"/>
          <w:lang w:eastAsia="zh-CN"/>
        </w:rPr>
        <w:t>中标人</w:t>
      </w:r>
      <w:r>
        <w:rPr>
          <w:rFonts w:hint="eastAsia" w:ascii="仿宋" w:hAnsi="仿宋" w:eastAsia="仿宋" w:cs="仿宋"/>
          <w:color w:val="auto"/>
          <w:highlight w:val="none"/>
        </w:rPr>
        <w:t>根据招标文件、投标文件等内容通过政府采购电子交易平台在线签订，自动备案。</w:t>
      </w:r>
    </w:p>
    <w:p>
      <w:pPr>
        <w:pStyle w:val="27"/>
        <w:spacing w:line="360" w:lineRule="auto"/>
        <w:ind w:left="478"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pPr>
        <w:pStyle w:val="326"/>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拟签订的合同文本要求中标人/成交供应商提交履约保证金的，供应商应当以支票、汇票、本票或者金融机构、担保机构出具的保函等非现金形式提交。履约保证金用于成交供应商在履行本合同过程中发生违约行为应支付采购人的违约金、赔偿金等费用。如无任何问题，采购人将在成交供应商履行完毕本合同项下全部义务（项目验收合格）之日起</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个工作日内无息退还给成交供应商。（保函应满足以下几个条件：①为无条件保函：即在成交供应商没有实施合同或者未履行合同义务时，采购人不需要出具任何证明和理由，若成交供应商违约，采购人无需通知成交供应商，即可单方对保函进行收兑；②保函期限：自本合同生效之日起至合同履约完毕之日止；③如果由于服务期延误或银行、保险公司要求分期出具保函的，则在前一份保函有效期届满之日起2个月前必须重新出具相同内容的保函。）。鼓励和支持供应商以银行、保险公司出具的保函形式提供履约保证金。采购人不得拒收履约保函。</w:t>
      </w:r>
    </w:p>
    <w:p>
      <w:pPr>
        <w:pStyle w:val="6"/>
        <w:bidi w:val="0"/>
        <w:jc w:val="center"/>
        <w:rPr>
          <w:rStyle w:val="82"/>
          <w:rFonts w:hint="eastAsia" w:ascii="仿宋" w:hAnsi="仿宋" w:eastAsia="仿宋" w:cs="仿宋"/>
          <w:b/>
          <w:bCs/>
          <w:color w:val="auto"/>
          <w:kern w:val="2"/>
          <w:highlight w:val="none"/>
          <w:lang w:val="zh-CN" w:eastAsia="zh-CN" w:bidi="ar-SA"/>
        </w:rPr>
      </w:pPr>
      <w:bookmarkStart w:id="36" w:name="_Toc4363"/>
      <w:r>
        <w:rPr>
          <w:rStyle w:val="82"/>
          <w:rFonts w:hint="eastAsia" w:ascii="仿宋" w:hAnsi="仿宋" w:eastAsia="仿宋" w:cs="仿宋"/>
          <w:b/>
          <w:bCs/>
          <w:color w:val="auto"/>
          <w:kern w:val="2"/>
          <w:highlight w:val="none"/>
          <w:lang w:val="zh-CN" w:eastAsia="zh-CN" w:bidi="ar-SA"/>
        </w:rPr>
        <w:t>八、电子交易活动的中止</w:t>
      </w:r>
      <w:bookmarkEnd w:id="36"/>
    </w:p>
    <w:p>
      <w:pPr>
        <w:pStyle w:val="326"/>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b/>
          <w:color w:val="auto"/>
          <w:szCs w:val="24"/>
          <w:highlight w:val="none"/>
        </w:rPr>
        <w:t>7.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可中止电子交易活动：</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27.1电子交易平台发生故障而无法登录访问的； </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27.2电子交易平台应用或数据库出现错误，不能进行正常操作的；</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27.3电子交易平台发现严重安全漏洞，有潜在泄密危险的；</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27.4病毒发作导致不能进行正常操作的； </w:t>
      </w:r>
    </w:p>
    <w:p>
      <w:pPr>
        <w:pStyle w:val="326"/>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27.5其他无法保证电子交易的公平、公正和安全的情况。</w:t>
      </w:r>
    </w:p>
    <w:p>
      <w:pPr>
        <w:pStyle w:val="326"/>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pStyle w:val="6"/>
        <w:bidi w:val="0"/>
        <w:jc w:val="center"/>
        <w:rPr>
          <w:rStyle w:val="82"/>
          <w:rFonts w:hint="eastAsia" w:ascii="仿宋" w:hAnsi="仿宋" w:eastAsia="仿宋" w:cs="仿宋"/>
          <w:b/>
          <w:bCs/>
          <w:color w:val="auto"/>
          <w:kern w:val="2"/>
          <w:highlight w:val="none"/>
          <w:lang w:val="zh-CN" w:eastAsia="zh-CN" w:bidi="ar-SA"/>
        </w:rPr>
      </w:pPr>
      <w:bookmarkStart w:id="37" w:name="_Toc25540"/>
      <w:r>
        <w:rPr>
          <w:rStyle w:val="82"/>
          <w:rFonts w:hint="eastAsia" w:ascii="仿宋" w:hAnsi="仿宋" w:eastAsia="仿宋" w:cs="仿宋"/>
          <w:b/>
          <w:bCs/>
          <w:color w:val="auto"/>
          <w:kern w:val="2"/>
          <w:highlight w:val="none"/>
          <w:lang w:val="zh-CN" w:eastAsia="zh-CN" w:bidi="ar-SA"/>
        </w:rPr>
        <w:t>九、验收</w:t>
      </w:r>
      <w:bookmarkEnd w:id="37"/>
    </w:p>
    <w:p>
      <w:pPr>
        <w:pStyle w:val="27"/>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29.验收</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33"/>
    <w:p>
      <w:pPr>
        <w:tabs>
          <w:tab w:val="left" w:pos="0"/>
        </w:tabs>
        <w:spacing w:line="360" w:lineRule="auto"/>
        <w:ind w:firstLine="480"/>
        <w:rPr>
          <w:rFonts w:hint="eastAsia" w:ascii="仿宋" w:hAnsi="仿宋" w:eastAsia="仿宋" w:cs="仿宋"/>
          <w:color w:val="auto"/>
          <w:kern w:val="0"/>
          <w:sz w:val="24"/>
          <w:highlight w:val="none"/>
        </w:rPr>
      </w:pPr>
      <w:bookmarkStart w:id="38" w:name="_Hlt68073093"/>
      <w:bookmarkEnd w:id="38"/>
      <w:bookmarkStart w:id="39" w:name="_Hlt68057669"/>
      <w:bookmarkEnd w:id="39"/>
      <w:bookmarkStart w:id="40" w:name="_Hlt75236290"/>
      <w:bookmarkEnd w:id="40"/>
      <w:bookmarkStart w:id="41" w:name="_Hlt75236011"/>
      <w:bookmarkEnd w:id="41"/>
      <w:bookmarkStart w:id="42" w:name="_Hlt74714665"/>
      <w:bookmarkEnd w:id="42"/>
      <w:bookmarkStart w:id="43" w:name="_Hlt75236101"/>
      <w:bookmarkEnd w:id="43"/>
      <w:bookmarkStart w:id="44" w:name="_Hlt68403820"/>
      <w:bookmarkEnd w:id="44"/>
      <w:bookmarkStart w:id="45" w:name="_Hlt74707468"/>
      <w:bookmarkEnd w:id="45"/>
      <w:bookmarkStart w:id="46" w:name="_Hlt74730295"/>
      <w:bookmarkEnd w:id="46"/>
      <w:bookmarkStart w:id="47" w:name="_Hlt74729768"/>
      <w:bookmarkEnd w:id="47"/>
      <w:bookmarkStart w:id="48" w:name="_Hlt68072998"/>
      <w:bookmarkEnd w:id="48"/>
      <w:bookmarkStart w:id="49" w:name="_Hlt68072990"/>
      <w:bookmarkEnd w:id="49"/>
      <w:r>
        <w:rPr>
          <w:rFonts w:hint="eastAsia" w:ascii="仿宋" w:hAnsi="仿宋" w:eastAsia="仿宋" w:cs="仿宋"/>
          <w:color w:val="auto"/>
          <w:kern w:val="0"/>
          <w:sz w:val="24"/>
          <w:highlight w:val="none"/>
        </w:rPr>
        <w:t>29.</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履约验收费用由供应商承担，因供应商原因造成验收不通过的，再次验收的费用仍由供应商承担。</w:t>
      </w:r>
    </w:p>
    <w:p>
      <w:pPr>
        <w:pStyle w:val="6"/>
        <w:rPr>
          <w:rFonts w:hint="eastAsia" w:ascii="仿宋" w:hAnsi="仿宋" w:eastAsia="仿宋" w:cs="仿宋"/>
          <w:color w:val="auto"/>
          <w:highlight w:val="none"/>
        </w:rPr>
        <w:sectPr>
          <w:headerReference r:id="rId4" w:type="first"/>
          <w:footerReference r:id="rId6" w:type="first"/>
          <w:headerReference r:id="rId3" w:type="default"/>
          <w:footerReference r:id="rId5" w:type="default"/>
          <w:pgSz w:w="11906" w:h="16838"/>
          <w:pgMar w:top="1247" w:right="1293" w:bottom="1247" w:left="1293" w:header="851" w:footer="850" w:gutter="0"/>
          <w:paperSrc/>
          <w:pgNumType w:fmt="decimal" w:start="1"/>
          <w:cols w:space="720" w:num="1"/>
          <w:titlePg/>
          <w:rtlGutter w:val="0"/>
          <w:docGrid w:linePitch="312" w:charSpace="0"/>
        </w:sectPr>
      </w:pPr>
    </w:p>
    <w:bookmarkEnd w:id="17"/>
    <w:bookmarkEnd w:id="18"/>
    <w:p>
      <w:pPr>
        <w:pStyle w:val="6"/>
        <w:bidi w:val="0"/>
        <w:jc w:val="center"/>
        <w:outlineLvl w:val="0"/>
        <w:rPr>
          <w:rStyle w:val="82"/>
          <w:rFonts w:hint="eastAsia" w:ascii="仿宋" w:hAnsi="仿宋" w:eastAsia="仿宋" w:cs="仿宋"/>
          <w:b/>
          <w:bCs/>
          <w:color w:val="auto"/>
          <w:kern w:val="2"/>
          <w:highlight w:val="none"/>
          <w:lang w:val="zh-CN" w:eastAsia="zh-CN" w:bidi="ar-SA"/>
        </w:rPr>
      </w:pPr>
      <w:bookmarkStart w:id="50" w:name="_Toc18048"/>
      <w:bookmarkStart w:id="51" w:name="第四部分"/>
      <w:r>
        <w:rPr>
          <w:rStyle w:val="82"/>
          <w:rFonts w:hint="eastAsia" w:ascii="仿宋" w:hAnsi="仿宋" w:eastAsia="仿宋" w:cs="仿宋"/>
          <w:b/>
          <w:bCs/>
          <w:color w:val="auto"/>
          <w:kern w:val="2"/>
          <w:highlight w:val="none"/>
          <w:lang w:val="zh-CN" w:eastAsia="zh-CN" w:bidi="ar-SA"/>
        </w:rPr>
        <w:t>第三部分   采购需求</w:t>
      </w:r>
      <w:bookmarkEnd w:id="50"/>
    </w:p>
    <w:p>
      <w:pPr>
        <w:spacing w:line="360" w:lineRule="auto"/>
        <w:jc w:val="both"/>
        <w:outlineLvl w:val="1"/>
        <w:rPr>
          <w:rFonts w:hint="eastAsia" w:ascii="仿宋" w:hAnsi="仿宋" w:eastAsia="仿宋" w:cs="仿宋"/>
          <w:b/>
          <w:color w:val="auto"/>
          <w:sz w:val="44"/>
          <w:szCs w:val="44"/>
          <w:highlight w:val="none"/>
          <w:lang w:val="zh-CN" w:eastAsia="zh-CN"/>
        </w:rPr>
      </w:pPr>
      <w:bookmarkStart w:id="52" w:name="_Toc23043"/>
      <w:r>
        <w:rPr>
          <w:rFonts w:hint="eastAsia" w:ascii="仿宋" w:hAnsi="仿宋" w:eastAsia="仿宋" w:cs="仿宋"/>
          <w:b/>
          <w:color w:val="auto"/>
          <w:sz w:val="44"/>
          <w:szCs w:val="44"/>
          <w:highlight w:val="none"/>
          <w:lang w:val="en-US" w:eastAsia="zh-CN"/>
        </w:rPr>
        <w:t>附：</w:t>
      </w:r>
      <w:r>
        <w:rPr>
          <w:rFonts w:hint="eastAsia" w:ascii="仿宋" w:hAnsi="仿宋" w:eastAsia="仿宋" w:cs="仿宋"/>
          <w:b/>
          <w:color w:val="auto"/>
          <w:sz w:val="44"/>
          <w:szCs w:val="44"/>
          <w:highlight w:val="none"/>
          <w:lang w:val="zh-CN" w:eastAsia="zh-CN"/>
        </w:rPr>
        <w:t>采购需求</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u w:val="none"/>
          <w:lang w:eastAsia="zh-CN"/>
        </w:rPr>
        <w:t>注：</w:t>
      </w:r>
      <w:r>
        <w:rPr>
          <w:rFonts w:hint="eastAsia" w:ascii="仿宋" w:hAnsi="仿宋" w:eastAsia="仿宋" w:cs="仿宋"/>
          <w:b w:val="0"/>
          <w:bCs w:val="0"/>
          <w:color w:val="auto"/>
          <w:sz w:val="24"/>
          <w:highlight w:val="none"/>
          <w:u w:val="none"/>
        </w:rPr>
        <w:t>“▲”</w:t>
      </w:r>
      <w:r>
        <w:rPr>
          <w:rFonts w:hint="eastAsia" w:ascii="仿宋" w:hAnsi="仿宋" w:eastAsia="仿宋" w:cs="仿宋"/>
          <w:b w:val="0"/>
          <w:bCs w:val="0"/>
          <w:snapToGrid w:val="0"/>
          <w:color w:val="auto"/>
          <w:kern w:val="28"/>
          <w:sz w:val="24"/>
          <w:szCs w:val="20"/>
          <w:highlight w:val="none"/>
          <w:u w:val="none"/>
        </w:rPr>
        <w:t>且加下划线的条款</w:t>
      </w:r>
      <w:r>
        <w:rPr>
          <w:rFonts w:hint="eastAsia" w:ascii="仿宋" w:hAnsi="仿宋" w:eastAsia="仿宋" w:cs="仿宋"/>
          <w:b w:val="0"/>
          <w:bCs w:val="0"/>
          <w:color w:val="auto"/>
          <w:sz w:val="24"/>
          <w:highlight w:val="none"/>
          <w:u w:val="none"/>
        </w:rPr>
        <w:t>系指实质性要求条款，</w:t>
      </w:r>
      <w:r>
        <w:rPr>
          <w:rFonts w:hint="eastAsia" w:ascii="仿宋" w:hAnsi="仿宋" w:eastAsia="仿宋" w:cs="仿宋"/>
          <w:color w:val="auto"/>
          <w:sz w:val="24"/>
          <w:highlight w:val="none"/>
        </w:rPr>
        <w:t>“★”系产品采购项目中单一产品或核心产品，</w:t>
      </w:r>
    </w:p>
    <w:p>
      <w:pPr>
        <w:snapToGrid w:val="0"/>
        <w:spacing w:line="360" w:lineRule="auto"/>
        <w:jc w:val="lef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标段一</w:t>
      </w:r>
      <w:r>
        <w:rPr>
          <w:rFonts w:hint="eastAsia" w:ascii="仿宋" w:hAnsi="仿宋" w:eastAsia="仿宋" w:cs="仿宋"/>
          <w:b/>
          <w:bCs/>
          <w:color w:val="auto"/>
          <w:sz w:val="24"/>
          <w:highlight w:val="none"/>
          <w:lang w:val="zh-CN" w:eastAsia="zh-CN"/>
        </w:rPr>
        <w:t>采购需求</w:t>
      </w:r>
    </w:p>
    <w:p>
      <w:pPr>
        <w:snapToGrid w:val="0"/>
        <w:spacing w:line="360" w:lineRule="auto"/>
        <w:jc w:val="lef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项目名称：</w:t>
      </w:r>
      <w:r>
        <w:rPr>
          <w:rFonts w:hint="eastAsia" w:ascii="仿宋" w:hAnsi="仿宋" w:eastAsia="仿宋" w:cs="仿宋"/>
          <w:b/>
          <w:bCs/>
          <w:color w:val="auto"/>
          <w:sz w:val="24"/>
          <w:highlight w:val="none"/>
          <w:lang w:val="en-US" w:eastAsia="zh-CN"/>
        </w:rPr>
        <w:t>温州经济技术开发区地下市政基础设施普查（地下管线及其附属设施部分）</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一、项目背景</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为全面落实《关于加强城市地下市政基础设施建设的指导意见》（建城〔2020〕111号）、《浙江省加强城市地下市政基础设施建设实施方案》（浙建城〔2021〕21 号）、《浙江省城市地下市政基础设施普查实施方案》（浙自然资厅函〔2021〕431 号）、《温州市城市地下市政基础设施普查实施方案》（温资规发﹝2021﹞77号）文件要求,高标准、高质量、高效率完成</w:t>
      </w:r>
      <w:r>
        <w:rPr>
          <w:rFonts w:hint="eastAsia" w:ascii="仿宋" w:hAnsi="仿宋" w:eastAsia="仿宋" w:cs="仿宋"/>
          <w:color w:val="auto"/>
          <w:sz w:val="24"/>
          <w:highlight w:val="none"/>
          <w:lang w:eastAsia="zh-CN"/>
        </w:rPr>
        <w:t>温州经济技术开发区地下市政基础设施普查（地下管线及其附属设施部分）</w:t>
      </w:r>
      <w:r>
        <w:rPr>
          <w:rFonts w:hint="eastAsia" w:ascii="仿宋" w:hAnsi="仿宋" w:eastAsia="仿宋" w:cs="仿宋"/>
          <w:color w:val="auto"/>
          <w:sz w:val="24"/>
          <w:highlight w:val="none"/>
        </w:rPr>
        <w:t>任务。绘制城市地下市政基础设施“一张图”，建立城市地下市政基础设施数据的动态更新监测机制，及时、准确地掌握城市地下市政基础设施现在及变化情况，为城市规划、建设、管理、更新等提供智能化信息服务。</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二、项目主要概况及采购预算</w:t>
      </w:r>
    </w:p>
    <w:tbl>
      <w:tblPr>
        <w:tblStyle w:val="63"/>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2401"/>
        <w:gridCol w:w="3881"/>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47" w:type="dxa"/>
            <w:noWrap w:val="0"/>
            <w:vAlign w:val="center"/>
          </w:tcPr>
          <w:p>
            <w:pPr>
              <w:snapToGrid w:val="0"/>
              <w:spacing w:line="360" w:lineRule="auto"/>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标项</w:t>
            </w:r>
          </w:p>
        </w:tc>
        <w:tc>
          <w:tcPr>
            <w:tcW w:w="2401" w:type="dxa"/>
            <w:noWrap w:val="0"/>
            <w:vAlign w:val="center"/>
          </w:tcPr>
          <w:p>
            <w:pPr>
              <w:snapToGrid w:val="0"/>
              <w:spacing w:line="360" w:lineRule="auto"/>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项目名称</w:t>
            </w:r>
          </w:p>
        </w:tc>
        <w:tc>
          <w:tcPr>
            <w:tcW w:w="3881" w:type="dxa"/>
            <w:noWrap w:val="0"/>
            <w:vAlign w:val="center"/>
          </w:tcPr>
          <w:p>
            <w:pPr>
              <w:snapToGrid w:val="0"/>
              <w:spacing w:line="360" w:lineRule="auto"/>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主要工作内容</w:t>
            </w:r>
          </w:p>
        </w:tc>
        <w:tc>
          <w:tcPr>
            <w:tcW w:w="2423" w:type="dxa"/>
            <w:noWrap w:val="0"/>
            <w:vAlign w:val="center"/>
          </w:tcPr>
          <w:p>
            <w:pPr>
              <w:snapToGrid w:val="0"/>
              <w:spacing w:line="360" w:lineRule="auto"/>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项目预算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1047" w:type="dxa"/>
            <w:noWrap w:val="0"/>
            <w:vAlign w:val="center"/>
          </w:tcPr>
          <w:p>
            <w:pPr>
              <w:snapToGrid w:val="0"/>
              <w:spacing w:line="360" w:lineRule="auto"/>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标段一</w:t>
            </w:r>
          </w:p>
        </w:tc>
        <w:tc>
          <w:tcPr>
            <w:tcW w:w="2401" w:type="dxa"/>
            <w:noWrap w:val="0"/>
            <w:vAlign w:val="center"/>
          </w:tcPr>
          <w:p>
            <w:pPr>
              <w:snapToGrid w:val="0"/>
              <w:spacing w:line="360" w:lineRule="auto"/>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4"/>
                <w:highlight w:val="none"/>
                <w:lang w:eastAsia="zh-CN"/>
              </w:rPr>
              <w:t>温州经济技术开发区地下市政基础设施普查（地下管线及其附属设施部分）</w:t>
            </w:r>
          </w:p>
        </w:tc>
        <w:tc>
          <w:tcPr>
            <w:tcW w:w="3881" w:type="dxa"/>
            <w:noWrap w:val="0"/>
            <w:vAlign w:val="center"/>
          </w:tcPr>
          <w:p>
            <w:pPr>
              <w:snapToGrid w:val="0"/>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1、完成约2140公里地下管线测量、普查与建库。</w:t>
            </w:r>
          </w:p>
          <w:p>
            <w:pPr>
              <w:snapToGrid w:val="0"/>
              <w:spacing w:line="360" w:lineRule="auto"/>
              <w:jc w:val="left"/>
              <w:rPr>
                <w:rFonts w:hint="eastAsia" w:ascii="仿宋" w:hAnsi="仿宋" w:eastAsia="仿宋" w:cs="仿宋"/>
                <w:color w:val="auto"/>
                <w:sz w:val="22"/>
                <w:szCs w:val="22"/>
                <w:highlight w:val="none"/>
                <w:shd w:val="clear" w:color="auto" w:fill="auto"/>
                <w:lang w:val="en-US" w:eastAsia="zh-CN"/>
              </w:rPr>
            </w:pPr>
            <w:r>
              <w:rPr>
                <w:rFonts w:hint="eastAsia" w:ascii="仿宋" w:hAnsi="仿宋" w:eastAsia="仿宋" w:cs="仿宋"/>
                <w:color w:val="auto"/>
                <w:sz w:val="24"/>
                <w:highlight w:val="none"/>
                <w:lang w:val="en-US" w:eastAsia="zh-CN"/>
              </w:rPr>
              <w:t>2、完成约2134公里已有地下管线数据的精度检核、补充调查与建库。</w:t>
            </w:r>
          </w:p>
        </w:tc>
        <w:tc>
          <w:tcPr>
            <w:tcW w:w="2423" w:type="dxa"/>
            <w:noWrap w:val="0"/>
            <w:vAlign w:val="center"/>
          </w:tcPr>
          <w:p>
            <w:pPr>
              <w:snapToGrid w:val="0"/>
              <w:spacing w:line="360" w:lineRule="auto"/>
              <w:jc w:val="left"/>
              <w:rPr>
                <w:rFonts w:hint="eastAsia" w:ascii="仿宋" w:hAnsi="仿宋" w:eastAsia="仿宋" w:cs="仿宋"/>
                <w:color w:val="auto"/>
                <w:sz w:val="22"/>
                <w:szCs w:val="22"/>
                <w:highlight w:val="none"/>
                <w:shd w:val="clear" w:color="auto" w:fill="auto"/>
                <w:lang w:val="en-US" w:eastAsia="zh-CN"/>
              </w:rPr>
            </w:pPr>
            <w:r>
              <w:rPr>
                <w:rFonts w:hint="eastAsia" w:ascii="仿宋" w:hAnsi="仿宋" w:eastAsia="仿宋" w:cs="仿宋"/>
                <w:color w:val="auto"/>
                <w:sz w:val="22"/>
                <w:szCs w:val="22"/>
                <w:highlight w:val="none"/>
                <w:shd w:val="clear" w:color="auto" w:fill="auto"/>
                <w:lang w:val="en-US" w:eastAsia="zh-CN"/>
              </w:rPr>
              <w:t>1055（万元）</w:t>
            </w:r>
          </w:p>
        </w:tc>
      </w:tr>
    </w:tbl>
    <w:p>
      <w:pPr>
        <w:numPr>
          <w:ilvl w:val="0"/>
          <w:numId w:val="0"/>
        </w:numPr>
        <w:snapToGrid w:val="0"/>
        <w:spacing w:line="360" w:lineRule="auto"/>
        <w:jc w:val="left"/>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val="en-US" w:eastAsia="zh-CN"/>
        </w:rPr>
        <w:t>备注</w:t>
      </w:r>
      <w:r>
        <w:rPr>
          <w:rFonts w:hint="eastAsia"/>
          <w:color w:val="auto"/>
          <w:highlight w:val="none"/>
          <w:lang w:eastAsia="zh-CN"/>
        </w:rPr>
        <w:t>：</w:t>
      </w:r>
    </w:p>
    <w:p>
      <w:pPr>
        <w:snapToGrid w:val="0"/>
        <w:spacing w:line="360" w:lineRule="auto"/>
        <w:ind w:firstLine="482" w:firstLineChars="20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1、以上工作内容为预估工作量，本项目根据投标单价按实际完成的工作量进行结算。</w:t>
      </w:r>
    </w:p>
    <w:p>
      <w:pPr>
        <w:snapToGrid w:val="0"/>
        <w:spacing w:line="360" w:lineRule="auto"/>
        <w:ind w:firstLine="482" w:firstLineChars="200"/>
        <w:jc w:val="lef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已有地下管线数据须分类完成空间精度检核工作，经检核精度满足规范要求的数据可直接采用已有空间信息，完成属性补充调查及建库工作；经检核精度不满足规范要求的数据须完成全面探测、普查与建库等工作。</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三</w:t>
      </w:r>
      <w:r>
        <w:rPr>
          <w:rFonts w:hint="eastAsia" w:ascii="仿宋" w:hAnsi="仿宋" w:eastAsia="仿宋" w:cs="仿宋"/>
          <w:color w:val="auto"/>
          <w:sz w:val="24"/>
          <w:highlight w:val="none"/>
        </w:rPr>
        <w:t>、普查范围及对象</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本次普查范围约</w:t>
      </w:r>
      <w:r>
        <w:rPr>
          <w:rFonts w:hint="eastAsia" w:ascii="仿宋" w:hAnsi="仿宋" w:eastAsia="仿宋" w:cs="仿宋"/>
          <w:b/>
          <w:bCs/>
          <w:color w:val="auto"/>
          <w:sz w:val="24"/>
          <w:highlight w:val="none"/>
          <w:lang w:val="en-US" w:eastAsia="zh-CN"/>
        </w:rPr>
        <w:t>17</w:t>
      </w:r>
      <w:r>
        <w:rPr>
          <w:rFonts w:hint="eastAsia" w:ascii="仿宋" w:hAnsi="仿宋" w:eastAsia="仿宋" w:cs="仿宋"/>
          <w:color w:val="auto"/>
          <w:sz w:val="24"/>
          <w:highlight w:val="none"/>
        </w:rPr>
        <w:t>平方千米</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主要为范围内的主干路、次干路、支路、通道等市政道路及街巷，以及公园绿地、广场等其他公共区域，涉及沙城、天河、海城、星海</w:t>
      </w:r>
      <w:r>
        <w:rPr>
          <w:rFonts w:hint="eastAsia" w:ascii="仿宋" w:hAnsi="仿宋" w:eastAsia="仿宋" w:cs="仿宋"/>
          <w:color w:val="auto"/>
          <w:sz w:val="24"/>
          <w:highlight w:val="none"/>
          <w:lang w:eastAsia="zh-CN"/>
        </w:rPr>
        <w:t>四</w:t>
      </w:r>
      <w:r>
        <w:rPr>
          <w:rFonts w:hint="eastAsia" w:ascii="仿宋" w:hAnsi="仿宋" w:eastAsia="仿宋" w:cs="仿宋"/>
          <w:color w:val="auto"/>
          <w:sz w:val="24"/>
          <w:highlight w:val="none"/>
        </w:rPr>
        <w:t>个街道，具体范围见附图。</w:t>
      </w:r>
    </w:p>
    <w:p>
      <w:pPr>
        <w:snapToGrid w:val="0"/>
        <w:spacing w:line="36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普查对象为普查范围内的各类地下管线及其附属设施，主要包括给水、排水、燃气、热力、电力、通信、工业等，以及铁路、民航等系统的专用管线。</w:t>
      </w:r>
    </w:p>
    <w:p>
      <w:pPr>
        <w:jc w:val="both"/>
        <w:outlineLvl w:val="9"/>
        <w:rPr>
          <w:rFonts w:hint="eastAsia"/>
          <w:color w:val="auto"/>
          <w:sz w:val="20"/>
          <w:szCs w:val="22"/>
          <w:highlight w:val="none"/>
        </w:rPr>
      </w:pPr>
      <w:r>
        <w:rPr>
          <w:rFonts w:hint="eastAsia"/>
          <w:b/>
          <w:bCs/>
          <w:color w:val="auto"/>
          <w:sz w:val="24"/>
          <w:szCs w:val="24"/>
          <w:highlight w:val="none"/>
          <w:lang w:val="en-US" w:eastAsia="zh-CN"/>
        </w:rPr>
        <w:t>附图一普查范围示意图：</w:t>
      </w:r>
    </w:p>
    <w:p>
      <w:pPr>
        <w:jc w:val="center"/>
        <w:outlineLvl w:val="0"/>
        <w:rPr>
          <w:rFonts w:hint="eastAsia"/>
          <w:b/>
          <w:bCs/>
          <w:color w:val="auto"/>
          <w:sz w:val="24"/>
          <w:szCs w:val="24"/>
          <w:highlight w:val="none"/>
          <w:lang w:val="en-US" w:eastAsia="zh-CN"/>
        </w:rPr>
      </w:pPr>
    </w:p>
    <w:p>
      <w:pPr>
        <w:pStyle w:val="3"/>
        <w:rPr>
          <w:rFonts w:hint="eastAsia" w:ascii="方正小标宋简体" w:hAnsi="方正小标宋简体" w:eastAsia="方正小标宋简体" w:cs="方正小标宋简体"/>
          <w:b/>
          <w:bCs/>
          <w:color w:val="auto"/>
          <w:sz w:val="30"/>
          <w:szCs w:val="30"/>
          <w:highlight w:val="none"/>
          <w:lang w:val="en-US" w:eastAsia="zh-CN"/>
        </w:rPr>
      </w:pPr>
      <w:r>
        <w:rPr>
          <w:color w:val="auto"/>
          <w:highlight w:val="none"/>
        </w:rPr>
        <w:drawing>
          <wp:inline distT="0" distB="0" distL="114300" distR="114300">
            <wp:extent cx="5902325" cy="4041775"/>
            <wp:effectExtent l="0" t="0" r="3175" b="15875"/>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18"/>
                    <a:stretch>
                      <a:fillRect/>
                    </a:stretch>
                  </pic:blipFill>
                  <pic:spPr>
                    <a:xfrm>
                      <a:off x="0" y="0"/>
                      <a:ext cx="5902325" cy="4041775"/>
                    </a:xfrm>
                    <a:prstGeom prst="rect">
                      <a:avLst/>
                    </a:prstGeom>
                    <a:noFill/>
                    <a:ln>
                      <a:noFill/>
                    </a:ln>
                  </pic:spPr>
                </pic:pic>
              </a:graphicData>
            </a:graphic>
          </wp:inline>
        </w:drawing>
      </w:r>
    </w:p>
    <w:p>
      <w:pPr>
        <w:jc w:val="center"/>
        <w:outlineLvl w:val="0"/>
        <w:rPr>
          <w:rFonts w:hint="eastAsia"/>
          <w:color w:val="auto"/>
          <w:highlight w:val="none"/>
        </w:rPr>
      </w:pPr>
    </w:p>
    <w:p>
      <w:pPr>
        <w:numPr>
          <w:ilvl w:val="0"/>
          <w:numId w:val="5"/>
        </w:numPr>
        <w:snapToGrid w:val="0"/>
        <w:spacing w:line="360" w:lineRule="auto"/>
        <w:ind w:firstLine="480" w:firstLineChars="200"/>
        <w:jc w:val="left"/>
        <w:rPr>
          <w:rFonts w:hint="eastAsia" w:ascii="仿宋" w:hAnsi="仿宋" w:eastAsia="仿宋" w:cs="仿宋"/>
          <w:color w:val="auto"/>
          <w:sz w:val="24"/>
          <w:highlight w:val="none"/>
        </w:rPr>
      </w:pPr>
      <w:bookmarkStart w:id="53" w:name="_Toc75414571"/>
      <w:r>
        <w:rPr>
          <w:rFonts w:hint="eastAsia" w:ascii="仿宋" w:hAnsi="仿宋" w:eastAsia="仿宋" w:cs="仿宋"/>
          <w:color w:val="auto"/>
          <w:sz w:val="24"/>
          <w:highlight w:val="none"/>
        </w:rPr>
        <w:t>普查依据和技术标准（包含，但不限于此）</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1.《浙江省测绘地理信息条例》（浙江省第十三届人民代表大会常务委员会公告第10号）；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2.《住房和城乡建设部关于加强城市地下市政基础设施建设的指导意见》（建城〔2020〕111号）；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3.《城市市政基础设施普查和综合管理信息平台建设工作指导手册》（建办城函〔2021〕208号）；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4.《关于印发浙江省加强城市地下市政基础设施建设实施方案的通知》（浙建城〔2021〕21号)；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5.《关于印发浙江省城市地下市政基础设施普查实施方案的通知》（浙自然资厅函〔2020〕431号）；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6.《城市地下空间测绘规范》GB/T 35636-2017；</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7.《卫星导航定位基准站网络实时动态测量（RTK）规范》GB/T 39616-2020；</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8.《国家基本比例尺地图图式第1部分：1∶500  1∶1000  1∶2000地形图图式》GB/T 20257.1-2017；</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9.《工程测量标准》GB 50026-2020；</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10.《数字测绘成果质量检查与验收》GB/T 18316-2008；</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11.《测绘成果质量检查与验收》GB/T 24356-2009；</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12.《人民防空地下室设计规范》GB 50038-2005；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13.《人民防空工程设计规范》GB 50225-2005；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14.《城市综合管廊工程技术规范》GB 50838-2015；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15.《城市停车规划规范》GB/T 51149-2016；</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16.《城市测量规范》CJJ/T 8-2011；</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17.《城市地下管线探测技术规程》CJJ 61-2017；</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18.《卫星定位城市测量技术标准》CJJ/T 73-2019；</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19.《城市地下道路工程设计规范》CJJ/T 221-2015；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20.《管线要素分类代码与符号表达》CH/T 1036-2015；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21.《管线测绘技术规程》CH/T 6002-2015；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22.《管线测绘工程监理规程》CH/T 6009-2019；</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23.《实景三维地理信息数据激光雷达测量技术规程》CH/T 3020-2018；</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24.《基础地理信息要素分类与图形表达代码》DB33/T 817-2010；</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25.《建筑工程建筑面积计算和竣工综合测量技术规程》DB33/T 1152-2018；</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26.《浙江省城市地下市政基础设施普查技术规程》；</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27.《浙江省城市地下市政基础设施数据库建设规范》；</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28.《浙江省城市地下市政基础设施普查质量检查检验规范》。</w:t>
      </w:r>
    </w:p>
    <w:p>
      <w:pPr>
        <w:numPr>
          <w:ilvl w:val="0"/>
          <w:numId w:val="5"/>
        </w:num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w:t>
      </w:r>
      <w:bookmarkEnd w:id="53"/>
      <w:r>
        <w:rPr>
          <w:rFonts w:hint="eastAsia" w:ascii="仿宋" w:hAnsi="仿宋" w:eastAsia="仿宋" w:cs="仿宋"/>
          <w:color w:val="auto"/>
          <w:sz w:val="24"/>
          <w:highlight w:val="none"/>
        </w:rPr>
        <w:t>要求</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1、基准要求</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本次普查数据成果采用的数学基础包括：平面坐标系采用温州2000坐标系，同时提供一套2000国家大地坐标系汇交成果；高程基准采用1985国家高程基准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二期</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2、精度要求</w:t>
      </w:r>
    </w:p>
    <w:p>
      <w:pPr>
        <w:snapToGrid w:val="0"/>
        <w:spacing w:line="360"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2.1、平面精度</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（1）明显地下管线（构筑物）点的平面位置测量中误差不大于50毫米。</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（2）隐蔽地下管线点的平面位置探查中误差不大于0.05h毫米（h为管线中心埋深，单位为毫米，当h&lt;1000毫米时以1000毫米带入计算）。</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2.2、高程精度：地下管线（构筑物）点的高程测量中误差不大于30毫米。</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2.3、埋深精度</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（1）明显管线（构筑物）点的埋深量测中误差不大于25毫米。</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（2）隐蔽管线（构筑物）点的埋深探查中误差不大于0.075h毫米（h为管线（构筑物）中心埋深，单位为毫米，当h&lt;1000毫米时以1000毫米带入计算）。</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3、工作底图</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采用1∶500比例尺数字地形图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无1:500地形图的区域采用1:2000数字地形图</w:t>
      </w:r>
      <w:r>
        <w:rPr>
          <w:rFonts w:hint="eastAsia" w:ascii="仿宋" w:hAnsi="仿宋" w:eastAsia="仿宋" w:cs="仿宋"/>
          <w:color w:val="auto"/>
          <w:sz w:val="24"/>
          <w:highlight w:val="none"/>
        </w:rPr>
        <w:t>。</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4、普查单元</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普查单元以道路、街区为单元进行划分，无缝拼接，不漏不重，全面覆盖普查区域范围。</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普查单元编号采用三层11位层次码结构，由6位行政区代码+1位特征码+4位流水编号构成。</w:t>
      </w:r>
      <w:r>
        <w:rPr>
          <w:rFonts w:hint="eastAsia" w:ascii="仿宋" w:hAnsi="仿宋" w:eastAsia="仿宋" w:cs="仿宋"/>
          <w:color w:val="auto"/>
          <w:sz w:val="24"/>
          <w:highlight w:val="none"/>
          <w:lang w:val="en-US" w:eastAsia="zh-CN"/>
        </w:rPr>
        <w:t>第7位特征码用D、J、Q表示，“D”表示道路普查单元，“J”表示街区普查单元，“Q”表示其他普查单元；流水号不足4位的用前导“0”补齐</w:t>
      </w:r>
      <w:r>
        <w:rPr>
          <w:rFonts w:hint="eastAsia" w:ascii="仿宋" w:hAnsi="仿宋" w:eastAsia="仿宋" w:cs="仿宋"/>
          <w:color w:val="auto"/>
          <w:sz w:val="24"/>
          <w:highlight w:val="none"/>
        </w:rPr>
        <w:t>。</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drawing>
          <wp:inline distT="0" distB="0" distL="114300" distR="114300">
            <wp:extent cx="4191000" cy="1860550"/>
            <wp:effectExtent l="0" t="0" r="0" b="635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19"/>
                    <a:stretch>
                      <a:fillRect/>
                    </a:stretch>
                  </pic:blipFill>
                  <pic:spPr>
                    <a:xfrm>
                      <a:off x="0" y="0"/>
                      <a:ext cx="4191000" cy="1860550"/>
                    </a:xfrm>
                    <a:prstGeom prst="rect">
                      <a:avLst/>
                    </a:prstGeom>
                    <a:noFill/>
                    <a:ln>
                      <a:noFill/>
                    </a:ln>
                  </pic:spPr>
                </pic:pic>
              </a:graphicData>
            </a:graphic>
          </wp:inline>
        </w:drawing>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5、设施探查</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在资料收集和已有成果分析的基础上，使用检定合格的测绘和探测仪器，分单元开展外业调查、探查、测绘工作，有关要求按照现行国家及省级标准规范、《浙江省城市地下市政基础设施普查技术规程》执行。</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6、数据建库</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普查成果经检验合格后，即可开展数据建库工作，有关要求按照现行国家及省级标准规范、《浙江省城市地下市政基础设施数据库建设规范》执行。</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7、地下市政基础设施“一张图”编制</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普查数据库经检验合格后，以最新1:2000比例尺数字地形图为底图，结合采购方提供的其他地下市政设施普查数据，开展地下市政基础设施数字图件编制工作，形成地下市政基础设施“一张图”。有关要求按照现行国家及省级标准规范、《浙江省城市地下市政基础设施普查技术规程》执行。</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8、质量控制</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成果须符合国家或行业标准、规定及技术标准等相关要求，中标供应商要加强普查事前事中事后全过程质量管理，重点监控普查中的技术方法、关键节点和薄弱环节，严格执行普查成果“两级检查”制度，严格执行国家、省普查技术规程和质量检查规范。</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9、普查成果</w:t>
      </w:r>
    </w:p>
    <w:p>
      <w:pPr>
        <w:snapToGrid w:val="0"/>
        <w:spacing w:line="360" w:lineRule="auto"/>
        <w:ind w:firstLine="480" w:firstLineChars="200"/>
        <w:jc w:val="left"/>
        <w:rPr>
          <w:rFonts w:hint="eastAsia" w:ascii="仿宋" w:hAnsi="仿宋" w:eastAsia="仿宋" w:cs="仿宋"/>
          <w:color w:val="auto"/>
          <w:sz w:val="24"/>
          <w:highlight w:val="none"/>
        </w:rPr>
      </w:pPr>
      <w:bookmarkStart w:id="54" w:name="_Toc7047"/>
      <w:r>
        <w:rPr>
          <w:rFonts w:hint="eastAsia" w:ascii="仿宋" w:hAnsi="仿宋" w:eastAsia="仿宋" w:cs="仿宋"/>
          <w:color w:val="auto"/>
          <w:sz w:val="24"/>
          <w:highlight w:val="none"/>
        </w:rPr>
        <w:t>（1）数据成果</w:t>
      </w:r>
      <w:bookmarkEnd w:id="54"/>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普查成果数据库。</w:t>
      </w:r>
    </w:p>
    <w:p>
      <w:pPr>
        <w:snapToGrid w:val="0"/>
        <w:spacing w:line="360" w:lineRule="auto"/>
        <w:ind w:firstLine="480" w:firstLineChars="200"/>
        <w:jc w:val="left"/>
        <w:rPr>
          <w:rFonts w:hint="eastAsia" w:ascii="仿宋" w:hAnsi="仿宋" w:eastAsia="仿宋" w:cs="仿宋"/>
          <w:color w:val="auto"/>
          <w:sz w:val="24"/>
          <w:highlight w:val="none"/>
        </w:rPr>
      </w:pPr>
      <w:bookmarkStart w:id="55" w:name="_Toc31426"/>
      <w:r>
        <w:rPr>
          <w:rFonts w:hint="eastAsia" w:ascii="仿宋" w:hAnsi="仿宋" w:eastAsia="仿宋" w:cs="仿宋"/>
          <w:color w:val="auto"/>
          <w:sz w:val="24"/>
          <w:highlight w:val="none"/>
        </w:rPr>
        <w:t>（2）图件成果</w:t>
      </w:r>
      <w:bookmarkEnd w:id="55"/>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普查单元分布图及其他各类专题城市地下市政基础设施分布图。</w:t>
      </w:r>
    </w:p>
    <w:p>
      <w:pPr>
        <w:snapToGrid w:val="0"/>
        <w:spacing w:line="360" w:lineRule="auto"/>
        <w:ind w:firstLine="480" w:firstLineChars="200"/>
        <w:jc w:val="left"/>
        <w:rPr>
          <w:rFonts w:hint="eastAsia" w:ascii="仿宋" w:hAnsi="仿宋" w:eastAsia="仿宋" w:cs="仿宋"/>
          <w:color w:val="auto"/>
          <w:sz w:val="24"/>
          <w:highlight w:val="none"/>
        </w:rPr>
      </w:pPr>
      <w:bookmarkStart w:id="56" w:name="_Toc7144"/>
      <w:r>
        <w:rPr>
          <w:rFonts w:hint="eastAsia" w:ascii="仿宋" w:hAnsi="仿宋" w:eastAsia="仿宋" w:cs="仿宋"/>
          <w:color w:val="auto"/>
          <w:sz w:val="24"/>
          <w:highlight w:val="none"/>
        </w:rPr>
        <w:t>（3）文档成果</w:t>
      </w:r>
      <w:bookmarkEnd w:id="56"/>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技术设计书、工作总结、技术总结、质量检验报告、验收意见等。</w:t>
      </w:r>
    </w:p>
    <w:p>
      <w:pPr>
        <w:numPr>
          <w:ilvl w:val="0"/>
          <w:numId w:val="5"/>
        </w:numPr>
        <w:snapToGrid w:val="0"/>
        <w:spacing w:line="360" w:lineRule="auto"/>
        <w:ind w:firstLine="480" w:firstLineChars="200"/>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▲工期要求</w:t>
      </w:r>
    </w:p>
    <w:p>
      <w:pPr>
        <w:pStyle w:val="3"/>
        <w:ind w:firstLine="480" w:firstLineChars="2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1、2022年11月底前完成全部普查及建库工作，并出具相关数据成果。</w:t>
      </w:r>
    </w:p>
    <w:p>
      <w:pPr>
        <w:pStyle w:val="3"/>
        <w:ind w:firstLine="480" w:firstLineChars="2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2、2022年12月底前完成项目全部工作内容并通过验收，绘制城市地下市政基础设施“一张图”，并向省自然资源厅汇交普查成果。</w:t>
      </w:r>
    </w:p>
    <w:p>
      <w:pPr>
        <w:pStyle w:val="3"/>
        <w:ind w:firstLine="480" w:firstLineChars="2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如遇特殊情况（设计变更、工作量变化、恶劣天气、不可抗力影响、政府行为以及非成交供应商原因造成的停、窝工等）时，工期顺延。（如采购人另有通知，以通知时间为准）。</w:t>
      </w:r>
    </w:p>
    <w:p>
      <w:pPr>
        <w:numPr>
          <w:ilvl w:val="0"/>
          <w:numId w:val="5"/>
        </w:num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商务要求</w:t>
      </w:r>
    </w:p>
    <w:p>
      <w:pPr>
        <w:pStyle w:val="360"/>
        <w:ind w:firstLine="482"/>
        <w:rPr>
          <w:rFonts w:hint="eastAsia" w:ascii="仿宋" w:hAnsi="仿宋" w:eastAsia="仿宋" w:cs="仿宋"/>
          <w:color w:val="auto"/>
          <w:highlight w:val="none"/>
        </w:rPr>
      </w:pPr>
      <w:r>
        <w:rPr>
          <w:rFonts w:hint="eastAsia" w:ascii="仿宋" w:hAnsi="仿宋" w:eastAsia="仿宋" w:cs="仿宋"/>
          <w:b/>
          <w:color w:val="auto"/>
          <w:highlight w:val="none"/>
        </w:rPr>
        <w:t>▲</w:t>
      </w:r>
      <w:r>
        <w:rPr>
          <w:rFonts w:hint="eastAsia" w:ascii="仿宋" w:hAnsi="仿宋" w:eastAsia="仿宋" w:cs="仿宋"/>
          <w:b/>
          <w:color w:val="auto"/>
          <w:highlight w:val="none"/>
          <w:u w:val="single"/>
          <w:lang w:val="en-US" w:eastAsia="zh-CN"/>
        </w:rPr>
        <w:t>1、</w:t>
      </w:r>
      <w:r>
        <w:rPr>
          <w:rFonts w:hint="eastAsia" w:ascii="仿宋" w:hAnsi="仿宋" w:eastAsia="仿宋" w:cs="仿宋"/>
          <w:b/>
          <w:color w:val="auto"/>
          <w:highlight w:val="none"/>
          <w:u w:val="single"/>
        </w:rPr>
        <w:t>服务起始时间</w:t>
      </w:r>
      <w:r>
        <w:rPr>
          <w:rFonts w:hint="eastAsia" w:ascii="仿宋" w:hAnsi="仿宋" w:eastAsia="仿宋" w:cs="仿宋"/>
          <w:color w:val="auto"/>
          <w:highlight w:val="none"/>
        </w:rPr>
        <w:t>：要求在合同签订后1周内启动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2022年</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月底前完成</w:t>
      </w:r>
      <w:r>
        <w:rPr>
          <w:rFonts w:hint="eastAsia" w:ascii="仿宋" w:hAnsi="仿宋" w:eastAsia="仿宋" w:cs="仿宋"/>
          <w:color w:val="auto"/>
          <w:sz w:val="24"/>
          <w:highlight w:val="none"/>
        </w:rPr>
        <w:t>项目全部工作内容并通过验收</w:t>
      </w:r>
      <w:r>
        <w:rPr>
          <w:rFonts w:hint="eastAsia" w:ascii="仿宋" w:hAnsi="仿宋" w:eastAsia="仿宋" w:cs="仿宋"/>
          <w:color w:val="auto"/>
          <w:highlight w:val="none"/>
        </w:rPr>
        <w:t>，完成日期以通过终验日期为准。</w:t>
      </w:r>
    </w:p>
    <w:p>
      <w:pPr>
        <w:pStyle w:val="360"/>
        <w:adjustRightInd/>
        <w:ind w:firstLine="482"/>
        <w:rPr>
          <w:rFonts w:hint="eastAsia" w:ascii="仿宋" w:hAnsi="仿宋" w:eastAsia="仿宋" w:cs="仿宋"/>
          <w:b/>
          <w:color w:val="auto"/>
          <w:highlight w:val="none"/>
          <w:u w:val="single"/>
        </w:rPr>
      </w:pPr>
      <w:r>
        <w:rPr>
          <w:rFonts w:hint="eastAsia" w:ascii="仿宋" w:hAnsi="仿宋" w:eastAsia="仿宋" w:cs="仿宋"/>
          <w:b/>
          <w:bCs/>
          <w:color w:val="auto"/>
          <w:highlight w:val="none"/>
        </w:rPr>
        <w:t>▲</w:t>
      </w:r>
      <w:r>
        <w:rPr>
          <w:rFonts w:hint="eastAsia" w:ascii="仿宋" w:hAnsi="仿宋" w:eastAsia="仿宋" w:cs="仿宋"/>
          <w:b/>
          <w:color w:val="auto"/>
          <w:highlight w:val="none"/>
          <w:u w:val="single"/>
          <w:lang w:val="en-US" w:eastAsia="zh-CN"/>
        </w:rPr>
        <w:t>2、</w:t>
      </w:r>
      <w:r>
        <w:rPr>
          <w:rFonts w:hint="eastAsia" w:ascii="仿宋" w:hAnsi="仿宋" w:eastAsia="仿宋" w:cs="仿宋"/>
          <w:b/>
          <w:color w:val="auto"/>
          <w:highlight w:val="none"/>
          <w:u w:val="single"/>
        </w:rPr>
        <w:t>质量要求：</w:t>
      </w:r>
    </w:p>
    <w:p>
      <w:pPr>
        <w:pStyle w:val="360"/>
        <w:adjustRightInd/>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根据浙江省自然资源厅相关文件要求通过质检，并经采购方组织的专家验收通过，如未通过，负责无偿给予重新实施，以达到质量要求为止。</w:t>
      </w:r>
    </w:p>
    <w:p>
      <w:pPr>
        <w:pStyle w:val="360"/>
        <w:adjustRightInd/>
        <w:ind w:firstLine="48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3、服务要求</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符合相关技术规范及文件精神要求，最终成果须通过采购人组织的专家评审验收。</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1）中标供应商在履行合同义务期间，应遵守国家有关法律、法规、维护委托单位的合法权益。</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2）中标供应商应组建能够满足本项目服务需要的项目小组，按照工作范围和内容完成项目工作，并按约定向委托单位汇报工作进展。</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3）投标供应商应在投标文件中明确投入本项目服务的人员基本配备。</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4）投标供应商应在投标文件中明确投入本项目使用的工具器具仪器设备等详细数量及现况。</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5）中标供应商应自行承担项目实施过程中安全生产责任，采购人及使用单位任何情况下均不承担因此产生的任何法律责任和经济责任。</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6）项目实施过程中，中标供应商应自行与相关部门、街道协商，调取调查相关数据。</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7）后续配合要求：在项目成果通过验收并实施过程中，按照项目实际需求，配合采购人进一步完善成果细节，以满足建设要求。</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8）投标供应商应在相关领域掌握丰富的信息资源和专家资源，对本项目后续发展有深入研究，拥有相关专业技术团队，有较强研究基础，熟悉本区情况。</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9）本次评审验收过程中所产生的一切费用包含在本次报价中。</w:t>
      </w:r>
    </w:p>
    <w:p>
      <w:pPr>
        <w:pStyle w:val="360"/>
        <w:adjustRightInd/>
        <w:ind w:firstLine="482"/>
        <w:rPr>
          <w:rFonts w:hint="eastAsia" w:ascii="仿宋" w:hAnsi="仿宋" w:eastAsia="仿宋" w:cs="仿宋"/>
          <w:b/>
          <w:bCs/>
          <w:color w:val="auto"/>
          <w:highlight w:val="none"/>
        </w:rPr>
      </w:pPr>
      <w:r>
        <w:rPr>
          <w:rFonts w:hint="eastAsia" w:ascii="仿宋" w:hAnsi="仿宋" w:eastAsia="仿宋" w:cs="仿宋"/>
          <w:b/>
          <w:bCs/>
          <w:color w:val="auto"/>
          <w:highlight w:val="none"/>
        </w:rPr>
        <w:t>▲</w:t>
      </w:r>
      <w:r>
        <w:rPr>
          <w:rFonts w:hint="eastAsia" w:ascii="仿宋" w:hAnsi="仿宋" w:eastAsia="仿宋" w:cs="仿宋"/>
          <w:b/>
          <w:bCs/>
          <w:color w:val="auto"/>
          <w:highlight w:val="none"/>
          <w:u w:val="single"/>
        </w:rPr>
        <w:t>4</w:t>
      </w:r>
      <w:r>
        <w:rPr>
          <w:rFonts w:hint="eastAsia" w:ascii="仿宋" w:hAnsi="仿宋" w:eastAsia="仿宋" w:cs="仿宋"/>
          <w:b/>
          <w:bCs/>
          <w:color w:val="auto"/>
          <w:highlight w:val="none"/>
          <w:u w:val="single"/>
          <w:lang w:eastAsia="zh-CN"/>
        </w:rPr>
        <w:t>、</w:t>
      </w:r>
      <w:r>
        <w:rPr>
          <w:rFonts w:hint="eastAsia" w:ascii="仿宋" w:hAnsi="仿宋" w:eastAsia="仿宋" w:cs="仿宋"/>
          <w:b/>
          <w:bCs/>
          <w:color w:val="auto"/>
          <w:highlight w:val="none"/>
          <w:u w:val="single"/>
        </w:rPr>
        <w:t>服务质量保证期：</w:t>
      </w:r>
    </w:p>
    <w:p>
      <w:pPr>
        <w:pStyle w:val="360"/>
        <w:adjustRightInd/>
        <w:ind w:firstLine="482"/>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本项目所有成果服务质量保证期为</w:t>
      </w:r>
      <w:r>
        <w:rPr>
          <w:rFonts w:hint="eastAsia" w:ascii="仿宋" w:hAnsi="仿宋" w:eastAsia="仿宋" w:cs="仿宋"/>
          <w:b w:val="0"/>
          <w:bCs/>
          <w:color w:val="auto"/>
          <w:highlight w:val="none"/>
          <w:lang w:val="en-US" w:eastAsia="zh-CN"/>
        </w:rPr>
        <w:t>1</w:t>
      </w:r>
      <w:r>
        <w:rPr>
          <w:rFonts w:hint="eastAsia" w:ascii="仿宋" w:hAnsi="仿宋" w:eastAsia="仿宋" w:cs="仿宋"/>
          <w:b w:val="0"/>
          <w:bCs/>
          <w:color w:val="auto"/>
          <w:highlight w:val="none"/>
        </w:rPr>
        <w:t>年。自项目验收合格之日起计算。在成果服务质量保证期内因质量问题，中标供应商应负责免费提供相应服务。</w:t>
      </w:r>
    </w:p>
    <w:p>
      <w:pPr>
        <w:pStyle w:val="360"/>
        <w:adjustRightInd/>
        <w:ind w:firstLine="482"/>
        <w:rPr>
          <w:rFonts w:hint="eastAsia" w:ascii="仿宋" w:hAnsi="仿宋" w:eastAsia="仿宋" w:cs="仿宋"/>
          <w:b/>
          <w:color w:val="auto"/>
          <w:highlight w:val="none"/>
        </w:rPr>
      </w:pPr>
      <w:r>
        <w:rPr>
          <w:rFonts w:hint="eastAsia" w:ascii="仿宋" w:hAnsi="仿宋" w:eastAsia="仿宋" w:cs="仿宋"/>
          <w:b/>
          <w:bCs/>
          <w:color w:val="auto"/>
          <w:highlight w:val="none"/>
        </w:rPr>
        <w:t>▲</w:t>
      </w:r>
      <w:r>
        <w:rPr>
          <w:rFonts w:hint="eastAsia" w:ascii="仿宋" w:hAnsi="仿宋" w:eastAsia="仿宋" w:cs="仿宋"/>
          <w:b/>
          <w:color w:val="auto"/>
          <w:highlight w:val="none"/>
          <w:u w:val="single"/>
        </w:rPr>
        <w:t>5</w:t>
      </w:r>
      <w:r>
        <w:rPr>
          <w:rFonts w:hint="eastAsia" w:ascii="仿宋" w:hAnsi="仿宋" w:eastAsia="仿宋" w:cs="仿宋"/>
          <w:b/>
          <w:color w:val="auto"/>
          <w:highlight w:val="none"/>
          <w:u w:val="single"/>
          <w:lang w:eastAsia="zh-CN"/>
        </w:rPr>
        <w:t>、</w:t>
      </w:r>
      <w:r>
        <w:rPr>
          <w:rFonts w:hint="eastAsia" w:ascii="仿宋" w:hAnsi="仿宋" w:eastAsia="仿宋" w:cs="仿宋"/>
          <w:b/>
          <w:color w:val="auto"/>
          <w:highlight w:val="none"/>
          <w:u w:val="single"/>
        </w:rPr>
        <w:t>投标报价所涵盖的内容:</w:t>
      </w:r>
    </w:p>
    <w:p>
      <w:pPr>
        <w:numPr>
          <w:ilvl w:val="0"/>
          <w:numId w:val="6"/>
        </w:numPr>
        <w:spacing w:line="360" w:lineRule="auto"/>
        <w:ind w:left="0"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次项目实际工作量超出预估工作内容等、现场服务（含参与交底，解决项目设计和实施中有关问题、参加各类会议等服务）、数据质检费、设计评审、项目验收费、招标代理费、项目人员保险费用及其他的相关费用等，有关本项目实施所需的所有费用（含税费）均计入报价。</w:t>
      </w:r>
    </w:p>
    <w:p>
      <w:pPr>
        <w:numPr>
          <w:ilvl w:val="0"/>
          <w:numId w:val="0"/>
        </w:numPr>
        <w:spacing w:line="360" w:lineRule="auto"/>
        <w:ind w:left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w:t>
      </w:r>
      <w:r>
        <w:rPr>
          <w:rFonts w:hint="eastAsia" w:ascii="仿宋" w:hAnsi="仿宋" w:eastAsia="仿宋" w:cs="仿宋"/>
          <w:b/>
          <w:bCs/>
          <w:color w:val="auto"/>
          <w:sz w:val="24"/>
          <w:highlight w:val="none"/>
        </w:rPr>
        <w:t>安全管理</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.1、生产安全</w:t>
      </w:r>
    </w:p>
    <w:p>
      <w:pPr>
        <w:snapToGrid w:val="0"/>
        <w:spacing w:line="360" w:lineRule="auto"/>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中标人须为本项目服务人员</w:t>
      </w:r>
      <w:r>
        <w:rPr>
          <w:rFonts w:hint="eastAsia" w:ascii="仿宋" w:hAnsi="仿宋" w:eastAsia="仿宋" w:cs="仿宋"/>
          <w:color w:val="auto"/>
          <w:sz w:val="24"/>
          <w:highlight w:val="none"/>
          <w:lang w:val="en-US" w:eastAsia="zh-CN"/>
        </w:rPr>
        <w:t>额外购买保险，该费用由中标方自行支付，包含在总价内。</w:t>
      </w:r>
      <w:r>
        <w:rPr>
          <w:rFonts w:hint="eastAsia" w:ascii="仿宋" w:hAnsi="仿宋" w:eastAsia="仿宋" w:cs="仿宋"/>
          <w:color w:val="auto"/>
          <w:sz w:val="24"/>
          <w:highlight w:val="none"/>
          <w:lang w:eastAsia="zh-CN"/>
        </w:rPr>
        <w:t>要坚持“安全第一、预防为主、综合治理”的安全方针，以人为本，科学制定安全操作规程和各类安全应急预案，明确安全责任主体和安全保障任务，全员签订安全生产责任书。要建立日常巡检制度，确保安全防护设施配备齐全、操作规范严谨;要落实好安全教育和培训工作，有效防范遏止安全生产事故发生。</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.2、疫情防控</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次城市地下市政基础设施普查工作时间跨度长，要持续抓好常态化新冠肺炎疫情防控工作。中标单位要主动担当，高度重视疫情防控，密切关注疫情动态，制定防控预案，落实防控举措，坚持科学、精准、有效防控，及时掌握工作人员的行动轨迹和健康状况，要求全员做到严格遵守疫情防控工作纪律，确保零感染。</w:t>
      </w:r>
    </w:p>
    <w:p>
      <w:pPr>
        <w:pStyle w:val="360"/>
        <w:adjustRightInd/>
        <w:ind w:firstLine="482"/>
        <w:rPr>
          <w:rFonts w:hint="eastAsia" w:ascii="仿宋" w:hAnsi="仿宋" w:eastAsia="仿宋" w:cs="仿宋"/>
          <w:b/>
          <w:color w:val="auto"/>
          <w:highlight w:val="none"/>
        </w:rPr>
      </w:pPr>
      <w:r>
        <w:rPr>
          <w:rFonts w:hint="eastAsia" w:ascii="仿宋" w:hAnsi="仿宋" w:eastAsia="仿宋" w:cs="仿宋"/>
          <w:b/>
          <w:color w:val="auto"/>
          <w:highlight w:val="none"/>
        </w:rPr>
        <w:t>▲7</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lang w:val="zh-CN"/>
        </w:rPr>
        <w:t>付款方法和条件</w:t>
      </w:r>
      <w:r>
        <w:rPr>
          <w:rFonts w:hint="eastAsia" w:ascii="仿宋" w:hAnsi="仿宋" w:eastAsia="仿宋" w:cs="仿宋"/>
          <w:b/>
          <w:color w:val="auto"/>
          <w:highlight w:val="none"/>
        </w:rPr>
        <w:t>：</w:t>
      </w:r>
    </w:p>
    <w:p>
      <w:pPr>
        <w:pStyle w:val="360"/>
        <w:adjustRightInd/>
        <w:ind w:firstLine="482"/>
        <w:rPr>
          <w:rFonts w:hint="eastAsia" w:ascii="仿宋" w:hAnsi="仿宋" w:eastAsia="仿宋" w:cs="仿宋"/>
          <w:b/>
          <w:color w:val="auto"/>
          <w:highlight w:val="none"/>
        </w:rPr>
      </w:pPr>
      <w:r>
        <w:rPr>
          <w:rFonts w:hint="eastAsia" w:ascii="仿宋" w:hAnsi="仿宋" w:eastAsia="仿宋" w:cs="仿宋"/>
          <w:b/>
          <w:color w:val="auto"/>
          <w:highlight w:val="none"/>
        </w:rPr>
        <w:t>在合同签订后7日历天内中标供应商须向采购人缴纳合同总价</w:t>
      </w: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rPr>
        <w:t>%的履约保证金。履约保证金可采用☑银行转账  ☑银行保函  ☑保险凭证等。</w:t>
      </w:r>
    </w:p>
    <w:p>
      <w:pPr>
        <w:snapToGrid w:val="0"/>
        <w:spacing w:line="360" w:lineRule="auto"/>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签订合同</w:t>
      </w:r>
      <w:r>
        <w:rPr>
          <w:rFonts w:hint="eastAsia" w:ascii="仿宋" w:hAnsi="仿宋" w:eastAsia="仿宋" w:cs="仿宋"/>
          <w:color w:val="auto"/>
          <w:sz w:val="24"/>
          <w:highlight w:val="none"/>
          <w:lang w:val="en-US" w:eastAsia="zh-CN"/>
        </w:rPr>
        <w:t>后，</w:t>
      </w:r>
      <w:r>
        <w:rPr>
          <w:rFonts w:hint="eastAsia" w:ascii="仿宋" w:hAnsi="仿宋" w:eastAsia="仿宋" w:cs="仿宋"/>
          <w:color w:val="auto"/>
          <w:sz w:val="24"/>
          <w:highlight w:val="none"/>
        </w:rPr>
        <w:t>采购人在</w:t>
      </w:r>
      <w:r>
        <w:rPr>
          <w:rFonts w:hint="eastAsia" w:ascii="仿宋" w:hAnsi="仿宋" w:eastAsia="仿宋" w:cs="仿宋"/>
          <w:color w:val="auto"/>
          <w:sz w:val="24"/>
          <w:highlight w:val="none"/>
          <w:lang w:eastAsia="zh-CN"/>
        </w:rPr>
        <w:t>7个工作日</w:t>
      </w:r>
      <w:r>
        <w:rPr>
          <w:rFonts w:hint="eastAsia" w:ascii="仿宋" w:hAnsi="仿宋" w:eastAsia="仿宋" w:cs="仿宋"/>
          <w:color w:val="auto"/>
          <w:sz w:val="24"/>
          <w:highlight w:val="none"/>
        </w:rPr>
        <w:t>内向供应商支付合同总价款的</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2、供应商完成全部普查及数据建库工作后，采购人在</w:t>
      </w:r>
      <w:r>
        <w:rPr>
          <w:rFonts w:hint="eastAsia" w:ascii="仿宋" w:hAnsi="仿宋" w:eastAsia="仿宋" w:cs="仿宋"/>
          <w:color w:val="auto"/>
          <w:sz w:val="24"/>
          <w:highlight w:val="none"/>
          <w:lang w:eastAsia="zh-CN"/>
        </w:rPr>
        <w:t>7个工作日</w:t>
      </w:r>
      <w:r>
        <w:rPr>
          <w:rFonts w:hint="eastAsia" w:ascii="仿宋" w:hAnsi="仿宋" w:eastAsia="仿宋" w:cs="仿宋"/>
          <w:color w:val="auto"/>
          <w:sz w:val="24"/>
          <w:highlight w:val="none"/>
        </w:rPr>
        <w:t>内向供应商支付合同总价款的</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3、供应商完成全部普查提交成果并通过采购人的验收后，采购人在</w:t>
      </w:r>
      <w:r>
        <w:rPr>
          <w:rFonts w:hint="eastAsia" w:ascii="仿宋" w:hAnsi="仿宋" w:eastAsia="仿宋" w:cs="仿宋"/>
          <w:color w:val="auto"/>
          <w:sz w:val="24"/>
          <w:highlight w:val="none"/>
          <w:lang w:eastAsia="zh-CN"/>
        </w:rPr>
        <w:t>7个工作日</w:t>
      </w:r>
      <w:r>
        <w:rPr>
          <w:rFonts w:hint="eastAsia" w:ascii="仿宋" w:hAnsi="仿宋" w:eastAsia="仿宋" w:cs="仿宋"/>
          <w:color w:val="auto"/>
          <w:sz w:val="24"/>
          <w:highlight w:val="none"/>
        </w:rPr>
        <w:t>内根据实际工作量向供应商支付</w:t>
      </w:r>
      <w:r>
        <w:rPr>
          <w:rFonts w:hint="eastAsia" w:ascii="仿宋" w:hAnsi="仿宋" w:eastAsia="仿宋" w:cs="仿宋"/>
          <w:color w:val="auto"/>
          <w:sz w:val="24"/>
          <w:highlight w:val="none"/>
          <w:lang w:val="en-US" w:eastAsia="zh-CN"/>
        </w:rPr>
        <w:t>全部</w:t>
      </w:r>
      <w:r>
        <w:rPr>
          <w:rFonts w:hint="eastAsia" w:ascii="仿宋" w:hAnsi="仿宋" w:eastAsia="仿宋" w:cs="仿宋"/>
          <w:color w:val="auto"/>
          <w:sz w:val="24"/>
          <w:highlight w:val="none"/>
        </w:rPr>
        <w:t>合同尾款。</w:t>
      </w:r>
    </w:p>
    <w:p>
      <w:pPr>
        <w:spacing w:line="360" w:lineRule="auto"/>
        <w:ind w:firstLine="480" w:firstLineChars="200"/>
        <w:rPr>
          <w:rFonts w:hint="eastAsia" w:ascii="宋体" w:hAnsi="宋体" w:eastAsia="宋体" w:cs="宋体"/>
          <w:color w:val="auto"/>
          <w:sz w:val="24"/>
          <w:szCs w:val="24"/>
          <w:highlight w:val="none"/>
          <w:u w:val="none" w:color="auto"/>
          <w:lang w:eastAsia="zh-CN"/>
        </w:rPr>
      </w:pPr>
      <w:r>
        <w:rPr>
          <w:rFonts w:hint="eastAsia" w:ascii="宋体" w:hAnsi="宋体" w:eastAsia="宋体" w:cs="宋体"/>
          <w:color w:val="auto"/>
          <w:sz w:val="24"/>
          <w:szCs w:val="24"/>
          <w:highlight w:val="none"/>
          <w:u w:val="none" w:color="auto"/>
        </w:rPr>
        <w:t>注：中标单位需在每次付款前提供正式发票，税费由中标单位承担，如逾期提供，付款时间顺延</w:t>
      </w:r>
      <w:r>
        <w:rPr>
          <w:rFonts w:hint="eastAsia" w:ascii="宋体" w:hAnsi="宋体" w:eastAsia="宋体" w:cs="宋体"/>
          <w:color w:val="auto"/>
          <w:sz w:val="24"/>
          <w:szCs w:val="24"/>
          <w:highlight w:val="none"/>
          <w:u w:val="none" w:color="auto"/>
          <w:lang w:eastAsia="zh-CN"/>
        </w:rPr>
        <w:t>，具体支付进度以财政资金到位时间为准。</w:t>
      </w:r>
    </w:p>
    <w:p>
      <w:pPr>
        <w:pStyle w:val="2"/>
        <w:rPr>
          <w:rFonts w:hint="eastAsia"/>
          <w:color w:val="auto"/>
          <w:highlight w:val="none"/>
        </w:rPr>
      </w:pPr>
    </w:p>
    <w:p>
      <w:pPr>
        <w:rPr>
          <w:rFonts w:hint="eastAsia" w:ascii="仿宋" w:hAnsi="仿宋" w:eastAsia="仿宋" w:cs="仿宋"/>
          <w:snapToGrid w:val="0"/>
          <w:color w:val="auto"/>
          <w:kern w:val="0"/>
          <w:sz w:val="24"/>
          <w:highlight w:val="none"/>
        </w:rPr>
      </w:pPr>
    </w:p>
    <w:p>
      <w:pPr>
        <w:snapToGrid w:val="0"/>
        <w:spacing w:line="360" w:lineRule="auto"/>
        <w:jc w:val="left"/>
        <w:rPr>
          <w:rFonts w:hint="eastAsia" w:ascii="仿宋" w:hAnsi="仿宋" w:eastAsia="仿宋" w:cs="仿宋"/>
          <w:b/>
          <w:bCs/>
          <w:color w:val="auto"/>
          <w:sz w:val="24"/>
          <w:highlight w:val="none"/>
          <w:lang w:eastAsia="zh-CN"/>
        </w:rPr>
      </w:pPr>
      <w:r>
        <w:rPr>
          <w:rStyle w:val="82"/>
          <w:rFonts w:hint="eastAsia" w:ascii="仿宋" w:hAnsi="仿宋" w:eastAsia="仿宋" w:cs="仿宋"/>
          <w:color w:val="auto"/>
          <w:kern w:val="2"/>
          <w:highlight w:val="none"/>
          <w:lang w:eastAsia="zh-CN" w:bidi="ar-SA"/>
        </w:rPr>
        <w:br w:type="page"/>
      </w:r>
      <w:r>
        <w:rPr>
          <w:rFonts w:hint="eastAsia" w:ascii="仿宋" w:hAnsi="仿宋" w:eastAsia="仿宋" w:cs="仿宋"/>
          <w:b/>
          <w:bCs/>
          <w:color w:val="auto"/>
          <w:sz w:val="24"/>
          <w:highlight w:val="none"/>
          <w:lang w:eastAsia="zh-CN"/>
        </w:rPr>
        <w:t>标段二</w:t>
      </w:r>
      <w:r>
        <w:rPr>
          <w:rFonts w:hint="eastAsia" w:ascii="仿宋" w:hAnsi="仿宋" w:eastAsia="仿宋" w:cs="仿宋"/>
          <w:b/>
          <w:bCs/>
          <w:color w:val="auto"/>
          <w:sz w:val="24"/>
          <w:highlight w:val="none"/>
          <w:lang w:val="zh-CN" w:eastAsia="zh-CN"/>
        </w:rPr>
        <w:t>采购需求</w:t>
      </w:r>
    </w:p>
    <w:p>
      <w:pPr>
        <w:snapToGrid w:val="0"/>
        <w:spacing w:line="360" w:lineRule="auto"/>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eastAsia="zh-CN"/>
        </w:rPr>
        <w:t>项目名称：</w:t>
      </w:r>
      <w:r>
        <w:rPr>
          <w:rFonts w:hint="eastAsia" w:ascii="仿宋" w:hAnsi="仿宋" w:eastAsia="仿宋" w:cs="仿宋"/>
          <w:b/>
          <w:bCs/>
          <w:color w:val="auto"/>
          <w:sz w:val="24"/>
          <w:highlight w:val="none"/>
          <w:lang w:val="en-US" w:eastAsia="zh-CN"/>
        </w:rPr>
        <w:t>温州经济技术开发区地下市政基础设施普查（地下管线及其附属设施部分）监理服务</w:t>
      </w:r>
    </w:p>
    <w:p>
      <w:pPr>
        <w:spacing w:line="360" w:lineRule="auto"/>
        <w:outlineLvl w:val="1"/>
        <w:rPr>
          <w:rFonts w:ascii="宋体" w:hAnsi="宋体" w:cs="宋体"/>
          <w:b/>
          <w:color w:val="auto"/>
          <w:kern w:val="1"/>
          <w:sz w:val="24"/>
          <w:highlight w:val="none"/>
        </w:rPr>
      </w:pPr>
      <w:r>
        <w:rPr>
          <w:rFonts w:hint="eastAsia" w:ascii="宋体" w:hAnsi="宋体" w:cs="宋体"/>
          <w:b/>
          <w:color w:val="auto"/>
          <w:kern w:val="1"/>
          <w:sz w:val="24"/>
          <w:highlight w:val="none"/>
        </w:rPr>
        <w:t>一、采购内容</w:t>
      </w:r>
    </w:p>
    <w:tbl>
      <w:tblPr>
        <w:tblStyle w:val="62"/>
        <w:tblW w:w="10021"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2705"/>
        <w:gridCol w:w="1055"/>
        <w:gridCol w:w="1613"/>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noWrap w:val="0"/>
            <w:vAlign w:val="top"/>
          </w:tcPr>
          <w:p>
            <w:pPr>
              <w:widowControl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项目名称</w:t>
            </w:r>
          </w:p>
        </w:tc>
        <w:tc>
          <w:tcPr>
            <w:tcW w:w="2705" w:type="dxa"/>
            <w:noWrap w:val="0"/>
            <w:vAlign w:val="top"/>
          </w:tcPr>
          <w:p>
            <w:pPr>
              <w:widowControl w:val="0"/>
              <w:spacing w:line="360" w:lineRule="auto"/>
              <w:jc w:val="center"/>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eastAsia="zh-CN"/>
              </w:rPr>
              <w:t>服务内容</w:t>
            </w:r>
          </w:p>
        </w:tc>
        <w:tc>
          <w:tcPr>
            <w:tcW w:w="1055" w:type="dxa"/>
            <w:noWrap w:val="0"/>
            <w:vAlign w:val="top"/>
          </w:tcPr>
          <w:p>
            <w:pPr>
              <w:widowControl w:val="0"/>
              <w:spacing w:line="360" w:lineRule="auto"/>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数量</w:t>
            </w:r>
          </w:p>
        </w:tc>
        <w:tc>
          <w:tcPr>
            <w:tcW w:w="1613" w:type="dxa"/>
            <w:noWrap w:val="0"/>
            <w:vAlign w:val="top"/>
          </w:tcPr>
          <w:p>
            <w:pPr>
              <w:widowControl w:val="0"/>
              <w:spacing w:line="360" w:lineRule="auto"/>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预算</w:t>
            </w:r>
          </w:p>
        </w:tc>
        <w:tc>
          <w:tcPr>
            <w:tcW w:w="962" w:type="dxa"/>
            <w:noWrap w:val="0"/>
            <w:vAlign w:val="top"/>
          </w:tcPr>
          <w:p>
            <w:pPr>
              <w:widowControl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686" w:type="dxa"/>
            <w:noWrap w:val="0"/>
            <w:vAlign w:val="top"/>
          </w:tcPr>
          <w:p>
            <w:pPr>
              <w:widowControl w:val="0"/>
              <w:spacing w:line="360" w:lineRule="auto"/>
              <w:jc w:val="center"/>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温州经济技术开发区地下市政基础设施普查（地下管线及其附属设施部分）监理服务</w:t>
            </w:r>
            <w:r>
              <w:rPr>
                <w:rFonts w:hint="eastAsia" w:ascii="宋体" w:hAnsi="宋体" w:cs="宋体"/>
                <w:bCs/>
                <w:color w:val="auto"/>
                <w:sz w:val="24"/>
                <w:szCs w:val="24"/>
                <w:highlight w:val="none"/>
                <w:lang w:eastAsia="zh-CN"/>
              </w:rPr>
              <w:t xml:space="preserve"> </w:t>
            </w:r>
          </w:p>
        </w:tc>
        <w:tc>
          <w:tcPr>
            <w:tcW w:w="2705" w:type="dxa"/>
            <w:noWrap w:val="0"/>
            <w:vAlign w:val="top"/>
          </w:tcPr>
          <w:p>
            <w:pPr>
              <w:widowControl w:val="0"/>
              <w:spacing w:line="360" w:lineRule="auto"/>
              <w:jc w:val="center"/>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提供温州经济技术开发区地下市政基础设施普查（地下管线及其附属设施部分）</w:t>
            </w:r>
          </w:p>
        </w:tc>
        <w:tc>
          <w:tcPr>
            <w:tcW w:w="1055" w:type="dxa"/>
            <w:noWrap w:val="0"/>
            <w:vAlign w:val="top"/>
          </w:tcPr>
          <w:p>
            <w:pPr>
              <w:widowControl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1项</w:t>
            </w:r>
          </w:p>
        </w:tc>
        <w:tc>
          <w:tcPr>
            <w:tcW w:w="1613" w:type="dxa"/>
            <w:noWrap w:val="0"/>
            <w:vAlign w:val="top"/>
          </w:tcPr>
          <w:p>
            <w:pPr>
              <w:widowControl w:val="0"/>
              <w:spacing w:line="360" w:lineRule="auto"/>
              <w:jc w:val="center"/>
              <w:rPr>
                <w:rFonts w:ascii="宋体" w:hAnsi="宋体" w:cs="宋体"/>
                <w:bCs/>
                <w:color w:val="auto"/>
                <w:sz w:val="24"/>
                <w:szCs w:val="24"/>
                <w:highlight w:val="none"/>
              </w:rPr>
            </w:pPr>
            <w:r>
              <w:rPr>
                <w:rFonts w:hint="eastAsia" w:ascii="仿宋" w:hAnsi="仿宋" w:eastAsia="仿宋" w:cs="仿宋"/>
                <w:color w:val="auto"/>
                <w:sz w:val="24"/>
                <w:highlight w:val="none"/>
                <w:lang w:val="en-US" w:eastAsia="zh-CN"/>
              </w:rPr>
              <w:t>61.00万元</w:t>
            </w:r>
          </w:p>
        </w:tc>
        <w:tc>
          <w:tcPr>
            <w:tcW w:w="962" w:type="dxa"/>
            <w:noWrap w:val="0"/>
            <w:vAlign w:val="top"/>
          </w:tcPr>
          <w:p>
            <w:pPr>
              <w:widowControl w:val="0"/>
              <w:spacing w:line="360" w:lineRule="auto"/>
              <w:jc w:val="center"/>
              <w:rPr>
                <w:rFonts w:hint="eastAsia" w:ascii="宋体" w:hAnsi="宋体" w:cs="宋体"/>
                <w:bCs/>
                <w:color w:val="auto"/>
                <w:sz w:val="24"/>
                <w:szCs w:val="24"/>
                <w:highlight w:val="none"/>
              </w:rPr>
            </w:pPr>
          </w:p>
        </w:tc>
      </w:tr>
    </w:tbl>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r>
        <w:rPr>
          <w:rFonts w:hint="eastAsia" w:ascii="宋体" w:hAnsi="宋体" w:cs="宋体"/>
          <w:b/>
          <w:color w:val="auto"/>
          <w:sz w:val="24"/>
          <w:highlight w:val="none"/>
          <w:lang w:val="en-US" w:eastAsia="zh-CN"/>
        </w:rPr>
        <w:t>相关执行标准</w:t>
      </w:r>
      <w:r>
        <w:rPr>
          <w:rFonts w:hint="eastAsia" w:ascii="宋体" w:hAnsi="宋体" w:cs="宋体"/>
          <w:b/>
          <w:color w:val="auto"/>
          <w:sz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（1）《浙江省测绘地理信息条例》（浙江省第十三届人民代表大会常务委员会公告第10号）；</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（2）《住房和城乡建设部关于加强城市地下市政基础设施建设的指导意见》（建城〔2020〕111 号）；</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（3）《城市市政基础设施普查和综合管理信息平台建设工作指导手册》；</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（4）《浙江省住房和城乡建设厅关于印发浙江省加强城市地下市政基础设施建设实施方案的通知》（浙建城〔2021〕21号)；</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（5）《城市地下空间测绘规范》GB/T 35636-2017；</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（6）《卫星导航定位基准站网络实时动态测量（RTK）规范》GB/T 39616-2020；</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（7）《国家基本比例尺地图图式 第 1 部分：1∶500  1∶1 000  1∶2 000 地形图图式》 GB/T 20257.1-2017；</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（8）《工程测量标准》GB 50026-2020；</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（9）《数字测绘成果质量检查与验收》GB/T 18316-2008；</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（10）《测绘成果质量检查与验收》GB/T 24356-2009；</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（11）《人民防空地下室设计规范》GB 50038-2005；</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（12）《人民防空工程设计规范》GB 50225-2005；</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（13）《城市综合管廊工程技术规范》GB 50838-2015；</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（14）《城市停车规划规范》GB/T 51149-2016；</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（15）《城市测量规范》CJJ/T 8-2011；</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（16）《城市地下管线探测技术规程》CJJ 61-2017；</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（17）《卫星定位城市测量技术标准》CJJ/T 73-2019；</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（18）《城市地下道路工程设计规范》CJJ/T 221-2015；</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（19）《管线要素分类代码与符号表达》CH/T 1036-2015；</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（20）《管线测绘技术规程》CH/T 6002-2015；</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（21）《管线测绘工程监理规程》CH/T 6009-2019；</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bCs/>
          <w:color w:val="auto"/>
          <w:sz w:val="24"/>
          <w:highlight w:val="none"/>
        </w:rPr>
      </w:pPr>
      <w:r>
        <w:rPr>
          <w:rFonts w:hint="eastAsia" w:ascii="宋体" w:hAnsi="宋体" w:cs="宋体"/>
          <w:bCs/>
          <w:color w:val="auto"/>
          <w:sz w:val="24"/>
          <w:highlight w:val="none"/>
        </w:rPr>
        <w:t>（22）《实景三维地理信息数据激光雷达测量技术规程》CH/T 3020-2018；</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rPr>
        <w:t>（23）《基础地理信息要素分类与图形表达代码》DB33/T 817-2010</w:t>
      </w:r>
      <w:r>
        <w:rPr>
          <w:rFonts w:hint="eastAsia" w:ascii="宋体" w:hAnsi="宋体" w:cs="宋体"/>
          <w:bCs/>
          <w:color w:val="auto"/>
          <w:sz w:val="24"/>
          <w:highlight w:val="none"/>
          <w:lang w:eastAsia="zh-CN"/>
        </w:rPr>
        <w:t>。</w:t>
      </w:r>
    </w:p>
    <w:p>
      <w:pPr>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 xml:space="preserve">         </w:t>
      </w:r>
      <w:r>
        <w:rPr>
          <w:rFonts w:hint="eastAsia" w:ascii="宋体" w:hAnsi="宋体" w:cs="宋体"/>
          <w:b/>
          <w:color w:val="auto"/>
          <w:kern w:val="1"/>
          <w:sz w:val="24"/>
          <w:highlight w:val="none"/>
        </w:rPr>
        <w:t>若</w:t>
      </w:r>
      <w:r>
        <w:rPr>
          <w:rFonts w:hint="eastAsia" w:ascii="宋体" w:hAnsi="宋体" w:cs="宋体"/>
          <w:b/>
          <w:color w:val="auto"/>
          <w:kern w:val="1"/>
          <w:sz w:val="24"/>
          <w:highlight w:val="none"/>
          <w:lang w:eastAsia="zh-CN"/>
        </w:rPr>
        <w:t>后续省厅或国家</w:t>
      </w:r>
      <w:r>
        <w:rPr>
          <w:rFonts w:hint="eastAsia" w:ascii="宋体" w:hAnsi="宋体" w:cs="宋体"/>
          <w:b/>
          <w:color w:val="auto"/>
          <w:kern w:val="1"/>
          <w:sz w:val="24"/>
          <w:highlight w:val="none"/>
        </w:rPr>
        <w:t>出台</w:t>
      </w:r>
      <w:r>
        <w:rPr>
          <w:rFonts w:hint="eastAsia" w:ascii="宋体" w:hAnsi="宋体" w:cs="宋体"/>
          <w:b/>
          <w:color w:val="auto"/>
          <w:kern w:val="1"/>
          <w:sz w:val="24"/>
          <w:highlight w:val="none"/>
          <w:lang w:val="en-US" w:eastAsia="zh-CN"/>
        </w:rPr>
        <w:t>相关</w:t>
      </w:r>
      <w:r>
        <w:rPr>
          <w:rFonts w:hint="eastAsia" w:ascii="宋体" w:hAnsi="宋体" w:cs="宋体"/>
          <w:b/>
          <w:color w:val="auto"/>
          <w:kern w:val="1"/>
          <w:sz w:val="24"/>
          <w:highlight w:val="none"/>
        </w:rPr>
        <w:t>新标准，新要求的，</w:t>
      </w:r>
      <w:r>
        <w:rPr>
          <w:rFonts w:hint="eastAsia" w:ascii="宋体" w:hAnsi="宋体" w:cs="宋体"/>
          <w:b/>
          <w:color w:val="auto"/>
          <w:kern w:val="1"/>
          <w:sz w:val="24"/>
          <w:highlight w:val="none"/>
          <w:lang w:eastAsia="zh-CN"/>
        </w:rPr>
        <w:t>则</w:t>
      </w:r>
      <w:r>
        <w:rPr>
          <w:rFonts w:hint="eastAsia" w:ascii="宋体" w:hAnsi="宋体" w:cs="宋体"/>
          <w:b/>
          <w:color w:val="auto"/>
          <w:kern w:val="1"/>
          <w:sz w:val="24"/>
          <w:highlight w:val="none"/>
        </w:rPr>
        <w:t>从其规程标准和要求</w:t>
      </w:r>
      <w:r>
        <w:rPr>
          <w:rFonts w:hint="eastAsia" w:ascii="宋体" w:hAnsi="宋体" w:cs="宋体"/>
          <w:b/>
          <w:color w:val="auto"/>
          <w:kern w:val="1"/>
          <w:sz w:val="24"/>
          <w:highlight w:val="none"/>
          <w:lang w:eastAsia="zh-CN"/>
        </w:rPr>
        <w:t>。</w:t>
      </w:r>
    </w:p>
    <w:p>
      <w:pPr>
        <w:spacing w:line="360" w:lineRule="auto"/>
        <w:outlineLvl w:val="1"/>
        <w:rPr>
          <w:rFonts w:hint="eastAsia" w:ascii="宋体" w:hAnsi="宋体" w:cs="宋体"/>
          <w:b/>
          <w:color w:val="auto"/>
          <w:kern w:val="1"/>
          <w:sz w:val="24"/>
          <w:highlight w:val="none"/>
        </w:rPr>
      </w:pPr>
      <w:r>
        <w:rPr>
          <w:rFonts w:hint="eastAsia" w:ascii="宋体" w:hAnsi="宋体" w:cs="宋体"/>
          <w:b/>
          <w:color w:val="auto"/>
          <w:kern w:val="1"/>
          <w:sz w:val="24"/>
          <w:highlight w:val="none"/>
        </w:rPr>
        <w:t>三、主要</w:t>
      </w:r>
      <w:r>
        <w:rPr>
          <w:rFonts w:hint="eastAsia" w:ascii="宋体" w:hAnsi="宋体" w:cs="宋体"/>
          <w:b/>
          <w:color w:val="auto"/>
          <w:kern w:val="1"/>
          <w:sz w:val="24"/>
          <w:highlight w:val="none"/>
          <w:lang w:val="en-US" w:eastAsia="zh-CN"/>
        </w:rPr>
        <w:t>工作内容</w:t>
      </w:r>
      <w:r>
        <w:rPr>
          <w:rFonts w:hint="eastAsia" w:ascii="宋体" w:hAnsi="宋体" w:cs="宋体"/>
          <w:b/>
          <w:color w:val="auto"/>
          <w:kern w:val="1"/>
          <w:sz w:val="24"/>
          <w:highlight w:val="none"/>
        </w:rPr>
        <w:t>：</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 xml:space="preserve">   </w:t>
      </w:r>
      <w:r>
        <w:rPr>
          <w:rFonts w:hint="eastAsia" w:ascii="宋体" w:hAnsi="宋体" w:cs="宋体"/>
          <w:bCs/>
          <w:color w:val="auto"/>
          <w:sz w:val="24"/>
          <w:szCs w:val="24"/>
          <w:highlight w:val="none"/>
          <w:u w:val="none" w:color="auto"/>
          <w:lang w:val="en-US" w:eastAsia="zh-CN"/>
        </w:rPr>
        <w:t>对温州经济技术开发区地下市政基础设施普查（地下管线及其附属设施部分）进行全过程监理，</w:t>
      </w:r>
      <w:r>
        <w:rPr>
          <w:rFonts w:hint="eastAsia" w:ascii="宋体" w:hAnsi="宋体" w:cs="宋体"/>
          <w:bCs/>
          <w:color w:val="auto"/>
          <w:sz w:val="24"/>
          <w:szCs w:val="24"/>
          <w:highlight w:val="none"/>
          <w:lang w:val="en-US" w:eastAsia="zh-CN"/>
        </w:rPr>
        <w:t>按照“四控制、三管理、一协调”的原则，保证项目在规定的时间内完成，并实现项目建设的目标。具体内容包括：</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1.方案把关</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（1）审核和确认普查单位的项目设计书；</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（2）审核和确认项目建设过程中的各种关键技术方案；</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（3）审核和确认普查单位的项目质量保证计划、质量控制体系（含质量控制的关键性节点）；</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（4）审核和确认承建单位的项目进度计划、进度控制节点。</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2.质量控制</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（1）对普查工作实施全过程的质量控制，并为普查成果验收提供依据。</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（2）由监理单位全权负责，监理单位确定后，由监理单位制定出《2022年温州经济技术开发区地下市政基础设施普查（地下管线及其附属设施部分）监理方案》，并报采购方备案。</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（3）经监理检查，对达不到技术要求的普查项目，监理单位应责成普查单位立即整改或返工，两次检查达不到技术要求，监理单位上报采购方。</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（4）普查过程中发现存在隐患及时监督上报。</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（5）对普查成果做综合质量检验。</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（6）制定系统验收大纲，并协助采购方组织验收。</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（7）负责普查单位的协调管理。</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3.进度控制</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（1）审核普查进度分解计划，确认分解计划可以保证总体计划目标的实现。</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（2）对项目实施进度进行实时跟踪，并要求普查单位对进度计划进行动态调整，以确保项目阶段目标和总体进度目标的实现。</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（3）当项目目标出现偏离时，应及时指出，并提出对策和建议，同时督促项目普查单位尽快采取措施。</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4.费用控制</w:t>
      </w:r>
    </w:p>
    <w:p>
      <w:pPr>
        <w:spacing w:line="360" w:lineRule="auto"/>
        <w:ind w:firstLine="240" w:firstLineChars="100"/>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项目实施过程中，监理单位可对设计方案、对属于全面普查和补充调查的进行核实并出更合理的意见。</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5.变更控制</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（1）与采购方确定项目变更流程和程序，对变更进行严格的控制。</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（2）协助采购方核准普查单位在项目建设过程中工作量核减和新增情况。</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（3）协助采购方与承建单位关于项目变更、索赔、有关争议而进行的谈判。</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6.合同管理</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（1）跟踪检查合同的执行情况，确保普查单位按时履约。</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（2）对合同工期的延误和延期进行审核确认并及时将相关情况上报采购人。</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（3）对合同变更、索赔等事宜进行审核确认并及时将相关情况上报采购人。</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7.文档管理</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（1）在项目实施过程中作好监理日记及大事记。</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（2）作好双方合同、技术设计方案、验收报告等各类往来文件的存档。</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（3）作好项目协调会、技术专题会的会议纪要工作，并监督会议有关事项的执行。</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（4）通过计算机管理手段对项目的技术类文档进行分类管理。</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8.安全管理</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（1）监督和落实普查单位制定安全生产管理制度，负责项目普查过程中安全控制，确保不出现安全事故。</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（2）负责项目建设过程中所涉及的政府涉密数据和资料的保护，保证不被非授权使用。</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（3）监督和落实项目普查单位保密协议签订，项目相关工作人员的保密承诺书签订等。</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9.经采购人委托，负责协调本项目所涉及的普查单位与使用方之间的工作关系，并协调解决项目建设过程中的各类纠纷。</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监理方应该通过必要的会议制度来实施协调工作，主要包括：</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（1）现场会；</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（2）监理交底会；</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（3）周例会；</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（4）监理协调会；</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（5）专题讨论会；</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（6）专家论证会；</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（7）阶段工作总结会；</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（8）问题通报会；</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lang w:val="en-US" w:eastAsia="zh-CN"/>
        </w:rPr>
        <w:t>（9）阶段及最终验收会。</w:t>
      </w:r>
    </w:p>
    <w:p>
      <w:pPr>
        <w:spacing w:line="360" w:lineRule="auto"/>
        <w:outlineLvl w:val="1"/>
        <w:rPr>
          <w:rFonts w:hint="eastAsia" w:ascii="宋体" w:hAnsi="宋体" w:cs="宋体"/>
          <w:color w:val="auto"/>
          <w:sz w:val="24"/>
          <w:szCs w:val="24"/>
          <w:highlight w:val="none"/>
          <w:u w:val="none" w:color="auto"/>
        </w:rPr>
      </w:pPr>
      <w:r>
        <w:rPr>
          <w:rFonts w:hint="eastAsia" w:ascii="宋体" w:hAnsi="宋体" w:cs="宋体"/>
          <w:b/>
          <w:color w:val="auto"/>
          <w:kern w:val="1"/>
          <w:sz w:val="24"/>
          <w:highlight w:val="none"/>
          <w:u w:val="none" w:color="auto"/>
        </w:rPr>
        <w:t>四、</w:t>
      </w:r>
      <w:r>
        <w:rPr>
          <w:rFonts w:hint="eastAsia" w:ascii="宋体" w:hAnsi="宋体" w:cs="宋体"/>
          <w:b/>
          <w:bCs/>
          <w:color w:val="auto"/>
          <w:kern w:val="1"/>
          <w:sz w:val="24"/>
          <w:szCs w:val="24"/>
          <w:highlight w:val="none"/>
          <w:u w:val="none" w:color="auto"/>
        </w:rPr>
        <w:t>商</w:t>
      </w:r>
      <w:r>
        <w:rPr>
          <w:rFonts w:hint="eastAsia" w:ascii="宋体" w:hAnsi="宋体" w:cs="宋体"/>
          <w:b/>
          <w:color w:val="auto"/>
          <w:kern w:val="1"/>
          <w:sz w:val="24"/>
          <w:szCs w:val="24"/>
          <w:highlight w:val="none"/>
          <w:u w:val="none" w:color="auto"/>
        </w:rPr>
        <w:t>务要求</w:t>
      </w:r>
    </w:p>
    <w:p>
      <w:pPr>
        <w:pStyle w:val="961"/>
        <w:spacing w:line="360" w:lineRule="auto"/>
        <w:ind w:left="0" w:leftChars="0" w:firstLine="0" w:firstLineChars="0"/>
        <w:rPr>
          <w:rFonts w:hint="eastAsia" w:ascii="宋体" w:hAnsi="宋体" w:cs="宋体"/>
          <w:b/>
          <w:bCs/>
          <w:color w:val="auto"/>
          <w:sz w:val="24"/>
          <w:szCs w:val="24"/>
          <w:highlight w:val="none"/>
          <w:u w:val="single" w:color="auto"/>
          <w:lang w:val="en-US" w:eastAsia="zh-CN"/>
        </w:rPr>
      </w:pPr>
      <w:r>
        <w:rPr>
          <w:rFonts w:hint="eastAsia" w:ascii="宋体" w:hAnsi="宋体" w:cs="宋体"/>
          <w:b/>
          <w:bCs/>
          <w:color w:val="auto"/>
          <w:sz w:val="24"/>
          <w:szCs w:val="24"/>
          <w:highlight w:val="none"/>
          <w:u w:val="none" w:color="auto"/>
          <w:lang w:val="en-US" w:eastAsia="zh-CN"/>
        </w:rPr>
        <w:t xml:space="preserve"> </w:t>
      </w:r>
      <w:r>
        <w:rPr>
          <w:rFonts w:hint="eastAsia" w:ascii="宋体" w:hAnsi="宋体" w:cs="宋体"/>
          <w:b/>
          <w:bCs/>
          <w:color w:val="auto"/>
          <w:sz w:val="24"/>
          <w:szCs w:val="24"/>
          <w:highlight w:val="none"/>
          <w:u w:val="single" w:color="auto"/>
          <w:lang w:val="en-US" w:eastAsia="zh-CN"/>
        </w:rPr>
        <w:t xml:space="preserve"> </w:t>
      </w:r>
      <w:r>
        <w:rPr>
          <w:rFonts w:hint="eastAsia" w:ascii="仿宋" w:hAnsi="仿宋" w:eastAsia="仿宋" w:cs="仿宋"/>
          <w:b/>
          <w:bCs/>
          <w:color w:val="auto"/>
          <w:highlight w:val="none"/>
          <w:u w:val="single" w:color="auto"/>
        </w:rPr>
        <w:t>▲</w:t>
      </w:r>
      <w:r>
        <w:rPr>
          <w:rFonts w:hint="eastAsia" w:ascii="宋体" w:hAnsi="宋体" w:cs="宋体"/>
          <w:b/>
          <w:bCs/>
          <w:color w:val="auto"/>
          <w:sz w:val="24"/>
          <w:szCs w:val="24"/>
          <w:highlight w:val="none"/>
          <w:u w:val="single" w:color="auto"/>
        </w:rPr>
        <w:t>1、项目服务期限：</w:t>
      </w:r>
      <w:r>
        <w:rPr>
          <w:rFonts w:hint="eastAsia" w:ascii="宋体" w:hAnsi="宋体" w:cs="宋体"/>
          <w:b/>
          <w:bCs/>
          <w:color w:val="auto"/>
          <w:sz w:val="24"/>
          <w:szCs w:val="24"/>
          <w:highlight w:val="none"/>
          <w:u w:val="single" w:color="auto"/>
          <w:lang w:val="en-US" w:eastAsia="zh-CN"/>
        </w:rPr>
        <w:t>自普查服务单位工作开始至普查项目验收通过，普查成果提交省自然资源厅且录入采购人指定系统可正常使用后为止。</w:t>
      </w:r>
    </w:p>
    <w:p>
      <w:pPr>
        <w:pStyle w:val="961"/>
        <w:spacing w:line="360" w:lineRule="auto"/>
        <w:ind w:left="0" w:leftChars="0" w:firstLine="0" w:firstLineChars="0"/>
        <w:rPr>
          <w:rFonts w:hint="eastAsia" w:ascii="宋体" w:hAnsi="宋体" w:cs="宋体"/>
          <w:color w:val="auto"/>
          <w:sz w:val="24"/>
          <w:szCs w:val="24"/>
          <w:highlight w:val="none"/>
          <w:u w:val="none" w:color="auto"/>
          <w:lang w:val="en-US"/>
        </w:rPr>
      </w:pPr>
      <w:r>
        <w:rPr>
          <w:rFonts w:hint="eastAsia" w:ascii="宋体" w:hAnsi="宋体" w:cs="宋体"/>
          <w:b/>
          <w:bCs/>
          <w:color w:val="auto"/>
          <w:sz w:val="24"/>
          <w:szCs w:val="24"/>
          <w:highlight w:val="none"/>
          <w:u w:val="none" w:color="auto"/>
          <w:lang w:val="en-US" w:eastAsia="zh-CN"/>
        </w:rPr>
        <w:t xml:space="preserve">  </w:t>
      </w:r>
      <w:r>
        <w:rPr>
          <w:rFonts w:hint="eastAsia" w:ascii="宋体" w:hAnsi="宋体" w:cs="宋体"/>
          <w:b/>
          <w:bCs/>
          <w:color w:val="auto"/>
          <w:sz w:val="24"/>
          <w:szCs w:val="24"/>
          <w:highlight w:val="none"/>
          <w:u w:val="none" w:color="auto"/>
          <w:lang w:val="en-US"/>
        </w:rPr>
        <w:t>2、服务地点：</w:t>
      </w:r>
      <w:r>
        <w:rPr>
          <w:rFonts w:hint="eastAsia" w:ascii="宋体" w:hAnsi="宋体" w:cs="宋体"/>
          <w:color w:val="auto"/>
          <w:sz w:val="24"/>
          <w:szCs w:val="24"/>
          <w:highlight w:val="none"/>
          <w:u w:val="none" w:color="auto"/>
          <w:lang w:val="en-US"/>
        </w:rPr>
        <w:t>工作范围为</w:t>
      </w:r>
      <w:r>
        <w:rPr>
          <w:rFonts w:hint="eastAsia" w:ascii="宋体" w:hAnsi="宋体" w:cs="宋体"/>
          <w:color w:val="auto"/>
          <w:sz w:val="24"/>
          <w:szCs w:val="24"/>
          <w:highlight w:val="none"/>
          <w:u w:val="none" w:color="auto"/>
          <w:lang w:val="en-US" w:eastAsia="zh-CN"/>
        </w:rPr>
        <w:t>经开区及采购单位要求的区域</w:t>
      </w:r>
      <w:r>
        <w:rPr>
          <w:rFonts w:hint="eastAsia" w:ascii="宋体" w:hAnsi="宋体" w:cs="宋体"/>
          <w:color w:val="auto"/>
          <w:sz w:val="24"/>
          <w:szCs w:val="24"/>
          <w:highlight w:val="none"/>
          <w:u w:val="none" w:color="auto"/>
          <w:lang w:val="en-US"/>
        </w:rPr>
        <w:t>。</w:t>
      </w:r>
    </w:p>
    <w:p>
      <w:pPr>
        <w:spacing w:line="360" w:lineRule="auto"/>
        <w:rPr>
          <w:rFonts w:hint="eastAsia" w:ascii="宋体" w:hAnsi="宋体" w:cs="宋体"/>
          <w:b/>
          <w:bCs/>
          <w:color w:val="auto"/>
          <w:sz w:val="24"/>
          <w:szCs w:val="24"/>
          <w:highlight w:val="none"/>
          <w:u w:val="none" w:color="auto"/>
        </w:rPr>
      </w:pPr>
      <w:r>
        <w:rPr>
          <w:rFonts w:hint="eastAsia" w:ascii="宋体" w:hAnsi="宋体" w:cs="宋体"/>
          <w:b w:val="0"/>
          <w:bCs w:val="0"/>
          <w:color w:val="auto"/>
          <w:sz w:val="24"/>
          <w:szCs w:val="24"/>
          <w:highlight w:val="none"/>
          <w:u w:val="none" w:color="auto"/>
          <w:lang w:val="en-US" w:eastAsia="zh-CN"/>
        </w:rPr>
        <w:t xml:space="preserve"> </w:t>
      </w:r>
      <w:r>
        <w:rPr>
          <w:rFonts w:hint="eastAsia" w:ascii="仿宋" w:hAnsi="仿宋" w:eastAsia="仿宋" w:cs="仿宋"/>
          <w:b/>
          <w:bCs/>
          <w:color w:val="auto"/>
          <w:highlight w:val="none"/>
          <w:u w:val="none" w:color="auto"/>
        </w:rPr>
        <w:t>▲</w:t>
      </w:r>
      <w:r>
        <w:rPr>
          <w:rFonts w:hint="eastAsia" w:ascii="宋体" w:hAnsi="宋体" w:cs="宋体"/>
          <w:b w:val="0"/>
          <w:bCs w:val="0"/>
          <w:color w:val="auto"/>
          <w:sz w:val="24"/>
          <w:szCs w:val="24"/>
          <w:highlight w:val="none"/>
          <w:u w:val="none" w:color="auto"/>
          <w:lang w:val="en-US" w:eastAsia="zh-CN"/>
        </w:rPr>
        <w:t xml:space="preserve"> </w:t>
      </w:r>
      <w:r>
        <w:rPr>
          <w:rFonts w:hint="eastAsia" w:ascii="宋体" w:hAnsi="宋体" w:cs="宋体"/>
          <w:b/>
          <w:bCs/>
          <w:color w:val="auto"/>
          <w:sz w:val="24"/>
          <w:szCs w:val="24"/>
          <w:highlight w:val="none"/>
          <w:u w:val="none" w:color="auto"/>
          <w:lang w:val="en-US" w:eastAsia="zh-CN"/>
        </w:rPr>
        <w:t>3</w:t>
      </w:r>
      <w:r>
        <w:rPr>
          <w:rFonts w:hint="eastAsia" w:ascii="宋体" w:hAnsi="宋体" w:cs="宋体"/>
          <w:b/>
          <w:bCs/>
          <w:color w:val="auto"/>
          <w:sz w:val="24"/>
          <w:szCs w:val="24"/>
          <w:highlight w:val="none"/>
          <w:u w:val="none" w:color="auto"/>
        </w:rPr>
        <w:t>、付款方式：</w:t>
      </w:r>
    </w:p>
    <w:p>
      <w:pPr>
        <w:spacing w:line="360" w:lineRule="auto"/>
        <w:rPr>
          <w:rFonts w:hint="eastAsia" w:ascii="宋体" w:hAnsi="宋体" w:cs="宋体"/>
          <w:color w:val="auto"/>
          <w:sz w:val="24"/>
          <w:szCs w:val="24"/>
          <w:highlight w:val="none"/>
          <w:u w:val="none" w:color="auto"/>
        </w:rPr>
      </w:pPr>
      <w:r>
        <w:rPr>
          <w:rFonts w:hint="eastAsia" w:ascii="宋体" w:hAnsi="宋体" w:cs="宋体"/>
          <w:color w:val="auto"/>
          <w:sz w:val="24"/>
          <w:szCs w:val="24"/>
          <w:highlight w:val="none"/>
          <w:u w:val="none" w:color="auto"/>
          <w:lang w:val="en-US" w:eastAsia="zh-CN"/>
        </w:rPr>
        <w:t xml:space="preserve">  </w:t>
      </w:r>
      <w:r>
        <w:rPr>
          <w:rFonts w:hint="eastAsia" w:ascii="宋体" w:hAnsi="宋体" w:cs="宋体"/>
          <w:color w:val="auto"/>
          <w:sz w:val="24"/>
          <w:szCs w:val="24"/>
          <w:highlight w:val="none"/>
          <w:u w:val="none" w:color="auto"/>
        </w:rPr>
        <w:t>（1）合同签订后，</w:t>
      </w:r>
      <w:r>
        <w:rPr>
          <w:rFonts w:hint="eastAsia" w:ascii="宋体" w:hAnsi="宋体" w:cs="宋体"/>
          <w:color w:val="auto"/>
          <w:sz w:val="24"/>
          <w:szCs w:val="24"/>
          <w:highlight w:val="none"/>
          <w:u w:val="none" w:color="auto"/>
          <w:lang w:val="en-US" w:eastAsia="zh-CN"/>
        </w:rPr>
        <w:t>7个工作日内</w:t>
      </w:r>
      <w:r>
        <w:rPr>
          <w:rFonts w:hint="eastAsia" w:ascii="宋体" w:hAnsi="宋体" w:cs="宋体"/>
          <w:color w:val="auto"/>
          <w:sz w:val="24"/>
          <w:szCs w:val="24"/>
          <w:highlight w:val="none"/>
          <w:u w:val="none" w:color="auto"/>
        </w:rPr>
        <w:t>支付合同</w:t>
      </w:r>
      <w:r>
        <w:rPr>
          <w:rFonts w:hint="eastAsia" w:ascii="宋体" w:hAnsi="宋体" w:cs="宋体"/>
          <w:color w:val="auto"/>
          <w:sz w:val="24"/>
          <w:szCs w:val="24"/>
          <w:highlight w:val="none"/>
          <w:u w:val="none" w:color="auto"/>
          <w:lang w:eastAsia="zh-CN"/>
        </w:rPr>
        <w:t>价款</w:t>
      </w:r>
      <w:r>
        <w:rPr>
          <w:rFonts w:hint="eastAsia" w:ascii="宋体" w:hAnsi="宋体" w:cs="宋体"/>
          <w:color w:val="auto"/>
          <w:sz w:val="24"/>
          <w:szCs w:val="24"/>
          <w:highlight w:val="none"/>
          <w:u w:val="none" w:color="auto"/>
        </w:rPr>
        <w:t>的</w:t>
      </w:r>
      <w:r>
        <w:rPr>
          <w:rFonts w:hint="eastAsia" w:ascii="宋体" w:hAnsi="宋体" w:cs="宋体"/>
          <w:color w:val="auto"/>
          <w:sz w:val="24"/>
          <w:szCs w:val="24"/>
          <w:highlight w:val="none"/>
          <w:u w:val="none" w:color="auto"/>
          <w:lang w:val="en-US" w:eastAsia="zh-CN"/>
        </w:rPr>
        <w:t>40</w:t>
      </w:r>
      <w:r>
        <w:rPr>
          <w:rFonts w:hint="eastAsia" w:ascii="宋体" w:hAnsi="宋体" w:cs="宋体"/>
          <w:color w:val="auto"/>
          <w:sz w:val="24"/>
          <w:szCs w:val="24"/>
          <w:highlight w:val="none"/>
          <w:u w:val="none" w:color="auto"/>
        </w:rPr>
        <w:t>%</w:t>
      </w:r>
      <w:r>
        <w:rPr>
          <w:rFonts w:hint="eastAsia" w:ascii="宋体" w:hAnsi="宋体" w:cs="宋体"/>
          <w:color w:val="auto"/>
          <w:sz w:val="24"/>
          <w:szCs w:val="24"/>
          <w:highlight w:val="none"/>
          <w:u w:val="none" w:color="auto"/>
          <w:lang w:eastAsia="zh-CN"/>
        </w:rPr>
        <w:t>预付款</w:t>
      </w:r>
      <w:r>
        <w:rPr>
          <w:rFonts w:hint="eastAsia" w:ascii="宋体" w:hAnsi="宋体" w:cs="宋体"/>
          <w:color w:val="auto"/>
          <w:sz w:val="24"/>
          <w:szCs w:val="24"/>
          <w:highlight w:val="none"/>
          <w:u w:val="none" w:color="auto"/>
        </w:rPr>
        <w:t>；</w:t>
      </w:r>
    </w:p>
    <w:p>
      <w:pPr>
        <w:spacing w:line="360" w:lineRule="auto"/>
        <w:rPr>
          <w:rFonts w:hint="eastAsia" w:ascii="宋体" w:hAnsi="宋体" w:cs="宋体"/>
          <w:color w:val="auto"/>
          <w:sz w:val="24"/>
          <w:szCs w:val="24"/>
          <w:highlight w:val="none"/>
          <w:u w:val="none" w:color="auto"/>
          <w:lang w:val="en-US" w:eastAsia="zh-CN"/>
        </w:rPr>
      </w:pPr>
      <w:r>
        <w:rPr>
          <w:rFonts w:hint="eastAsia" w:ascii="宋体" w:hAnsi="宋体" w:cs="宋体"/>
          <w:color w:val="auto"/>
          <w:sz w:val="24"/>
          <w:szCs w:val="24"/>
          <w:highlight w:val="none"/>
          <w:u w:val="none" w:color="auto"/>
          <w:lang w:val="en-US" w:eastAsia="zh-CN"/>
        </w:rPr>
        <w:t xml:space="preserve">  </w:t>
      </w:r>
      <w:r>
        <w:rPr>
          <w:rFonts w:hint="eastAsia" w:ascii="宋体" w:hAnsi="宋体" w:cs="宋体"/>
          <w:color w:val="auto"/>
          <w:sz w:val="24"/>
          <w:szCs w:val="24"/>
          <w:highlight w:val="none"/>
          <w:u w:val="none" w:color="auto"/>
        </w:rPr>
        <w:t>（2）</w:t>
      </w:r>
      <w:r>
        <w:rPr>
          <w:rFonts w:hint="eastAsia" w:ascii="宋体" w:hAnsi="宋体" w:cs="宋体"/>
          <w:color w:val="auto"/>
          <w:sz w:val="24"/>
          <w:szCs w:val="24"/>
          <w:highlight w:val="none"/>
          <w:u w:val="none" w:color="auto"/>
          <w:lang w:val="en-US" w:eastAsia="zh-CN"/>
        </w:rPr>
        <w:t>普查项目完成全部外业核查后，7个工作日内支付合同价款的60%；</w:t>
      </w:r>
    </w:p>
    <w:p>
      <w:pPr>
        <w:spacing w:line="360" w:lineRule="auto"/>
        <w:rPr>
          <w:rFonts w:ascii="宋体" w:hAnsi="宋体" w:cs="宋体"/>
          <w:color w:val="auto"/>
          <w:sz w:val="24"/>
          <w:szCs w:val="24"/>
          <w:highlight w:val="none"/>
          <w:u w:val="none" w:color="auto"/>
        </w:rPr>
      </w:pPr>
      <w:r>
        <w:rPr>
          <w:rFonts w:hint="eastAsia" w:ascii="宋体" w:hAnsi="宋体" w:cs="宋体"/>
          <w:color w:val="auto"/>
          <w:sz w:val="24"/>
          <w:szCs w:val="24"/>
          <w:highlight w:val="none"/>
          <w:u w:val="none" w:color="auto"/>
          <w:lang w:val="en-US" w:eastAsia="zh-CN"/>
        </w:rPr>
        <w:t xml:space="preserve">  （3）普查项目通过验收，普查成果提交省自然资源厅后，7个工作日内付清余款。</w:t>
      </w:r>
    </w:p>
    <w:p>
      <w:pPr>
        <w:spacing w:line="360" w:lineRule="auto"/>
        <w:ind w:firstLine="236" w:firstLineChars="98"/>
        <w:rPr>
          <w:rFonts w:hint="eastAsia" w:ascii="宋体" w:hAnsi="宋体" w:cs="宋体"/>
          <w:b/>
          <w:bCs/>
          <w:color w:val="auto"/>
          <w:sz w:val="24"/>
          <w:highlight w:val="none"/>
        </w:rPr>
      </w:pPr>
      <w:r>
        <w:rPr>
          <w:rFonts w:hint="eastAsia" w:ascii="宋体" w:hAnsi="宋体" w:cs="宋体"/>
          <w:b/>
          <w:bCs/>
          <w:color w:val="auto"/>
          <w:sz w:val="24"/>
          <w:highlight w:val="none"/>
        </w:rPr>
        <w:t>注：中标单位需在每次付款前提供正式发票，税费由中标单位承担，如逾期提供，付款时间顺延</w:t>
      </w:r>
      <w:r>
        <w:rPr>
          <w:rFonts w:hint="eastAsia" w:ascii="宋体" w:hAnsi="宋体" w:cs="宋体"/>
          <w:b/>
          <w:bCs/>
          <w:color w:val="auto"/>
          <w:sz w:val="24"/>
          <w:highlight w:val="none"/>
          <w:lang w:eastAsia="zh-CN"/>
        </w:rPr>
        <w:t>，</w:t>
      </w:r>
      <w:r>
        <w:rPr>
          <w:rFonts w:hint="eastAsia" w:ascii="宋体" w:hAnsi="宋体" w:eastAsia="宋体" w:cs="宋体"/>
          <w:b/>
          <w:bCs/>
          <w:color w:val="auto"/>
          <w:sz w:val="24"/>
          <w:szCs w:val="24"/>
          <w:highlight w:val="none"/>
          <w:u w:val="none" w:color="auto"/>
          <w:lang w:eastAsia="zh-CN"/>
        </w:rPr>
        <w:t>具体支付进度以财政资金到位时间为准。</w:t>
      </w:r>
    </w:p>
    <w:p>
      <w:pPr>
        <w:pStyle w:val="61"/>
        <w:spacing w:line="360" w:lineRule="auto"/>
        <w:ind w:left="0" w:leftChars="0" w:firstLine="0" w:firstLineChars="0"/>
        <w:rPr>
          <w:rFonts w:hint="eastAsia" w:ascii="宋体" w:hAnsi="宋体" w:cs="宋体"/>
          <w:b/>
          <w:bCs/>
          <w:color w:val="auto"/>
          <w:sz w:val="24"/>
          <w:szCs w:val="24"/>
          <w:highlight w:val="none"/>
        </w:rPr>
      </w:pPr>
      <w:r>
        <w:rPr>
          <w:rFonts w:hint="eastAsia" w:ascii="宋体" w:hAnsi="宋体" w:cs="宋体"/>
          <w:b/>
          <w:bCs/>
          <w:color w:val="auto"/>
          <w:sz w:val="24"/>
          <w:highlight w:val="none"/>
          <w:lang w:val="en-US" w:eastAsia="zh-CN"/>
        </w:rPr>
        <w:t xml:space="preserve">  </w:t>
      </w:r>
      <w:r>
        <w:rPr>
          <w:rFonts w:hint="eastAsia" w:ascii="宋体" w:hAnsi="宋体" w:cs="宋体"/>
          <w:b/>
          <w:bCs/>
          <w:color w:val="auto"/>
          <w:sz w:val="24"/>
          <w:highlight w:val="none"/>
        </w:rPr>
        <w:t>本项目实施过程中的资料费、税费、培训费、验收费、中标服务费等项目过程中所涉及的一切可见或不可见的费用均由投标人承担。如有漏项，视同已包含在投标人的总价中</w:t>
      </w:r>
      <w:r>
        <w:rPr>
          <w:rFonts w:hint="eastAsia" w:ascii="宋体" w:hAnsi="宋体" w:cs="宋体"/>
          <w:b/>
          <w:bCs/>
          <w:color w:val="auto"/>
          <w:sz w:val="24"/>
          <w:szCs w:val="24"/>
          <w:highlight w:val="none"/>
        </w:rPr>
        <w:t>。</w:t>
      </w:r>
    </w:p>
    <w:p>
      <w:pPr>
        <w:pStyle w:val="61"/>
        <w:spacing w:line="360" w:lineRule="auto"/>
        <w:ind w:left="0" w:leftChars="0" w:firstLine="0" w:firstLineChars="0"/>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 xml:space="preserve">  4、验收标准及方式：</w:t>
      </w:r>
    </w:p>
    <w:p>
      <w:pPr>
        <w:pStyle w:val="61"/>
        <w:spacing w:line="360" w:lineRule="auto"/>
        <w:ind w:left="0" w:leftChars="0" w:firstLine="0" w:firstLineChars="0"/>
        <w:rPr>
          <w:rFonts w:hint="eastAsia" w:ascii="宋体" w:hAnsi="宋体" w:cs="宋体"/>
          <w:b w:val="0"/>
          <w:bCs w:val="0"/>
          <w:color w:val="auto"/>
          <w:sz w:val="24"/>
          <w:szCs w:val="24"/>
          <w:highlight w:val="none"/>
          <w:u w:val="none" w:color="auto"/>
          <w:lang w:val="en-US" w:eastAsia="zh-CN"/>
        </w:rPr>
      </w:pPr>
      <w:r>
        <w:rPr>
          <w:rFonts w:hint="eastAsia" w:ascii="宋体" w:hAnsi="宋体" w:cs="宋体"/>
          <w:b w:val="0"/>
          <w:bCs w:val="0"/>
          <w:color w:val="auto"/>
          <w:sz w:val="24"/>
          <w:szCs w:val="24"/>
          <w:highlight w:val="none"/>
          <w:u w:val="none" w:color="auto"/>
          <w:lang w:val="en-US" w:eastAsia="zh-CN"/>
        </w:rPr>
        <w:t xml:space="preserve">  4.1、验收标准：普查成果经省级及以上法定测绘质量检验检测机构检验合格，并出具成果质量检验报告。成果数据</w:t>
      </w:r>
      <w:r>
        <w:rPr>
          <w:rFonts w:hint="eastAsia" w:ascii="宋体" w:hAnsi="宋体" w:cs="宋体"/>
          <w:color w:val="auto"/>
          <w:sz w:val="24"/>
          <w:szCs w:val="24"/>
          <w:highlight w:val="none"/>
          <w:u w:val="none" w:color="auto"/>
          <w:lang w:val="en-US" w:eastAsia="zh-CN"/>
        </w:rPr>
        <w:t>录入采购人指定系统可正常使用并</w:t>
      </w:r>
      <w:r>
        <w:rPr>
          <w:rFonts w:hint="eastAsia" w:ascii="宋体" w:hAnsi="宋体" w:cs="宋体"/>
          <w:b w:val="0"/>
          <w:bCs w:val="0"/>
          <w:color w:val="auto"/>
          <w:sz w:val="24"/>
          <w:szCs w:val="24"/>
          <w:highlight w:val="none"/>
          <w:u w:val="none" w:color="auto"/>
          <w:lang w:val="en-US" w:eastAsia="zh-CN"/>
        </w:rPr>
        <w:t>上报省自然资源厅。</w:t>
      </w:r>
    </w:p>
    <w:p>
      <w:pPr>
        <w:spacing w:line="360" w:lineRule="auto"/>
        <w:rPr>
          <w:rFonts w:hint="eastAsia" w:ascii="宋体" w:hAnsi="宋体" w:cs="宋体"/>
          <w:b w:val="0"/>
          <w:bCs w:val="0"/>
          <w:color w:val="auto"/>
          <w:sz w:val="24"/>
          <w:szCs w:val="24"/>
          <w:highlight w:val="none"/>
          <w:u w:val="none" w:color="auto"/>
          <w:lang w:val="en-US" w:eastAsia="zh-CN"/>
        </w:rPr>
      </w:pPr>
      <w:r>
        <w:rPr>
          <w:rFonts w:hint="eastAsia" w:ascii="宋体" w:hAnsi="宋体" w:cs="宋体"/>
          <w:b w:val="0"/>
          <w:bCs w:val="0"/>
          <w:color w:val="auto"/>
          <w:sz w:val="24"/>
          <w:szCs w:val="24"/>
          <w:highlight w:val="none"/>
          <w:u w:val="none" w:color="auto"/>
          <w:lang w:val="en-US" w:eastAsia="zh-CN"/>
        </w:rPr>
        <w:t xml:space="preserve">  4.2、验收方式：根据对监理单位的人员配备、日常监理工作、质量和进度沟通协调等方面，由采购人自行组织相关测绘专家进行验收并在验收书上签字确认。</w:t>
      </w:r>
    </w:p>
    <w:p>
      <w:pPr>
        <w:pStyle w:val="2"/>
        <w:numPr>
          <w:ilvl w:val="0"/>
          <w:numId w:val="0"/>
        </w:numPr>
        <w:tabs>
          <w:tab w:val="left" w:pos="208"/>
        </w:tabs>
        <w:spacing w:line="360" w:lineRule="auto"/>
        <w:ind w:leftChars="0"/>
        <w:rPr>
          <w:rFonts w:hint="eastAsia" w:ascii="宋体" w:hAnsi="宋体" w:cs="微软雅黑"/>
          <w:b/>
          <w:bCs/>
          <w:color w:val="auto"/>
          <w:sz w:val="24"/>
          <w:szCs w:val="24"/>
          <w:highlight w:val="none"/>
        </w:rPr>
      </w:pPr>
      <w:r>
        <w:rPr>
          <w:rFonts w:hint="eastAsia" w:ascii="宋体" w:hAnsi="宋体" w:cs="宋体"/>
          <w:b/>
          <w:bCs/>
          <w:color w:val="auto"/>
          <w:sz w:val="24"/>
          <w:highlight w:val="none"/>
          <w:lang w:val="en-US" w:eastAsia="zh-CN"/>
        </w:rPr>
        <w:t xml:space="preserve">  5</w:t>
      </w:r>
      <w:r>
        <w:rPr>
          <w:rFonts w:hint="eastAsia" w:ascii="宋体" w:hAnsi="宋体" w:cs="宋体"/>
          <w:b/>
          <w:bCs/>
          <w:color w:val="auto"/>
          <w:sz w:val="24"/>
          <w:highlight w:val="none"/>
        </w:rPr>
        <w:t>、</w:t>
      </w:r>
      <w:r>
        <w:rPr>
          <w:rFonts w:hint="eastAsia" w:ascii="宋体" w:hAnsi="宋体" w:cs="微软雅黑"/>
          <w:b/>
          <w:bCs/>
          <w:color w:val="auto"/>
          <w:sz w:val="24"/>
          <w:szCs w:val="24"/>
          <w:highlight w:val="none"/>
        </w:rPr>
        <w:t>安全要求：</w:t>
      </w:r>
    </w:p>
    <w:p>
      <w:pPr>
        <w:pStyle w:val="2"/>
        <w:numPr>
          <w:ilvl w:val="0"/>
          <w:numId w:val="0"/>
        </w:numPr>
        <w:tabs>
          <w:tab w:val="left" w:pos="208"/>
        </w:tabs>
        <w:spacing w:line="360" w:lineRule="auto"/>
        <w:ind w:leftChars="0" w:firstLine="480" w:firstLineChars="200"/>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（1）投标人需对外出</w:t>
      </w:r>
      <w:r>
        <w:rPr>
          <w:rFonts w:hint="eastAsia" w:ascii="宋体" w:hAnsi="宋体" w:cs="宋体"/>
          <w:color w:val="auto"/>
          <w:sz w:val="24"/>
          <w:szCs w:val="22"/>
          <w:highlight w:val="none"/>
          <w:lang w:val="en-US" w:eastAsia="zh-CN" w:bidi="ar-SA"/>
        </w:rPr>
        <w:t>监理的</w:t>
      </w:r>
      <w:r>
        <w:rPr>
          <w:rFonts w:hint="eastAsia" w:ascii="宋体" w:hAnsi="宋体" w:eastAsia="宋体" w:cs="宋体"/>
          <w:color w:val="auto"/>
          <w:sz w:val="24"/>
          <w:szCs w:val="22"/>
          <w:highlight w:val="none"/>
          <w:lang w:val="en-US" w:eastAsia="zh-CN" w:bidi="ar-SA"/>
        </w:rPr>
        <w:t>工作人员进行培训，依据普查</w:t>
      </w:r>
      <w:r>
        <w:rPr>
          <w:rFonts w:hint="eastAsia" w:ascii="宋体" w:hAnsi="宋体" w:cs="宋体"/>
          <w:color w:val="auto"/>
          <w:sz w:val="24"/>
          <w:szCs w:val="22"/>
          <w:highlight w:val="none"/>
          <w:lang w:val="en-US" w:eastAsia="zh-CN" w:bidi="ar-SA"/>
        </w:rPr>
        <w:t>的</w:t>
      </w:r>
      <w:r>
        <w:rPr>
          <w:rFonts w:hint="eastAsia" w:ascii="宋体" w:hAnsi="宋体" w:eastAsia="宋体" w:cs="宋体"/>
          <w:color w:val="auto"/>
          <w:sz w:val="24"/>
          <w:szCs w:val="22"/>
          <w:highlight w:val="none"/>
          <w:lang w:val="en-US" w:eastAsia="zh-CN" w:bidi="ar-SA"/>
        </w:rPr>
        <w:t>环境，配发相关需要的必须品，如遇</w:t>
      </w:r>
      <w:r>
        <w:rPr>
          <w:rFonts w:hint="eastAsia" w:ascii="宋体" w:hAnsi="宋体" w:cs="宋体"/>
          <w:color w:val="auto"/>
          <w:sz w:val="24"/>
          <w:szCs w:val="22"/>
          <w:highlight w:val="none"/>
          <w:lang w:val="en-US" w:eastAsia="zh-CN" w:bidi="ar-SA"/>
        </w:rPr>
        <w:t>监理过程</w:t>
      </w:r>
      <w:r>
        <w:rPr>
          <w:rFonts w:hint="eastAsia" w:ascii="宋体" w:hAnsi="宋体" w:eastAsia="宋体" w:cs="宋体"/>
          <w:color w:val="auto"/>
          <w:sz w:val="24"/>
          <w:szCs w:val="22"/>
          <w:highlight w:val="none"/>
          <w:lang w:val="en-US" w:eastAsia="zh-CN" w:bidi="ar-SA"/>
        </w:rPr>
        <w:t>中较危险的区域，应及时做好应对措施并及时上报采购人；</w:t>
      </w:r>
    </w:p>
    <w:p>
      <w:pPr>
        <w:pStyle w:val="2"/>
        <w:numPr>
          <w:ilvl w:val="0"/>
          <w:numId w:val="0"/>
        </w:numPr>
        <w:tabs>
          <w:tab w:val="left" w:pos="208"/>
        </w:tabs>
        <w:spacing w:line="360" w:lineRule="auto"/>
        <w:ind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（2）投标人需设置专职安全员，定期开展安全培训；</w:t>
      </w:r>
    </w:p>
    <w:p>
      <w:pPr>
        <w:pStyle w:val="2"/>
        <w:numPr>
          <w:ilvl w:val="0"/>
          <w:numId w:val="0"/>
        </w:numPr>
        <w:tabs>
          <w:tab w:val="left" w:pos="208"/>
        </w:tabs>
        <w:spacing w:line="360" w:lineRule="auto"/>
        <w:ind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（3）外出</w:t>
      </w:r>
      <w:r>
        <w:rPr>
          <w:rFonts w:hint="eastAsia" w:ascii="宋体" w:hAnsi="宋体" w:cs="宋体"/>
          <w:color w:val="auto"/>
          <w:sz w:val="24"/>
          <w:highlight w:val="none"/>
          <w:lang w:val="en-US" w:eastAsia="zh-CN"/>
        </w:rPr>
        <w:t>监理</w:t>
      </w:r>
      <w:r>
        <w:rPr>
          <w:rFonts w:hint="eastAsia" w:ascii="宋体" w:hAnsi="宋体" w:cs="宋体"/>
          <w:color w:val="auto"/>
          <w:sz w:val="24"/>
          <w:highlight w:val="none"/>
        </w:rPr>
        <w:t>时，投标人应做好预防各类与</w:t>
      </w:r>
      <w:r>
        <w:rPr>
          <w:rFonts w:hint="eastAsia" w:ascii="宋体" w:hAnsi="宋体" w:cs="宋体"/>
          <w:color w:val="auto"/>
          <w:sz w:val="24"/>
          <w:highlight w:val="none"/>
          <w:lang w:val="en-US" w:eastAsia="zh-CN"/>
        </w:rPr>
        <w:t>监理工作</w:t>
      </w:r>
      <w:r>
        <w:rPr>
          <w:rFonts w:hint="eastAsia" w:ascii="宋体" w:hAnsi="宋体" w:cs="宋体"/>
          <w:color w:val="auto"/>
          <w:sz w:val="24"/>
          <w:highlight w:val="none"/>
        </w:rPr>
        <w:t>可能有关的事故发生，</w:t>
      </w:r>
      <w:r>
        <w:rPr>
          <w:rFonts w:hint="eastAsia" w:ascii="宋体" w:hAnsi="宋体" w:cs="宋体"/>
          <w:color w:val="auto"/>
          <w:sz w:val="24"/>
          <w:highlight w:val="none"/>
          <w:lang w:val="en-US"/>
        </w:rPr>
        <w:t>如恶劣天气情况，应</w:t>
      </w:r>
      <w:r>
        <w:rPr>
          <w:rFonts w:hint="eastAsia" w:ascii="宋体" w:hAnsi="宋体" w:cs="宋体"/>
          <w:color w:val="auto"/>
          <w:sz w:val="24"/>
          <w:highlight w:val="none"/>
          <w:lang w:val="en-US" w:eastAsia="zh-CN"/>
        </w:rPr>
        <w:t>劝阻普查单位停止</w:t>
      </w:r>
      <w:r>
        <w:rPr>
          <w:rFonts w:hint="eastAsia" w:ascii="宋体" w:hAnsi="宋体" w:cs="宋体"/>
          <w:color w:val="auto"/>
          <w:sz w:val="24"/>
          <w:highlight w:val="none"/>
          <w:lang w:val="en-US"/>
        </w:rPr>
        <w:t>当天的普查工作并及时上报采购人</w:t>
      </w:r>
      <w:r>
        <w:rPr>
          <w:rFonts w:hint="eastAsia" w:ascii="宋体" w:hAnsi="宋体" w:cs="宋体"/>
          <w:color w:val="auto"/>
          <w:sz w:val="24"/>
          <w:highlight w:val="none"/>
        </w:rPr>
        <w:t>；</w:t>
      </w:r>
    </w:p>
    <w:p>
      <w:pPr>
        <w:pStyle w:val="2"/>
        <w:numPr>
          <w:ilvl w:val="0"/>
          <w:numId w:val="0"/>
        </w:numPr>
        <w:tabs>
          <w:tab w:val="left" w:pos="208"/>
        </w:tabs>
        <w:spacing w:line="360" w:lineRule="auto"/>
        <w:ind w:leftChars="0" w:firstLine="480" w:firstLineChars="200"/>
        <w:rPr>
          <w:rFonts w:hint="eastAsia"/>
          <w:color w:val="auto"/>
          <w:highlight w:val="none"/>
        </w:rPr>
      </w:pPr>
      <w:r>
        <w:rPr>
          <w:rFonts w:hint="eastAsia" w:ascii="宋体" w:hAnsi="宋体" w:eastAsia="宋体" w:cs="宋体"/>
          <w:color w:val="auto"/>
          <w:highlight w:val="none"/>
        </w:rPr>
        <w:t>（4）</w:t>
      </w:r>
      <w:r>
        <w:rPr>
          <w:rFonts w:hint="eastAsia"/>
          <w:color w:val="auto"/>
          <w:highlight w:val="none"/>
        </w:rPr>
        <w:t>投标人须为本项目拟派的外出</w:t>
      </w:r>
      <w:r>
        <w:rPr>
          <w:rFonts w:hint="eastAsia"/>
          <w:color w:val="auto"/>
          <w:highlight w:val="none"/>
          <w:lang w:val="en-US" w:eastAsia="zh-CN"/>
        </w:rPr>
        <w:t>监理</w:t>
      </w:r>
      <w:r>
        <w:rPr>
          <w:rFonts w:hint="eastAsia"/>
          <w:color w:val="auto"/>
          <w:highlight w:val="none"/>
        </w:rPr>
        <w:t>工作人员购买人身意外险（费用自行承担），如遇特殊意外情况（如人员伤亡、财产损失等），采购人概不负责。</w:t>
      </w:r>
    </w:p>
    <w:p>
      <w:pPr>
        <w:pStyle w:val="2"/>
        <w:numPr>
          <w:ilvl w:val="0"/>
          <w:numId w:val="0"/>
        </w:numPr>
        <w:tabs>
          <w:tab w:val="left" w:pos="208"/>
        </w:tabs>
        <w:spacing w:line="360" w:lineRule="auto"/>
        <w:ind w:leftChars="0" w:firstLine="480" w:firstLineChars="200"/>
        <w:rPr>
          <w:rFonts w:hint="eastAsia"/>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5）</w:t>
      </w:r>
      <w:r>
        <w:rPr>
          <w:rFonts w:hint="eastAsia" w:ascii="宋体" w:hAnsi="宋体" w:eastAsia="宋体" w:cs="宋体"/>
          <w:color w:val="auto"/>
          <w:highlight w:val="none"/>
        </w:rPr>
        <w:t>在合</w:t>
      </w:r>
      <w:r>
        <w:rPr>
          <w:rFonts w:hint="eastAsia"/>
          <w:color w:val="auto"/>
          <w:highlight w:val="none"/>
        </w:rPr>
        <w:t>同实施期间发生的一切安全事故的经济赔偿和法律责任均由</w:t>
      </w:r>
      <w:r>
        <w:rPr>
          <w:rFonts w:hint="eastAsia"/>
          <w:color w:val="auto"/>
          <w:highlight w:val="none"/>
          <w:lang w:val="en-US" w:eastAsia="zh-CN"/>
        </w:rPr>
        <w:t>中标人</w:t>
      </w:r>
      <w:r>
        <w:rPr>
          <w:rFonts w:hint="eastAsia"/>
          <w:color w:val="auto"/>
          <w:highlight w:val="none"/>
        </w:rPr>
        <w:t>负责。</w:t>
      </w:r>
    </w:p>
    <w:p>
      <w:pPr>
        <w:pStyle w:val="2"/>
        <w:numPr>
          <w:ilvl w:val="0"/>
          <w:numId w:val="0"/>
        </w:numPr>
        <w:tabs>
          <w:tab w:val="left" w:pos="208"/>
        </w:tabs>
        <w:spacing w:line="360" w:lineRule="auto"/>
        <w:ind w:leftChars="0" w:firstLine="482" w:firstLineChars="200"/>
        <w:rPr>
          <w:rFonts w:hint="eastAsia"/>
          <w:b/>
          <w:bCs/>
          <w:color w:val="auto"/>
          <w:highlight w:val="none"/>
          <w:lang w:val="en-US" w:eastAsia="zh-CN"/>
        </w:rPr>
      </w:pPr>
      <w:r>
        <w:rPr>
          <w:rFonts w:hint="eastAsia"/>
          <w:b/>
          <w:bCs/>
          <w:color w:val="auto"/>
          <w:highlight w:val="none"/>
          <w:lang w:val="en-US" w:eastAsia="zh-CN"/>
        </w:rPr>
        <w:t>注：外出工作时配备的物品（安全帽、手电筒等）、人员的保险费用等均包含在投标人的报价中。</w:t>
      </w:r>
    </w:p>
    <w:p>
      <w:pPr>
        <w:pStyle w:val="2"/>
        <w:numPr>
          <w:ilvl w:val="0"/>
          <w:numId w:val="0"/>
        </w:numPr>
        <w:tabs>
          <w:tab w:val="left" w:pos="208"/>
        </w:tabs>
        <w:spacing w:line="360" w:lineRule="auto"/>
        <w:ind w:leftChars="0" w:firstLine="241" w:firstLineChars="100"/>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保密要求：</w:t>
      </w:r>
    </w:p>
    <w:p>
      <w:pPr>
        <w:pStyle w:val="2"/>
        <w:numPr>
          <w:ilvl w:val="0"/>
          <w:numId w:val="0"/>
        </w:numPr>
        <w:tabs>
          <w:tab w:val="left" w:pos="208"/>
        </w:tabs>
        <w:spacing w:line="360" w:lineRule="auto"/>
        <w:ind w:leftChars="0" w:firstLine="240" w:firstLineChars="100"/>
        <w:rPr>
          <w:rFonts w:ascii="宋体" w:hAnsi="宋体"/>
          <w:bCs/>
          <w:color w:val="auto"/>
          <w:sz w:val="24"/>
          <w:szCs w:val="24"/>
          <w:highlight w:val="none"/>
        </w:rPr>
      </w:pPr>
      <w:r>
        <w:rPr>
          <w:rFonts w:hint="eastAsia" w:ascii="宋体" w:hAnsi="宋体"/>
          <w:color w:val="auto"/>
          <w:sz w:val="24"/>
          <w:highlight w:val="none"/>
        </w:rPr>
        <w:t>（1）</w:t>
      </w:r>
      <w:r>
        <w:rPr>
          <w:rFonts w:hint="eastAsia" w:ascii="宋体" w:hAnsi="宋体"/>
          <w:bCs/>
          <w:color w:val="auto"/>
          <w:sz w:val="24"/>
          <w:szCs w:val="24"/>
          <w:highlight w:val="none"/>
        </w:rPr>
        <w:t>项目过程保密及数据保密：在项目实施过程中和系统运行过程中（包括合同解除、终止后），中标方必须对采购人提供的任何数据及文档有保密的责任和义务。不得以任何理由留存，不得</w:t>
      </w:r>
      <w:r>
        <w:rPr>
          <w:rFonts w:ascii="宋体" w:hAnsi="宋体"/>
          <w:bCs/>
          <w:color w:val="auto"/>
          <w:sz w:val="24"/>
          <w:szCs w:val="24"/>
          <w:highlight w:val="none"/>
        </w:rPr>
        <w:t>转让和使用本项目的成果。否则</w:t>
      </w:r>
      <w:r>
        <w:rPr>
          <w:rFonts w:hint="eastAsia" w:ascii="宋体" w:hAnsi="宋体"/>
          <w:bCs/>
          <w:color w:val="auto"/>
          <w:sz w:val="24"/>
          <w:szCs w:val="24"/>
          <w:highlight w:val="none"/>
        </w:rPr>
        <w:t>，中标单位应承</w:t>
      </w:r>
      <w:r>
        <w:rPr>
          <w:rFonts w:ascii="宋体" w:hAnsi="宋体"/>
          <w:bCs/>
          <w:color w:val="auto"/>
          <w:sz w:val="24"/>
          <w:szCs w:val="24"/>
          <w:highlight w:val="none"/>
        </w:rPr>
        <w:t>担由此产生的一切法律和经济责任。</w:t>
      </w:r>
    </w:p>
    <w:p>
      <w:pPr>
        <w:pStyle w:val="2"/>
        <w:numPr>
          <w:ilvl w:val="0"/>
          <w:numId w:val="0"/>
        </w:numPr>
        <w:tabs>
          <w:tab w:val="left" w:pos="208"/>
        </w:tabs>
        <w:spacing w:line="360" w:lineRule="auto"/>
        <w:ind w:leftChars="0" w:firstLine="240" w:firstLineChars="100"/>
        <w:rPr>
          <w:rFonts w:hint="eastAsia" w:ascii="宋体" w:hAnsi="宋体"/>
          <w:bCs/>
          <w:color w:val="auto"/>
          <w:sz w:val="24"/>
          <w:szCs w:val="24"/>
          <w:highlight w:val="none"/>
        </w:rPr>
      </w:pPr>
      <w:r>
        <w:rPr>
          <w:rFonts w:hint="eastAsia" w:ascii="宋体" w:hAnsi="宋体"/>
          <w:bCs/>
          <w:color w:val="auto"/>
          <w:sz w:val="24"/>
          <w:szCs w:val="24"/>
          <w:highlight w:val="none"/>
        </w:rPr>
        <w:t>在投标书中应对该项内容提交书面承诺书，作为签订项目保密合同的依据，并作为合同密不可分的一部分。</w:t>
      </w:r>
    </w:p>
    <w:p>
      <w:pPr>
        <w:pStyle w:val="2"/>
        <w:numPr>
          <w:ilvl w:val="0"/>
          <w:numId w:val="0"/>
        </w:numPr>
        <w:tabs>
          <w:tab w:val="left" w:pos="208"/>
        </w:tabs>
        <w:spacing w:line="360" w:lineRule="auto"/>
        <w:ind w:firstLine="240" w:firstLineChars="100"/>
        <w:rPr>
          <w:rFonts w:hint="eastAsia"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版权与保密。</w:t>
      </w:r>
      <w:r>
        <w:rPr>
          <w:rFonts w:hint="eastAsia" w:hAnsi="宋体"/>
          <w:color w:val="auto"/>
          <w:sz w:val="24"/>
          <w:szCs w:val="24"/>
          <w:highlight w:val="none"/>
        </w:rPr>
        <w:t>本项目所有成果的版权属采购人所有，未经同意，中标方不得自行删除、复制、修改、转移数据，亦不得以任何形式向第三方提供；采购人提供的任何业务资料，中标方需认真保管、严格保密，并在使用完毕后及时归还。</w:t>
      </w:r>
    </w:p>
    <w:p>
      <w:pPr>
        <w:pStyle w:val="2"/>
        <w:numPr>
          <w:ilvl w:val="0"/>
          <w:numId w:val="0"/>
        </w:numPr>
        <w:tabs>
          <w:tab w:val="left" w:pos="208"/>
        </w:tabs>
        <w:spacing w:line="360" w:lineRule="auto"/>
        <w:ind w:leftChars="0" w:firstLine="240" w:firstLineChars="100"/>
        <w:rPr>
          <w:rFonts w:hint="eastAsia" w:hAnsi="宋体"/>
          <w:color w:val="auto"/>
          <w:sz w:val="24"/>
          <w:szCs w:val="24"/>
          <w:highlight w:val="none"/>
        </w:rPr>
      </w:pPr>
      <w:r>
        <w:rPr>
          <w:rFonts w:hint="eastAsia" w:ascii="宋体" w:hAnsi="宋体" w:cs="宋体"/>
          <w:color w:val="auto"/>
          <w:sz w:val="24"/>
          <w:szCs w:val="24"/>
          <w:highlight w:val="none"/>
        </w:rPr>
        <w:t>（3）</w:t>
      </w:r>
      <w:r>
        <w:rPr>
          <w:rFonts w:hint="eastAsia" w:hAnsi="宋体"/>
          <w:color w:val="auto"/>
          <w:sz w:val="24"/>
          <w:szCs w:val="24"/>
          <w:highlight w:val="none"/>
        </w:rPr>
        <w:t>保密期限：永久。</w:t>
      </w:r>
    </w:p>
    <w:p>
      <w:pPr>
        <w:snapToGrid w:val="0"/>
        <w:spacing w:line="360" w:lineRule="auto"/>
        <w:jc w:val="center"/>
        <w:outlineLvl w:val="0"/>
        <w:rPr>
          <w:rStyle w:val="82"/>
          <w:rFonts w:hint="eastAsia" w:ascii="仿宋" w:hAnsi="仿宋" w:eastAsia="仿宋" w:cs="仿宋"/>
          <w:color w:val="auto"/>
          <w:kern w:val="2"/>
          <w:highlight w:val="none"/>
          <w:lang w:eastAsia="zh-CN" w:bidi="ar-SA"/>
        </w:rPr>
      </w:pPr>
    </w:p>
    <w:p>
      <w:pPr>
        <w:snapToGrid w:val="0"/>
        <w:spacing w:line="360" w:lineRule="auto"/>
        <w:jc w:val="center"/>
        <w:outlineLvl w:val="0"/>
        <w:rPr>
          <w:rStyle w:val="82"/>
          <w:rFonts w:hint="eastAsia" w:ascii="仿宋" w:hAnsi="仿宋" w:eastAsia="仿宋" w:cs="仿宋"/>
          <w:color w:val="auto"/>
          <w:kern w:val="2"/>
          <w:highlight w:val="none"/>
          <w:lang w:eastAsia="zh-CN" w:bidi="ar-SA"/>
        </w:rPr>
      </w:pPr>
    </w:p>
    <w:p>
      <w:pPr>
        <w:snapToGrid w:val="0"/>
        <w:spacing w:line="360" w:lineRule="auto"/>
        <w:jc w:val="center"/>
        <w:outlineLvl w:val="0"/>
        <w:rPr>
          <w:rFonts w:hint="eastAsia" w:ascii="仿宋" w:hAnsi="仿宋" w:eastAsia="仿宋" w:cs="仿宋"/>
          <w:b/>
          <w:color w:val="auto"/>
          <w:sz w:val="36"/>
          <w:szCs w:val="36"/>
          <w:highlight w:val="none"/>
        </w:rPr>
      </w:pPr>
      <w:r>
        <w:rPr>
          <w:rStyle w:val="82"/>
          <w:rFonts w:hint="eastAsia" w:ascii="仿宋" w:hAnsi="仿宋" w:eastAsia="仿宋" w:cs="仿宋"/>
          <w:color w:val="auto"/>
          <w:kern w:val="2"/>
          <w:highlight w:val="none"/>
          <w:lang w:eastAsia="zh-CN" w:bidi="ar-SA"/>
        </w:rPr>
        <w:br w:type="page"/>
      </w:r>
      <w:r>
        <w:rPr>
          <w:rStyle w:val="82"/>
          <w:rFonts w:hint="eastAsia" w:ascii="仿宋" w:hAnsi="仿宋" w:eastAsia="仿宋" w:cs="仿宋"/>
          <w:color w:val="auto"/>
          <w:kern w:val="2"/>
          <w:highlight w:val="none"/>
          <w:lang w:eastAsia="zh-CN" w:bidi="ar-SA"/>
        </w:rPr>
        <w:t xml:space="preserve">第四部分   </w:t>
      </w:r>
      <w:bookmarkStart w:id="57" w:name="_Toc184313284"/>
      <w:bookmarkEnd w:id="57"/>
      <w:bookmarkStart w:id="58" w:name="_Toc184312127"/>
      <w:bookmarkEnd w:id="58"/>
      <w:bookmarkStart w:id="59" w:name="_Toc184310334"/>
      <w:bookmarkEnd w:id="59"/>
      <w:bookmarkStart w:id="60" w:name="_Toc184308060"/>
      <w:bookmarkEnd w:id="60"/>
      <w:bookmarkStart w:id="61" w:name="_Toc184310272"/>
      <w:bookmarkEnd w:id="61"/>
      <w:bookmarkStart w:id="62" w:name="_Toc184312089"/>
      <w:bookmarkEnd w:id="62"/>
      <w:bookmarkStart w:id="63" w:name="_Toc184314474"/>
      <w:bookmarkEnd w:id="63"/>
      <w:bookmarkStart w:id="64" w:name="_Toc184312107"/>
      <w:bookmarkEnd w:id="64"/>
      <w:bookmarkStart w:id="65" w:name="_Toc184313293"/>
      <w:bookmarkEnd w:id="65"/>
      <w:bookmarkStart w:id="66" w:name="_Toc184312085"/>
      <w:bookmarkEnd w:id="66"/>
      <w:bookmarkStart w:id="67" w:name="_Toc184314451"/>
      <w:bookmarkEnd w:id="67"/>
      <w:bookmarkStart w:id="68" w:name="_Toc184314421"/>
      <w:bookmarkEnd w:id="68"/>
      <w:bookmarkStart w:id="69" w:name="_Toc184313294"/>
      <w:bookmarkEnd w:id="69"/>
      <w:bookmarkStart w:id="70" w:name="_Toc184308067"/>
      <w:bookmarkEnd w:id="70"/>
      <w:bookmarkStart w:id="71" w:name="_Toc184314411"/>
      <w:bookmarkEnd w:id="71"/>
      <w:bookmarkStart w:id="72" w:name="_Toc184312086"/>
      <w:bookmarkEnd w:id="72"/>
      <w:bookmarkStart w:id="73" w:name="_Toc184312092"/>
      <w:bookmarkEnd w:id="73"/>
      <w:bookmarkStart w:id="74" w:name="_Toc184308050"/>
      <w:bookmarkEnd w:id="74"/>
      <w:bookmarkStart w:id="75" w:name="_Toc184310297"/>
      <w:bookmarkEnd w:id="75"/>
      <w:bookmarkStart w:id="76" w:name="_Toc184314426"/>
      <w:bookmarkEnd w:id="76"/>
      <w:bookmarkStart w:id="77" w:name="_Toc184313274"/>
      <w:bookmarkEnd w:id="77"/>
      <w:bookmarkStart w:id="78" w:name="_Toc184312130"/>
      <w:bookmarkEnd w:id="78"/>
      <w:bookmarkStart w:id="79" w:name="_Toc184314482"/>
      <w:bookmarkEnd w:id="79"/>
      <w:bookmarkStart w:id="80" w:name="_Toc184308098"/>
      <w:bookmarkEnd w:id="80"/>
      <w:bookmarkStart w:id="81" w:name="_Toc184314464"/>
      <w:bookmarkEnd w:id="81"/>
      <w:bookmarkStart w:id="82" w:name="_Toc184313309"/>
      <w:bookmarkEnd w:id="82"/>
      <w:bookmarkStart w:id="83" w:name="_Toc184313244"/>
      <w:bookmarkEnd w:id="83"/>
      <w:bookmarkStart w:id="84" w:name="_Toc184313299"/>
      <w:bookmarkEnd w:id="84"/>
      <w:bookmarkStart w:id="85" w:name="_Toc184313272"/>
      <w:bookmarkEnd w:id="85"/>
      <w:bookmarkStart w:id="86" w:name="_Toc184308101"/>
      <w:bookmarkEnd w:id="86"/>
      <w:bookmarkStart w:id="87" w:name="_Toc184308073"/>
      <w:bookmarkEnd w:id="87"/>
      <w:bookmarkStart w:id="88" w:name="_Toc184310341"/>
      <w:bookmarkEnd w:id="88"/>
      <w:bookmarkStart w:id="89" w:name="_Toc184312125"/>
      <w:bookmarkEnd w:id="89"/>
      <w:bookmarkStart w:id="90" w:name="_Toc184312088"/>
      <w:bookmarkEnd w:id="90"/>
      <w:bookmarkStart w:id="91" w:name="_Toc184310315"/>
      <w:bookmarkEnd w:id="91"/>
      <w:bookmarkStart w:id="92" w:name="_Toc184314445"/>
      <w:bookmarkEnd w:id="92"/>
      <w:bookmarkStart w:id="93" w:name="_Toc184308065"/>
      <w:bookmarkEnd w:id="93"/>
      <w:bookmarkStart w:id="94" w:name="_Toc184312087"/>
      <w:bookmarkEnd w:id="94"/>
      <w:bookmarkStart w:id="95" w:name="_Toc184314442"/>
      <w:bookmarkEnd w:id="95"/>
      <w:bookmarkStart w:id="96" w:name="_Toc184308038"/>
      <w:bookmarkEnd w:id="96"/>
      <w:bookmarkStart w:id="97" w:name="_Toc184314477"/>
      <w:bookmarkEnd w:id="97"/>
      <w:bookmarkStart w:id="98" w:name="_Toc184308086"/>
      <w:bookmarkEnd w:id="98"/>
      <w:bookmarkStart w:id="99" w:name="_Toc184312118"/>
      <w:bookmarkEnd w:id="99"/>
      <w:bookmarkStart w:id="100" w:name="_Toc184310335"/>
      <w:bookmarkEnd w:id="100"/>
      <w:bookmarkStart w:id="101" w:name="_Toc184314450"/>
      <w:bookmarkEnd w:id="101"/>
      <w:bookmarkStart w:id="102" w:name="_Toc184312099"/>
      <w:bookmarkEnd w:id="102"/>
      <w:bookmarkStart w:id="103" w:name="_Toc184312078"/>
      <w:bookmarkEnd w:id="103"/>
      <w:bookmarkStart w:id="104" w:name="_Toc184308087"/>
      <w:bookmarkEnd w:id="104"/>
      <w:bookmarkStart w:id="105" w:name="_Toc184310277"/>
      <w:bookmarkEnd w:id="105"/>
      <w:bookmarkStart w:id="106" w:name="_Toc184312068"/>
      <w:bookmarkEnd w:id="106"/>
      <w:bookmarkStart w:id="107" w:name="_Toc184314439"/>
      <w:bookmarkEnd w:id="107"/>
      <w:bookmarkStart w:id="108" w:name="_Toc184314481"/>
      <w:bookmarkEnd w:id="108"/>
      <w:bookmarkStart w:id="109" w:name="_Toc184308045"/>
      <w:bookmarkEnd w:id="109"/>
      <w:bookmarkStart w:id="110" w:name="_Toc184308059"/>
      <w:bookmarkEnd w:id="110"/>
      <w:bookmarkStart w:id="111" w:name="_Toc184313261"/>
      <w:bookmarkEnd w:id="111"/>
      <w:bookmarkStart w:id="112" w:name="_Toc184310339"/>
      <w:bookmarkEnd w:id="112"/>
      <w:bookmarkStart w:id="113" w:name="_Toc184314422"/>
      <w:bookmarkEnd w:id="113"/>
      <w:bookmarkStart w:id="114" w:name="_Toc184314416"/>
      <w:bookmarkEnd w:id="114"/>
      <w:bookmarkStart w:id="115" w:name="_Toc184310333"/>
      <w:bookmarkEnd w:id="115"/>
      <w:bookmarkStart w:id="116" w:name="_Toc184313255"/>
      <w:bookmarkEnd w:id="116"/>
      <w:bookmarkStart w:id="117" w:name="_Toc184313297"/>
      <w:bookmarkEnd w:id="117"/>
      <w:bookmarkStart w:id="118" w:name="_Toc184310286"/>
      <w:bookmarkEnd w:id="118"/>
      <w:bookmarkStart w:id="119" w:name="_Toc184314435"/>
      <w:bookmarkEnd w:id="119"/>
      <w:bookmarkStart w:id="120" w:name="_Toc184310300"/>
      <w:bookmarkEnd w:id="120"/>
      <w:bookmarkStart w:id="121" w:name="_Toc184314441"/>
      <w:bookmarkEnd w:id="121"/>
      <w:bookmarkStart w:id="122" w:name="_Toc184308090"/>
      <w:bookmarkEnd w:id="122"/>
      <w:bookmarkStart w:id="123" w:name="_Toc184308092"/>
      <w:bookmarkEnd w:id="123"/>
      <w:bookmarkStart w:id="124" w:name="_Toc184312105"/>
      <w:bookmarkEnd w:id="124"/>
      <w:bookmarkStart w:id="125" w:name="_Toc184312072"/>
      <w:bookmarkEnd w:id="125"/>
      <w:bookmarkStart w:id="126" w:name="_Toc184313268"/>
      <w:bookmarkEnd w:id="126"/>
      <w:bookmarkStart w:id="127" w:name="_Toc184314440"/>
      <w:bookmarkEnd w:id="127"/>
      <w:bookmarkStart w:id="128" w:name="_Toc184313270"/>
      <w:bookmarkEnd w:id="128"/>
      <w:bookmarkStart w:id="129" w:name="_Toc184308057"/>
      <w:bookmarkEnd w:id="129"/>
      <w:bookmarkStart w:id="130" w:name="_Toc184312093"/>
      <w:bookmarkEnd w:id="130"/>
      <w:bookmarkStart w:id="131" w:name="_Toc184313271"/>
      <w:bookmarkEnd w:id="131"/>
      <w:bookmarkStart w:id="132" w:name="_Toc184314436"/>
      <w:bookmarkEnd w:id="132"/>
      <w:bookmarkStart w:id="133" w:name="_Toc184314420"/>
      <w:bookmarkEnd w:id="133"/>
      <w:bookmarkStart w:id="134" w:name="_Toc184314413"/>
      <w:bookmarkEnd w:id="134"/>
      <w:bookmarkStart w:id="135" w:name="_Toc184313285"/>
      <w:bookmarkEnd w:id="135"/>
      <w:bookmarkStart w:id="136" w:name="_Toc184314448"/>
      <w:bookmarkEnd w:id="136"/>
      <w:bookmarkStart w:id="137" w:name="_Toc184308069"/>
      <w:bookmarkEnd w:id="137"/>
      <w:bookmarkStart w:id="138" w:name="_Toc184308083"/>
      <w:bookmarkEnd w:id="138"/>
      <w:bookmarkStart w:id="139" w:name="_Toc184308043"/>
      <w:bookmarkEnd w:id="139"/>
      <w:bookmarkStart w:id="140" w:name="_Toc184314432"/>
      <w:bookmarkEnd w:id="140"/>
      <w:bookmarkStart w:id="141" w:name="_Toc184314478"/>
      <w:bookmarkEnd w:id="141"/>
      <w:bookmarkStart w:id="142" w:name="_Toc184313269"/>
      <w:bookmarkEnd w:id="142"/>
      <w:bookmarkStart w:id="143" w:name="_Toc184312139"/>
      <w:bookmarkEnd w:id="143"/>
      <w:bookmarkStart w:id="144" w:name="_Toc184310318"/>
      <w:bookmarkEnd w:id="144"/>
      <w:bookmarkStart w:id="145" w:name="_Toc184310296"/>
      <w:bookmarkEnd w:id="145"/>
      <w:bookmarkStart w:id="146" w:name="_Toc184310285"/>
      <w:bookmarkEnd w:id="146"/>
      <w:bookmarkStart w:id="147" w:name="_Toc184308047"/>
      <w:bookmarkEnd w:id="147"/>
      <w:bookmarkStart w:id="148" w:name="_Toc184312091"/>
      <w:bookmarkEnd w:id="148"/>
      <w:bookmarkStart w:id="149" w:name="_Toc184308051"/>
      <w:bookmarkEnd w:id="149"/>
      <w:bookmarkStart w:id="150" w:name="_Toc184310312"/>
      <w:bookmarkEnd w:id="150"/>
      <w:bookmarkStart w:id="151" w:name="_Toc184313288"/>
      <w:bookmarkEnd w:id="151"/>
      <w:bookmarkStart w:id="152" w:name="_Toc184313259"/>
      <w:bookmarkEnd w:id="152"/>
      <w:bookmarkStart w:id="153" w:name="_Toc184312119"/>
      <w:bookmarkEnd w:id="153"/>
      <w:bookmarkStart w:id="154" w:name="_Toc184312110"/>
      <w:bookmarkEnd w:id="154"/>
      <w:bookmarkStart w:id="155" w:name="_Toc184313295"/>
      <w:bookmarkEnd w:id="155"/>
      <w:bookmarkStart w:id="156" w:name="_Toc184314460"/>
      <w:bookmarkEnd w:id="156"/>
      <w:bookmarkStart w:id="157" w:name="_Toc184313238"/>
      <w:bookmarkEnd w:id="157"/>
      <w:bookmarkStart w:id="158" w:name="_Toc184310314"/>
      <w:bookmarkEnd w:id="158"/>
      <w:bookmarkStart w:id="159" w:name="_Toc184314419"/>
      <w:bookmarkEnd w:id="159"/>
      <w:bookmarkStart w:id="160" w:name="_Toc184312136"/>
      <w:bookmarkEnd w:id="160"/>
      <w:bookmarkStart w:id="161" w:name="_Toc184312109"/>
      <w:bookmarkEnd w:id="161"/>
      <w:bookmarkStart w:id="162" w:name="_Toc184313263"/>
      <w:bookmarkEnd w:id="162"/>
      <w:bookmarkStart w:id="163" w:name="_Toc184313256"/>
      <w:bookmarkEnd w:id="163"/>
      <w:bookmarkStart w:id="164" w:name="_Toc184308076"/>
      <w:bookmarkEnd w:id="164"/>
      <w:bookmarkStart w:id="165" w:name="_Toc184312112"/>
      <w:bookmarkEnd w:id="165"/>
      <w:bookmarkStart w:id="166" w:name="_Toc184313301"/>
      <w:bookmarkEnd w:id="166"/>
      <w:bookmarkStart w:id="167" w:name="_Toc184313310"/>
      <w:bookmarkEnd w:id="167"/>
      <w:bookmarkStart w:id="168" w:name="_Toc184312097"/>
      <w:bookmarkEnd w:id="168"/>
      <w:bookmarkStart w:id="169" w:name="_Toc184310292"/>
      <w:bookmarkEnd w:id="169"/>
      <w:bookmarkStart w:id="170" w:name="_Toc184310289"/>
      <w:bookmarkEnd w:id="170"/>
      <w:bookmarkStart w:id="171" w:name="_Toc184312116"/>
      <w:bookmarkEnd w:id="171"/>
      <w:bookmarkStart w:id="172" w:name="_Toc184314475"/>
      <w:bookmarkEnd w:id="172"/>
      <w:bookmarkStart w:id="173" w:name="_Toc184310306"/>
      <w:bookmarkEnd w:id="173"/>
      <w:bookmarkStart w:id="174" w:name="_Toc184312069"/>
      <w:bookmarkEnd w:id="174"/>
      <w:bookmarkStart w:id="175" w:name="_Toc184308079"/>
      <w:bookmarkEnd w:id="175"/>
      <w:bookmarkStart w:id="176" w:name="_Toc184313277"/>
      <w:bookmarkEnd w:id="176"/>
      <w:bookmarkStart w:id="177" w:name="_Toc184312082"/>
      <w:bookmarkEnd w:id="177"/>
      <w:bookmarkStart w:id="178" w:name="_Toc184310327"/>
      <w:bookmarkEnd w:id="178"/>
      <w:bookmarkStart w:id="179" w:name="_Toc184313273"/>
      <w:bookmarkEnd w:id="179"/>
      <w:bookmarkStart w:id="180" w:name="_Toc184313266"/>
      <w:bookmarkEnd w:id="180"/>
      <w:bookmarkStart w:id="181" w:name="_Toc184312103"/>
      <w:bookmarkEnd w:id="181"/>
      <w:bookmarkStart w:id="182" w:name="_Toc184312095"/>
      <w:bookmarkEnd w:id="182"/>
      <w:bookmarkStart w:id="183" w:name="_Toc184313239"/>
      <w:bookmarkEnd w:id="183"/>
      <w:bookmarkStart w:id="184" w:name="_Toc184312090"/>
      <w:bookmarkEnd w:id="184"/>
      <w:bookmarkStart w:id="185" w:name="_Toc184310340"/>
      <w:bookmarkEnd w:id="185"/>
      <w:bookmarkStart w:id="186" w:name="_Toc184312079"/>
      <w:bookmarkEnd w:id="186"/>
      <w:bookmarkStart w:id="187" w:name="_Toc184312115"/>
      <w:bookmarkEnd w:id="187"/>
      <w:bookmarkStart w:id="188" w:name="_Toc184310330"/>
      <w:bookmarkEnd w:id="188"/>
      <w:bookmarkStart w:id="189" w:name="_Toc184313251"/>
      <w:bookmarkEnd w:id="189"/>
      <w:bookmarkStart w:id="190" w:name="_Toc184308039"/>
      <w:bookmarkEnd w:id="190"/>
      <w:bookmarkStart w:id="191" w:name="_Toc184310293"/>
      <w:bookmarkEnd w:id="191"/>
      <w:bookmarkStart w:id="192" w:name="_Toc184308078"/>
      <w:bookmarkEnd w:id="192"/>
      <w:bookmarkStart w:id="193" w:name="_Toc184313253"/>
      <w:bookmarkEnd w:id="193"/>
      <w:bookmarkStart w:id="194" w:name="_Toc184310279"/>
      <w:bookmarkEnd w:id="194"/>
      <w:bookmarkStart w:id="195" w:name="_Toc184312075"/>
      <w:bookmarkEnd w:id="195"/>
      <w:bookmarkStart w:id="196" w:name="_Toc184312084"/>
      <w:bookmarkEnd w:id="196"/>
      <w:bookmarkStart w:id="197" w:name="_Toc184313276"/>
      <w:bookmarkEnd w:id="197"/>
      <w:bookmarkStart w:id="198" w:name="_Toc184314457"/>
      <w:bookmarkEnd w:id="198"/>
      <w:bookmarkStart w:id="199" w:name="_Toc184310323"/>
      <w:bookmarkEnd w:id="199"/>
      <w:bookmarkStart w:id="200" w:name="_Toc184310305"/>
      <w:bookmarkEnd w:id="200"/>
      <w:bookmarkStart w:id="201" w:name="_Toc184310294"/>
      <w:bookmarkEnd w:id="201"/>
      <w:bookmarkStart w:id="202" w:name="_Toc184313280"/>
      <w:bookmarkEnd w:id="202"/>
      <w:bookmarkStart w:id="203" w:name="_Toc184308085"/>
      <w:bookmarkEnd w:id="203"/>
      <w:bookmarkStart w:id="204" w:name="_Toc184314467"/>
      <w:bookmarkEnd w:id="204"/>
      <w:bookmarkStart w:id="205" w:name="_Toc184308089"/>
      <w:bookmarkEnd w:id="205"/>
      <w:bookmarkStart w:id="206" w:name="_Toc184314479"/>
      <w:bookmarkEnd w:id="206"/>
      <w:bookmarkStart w:id="207" w:name="_Toc184308099"/>
      <w:bookmarkEnd w:id="207"/>
      <w:bookmarkStart w:id="208" w:name="_Toc184314430"/>
      <w:bookmarkEnd w:id="208"/>
      <w:bookmarkStart w:id="209" w:name="_Toc184314410"/>
      <w:bookmarkEnd w:id="209"/>
      <w:bookmarkStart w:id="210" w:name="_Toc184310278"/>
      <w:bookmarkEnd w:id="210"/>
      <w:bookmarkStart w:id="211" w:name="_Toc184312133"/>
      <w:bookmarkEnd w:id="211"/>
      <w:bookmarkStart w:id="212" w:name="_Toc184313308"/>
      <w:bookmarkEnd w:id="212"/>
      <w:bookmarkStart w:id="213" w:name="_Toc184310328"/>
      <w:bookmarkEnd w:id="213"/>
      <w:bookmarkStart w:id="214" w:name="_Toc184313258"/>
      <w:bookmarkEnd w:id="214"/>
      <w:bookmarkStart w:id="215" w:name="_Toc184313246"/>
      <w:bookmarkEnd w:id="215"/>
      <w:bookmarkStart w:id="216" w:name="_Toc184310308"/>
      <w:bookmarkEnd w:id="216"/>
      <w:bookmarkStart w:id="217" w:name="_Toc184313262"/>
      <w:bookmarkEnd w:id="217"/>
      <w:bookmarkStart w:id="218" w:name="_Toc184313250"/>
      <w:bookmarkEnd w:id="218"/>
      <w:bookmarkStart w:id="219" w:name="_Toc184312131"/>
      <w:bookmarkEnd w:id="219"/>
      <w:bookmarkStart w:id="220" w:name="_Toc184308037"/>
      <w:bookmarkEnd w:id="220"/>
      <w:bookmarkStart w:id="221" w:name="_Toc184314414"/>
      <w:bookmarkEnd w:id="221"/>
      <w:bookmarkStart w:id="222" w:name="_Toc184312138"/>
      <w:bookmarkEnd w:id="222"/>
      <w:bookmarkStart w:id="223" w:name="_Toc184314452"/>
      <w:bookmarkEnd w:id="223"/>
      <w:bookmarkStart w:id="224" w:name="_Toc184313306"/>
      <w:bookmarkEnd w:id="224"/>
      <w:bookmarkStart w:id="225" w:name="_Toc184313240"/>
      <w:bookmarkEnd w:id="225"/>
      <w:bookmarkStart w:id="226" w:name="_Toc184310273"/>
      <w:bookmarkEnd w:id="226"/>
      <w:bookmarkStart w:id="227" w:name="_Toc184310274"/>
      <w:bookmarkEnd w:id="227"/>
      <w:bookmarkStart w:id="228" w:name="_Toc184310324"/>
      <w:bookmarkEnd w:id="228"/>
      <w:bookmarkStart w:id="229" w:name="_Toc184308097"/>
      <w:bookmarkEnd w:id="229"/>
      <w:bookmarkStart w:id="230" w:name="_Toc184312094"/>
      <w:bookmarkEnd w:id="230"/>
      <w:bookmarkStart w:id="231" w:name="_Toc184314473"/>
      <w:bookmarkEnd w:id="231"/>
      <w:bookmarkStart w:id="232" w:name="_Toc184313247"/>
      <w:bookmarkEnd w:id="232"/>
      <w:bookmarkStart w:id="233" w:name="_Toc184313300"/>
      <w:bookmarkEnd w:id="233"/>
      <w:bookmarkStart w:id="234" w:name="_Toc184310317"/>
      <w:bookmarkEnd w:id="234"/>
      <w:bookmarkStart w:id="235" w:name="_Toc184312132"/>
      <w:bookmarkEnd w:id="235"/>
      <w:bookmarkStart w:id="236" w:name="_Toc184310321"/>
      <w:bookmarkEnd w:id="236"/>
      <w:bookmarkStart w:id="237" w:name="_Toc184308066"/>
      <w:bookmarkEnd w:id="237"/>
      <w:bookmarkStart w:id="238" w:name="_Toc184314429"/>
      <w:bookmarkEnd w:id="238"/>
      <w:bookmarkStart w:id="239" w:name="_Toc184314466"/>
      <w:bookmarkEnd w:id="239"/>
      <w:bookmarkStart w:id="240" w:name="_Toc184312126"/>
      <w:bookmarkEnd w:id="240"/>
      <w:bookmarkStart w:id="241" w:name="_Toc184308058"/>
      <w:bookmarkEnd w:id="241"/>
      <w:bookmarkStart w:id="242" w:name="_Toc184308074"/>
      <w:bookmarkEnd w:id="242"/>
      <w:bookmarkStart w:id="243" w:name="_Toc184308102"/>
      <w:bookmarkEnd w:id="243"/>
      <w:bookmarkStart w:id="244" w:name="_Toc184314476"/>
      <w:bookmarkEnd w:id="244"/>
      <w:bookmarkStart w:id="245" w:name="_Toc184313290"/>
      <w:bookmarkEnd w:id="245"/>
      <w:bookmarkStart w:id="246" w:name="_Toc184313302"/>
      <w:bookmarkEnd w:id="246"/>
      <w:bookmarkStart w:id="247" w:name="_Toc184310319"/>
      <w:bookmarkEnd w:id="247"/>
      <w:bookmarkStart w:id="248" w:name="_Toc184314434"/>
      <w:bookmarkEnd w:id="248"/>
      <w:bookmarkStart w:id="249" w:name="_Toc184310320"/>
      <w:bookmarkEnd w:id="249"/>
      <w:bookmarkStart w:id="250" w:name="_Toc184314465"/>
      <w:bookmarkEnd w:id="250"/>
      <w:bookmarkStart w:id="251" w:name="_Toc184308040"/>
      <w:bookmarkEnd w:id="251"/>
      <w:bookmarkStart w:id="252" w:name="_Toc184308095"/>
      <w:bookmarkEnd w:id="252"/>
      <w:bookmarkStart w:id="253" w:name="_Toc184308070"/>
      <w:bookmarkEnd w:id="253"/>
      <w:bookmarkStart w:id="254" w:name="_Toc184313275"/>
      <w:bookmarkEnd w:id="254"/>
      <w:bookmarkStart w:id="255" w:name="_Toc184314433"/>
      <w:bookmarkEnd w:id="255"/>
      <w:bookmarkStart w:id="256" w:name="_Toc184310310"/>
      <w:bookmarkEnd w:id="256"/>
      <w:bookmarkStart w:id="257" w:name="_Toc184310276"/>
      <w:bookmarkEnd w:id="257"/>
      <w:bookmarkStart w:id="258" w:name="_Toc184310287"/>
      <w:bookmarkEnd w:id="258"/>
      <w:bookmarkStart w:id="259" w:name="_Toc184314454"/>
      <w:bookmarkEnd w:id="259"/>
      <w:bookmarkStart w:id="260" w:name="_Toc184312102"/>
      <w:bookmarkEnd w:id="260"/>
      <w:bookmarkStart w:id="261" w:name="_Toc184308103"/>
      <w:bookmarkEnd w:id="261"/>
      <w:bookmarkStart w:id="262" w:name="_Toc184313278"/>
      <w:bookmarkEnd w:id="262"/>
      <w:bookmarkStart w:id="263" w:name="_Toc184308056"/>
      <w:bookmarkEnd w:id="263"/>
      <w:bookmarkStart w:id="264" w:name="_Toc184310343"/>
      <w:bookmarkEnd w:id="264"/>
      <w:bookmarkStart w:id="265" w:name="_Toc184308068"/>
      <w:bookmarkEnd w:id="265"/>
      <w:bookmarkStart w:id="266" w:name="_Toc184314444"/>
      <w:bookmarkEnd w:id="266"/>
      <w:bookmarkStart w:id="267" w:name="_Toc184313283"/>
      <w:bookmarkEnd w:id="267"/>
      <w:bookmarkStart w:id="268" w:name="_Toc184314428"/>
      <w:bookmarkEnd w:id="268"/>
      <w:bookmarkStart w:id="269" w:name="_Toc184308049"/>
      <w:bookmarkEnd w:id="269"/>
      <w:bookmarkStart w:id="270" w:name="_Toc184308046"/>
      <w:bookmarkEnd w:id="270"/>
      <w:bookmarkStart w:id="271" w:name="_Toc184310281"/>
      <w:bookmarkEnd w:id="271"/>
      <w:bookmarkStart w:id="272" w:name="_Toc184312080"/>
      <w:bookmarkEnd w:id="272"/>
      <w:bookmarkStart w:id="273" w:name="_Toc184313298"/>
      <w:bookmarkEnd w:id="273"/>
      <w:bookmarkStart w:id="274" w:name="_Toc184308055"/>
      <w:bookmarkEnd w:id="274"/>
      <w:bookmarkStart w:id="275" w:name="_Toc184308044"/>
      <w:bookmarkEnd w:id="275"/>
      <w:bookmarkStart w:id="276" w:name="_Toc184313289"/>
      <w:bookmarkEnd w:id="276"/>
      <w:bookmarkStart w:id="277" w:name="_Toc184308091"/>
      <w:bookmarkEnd w:id="277"/>
      <w:bookmarkStart w:id="278" w:name="_Toc184310299"/>
      <w:bookmarkEnd w:id="278"/>
      <w:bookmarkStart w:id="279" w:name="_Toc184310275"/>
      <w:bookmarkEnd w:id="279"/>
      <w:bookmarkStart w:id="280" w:name="_Toc184313254"/>
      <w:bookmarkEnd w:id="280"/>
      <w:bookmarkStart w:id="281" w:name="_Toc184310336"/>
      <w:bookmarkEnd w:id="281"/>
      <w:bookmarkStart w:id="282" w:name="_Toc184308041"/>
      <w:bookmarkEnd w:id="282"/>
      <w:bookmarkStart w:id="283" w:name="_Toc184314469"/>
      <w:bookmarkEnd w:id="283"/>
      <w:bookmarkStart w:id="284" w:name="_Toc184310303"/>
      <w:bookmarkEnd w:id="284"/>
      <w:bookmarkStart w:id="285" w:name="_Toc184313296"/>
      <w:bookmarkEnd w:id="285"/>
      <w:bookmarkStart w:id="286" w:name="_Toc184314463"/>
      <w:bookmarkEnd w:id="286"/>
      <w:bookmarkStart w:id="287" w:name="_Toc184312083"/>
      <w:bookmarkEnd w:id="287"/>
      <w:bookmarkStart w:id="288" w:name="_Toc184310329"/>
      <w:bookmarkEnd w:id="288"/>
      <w:bookmarkStart w:id="289" w:name="_Toc184310301"/>
      <w:bookmarkEnd w:id="289"/>
      <w:bookmarkStart w:id="290" w:name="_Toc184310280"/>
      <w:bookmarkEnd w:id="290"/>
      <w:bookmarkStart w:id="291" w:name="_Toc184314468"/>
      <w:bookmarkEnd w:id="291"/>
      <w:bookmarkStart w:id="292" w:name="_Toc184312067"/>
      <w:bookmarkEnd w:id="292"/>
      <w:bookmarkStart w:id="293" w:name="_Toc184314446"/>
      <w:bookmarkEnd w:id="293"/>
      <w:bookmarkStart w:id="294" w:name="_Toc184310295"/>
      <w:bookmarkEnd w:id="294"/>
      <w:bookmarkStart w:id="295" w:name="_Toc184313267"/>
      <w:bookmarkEnd w:id="295"/>
      <w:bookmarkStart w:id="296" w:name="_Toc184313286"/>
      <w:bookmarkEnd w:id="296"/>
      <w:bookmarkStart w:id="297" w:name="_Toc184310325"/>
      <w:bookmarkEnd w:id="297"/>
      <w:bookmarkStart w:id="298" w:name="_Toc184310290"/>
      <w:bookmarkEnd w:id="298"/>
      <w:bookmarkStart w:id="299" w:name="_Toc184313252"/>
      <w:bookmarkEnd w:id="299"/>
      <w:bookmarkStart w:id="300" w:name="_Toc184314443"/>
      <w:bookmarkEnd w:id="300"/>
      <w:bookmarkStart w:id="301" w:name="_Toc184308080"/>
      <w:bookmarkEnd w:id="301"/>
      <w:bookmarkStart w:id="302" w:name="_Toc184310322"/>
      <w:bookmarkEnd w:id="302"/>
      <w:bookmarkStart w:id="303" w:name="_Toc184313248"/>
      <w:bookmarkEnd w:id="303"/>
      <w:bookmarkStart w:id="304" w:name="_Toc184314412"/>
      <w:bookmarkEnd w:id="304"/>
      <w:bookmarkStart w:id="305" w:name="_Toc184308052"/>
      <w:bookmarkEnd w:id="305"/>
      <w:bookmarkStart w:id="306" w:name="_Toc184310282"/>
      <w:bookmarkEnd w:id="306"/>
      <w:bookmarkStart w:id="307" w:name="_Toc184313287"/>
      <w:bookmarkEnd w:id="307"/>
      <w:bookmarkStart w:id="308" w:name="_Toc184312104"/>
      <w:bookmarkEnd w:id="308"/>
      <w:bookmarkStart w:id="309" w:name="_Toc184314447"/>
      <w:bookmarkEnd w:id="309"/>
      <w:bookmarkStart w:id="310" w:name="_Toc184310313"/>
      <w:bookmarkEnd w:id="310"/>
      <w:bookmarkStart w:id="311" w:name="_Toc184308105"/>
      <w:bookmarkEnd w:id="311"/>
      <w:bookmarkStart w:id="312" w:name="_Toc184312124"/>
      <w:bookmarkEnd w:id="312"/>
      <w:bookmarkStart w:id="313" w:name="_Toc184308104"/>
      <w:bookmarkEnd w:id="313"/>
      <w:bookmarkStart w:id="314" w:name="_Toc184310283"/>
      <w:bookmarkEnd w:id="314"/>
      <w:bookmarkStart w:id="315" w:name="_Toc184308072"/>
      <w:bookmarkEnd w:id="315"/>
      <w:bookmarkStart w:id="316" w:name="_Toc184312108"/>
      <w:bookmarkEnd w:id="316"/>
      <w:bookmarkStart w:id="317" w:name="_Toc184313282"/>
      <w:bookmarkEnd w:id="317"/>
      <w:bookmarkStart w:id="318" w:name="_Toc184308081"/>
      <w:bookmarkEnd w:id="318"/>
      <w:bookmarkStart w:id="319" w:name="_Toc184313249"/>
      <w:bookmarkEnd w:id="319"/>
      <w:bookmarkStart w:id="320" w:name="_Toc184313303"/>
      <w:bookmarkEnd w:id="320"/>
      <w:bookmarkStart w:id="321" w:name="_Toc184308071"/>
      <w:bookmarkEnd w:id="321"/>
      <w:bookmarkStart w:id="322" w:name="_Toc184312120"/>
      <w:bookmarkEnd w:id="322"/>
      <w:bookmarkStart w:id="323" w:name="_Toc184310332"/>
      <w:bookmarkEnd w:id="323"/>
      <w:bookmarkStart w:id="324" w:name="_Toc184308075"/>
      <w:bookmarkEnd w:id="324"/>
      <w:bookmarkStart w:id="325" w:name="_Toc184308096"/>
      <w:bookmarkEnd w:id="325"/>
      <w:bookmarkStart w:id="326" w:name="_Toc184314425"/>
      <w:bookmarkEnd w:id="326"/>
      <w:bookmarkStart w:id="327" w:name="_Toc184314453"/>
      <w:bookmarkEnd w:id="327"/>
      <w:bookmarkStart w:id="328" w:name="_Toc184308084"/>
      <w:bookmarkEnd w:id="328"/>
      <w:bookmarkStart w:id="329" w:name="_Toc184312121"/>
      <w:bookmarkEnd w:id="329"/>
      <w:bookmarkStart w:id="330" w:name="_Toc184310337"/>
      <w:bookmarkEnd w:id="330"/>
      <w:bookmarkStart w:id="331" w:name="_Toc184312076"/>
      <w:bookmarkEnd w:id="331"/>
      <w:bookmarkStart w:id="332" w:name="_Toc184313305"/>
      <w:bookmarkEnd w:id="332"/>
      <w:bookmarkStart w:id="333" w:name="_Toc184308036"/>
      <w:bookmarkEnd w:id="333"/>
      <w:bookmarkStart w:id="334" w:name="_Toc184313291"/>
      <w:bookmarkEnd w:id="334"/>
      <w:bookmarkStart w:id="335" w:name="_Toc184308106"/>
      <w:bookmarkEnd w:id="335"/>
      <w:bookmarkStart w:id="336" w:name="_Toc184312114"/>
      <w:bookmarkEnd w:id="336"/>
      <w:bookmarkStart w:id="337" w:name="_Toc184313292"/>
      <w:bookmarkEnd w:id="337"/>
      <w:bookmarkStart w:id="338" w:name="_Toc184312134"/>
      <w:bookmarkEnd w:id="338"/>
      <w:bookmarkStart w:id="339" w:name="_Toc184312129"/>
      <w:bookmarkEnd w:id="339"/>
      <w:bookmarkStart w:id="340" w:name="_Toc184312098"/>
      <w:bookmarkEnd w:id="340"/>
      <w:bookmarkStart w:id="341" w:name="_Toc184308048"/>
      <w:bookmarkEnd w:id="341"/>
      <w:bookmarkStart w:id="342" w:name="_Toc184308061"/>
      <w:bookmarkEnd w:id="342"/>
      <w:bookmarkStart w:id="343" w:name="_Toc184313307"/>
      <w:bookmarkEnd w:id="343"/>
      <w:bookmarkStart w:id="344" w:name="_Toc184313242"/>
      <w:bookmarkEnd w:id="344"/>
      <w:bookmarkStart w:id="345" w:name="_Toc184312123"/>
      <w:bookmarkEnd w:id="345"/>
      <w:bookmarkStart w:id="346" w:name="_Toc184314462"/>
      <w:bookmarkEnd w:id="346"/>
      <w:bookmarkStart w:id="347" w:name="_Toc184312074"/>
      <w:bookmarkEnd w:id="347"/>
      <w:bookmarkStart w:id="348" w:name="_Toc184314459"/>
      <w:bookmarkEnd w:id="348"/>
      <w:bookmarkStart w:id="349" w:name="_Toc184310309"/>
      <w:bookmarkEnd w:id="349"/>
      <w:bookmarkStart w:id="350" w:name="_Toc184313260"/>
      <w:bookmarkEnd w:id="350"/>
      <w:bookmarkStart w:id="351" w:name="_Toc184310307"/>
      <w:bookmarkEnd w:id="351"/>
      <w:bookmarkStart w:id="352" w:name="_Toc184312070"/>
      <w:bookmarkEnd w:id="352"/>
      <w:bookmarkStart w:id="353" w:name="_Toc184314431"/>
      <w:bookmarkEnd w:id="353"/>
      <w:bookmarkStart w:id="354" w:name="_Toc184312073"/>
      <w:bookmarkEnd w:id="354"/>
      <w:bookmarkStart w:id="355" w:name="_Toc184314470"/>
      <w:bookmarkEnd w:id="355"/>
      <w:bookmarkStart w:id="356" w:name="_Toc184308082"/>
      <w:bookmarkEnd w:id="356"/>
      <w:bookmarkStart w:id="357" w:name="_Toc184313279"/>
      <w:bookmarkEnd w:id="357"/>
      <w:bookmarkStart w:id="358" w:name="_Toc184310288"/>
      <w:bookmarkEnd w:id="358"/>
      <w:bookmarkStart w:id="359" w:name="_Toc184310326"/>
      <w:bookmarkEnd w:id="359"/>
      <w:bookmarkStart w:id="360" w:name="_Toc184310338"/>
      <w:bookmarkEnd w:id="360"/>
      <w:bookmarkStart w:id="361" w:name="_Toc184312096"/>
      <w:bookmarkEnd w:id="361"/>
      <w:bookmarkStart w:id="362" w:name="_Toc184314427"/>
      <w:bookmarkEnd w:id="362"/>
      <w:bookmarkStart w:id="363" w:name="_Toc184312111"/>
      <w:bookmarkEnd w:id="363"/>
      <w:bookmarkStart w:id="364" w:name="_Toc184308093"/>
      <w:bookmarkEnd w:id="364"/>
      <w:bookmarkStart w:id="365" w:name="_Toc184312100"/>
      <w:bookmarkEnd w:id="365"/>
      <w:bookmarkStart w:id="366" w:name="_Toc184312077"/>
      <w:bookmarkEnd w:id="366"/>
      <w:bookmarkStart w:id="367" w:name="_Toc184308077"/>
      <w:bookmarkEnd w:id="367"/>
      <w:bookmarkStart w:id="368" w:name="_Toc184313245"/>
      <w:bookmarkEnd w:id="368"/>
      <w:bookmarkStart w:id="369" w:name="_Toc184314471"/>
      <w:bookmarkEnd w:id="369"/>
      <w:bookmarkStart w:id="370" w:name="_Toc184313264"/>
      <w:bookmarkEnd w:id="370"/>
      <w:bookmarkStart w:id="371" w:name="_Toc184313243"/>
      <w:bookmarkEnd w:id="371"/>
      <w:bookmarkStart w:id="372" w:name="_Toc184312122"/>
      <w:bookmarkEnd w:id="372"/>
      <w:bookmarkStart w:id="373" w:name="_Toc184312128"/>
      <w:bookmarkEnd w:id="373"/>
      <w:bookmarkStart w:id="374" w:name="_Toc184314456"/>
      <w:bookmarkEnd w:id="374"/>
      <w:bookmarkStart w:id="375" w:name="_Toc184308094"/>
      <w:bookmarkEnd w:id="375"/>
      <w:bookmarkStart w:id="376" w:name="_Toc184314472"/>
      <w:bookmarkEnd w:id="376"/>
      <w:bookmarkStart w:id="377" w:name="_Toc184313265"/>
      <w:bookmarkEnd w:id="377"/>
      <w:bookmarkStart w:id="378" w:name="_Toc184310344"/>
      <w:bookmarkEnd w:id="378"/>
      <w:bookmarkStart w:id="379" w:name="_Toc184313304"/>
      <w:bookmarkEnd w:id="379"/>
      <w:bookmarkStart w:id="380" w:name="_Toc184308063"/>
      <w:bookmarkEnd w:id="380"/>
      <w:bookmarkStart w:id="381" w:name="_Toc184308064"/>
      <w:bookmarkEnd w:id="381"/>
      <w:bookmarkStart w:id="382" w:name="_Toc184308107"/>
      <w:bookmarkEnd w:id="382"/>
      <w:bookmarkStart w:id="383" w:name="_Toc184310342"/>
      <w:bookmarkEnd w:id="383"/>
      <w:bookmarkStart w:id="384" w:name="_Toc184314418"/>
      <w:bookmarkEnd w:id="384"/>
      <w:bookmarkStart w:id="385" w:name="_Toc184312117"/>
      <w:bookmarkEnd w:id="385"/>
      <w:bookmarkStart w:id="386" w:name="_Toc184312071"/>
      <w:bookmarkEnd w:id="386"/>
      <w:bookmarkStart w:id="387" w:name="_Toc184308062"/>
      <w:bookmarkEnd w:id="387"/>
      <w:bookmarkStart w:id="388" w:name="_Toc184308108"/>
      <w:bookmarkEnd w:id="388"/>
      <w:bookmarkStart w:id="389" w:name="_Toc184314461"/>
      <w:bookmarkEnd w:id="389"/>
      <w:bookmarkStart w:id="390" w:name="_Toc184314438"/>
      <w:bookmarkEnd w:id="390"/>
      <w:bookmarkStart w:id="391" w:name="_Toc184308053"/>
      <w:bookmarkEnd w:id="391"/>
      <w:bookmarkStart w:id="392" w:name="_Toc184314415"/>
      <w:bookmarkEnd w:id="392"/>
      <w:bookmarkStart w:id="393" w:name="_Toc184308100"/>
      <w:bookmarkEnd w:id="393"/>
      <w:bookmarkStart w:id="394" w:name="_Toc184312101"/>
      <w:bookmarkEnd w:id="394"/>
      <w:bookmarkStart w:id="395" w:name="_Toc184310298"/>
      <w:bookmarkEnd w:id="395"/>
      <w:bookmarkStart w:id="396" w:name="_Toc184314480"/>
      <w:bookmarkEnd w:id="396"/>
      <w:bookmarkStart w:id="397" w:name="_Toc184310302"/>
      <w:bookmarkEnd w:id="397"/>
      <w:bookmarkStart w:id="398" w:name="_Toc184308042"/>
      <w:bookmarkEnd w:id="398"/>
      <w:bookmarkStart w:id="399" w:name="_Toc184308054"/>
      <w:bookmarkEnd w:id="399"/>
      <w:bookmarkStart w:id="400" w:name="_Toc184314458"/>
      <w:bookmarkEnd w:id="400"/>
      <w:bookmarkStart w:id="401" w:name="_Toc184312137"/>
      <w:bookmarkEnd w:id="401"/>
      <w:bookmarkStart w:id="402" w:name="_Toc184312081"/>
      <w:bookmarkEnd w:id="402"/>
      <w:bookmarkStart w:id="403" w:name="_Toc184310304"/>
      <w:bookmarkEnd w:id="403"/>
      <w:bookmarkStart w:id="404" w:name="_Toc184310291"/>
      <w:bookmarkEnd w:id="404"/>
      <w:bookmarkStart w:id="405" w:name="_Toc184312135"/>
      <w:bookmarkEnd w:id="405"/>
      <w:bookmarkStart w:id="406" w:name="_Toc184314423"/>
      <w:bookmarkEnd w:id="406"/>
      <w:bookmarkStart w:id="407" w:name="_Toc184313257"/>
      <w:bookmarkEnd w:id="407"/>
      <w:bookmarkStart w:id="408" w:name="_Toc184308088"/>
      <w:bookmarkEnd w:id="408"/>
      <w:bookmarkStart w:id="409" w:name="_Toc184310331"/>
      <w:bookmarkEnd w:id="409"/>
      <w:bookmarkStart w:id="410" w:name="_Toc184310284"/>
      <w:bookmarkEnd w:id="410"/>
      <w:bookmarkStart w:id="411" w:name="_Toc184314424"/>
      <w:bookmarkEnd w:id="411"/>
      <w:bookmarkStart w:id="412" w:name="_Toc184314455"/>
      <w:bookmarkEnd w:id="412"/>
      <w:bookmarkStart w:id="413" w:name="_Toc184312113"/>
      <w:bookmarkEnd w:id="413"/>
      <w:bookmarkStart w:id="414" w:name="_Toc184312106"/>
      <w:bookmarkEnd w:id="414"/>
      <w:bookmarkStart w:id="415" w:name="_Toc184314449"/>
      <w:bookmarkEnd w:id="415"/>
      <w:bookmarkStart w:id="416" w:name="_Toc184310311"/>
      <w:bookmarkEnd w:id="416"/>
      <w:bookmarkStart w:id="417" w:name="_Toc184313281"/>
      <w:bookmarkEnd w:id="417"/>
      <w:bookmarkStart w:id="418" w:name="_Toc184310316"/>
      <w:bookmarkEnd w:id="418"/>
      <w:bookmarkStart w:id="419" w:name="_Toc184314437"/>
      <w:bookmarkEnd w:id="419"/>
      <w:bookmarkStart w:id="420" w:name="_Toc184313241"/>
      <w:bookmarkEnd w:id="420"/>
      <w:bookmarkStart w:id="421" w:name="_Toc184314417"/>
      <w:bookmarkEnd w:id="421"/>
      <w:r>
        <w:rPr>
          <w:rStyle w:val="82"/>
          <w:rFonts w:hint="eastAsia" w:ascii="仿宋" w:hAnsi="仿宋" w:eastAsia="仿宋" w:cs="仿宋"/>
          <w:color w:val="auto"/>
          <w:kern w:val="2"/>
          <w:highlight w:val="none"/>
          <w:lang w:eastAsia="zh-CN" w:bidi="ar-SA"/>
        </w:rPr>
        <w:t>评标办法</w:t>
      </w:r>
      <w:bookmarkEnd w:id="52"/>
    </w:p>
    <w:p>
      <w:pPr>
        <w:snapToGrid w:val="0"/>
        <w:spacing w:line="360" w:lineRule="auto"/>
        <w:jc w:val="center"/>
        <w:rPr>
          <w:rStyle w:val="82"/>
          <w:rFonts w:hint="eastAsia" w:ascii="仿宋" w:hAnsi="仿宋" w:eastAsia="仿宋" w:cs="仿宋"/>
          <w:color w:val="auto"/>
          <w:kern w:val="2"/>
          <w:highlight w:val="none"/>
          <w:lang w:eastAsia="zh-CN" w:bidi="ar-SA"/>
        </w:rPr>
      </w:pPr>
      <w:bookmarkStart w:id="422" w:name="_Toc18180"/>
      <w:bookmarkStart w:id="423" w:name="_Toc18573"/>
      <w:r>
        <w:rPr>
          <w:rStyle w:val="82"/>
          <w:rFonts w:hint="eastAsia" w:ascii="仿宋" w:hAnsi="仿宋" w:eastAsia="仿宋" w:cs="仿宋"/>
          <w:color w:val="auto"/>
          <w:kern w:val="2"/>
          <w:highlight w:val="none"/>
          <w:lang w:eastAsia="zh-CN" w:bidi="ar-SA"/>
        </w:rPr>
        <w:t>评标办法前附表</w:t>
      </w:r>
    </w:p>
    <w:tbl>
      <w:tblPr>
        <w:tblStyle w:val="62"/>
        <w:tblW w:w="0" w:type="auto"/>
        <w:tblInd w:w="-5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7" w:hRule="atLeast"/>
        </w:trPr>
        <w:tc>
          <w:tcPr>
            <w:tcW w:w="10344" w:type="dxa"/>
            <w:noWrap w:val="0"/>
            <w:vAlign w:val="center"/>
          </w:tcPr>
          <w:p>
            <w:pPr>
              <w:snapToGrid w:val="0"/>
              <w:spacing w:line="360" w:lineRule="auto"/>
              <w:ind w:firstLine="440" w:firstLineChars="200"/>
              <w:jc w:val="left"/>
              <w:rPr>
                <w:rFonts w:hint="eastAsia"/>
                <w:color w:val="auto"/>
                <w:sz w:val="22"/>
                <w:szCs w:val="22"/>
                <w:highlight w:val="none"/>
              </w:rPr>
            </w:pPr>
            <w:r>
              <w:rPr>
                <w:rFonts w:hint="eastAsia"/>
                <w:color w:val="auto"/>
                <w:sz w:val="22"/>
                <w:szCs w:val="22"/>
                <w:highlight w:val="none"/>
              </w:rPr>
              <w:t>本项目采用综合评分法：</w:t>
            </w:r>
          </w:p>
          <w:p>
            <w:pPr>
              <w:snapToGrid w:val="0"/>
              <w:spacing w:line="360" w:lineRule="auto"/>
              <w:ind w:firstLine="440" w:firstLineChars="200"/>
              <w:jc w:val="left"/>
              <w:rPr>
                <w:rFonts w:hint="eastAsia"/>
                <w:color w:val="auto"/>
                <w:sz w:val="22"/>
                <w:szCs w:val="22"/>
                <w:highlight w:val="none"/>
              </w:rPr>
            </w:pPr>
            <w:r>
              <w:rPr>
                <w:rFonts w:hint="eastAsia"/>
                <w:color w:val="auto"/>
                <w:sz w:val="22"/>
                <w:szCs w:val="22"/>
                <w:highlight w:val="none"/>
              </w:rPr>
              <w:t xml:space="preserve">评标委员会将对各投标人的投标报价、投标人提供的资信与商务部分、技术部分等方面进行综合评审，评标委员会各成员应当独立对每个有效投标人的投标文件进行评价、打分。经统计，得出各投标人的最终评审分,按最终评审分由高到低顺序排列。得分相同的，按投标报价由低到高顺序排列，得分且投标报价相同的并列，并形成评标意见。 </w:t>
            </w:r>
          </w:p>
          <w:p>
            <w:pPr>
              <w:snapToGrid w:val="0"/>
              <w:spacing w:line="360" w:lineRule="auto"/>
              <w:ind w:firstLine="440" w:firstLineChars="200"/>
              <w:jc w:val="left"/>
              <w:rPr>
                <w:rFonts w:hint="eastAsia"/>
                <w:color w:val="auto"/>
                <w:sz w:val="22"/>
                <w:szCs w:val="22"/>
                <w:highlight w:val="none"/>
              </w:rPr>
            </w:pPr>
            <w:r>
              <w:rPr>
                <w:rFonts w:hint="eastAsia"/>
                <w:color w:val="auto"/>
                <w:sz w:val="22"/>
                <w:szCs w:val="22"/>
                <w:highlight w:val="none"/>
              </w:rPr>
              <w:t>各供应商的综合得分为：投标报价得分+商务技术得分之和，总和为100分，其中：其中商务技术</w:t>
            </w:r>
            <w:r>
              <w:rPr>
                <w:rFonts w:hint="eastAsia"/>
                <w:color w:val="auto"/>
                <w:sz w:val="22"/>
                <w:szCs w:val="22"/>
                <w:highlight w:val="none"/>
                <w:lang w:eastAsia="zh-CN"/>
              </w:rPr>
              <w:t>分</w:t>
            </w:r>
            <w:r>
              <w:rPr>
                <w:rFonts w:hint="eastAsia"/>
                <w:color w:val="auto"/>
                <w:sz w:val="22"/>
                <w:szCs w:val="22"/>
                <w:highlight w:val="none"/>
                <w:lang w:val="en-US" w:eastAsia="zh-CN"/>
              </w:rPr>
              <w:t>90</w:t>
            </w:r>
            <w:r>
              <w:rPr>
                <w:rFonts w:hint="eastAsia"/>
                <w:color w:val="auto"/>
                <w:sz w:val="22"/>
                <w:szCs w:val="22"/>
                <w:highlight w:val="none"/>
              </w:rPr>
              <w:t xml:space="preserve">  分（商务技术权值</w:t>
            </w:r>
            <w:r>
              <w:rPr>
                <w:rFonts w:hint="eastAsia"/>
                <w:color w:val="auto"/>
                <w:sz w:val="22"/>
                <w:szCs w:val="22"/>
                <w:highlight w:val="none"/>
                <w:lang w:val="en-US" w:eastAsia="zh-CN"/>
              </w:rPr>
              <w:t xml:space="preserve">90 </w:t>
            </w:r>
            <w:r>
              <w:rPr>
                <w:rFonts w:hint="eastAsia"/>
                <w:color w:val="auto"/>
                <w:sz w:val="22"/>
                <w:szCs w:val="22"/>
                <w:highlight w:val="none"/>
              </w:rPr>
              <w:t>%），</w:t>
            </w:r>
            <w:r>
              <w:rPr>
                <w:rFonts w:hint="eastAsia"/>
                <w:color w:val="auto"/>
                <w:sz w:val="22"/>
                <w:szCs w:val="22"/>
                <w:highlight w:val="none"/>
                <w:lang w:eastAsia="zh-CN"/>
              </w:rPr>
              <w:t>投标</w:t>
            </w:r>
            <w:r>
              <w:rPr>
                <w:rFonts w:hint="eastAsia"/>
                <w:color w:val="auto"/>
                <w:sz w:val="22"/>
                <w:szCs w:val="22"/>
                <w:highlight w:val="none"/>
              </w:rPr>
              <w:t>报价</w:t>
            </w:r>
            <w:r>
              <w:rPr>
                <w:rFonts w:hint="eastAsia"/>
                <w:color w:val="auto"/>
                <w:sz w:val="22"/>
                <w:szCs w:val="22"/>
                <w:highlight w:val="none"/>
                <w:lang w:eastAsia="zh-CN"/>
              </w:rPr>
              <w:t>分</w:t>
            </w:r>
            <w:r>
              <w:rPr>
                <w:rFonts w:hint="eastAsia"/>
                <w:color w:val="auto"/>
                <w:sz w:val="22"/>
                <w:szCs w:val="22"/>
                <w:highlight w:val="none"/>
              </w:rPr>
              <w:t xml:space="preserve"> </w:t>
            </w:r>
            <w:r>
              <w:rPr>
                <w:rFonts w:hint="eastAsia"/>
                <w:color w:val="auto"/>
                <w:sz w:val="22"/>
                <w:szCs w:val="22"/>
                <w:highlight w:val="none"/>
                <w:lang w:val="en-US" w:eastAsia="zh-CN"/>
              </w:rPr>
              <w:t>10</w:t>
            </w:r>
            <w:r>
              <w:rPr>
                <w:rFonts w:hint="eastAsia"/>
                <w:color w:val="auto"/>
                <w:sz w:val="22"/>
                <w:szCs w:val="22"/>
                <w:highlight w:val="none"/>
              </w:rPr>
              <w:t xml:space="preserve">分（价格权值 </w:t>
            </w:r>
            <w:r>
              <w:rPr>
                <w:rFonts w:hint="eastAsia"/>
                <w:color w:val="auto"/>
                <w:sz w:val="22"/>
                <w:szCs w:val="22"/>
                <w:highlight w:val="none"/>
                <w:lang w:val="en-US" w:eastAsia="zh-CN"/>
              </w:rPr>
              <w:t>10</w:t>
            </w:r>
            <w:r>
              <w:rPr>
                <w:rFonts w:hint="eastAsia"/>
                <w:color w:val="auto"/>
                <w:sz w:val="22"/>
                <w:szCs w:val="22"/>
                <w:highlight w:val="none"/>
              </w:rPr>
              <w:t xml:space="preserve"> %）。</w:t>
            </w:r>
          </w:p>
          <w:p>
            <w:pPr>
              <w:snapToGrid w:val="0"/>
              <w:spacing w:line="360" w:lineRule="auto"/>
              <w:ind w:firstLine="440" w:firstLineChars="200"/>
              <w:jc w:val="left"/>
              <w:rPr>
                <w:rFonts w:hint="eastAsia"/>
                <w:color w:val="auto"/>
                <w:sz w:val="22"/>
                <w:szCs w:val="22"/>
                <w:highlight w:val="none"/>
              </w:rPr>
            </w:pPr>
            <w:r>
              <w:rPr>
                <w:rFonts w:hint="eastAsia"/>
                <w:color w:val="auto"/>
                <w:sz w:val="22"/>
                <w:szCs w:val="22"/>
                <w:highlight w:val="none"/>
              </w:rPr>
              <w:t>各投标人的商务技术得分为：评标委员会各成员评分的算术平均值。各投标人的投标价格得分按投标价格评分公式计算，评标委员会审核。根据上述评标原则，分值安排如下：</w:t>
            </w:r>
          </w:p>
          <w:p>
            <w:pPr>
              <w:pStyle w:val="2"/>
              <w:rPr>
                <w:rFonts w:hint="default"/>
                <w:color w:val="auto"/>
                <w:sz w:val="22"/>
                <w:szCs w:val="22"/>
                <w:highlight w:val="none"/>
                <w:lang w:val="en-US" w:eastAsia="zh-CN"/>
              </w:rPr>
            </w:pPr>
            <w:r>
              <w:rPr>
                <w:rFonts w:hint="eastAsia"/>
                <w:color w:val="auto"/>
                <w:sz w:val="22"/>
                <w:szCs w:val="22"/>
                <w:highlight w:val="none"/>
                <w:lang w:val="en-US" w:eastAsia="zh-CN"/>
              </w:rPr>
              <w:t>标段一:</w:t>
            </w:r>
          </w:p>
          <w:p>
            <w:pPr>
              <w:pStyle w:val="2"/>
              <w:rPr>
                <w:rFonts w:hint="default"/>
                <w:color w:val="auto"/>
                <w:sz w:val="22"/>
                <w:szCs w:val="22"/>
                <w:highlight w:val="none"/>
                <w:lang w:val="en-US" w:eastAsia="zh-CN"/>
              </w:rPr>
            </w:pPr>
            <w:r>
              <w:rPr>
                <w:rFonts w:hint="eastAsia"/>
                <w:color w:val="auto"/>
                <w:sz w:val="22"/>
                <w:szCs w:val="22"/>
                <w:highlight w:val="none"/>
                <w:lang w:val="en-US" w:eastAsia="zh-CN"/>
              </w:rPr>
              <w:t>（1）商务技术部分（90分）</w:t>
            </w:r>
          </w:p>
          <w:tbl>
            <w:tblPr>
              <w:tblStyle w:val="62"/>
              <w:tblW w:w="9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777"/>
              <w:gridCol w:w="5873"/>
              <w:gridCol w:w="75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76"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序号</w:t>
                  </w:r>
                </w:p>
              </w:tc>
              <w:tc>
                <w:tcPr>
                  <w:tcW w:w="1777"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评审内容</w:t>
                  </w:r>
                </w:p>
              </w:tc>
              <w:tc>
                <w:tcPr>
                  <w:tcW w:w="5873"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评分标准</w:t>
                  </w:r>
                </w:p>
              </w:tc>
              <w:tc>
                <w:tcPr>
                  <w:tcW w:w="750" w:type="dxa"/>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分值</w:t>
                  </w:r>
                </w:p>
              </w:tc>
              <w:tc>
                <w:tcPr>
                  <w:tcW w:w="715" w:type="dxa"/>
                  <w:noWrap w:val="0"/>
                  <w:vAlign w:val="center"/>
                </w:tcPr>
                <w:p>
                  <w:pPr>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restart"/>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1</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b w:val="0"/>
                      <w:bCs w:val="0"/>
                      <w:color w:val="auto"/>
                      <w:kern w:val="2"/>
                      <w:sz w:val="22"/>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b w:val="0"/>
                      <w:bCs w:val="0"/>
                      <w:color w:val="auto"/>
                      <w:kern w:val="2"/>
                      <w:sz w:val="22"/>
                      <w:szCs w:val="22"/>
                      <w:highlight w:val="none"/>
                      <w:lang w:val="en-US" w:eastAsia="zh-CN" w:bidi="ar-SA"/>
                    </w:rPr>
                  </w:pPr>
                </w:p>
              </w:tc>
              <w:tc>
                <w:tcPr>
                  <w:tcW w:w="1777" w:type="dxa"/>
                  <w:vMerge w:val="restart"/>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项目技术服务方案（</w:t>
                  </w:r>
                  <w:r>
                    <w:rPr>
                      <w:rFonts w:hint="eastAsia" w:ascii="宋体" w:hAnsi="宋体" w:cs="宋体"/>
                      <w:b w:val="0"/>
                      <w:bCs w:val="0"/>
                      <w:color w:val="auto"/>
                      <w:kern w:val="0"/>
                      <w:sz w:val="22"/>
                      <w:szCs w:val="22"/>
                      <w:highlight w:val="none"/>
                      <w:lang w:val="en-US" w:eastAsia="zh-CN"/>
                    </w:rPr>
                    <w:t>53</w:t>
                  </w:r>
                  <w:r>
                    <w:rPr>
                      <w:rFonts w:hint="eastAsia" w:ascii="宋体" w:hAnsi="宋体" w:eastAsia="宋体" w:cs="宋体"/>
                      <w:b w:val="0"/>
                      <w:bCs w:val="0"/>
                      <w:color w:val="auto"/>
                      <w:kern w:val="0"/>
                      <w:sz w:val="22"/>
                      <w:szCs w:val="22"/>
                      <w:highlight w:val="none"/>
                    </w:rPr>
                    <w:t>分）</w:t>
                  </w:r>
                </w:p>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lang w:val="en-US" w:eastAsia="zh-CN" w:bidi="ar-SA"/>
                    </w:rPr>
                  </w:pPr>
                </w:p>
              </w:tc>
              <w:tc>
                <w:tcPr>
                  <w:tcW w:w="5873" w:type="dxa"/>
                  <w:noWrap w:val="0"/>
                  <w:tcMar>
                    <w:top w:w="57" w:type="dxa"/>
                    <w:bottom w:w="57" w:type="dxa"/>
                  </w:tcMar>
                  <w:vAlign w:val="center"/>
                </w:tcPr>
                <w:p>
                  <w:pPr>
                    <w:spacing w:line="30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1、阐述对本项目的地下管线现状以及对地下管线普查工作难易程度的了解情况</w:t>
                  </w:r>
                </w:p>
                <w:p>
                  <w:pPr>
                    <w:spacing w:line="300" w:lineRule="exact"/>
                    <w:jc w:val="lef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供应商对本项目地下管线现状及普查工作难易度情况了解全面、准确、深入、到位的得3.1-4分；地下管线现状及普查工作难易度情况了解基本到位，在全面、准确、深入方面稍有不足的得1.1-3分；了解明显欠缺不到位的得0.1-1分；未提供不得分。</w:t>
                  </w:r>
                </w:p>
              </w:tc>
              <w:tc>
                <w:tcPr>
                  <w:tcW w:w="750" w:type="dxa"/>
                  <w:noWrap w:val="0"/>
                  <w:vAlign w:val="center"/>
                </w:tcPr>
                <w:p>
                  <w:pPr>
                    <w:spacing w:line="300" w:lineRule="exact"/>
                    <w:jc w:val="center"/>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4分</w:t>
                  </w:r>
                </w:p>
              </w:tc>
              <w:tc>
                <w:tcPr>
                  <w:tcW w:w="715" w:type="dxa"/>
                  <w:noWrap w:val="0"/>
                  <w:vAlign w:val="center"/>
                </w:tcPr>
                <w:p>
                  <w:pPr>
                    <w:keepNext w:val="0"/>
                    <w:keepLines w:val="0"/>
                    <w:pageBreakBefore w:val="0"/>
                    <w:kinsoku/>
                    <w:wordWrap/>
                    <w:overflowPunct/>
                    <w:topLinePunct w:val="0"/>
                    <w:autoSpaceDE/>
                    <w:autoSpaceDN/>
                    <w:bidi w:val="0"/>
                    <w:adjustRightInd w:val="0"/>
                    <w:snapToGrid/>
                    <w:spacing w:line="300" w:lineRule="exact"/>
                    <w:ind w:left="-63" w:leftChars="-30" w:right="-63" w:rightChars="-30"/>
                    <w:jc w:val="center"/>
                    <w:textAlignment w:val="auto"/>
                    <w:rPr>
                      <w:rFonts w:hint="eastAsia" w:ascii="新宋体" w:hAnsi="新宋体" w:eastAsia="新宋体" w:cs="新宋体"/>
                      <w:color w:val="auto"/>
                      <w:sz w:val="20"/>
                      <w:szCs w:val="20"/>
                      <w:highlight w:val="none"/>
                      <w:lang w:eastAsia="zh-CN"/>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0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2、对本项目工作的重点、难点进行梳理、调查剖析，并针对性提出克服重难点的解决措施</w:t>
                  </w:r>
                </w:p>
                <w:p>
                  <w:pPr>
                    <w:spacing w:line="300" w:lineRule="exact"/>
                    <w:jc w:val="lef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对重难点问题的梳理剖析</w:t>
                  </w:r>
                  <w:r>
                    <w:rPr>
                      <w:rFonts w:hint="eastAsia" w:ascii="新宋体" w:hAnsi="新宋体" w:eastAsia="新宋体" w:cs="新宋体"/>
                      <w:color w:val="auto"/>
                      <w:kern w:val="0"/>
                      <w:sz w:val="22"/>
                      <w:szCs w:val="22"/>
                      <w:highlight w:val="none"/>
                    </w:rPr>
                    <w:t>全面合理、准确到位，针对性强，提出解决措施</w:t>
                  </w:r>
                  <w:r>
                    <w:rPr>
                      <w:rFonts w:hint="eastAsia" w:ascii="新宋体" w:hAnsi="新宋体" w:eastAsia="新宋体" w:cs="新宋体"/>
                      <w:color w:val="auto"/>
                      <w:sz w:val="22"/>
                      <w:szCs w:val="22"/>
                      <w:highlight w:val="none"/>
                    </w:rPr>
                    <w:t>系统、科学、</w:t>
                  </w:r>
                  <w:r>
                    <w:rPr>
                      <w:rFonts w:hint="eastAsia" w:ascii="新宋体" w:hAnsi="新宋体" w:eastAsia="新宋体" w:cs="新宋体"/>
                      <w:color w:val="auto"/>
                      <w:kern w:val="0"/>
                      <w:sz w:val="22"/>
                      <w:szCs w:val="22"/>
                      <w:highlight w:val="none"/>
                    </w:rPr>
                    <w:t>合理，可行性强的得4.1-5分；</w:t>
                  </w:r>
                  <w:r>
                    <w:rPr>
                      <w:rFonts w:hint="eastAsia" w:ascii="新宋体" w:hAnsi="新宋体" w:eastAsia="新宋体" w:cs="新宋体"/>
                      <w:color w:val="auto"/>
                      <w:sz w:val="22"/>
                      <w:szCs w:val="22"/>
                      <w:highlight w:val="none"/>
                    </w:rPr>
                    <w:t>梳理剖析</w:t>
                  </w:r>
                  <w:r>
                    <w:rPr>
                      <w:rFonts w:hint="eastAsia" w:ascii="新宋体" w:hAnsi="新宋体" w:eastAsia="新宋体" w:cs="新宋体"/>
                      <w:color w:val="auto"/>
                      <w:kern w:val="0"/>
                      <w:sz w:val="22"/>
                      <w:szCs w:val="22"/>
                      <w:highlight w:val="none"/>
                    </w:rPr>
                    <w:t>基本正确，解决措施的合理性可行性稍有欠缺的得2.1-4分；</w:t>
                  </w:r>
                  <w:r>
                    <w:rPr>
                      <w:rFonts w:hint="eastAsia" w:ascii="新宋体" w:hAnsi="新宋体" w:eastAsia="新宋体" w:cs="新宋体"/>
                      <w:color w:val="auto"/>
                      <w:sz w:val="22"/>
                      <w:szCs w:val="22"/>
                      <w:highlight w:val="none"/>
                    </w:rPr>
                    <w:t>梳理剖析简单，</w:t>
                  </w:r>
                  <w:r>
                    <w:rPr>
                      <w:rFonts w:hint="eastAsia" w:ascii="新宋体" w:hAnsi="新宋体" w:eastAsia="新宋体" w:cs="新宋体"/>
                      <w:color w:val="auto"/>
                      <w:kern w:val="0"/>
                      <w:sz w:val="22"/>
                      <w:szCs w:val="22"/>
                      <w:highlight w:val="none"/>
                    </w:rPr>
                    <w:t>解决措施的合理性可行性比较欠缺</w:t>
                  </w:r>
                  <w:r>
                    <w:rPr>
                      <w:rStyle w:val="197"/>
                      <w:rFonts w:hint="eastAsia" w:ascii="新宋体" w:hAnsi="新宋体" w:eastAsia="新宋体" w:cs="新宋体"/>
                      <w:color w:val="auto"/>
                      <w:sz w:val="22"/>
                      <w:szCs w:val="22"/>
                      <w:highlight w:val="none"/>
                    </w:rPr>
                    <w:t>的</w:t>
                  </w:r>
                  <w:r>
                    <w:rPr>
                      <w:rFonts w:hint="eastAsia" w:ascii="新宋体" w:hAnsi="新宋体" w:eastAsia="新宋体" w:cs="新宋体"/>
                      <w:color w:val="auto"/>
                      <w:kern w:val="0"/>
                      <w:sz w:val="22"/>
                      <w:szCs w:val="22"/>
                      <w:highlight w:val="none"/>
                    </w:rPr>
                    <w:t>得0.1-2分；未提供不得分。</w:t>
                  </w:r>
                </w:p>
              </w:tc>
              <w:tc>
                <w:tcPr>
                  <w:tcW w:w="750" w:type="dxa"/>
                  <w:noWrap w:val="0"/>
                  <w:vAlign w:val="center"/>
                </w:tcPr>
                <w:p>
                  <w:pPr>
                    <w:spacing w:line="300" w:lineRule="exact"/>
                    <w:jc w:val="center"/>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5分</w:t>
                  </w:r>
                </w:p>
              </w:tc>
              <w:tc>
                <w:tcPr>
                  <w:tcW w:w="715" w:type="dxa"/>
                  <w:noWrap w:val="0"/>
                  <w:vAlign w:val="center"/>
                </w:tcPr>
                <w:p>
                  <w:pPr>
                    <w:keepNext w:val="0"/>
                    <w:keepLines w:val="0"/>
                    <w:pageBreakBefore w:val="0"/>
                    <w:kinsoku/>
                    <w:wordWrap/>
                    <w:overflowPunct/>
                    <w:topLinePunct w:val="0"/>
                    <w:autoSpaceDE/>
                    <w:autoSpaceDN/>
                    <w:bidi w:val="0"/>
                    <w:adjustRightInd w:val="0"/>
                    <w:snapToGrid/>
                    <w:spacing w:line="300" w:lineRule="exact"/>
                    <w:ind w:left="-63" w:leftChars="-30" w:right="-63" w:rightChars="-30"/>
                    <w:jc w:val="center"/>
                    <w:textAlignment w:val="auto"/>
                    <w:rPr>
                      <w:rFonts w:hint="eastAsia" w:ascii="新宋体" w:hAnsi="新宋体" w:eastAsia="新宋体" w:cs="新宋体"/>
                      <w:color w:val="auto"/>
                      <w:sz w:val="20"/>
                      <w:szCs w:val="20"/>
                      <w:highlight w:val="none"/>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0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3、已有数据收集、整理方案</w:t>
                  </w:r>
                </w:p>
                <w:p>
                  <w:pPr>
                    <w:spacing w:line="300" w:lineRule="exact"/>
                    <w:jc w:val="lef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方案内容具体、完整、条理清晰、科学合理，针对性强，满足采购人要求，有利于项目实施的得3.1-4分；方案基本完整、可行，</w:t>
                  </w:r>
                  <w:r>
                    <w:rPr>
                      <w:rFonts w:hint="eastAsia" w:ascii="新宋体" w:hAnsi="新宋体" w:eastAsia="新宋体" w:cs="新宋体"/>
                      <w:color w:val="auto"/>
                      <w:kern w:val="0"/>
                      <w:sz w:val="22"/>
                      <w:szCs w:val="22"/>
                      <w:highlight w:val="none"/>
                    </w:rPr>
                    <w:t>内容稍有欠缺</w:t>
                  </w:r>
                  <w:r>
                    <w:rPr>
                      <w:rFonts w:hint="eastAsia" w:ascii="新宋体" w:hAnsi="新宋体" w:eastAsia="新宋体" w:cs="新宋体"/>
                      <w:color w:val="auto"/>
                      <w:sz w:val="22"/>
                      <w:szCs w:val="22"/>
                      <w:highlight w:val="none"/>
                    </w:rPr>
                    <w:t>的得1.1-3分；方案简单</w:t>
                  </w:r>
                  <w:r>
                    <w:rPr>
                      <w:rStyle w:val="968"/>
                      <w:rFonts w:hint="eastAsia" w:ascii="新宋体" w:hAnsi="新宋体" w:eastAsia="新宋体" w:cs="新宋体"/>
                      <w:color w:val="auto"/>
                      <w:sz w:val="22"/>
                      <w:szCs w:val="22"/>
                      <w:highlight w:val="none"/>
                    </w:rPr>
                    <w:t>，可行性较差，内容明显欠缺不足</w:t>
                  </w:r>
                  <w:r>
                    <w:rPr>
                      <w:rFonts w:hint="eastAsia" w:ascii="新宋体" w:hAnsi="新宋体" w:eastAsia="新宋体" w:cs="新宋体"/>
                      <w:color w:val="auto"/>
                      <w:sz w:val="22"/>
                      <w:szCs w:val="22"/>
                      <w:highlight w:val="none"/>
                    </w:rPr>
                    <w:t>的得0.1-1分，</w:t>
                  </w:r>
                  <w:r>
                    <w:rPr>
                      <w:rStyle w:val="968"/>
                      <w:rFonts w:hint="eastAsia" w:ascii="新宋体" w:hAnsi="新宋体" w:eastAsia="新宋体" w:cs="新宋体"/>
                      <w:color w:val="auto"/>
                      <w:sz w:val="22"/>
                      <w:szCs w:val="22"/>
                      <w:highlight w:val="none"/>
                    </w:rPr>
                    <w:t>未提供不得分</w:t>
                  </w:r>
                  <w:r>
                    <w:rPr>
                      <w:rFonts w:hint="eastAsia" w:ascii="新宋体" w:hAnsi="新宋体" w:eastAsia="新宋体" w:cs="新宋体"/>
                      <w:color w:val="auto"/>
                      <w:sz w:val="22"/>
                      <w:szCs w:val="22"/>
                      <w:highlight w:val="none"/>
                    </w:rPr>
                    <w:t>。</w:t>
                  </w:r>
                </w:p>
              </w:tc>
              <w:tc>
                <w:tcPr>
                  <w:tcW w:w="750" w:type="dxa"/>
                  <w:noWrap w:val="0"/>
                  <w:vAlign w:val="center"/>
                </w:tcPr>
                <w:p>
                  <w:pPr>
                    <w:spacing w:line="300" w:lineRule="exact"/>
                    <w:jc w:val="center"/>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4分</w:t>
                  </w:r>
                </w:p>
              </w:tc>
              <w:tc>
                <w:tcPr>
                  <w:tcW w:w="715" w:type="dxa"/>
                  <w:noWrap w:val="0"/>
                  <w:vAlign w:val="center"/>
                </w:tcPr>
                <w:p>
                  <w:pPr>
                    <w:keepNext w:val="0"/>
                    <w:keepLines w:val="0"/>
                    <w:pageBreakBefore w:val="0"/>
                    <w:kinsoku/>
                    <w:wordWrap/>
                    <w:overflowPunct/>
                    <w:topLinePunct w:val="0"/>
                    <w:autoSpaceDE/>
                    <w:autoSpaceDN/>
                    <w:bidi w:val="0"/>
                    <w:adjustRightInd w:val="0"/>
                    <w:snapToGrid/>
                    <w:spacing w:line="300" w:lineRule="exact"/>
                    <w:ind w:left="-63" w:leftChars="-30" w:right="-63" w:rightChars="-30"/>
                    <w:jc w:val="center"/>
                    <w:textAlignment w:val="auto"/>
                    <w:rPr>
                      <w:rFonts w:hint="eastAsia" w:ascii="新宋体" w:hAnsi="新宋体" w:eastAsia="新宋体" w:cs="新宋体"/>
                      <w:color w:val="auto"/>
                      <w:sz w:val="20"/>
                      <w:szCs w:val="20"/>
                      <w:highlight w:val="none"/>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0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4、利用已有数据库核查地下管线补测及调查方案</w:t>
                  </w:r>
                </w:p>
                <w:p>
                  <w:pPr>
                    <w:spacing w:line="300" w:lineRule="exact"/>
                    <w:jc w:val="lef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方案内容具体、完整详细、先进、科学合理，针对性强，满足采购人要求，有利于项目实施的得4.1-5分；方案基本完整、可行，</w:t>
                  </w:r>
                  <w:r>
                    <w:rPr>
                      <w:rFonts w:hint="eastAsia" w:ascii="新宋体" w:hAnsi="新宋体" w:eastAsia="新宋体" w:cs="新宋体"/>
                      <w:color w:val="auto"/>
                      <w:kern w:val="0"/>
                      <w:sz w:val="22"/>
                      <w:szCs w:val="22"/>
                      <w:highlight w:val="none"/>
                    </w:rPr>
                    <w:t>内容稍有欠缺</w:t>
                  </w:r>
                  <w:r>
                    <w:rPr>
                      <w:rFonts w:hint="eastAsia" w:ascii="新宋体" w:hAnsi="新宋体" w:eastAsia="新宋体" w:cs="新宋体"/>
                      <w:color w:val="auto"/>
                      <w:sz w:val="22"/>
                      <w:szCs w:val="22"/>
                      <w:highlight w:val="none"/>
                    </w:rPr>
                    <w:t>的得2.1-4分；方案简单</w:t>
                  </w:r>
                  <w:r>
                    <w:rPr>
                      <w:rStyle w:val="968"/>
                      <w:rFonts w:hint="eastAsia" w:ascii="新宋体" w:hAnsi="新宋体" w:eastAsia="新宋体" w:cs="新宋体"/>
                      <w:color w:val="auto"/>
                      <w:sz w:val="22"/>
                      <w:szCs w:val="22"/>
                      <w:highlight w:val="none"/>
                    </w:rPr>
                    <w:t>，可行性较差，内容明显欠缺不足</w:t>
                  </w:r>
                  <w:r>
                    <w:rPr>
                      <w:rFonts w:hint="eastAsia" w:ascii="新宋体" w:hAnsi="新宋体" w:eastAsia="新宋体" w:cs="新宋体"/>
                      <w:color w:val="auto"/>
                      <w:sz w:val="22"/>
                      <w:szCs w:val="22"/>
                      <w:highlight w:val="none"/>
                    </w:rPr>
                    <w:t>的得0.1-2分，</w:t>
                  </w:r>
                  <w:r>
                    <w:rPr>
                      <w:rStyle w:val="968"/>
                      <w:rFonts w:hint="eastAsia" w:ascii="新宋体" w:hAnsi="新宋体" w:eastAsia="新宋体" w:cs="新宋体"/>
                      <w:color w:val="auto"/>
                      <w:sz w:val="22"/>
                      <w:szCs w:val="22"/>
                      <w:highlight w:val="none"/>
                    </w:rPr>
                    <w:t>未提供不得分</w:t>
                  </w:r>
                  <w:r>
                    <w:rPr>
                      <w:rFonts w:hint="eastAsia" w:ascii="新宋体" w:hAnsi="新宋体" w:eastAsia="新宋体" w:cs="新宋体"/>
                      <w:color w:val="auto"/>
                      <w:sz w:val="22"/>
                      <w:szCs w:val="22"/>
                      <w:highlight w:val="none"/>
                    </w:rPr>
                    <w:t>。</w:t>
                  </w:r>
                </w:p>
              </w:tc>
              <w:tc>
                <w:tcPr>
                  <w:tcW w:w="750" w:type="dxa"/>
                  <w:noWrap w:val="0"/>
                  <w:vAlign w:val="center"/>
                </w:tcPr>
                <w:p>
                  <w:pPr>
                    <w:spacing w:line="300" w:lineRule="exact"/>
                    <w:jc w:val="center"/>
                    <w:rPr>
                      <w:rFonts w:hint="eastAsia" w:ascii="宋体" w:hAnsi="宋体" w:eastAsia="宋体" w:cs="宋体"/>
                      <w:b w:val="0"/>
                      <w:bCs w:val="0"/>
                      <w:color w:val="auto"/>
                      <w:kern w:val="0"/>
                      <w:sz w:val="22"/>
                      <w:szCs w:val="22"/>
                      <w:highlight w:val="none"/>
                      <w:lang w:val="en-US" w:eastAsia="zh-CN"/>
                    </w:rPr>
                  </w:pPr>
                  <w:r>
                    <w:rPr>
                      <w:rFonts w:hint="eastAsia" w:ascii="新宋体" w:hAnsi="新宋体" w:eastAsia="新宋体" w:cs="新宋体"/>
                      <w:color w:val="auto"/>
                      <w:sz w:val="22"/>
                      <w:szCs w:val="22"/>
                      <w:highlight w:val="none"/>
                    </w:rPr>
                    <w:t>5分</w:t>
                  </w:r>
                </w:p>
              </w:tc>
              <w:tc>
                <w:tcPr>
                  <w:tcW w:w="715" w:type="dxa"/>
                  <w:noWrap w:val="0"/>
                  <w:vAlign w:val="center"/>
                </w:tcPr>
                <w:p>
                  <w:pPr>
                    <w:keepNext w:val="0"/>
                    <w:keepLines w:val="0"/>
                    <w:pageBreakBefore w:val="0"/>
                    <w:kinsoku/>
                    <w:wordWrap/>
                    <w:overflowPunct/>
                    <w:topLinePunct w:val="0"/>
                    <w:autoSpaceDE/>
                    <w:autoSpaceDN/>
                    <w:bidi w:val="0"/>
                    <w:adjustRightInd w:val="0"/>
                    <w:snapToGrid/>
                    <w:spacing w:line="300" w:lineRule="exact"/>
                    <w:ind w:left="-63" w:leftChars="-30" w:right="-63" w:rightChars="-30"/>
                    <w:jc w:val="center"/>
                    <w:textAlignment w:val="auto"/>
                    <w:rPr>
                      <w:rFonts w:hint="eastAsia" w:ascii="新宋体" w:hAnsi="新宋体" w:eastAsia="新宋体" w:cs="新宋体"/>
                      <w:color w:val="auto"/>
                      <w:sz w:val="20"/>
                      <w:szCs w:val="20"/>
                      <w:highlight w:val="none"/>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0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5、全新普查地下管线探测及调查方案</w:t>
                  </w:r>
                </w:p>
                <w:p>
                  <w:pPr>
                    <w:spacing w:line="300" w:lineRule="exact"/>
                    <w:jc w:val="lef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方案内容具体、完整详细、先进、科学合理，针对性强，满足采购人要求，有利于项目实施的得4.1-5分；方案基本完整、可行，</w:t>
                  </w:r>
                  <w:r>
                    <w:rPr>
                      <w:rFonts w:hint="eastAsia" w:ascii="新宋体" w:hAnsi="新宋体" w:eastAsia="新宋体" w:cs="新宋体"/>
                      <w:color w:val="auto"/>
                      <w:kern w:val="0"/>
                      <w:sz w:val="22"/>
                      <w:szCs w:val="22"/>
                      <w:highlight w:val="none"/>
                    </w:rPr>
                    <w:t>内容稍有欠缺</w:t>
                  </w:r>
                  <w:r>
                    <w:rPr>
                      <w:rFonts w:hint="eastAsia" w:ascii="新宋体" w:hAnsi="新宋体" w:eastAsia="新宋体" w:cs="新宋体"/>
                      <w:color w:val="auto"/>
                      <w:sz w:val="22"/>
                      <w:szCs w:val="22"/>
                      <w:highlight w:val="none"/>
                    </w:rPr>
                    <w:t>的得2.1-4分；方案简单</w:t>
                  </w:r>
                  <w:r>
                    <w:rPr>
                      <w:rStyle w:val="968"/>
                      <w:rFonts w:hint="eastAsia" w:ascii="新宋体" w:hAnsi="新宋体" w:eastAsia="新宋体" w:cs="新宋体"/>
                      <w:color w:val="auto"/>
                      <w:sz w:val="22"/>
                      <w:szCs w:val="22"/>
                      <w:highlight w:val="none"/>
                    </w:rPr>
                    <w:t>，可行性较差，内容明显欠缺不足</w:t>
                  </w:r>
                  <w:r>
                    <w:rPr>
                      <w:rFonts w:hint="eastAsia" w:ascii="新宋体" w:hAnsi="新宋体" w:eastAsia="新宋体" w:cs="新宋体"/>
                      <w:color w:val="auto"/>
                      <w:sz w:val="22"/>
                      <w:szCs w:val="22"/>
                      <w:highlight w:val="none"/>
                    </w:rPr>
                    <w:t>的得0.1-2分，</w:t>
                  </w:r>
                  <w:r>
                    <w:rPr>
                      <w:rStyle w:val="968"/>
                      <w:rFonts w:hint="eastAsia" w:ascii="新宋体" w:hAnsi="新宋体" w:eastAsia="新宋体" w:cs="新宋体"/>
                      <w:color w:val="auto"/>
                      <w:sz w:val="22"/>
                      <w:szCs w:val="22"/>
                      <w:highlight w:val="none"/>
                    </w:rPr>
                    <w:t>未提供不得分</w:t>
                  </w:r>
                  <w:r>
                    <w:rPr>
                      <w:rFonts w:hint="eastAsia" w:ascii="新宋体" w:hAnsi="新宋体" w:eastAsia="新宋体" w:cs="新宋体"/>
                      <w:color w:val="auto"/>
                      <w:sz w:val="22"/>
                      <w:szCs w:val="22"/>
                      <w:highlight w:val="none"/>
                    </w:rPr>
                    <w:t>。</w:t>
                  </w:r>
                </w:p>
              </w:tc>
              <w:tc>
                <w:tcPr>
                  <w:tcW w:w="750" w:type="dxa"/>
                  <w:noWrap w:val="0"/>
                  <w:vAlign w:val="center"/>
                </w:tcPr>
                <w:p>
                  <w:pPr>
                    <w:spacing w:line="300" w:lineRule="exact"/>
                    <w:jc w:val="center"/>
                    <w:rPr>
                      <w:rFonts w:hint="eastAsia" w:ascii="宋体" w:hAnsi="宋体" w:eastAsia="宋体" w:cs="宋体"/>
                      <w:b w:val="0"/>
                      <w:bCs w:val="0"/>
                      <w:color w:val="auto"/>
                      <w:kern w:val="0"/>
                      <w:sz w:val="22"/>
                      <w:szCs w:val="22"/>
                      <w:highlight w:val="none"/>
                      <w:lang w:val="en-US" w:eastAsia="zh-CN"/>
                    </w:rPr>
                  </w:pPr>
                  <w:r>
                    <w:rPr>
                      <w:rFonts w:hint="eastAsia" w:ascii="新宋体" w:hAnsi="新宋体" w:eastAsia="新宋体" w:cs="新宋体"/>
                      <w:color w:val="auto"/>
                      <w:sz w:val="22"/>
                      <w:szCs w:val="22"/>
                      <w:highlight w:val="none"/>
                    </w:rPr>
                    <w:t>5分</w:t>
                  </w:r>
                </w:p>
              </w:tc>
              <w:tc>
                <w:tcPr>
                  <w:tcW w:w="715" w:type="dxa"/>
                  <w:noWrap w:val="0"/>
                  <w:vAlign w:val="center"/>
                </w:tcPr>
                <w:p>
                  <w:pPr>
                    <w:keepNext w:val="0"/>
                    <w:keepLines w:val="0"/>
                    <w:pageBreakBefore w:val="0"/>
                    <w:kinsoku/>
                    <w:wordWrap/>
                    <w:overflowPunct/>
                    <w:topLinePunct w:val="0"/>
                    <w:autoSpaceDE/>
                    <w:autoSpaceDN/>
                    <w:bidi w:val="0"/>
                    <w:adjustRightInd w:val="0"/>
                    <w:snapToGrid/>
                    <w:spacing w:line="300" w:lineRule="exact"/>
                    <w:ind w:left="-63" w:leftChars="-30" w:right="-63" w:rightChars="-30"/>
                    <w:jc w:val="center"/>
                    <w:textAlignment w:val="auto"/>
                    <w:rPr>
                      <w:rFonts w:hint="eastAsia" w:ascii="新宋体" w:hAnsi="新宋体" w:eastAsia="新宋体" w:cs="新宋体"/>
                      <w:color w:val="auto"/>
                      <w:sz w:val="20"/>
                      <w:szCs w:val="20"/>
                      <w:highlight w:val="none"/>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0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6、地下管线数据建库方案</w:t>
                  </w:r>
                </w:p>
                <w:p>
                  <w:pPr>
                    <w:spacing w:line="300" w:lineRule="exact"/>
                    <w:jc w:val="lef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方案内容完整、先进、规范、周密、可行，满足技术要求，有利于项目实施的得3.1-4分；方案基本完整、可行，</w:t>
                  </w:r>
                  <w:r>
                    <w:rPr>
                      <w:rFonts w:hint="eastAsia" w:ascii="新宋体" w:hAnsi="新宋体" w:eastAsia="新宋体" w:cs="新宋体"/>
                      <w:color w:val="auto"/>
                      <w:kern w:val="0"/>
                      <w:sz w:val="22"/>
                      <w:szCs w:val="22"/>
                      <w:highlight w:val="none"/>
                    </w:rPr>
                    <w:t>内容稍有欠缺</w:t>
                  </w:r>
                  <w:r>
                    <w:rPr>
                      <w:rFonts w:hint="eastAsia" w:ascii="新宋体" w:hAnsi="新宋体" w:eastAsia="新宋体" w:cs="新宋体"/>
                      <w:color w:val="auto"/>
                      <w:sz w:val="22"/>
                      <w:szCs w:val="22"/>
                      <w:highlight w:val="none"/>
                    </w:rPr>
                    <w:t>的得1.1-3分；方案简单</w:t>
                  </w:r>
                  <w:r>
                    <w:rPr>
                      <w:rStyle w:val="968"/>
                      <w:rFonts w:hint="eastAsia" w:ascii="新宋体" w:hAnsi="新宋体" w:eastAsia="新宋体" w:cs="新宋体"/>
                      <w:color w:val="auto"/>
                      <w:sz w:val="22"/>
                      <w:szCs w:val="22"/>
                      <w:highlight w:val="none"/>
                    </w:rPr>
                    <w:t>，可行性较差，内容明显欠缺不足的</w:t>
                  </w:r>
                  <w:r>
                    <w:rPr>
                      <w:rFonts w:hint="eastAsia" w:ascii="新宋体" w:hAnsi="新宋体" w:eastAsia="新宋体" w:cs="新宋体"/>
                      <w:color w:val="auto"/>
                      <w:sz w:val="22"/>
                      <w:szCs w:val="22"/>
                      <w:highlight w:val="none"/>
                    </w:rPr>
                    <w:t>得0.1-1分，</w:t>
                  </w:r>
                  <w:r>
                    <w:rPr>
                      <w:rStyle w:val="968"/>
                      <w:rFonts w:hint="eastAsia" w:ascii="新宋体" w:hAnsi="新宋体" w:eastAsia="新宋体" w:cs="新宋体"/>
                      <w:color w:val="auto"/>
                      <w:sz w:val="22"/>
                      <w:szCs w:val="22"/>
                      <w:highlight w:val="none"/>
                    </w:rPr>
                    <w:t>未提供不得分</w:t>
                  </w:r>
                  <w:r>
                    <w:rPr>
                      <w:rFonts w:hint="eastAsia" w:ascii="新宋体" w:hAnsi="新宋体" w:eastAsia="新宋体" w:cs="新宋体"/>
                      <w:color w:val="auto"/>
                      <w:sz w:val="22"/>
                      <w:szCs w:val="22"/>
                      <w:highlight w:val="none"/>
                    </w:rPr>
                    <w:t>。</w:t>
                  </w:r>
                </w:p>
              </w:tc>
              <w:tc>
                <w:tcPr>
                  <w:tcW w:w="750" w:type="dxa"/>
                  <w:noWrap w:val="0"/>
                  <w:vAlign w:val="center"/>
                </w:tcPr>
                <w:p>
                  <w:pPr>
                    <w:spacing w:line="300" w:lineRule="exact"/>
                    <w:jc w:val="center"/>
                    <w:rPr>
                      <w:rFonts w:hint="eastAsia" w:ascii="宋体" w:hAnsi="宋体" w:eastAsia="宋体" w:cs="宋体"/>
                      <w:b w:val="0"/>
                      <w:bCs w:val="0"/>
                      <w:color w:val="auto"/>
                      <w:kern w:val="0"/>
                      <w:sz w:val="22"/>
                      <w:szCs w:val="22"/>
                      <w:highlight w:val="none"/>
                      <w:lang w:val="en-US" w:eastAsia="zh-CN"/>
                    </w:rPr>
                  </w:pPr>
                  <w:r>
                    <w:rPr>
                      <w:rFonts w:hint="eastAsia" w:ascii="新宋体" w:hAnsi="新宋体" w:eastAsia="新宋体" w:cs="新宋体"/>
                      <w:color w:val="auto"/>
                      <w:sz w:val="22"/>
                      <w:szCs w:val="22"/>
                      <w:highlight w:val="none"/>
                    </w:rPr>
                    <w:t>4分</w:t>
                  </w:r>
                </w:p>
              </w:tc>
              <w:tc>
                <w:tcPr>
                  <w:tcW w:w="715" w:type="dxa"/>
                  <w:noWrap w:val="0"/>
                  <w:vAlign w:val="center"/>
                </w:tcPr>
                <w:p>
                  <w:pPr>
                    <w:keepNext w:val="0"/>
                    <w:keepLines w:val="0"/>
                    <w:pageBreakBefore w:val="0"/>
                    <w:kinsoku/>
                    <w:wordWrap/>
                    <w:overflowPunct/>
                    <w:topLinePunct w:val="0"/>
                    <w:autoSpaceDE/>
                    <w:autoSpaceDN/>
                    <w:bidi w:val="0"/>
                    <w:adjustRightInd w:val="0"/>
                    <w:snapToGrid/>
                    <w:spacing w:line="300" w:lineRule="exact"/>
                    <w:ind w:left="-63" w:leftChars="-30" w:right="-63" w:rightChars="-30"/>
                    <w:jc w:val="center"/>
                    <w:textAlignment w:val="auto"/>
                    <w:rPr>
                      <w:rFonts w:hint="eastAsia" w:ascii="新宋体" w:hAnsi="新宋体" w:eastAsia="新宋体" w:cs="新宋体"/>
                      <w:color w:val="auto"/>
                      <w:sz w:val="20"/>
                      <w:szCs w:val="20"/>
                      <w:highlight w:val="none"/>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2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7、工期进度安排</w:t>
                  </w:r>
                </w:p>
                <w:p>
                  <w:pPr>
                    <w:spacing w:line="320" w:lineRule="exac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整体工作阶段及任务划分、进度计划安排合理、可行，关键时间节点把握科学准确，符合业主采购进度要求的得3.1-4分；进度安排基本合理可行，关键时间节点把握较准的得1.1-</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分；进度安排简单，合理可行性较差的得0.1-1分，未提供不得分。</w:t>
                  </w:r>
                </w:p>
              </w:tc>
              <w:tc>
                <w:tcPr>
                  <w:tcW w:w="750" w:type="dxa"/>
                  <w:noWrap w:val="0"/>
                  <w:vAlign w:val="center"/>
                </w:tcPr>
                <w:p>
                  <w:pPr>
                    <w:spacing w:line="320" w:lineRule="exact"/>
                    <w:jc w:val="center"/>
                    <w:rPr>
                      <w:rFonts w:hint="eastAsia" w:ascii="宋体" w:hAnsi="宋体" w:eastAsia="宋体" w:cs="宋体"/>
                      <w:b w:val="0"/>
                      <w:bCs w:val="0"/>
                      <w:color w:val="auto"/>
                      <w:kern w:val="0"/>
                      <w:sz w:val="22"/>
                      <w:szCs w:val="22"/>
                      <w:highlight w:val="none"/>
                      <w:lang w:val="en-US" w:eastAsia="zh-CN"/>
                    </w:rPr>
                  </w:pP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分</w:t>
                  </w:r>
                </w:p>
              </w:tc>
              <w:tc>
                <w:tcPr>
                  <w:tcW w:w="715" w:type="dxa"/>
                  <w:noWrap w:val="0"/>
                  <w:vAlign w:val="center"/>
                </w:tcPr>
                <w:p>
                  <w:pPr>
                    <w:keepNext w:val="0"/>
                    <w:keepLines w:val="0"/>
                    <w:pageBreakBefore w:val="0"/>
                    <w:kinsoku/>
                    <w:wordWrap/>
                    <w:overflowPunct/>
                    <w:topLinePunct w:val="0"/>
                    <w:autoSpaceDE/>
                    <w:autoSpaceDN/>
                    <w:bidi w:val="0"/>
                    <w:adjustRightInd w:val="0"/>
                    <w:snapToGrid/>
                    <w:spacing w:line="320" w:lineRule="exact"/>
                    <w:ind w:left="-63" w:leftChars="-30" w:right="-63" w:rightChars="-30"/>
                    <w:jc w:val="center"/>
                    <w:textAlignment w:val="auto"/>
                    <w:rPr>
                      <w:rFonts w:hint="eastAsia" w:ascii="新宋体" w:hAnsi="新宋体" w:eastAsia="新宋体" w:cs="新宋体"/>
                      <w:color w:val="auto"/>
                      <w:sz w:val="20"/>
                      <w:szCs w:val="20"/>
                      <w:highlight w:val="none"/>
                      <w:lang w:val="en-US" w:eastAsia="zh-CN"/>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2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8、服务质量保障方案</w:t>
                  </w:r>
                </w:p>
                <w:p>
                  <w:pPr>
                    <w:widowControl/>
                    <w:spacing w:line="280" w:lineRule="exac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为本项目策划的质量保证方案内容完整、描述清晰，质量保障措施完备周全、科学合理、可行，能</w:t>
                  </w:r>
                  <w:r>
                    <w:rPr>
                      <w:rStyle w:val="968"/>
                      <w:rFonts w:hint="eastAsia" w:ascii="新宋体" w:hAnsi="新宋体" w:eastAsia="新宋体" w:cs="新宋体"/>
                      <w:color w:val="auto"/>
                      <w:sz w:val="22"/>
                      <w:szCs w:val="22"/>
                      <w:highlight w:val="none"/>
                    </w:rPr>
                    <w:t>充分保障项目质量及</w:t>
                  </w:r>
                  <w:r>
                    <w:rPr>
                      <w:rFonts w:hint="eastAsia" w:ascii="新宋体" w:hAnsi="新宋体" w:eastAsia="新宋体" w:cs="新宋体"/>
                      <w:color w:val="auto"/>
                      <w:sz w:val="22"/>
                      <w:szCs w:val="22"/>
                      <w:highlight w:val="none"/>
                    </w:rPr>
                    <w:t>有效满足采购需求的</w:t>
                  </w:r>
                  <w:r>
                    <w:rPr>
                      <w:rStyle w:val="968"/>
                      <w:rFonts w:hint="eastAsia" w:ascii="新宋体" w:hAnsi="新宋体" w:eastAsia="新宋体" w:cs="新宋体"/>
                      <w:color w:val="auto"/>
                      <w:sz w:val="22"/>
                      <w:szCs w:val="22"/>
                      <w:highlight w:val="none"/>
                    </w:rPr>
                    <w:t>得</w:t>
                  </w:r>
                  <w:r>
                    <w:rPr>
                      <w:rFonts w:hint="eastAsia" w:ascii="新宋体" w:hAnsi="新宋体" w:eastAsia="新宋体" w:cs="新宋体"/>
                      <w:color w:val="auto"/>
                      <w:sz w:val="22"/>
                      <w:szCs w:val="22"/>
                      <w:highlight w:val="none"/>
                    </w:rPr>
                    <w:t>3.1-4</w:t>
                  </w:r>
                  <w:r>
                    <w:rPr>
                      <w:rStyle w:val="968"/>
                      <w:rFonts w:hint="eastAsia" w:ascii="新宋体" w:hAnsi="新宋体" w:eastAsia="新宋体" w:cs="新宋体"/>
                      <w:color w:val="auto"/>
                      <w:sz w:val="22"/>
                      <w:szCs w:val="22"/>
                      <w:highlight w:val="none"/>
                    </w:rPr>
                    <w:t>分；方案及保障措施基本完整、可行的得</w:t>
                  </w:r>
                  <w:r>
                    <w:rPr>
                      <w:rFonts w:hint="eastAsia" w:ascii="新宋体" w:hAnsi="新宋体" w:eastAsia="新宋体" w:cs="新宋体"/>
                      <w:color w:val="auto"/>
                      <w:sz w:val="22"/>
                      <w:szCs w:val="22"/>
                      <w:highlight w:val="none"/>
                    </w:rPr>
                    <w:t>1.1-3</w:t>
                  </w:r>
                  <w:r>
                    <w:rPr>
                      <w:rStyle w:val="968"/>
                      <w:rFonts w:hint="eastAsia" w:ascii="新宋体" w:hAnsi="新宋体" w:eastAsia="新宋体" w:cs="新宋体"/>
                      <w:color w:val="auto"/>
                      <w:sz w:val="22"/>
                      <w:szCs w:val="22"/>
                      <w:highlight w:val="none"/>
                    </w:rPr>
                    <w:t>分；方案及保障措施简单，明显欠缺不足的得0.1-1分，未提供不得分。</w:t>
                  </w:r>
                </w:p>
              </w:tc>
              <w:tc>
                <w:tcPr>
                  <w:tcW w:w="750" w:type="dxa"/>
                  <w:noWrap w:val="0"/>
                  <w:vAlign w:val="center"/>
                </w:tcPr>
                <w:p>
                  <w:pPr>
                    <w:widowControl/>
                    <w:spacing w:line="280" w:lineRule="exact"/>
                    <w:jc w:val="center"/>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分</w:t>
                  </w:r>
                </w:p>
              </w:tc>
              <w:tc>
                <w:tcPr>
                  <w:tcW w:w="715" w:type="dxa"/>
                  <w:noWrap w:val="0"/>
                  <w:vAlign w:val="center"/>
                </w:tcPr>
                <w:p>
                  <w:pPr>
                    <w:keepNext w:val="0"/>
                    <w:keepLines w:val="0"/>
                    <w:pageBreakBefore w:val="0"/>
                    <w:widowControl/>
                    <w:kinsoku/>
                    <w:wordWrap/>
                    <w:overflowPunct/>
                    <w:topLinePunct w:val="0"/>
                    <w:autoSpaceDE/>
                    <w:autoSpaceDN/>
                    <w:bidi w:val="0"/>
                    <w:adjustRightInd w:val="0"/>
                    <w:snapToGrid/>
                    <w:spacing w:line="280" w:lineRule="exact"/>
                    <w:ind w:left="-63" w:leftChars="-30" w:right="-63" w:rightChars="-30"/>
                    <w:jc w:val="center"/>
                    <w:textAlignment w:val="auto"/>
                    <w:rPr>
                      <w:rFonts w:hint="eastAsia" w:ascii="新宋体" w:hAnsi="新宋体" w:eastAsia="新宋体" w:cs="新宋体"/>
                      <w:color w:val="auto"/>
                      <w:sz w:val="20"/>
                      <w:szCs w:val="20"/>
                      <w:highlight w:val="none"/>
                      <w:lang w:val="en-US" w:eastAsia="zh-CN"/>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20" w:lineRule="exact"/>
                    <w:rPr>
                      <w:rFonts w:hint="eastAsia" w:ascii="新宋体" w:hAnsi="新宋体" w:eastAsia="新宋体" w:cs="新宋体"/>
                      <w:bCs/>
                      <w:color w:val="auto"/>
                      <w:sz w:val="22"/>
                      <w:szCs w:val="22"/>
                      <w:highlight w:val="none"/>
                    </w:rPr>
                  </w:pPr>
                  <w:r>
                    <w:rPr>
                      <w:rFonts w:hint="eastAsia" w:ascii="新宋体" w:hAnsi="新宋体" w:eastAsia="新宋体" w:cs="新宋体"/>
                      <w:bCs/>
                      <w:color w:val="auto"/>
                      <w:sz w:val="22"/>
                      <w:szCs w:val="22"/>
                      <w:highlight w:val="none"/>
                    </w:rPr>
                    <w:t>9、安全生产保障措施</w:t>
                  </w:r>
                </w:p>
                <w:p>
                  <w:pPr>
                    <w:spacing w:line="300" w:lineRule="exact"/>
                    <w:jc w:val="left"/>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rPr>
                    <w:t>项目特点分析全面，安全风险评估详细，安全生产保障措施科学、合理、可行，保障体系完备周全，并具有及时性、便捷性的</w:t>
                  </w:r>
                  <w:r>
                    <w:rPr>
                      <w:rStyle w:val="968"/>
                      <w:rFonts w:hint="eastAsia" w:ascii="新宋体" w:hAnsi="新宋体" w:eastAsia="新宋体" w:cs="新宋体"/>
                      <w:color w:val="auto"/>
                      <w:sz w:val="22"/>
                      <w:szCs w:val="22"/>
                      <w:highlight w:val="none"/>
                    </w:rPr>
                    <w:t>得</w:t>
                  </w:r>
                  <w:r>
                    <w:rPr>
                      <w:rFonts w:hint="eastAsia" w:ascii="新宋体" w:hAnsi="新宋体" w:eastAsia="新宋体" w:cs="新宋体"/>
                      <w:color w:val="auto"/>
                      <w:sz w:val="22"/>
                      <w:szCs w:val="22"/>
                      <w:highlight w:val="none"/>
                    </w:rPr>
                    <w:t>3.1-4</w:t>
                  </w:r>
                  <w:r>
                    <w:rPr>
                      <w:rStyle w:val="968"/>
                      <w:rFonts w:hint="eastAsia" w:ascii="新宋体" w:hAnsi="新宋体" w:eastAsia="新宋体" w:cs="新宋体"/>
                      <w:color w:val="auto"/>
                      <w:sz w:val="22"/>
                      <w:szCs w:val="22"/>
                      <w:highlight w:val="none"/>
                    </w:rPr>
                    <w:t>分；分析评估基本合理，保障措施基本可行的得</w:t>
                  </w:r>
                  <w:r>
                    <w:rPr>
                      <w:rFonts w:hint="eastAsia" w:ascii="新宋体" w:hAnsi="新宋体" w:eastAsia="新宋体" w:cs="新宋体"/>
                      <w:color w:val="auto"/>
                      <w:sz w:val="22"/>
                      <w:szCs w:val="22"/>
                      <w:highlight w:val="none"/>
                    </w:rPr>
                    <w:t>1.1-3</w:t>
                  </w:r>
                  <w:r>
                    <w:rPr>
                      <w:rStyle w:val="968"/>
                      <w:rFonts w:hint="eastAsia" w:ascii="新宋体" w:hAnsi="新宋体" w:eastAsia="新宋体" w:cs="新宋体"/>
                      <w:color w:val="auto"/>
                      <w:sz w:val="22"/>
                      <w:szCs w:val="22"/>
                      <w:highlight w:val="none"/>
                    </w:rPr>
                    <w:t>分；分析评估和保障措施简单，明显欠缺不足的得0.1-1分，未提供不得分。</w:t>
                  </w:r>
                </w:p>
              </w:tc>
              <w:tc>
                <w:tcPr>
                  <w:tcW w:w="750" w:type="dxa"/>
                  <w:noWrap w:val="0"/>
                  <w:vAlign w:val="center"/>
                </w:tcPr>
                <w:p>
                  <w:pPr>
                    <w:spacing w:line="300" w:lineRule="exact"/>
                    <w:jc w:val="center"/>
                    <w:rPr>
                      <w:rFonts w:hint="eastAsia" w:ascii="宋体" w:hAnsi="宋体" w:eastAsia="宋体" w:cs="宋体"/>
                      <w:b w:val="0"/>
                      <w:bCs w:val="0"/>
                      <w:color w:val="auto"/>
                      <w:kern w:val="0"/>
                      <w:sz w:val="22"/>
                      <w:szCs w:val="22"/>
                      <w:highlight w:val="none"/>
                    </w:rPr>
                  </w:pP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分</w:t>
                  </w:r>
                </w:p>
              </w:tc>
              <w:tc>
                <w:tcPr>
                  <w:tcW w:w="715" w:type="dxa"/>
                  <w:noWrap w:val="0"/>
                  <w:vAlign w:val="center"/>
                </w:tcPr>
                <w:p>
                  <w:pPr>
                    <w:keepNext w:val="0"/>
                    <w:keepLines w:val="0"/>
                    <w:pageBreakBefore w:val="0"/>
                    <w:kinsoku/>
                    <w:wordWrap/>
                    <w:overflowPunct/>
                    <w:topLinePunct w:val="0"/>
                    <w:autoSpaceDE/>
                    <w:autoSpaceDN/>
                    <w:bidi w:val="0"/>
                    <w:adjustRightInd w:val="0"/>
                    <w:snapToGrid/>
                    <w:spacing w:line="300" w:lineRule="exact"/>
                    <w:ind w:left="-63" w:leftChars="-30" w:right="-63" w:rightChars="-30"/>
                    <w:jc w:val="center"/>
                    <w:textAlignment w:val="auto"/>
                    <w:rPr>
                      <w:rFonts w:hint="eastAsia" w:ascii="新宋体" w:hAnsi="新宋体" w:eastAsia="新宋体" w:cs="新宋体"/>
                      <w:color w:val="auto"/>
                      <w:sz w:val="20"/>
                      <w:szCs w:val="20"/>
                      <w:highlight w:val="none"/>
                      <w:lang w:val="en-US" w:eastAsia="zh-CN"/>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spacing w:line="300" w:lineRule="exact"/>
                    <w:jc w:val="left"/>
                    <w:rPr>
                      <w:rStyle w:val="968"/>
                      <w:rFonts w:hint="eastAsia" w:ascii="新宋体" w:hAnsi="新宋体" w:eastAsia="新宋体" w:cs="新宋体"/>
                      <w:color w:val="auto"/>
                      <w:sz w:val="22"/>
                      <w:szCs w:val="22"/>
                      <w:highlight w:val="none"/>
                    </w:rPr>
                  </w:pPr>
                  <w:r>
                    <w:rPr>
                      <w:rStyle w:val="968"/>
                      <w:rFonts w:hint="eastAsia" w:ascii="新宋体" w:hAnsi="新宋体" w:eastAsia="新宋体" w:cs="新宋体"/>
                      <w:color w:val="auto"/>
                      <w:sz w:val="22"/>
                      <w:szCs w:val="22"/>
                      <w:highlight w:val="none"/>
                      <w:lang w:val="en-US" w:eastAsia="zh-CN"/>
                    </w:rPr>
                    <w:t>10、</w:t>
                  </w:r>
                  <w:r>
                    <w:rPr>
                      <w:rStyle w:val="968"/>
                      <w:rFonts w:hint="eastAsia" w:ascii="新宋体" w:hAnsi="新宋体" w:eastAsia="新宋体" w:cs="新宋体"/>
                      <w:color w:val="auto"/>
                      <w:sz w:val="22"/>
                      <w:szCs w:val="22"/>
                      <w:highlight w:val="none"/>
                    </w:rPr>
                    <w:t>数据资料安全保密</w:t>
                  </w:r>
                  <w:r>
                    <w:rPr>
                      <w:rStyle w:val="968"/>
                      <w:rFonts w:hint="eastAsia" w:ascii="新宋体" w:hAnsi="新宋体" w:eastAsia="新宋体" w:cs="新宋体"/>
                      <w:color w:val="auto"/>
                      <w:sz w:val="22"/>
                      <w:szCs w:val="22"/>
                      <w:highlight w:val="none"/>
                      <w:lang w:val="en-US" w:eastAsia="zh-CN"/>
                    </w:rPr>
                    <w:t>能力及</w:t>
                  </w:r>
                  <w:r>
                    <w:rPr>
                      <w:rStyle w:val="968"/>
                      <w:rFonts w:hint="eastAsia" w:ascii="新宋体" w:hAnsi="新宋体" w:eastAsia="新宋体" w:cs="新宋体"/>
                      <w:color w:val="auto"/>
                      <w:sz w:val="22"/>
                      <w:szCs w:val="22"/>
                      <w:highlight w:val="none"/>
                    </w:rPr>
                    <w:t>措施：</w:t>
                  </w:r>
                </w:p>
                <w:p>
                  <w:pPr>
                    <w:spacing w:line="300" w:lineRule="exact"/>
                    <w:jc w:val="left"/>
                    <w:rPr>
                      <w:rStyle w:val="968"/>
                      <w:rFonts w:hint="eastAsia" w:ascii="新宋体" w:hAnsi="新宋体" w:eastAsia="新宋体" w:cs="新宋体"/>
                      <w:color w:val="auto"/>
                      <w:sz w:val="22"/>
                      <w:szCs w:val="22"/>
                      <w:highlight w:val="none"/>
                    </w:rPr>
                  </w:pPr>
                  <w:r>
                    <w:rPr>
                      <w:rStyle w:val="968"/>
                      <w:rFonts w:hint="eastAsia" w:ascii="新宋体" w:hAnsi="新宋体" w:eastAsia="新宋体" w:cs="新宋体"/>
                      <w:color w:val="auto"/>
                      <w:sz w:val="22"/>
                      <w:szCs w:val="22"/>
                      <w:highlight w:val="none"/>
                    </w:rPr>
                    <w:t>供应商数据资料安全保密制度完善，在本项目生产各阶段均能做好保密措施，由评委进行打分（0-</w:t>
                  </w:r>
                  <w:r>
                    <w:rPr>
                      <w:rStyle w:val="968"/>
                      <w:rFonts w:hint="eastAsia" w:ascii="新宋体" w:hAnsi="新宋体" w:eastAsia="新宋体" w:cs="新宋体"/>
                      <w:color w:val="auto"/>
                      <w:sz w:val="22"/>
                      <w:szCs w:val="22"/>
                      <w:highlight w:val="none"/>
                      <w:lang w:val="en-US" w:eastAsia="zh-CN"/>
                    </w:rPr>
                    <w:t>4</w:t>
                  </w:r>
                  <w:r>
                    <w:rPr>
                      <w:rStyle w:val="968"/>
                      <w:rFonts w:hint="eastAsia" w:ascii="新宋体" w:hAnsi="新宋体" w:eastAsia="新宋体" w:cs="新宋体"/>
                      <w:color w:val="auto"/>
                      <w:sz w:val="22"/>
                      <w:szCs w:val="22"/>
                      <w:highlight w:val="none"/>
                    </w:rPr>
                    <w:t>分）。</w:t>
                  </w:r>
                </w:p>
                <w:p>
                  <w:pPr>
                    <w:spacing w:line="300" w:lineRule="exact"/>
                    <w:ind w:firstLine="440" w:firstLineChars="200"/>
                    <w:jc w:val="left"/>
                    <w:rPr>
                      <w:rFonts w:hint="eastAsia"/>
                    </w:rPr>
                  </w:pPr>
                  <w:r>
                    <w:rPr>
                      <w:rStyle w:val="968"/>
                      <w:rFonts w:hint="eastAsia" w:ascii="新宋体" w:hAnsi="新宋体" w:eastAsia="新宋体" w:cs="新宋体"/>
                      <w:color w:val="auto"/>
                      <w:sz w:val="22"/>
                      <w:szCs w:val="22"/>
                      <w:highlight w:val="none"/>
                    </w:rPr>
                    <w:t>方案内容全面合理、准确到位，针对性强，可行性强的得</w:t>
                  </w:r>
                  <w:r>
                    <w:rPr>
                      <w:rStyle w:val="968"/>
                      <w:rFonts w:hint="eastAsia" w:ascii="新宋体" w:hAnsi="新宋体" w:eastAsia="新宋体" w:cs="新宋体"/>
                      <w:color w:val="auto"/>
                      <w:sz w:val="22"/>
                      <w:szCs w:val="22"/>
                      <w:highlight w:val="none"/>
                      <w:lang w:val="en-US"/>
                    </w:rPr>
                    <w:t>3</w:t>
                  </w:r>
                  <w:r>
                    <w:rPr>
                      <w:rStyle w:val="968"/>
                      <w:rFonts w:hint="eastAsia" w:ascii="新宋体" w:hAnsi="新宋体" w:eastAsia="新宋体" w:cs="新宋体"/>
                      <w:color w:val="auto"/>
                      <w:sz w:val="22"/>
                      <w:szCs w:val="22"/>
                      <w:highlight w:val="none"/>
                    </w:rPr>
                    <w:t>.1-</w:t>
                  </w:r>
                  <w:r>
                    <w:rPr>
                      <w:rStyle w:val="968"/>
                      <w:rFonts w:hint="eastAsia" w:ascii="新宋体" w:hAnsi="新宋体" w:eastAsia="新宋体" w:cs="新宋体"/>
                      <w:color w:val="auto"/>
                      <w:sz w:val="22"/>
                      <w:szCs w:val="22"/>
                      <w:highlight w:val="none"/>
                      <w:lang w:val="en-US"/>
                    </w:rPr>
                    <w:t>4</w:t>
                  </w:r>
                  <w:r>
                    <w:rPr>
                      <w:rStyle w:val="968"/>
                      <w:rFonts w:hint="eastAsia" w:ascii="新宋体" w:hAnsi="新宋体" w:eastAsia="新宋体" w:cs="新宋体"/>
                      <w:color w:val="auto"/>
                      <w:sz w:val="22"/>
                      <w:szCs w:val="22"/>
                      <w:highlight w:val="none"/>
                    </w:rPr>
                    <w:t>分；方案内容基本正确，措施的合理性可行性稍有欠缺的得</w:t>
                  </w:r>
                  <w:r>
                    <w:rPr>
                      <w:rStyle w:val="968"/>
                      <w:rFonts w:hint="eastAsia" w:ascii="新宋体" w:hAnsi="新宋体" w:eastAsia="新宋体" w:cs="新宋体"/>
                      <w:color w:val="auto"/>
                      <w:sz w:val="22"/>
                      <w:szCs w:val="22"/>
                      <w:highlight w:val="none"/>
                      <w:lang w:val="en-US"/>
                    </w:rPr>
                    <w:t>2</w:t>
                  </w:r>
                  <w:r>
                    <w:rPr>
                      <w:rStyle w:val="968"/>
                      <w:rFonts w:hint="eastAsia" w:ascii="新宋体" w:hAnsi="新宋体" w:eastAsia="新宋体" w:cs="新宋体"/>
                      <w:color w:val="auto"/>
                      <w:sz w:val="22"/>
                      <w:szCs w:val="22"/>
                      <w:highlight w:val="none"/>
                    </w:rPr>
                    <w:t>.1-</w:t>
                  </w:r>
                  <w:r>
                    <w:rPr>
                      <w:rStyle w:val="968"/>
                      <w:rFonts w:hint="eastAsia" w:ascii="新宋体" w:hAnsi="新宋体" w:eastAsia="新宋体" w:cs="新宋体"/>
                      <w:color w:val="auto"/>
                      <w:sz w:val="22"/>
                      <w:szCs w:val="22"/>
                      <w:highlight w:val="none"/>
                      <w:lang w:val="en-US"/>
                    </w:rPr>
                    <w:t>3</w:t>
                  </w:r>
                  <w:r>
                    <w:rPr>
                      <w:rStyle w:val="968"/>
                      <w:rFonts w:hint="eastAsia" w:ascii="新宋体" w:hAnsi="新宋体" w:eastAsia="新宋体" w:cs="新宋体"/>
                      <w:color w:val="auto"/>
                      <w:sz w:val="22"/>
                      <w:szCs w:val="22"/>
                      <w:highlight w:val="none"/>
                    </w:rPr>
                    <w:t>分；方案内容简单，措施合理程度较差的得0.1-2分；未提供不得分。</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lang w:val="en-US" w:eastAsia="zh-CN"/>
                    </w:rPr>
                    <w:t>4</w:t>
                  </w:r>
                  <w:r>
                    <w:rPr>
                      <w:rFonts w:hint="eastAsia" w:ascii="宋体" w:hAnsi="宋体" w:eastAsia="宋体" w:cs="宋体"/>
                      <w:b w:val="0"/>
                      <w:bCs w:val="0"/>
                      <w:color w:val="auto"/>
                      <w:kern w:val="0"/>
                      <w:sz w:val="22"/>
                      <w:szCs w:val="22"/>
                      <w:highlight w:val="none"/>
                    </w:rPr>
                    <w:t>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eastAsia="宋体" w:cs="宋体"/>
                      <w:b w:val="0"/>
                      <w:bCs w:val="0"/>
                      <w:color w:val="auto"/>
                      <w:kern w:val="0"/>
                      <w:sz w:val="20"/>
                      <w:szCs w:val="20"/>
                      <w:highlight w:val="none"/>
                      <w:lang w:val="en-US" w:eastAsia="zh-CN"/>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lang w:val="en-US" w:eastAsia="zh-CN" w:bidi="ar-SA"/>
                    </w:rPr>
                  </w:pPr>
                </w:p>
              </w:tc>
              <w:tc>
                <w:tcPr>
                  <w:tcW w:w="5873" w:type="dxa"/>
                  <w:noWrap w:val="0"/>
                  <w:tcMar>
                    <w:top w:w="57" w:type="dxa"/>
                    <w:bottom w:w="57" w:type="dxa"/>
                  </w:tcMar>
                  <w:vAlign w:val="center"/>
                </w:tcPr>
                <w:p>
                  <w:pPr>
                    <w:widowControl/>
                    <w:spacing w:line="280" w:lineRule="exact"/>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售后及应急响应服务</w:t>
                  </w:r>
                  <w:r>
                    <w:rPr>
                      <w:rFonts w:hint="eastAsia" w:ascii="新宋体" w:hAnsi="新宋体" w:eastAsia="新宋体" w:cs="新宋体"/>
                      <w:color w:val="auto"/>
                      <w:sz w:val="22"/>
                      <w:szCs w:val="22"/>
                      <w:highlight w:val="none"/>
                      <w:lang w:eastAsia="zh-CN"/>
                    </w:rPr>
                    <w:t>：</w:t>
                  </w:r>
                </w:p>
                <w:p>
                  <w:pPr>
                    <w:widowControl/>
                    <w:spacing w:line="280" w:lineRule="exact"/>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lang w:val="en-US" w:eastAsia="zh-CN"/>
                    </w:rPr>
                    <w:t>①</w:t>
                  </w:r>
                  <w:r>
                    <w:rPr>
                      <w:rFonts w:hint="eastAsia" w:ascii="新宋体" w:hAnsi="新宋体" w:eastAsia="新宋体" w:cs="新宋体"/>
                      <w:color w:val="auto"/>
                      <w:sz w:val="22"/>
                      <w:szCs w:val="22"/>
                      <w:highlight w:val="none"/>
                    </w:rPr>
                    <w:t>根据供应商针对项目提供的售后培训、技术支持及售后服务计划完整、高效，能确保项目后期正常有序运行，综合评价酌情打分（0-</w:t>
                  </w:r>
                  <w:r>
                    <w:rPr>
                      <w:rFonts w:hint="eastAsia" w:ascii="新宋体" w:hAnsi="新宋体" w:eastAsia="新宋体" w:cs="新宋体"/>
                      <w:color w:val="auto"/>
                      <w:sz w:val="22"/>
                      <w:szCs w:val="22"/>
                      <w:highlight w:val="none"/>
                      <w:lang w:val="en-US" w:eastAsia="zh-CN"/>
                    </w:rPr>
                    <w:t>5</w:t>
                  </w:r>
                  <w:r>
                    <w:rPr>
                      <w:rFonts w:hint="eastAsia" w:ascii="新宋体" w:hAnsi="新宋体" w:eastAsia="新宋体" w:cs="新宋体"/>
                      <w:color w:val="auto"/>
                      <w:sz w:val="22"/>
                      <w:szCs w:val="22"/>
                      <w:highlight w:val="none"/>
                    </w:rPr>
                    <w:t>分）。</w:t>
                  </w:r>
                </w:p>
                <w:p>
                  <w:pPr>
                    <w:widowControl/>
                    <w:spacing w:line="280" w:lineRule="exact"/>
                    <w:ind w:firstLine="440" w:firstLineChars="200"/>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方案内容全面合理、准确到位，针对性强，可行性强的得4.1-5分；方案内容基本正确，措施的合理性可行性稍有欠缺的得2.1-4分；方案内容简单，措施合理程度较差的得0.1-2分；未提供不得分。</w:t>
                  </w:r>
                </w:p>
                <w:p>
                  <w:pPr>
                    <w:widowControl/>
                    <w:spacing w:line="280" w:lineRule="exact"/>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2"/>
                      <w:szCs w:val="22"/>
                      <w:highlight w:val="none"/>
                      <w:lang w:val="en-US" w:eastAsia="zh-CN"/>
                    </w:rPr>
                    <w:t>②根据供应商设立的售后服务网点地址能否提供快速便捷的服务，结合新冠疫情影响</w:t>
                  </w:r>
                  <w:r>
                    <w:rPr>
                      <w:rFonts w:hint="eastAsia" w:ascii="新宋体" w:hAnsi="新宋体" w:eastAsia="新宋体" w:cs="新宋体"/>
                      <w:color w:val="auto"/>
                      <w:sz w:val="22"/>
                      <w:szCs w:val="22"/>
                      <w:highlight w:val="none"/>
                      <w:lang w:val="zh-CN" w:eastAsia="zh-CN"/>
                    </w:rPr>
                    <w:t>，</w:t>
                  </w:r>
                  <w:r>
                    <w:rPr>
                      <w:rFonts w:hint="eastAsia" w:ascii="新宋体" w:hAnsi="新宋体" w:eastAsia="新宋体" w:cs="新宋体"/>
                      <w:color w:val="auto"/>
                      <w:sz w:val="22"/>
                      <w:szCs w:val="22"/>
                      <w:highlight w:val="none"/>
                      <w:lang w:val="en-US" w:eastAsia="zh-CN"/>
                    </w:rPr>
                    <w:t>是否能及时、安全的提供服务，综合评价酌情打分（0-5分）。</w:t>
                  </w:r>
                </w:p>
                <w:p>
                  <w:pPr>
                    <w:widowControl/>
                    <w:spacing w:line="280" w:lineRule="exact"/>
                    <w:ind w:firstLine="440" w:firstLineChars="200"/>
                    <w:rPr>
                      <w:rFonts w:hint="eastAsia"/>
                      <w:lang w:val="en-US" w:eastAsia="zh-CN"/>
                    </w:rPr>
                  </w:pPr>
                  <w:r>
                    <w:rPr>
                      <w:rFonts w:hint="eastAsia" w:ascii="新宋体" w:hAnsi="新宋体" w:eastAsia="新宋体" w:cs="新宋体"/>
                      <w:color w:val="auto"/>
                      <w:sz w:val="22"/>
                      <w:szCs w:val="22"/>
                      <w:highlight w:val="none"/>
                    </w:rPr>
                    <w:t>方案内容全面合理、准确到位，针对性强，可行性强的得4.1-5分；方案内容基本正确，措施的合理性可行性稍有欠缺的得2.1-4分；方案内容简单，措施合理程度较差的得0.1-2分；未提供不得分。</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cs="宋体"/>
                      <w:b w:val="0"/>
                      <w:bCs w:val="0"/>
                      <w:color w:val="auto"/>
                      <w:kern w:val="0"/>
                      <w:sz w:val="22"/>
                      <w:szCs w:val="22"/>
                      <w:highlight w:val="none"/>
                      <w:lang w:val="en-US" w:eastAsia="zh-CN"/>
                    </w:rPr>
                    <w:t>10</w:t>
                  </w:r>
                  <w:r>
                    <w:rPr>
                      <w:rFonts w:hint="eastAsia" w:ascii="宋体" w:hAnsi="宋体" w:eastAsia="宋体" w:cs="宋体"/>
                      <w:b w:val="0"/>
                      <w:bCs w:val="0"/>
                      <w:color w:val="auto"/>
                      <w:kern w:val="0"/>
                      <w:sz w:val="22"/>
                      <w:szCs w:val="22"/>
                      <w:highlight w:val="none"/>
                    </w:rPr>
                    <w:t>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cs="宋体"/>
                      <w:b w:val="0"/>
                      <w:bCs w:val="0"/>
                      <w:color w:val="auto"/>
                      <w:kern w:val="0"/>
                      <w:sz w:val="20"/>
                      <w:szCs w:val="20"/>
                      <w:highlight w:val="none"/>
                      <w:lang w:val="en-US" w:eastAsia="zh-CN"/>
                    </w:rPr>
                  </w:pPr>
                  <w:r>
                    <w:rPr>
                      <w:rFonts w:hint="eastAsia" w:ascii="新宋体" w:hAnsi="新宋体" w:eastAsia="新宋体" w:cs="新宋体"/>
                      <w:color w:val="auto"/>
                      <w:sz w:val="20"/>
                      <w:szCs w:val="20"/>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2</w:t>
                  </w:r>
                </w:p>
              </w:tc>
              <w:tc>
                <w:tcPr>
                  <w:tcW w:w="1777"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Calibri" w:hAnsi="Calibri" w:eastAsia="宋体" w:cs="Times New Roman"/>
                      <w:color w:val="auto"/>
                      <w:sz w:val="22"/>
                      <w:szCs w:val="22"/>
                      <w:highlight w:val="none"/>
                      <w:lang w:val="en-US" w:eastAsia="zh-CN"/>
                    </w:rPr>
                  </w:pPr>
                  <w:r>
                    <w:rPr>
                      <w:rFonts w:hint="eastAsia" w:ascii="Calibri" w:hAnsi="Calibri" w:eastAsia="宋体" w:cs="Times New Roman"/>
                      <w:color w:val="auto"/>
                      <w:sz w:val="22"/>
                      <w:szCs w:val="22"/>
                      <w:highlight w:val="none"/>
                      <w:lang w:val="en-US" w:eastAsia="zh-CN"/>
                    </w:rPr>
                    <w:t>企业综合实力</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 w:val="22"/>
                      <w:szCs w:val="22"/>
                      <w:highlight w:val="none"/>
                      <w:lang w:val="en-US" w:eastAsia="zh-CN"/>
                    </w:rPr>
                  </w:pPr>
                  <w:r>
                    <w:rPr>
                      <w:rFonts w:hint="eastAsia" w:ascii="Calibri" w:hAnsi="Calibri" w:eastAsia="宋体" w:cs="Times New Roman"/>
                      <w:color w:val="auto"/>
                      <w:sz w:val="22"/>
                      <w:szCs w:val="22"/>
                      <w:highlight w:val="none"/>
                      <w:lang w:val="en-US" w:eastAsia="zh-CN"/>
                    </w:rPr>
                    <w:t>（9分）</w:t>
                  </w:r>
                </w:p>
              </w:tc>
              <w:tc>
                <w:tcPr>
                  <w:tcW w:w="5873" w:type="dxa"/>
                  <w:noWrap w:val="0"/>
                  <w:tcMar>
                    <w:top w:w="57" w:type="dxa"/>
                    <w:bottom w:w="57" w:type="dxa"/>
                  </w:tcMar>
                  <w:vAlign w:val="center"/>
                </w:tcPr>
                <w:p>
                  <w:pPr>
                    <w:snapToGrid w:val="0"/>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①</w:t>
                  </w:r>
                  <w:r>
                    <w:rPr>
                      <w:rFonts w:hint="eastAsia" w:ascii="Times New Roman" w:hAnsi="Times New Roman" w:eastAsia="宋体" w:cs="Times New Roman"/>
                      <w:color w:val="auto"/>
                      <w:sz w:val="22"/>
                      <w:szCs w:val="22"/>
                      <w:highlight w:val="none"/>
                    </w:rPr>
                    <w:t>具有质量管理体系认证证书得</w:t>
                  </w:r>
                  <w:r>
                    <w:rPr>
                      <w:rFonts w:hint="eastAsia" w:ascii="Times New Roman" w:hAnsi="Times New Roman" w:eastAsia="宋体" w:cs="Times New Roman"/>
                      <w:color w:val="auto"/>
                      <w:sz w:val="22"/>
                      <w:szCs w:val="22"/>
                      <w:highlight w:val="none"/>
                      <w:lang w:val="en-US" w:eastAsia="zh-CN"/>
                    </w:rPr>
                    <w:t>1</w:t>
                  </w:r>
                  <w:r>
                    <w:rPr>
                      <w:rFonts w:hint="eastAsia" w:ascii="Times New Roman" w:hAnsi="Times New Roman" w:eastAsia="宋体" w:cs="Times New Roman"/>
                      <w:color w:val="auto"/>
                      <w:sz w:val="22"/>
                      <w:szCs w:val="22"/>
                      <w:highlight w:val="none"/>
                    </w:rPr>
                    <w:t>分、环境管理体系认证证书得</w:t>
                  </w:r>
                  <w:r>
                    <w:rPr>
                      <w:rFonts w:hint="eastAsia" w:ascii="Times New Roman" w:hAnsi="Times New Roman" w:eastAsia="宋体" w:cs="Times New Roman"/>
                      <w:color w:val="auto"/>
                      <w:sz w:val="22"/>
                      <w:szCs w:val="22"/>
                      <w:highlight w:val="none"/>
                      <w:lang w:val="en-US" w:eastAsia="zh-CN"/>
                    </w:rPr>
                    <w:t>1</w:t>
                  </w:r>
                  <w:r>
                    <w:rPr>
                      <w:rFonts w:hint="eastAsia" w:ascii="Times New Roman" w:hAnsi="Times New Roman" w:eastAsia="宋体" w:cs="Times New Roman"/>
                      <w:color w:val="auto"/>
                      <w:sz w:val="22"/>
                      <w:szCs w:val="22"/>
                      <w:highlight w:val="none"/>
                    </w:rPr>
                    <w:t>分、职业健康安全管理体系认证证书得</w:t>
                  </w:r>
                  <w:r>
                    <w:rPr>
                      <w:rFonts w:hint="eastAsia" w:ascii="Times New Roman" w:hAnsi="Times New Roman" w:eastAsia="宋体" w:cs="Times New Roman"/>
                      <w:color w:val="auto"/>
                      <w:sz w:val="22"/>
                      <w:szCs w:val="22"/>
                      <w:highlight w:val="none"/>
                      <w:lang w:val="en-US" w:eastAsia="zh-CN"/>
                    </w:rPr>
                    <w:t>1</w:t>
                  </w:r>
                  <w:r>
                    <w:rPr>
                      <w:rFonts w:hint="eastAsia" w:ascii="Times New Roman" w:hAnsi="Times New Roman" w:eastAsia="宋体" w:cs="Times New Roman"/>
                      <w:color w:val="auto"/>
                      <w:sz w:val="22"/>
                      <w:szCs w:val="22"/>
                      <w:highlight w:val="none"/>
                    </w:rPr>
                    <w:t>分</w:t>
                  </w:r>
                  <w:r>
                    <w:rPr>
                      <w:rFonts w:hint="eastAsia" w:cs="Times New Roman"/>
                      <w:color w:val="auto"/>
                      <w:sz w:val="22"/>
                      <w:szCs w:val="22"/>
                      <w:highlight w:val="none"/>
                      <w:lang w:eastAsia="zh-CN"/>
                    </w:rPr>
                    <w:t>；</w:t>
                  </w:r>
                </w:p>
                <w:p>
                  <w:pPr>
                    <w:snapToGrid w:val="0"/>
                    <w:rPr>
                      <w:rFonts w:hint="eastAsia" w:ascii="宋体" w:hAnsi="宋体"/>
                      <w:color w:val="auto"/>
                      <w:sz w:val="22"/>
                      <w:szCs w:val="22"/>
                      <w:highlight w:val="none"/>
                    </w:rPr>
                  </w:pPr>
                  <w:r>
                    <w:rPr>
                      <w:rFonts w:hint="eastAsia" w:ascii="Calibri" w:hAnsi="Calibri" w:eastAsia="宋体" w:cs="Calibri"/>
                      <w:color w:val="auto"/>
                      <w:sz w:val="22"/>
                      <w:szCs w:val="22"/>
                      <w:highlight w:val="none"/>
                      <w:lang w:val="en-US" w:eastAsia="zh-CN"/>
                    </w:rPr>
                    <w:t>②</w:t>
                  </w:r>
                  <w:r>
                    <w:rPr>
                      <w:rFonts w:hint="eastAsia" w:ascii="宋体" w:hAnsi="宋体"/>
                      <w:color w:val="auto"/>
                      <w:sz w:val="22"/>
                      <w:szCs w:val="22"/>
                      <w:highlight w:val="none"/>
                    </w:rPr>
                    <w:t>具有</w:t>
                  </w:r>
                  <w:r>
                    <w:rPr>
                      <w:rFonts w:hint="eastAsia" w:ascii="宋体" w:hAnsi="宋体" w:cs="宋体"/>
                      <w:color w:val="auto"/>
                      <w:sz w:val="22"/>
                      <w:szCs w:val="22"/>
                      <w:highlight w:val="none"/>
                    </w:rPr>
                    <w:t>信息安全管理体系认证</w:t>
                  </w:r>
                  <w:r>
                    <w:rPr>
                      <w:rFonts w:hint="eastAsia" w:ascii="宋体" w:hAnsi="宋体"/>
                      <w:color w:val="auto"/>
                      <w:sz w:val="22"/>
                      <w:szCs w:val="22"/>
                      <w:highlight w:val="none"/>
                    </w:rPr>
                    <w:t>证书的得</w:t>
                  </w:r>
                  <w:r>
                    <w:rPr>
                      <w:rFonts w:hint="eastAsia" w:ascii="宋体" w:hAnsi="宋体"/>
                      <w:color w:val="auto"/>
                      <w:sz w:val="22"/>
                      <w:szCs w:val="22"/>
                      <w:highlight w:val="none"/>
                      <w:lang w:val="en-US" w:eastAsia="zh-CN"/>
                    </w:rPr>
                    <w:t>2</w:t>
                  </w:r>
                  <w:r>
                    <w:rPr>
                      <w:rFonts w:hint="eastAsia" w:ascii="宋体" w:hAnsi="宋体"/>
                      <w:color w:val="auto"/>
                      <w:sz w:val="22"/>
                      <w:szCs w:val="22"/>
                      <w:highlight w:val="none"/>
                    </w:rPr>
                    <w:t>分；</w:t>
                  </w:r>
                </w:p>
                <w:p>
                  <w:pPr>
                    <w:snapToGrid w:val="0"/>
                    <w:rPr>
                      <w:rFonts w:ascii="宋体" w:hAnsi="宋体"/>
                      <w:color w:val="auto"/>
                      <w:sz w:val="22"/>
                      <w:szCs w:val="22"/>
                      <w:highlight w:val="none"/>
                    </w:rPr>
                  </w:pPr>
                  <w:r>
                    <w:rPr>
                      <w:rFonts w:hint="default" w:ascii="Calibri" w:hAnsi="Calibri" w:eastAsia="宋体" w:cs="Calibri"/>
                      <w:color w:val="auto"/>
                      <w:sz w:val="22"/>
                      <w:szCs w:val="22"/>
                      <w:highlight w:val="none"/>
                      <w:lang w:val="en-US" w:eastAsia="zh-CN"/>
                    </w:rPr>
                    <w:fldChar w:fldCharType="begin"/>
                  </w:r>
                  <w:r>
                    <w:rPr>
                      <w:rFonts w:hint="default" w:ascii="Calibri" w:hAnsi="Calibri" w:eastAsia="宋体" w:cs="Calibri"/>
                      <w:color w:val="auto"/>
                      <w:sz w:val="22"/>
                      <w:szCs w:val="22"/>
                      <w:highlight w:val="none"/>
                      <w:lang w:val="en-US" w:eastAsia="zh-CN"/>
                    </w:rPr>
                    <w:instrText xml:space="preserve"> = 3 \* GB3 \* MERGEFORMAT </w:instrText>
                  </w:r>
                  <w:r>
                    <w:rPr>
                      <w:rFonts w:hint="default" w:ascii="Calibri" w:hAnsi="Calibri" w:eastAsia="宋体" w:cs="Calibri"/>
                      <w:color w:val="auto"/>
                      <w:sz w:val="22"/>
                      <w:szCs w:val="22"/>
                      <w:highlight w:val="none"/>
                      <w:lang w:val="en-US" w:eastAsia="zh-CN"/>
                    </w:rPr>
                    <w:fldChar w:fldCharType="separate"/>
                  </w:r>
                  <w:r>
                    <w:rPr>
                      <w:color w:val="auto"/>
                      <w:sz w:val="22"/>
                      <w:szCs w:val="22"/>
                      <w:highlight w:val="none"/>
                    </w:rPr>
                    <w:t>③</w:t>
                  </w:r>
                  <w:r>
                    <w:rPr>
                      <w:rFonts w:hint="default" w:ascii="Calibri" w:hAnsi="Calibri" w:eastAsia="宋体" w:cs="Calibri"/>
                      <w:color w:val="auto"/>
                      <w:sz w:val="22"/>
                      <w:szCs w:val="22"/>
                      <w:highlight w:val="none"/>
                      <w:lang w:val="en-US" w:eastAsia="zh-CN"/>
                    </w:rPr>
                    <w:fldChar w:fldCharType="end"/>
                  </w:r>
                  <w:r>
                    <w:rPr>
                      <w:rFonts w:hint="eastAsia" w:ascii="宋体" w:hAnsi="宋体" w:eastAsia="宋体" w:cs="宋体"/>
                      <w:snapToGrid w:val="0"/>
                      <w:color w:val="auto"/>
                      <w:sz w:val="22"/>
                      <w:szCs w:val="22"/>
                      <w:highlight w:val="none"/>
                      <w:u w:val="none"/>
                      <w:lang w:val="en-US" w:eastAsia="zh-CN"/>
                    </w:rPr>
                    <w:t>具有</w:t>
                  </w:r>
                  <w:r>
                    <w:rPr>
                      <w:rFonts w:hint="eastAsia" w:ascii="宋体" w:hAnsi="宋体" w:cs="宋体"/>
                      <w:color w:val="auto"/>
                      <w:sz w:val="22"/>
                      <w:szCs w:val="22"/>
                      <w:highlight w:val="none"/>
                    </w:rPr>
                    <w:t>信息</w:t>
                  </w:r>
                  <w:r>
                    <w:rPr>
                      <w:rFonts w:hint="eastAsia" w:ascii="宋体" w:hAnsi="宋体" w:cs="宋体"/>
                      <w:color w:val="auto"/>
                      <w:sz w:val="22"/>
                      <w:szCs w:val="22"/>
                      <w:highlight w:val="none"/>
                      <w:lang w:val="en-US" w:eastAsia="zh-CN"/>
                    </w:rPr>
                    <w:t>技术服务</w:t>
                  </w:r>
                  <w:r>
                    <w:rPr>
                      <w:rFonts w:hint="eastAsia" w:ascii="宋体" w:hAnsi="宋体" w:cs="宋体"/>
                      <w:color w:val="auto"/>
                      <w:sz w:val="22"/>
                      <w:szCs w:val="22"/>
                      <w:highlight w:val="none"/>
                    </w:rPr>
                    <w:t>管理体系认证</w:t>
                  </w:r>
                  <w:r>
                    <w:rPr>
                      <w:rFonts w:hint="eastAsia" w:ascii="宋体" w:hAnsi="宋体" w:eastAsia="宋体" w:cs="宋体"/>
                      <w:snapToGrid w:val="0"/>
                      <w:color w:val="auto"/>
                      <w:sz w:val="22"/>
                      <w:szCs w:val="22"/>
                      <w:highlight w:val="none"/>
                      <w:u w:val="none"/>
                      <w:lang w:val="en-US" w:eastAsia="zh-CN"/>
                    </w:rPr>
                    <w:t>证书的得2分</w:t>
                  </w:r>
                  <w:r>
                    <w:rPr>
                      <w:rFonts w:hint="eastAsia" w:ascii="宋体" w:hAnsi="宋体"/>
                      <w:color w:val="auto"/>
                      <w:sz w:val="22"/>
                      <w:szCs w:val="22"/>
                      <w:highlight w:val="none"/>
                    </w:rPr>
                    <w:t>；</w:t>
                  </w:r>
                </w:p>
                <w:p>
                  <w:pPr>
                    <w:snapToGrid w:val="0"/>
                    <w:rPr>
                      <w:rFonts w:hint="eastAsia" w:ascii="宋体" w:hAnsi="宋体"/>
                      <w:color w:val="auto"/>
                      <w:sz w:val="22"/>
                      <w:szCs w:val="22"/>
                      <w:highlight w:val="none"/>
                    </w:rPr>
                  </w:pPr>
                  <w:r>
                    <w:rPr>
                      <w:rFonts w:hint="eastAsia" w:ascii="宋体" w:hAnsi="宋体"/>
                      <w:color w:val="auto"/>
                      <w:sz w:val="22"/>
                      <w:szCs w:val="22"/>
                      <w:highlight w:val="none"/>
                      <w:lang w:eastAsia="zh-CN"/>
                    </w:rPr>
                    <w:t>④</w:t>
                  </w:r>
                  <w:r>
                    <w:rPr>
                      <w:rFonts w:hint="eastAsia" w:ascii="宋体" w:hAnsi="宋体"/>
                      <w:color w:val="auto"/>
                      <w:sz w:val="22"/>
                      <w:szCs w:val="22"/>
                      <w:highlight w:val="none"/>
                    </w:rPr>
                    <w:t>具有</w:t>
                  </w:r>
                  <w:r>
                    <w:rPr>
                      <w:rFonts w:hint="eastAsia" w:ascii="宋体" w:hAnsi="宋体"/>
                      <w:color w:val="auto"/>
                      <w:sz w:val="22"/>
                      <w:szCs w:val="22"/>
                      <w:highlight w:val="none"/>
                      <w:lang w:val="en-US" w:eastAsia="zh-CN"/>
                    </w:rPr>
                    <w:t>综合管线信息管理系统软件著作权证书</w:t>
                  </w:r>
                  <w:r>
                    <w:rPr>
                      <w:rFonts w:hint="eastAsia" w:ascii="宋体" w:hAnsi="宋体"/>
                      <w:color w:val="auto"/>
                      <w:sz w:val="22"/>
                      <w:szCs w:val="22"/>
                      <w:highlight w:val="none"/>
                    </w:rPr>
                    <w:t>得</w:t>
                  </w:r>
                  <w:r>
                    <w:rPr>
                      <w:rFonts w:hint="eastAsia" w:ascii="宋体" w:hAnsi="宋体"/>
                      <w:color w:val="auto"/>
                      <w:sz w:val="22"/>
                      <w:szCs w:val="22"/>
                      <w:highlight w:val="none"/>
                      <w:lang w:val="en-US" w:eastAsia="zh-CN"/>
                    </w:rPr>
                    <w:t>2</w:t>
                  </w:r>
                  <w:r>
                    <w:rPr>
                      <w:rFonts w:hint="eastAsia" w:ascii="宋体" w:hAnsi="宋体"/>
                      <w:color w:val="auto"/>
                      <w:sz w:val="22"/>
                      <w:szCs w:val="22"/>
                      <w:highlight w:val="none"/>
                    </w:rPr>
                    <w:t>分；</w:t>
                  </w:r>
                </w:p>
                <w:p>
                  <w:pPr>
                    <w:keepNext w:val="0"/>
                    <w:keepLines w:val="0"/>
                    <w:pageBreakBefore w:val="0"/>
                    <w:widowControl w:val="0"/>
                    <w:kinsoku/>
                    <w:wordWrap/>
                    <w:overflowPunct/>
                    <w:topLinePunct w:val="0"/>
                    <w:autoSpaceDE/>
                    <w:autoSpaceDN/>
                    <w:bidi w:val="0"/>
                    <w:spacing w:line="240" w:lineRule="auto"/>
                    <w:jc w:val="left"/>
                    <w:textAlignment w:val="auto"/>
                    <w:rPr>
                      <w:rFonts w:hint="default"/>
                      <w:color w:val="auto"/>
                      <w:sz w:val="22"/>
                      <w:szCs w:val="22"/>
                      <w:highlight w:val="none"/>
                      <w:lang w:val="en-US" w:eastAsia="zh-CN"/>
                    </w:rPr>
                  </w:pPr>
                  <w:r>
                    <w:rPr>
                      <w:rFonts w:hint="eastAsia" w:ascii="宋体" w:hAnsi="宋体"/>
                      <w:color w:val="auto"/>
                      <w:sz w:val="22"/>
                      <w:szCs w:val="22"/>
                      <w:highlight w:val="none"/>
                    </w:rPr>
                    <w:t>提供相关证书证明材料，未提供的不得分。</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宋体" w:hAnsi="宋体" w:eastAsia="宋体" w:cs="宋体"/>
                      <w:b w:val="0"/>
                      <w:bCs w:val="0"/>
                      <w:color w:val="auto"/>
                      <w:kern w:val="0"/>
                      <w:sz w:val="22"/>
                      <w:szCs w:val="22"/>
                      <w:highlight w:val="none"/>
                      <w:lang w:val="en-US" w:eastAsia="zh-CN"/>
                    </w:rPr>
                  </w:pPr>
                  <w:r>
                    <w:rPr>
                      <w:rFonts w:hint="eastAsia" w:ascii="宋体" w:hAnsi="宋体" w:eastAsia="宋体" w:cs="宋体"/>
                      <w:b w:val="0"/>
                      <w:bCs w:val="0"/>
                      <w:color w:val="auto"/>
                      <w:kern w:val="0"/>
                      <w:sz w:val="22"/>
                      <w:szCs w:val="22"/>
                      <w:highlight w:val="none"/>
                      <w:lang w:val="en-US" w:eastAsia="zh-CN"/>
                    </w:rPr>
                    <w:t>9分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restart"/>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3</w:t>
                  </w:r>
                </w:p>
              </w:tc>
              <w:tc>
                <w:tcPr>
                  <w:tcW w:w="1777" w:type="dxa"/>
                  <w:vMerge w:val="restart"/>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Calibri" w:hAnsi="Calibri" w:eastAsia="宋体" w:cs="Times New Roman"/>
                      <w:color w:val="auto"/>
                      <w:sz w:val="22"/>
                      <w:szCs w:val="22"/>
                      <w:highlight w:val="none"/>
                      <w:lang w:val="en-US" w:eastAsia="zh-CN"/>
                    </w:rPr>
                  </w:pPr>
                  <w:r>
                    <w:rPr>
                      <w:rFonts w:hint="eastAsia" w:ascii="Calibri" w:hAnsi="Calibri" w:eastAsia="宋体" w:cs="Times New Roman"/>
                      <w:color w:val="auto"/>
                      <w:sz w:val="22"/>
                      <w:szCs w:val="22"/>
                      <w:highlight w:val="none"/>
                      <w:lang w:val="en-US" w:eastAsia="zh-CN"/>
                    </w:rPr>
                    <w:t>人员配备</w:t>
                  </w:r>
                </w:p>
                <w:p>
                  <w:pPr>
                    <w:keepNext w:val="0"/>
                    <w:keepLines w:val="0"/>
                    <w:pageBreakBefore w:val="0"/>
                    <w:widowControl w:val="0"/>
                    <w:kinsoku/>
                    <w:wordWrap/>
                    <w:overflowPunct/>
                    <w:topLinePunct w:val="0"/>
                    <w:autoSpaceDE/>
                    <w:autoSpaceDN/>
                    <w:bidi w:val="0"/>
                    <w:spacing w:line="240" w:lineRule="auto"/>
                    <w:jc w:val="center"/>
                    <w:textAlignment w:val="auto"/>
                    <w:rPr>
                      <w:rFonts w:hint="default"/>
                      <w:color w:val="auto"/>
                      <w:sz w:val="22"/>
                      <w:szCs w:val="22"/>
                      <w:highlight w:val="none"/>
                      <w:lang w:val="en-US" w:eastAsia="zh-CN"/>
                    </w:rPr>
                  </w:pPr>
                  <w:r>
                    <w:rPr>
                      <w:rFonts w:hint="eastAsia" w:ascii="Calibri" w:hAnsi="Calibri" w:eastAsia="宋体" w:cs="Times New Roman"/>
                      <w:color w:val="auto"/>
                      <w:sz w:val="22"/>
                      <w:szCs w:val="22"/>
                      <w:highlight w:val="none"/>
                      <w:lang w:val="en-US" w:eastAsia="zh-CN"/>
                    </w:rPr>
                    <w:t>（22分</w:t>
                  </w:r>
                  <w:r>
                    <w:rPr>
                      <w:rFonts w:hint="eastAsia"/>
                      <w:color w:val="auto"/>
                      <w:sz w:val="22"/>
                      <w:szCs w:val="22"/>
                      <w:highlight w:val="none"/>
                    </w:rPr>
                    <w:t>）</w:t>
                  </w:r>
                </w:p>
              </w:tc>
              <w:tc>
                <w:tcPr>
                  <w:tcW w:w="5873"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项目总负责人：</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①同时具备测绘地理信息（测量、测绘）高级工程师及以上技术职称和注册测绘师资格的得2分。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②具有保密行政管理部门颁发的涉密人员培训证书的得2分，具有省级及以上测绘地理信息行业相关部门颁发的测绘地理信息保密知识培训人员证书的得1分；满分2分。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color w:val="auto"/>
                      <w:sz w:val="22"/>
                      <w:szCs w:val="22"/>
                      <w:highlight w:val="none"/>
                    </w:rPr>
                  </w:pPr>
                  <w:r>
                    <w:rPr>
                      <w:rFonts w:hint="eastAsia" w:ascii="Calibri" w:hAnsi="Calibri" w:eastAsia="宋体" w:cs="Calibri"/>
                      <w:color w:val="auto"/>
                      <w:sz w:val="22"/>
                      <w:szCs w:val="22"/>
                      <w:highlight w:val="none"/>
                      <w:lang w:val="en-US" w:eastAsia="zh-CN"/>
                    </w:rPr>
                    <w:t>（提供相关证书及近2个月内出具的社保证明复印件）</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lang w:val="en-US" w:eastAsia="zh-CN"/>
                    </w:rPr>
                    <w:t>4</w:t>
                  </w:r>
                  <w:r>
                    <w:rPr>
                      <w:rFonts w:hint="eastAsia" w:ascii="宋体" w:hAnsi="宋体" w:eastAsia="宋体" w:cs="宋体"/>
                      <w:b w:val="0"/>
                      <w:bCs w:val="0"/>
                      <w:color w:val="auto"/>
                      <w:kern w:val="0"/>
                      <w:sz w:val="22"/>
                      <w:szCs w:val="22"/>
                      <w:highlight w:val="none"/>
                    </w:rPr>
                    <w:t>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项目技术负责人：</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①同时具备测绘地理信息（测量、测绘）高级工程师及以上技术职称和注册测绘师资格的得2分。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②具有保密行政管理部门颁发的涉密人员培训证书的得2分，具有省级及以上测绘地理信息行业相关部门颁发的测绘地理信息保密知识培训人员证书的得1分；满分2分。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b w:val="0"/>
                      <w:bCs w:val="0"/>
                      <w:color w:val="auto"/>
                      <w:kern w:val="0"/>
                      <w:sz w:val="22"/>
                      <w:szCs w:val="22"/>
                      <w:highlight w:val="none"/>
                    </w:rPr>
                  </w:pPr>
                  <w:r>
                    <w:rPr>
                      <w:rFonts w:hint="eastAsia" w:ascii="Calibri" w:hAnsi="Calibri" w:eastAsia="宋体" w:cs="Calibri"/>
                      <w:color w:val="auto"/>
                      <w:sz w:val="22"/>
                      <w:szCs w:val="22"/>
                      <w:highlight w:val="none"/>
                      <w:lang w:val="en-US" w:eastAsia="zh-CN"/>
                    </w:rPr>
                    <w:t>（提供相关证书及近2个月内出具的社保证明复印件）</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lang w:val="en-US" w:eastAsia="zh-CN"/>
                    </w:rPr>
                    <w:t>4</w:t>
                  </w:r>
                  <w:r>
                    <w:rPr>
                      <w:rFonts w:hint="eastAsia" w:ascii="宋体" w:hAnsi="宋体" w:eastAsia="宋体" w:cs="宋体"/>
                      <w:b w:val="0"/>
                      <w:bCs w:val="0"/>
                      <w:color w:val="auto"/>
                      <w:kern w:val="0"/>
                      <w:sz w:val="22"/>
                      <w:szCs w:val="22"/>
                      <w:highlight w:val="none"/>
                    </w:rPr>
                    <w:t>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项目</w:t>
                  </w:r>
                  <w:r>
                    <w:rPr>
                      <w:rFonts w:hint="eastAsia" w:ascii="宋体" w:hAnsi="宋体" w:cs="宋体"/>
                      <w:b w:val="0"/>
                      <w:bCs w:val="0"/>
                      <w:color w:val="auto"/>
                      <w:kern w:val="0"/>
                      <w:sz w:val="22"/>
                      <w:szCs w:val="22"/>
                      <w:highlight w:val="none"/>
                      <w:lang w:val="en-US" w:eastAsia="zh-CN"/>
                    </w:rPr>
                    <w:t>质量</w:t>
                  </w:r>
                  <w:r>
                    <w:rPr>
                      <w:rFonts w:hint="eastAsia" w:ascii="宋体" w:hAnsi="宋体" w:eastAsia="宋体" w:cs="宋体"/>
                      <w:b w:val="0"/>
                      <w:bCs w:val="0"/>
                      <w:color w:val="auto"/>
                      <w:kern w:val="0"/>
                      <w:sz w:val="22"/>
                      <w:szCs w:val="22"/>
                      <w:highlight w:val="none"/>
                    </w:rPr>
                    <w:t>负责人：</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①同时具备测绘地理信息（测量、测绘）高级工程师及以上技术职称和注册测绘师资格的得2分。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②具有保密行政管理部门颁发的涉密人员培训证书的得2分，具有省级及以上测绘地理信息行业相关部门颁发的测绘地理信息保密知识培训人员证书的得1分；满分2分。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b w:val="0"/>
                      <w:bCs w:val="0"/>
                      <w:color w:val="auto"/>
                      <w:kern w:val="0"/>
                      <w:sz w:val="22"/>
                      <w:szCs w:val="22"/>
                      <w:highlight w:val="none"/>
                      <w:lang w:val="en-US" w:eastAsia="zh-CN"/>
                    </w:rPr>
                  </w:pPr>
                  <w:r>
                    <w:rPr>
                      <w:rFonts w:hint="eastAsia" w:ascii="Calibri" w:hAnsi="Calibri" w:eastAsia="宋体" w:cs="Calibri"/>
                      <w:color w:val="auto"/>
                      <w:sz w:val="22"/>
                      <w:szCs w:val="22"/>
                      <w:highlight w:val="none"/>
                      <w:lang w:val="en-US" w:eastAsia="zh-CN"/>
                    </w:rPr>
                    <w:t>（提供相关证书及近2个月内出具的社保证明复印件）</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宋体" w:hAnsi="宋体" w:eastAsia="宋体" w:cs="宋体"/>
                      <w:b w:val="0"/>
                      <w:bCs w:val="0"/>
                      <w:color w:val="auto"/>
                      <w:kern w:val="0"/>
                      <w:sz w:val="22"/>
                      <w:szCs w:val="22"/>
                      <w:highlight w:val="none"/>
                      <w:lang w:val="en-US" w:eastAsia="zh-CN"/>
                    </w:rPr>
                  </w:pPr>
                  <w:r>
                    <w:rPr>
                      <w:rFonts w:hint="eastAsia" w:ascii="宋体" w:hAnsi="宋体" w:cs="宋体"/>
                      <w:b w:val="0"/>
                      <w:bCs w:val="0"/>
                      <w:color w:val="auto"/>
                      <w:kern w:val="0"/>
                      <w:sz w:val="22"/>
                      <w:szCs w:val="22"/>
                      <w:highlight w:val="none"/>
                      <w:lang w:val="en-US" w:eastAsia="zh-CN"/>
                    </w:rPr>
                    <w:t>4分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项目组其他成员中（不含项目总负责人</w:t>
                  </w:r>
                  <w:r>
                    <w:rPr>
                      <w:rFonts w:hint="eastAsia" w:ascii="宋体" w:hAnsi="宋体" w:eastAsia="宋体" w:cs="宋体"/>
                      <w:b w:val="0"/>
                      <w:bCs w:val="0"/>
                      <w:color w:val="auto"/>
                      <w:kern w:val="0"/>
                      <w:sz w:val="22"/>
                      <w:szCs w:val="22"/>
                      <w:highlight w:val="none"/>
                      <w:lang w:eastAsia="zh-CN"/>
                    </w:rPr>
                    <w:t>、</w:t>
                  </w:r>
                  <w:r>
                    <w:rPr>
                      <w:rFonts w:hint="eastAsia" w:ascii="宋体" w:hAnsi="宋体" w:eastAsia="宋体" w:cs="宋体"/>
                      <w:b w:val="0"/>
                      <w:bCs w:val="0"/>
                      <w:color w:val="auto"/>
                      <w:kern w:val="0"/>
                      <w:sz w:val="22"/>
                      <w:szCs w:val="22"/>
                      <w:highlight w:val="none"/>
                    </w:rPr>
                    <w:t>项目技术负责人</w:t>
                  </w:r>
                  <w:r>
                    <w:rPr>
                      <w:rFonts w:hint="eastAsia" w:ascii="Calibri" w:hAnsi="Calibri" w:eastAsia="宋体" w:cs="Calibri"/>
                      <w:color w:val="auto"/>
                      <w:sz w:val="22"/>
                      <w:szCs w:val="22"/>
                      <w:highlight w:val="none"/>
                      <w:lang w:val="en-US" w:eastAsia="zh-CN"/>
                    </w:rPr>
                    <w:t>及项目质量负责人）具有“保密行政管理部门颁发的涉密人员培训证书”的，每人得1分，最多得3分。（提供相关证书及近2个月内出具的社保证明复印件）</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lang w:val="en-US" w:eastAsia="zh-CN"/>
                    </w:rPr>
                    <w:t>3</w:t>
                  </w:r>
                  <w:r>
                    <w:rPr>
                      <w:rFonts w:hint="eastAsia" w:ascii="宋体" w:hAnsi="宋体" w:eastAsia="宋体" w:cs="宋体"/>
                      <w:b w:val="0"/>
                      <w:bCs w:val="0"/>
                      <w:color w:val="auto"/>
                      <w:kern w:val="0"/>
                      <w:sz w:val="22"/>
                      <w:szCs w:val="22"/>
                      <w:highlight w:val="none"/>
                    </w:rPr>
                    <w:t>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项目组其他成员中（不含项目总负责人、项目技术负责人及项目质量负责人）同时具备测绘地理信息（测量、测绘）高级工程师及以上技术职称和注册测绘师资格的，每人得1分，最多得2分。（提供相关证书及近2个月内出具的社保证明复印件）</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宋体" w:hAnsi="宋体" w:eastAsia="宋体" w:cs="宋体"/>
                      <w:b w:val="0"/>
                      <w:bCs w:val="0"/>
                      <w:color w:val="auto"/>
                      <w:kern w:val="0"/>
                      <w:sz w:val="22"/>
                      <w:szCs w:val="22"/>
                      <w:highlight w:val="none"/>
                      <w:lang w:val="en-US" w:eastAsia="zh-CN"/>
                    </w:rPr>
                  </w:pPr>
                  <w:r>
                    <w:rPr>
                      <w:rFonts w:hint="eastAsia" w:ascii="宋体" w:hAnsi="宋体" w:eastAsia="宋体" w:cs="宋体"/>
                      <w:b w:val="0"/>
                      <w:bCs w:val="0"/>
                      <w:color w:val="auto"/>
                      <w:kern w:val="0"/>
                      <w:sz w:val="22"/>
                      <w:szCs w:val="22"/>
                      <w:highlight w:val="none"/>
                      <w:lang w:val="en-US" w:eastAsia="zh-CN"/>
                    </w:rPr>
                    <w:t>2分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76"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宋体" w:hAnsi="宋体" w:eastAsia="宋体" w:cs="宋体"/>
                      <w:b w:val="0"/>
                      <w:bCs w:val="0"/>
                      <w:color w:val="auto"/>
                      <w:kern w:val="2"/>
                      <w:sz w:val="22"/>
                      <w:szCs w:val="22"/>
                      <w:highlight w:val="none"/>
                      <w:lang w:val="en-US" w:eastAsia="zh-CN" w:bidi="ar-SA"/>
                    </w:rPr>
                  </w:pPr>
                </w:p>
              </w:tc>
              <w:tc>
                <w:tcPr>
                  <w:tcW w:w="1777" w:type="dxa"/>
                  <w:vMerge w:val="continue"/>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项目组其他成员中（不含项目总负责人、项目技术负责人及项目质量负责人）：具有测绘地理信息（测绘、测量）中级及以上专业技术职称人数≥15人的得5分，10-15人(不含）的得3分，10人（不含）以下不得分。（提供相关证书及近2个月内出具的社保证明复印件）</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lang w:val="en-US" w:eastAsia="zh-CN"/>
                    </w:rPr>
                    <w:t>5</w:t>
                  </w:r>
                  <w:r>
                    <w:rPr>
                      <w:rFonts w:hint="eastAsia" w:ascii="宋体" w:hAnsi="宋体" w:eastAsia="宋体" w:cs="宋体"/>
                      <w:b w:val="0"/>
                      <w:bCs w:val="0"/>
                      <w:color w:val="auto"/>
                      <w:kern w:val="0"/>
                      <w:sz w:val="22"/>
                      <w:szCs w:val="22"/>
                      <w:highlight w:val="none"/>
                    </w:rPr>
                    <w:t>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eastAsia="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4</w:t>
                  </w:r>
                </w:p>
              </w:tc>
              <w:tc>
                <w:tcPr>
                  <w:tcW w:w="1777"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投标供应商</w:t>
                  </w:r>
                  <w:r>
                    <w:rPr>
                      <w:rFonts w:hint="eastAsia" w:ascii="宋体" w:hAnsi="宋体" w:eastAsia="宋体" w:cs="宋体"/>
                      <w:b w:val="0"/>
                      <w:bCs w:val="0"/>
                      <w:color w:val="auto"/>
                      <w:kern w:val="0"/>
                      <w:sz w:val="22"/>
                      <w:szCs w:val="22"/>
                      <w:highlight w:val="none"/>
                      <w:lang w:val="en-US" w:eastAsia="zh-CN"/>
                    </w:rPr>
                    <w:t>项目获奖</w:t>
                  </w:r>
                  <w:r>
                    <w:rPr>
                      <w:rFonts w:hint="eastAsia" w:ascii="宋体" w:hAnsi="宋体" w:eastAsia="宋体" w:cs="宋体"/>
                      <w:b w:val="0"/>
                      <w:bCs w:val="0"/>
                      <w:color w:val="auto"/>
                      <w:kern w:val="0"/>
                      <w:sz w:val="22"/>
                      <w:szCs w:val="22"/>
                      <w:highlight w:val="none"/>
                    </w:rPr>
                    <w:t>（</w:t>
                  </w:r>
                  <w:r>
                    <w:rPr>
                      <w:rFonts w:hint="eastAsia" w:ascii="宋体" w:hAnsi="宋体" w:eastAsia="宋体" w:cs="宋体"/>
                      <w:b w:val="0"/>
                      <w:bCs w:val="0"/>
                      <w:color w:val="auto"/>
                      <w:kern w:val="0"/>
                      <w:sz w:val="22"/>
                      <w:szCs w:val="22"/>
                      <w:highlight w:val="none"/>
                      <w:lang w:val="en-US" w:eastAsia="zh-CN"/>
                    </w:rPr>
                    <w:t>5</w:t>
                  </w:r>
                  <w:r>
                    <w:rPr>
                      <w:rFonts w:hint="eastAsia" w:ascii="宋体" w:hAnsi="宋体" w:eastAsia="宋体" w:cs="宋体"/>
                      <w:b w:val="0"/>
                      <w:bCs w:val="0"/>
                      <w:color w:val="auto"/>
                      <w:kern w:val="0"/>
                      <w:sz w:val="22"/>
                      <w:szCs w:val="22"/>
                      <w:highlight w:val="none"/>
                    </w:rPr>
                    <w:t>分）</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b w:val="0"/>
                      <w:bCs w:val="0"/>
                      <w:color w:val="auto"/>
                      <w:kern w:val="0"/>
                      <w:sz w:val="22"/>
                      <w:szCs w:val="22"/>
                      <w:highlight w:val="none"/>
                    </w:rPr>
                  </w:pPr>
                </w:p>
              </w:tc>
              <w:tc>
                <w:tcPr>
                  <w:tcW w:w="5873" w:type="dxa"/>
                  <w:noWrap w:val="0"/>
                  <w:tcMar>
                    <w:top w:w="57" w:type="dxa"/>
                    <w:bottom w:w="57" w:type="dxa"/>
                  </w:tcMar>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①投标人2019年1月1日至今（以荣誉证书落款时间为准）完成的测绘与地理信息类项目获得省级及以上机构颁发的奖项的，每个奖项得3分，最高得3分；测绘与地理信息类项目获得市级机构颁发的奖项的，每个奖项得1分，最高得2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Calibri" w:hAnsi="Calibri" w:eastAsia="宋体" w:cs="Calibri"/>
                      <w:color w:val="auto"/>
                      <w:sz w:val="22"/>
                      <w:szCs w:val="22"/>
                      <w:highlight w:val="none"/>
                      <w:lang w:val="en-US" w:eastAsia="zh-CN"/>
                    </w:rPr>
                  </w:pPr>
                  <w:r>
                    <w:rPr>
                      <w:rFonts w:hint="eastAsia" w:ascii="Calibri" w:hAnsi="Calibri" w:eastAsia="宋体" w:cs="Calibri"/>
                      <w:color w:val="auto"/>
                      <w:sz w:val="22"/>
                      <w:szCs w:val="22"/>
                      <w:highlight w:val="none"/>
                      <w:lang w:val="en-US" w:eastAsia="zh-CN"/>
                    </w:rPr>
                    <w:t>本项最高得5分。注：提供相关证书复印件。</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r>
                    <w:rPr>
                      <w:rFonts w:hint="eastAsia" w:ascii="宋体" w:hAnsi="宋体" w:cs="宋体"/>
                      <w:b w:val="0"/>
                      <w:bCs w:val="0"/>
                      <w:color w:val="auto"/>
                      <w:kern w:val="0"/>
                      <w:sz w:val="22"/>
                      <w:szCs w:val="22"/>
                      <w:highlight w:val="none"/>
                      <w:lang w:val="en-US" w:eastAsia="zh-CN"/>
                    </w:rPr>
                    <w:t>5</w:t>
                  </w:r>
                  <w:r>
                    <w:rPr>
                      <w:rFonts w:hint="eastAsia" w:ascii="宋体" w:hAnsi="宋体" w:eastAsia="宋体" w:cs="宋体"/>
                      <w:b w:val="0"/>
                      <w:bCs w:val="0"/>
                      <w:color w:val="auto"/>
                      <w:kern w:val="0"/>
                      <w:sz w:val="22"/>
                      <w:szCs w:val="22"/>
                      <w:highlight w:val="none"/>
                    </w:rPr>
                    <w:t>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kern w:val="2"/>
                      <w:sz w:val="22"/>
                      <w:szCs w:val="22"/>
                      <w:highlight w:val="none"/>
                      <w:lang w:val="en-US" w:eastAsia="zh-CN" w:bidi="ar-SA"/>
                    </w:rPr>
                    <w:t>5</w:t>
                  </w:r>
                </w:p>
              </w:tc>
              <w:tc>
                <w:tcPr>
                  <w:tcW w:w="1777"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投标供应商业绩（</w:t>
                  </w:r>
                  <w:r>
                    <w:rPr>
                      <w:rFonts w:hint="eastAsia" w:ascii="宋体" w:hAnsi="宋体" w:eastAsia="宋体" w:cs="宋体"/>
                      <w:b w:val="0"/>
                      <w:bCs w:val="0"/>
                      <w:color w:val="auto"/>
                      <w:kern w:val="0"/>
                      <w:sz w:val="22"/>
                      <w:szCs w:val="22"/>
                      <w:highlight w:val="none"/>
                      <w:lang w:val="en-US" w:eastAsia="zh-CN"/>
                    </w:rPr>
                    <w:t>1</w:t>
                  </w:r>
                  <w:r>
                    <w:rPr>
                      <w:rFonts w:hint="eastAsia" w:ascii="宋体" w:hAnsi="宋体" w:eastAsia="宋体" w:cs="宋体"/>
                      <w:b w:val="0"/>
                      <w:bCs w:val="0"/>
                      <w:color w:val="auto"/>
                      <w:kern w:val="0"/>
                      <w:sz w:val="22"/>
                      <w:szCs w:val="22"/>
                      <w:highlight w:val="none"/>
                    </w:rPr>
                    <w:t>分）</w:t>
                  </w:r>
                </w:p>
              </w:tc>
              <w:tc>
                <w:tcPr>
                  <w:tcW w:w="5873"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val="0"/>
                      <w:color w:val="auto"/>
                      <w:kern w:val="0"/>
                      <w:sz w:val="22"/>
                      <w:szCs w:val="22"/>
                      <w:highlight w:val="none"/>
                    </w:rPr>
                  </w:pPr>
                  <w:r>
                    <w:rPr>
                      <w:rFonts w:hint="eastAsia" w:ascii="宋体" w:hAnsi="宋体" w:eastAsia="宋体" w:cs="宋体"/>
                      <w:b w:val="0"/>
                      <w:bCs w:val="0"/>
                      <w:color w:val="auto"/>
                      <w:kern w:val="0"/>
                      <w:sz w:val="22"/>
                      <w:szCs w:val="22"/>
                      <w:highlight w:val="none"/>
                    </w:rPr>
                    <w:t>供应商承担地下管线普查类项目，每提供1个业绩得</w:t>
                  </w:r>
                  <w:r>
                    <w:rPr>
                      <w:rFonts w:hint="eastAsia" w:ascii="宋体" w:hAnsi="宋体" w:eastAsia="宋体" w:cs="宋体"/>
                      <w:b w:val="0"/>
                      <w:bCs w:val="0"/>
                      <w:color w:val="auto"/>
                      <w:kern w:val="0"/>
                      <w:sz w:val="22"/>
                      <w:szCs w:val="22"/>
                      <w:highlight w:val="none"/>
                      <w:lang w:val="en-US" w:eastAsia="zh-CN"/>
                    </w:rPr>
                    <w:t>1</w:t>
                  </w:r>
                  <w:r>
                    <w:rPr>
                      <w:rFonts w:hint="eastAsia" w:ascii="宋体" w:hAnsi="宋体" w:eastAsia="宋体" w:cs="宋体"/>
                      <w:b w:val="0"/>
                      <w:bCs w:val="0"/>
                      <w:color w:val="auto"/>
                      <w:kern w:val="0"/>
                      <w:sz w:val="22"/>
                      <w:szCs w:val="22"/>
                      <w:highlight w:val="none"/>
                    </w:rPr>
                    <w:t>分，最高得</w:t>
                  </w:r>
                  <w:r>
                    <w:rPr>
                      <w:rFonts w:hint="eastAsia" w:ascii="宋体" w:hAnsi="宋体" w:cs="宋体"/>
                      <w:b w:val="0"/>
                      <w:bCs w:val="0"/>
                      <w:color w:val="auto"/>
                      <w:kern w:val="0"/>
                      <w:sz w:val="22"/>
                      <w:szCs w:val="22"/>
                      <w:highlight w:val="none"/>
                      <w:lang w:val="en-US" w:eastAsia="zh-CN"/>
                    </w:rPr>
                    <w:t>1</w:t>
                  </w:r>
                  <w:r>
                    <w:rPr>
                      <w:rFonts w:hint="eastAsia" w:ascii="宋体" w:hAnsi="宋体" w:eastAsia="宋体" w:cs="宋体"/>
                      <w:b w:val="0"/>
                      <w:bCs w:val="0"/>
                      <w:color w:val="auto"/>
                      <w:kern w:val="0"/>
                      <w:sz w:val="22"/>
                      <w:szCs w:val="22"/>
                      <w:highlight w:val="none"/>
                    </w:rPr>
                    <w:t>分。（以合同和省级及以上测绘产品质量监督检验部门出具的检验报告为准，同时提供合同和检验报告扫描件，未提供不得分。）</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kern w:val="0"/>
                      <w:sz w:val="22"/>
                      <w:szCs w:val="22"/>
                      <w:highlight w:val="none"/>
                    </w:rPr>
                  </w:pPr>
                  <w:r>
                    <w:rPr>
                      <w:rFonts w:hint="eastAsia" w:ascii="宋体" w:hAnsi="宋体" w:cs="宋体"/>
                      <w:b w:val="0"/>
                      <w:bCs w:val="0"/>
                      <w:color w:val="auto"/>
                      <w:kern w:val="0"/>
                      <w:sz w:val="22"/>
                      <w:szCs w:val="22"/>
                      <w:highlight w:val="none"/>
                      <w:lang w:val="en-US" w:eastAsia="zh-CN"/>
                    </w:rPr>
                    <w:t>1</w:t>
                  </w:r>
                  <w:r>
                    <w:rPr>
                      <w:rFonts w:hint="eastAsia" w:ascii="宋体" w:hAnsi="宋体" w:eastAsia="宋体" w:cs="宋体"/>
                      <w:b w:val="0"/>
                      <w:bCs w:val="0"/>
                      <w:color w:val="auto"/>
                      <w:kern w:val="0"/>
                      <w:sz w:val="22"/>
                      <w:szCs w:val="22"/>
                      <w:highlight w:val="none"/>
                    </w:rPr>
                    <w:t>分</w:t>
                  </w:r>
                </w:p>
              </w:tc>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left="-63" w:leftChars="-30" w:right="-63" w:rightChars="-30"/>
                    <w:jc w:val="center"/>
                    <w:textAlignment w:val="auto"/>
                    <w:rPr>
                      <w:rFonts w:hint="eastAsia" w:ascii="宋体" w:hAnsi="宋体" w:cs="宋体"/>
                      <w:b w:val="0"/>
                      <w:bCs w:val="0"/>
                      <w:color w:val="auto"/>
                      <w:kern w:val="0"/>
                      <w:sz w:val="20"/>
                      <w:szCs w:val="20"/>
                      <w:highlight w:val="none"/>
                      <w:lang w:val="en-US" w:eastAsia="zh-CN"/>
                    </w:rPr>
                  </w:pPr>
                  <w:r>
                    <w:rPr>
                      <w:rFonts w:hint="eastAsia" w:ascii="宋体" w:hAnsi="宋体" w:eastAsia="宋体" w:cs="宋体"/>
                      <w:b w:val="0"/>
                      <w:bCs w:val="0"/>
                      <w:color w:val="auto"/>
                      <w:kern w:val="0"/>
                      <w:sz w:val="20"/>
                      <w:szCs w:val="20"/>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6" w:type="dxa"/>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b w:val="0"/>
                      <w:bCs w:val="0"/>
                      <w:color w:val="auto"/>
                      <w:kern w:val="2"/>
                      <w:sz w:val="22"/>
                      <w:szCs w:val="22"/>
                      <w:highlight w:val="none"/>
                      <w:lang w:val="en-US" w:eastAsia="zh-CN" w:bidi="ar-SA"/>
                    </w:rPr>
                  </w:pPr>
                </w:p>
              </w:tc>
              <w:tc>
                <w:tcPr>
                  <w:tcW w:w="7650" w:type="dxa"/>
                  <w:gridSpan w:val="2"/>
                  <w:noWrap w:val="0"/>
                  <w:tcMar>
                    <w:top w:w="57" w:type="dxa"/>
                    <w:bottom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val="0"/>
                      <w:bCs w:val="0"/>
                      <w:color w:val="auto"/>
                      <w:kern w:val="0"/>
                      <w:sz w:val="22"/>
                      <w:szCs w:val="22"/>
                      <w:highlight w:val="none"/>
                      <w:lang w:val="en-US" w:eastAsia="zh-CN"/>
                    </w:rPr>
                  </w:pPr>
                  <w:r>
                    <w:rPr>
                      <w:rFonts w:hint="eastAsia" w:ascii="宋体" w:hAnsi="宋体" w:eastAsia="宋体" w:cs="宋体"/>
                      <w:b w:val="0"/>
                      <w:bCs w:val="0"/>
                      <w:color w:val="auto"/>
                      <w:kern w:val="0"/>
                      <w:sz w:val="22"/>
                      <w:szCs w:val="22"/>
                      <w:highlight w:val="none"/>
                      <w:lang w:val="en-US" w:eastAsia="zh-CN"/>
                    </w:rPr>
                    <w:t>合计</w:t>
                  </w:r>
                </w:p>
              </w:tc>
              <w:tc>
                <w:tcPr>
                  <w:tcW w:w="75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宋体" w:hAnsi="宋体" w:cs="宋体"/>
                      <w:b w:val="0"/>
                      <w:bCs w:val="0"/>
                      <w:color w:val="auto"/>
                      <w:kern w:val="0"/>
                      <w:sz w:val="22"/>
                      <w:szCs w:val="22"/>
                      <w:highlight w:val="none"/>
                      <w:lang w:val="en-US" w:eastAsia="zh-CN"/>
                    </w:rPr>
                  </w:pPr>
                  <w:r>
                    <w:rPr>
                      <w:rFonts w:hint="eastAsia" w:ascii="宋体" w:hAnsi="宋体" w:cs="宋体"/>
                      <w:b w:val="0"/>
                      <w:bCs w:val="0"/>
                      <w:color w:val="auto"/>
                      <w:kern w:val="0"/>
                      <w:sz w:val="22"/>
                      <w:szCs w:val="22"/>
                      <w:highlight w:val="none"/>
                      <w:lang w:val="en-US" w:eastAsia="zh-CN"/>
                    </w:rPr>
                    <w:t>90分</w:t>
                  </w:r>
                </w:p>
              </w:tc>
              <w:tc>
                <w:tcPr>
                  <w:tcW w:w="71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cs="宋体"/>
                      <w:b w:val="0"/>
                      <w:bCs w:val="0"/>
                      <w:color w:val="auto"/>
                      <w:kern w:val="0"/>
                      <w:sz w:val="22"/>
                      <w:szCs w:val="2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91" w:type="dxa"/>
                  <w:gridSpan w:val="5"/>
                  <w:noWrap w:val="0"/>
                  <w:tcMar>
                    <w:top w:w="57" w:type="dxa"/>
                    <w:bottom w:w="57" w:type="dxa"/>
                  </w:tcMar>
                  <w:vAlign w:val="center"/>
                </w:tcPr>
                <w:p>
                  <w:pPr>
                    <w:keepNext w:val="0"/>
                    <w:keepLines w:val="0"/>
                    <w:pageBreakBefore w:val="0"/>
                    <w:widowControl w:val="0"/>
                    <w:kinsoku/>
                    <w:wordWrap/>
                    <w:overflowPunct/>
                    <w:topLinePunct w:val="0"/>
                    <w:autoSpaceDE/>
                    <w:autoSpaceDN/>
                    <w:bidi w:val="0"/>
                    <w:spacing w:line="240" w:lineRule="auto"/>
                    <w:jc w:val="both"/>
                    <w:textAlignment w:val="auto"/>
                    <w:rPr>
                      <w:rFonts w:hint="default" w:ascii="宋体" w:hAnsi="宋体" w:cs="宋体"/>
                      <w:b w:val="0"/>
                      <w:bCs w:val="0"/>
                      <w:color w:val="auto"/>
                      <w:kern w:val="0"/>
                      <w:sz w:val="22"/>
                      <w:szCs w:val="22"/>
                      <w:highlight w:val="none"/>
                      <w:lang w:val="en-US" w:eastAsia="zh-CN"/>
                    </w:rPr>
                  </w:pPr>
                  <w:r>
                    <w:rPr>
                      <w:rFonts w:hint="eastAsia" w:ascii="宋体" w:hAnsi="宋体" w:cs="宋体"/>
                      <w:b w:val="0"/>
                      <w:bCs w:val="0"/>
                      <w:color w:val="auto"/>
                      <w:kern w:val="0"/>
                      <w:sz w:val="22"/>
                      <w:szCs w:val="22"/>
                      <w:highlight w:val="none"/>
                      <w:lang w:val="en-US" w:eastAsia="zh-CN"/>
                    </w:rPr>
                    <w:t>特别说明：以上涉及的评分内容，如以联合体（分包）形式投标的，企业证书、荣誉证书、业绩、人员配备主要负责人等均以联合体主体（牵头人）单位材料为准；人员配备</w:t>
                  </w:r>
                  <w:r>
                    <w:rPr>
                      <w:rFonts w:hint="eastAsia" w:ascii="宋体" w:hAnsi="宋体" w:eastAsia="宋体" w:cs="宋体"/>
                      <w:b w:val="0"/>
                      <w:bCs w:val="0"/>
                      <w:color w:val="auto"/>
                      <w:kern w:val="0"/>
                      <w:sz w:val="22"/>
                      <w:szCs w:val="22"/>
                      <w:highlight w:val="none"/>
                    </w:rPr>
                    <w:t>项目组其他成员中（不含项目总负责人</w:t>
                  </w:r>
                  <w:r>
                    <w:rPr>
                      <w:rFonts w:hint="eastAsia" w:ascii="宋体" w:hAnsi="宋体" w:eastAsia="宋体" w:cs="宋体"/>
                      <w:b w:val="0"/>
                      <w:bCs w:val="0"/>
                      <w:color w:val="auto"/>
                      <w:kern w:val="0"/>
                      <w:sz w:val="22"/>
                      <w:szCs w:val="22"/>
                      <w:highlight w:val="none"/>
                      <w:lang w:eastAsia="zh-CN"/>
                    </w:rPr>
                    <w:t>、</w:t>
                  </w:r>
                  <w:r>
                    <w:rPr>
                      <w:rFonts w:hint="eastAsia" w:ascii="宋体" w:hAnsi="宋体" w:eastAsia="宋体" w:cs="宋体"/>
                      <w:b w:val="0"/>
                      <w:bCs w:val="0"/>
                      <w:color w:val="auto"/>
                      <w:kern w:val="0"/>
                      <w:sz w:val="22"/>
                      <w:szCs w:val="22"/>
                      <w:highlight w:val="none"/>
                    </w:rPr>
                    <w:t>项目技术负责人</w:t>
                  </w:r>
                  <w:r>
                    <w:rPr>
                      <w:rFonts w:hint="eastAsia" w:ascii="Calibri" w:hAnsi="Calibri" w:eastAsia="宋体" w:cs="Calibri"/>
                      <w:color w:val="auto"/>
                      <w:sz w:val="22"/>
                      <w:szCs w:val="22"/>
                      <w:highlight w:val="none"/>
                      <w:lang w:val="en-US" w:eastAsia="zh-CN"/>
                    </w:rPr>
                    <w:t>及项目质量负责人）</w:t>
                  </w:r>
                  <w:r>
                    <w:rPr>
                      <w:rFonts w:hint="eastAsia" w:ascii="宋体" w:hAnsi="宋体" w:cs="宋体"/>
                      <w:b w:val="0"/>
                      <w:bCs w:val="0"/>
                      <w:color w:val="auto"/>
                      <w:kern w:val="0"/>
                      <w:sz w:val="22"/>
                      <w:szCs w:val="22"/>
                      <w:highlight w:val="none"/>
                      <w:lang w:val="en-US" w:eastAsia="zh-CN"/>
                    </w:rPr>
                    <w:t>联合体主体（牵头人）单位人员占比不低于60%。</w:t>
                  </w:r>
                </w:p>
              </w:tc>
            </w:tr>
          </w:tbl>
          <w:p>
            <w:pPr>
              <w:widowControl/>
              <w:adjustRightInd/>
              <w:jc w:val="left"/>
              <w:rPr>
                <w:rFonts w:hint="eastAsia"/>
                <w:color w:val="auto"/>
                <w:sz w:val="22"/>
                <w:szCs w:val="22"/>
                <w:highlight w:val="none"/>
                <w:lang w:eastAsia="zh-CN"/>
              </w:rPr>
            </w:pPr>
          </w:p>
          <w:p>
            <w:pPr>
              <w:widowControl/>
              <w:adjustRightInd/>
              <w:jc w:val="left"/>
              <w:rPr>
                <w:color w:val="auto"/>
                <w:sz w:val="22"/>
                <w:szCs w:val="22"/>
                <w:highlight w:val="none"/>
              </w:rPr>
            </w:pPr>
            <w:r>
              <w:rPr>
                <w:rFonts w:hint="eastAsia"/>
                <w:color w:val="auto"/>
                <w:sz w:val="22"/>
                <w:szCs w:val="22"/>
                <w:highlight w:val="none"/>
                <w:lang w:eastAsia="zh-CN"/>
              </w:rPr>
              <w:t>（二）投标</w:t>
            </w:r>
            <w:r>
              <w:rPr>
                <w:rFonts w:hint="eastAsia"/>
                <w:color w:val="auto"/>
                <w:sz w:val="22"/>
                <w:szCs w:val="22"/>
                <w:highlight w:val="none"/>
              </w:rPr>
              <w:t>报价分（</w:t>
            </w:r>
            <w:r>
              <w:rPr>
                <w:rFonts w:hint="eastAsia"/>
                <w:color w:val="auto"/>
                <w:sz w:val="22"/>
                <w:szCs w:val="22"/>
                <w:highlight w:val="none"/>
                <w:lang w:val="en-US" w:eastAsia="zh-CN"/>
              </w:rPr>
              <w:t>10</w:t>
            </w:r>
            <w:r>
              <w:rPr>
                <w:rFonts w:hint="eastAsia"/>
                <w:color w:val="auto"/>
                <w:sz w:val="22"/>
                <w:szCs w:val="22"/>
                <w:highlight w:val="none"/>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7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firstLine="440" w:firstLineChars="200"/>
                    <w:rPr>
                      <w:color w:val="auto"/>
                      <w:sz w:val="22"/>
                      <w:szCs w:val="22"/>
                      <w:highlight w:val="none"/>
                    </w:rPr>
                  </w:pPr>
                  <w:r>
                    <w:rPr>
                      <w:rFonts w:hint="eastAsia"/>
                      <w:color w:val="auto"/>
                      <w:sz w:val="22"/>
                      <w:szCs w:val="22"/>
                      <w:highlight w:val="none"/>
                    </w:rPr>
                    <w:t>价格权值</w:t>
                  </w:r>
                </w:p>
              </w:tc>
              <w:tc>
                <w:tcPr>
                  <w:tcW w:w="77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firstLine="440" w:firstLineChars="200"/>
                    <w:rPr>
                      <w:color w:val="auto"/>
                      <w:sz w:val="22"/>
                      <w:szCs w:val="22"/>
                      <w:highlight w:val="none"/>
                    </w:rPr>
                  </w:pPr>
                  <w:r>
                    <w:rPr>
                      <w:rFonts w:hint="eastAsia"/>
                      <w:color w:val="auto"/>
                      <w:sz w:val="22"/>
                      <w:szCs w:val="22"/>
                      <w:highlight w:val="non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color w:val="auto"/>
                      <w:sz w:val="22"/>
                      <w:szCs w:val="22"/>
                      <w:highlight w:val="none"/>
                      <w:lang w:eastAsia="zh-CN"/>
                    </w:rPr>
                  </w:pPr>
                  <w:r>
                    <w:rPr>
                      <w:rFonts w:hint="eastAsia"/>
                      <w:color w:val="auto"/>
                      <w:sz w:val="22"/>
                      <w:szCs w:val="22"/>
                      <w:highlight w:val="none"/>
                      <w:lang w:eastAsia="zh-CN"/>
                    </w:rPr>
                    <w:t>投标报价得分</w:t>
                  </w:r>
                </w:p>
              </w:tc>
              <w:tc>
                <w:tcPr>
                  <w:tcW w:w="778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color w:val="auto"/>
                      <w:sz w:val="22"/>
                      <w:szCs w:val="22"/>
                      <w:highlight w:val="none"/>
                    </w:rPr>
                  </w:pPr>
                  <w:r>
                    <w:rPr>
                      <w:rFonts w:hint="eastAsia"/>
                      <w:color w:val="auto"/>
                      <w:sz w:val="22"/>
                      <w:szCs w:val="22"/>
                      <w:highlight w:val="none"/>
                    </w:rPr>
                    <w:t>（</w:t>
                  </w:r>
                  <w:r>
                    <w:rPr>
                      <w:rFonts w:hint="eastAsia"/>
                      <w:color w:val="auto"/>
                      <w:sz w:val="22"/>
                      <w:szCs w:val="22"/>
                      <w:highlight w:val="none"/>
                      <w:lang w:val="en-US" w:eastAsia="zh-CN"/>
                    </w:rPr>
                    <w:t>1</w:t>
                  </w:r>
                  <w:r>
                    <w:rPr>
                      <w:rFonts w:hint="eastAsia"/>
                      <w:color w:val="auto"/>
                      <w:sz w:val="22"/>
                      <w:szCs w:val="22"/>
                      <w:highlight w:val="none"/>
                    </w:rPr>
                    <w:t>）满足</w:t>
                  </w:r>
                  <w:r>
                    <w:rPr>
                      <w:rFonts w:hint="eastAsia"/>
                      <w:color w:val="auto"/>
                      <w:sz w:val="22"/>
                      <w:szCs w:val="22"/>
                      <w:highlight w:val="none"/>
                      <w:lang w:eastAsia="zh-CN"/>
                    </w:rPr>
                    <w:t>采购文件</w:t>
                  </w:r>
                  <w:r>
                    <w:rPr>
                      <w:rFonts w:hint="eastAsia"/>
                      <w:color w:val="auto"/>
                      <w:sz w:val="22"/>
                      <w:szCs w:val="22"/>
                      <w:highlight w:val="none"/>
                    </w:rPr>
                    <w:t>要求且</w:t>
                  </w:r>
                  <w:r>
                    <w:rPr>
                      <w:rFonts w:hint="eastAsia"/>
                      <w:color w:val="auto"/>
                      <w:sz w:val="22"/>
                      <w:szCs w:val="22"/>
                      <w:highlight w:val="none"/>
                      <w:lang w:val="en-US" w:eastAsia="zh-CN"/>
                    </w:rPr>
                    <w:t>报价</w:t>
                  </w:r>
                  <w:r>
                    <w:rPr>
                      <w:rFonts w:hint="eastAsia"/>
                      <w:color w:val="auto"/>
                      <w:sz w:val="22"/>
                      <w:szCs w:val="22"/>
                      <w:highlight w:val="none"/>
                    </w:rPr>
                    <w:t>最低的投标报价为评标基准价，其价格分为</w:t>
                  </w:r>
                  <w:r>
                    <w:rPr>
                      <w:rFonts w:hint="eastAsia"/>
                      <w:color w:val="auto"/>
                      <w:sz w:val="22"/>
                      <w:szCs w:val="22"/>
                      <w:highlight w:val="none"/>
                      <w:lang w:val="en-US" w:eastAsia="zh-CN"/>
                    </w:rPr>
                    <w:t>满分</w:t>
                  </w:r>
                  <w:r>
                    <w:rPr>
                      <w:rFonts w:hint="eastAsia"/>
                      <w:color w:val="auto"/>
                      <w:sz w:val="22"/>
                      <w:szCs w:val="22"/>
                      <w:highlight w:val="none"/>
                    </w:rPr>
                    <w:t>。</w:t>
                  </w:r>
                </w:p>
                <w:p>
                  <w:pPr>
                    <w:snapToGrid w:val="0"/>
                    <w:rPr>
                      <w:rFonts w:hint="eastAsia"/>
                      <w:color w:val="auto"/>
                      <w:sz w:val="22"/>
                      <w:szCs w:val="22"/>
                      <w:highlight w:val="none"/>
                    </w:rPr>
                  </w:pPr>
                  <w:r>
                    <w:rPr>
                      <w:rFonts w:hint="eastAsia"/>
                      <w:color w:val="auto"/>
                      <w:sz w:val="22"/>
                      <w:szCs w:val="22"/>
                      <w:highlight w:val="none"/>
                    </w:rPr>
                    <w:t>（2）其他投标人的投标价格得分按以下公式计算：</w:t>
                  </w:r>
                </w:p>
                <w:p>
                  <w:pPr>
                    <w:widowControl/>
                    <w:spacing w:line="360" w:lineRule="auto"/>
                    <w:ind w:firstLine="440" w:firstLineChars="200"/>
                    <w:rPr>
                      <w:color w:val="auto"/>
                      <w:sz w:val="22"/>
                      <w:szCs w:val="22"/>
                      <w:highlight w:val="none"/>
                    </w:rPr>
                  </w:pPr>
                  <w:r>
                    <w:rPr>
                      <w:rFonts w:hint="eastAsia"/>
                      <w:color w:val="auto"/>
                      <w:sz w:val="22"/>
                      <w:szCs w:val="22"/>
                      <w:highlight w:val="none"/>
                    </w:rPr>
                    <w:t>投标报价得分=（评标基准价/</w:t>
                  </w:r>
                  <w:r>
                    <w:rPr>
                      <w:rFonts w:hint="eastAsia"/>
                      <w:color w:val="auto"/>
                      <w:sz w:val="22"/>
                      <w:szCs w:val="22"/>
                      <w:highlight w:val="none"/>
                      <w:lang w:val="zh-CN"/>
                    </w:rPr>
                    <w:t>有效投标报价</w:t>
                  </w:r>
                  <w:r>
                    <w:rPr>
                      <w:rFonts w:hint="eastAsia"/>
                      <w:color w:val="auto"/>
                      <w:sz w:val="22"/>
                      <w:szCs w:val="22"/>
                      <w:highlight w:val="none"/>
                    </w:rPr>
                    <w:t>）× 价格权值 ×100（四舍五入，保留小数点后2位）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219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color w:val="auto"/>
                      <w:sz w:val="22"/>
                      <w:szCs w:val="22"/>
                      <w:highlight w:val="none"/>
                      <w:lang w:eastAsia="zh-CN"/>
                    </w:rPr>
                  </w:pPr>
                  <w:r>
                    <w:rPr>
                      <w:rFonts w:hint="eastAsia"/>
                      <w:color w:val="auto"/>
                      <w:sz w:val="22"/>
                      <w:szCs w:val="22"/>
                      <w:highlight w:val="none"/>
                    </w:rPr>
                    <w:t>落实政府采购政策需进行的价格扣除</w:t>
                  </w:r>
                </w:p>
              </w:tc>
              <w:tc>
                <w:tcPr>
                  <w:tcW w:w="778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rPr>
                      <w:rFonts w:hint="eastAsia"/>
                      <w:color w:val="auto"/>
                      <w:sz w:val="22"/>
                      <w:szCs w:val="22"/>
                      <w:highlight w:val="none"/>
                    </w:rPr>
                  </w:pPr>
                  <w:r>
                    <w:rPr>
                      <w:rFonts w:hint="eastAsia"/>
                      <w:color w:val="auto"/>
                      <w:sz w:val="22"/>
                      <w:szCs w:val="22"/>
                      <w:highlight w:val="none"/>
                      <w:lang w:eastAsia="zh-CN"/>
                    </w:rPr>
                    <w:t>见“</w:t>
                  </w:r>
                  <w:r>
                    <w:rPr>
                      <w:rFonts w:hint="eastAsia"/>
                      <w:color w:val="auto"/>
                      <w:sz w:val="22"/>
                      <w:szCs w:val="22"/>
                      <w:highlight w:val="none"/>
                    </w:rPr>
                    <w:t>投标人须知前附表</w:t>
                  </w:r>
                  <w:r>
                    <w:rPr>
                      <w:rFonts w:hint="eastAsia"/>
                      <w:color w:val="auto"/>
                      <w:sz w:val="22"/>
                      <w:szCs w:val="22"/>
                      <w:highlight w:val="none"/>
                      <w:lang w:eastAsia="zh-CN"/>
                    </w:rPr>
                    <w:t>”</w:t>
                  </w:r>
                </w:p>
              </w:tc>
            </w:tr>
          </w:tbl>
          <w:p>
            <w:pPr>
              <w:widowControl w:val="0"/>
              <w:adjustRightInd w:val="0"/>
              <w:snapToGrid w:val="0"/>
              <w:outlineLvl w:val="1"/>
              <w:rPr>
                <w:rFonts w:hint="eastAsia" w:ascii="宋体" w:hAnsi="宋体"/>
                <w:b/>
                <w:color w:val="auto"/>
                <w:sz w:val="22"/>
                <w:szCs w:val="22"/>
                <w:highlight w:val="none"/>
                <w:u w:val="single"/>
                <w:lang w:val="en-US" w:eastAsia="zh-CN"/>
              </w:rPr>
            </w:pPr>
            <w:r>
              <w:rPr>
                <w:rFonts w:hint="eastAsia" w:ascii="宋体" w:hAnsi="宋体"/>
                <w:b/>
                <w:color w:val="auto"/>
                <w:sz w:val="22"/>
                <w:szCs w:val="22"/>
                <w:highlight w:val="none"/>
                <w:u w:val="single"/>
                <w:lang w:val="en-US" w:eastAsia="zh-CN"/>
              </w:rPr>
              <w:t>标段二：</w:t>
            </w:r>
          </w:p>
          <w:p>
            <w:pPr>
              <w:widowControl w:val="0"/>
              <w:adjustRightInd w:val="0"/>
              <w:snapToGrid w:val="0"/>
              <w:outlineLvl w:val="1"/>
              <w:rPr>
                <w:rFonts w:hint="eastAsia" w:ascii="宋体" w:hAnsi="宋体"/>
                <w:b/>
                <w:color w:val="auto"/>
                <w:sz w:val="22"/>
                <w:szCs w:val="22"/>
                <w:highlight w:val="none"/>
              </w:rPr>
            </w:pPr>
            <w:r>
              <w:rPr>
                <w:rFonts w:hint="eastAsia" w:ascii="宋体" w:hAnsi="宋体"/>
                <w:b/>
                <w:color w:val="auto"/>
                <w:sz w:val="22"/>
                <w:szCs w:val="22"/>
                <w:highlight w:val="none"/>
                <w:lang w:val="en-US" w:eastAsia="zh-CN"/>
              </w:rPr>
              <w:t>商务技术部分（90分）</w:t>
            </w:r>
            <w:r>
              <w:rPr>
                <w:rFonts w:hint="eastAsia" w:ascii="宋体" w:hAnsi="宋体"/>
                <w:b/>
                <w:color w:val="auto"/>
                <w:sz w:val="22"/>
                <w:szCs w:val="22"/>
                <w:highlight w:val="none"/>
              </w:rPr>
              <w:t xml:space="preserve">  </w:t>
            </w:r>
          </w:p>
          <w:tbl>
            <w:tblPr>
              <w:tblStyle w:val="62"/>
              <w:tblW w:w="10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582"/>
              <w:gridCol w:w="6352"/>
              <w:gridCol w:w="820"/>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noWrap w:val="0"/>
                  <w:tcMar>
                    <w:top w:w="57" w:type="dxa"/>
                    <w:bottom w:w="57" w:type="dxa"/>
                  </w:tcMar>
                  <w:vAlign w:val="center"/>
                </w:tcPr>
                <w:p>
                  <w:pPr>
                    <w:spacing w:line="280" w:lineRule="exact"/>
                    <w:jc w:val="center"/>
                    <w:rPr>
                      <w:rFonts w:ascii="新宋体" w:hAnsi="新宋体" w:eastAsia="新宋体" w:cs="微软雅黑"/>
                      <w:b/>
                      <w:color w:val="auto"/>
                      <w:sz w:val="22"/>
                      <w:szCs w:val="22"/>
                      <w:highlight w:val="none"/>
                    </w:rPr>
                  </w:pPr>
                  <w:r>
                    <w:rPr>
                      <w:rFonts w:hint="eastAsia" w:ascii="新宋体" w:hAnsi="新宋体" w:eastAsia="新宋体" w:cs="微软雅黑"/>
                      <w:b/>
                      <w:color w:val="auto"/>
                      <w:sz w:val="22"/>
                      <w:szCs w:val="22"/>
                      <w:highlight w:val="none"/>
                    </w:rPr>
                    <w:t>序号</w:t>
                  </w:r>
                </w:p>
              </w:tc>
              <w:tc>
                <w:tcPr>
                  <w:tcW w:w="1582" w:type="dxa"/>
                  <w:noWrap w:val="0"/>
                  <w:tcMar>
                    <w:top w:w="57" w:type="dxa"/>
                    <w:bottom w:w="57" w:type="dxa"/>
                  </w:tcMar>
                  <w:vAlign w:val="center"/>
                </w:tcPr>
                <w:p>
                  <w:pPr>
                    <w:spacing w:line="280" w:lineRule="exact"/>
                    <w:jc w:val="center"/>
                    <w:rPr>
                      <w:rFonts w:ascii="新宋体" w:hAnsi="新宋体" w:eastAsia="新宋体" w:cs="微软雅黑"/>
                      <w:b/>
                      <w:color w:val="auto"/>
                      <w:sz w:val="22"/>
                      <w:szCs w:val="22"/>
                      <w:highlight w:val="none"/>
                    </w:rPr>
                  </w:pPr>
                  <w:r>
                    <w:rPr>
                      <w:rFonts w:hint="eastAsia" w:ascii="新宋体" w:hAnsi="新宋体" w:eastAsia="新宋体" w:cs="微软雅黑"/>
                      <w:b/>
                      <w:color w:val="auto"/>
                      <w:sz w:val="22"/>
                      <w:szCs w:val="22"/>
                      <w:highlight w:val="none"/>
                    </w:rPr>
                    <w:t>评审内容</w:t>
                  </w:r>
                </w:p>
              </w:tc>
              <w:tc>
                <w:tcPr>
                  <w:tcW w:w="6352" w:type="dxa"/>
                  <w:noWrap w:val="0"/>
                  <w:tcMar>
                    <w:top w:w="57" w:type="dxa"/>
                    <w:bottom w:w="57" w:type="dxa"/>
                  </w:tcMar>
                  <w:vAlign w:val="center"/>
                </w:tcPr>
                <w:p>
                  <w:pPr>
                    <w:spacing w:line="280" w:lineRule="exact"/>
                    <w:jc w:val="center"/>
                    <w:rPr>
                      <w:rFonts w:ascii="新宋体" w:hAnsi="新宋体" w:eastAsia="新宋体" w:cs="微软雅黑"/>
                      <w:b/>
                      <w:color w:val="auto"/>
                      <w:sz w:val="22"/>
                      <w:szCs w:val="22"/>
                      <w:highlight w:val="none"/>
                    </w:rPr>
                  </w:pPr>
                  <w:r>
                    <w:rPr>
                      <w:rFonts w:hint="eastAsia" w:ascii="新宋体" w:hAnsi="新宋体" w:eastAsia="新宋体" w:cs="微软雅黑"/>
                      <w:b/>
                      <w:color w:val="auto"/>
                      <w:sz w:val="22"/>
                      <w:szCs w:val="22"/>
                      <w:highlight w:val="none"/>
                    </w:rPr>
                    <w:t>评分标准</w:t>
                  </w:r>
                </w:p>
              </w:tc>
              <w:tc>
                <w:tcPr>
                  <w:tcW w:w="820" w:type="dxa"/>
                  <w:noWrap w:val="0"/>
                  <w:vAlign w:val="center"/>
                </w:tcPr>
                <w:p>
                  <w:pPr>
                    <w:spacing w:line="280" w:lineRule="exact"/>
                    <w:jc w:val="center"/>
                    <w:rPr>
                      <w:rFonts w:ascii="新宋体" w:hAnsi="新宋体" w:eastAsia="新宋体" w:cs="微软雅黑"/>
                      <w:b/>
                      <w:color w:val="auto"/>
                      <w:sz w:val="22"/>
                      <w:szCs w:val="22"/>
                      <w:highlight w:val="none"/>
                    </w:rPr>
                  </w:pPr>
                  <w:r>
                    <w:rPr>
                      <w:rFonts w:hint="eastAsia" w:ascii="新宋体" w:hAnsi="新宋体" w:eastAsia="新宋体" w:cs="微软雅黑"/>
                      <w:b/>
                      <w:color w:val="auto"/>
                      <w:sz w:val="22"/>
                      <w:szCs w:val="22"/>
                      <w:highlight w:val="none"/>
                    </w:rPr>
                    <w:t>分值</w:t>
                  </w:r>
                </w:p>
              </w:tc>
              <w:tc>
                <w:tcPr>
                  <w:tcW w:w="692" w:type="dxa"/>
                  <w:noWrap w:val="0"/>
                  <w:vAlign w:val="center"/>
                </w:tcPr>
                <w:p>
                  <w:pPr>
                    <w:spacing w:line="280" w:lineRule="exact"/>
                    <w:ind w:left="-105" w:leftChars="-50" w:right="-105" w:rightChars="-50"/>
                    <w:jc w:val="center"/>
                    <w:rPr>
                      <w:rFonts w:hint="eastAsia" w:ascii="新宋体" w:hAnsi="新宋体" w:eastAsia="新宋体" w:cs="微软雅黑"/>
                      <w:b/>
                      <w:color w:val="auto"/>
                      <w:sz w:val="22"/>
                      <w:szCs w:val="22"/>
                      <w:highlight w:val="none"/>
                      <w:lang w:eastAsia="zh-CN"/>
                    </w:rPr>
                  </w:pPr>
                  <w:r>
                    <w:rPr>
                      <w:rFonts w:hint="eastAsia" w:eastAsia="新宋体"/>
                      <w:color w:val="auto"/>
                      <w:sz w:val="22"/>
                      <w:szCs w:val="22"/>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restart"/>
                  <w:noWrap w:val="0"/>
                  <w:tcMar>
                    <w:top w:w="57" w:type="dxa"/>
                    <w:bottom w:w="57" w:type="dxa"/>
                  </w:tcMar>
                  <w:vAlign w:val="center"/>
                </w:tcPr>
                <w:p>
                  <w:pPr>
                    <w:spacing w:line="280" w:lineRule="exact"/>
                    <w:jc w:val="center"/>
                    <w:rPr>
                      <w:color w:val="auto"/>
                      <w:kern w:val="0"/>
                      <w:sz w:val="22"/>
                      <w:szCs w:val="22"/>
                      <w:highlight w:val="none"/>
                    </w:rPr>
                  </w:pPr>
                  <w:r>
                    <w:rPr>
                      <w:rFonts w:hint="eastAsia" w:ascii="新宋体" w:hAnsi="新宋体" w:eastAsia="新宋体" w:cs="微软雅黑"/>
                      <w:color w:val="auto"/>
                      <w:sz w:val="22"/>
                      <w:szCs w:val="22"/>
                      <w:highlight w:val="none"/>
                    </w:rPr>
                    <w:t>1</w:t>
                  </w:r>
                </w:p>
                <w:p>
                  <w:pPr>
                    <w:ind w:left="1050"/>
                    <w:jc w:val="left"/>
                    <w:rPr>
                      <w:rFonts w:ascii="Calibri" w:hAnsi="Calibri" w:cs="Calibri"/>
                      <w:color w:val="auto"/>
                      <w:sz w:val="22"/>
                      <w:szCs w:val="22"/>
                      <w:highlight w:val="none"/>
                    </w:rPr>
                  </w:pPr>
                </w:p>
              </w:tc>
              <w:tc>
                <w:tcPr>
                  <w:tcW w:w="1582" w:type="dxa"/>
                  <w:vMerge w:val="restart"/>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r>
                    <w:rPr>
                      <w:rFonts w:ascii="新宋体" w:hAnsi="新宋体" w:eastAsia="新宋体"/>
                      <w:color w:val="auto"/>
                      <w:sz w:val="22"/>
                      <w:szCs w:val="22"/>
                      <w:highlight w:val="none"/>
                    </w:rPr>
                    <w:t>项目技术服务方案</w:t>
                  </w:r>
                  <w:r>
                    <w:rPr>
                      <w:rFonts w:hint="eastAsia" w:ascii="新宋体" w:hAnsi="新宋体" w:eastAsia="新宋体"/>
                      <w:color w:val="auto"/>
                      <w:sz w:val="22"/>
                      <w:szCs w:val="22"/>
                      <w:highlight w:val="none"/>
                    </w:rPr>
                    <w:t>（</w:t>
                  </w:r>
                  <w:r>
                    <w:rPr>
                      <w:rFonts w:hint="eastAsia" w:ascii="新宋体" w:hAnsi="新宋体" w:eastAsia="新宋体"/>
                      <w:color w:val="auto"/>
                      <w:sz w:val="22"/>
                      <w:szCs w:val="22"/>
                      <w:highlight w:val="none"/>
                      <w:lang w:val="en-US" w:eastAsia="zh-CN"/>
                    </w:rPr>
                    <w:t>37</w:t>
                  </w:r>
                  <w:r>
                    <w:rPr>
                      <w:rFonts w:hint="eastAsia" w:ascii="新宋体" w:hAnsi="新宋体" w:eastAsia="新宋体"/>
                      <w:color w:val="auto"/>
                      <w:sz w:val="22"/>
                      <w:szCs w:val="22"/>
                      <w:highlight w:val="none"/>
                    </w:rPr>
                    <w:t>分）</w:t>
                  </w:r>
                </w:p>
              </w:tc>
              <w:tc>
                <w:tcPr>
                  <w:tcW w:w="6352" w:type="dxa"/>
                  <w:noWrap w:val="0"/>
                  <w:tcMar>
                    <w:top w:w="57" w:type="dxa"/>
                    <w:bottom w:w="57" w:type="dxa"/>
                  </w:tcMar>
                  <w:vAlign w:val="center"/>
                </w:tcPr>
                <w:p>
                  <w:pPr>
                    <w:snapToGrid w:val="0"/>
                    <w:spacing w:line="30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对项目的理解与分析，由评委进行打分：</w:t>
                  </w:r>
                </w:p>
                <w:p>
                  <w:pPr>
                    <w:snapToGrid w:val="0"/>
                    <w:spacing w:line="30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 xml:space="preserve">1、对本项目背景和需求的分析（0-3分）； </w:t>
                  </w:r>
                </w:p>
                <w:p>
                  <w:pPr>
                    <w:snapToGrid w:val="0"/>
                    <w:spacing w:line="30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2、对各项工作任务的内容、数量、分布等认知情况（0-3分）；</w:t>
                  </w:r>
                </w:p>
                <w:p>
                  <w:pPr>
                    <w:snapToGrid w:val="0"/>
                    <w:spacing w:line="300" w:lineRule="exact"/>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3、结合项目特点，根据投标人对本监理项目的理解提出合理化建议，综合评分（0-3分）</w:t>
                  </w:r>
                </w:p>
                <w:p>
                  <w:pPr>
                    <w:snapToGrid w:val="0"/>
                    <w:spacing w:line="300" w:lineRule="exact"/>
                    <w:rPr>
                      <w:rFonts w:hint="default" w:ascii="新宋体" w:hAnsi="新宋体" w:eastAsia="新宋体"/>
                      <w:color w:val="auto"/>
                      <w:sz w:val="22"/>
                      <w:szCs w:val="22"/>
                      <w:highlight w:val="none"/>
                      <w:lang w:val="en-US" w:eastAsia="zh-CN"/>
                    </w:rPr>
                  </w:pPr>
                  <w:r>
                    <w:rPr>
                      <w:rFonts w:hint="eastAsia" w:ascii="新宋体" w:hAnsi="新宋体" w:eastAsia="新宋体" w:cs="新宋体"/>
                      <w:color w:val="auto"/>
                      <w:sz w:val="22"/>
                      <w:szCs w:val="22"/>
                      <w:highlight w:val="none"/>
                      <w:lang w:eastAsia="zh-CN"/>
                    </w:rPr>
                    <w:t>以上每项</w:t>
                  </w:r>
                  <w:r>
                    <w:rPr>
                      <w:rFonts w:hint="eastAsia" w:ascii="新宋体" w:hAnsi="新宋体" w:eastAsia="新宋体" w:cs="新宋体"/>
                      <w:color w:val="auto"/>
                      <w:sz w:val="22"/>
                      <w:szCs w:val="22"/>
                      <w:highlight w:val="none"/>
                    </w:rPr>
                    <w:t>方案内容全面合理、准确到位，针对性强，可行性强的得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2.1</w:t>
                  </w:r>
                  <w:r>
                    <w:rPr>
                      <w:rFonts w:hint="eastAsia" w:ascii="新宋体" w:hAnsi="新宋体" w:eastAsia="新宋体" w:cs="新宋体"/>
                      <w:color w:val="auto"/>
                      <w:sz w:val="22"/>
                      <w:szCs w:val="22"/>
                      <w:highlight w:val="none"/>
                    </w:rPr>
                    <w:t>分；方案内容基本正确，措施的合理性可行性稍有欠缺的得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分；方案内容简单，措施合理程度较差的得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0.1</w:t>
                  </w:r>
                  <w:r>
                    <w:rPr>
                      <w:rFonts w:hint="eastAsia" w:ascii="新宋体" w:hAnsi="新宋体" w:eastAsia="新宋体" w:cs="新宋体"/>
                      <w:color w:val="auto"/>
                      <w:sz w:val="22"/>
                      <w:szCs w:val="22"/>
                      <w:highlight w:val="none"/>
                    </w:rPr>
                    <w:t>分；未提供不得分。</w:t>
                  </w:r>
                  <w:r>
                    <w:rPr>
                      <w:rFonts w:hint="eastAsia" w:ascii="新宋体" w:hAnsi="新宋体" w:eastAsia="新宋体" w:cs="新宋体"/>
                      <w:color w:val="auto"/>
                      <w:sz w:val="22"/>
                      <w:szCs w:val="22"/>
                      <w:highlight w:val="none"/>
                      <w:lang w:eastAsia="zh-CN"/>
                    </w:rPr>
                    <w:t>合计最高</w:t>
                  </w:r>
                  <w:r>
                    <w:rPr>
                      <w:rFonts w:hint="eastAsia" w:ascii="新宋体" w:hAnsi="新宋体" w:eastAsia="新宋体" w:cs="新宋体"/>
                      <w:color w:val="auto"/>
                      <w:sz w:val="22"/>
                      <w:szCs w:val="22"/>
                      <w:highlight w:val="none"/>
                      <w:lang w:val="en-US" w:eastAsia="zh-CN"/>
                    </w:rPr>
                    <w:t>9分。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9分</w:t>
                  </w:r>
                </w:p>
              </w:tc>
              <w:tc>
                <w:tcPr>
                  <w:tcW w:w="692" w:type="dxa"/>
                  <w:noWrap w:val="0"/>
                  <w:vAlign w:val="center"/>
                </w:tcPr>
                <w:p>
                  <w:pPr>
                    <w:snapToGrid w:val="0"/>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continue"/>
                  <w:noWrap w:val="0"/>
                  <w:tcMar>
                    <w:top w:w="57" w:type="dxa"/>
                    <w:bottom w:w="57" w:type="dxa"/>
                  </w:tcMar>
                  <w:vAlign w:val="center"/>
                </w:tcPr>
                <w:p>
                  <w:pPr>
                    <w:ind w:left="1050"/>
                    <w:jc w:val="left"/>
                    <w:rPr>
                      <w:rFonts w:ascii="Calibri" w:hAnsi="Calibri" w:cs="Calibri"/>
                      <w:color w:val="auto"/>
                      <w:sz w:val="22"/>
                      <w:szCs w:val="22"/>
                      <w:highlight w:val="none"/>
                    </w:rPr>
                  </w:pPr>
                </w:p>
              </w:tc>
              <w:tc>
                <w:tcPr>
                  <w:tcW w:w="1582" w:type="dxa"/>
                  <w:vMerge w:val="continue"/>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p>
              </w:tc>
              <w:tc>
                <w:tcPr>
                  <w:tcW w:w="6352" w:type="dxa"/>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工作方案与技术方案：</w:t>
                  </w:r>
                </w:p>
                <w:p>
                  <w:pPr>
                    <w:numPr>
                      <w:ilvl w:val="0"/>
                      <w:numId w:val="7"/>
                    </w:numPr>
                    <w:snapToGrid w:val="0"/>
                    <w:spacing w:line="28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总体思路要求清晰明确，监理实施方案设计周密全面，符合实际、流程合理，可操作性强，符合相关标准、要求（0-</w:t>
                  </w:r>
                  <w:r>
                    <w:rPr>
                      <w:rFonts w:hint="eastAsia" w:ascii="新宋体" w:hAnsi="新宋体" w:eastAsia="新宋体"/>
                      <w:color w:val="auto"/>
                      <w:sz w:val="22"/>
                      <w:szCs w:val="22"/>
                      <w:highlight w:val="none"/>
                      <w:lang w:val="en-US" w:eastAsia="zh-CN"/>
                    </w:rPr>
                    <w:t>3</w:t>
                  </w:r>
                  <w:r>
                    <w:rPr>
                      <w:rFonts w:hint="eastAsia" w:ascii="新宋体" w:hAnsi="新宋体" w:eastAsia="新宋体"/>
                      <w:color w:val="auto"/>
                      <w:sz w:val="22"/>
                      <w:szCs w:val="22"/>
                      <w:highlight w:val="none"/>
                    </w:rPr>
                    <w:t>分）；</w:t>
                  </w:r>
                </w:p>
                <w:p>
                  <w:pPr>
                    <w:snapToGrid w:val="0"/>
                    <w:spacing w:line="28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2、工作内容全面、完善，能紧密结合温州经济技术开发区实际情况，上下工序衔接合理，有针对性和可操作性，契合实际（0-3分）；</w:t>
                  </w:r>
                </w:p>
                <w:p>
                  <w:pPr>
                    <w:pStyle w:val="2"/>
                    <w:snapToGrid w:val="0"/>
                    <w:spacing w:line="280" w:lineRule="exact"/>
                    <w:ind w:firstLine="0" w:firstLineChars="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3、项目进度安排及各阶段详细工作计划科学、合理、得当，有针对性和可操作性，满足项目要求，由评委进行打分（0-3分）。</w:t>
                  </w:r>
                  <w:r>
                    <w:rPr>
                      <w:rFonts w:hint="eastAsia" w:ascii="新宋体" w:hAnsi="新宋体" w:eastAsia="新宋体" w:cs="新宋体"/>
                      <w:color w:val="auto"/>
                      <w:sz w:val="22"/>
                      <w:szCs w:val="22"/>
                      <w:highlight w:val="none"/>
                      <w:lang w:eastAsia="zh-CN"/>
                    </w:rPr>
                    <w:t>以上每项</w:t>
                  </w:r>
                  <w:r>
                    <w:rPr>
                      <w:rFonts w:hint="eastAsia" w:ascii="新宋体" w:hAnsi="新宋体" w:eastAsia="新宋体" w:cs="新宋体"/>
                      <w:color w:val="auto"/>
                      <w:sz w:val="22"/>
                      <w:szCs w:val="22"/>
                      <w:highlight w:val="none"/>
                    </w:rPr>
                    <w:t>方案内容全面合理、准确到位，针对性强，可行性强的得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2.1</w:t>
                  </w:r>
                  <w:r>
                    <w:rPr>
                      <w:rFonts w:hint="eastAsia" w:ascii="新宋体" w:hAnsi="新宋体" w:eastAsia="新宋体" w:cs="新宋体"/>
                      <w:color w:val="auto"/>
                      <w:sz w:val="22"/>
                      <w:szCs w:val="22"/>
                      <w:highlight w:val="none"/>
                    </w:rPr>
                    <w:t>分；方案内容基本正确，措施的合理性可行性稍有欠缺的得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分；方案内容简单，措施合理程度较差的得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0.1</w:t>
                  </w:r>
                  <w:r>
                    <w:rPr>
                      <w:rFonts w:hint="eastAsia" w:ascii="新宋体" w:hAnsi="新宋体" w:eastAsia="新宋体" w:cs="新宋体"/>
                      <w:color w:val="auto"/>
                      <w:sz w:val="22"/>
                      <w:szCs w:val="22"/>
                      <w:highlight w:val="none"/>
                    </w:rPr>
                    <w:t>分；未提供不得分。</w:t>
                  </w:r>
                  <w:r>
                    <w:rPr>
                      <w:rFonts w:hint="eastAsia" w:ascii="新宋体" w:hAnsi="新宋体" w:eastAsia="新宋体" w:cs="新宋体"/>
                      <w:color w:val="auto"/>
                      <w:sz w:val="22"/>
                      <w:szCs w:val="22"/>
                      <w:highlight w:val="none"/>
                      <w:lang w:eastAsia="zh-CN"/>
                    </w:rPr>
                    <w:t>合计最高</w:t>
                  </w:r>
                  <w:r>
                    <w:rPr>
                      <w:rFonts w:hint="eastAsia" w:ascii="新宋体" w:hAnsi="新宋体" w:eastAsia="新宋体" w:cs="新宋体"/>
                      <w:color w:val="auto"/>
                      <w:sz w:val="22"/>
                      <w:szCs w:val="22"/>
                      <w:highlight w:val="none"/>
                      <w:lang w:val="en-US" w:eastAsia="zh-CN"/>
                    </w:rPr>
                    <w:t>9分。</w:t>
                  </w:r>
                </w:p>
              </w:tc>
              <w:tc>
                <w:tcPr>
                  <w:tcW w:w="820" w:type="dxa"/>
                  <w:noWrap w:val="0"/>
                  <w:vAlign w:val="center"/>
                </w:tcPr>
                <w:p>
                  <w:pPr>
                    <w:snapToGrid w:val="0"/>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lang w:val="en-US" w:eastAsia="zh-CN"/>
                    </w:rPr>
                    <w:t>9</w:t>
                  </w:r>
                  <w:r>
                    <w:rPr>
                      <w:rFonts w:hint="eastAsia" w:ascii="新宋体" w:hAnsi="新宋体" w:eastAsia="新宋体"/>
                      <w:color w:val="auto"/>
                      <w:sz w:val="22"/>
                      <w:szCs w:val="22"/>
                      <w:highlight w:val="none"/>
                    </w:rPr>
                    <w:t>分</w:t>
                  </w:r>
                </w:p>
              </w:tc>
              <w:tc>
                <w:tcPr>
                  <w:tcW w:w="692" w:type="dxa"/>
                  <w:noWrap w:val="0"/>
                  <w:vAlign w:val="center"/>
                </w:tcPr>
                <w:p>
                  <w:pPr>
                    <w:snapToGrid w:val="0"/>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continue"/>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p>
              </w:tc>
              <w:tc>
                <w:tcPr>
                  <w:tcW w:w="1582" w:type="dxa"/>
                  <w:vMerge w:val="continue"/>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p>
              </w:tc>
              <w:tc>
                <w:tcPr>
                  <w:tcW w:w="6352" w:type="dxa"/>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重难点及合理化建议：</w:t>
                  </w:r>
                </w:p>
                <w:p>
                  <w:pPr>
                    <w:snapToGrid w:val="0"/>
                    <w:spacing w:line="280" w:lineRule="exact"/>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根据供应商重点难点问题分析及应对措施提出创新、创优等合理化建议</w:t>
                  </w:r>
                  <w:r>
                    <w:rPr>
                      <w:rFonts w:ascii="新宋体" w:hAnsi="新宋体" w:eastAsia="新宋体"/>
                      <w:color w:val="auto"/>
                      <w:sz w:val="22"/>
                      <w:szCs w:val="22"/>
                      <w:highlight w:val="none"/>
                    </w:rPr>
                    <w:t>，</w:t>
                  </w:r>
                  <w:r>
                    <w:rPr>
                      <w:rFonts w:hint="eastAsia" w:ascii="新宋体" w:hAnsi="新宋体" w:eastAsia="新宋体"/>
                      <w:color w:val="auto"/>
                      <w:sz w:val="22"/>
                      <w:szCs w:val="22"/>
                      <w:highlight w:val="none"/>
                    </w:rPr>
                    <w:t>由评委进行打分（0-</w:t>
                  </w:r>
                  <w:r>
                    <w:rPr>
                      <w:rFonts w:hint="eastAsia" w:ascii="新宋体" w:hAnsi="新宋体" w:eastAsia="新宋体"/>
                      <w:color w:val="auto"/>
                      <w:sz w:val="22"/>
                      <w:szCs w:val="22"/>
                      <w:highlight w:val="none"/>
                      <w:lang w:val="en-US" w:eastAsia="zh-CN"/>
                    </w:rPr>
                    <w:t>3</w:t>
                  </w:r>
                  <w:r>
                    <w:rPr>
                      <w:rFonts w:hint="eastAsia" w:ascii="新宋体" w:hAnsi="新宋体" w:eastAsia="新宋体"/>
                      <w:color w:val="auto"/>
                      <w:sz w:val="22"/>
                      <w:szCs w:val="22"/>
                      <w:highlight w:val="none"/>
                    </w:rPr>
                    <w:t>分）。</w:t>
                  </w:r>
                </w:p>
                <w:p>
                  <w:pPr>
                    <w:snapToGrid w:val="0"/>
                    <w:spacing w:line="280" w:lineRule="exact"/>
                    <w:rPr>
                      <w:rFonts w:ascii="新宋体" w:hAnsi="新宋体" w:eastAsia="新宋体"/>
                      <w:color w:val="auto"/>
                      <w:sz w:val="22"/>
                      <w:szCs w:val="22"/>
                      <w:highlight w:val="none"/>
                    </w:rPr>
                  </w:pPr>
                  <w:r>
                    <w:rPr>
                      <w:rFonts w:hint="eastAsia" w:ascii="新宋体" w:hAnsi="新宋体" w:eastAsia="新宋体" w:cs="新宋体"/>
                      <w:color w:val="auto"/>
                      <w:sz w:val="22"/>
                      <w:szCs w:val="22"/>
                      <w:highlight w:val="none"/>
                    </w:rPr>
                    <w:t>方案内容全面合理、准确到位，针对性强，可行性强的得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2.1</w:t>
                  </w:r>
                  <w:r>
                    <w:rPr>
                      <w:rFonts w:hint="eastAsia" w:ascii="新宋体" w:hAnsi="新宋体" w:eastAsia="新宋体" w:cs="新宋体"/>
                      <w:color w:val="auto"/>
                      <w:sz w:val="22"/>
                      <w:szCs w:val="22"/>
                      <w:highlight w:val="none"/>
                    </w:rPr>
                    <w:t>分；方案内容基本正确，措施的合理性可行性稍有欠缺的得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分；方案内容简单，措施合理程度较差的得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0.1</w:t>
                  </w:r>
                  <w:r>
                    <w:rPr>
                      <w:rFonts w:hint="eastAsia" w:ascii="新宋体" w:hAnsi="新宋体" w:eastAsia="新宋体" w:cs="新宋体"/>
                      <w:color w:val="auto"/>
                      <w:sz w:val="22"/>
                      <w:szCs w:val="22"/>
                      <w:highlight w:val="none"/>
                    </w:rPr>
                    <w:t>分；未提供不得分。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lang w:val="en-US" w:eastAsia="zh-CN"/>
                    </w:rPr>
                    <w:t>3</w:t>
                  </w:r>
                  <w:r>
                    <w:rPr>
                      <w:rFonts w:ascii="新宋体" w:hAnsi="新宋体" w:eastAsia="新宋体"/>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continue"/>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p>
              </w:tc>
              <w:tc>
                <w:tcPr>
                  <w:tcW w:w="1582" w:type="dxa"/>
                  <w:vMerge w:val="continue"/>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p>
              </w:tc>
              <w:tc>
                <w:tcPr>
                  <w:tcW w:w="6352" w:type="dxa"/>
                  <w:noWrap w:val="0"/>
                  <w:tcMar>
                    <w:top w:w="57" w:type="dxa"/>
                    <w:bottom w:w="57" w:type="dxa"/>
                  </w:tcMar>
                  <w:vAlign w:val="center"/>
                </w:tcPr>
                <w:p>
                  <w:pPr>
                    <w:snapToGrid w:val="0"/>
                    <w:spacing w:line="280" w:lineRule="exact"/>
                    <w:rPr>
                      <w:rFonts w:ascii="新宋体" w:hAnsi="新宋体" w:eastAsia="新宋体"/>
                      <w:color w:val="auto"/>
                      <w:sz w:val="22"/>
                      <w:szCs w:val="22"/>
                      <w:highlight w:val="none"/>
                      <w:lang w:val="zh-CN"/>
                    </w:rPr>
                  </w:pPr>
                  <w:r>
                    <w:rPr>
                      <w:rFonts w:hint="eastAsia" w:ascii="新宋体" w:hAnsi="新宋体" w:eastAsia="新宋体"/>
                      <w:color w:val="auto"/>
                      <w:sz w:val="22"/>
                      <w:szCs w:val="22"/>
                      <w:highlight w:val="none"/>
                      <w:lang w:val="zh-CN"/>
                    </w:rPr>
                    <w:t>进度保障措施：</w:t>
                  </w:r>
                </w:p>
                <w:p>
                  <w:pPr>
                    <w:snapToGrid w:val="0"/>
                    <w:spacing w:line="280" w:lineRule="exact"/>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lang w:val="zh-CN"/>
                    </w:rPr>
                    <w:t>结合招标需求的服务期要求及</w:t>
                  </w:r>
                  <w:r>
                    <w:rPr>
                      <w:rFonts w:hint="eastAsia" w:ascii="新宋体" w:hAnsi="新宋体" w:eastAsia="新宋体"/>
                      <w:color w:val="auto"/>
                      <w:sz w:val="22"/>
                      <w:szCs w:val="22"/>
                      <w:highlight w:val="none"/>
                    </w:rPr>
                    <w:t>梅雨、高温、台风等因素</w:t>
                  </w:r>
                  <w:r>
                    <w:rPr>
                      <w:rFonts w:hint="eastAsia" w:ascii="新宋体" w:hAnsi="新宋体" w:eastAsia="新宋体"/>
                      <w:color w:val="auto"/>
                      <w:sz w:val="22"/>
                      <w:szCs w:val="22"/>
                      <w:highlight w:val="none"/>
                      <w:lang w:val="zh-CN"/>
                    </w:rPr>
                    <w:t>影响，根据投标人对本项目制定的工期进度计划、工期保障措施、项目整体阶段的关键时间节点把握科学性、合理性等情况，</w:t>
                  </w:r>
                  <w:r>
                    <w:rPr>
                      <w:rFonts w:hint="eastAsia" w:ascii="新宋体" w:hAnsi="新宋体" w:eastAsia="新宋体"/>
                      <w:color w:val="auto"/>
                      <w:sz w:val="22"/>
                      <w:szCs w:val="22"/>
                      <w:highlight w:val="none"/>
                    </w:rPr>
                    <w:t>由评委进行打分（0-</w:t>
                  </w:r>
                  <w:r>
                    <w:rPr>
                      <w:rFonts w:hint="eastAsia" w:ascii="新宋体" w:hAnsi="新宋体" w:eastAsia="新宋体"/>
                      <w:color w:val="auto"/>
                      <w:sz w:val="22"/>
                      <w:szCs w:val="22"/>
                      <w:highlight w:val="none"/>
                      <w:lang w:val="en-US" w:eastAsia="zh-CN"/>
                    </w:rPr>
                    <w:t>3</w:t>
                  </w:r>
                  <w:r>
                    <w:rPr>
                      <w:rFonts w:hint="eastAsia" w:ascii="新宋体" w:hAnsi="新宋体" w:eastAsia="新宋体"/>
                      <w:color w:val="auto"/>
                      <w:sz w:val="22"/>
                      <w:szCs w:val="22"/>
                      <w:highlight w:val="none"/>
                    </w:rPr>
                    <w:t>分）</w:t>
                  </w:r>
                </w:p>
                <w:p>
                  <w:pPr>
                    <w:snapToGrid w:val="0"/>
                    <w:spacing w:line="280" w:lineRule="exact"/>
                    <w:rPr>
                      <w:rFonts w:ascii="新宋体" w:hAnsi="新宋体" w:eastAsia="新宋体"/>
                      <w:color w:val="auto"/>
                      <w:sz w:val="22"/>
                      <w:szCs w:val="22"/>
                      <w:highlight w:val="none"/>
                    </w:rPr>
                  </w:pPr>
                  <w:r>
                    <w:rPr>
                      <w:rFonts w:hint="eastAsia" w:ascii="新宋体" w:hAnsi="新宋体" w:eastAsia="新宋体" w:cs="新宋体"/>
                      <w:color w:val="auto"/>
                      <w:sz w:val="22"/>
                      <w:szCs w:val="22"/>
                      <w:highlight w:val="none"/>
                    </w:rPr>
                    <w:t>方案内容全面合理、准确到位，针对性强，可行性强的得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2.1</w:t>
                  </w:r>
                  <w:r>
                    <w:rPr>
                      <w:rFonts w:hint="eastAsia" w:ascii="新宋体" w:hAnsi="新宋体" w:eastAsia="新宋体" w:cs="新宋体"/>
                      <w:color w:val="auto"/>
                      <w:sz w:val="22"/>
                      <w:szCs w:val="22"/>
                      <w:highlight w:val="none"/>
                    </w:rPr>
                    <w:t>分；方案内容基本正确，措施的合理性可行性稍有欠缺的得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分；方案内容简单，措施合理程度较差的得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0.1</w:t>
                  </w:r>
                  <w:r>
                    <w:rPr>
                      <w:rFonts w:hint="eastAsia" w:ascii="新宋体" w:hAnsi="新宋体" w:eastAsia="新宋体" w:cs="新宋体"/>
                      <w:color w:val="auto"/>
                      <w:sz w:val="22"/>
                      <w:szCs w:val="22"/>
                      <w:highlight w:val="none"/>
                    </w:rPr>
                    <w:t>分；未提供不得分。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lang w:val="en-US" w:eastAsia="zh-CN"/>
                    </w:rPr>
                    <w:t>3</w:t>
                  </w:r>
                  <w:r>
                    <w:rPr>
                      <w:rFonts w:ascii="新宋体" w:hAnsi="新宋体" w:eastAsia="新宋体"/>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continue"/>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p>
              </w:tc>
              <w:tc>
                <w:tcPr>
                  <w:tcW w:w="1582" w:type="dxa"/>
                  <w:vMerge w:val="continue"/>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p>
              </w:tc>
              <w:tc>
                <w:tcPr>
                  <w:tcW w:w="6352" w:type="dxa"/>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项目管理措施：</w:t>
                  </w:r>
                </w:p>
                <w:p>
                  <w:pPr>
                    <w:snapToGrid w:val="0"/>
                    <w:spacing w:line="28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供应商组织机构齐全，各项制度健全，责任分工明确，成立项目组织</w:t>
                  </w:r>
                  <w:r>
                    <w:rPr>
                      <w:rFonts w:ascii="新宋体" w:hAnsi="新宋体" w:eastAsia="新宋体"/>
                      <w:color w:val="auto"/>
                      <w:sz w:val="22"/>
                      <w:szCs w:val="22"/>
                      <w:highlight w:val="none"/>
                    </w:rPr>
                    <w:t>，</w:t>
                  </w:r>
                  <w:r>
                    <w:rPr>
                      <w:rFonts w:hint="eastAsia" w:ascii="新宋体" w:hAnsi="新宋体" w:eastAsia="新宋体"/>
                      <w:color w:val="auto"/>
                      <w:sz w:val="22"/>
                      <w:szCs w:val="22"/>
                      <w:highlight w:val="none"/>
                    </w:rPr>
                    <w:t>由评委进行打分（0-</w:t>
                  </w:r>
                  <w:r>
                    <w:rPr>
                      <w:rFonts w:hint="eastAsia" w:ascii="新宋体" w:hAnsi="新宋体" w:eastAsia="新宋体"/>
                      <w:color w:val="auto"/>
                      <w:sz w:val="22"/>
                      <w:szCs w:val="22"/>
                      <w:highlight w:val="none"/>
                      <w:lang w:val="en-US" w:eastAsia="zh-CN"/>
                    </w:rPr>
                    <w:t>3</w:t>
                  </w:r>
                  <w:r>
                    <w:rPr>
                      <w:rFonts w:hint="eastAsia" w:ascii="新宋体" w:hAnsi="新宋体" w:eastAsia="新宋体"/>
                      <w:color w:val="auto"/>
                      <w:sz w:val="22"/>
                      <w:szCs w:val="22"/>
                      <w:highlight w:val="none"/>
                    </w:rPr>
                    <w:t>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lang w:val="en-US" w:eastAsia="zh-CN"/>
                    </w:rPr>
                    <w:t>3</w:t>
                  </w:r>
                  <w:r>
                    <w:rPr>
                      <w:rFonts w:ascii="新宋体" w:hAnsi="新宋体" w:eastAsia="新宋体"/>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669" w:type="dxa"/>
                  <w:vMerge w:val="continue"/>
                  <w:noWrap w:val="0"/>
                  <w:tcMar>
                    <w:top w:w="57" w:type="dxa"/>
                    <w:bottom w:w="57" w:type="dxa"/>
                  </w:tcMar>
                  <w:vAlign w:val="center"/>
                </w:tcPr>
                <w:p>
                  <w:pPr>
                    <w:ind w:left="1050"/>
                    <w:jc w:val="left"/>
                    <w:rPr>
                      <w:rFonts w:ascii="Calibri" w:hAnsi="Calibri" w:cs="Calibri"/>
                      <w:color w:val="auto"/>
                      <w:sz w:val="22"/>
                      <w:szCs w:val="22"/>
                      <w:highlight w:val="none"/>
                    </w:rPr>
                  </w:pPr>
                </w:p>
              </w:tc>
              <w:tc>
                <w:tcPr>
                  <w:tcW w:w="1582" w:type="dxa"/>
                  <w:vMerge w:val="continue"/>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p>
              </w:tc>
              <w:tc>
                <w:tcPr>
                  <w:tcW w:w="6352" w:type="dxa"/>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质量控制措施</w:t>
                  </w:r>
                  <w:r>
                    <w:rPr>
                      <w:rFonts w:ascii="新宋体" w:hAnsi="新宋体" w:eastAsia="新宋体"/>
                      <w:color w:val="auto"/>
                      <w:sz w:val="22"/>
                      <w:szCs w:val="22"/>
                      <w:highlight w:val="none"/>
                    </w:rPr>
                    <w:t>：</w:t>
                  </w:r>
                </w:p>
                <w:p>
                  <w:pPr>
                    <w:snapToGrid w:val="0"/>
                    <w:spacing w:line="280" w:lineRule="exact"/>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供应商质量控制制度齐全，实现项目全流程质量管控，保证措施得力</w:t>
                  </w:r>
                  <w:r>
                    <w:rPr>
                      <w:rFonts w:ascii="新宋体" w:hAnsi="新宋体" w:eastAsia="新宋体"/>
                      <w:color w:val="auto"/>
                      <w:sz w:val="22"/>
                      <w:szCs w:val="22"/>
                      <w:highlight w:val="none"/>
                    </w:rPr>
                    <w:t>，</w:t>
                  </w:r>
                  <w:r>
                    <w:rPr>
                      <w:rFonts w:hint="eastAsia" w:ascii="新宋体" w:hAnsi="新宋体" w:eastAsia="新宋体"/>
                      <w:color w:val="auto"/>
                      <w:sz w:val="22"/>
                      <w:szCs w:val="22"/>
                      <w:highlight w:val="none"/>
                    </w:rPr>
                    <w:t>由评委进行打分（0-4分）。</w:t>
                  </w:r>
                </w:p>
                <w:p>
                  <w:pPr>
                    <w:snapToGrid w:val="0"/>
                    <w:spacing w:line="280" w:lineRule="exact"/>
                    <w:rPr>
                      <w:rFonts w:ascii="新宋体" w:hAnsi="新宋体" w:eastAsia="新宋体"/>
                      <w:color w:val="auto"/>
                      <w:sz w:val="22"/>
                      <w:szCs w:val="22"/>
                      <w:highlight w:val="none"/>
                    </w:rPr>
                  </w:pPr>
                  <w:r>
                    <w:rPr>
                      <w:rFonts w:hint="eastAsia" w:ascii="新宋体" w:hAnsi="新宋体" w:eastAsia="新宋体" w:cs="新宋体"/>
                      <w:color w:val="auto"/>
                      <w:sz w:val="22"/>
                      <w:szCs w:val="22"/>
                      <w:highlight w:val="none"/>
                    </w:rPr>
                    <w:t>方案内容全面合理、准确到位，针对性强，可行性强的得</w:t>
                  </w:r>
                  <w:r>
                    <w:rPr>
                      <w:rFonts w:hint="eastAsia" w:ascii="新宋体" w:hAnsi="新宋体" w:eastAsia="新宋体" w:cs="新宋体"/>
                      <w:color w:val="auto"/>
                      <w:sz w:val="22"/>
                      <w:szCs w:val="22"/>
                      <w:highlight w:val="none"/>
                      <w:lang w:val="en-US" w:eastAsia="zh-CN"/>
                    </w:rPr>
                    <w:t>4</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3.1</w:t>
                  </w:r>
                  <w:r>
                    <w:rPr>
                      <w:rFonts w:hint="eastAsia" w:ascii="新宋体" w:hAnsi="新宋体" w:eastAsia="新宋体" w:cs="新宋体"/>
                      <w:color w:val="auto"/>
                      <w:sz w:val="22"/>
                      <w:szCs w:val="22"/>
                      <w:highlight w:val="none"/>
                    </w:rPr>
                    <w:t>分；方案内容基本正确，措施的合理性可行性稍有欠缺的得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分；方案内容简单，措施合理程度较差的得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0.1</w:t>
                  </w:r>
                  <w:r>
                    <w:rPr>
                      <w:rFonts w:hint="eastAsia" w:ascii="新宋体" w:hAnsi="新宋体" w:eastAsia="新宋体" w:cs="新宋体"/>
                      <w:color w:val="auto"/>
                      <w:sz w:val="22"/>
                      <w:szCs w:val="22"/>
                      <w:highlight w:val="none"/>
                    </w:rPr>
                    <w:t>分；未提供不得分。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lang w:val="en-US" w:eastAsia="zh-CN"/>
                    </w:rPr>
                    <w:t>4</w:t>
                  </w:r>
                  <w:r>
                    <w:rPr>
                      <w:rFonts w:ascii="新宋体" w:hAnsi="新宋体" w:eastAsia="新宋体"/>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continue"/>
                  <w:noWrap w:val="0"/>
                  <w:tcMar>
                    <w:top w:w="57" w:type="dxa"/>
                    <w:bottom w:w="57" w:type="dxa"/>
                  </w:tcMar>
                  <w:vAlign w:val="center"/>
                </w:tcPr>
                <w:p>
                  <w:pPr>
                    <w:autoSpaceDE w:val="0"/>
                    <w:autoSpaceDN w:val="0"/>
                    <w:spacing w:after="120"/>
                    <w:ind w:firstLine="220" w:firstLineChars="100"/>
                    <w:jc w:val="left"/>
                    <w:rPr>
                      <w:color w:val="auto"/>
                      <w:kern w:val="0"/>
                      <w:sz w:val="22"/>
                      <w:szCs w:val="22"/>
                      <w:highlight w:val="none"/>
                    </w:rPr>
                  </w:pPr>
                </w:p>
              </w:tc>
              <w:tc>
                <w:tcPr>
                  <w:tcW w:w="1582" w:type="dxa"/>
                  <w:vMerge w:val="continue"/>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p>
              </w:tc>
              <w:tc>
                <w:tcPr>
                  <w:tcW w:w="6352" w:type="dxa"/>
                  <w:noWrap w:val="0"/>
                  <w:tcMar>
                    <w:top w:w="57" w:type="dxa"/>
                    <w:bottom w:w="57" w:type="dxa"/>
                  </w:tcMar>
                  <w:vAlign w:val="center"/>
                </w:tcPr>
                <w:p>
                  <w:pPr>
                    <w:snapToGrid w:val="0"/>
                    <w:rPr>
                      <w:rFonts w:ascii="新宋体" w:hAnsi="新宋体" w:eastAsia="新宋体"/>
                      <w:color w:val="auto"/>
                      <w:sz w:val="22"/>
                      <w:szCs w:val="22"/>
                      <w:highlight w:val="none"/>
                    </w:rPr>
                  </w:pPr>
                  <w:r>
                    <w:rPr>
                      <w:rFonts w:ascii="新宋体" w:hAnsi="新宋体" w:eastAsia="新宋体"/>
                      <w:color w:val="auto"/>
                      <w:sz w:val="22"/>
                      <w:szCs w:val="22"/>
                      <w:highlight w:val="none"/>
                    </w:rPr>
                    <w:t>安全生产管理措施：</w:t>
                  </w:r>
                </w:p>
                <w:p>
                  <w:pPr>
                    <w:autoSpaceDE w:val="0"/>
                    <w:autoSpaceDN w:val="0"/>
                    <w:snapToGrid w:val="0"/>
                    <w:rPr>
                      <w:rFonts w:hint="eastAsia" w:ascii="新宋体" w:hAnsi="新宋体" w:eastAsia="新宋体"/>
                      <w:color w:val="auto"/>
                      <w:sz w:val="22"/>
                      <w:szCs w:val="22"/>
                      <w:highlight w:val="none"/>
                    </w:rPr>
                  </w:pPr>
                  <w:r>
                    <w:rPr>
                      <w:rFonts w:hint="eastAsia" w:ascii="新宋体" w:hAnsi="新宋体" w:eastAsia="新宋体"/>
                      <w:color w:val="auto"/>
                      <w:sz w:val="22"/>
                      <w:szCs w:val="22"/>
                      <w:highlight w:val="none"/>
                    </w:rPr>
                    <w:t>供应商</w:t>
                  </w:r>
                  <w:r>
                    <w:rPr>
                      <w:rFonts w:ascii="新宋体" w:hAnsi="新宋体" w:eastAsia="新宋体"/>
                      <w:color w:val="auto"/>
                      <w:sz w:val="22"/>
                      <w:szCs w:val="22"/>
                      <w:highlight w:val="none"/>
                    </w:rPr>
                    <w:t>成立安全生产管理机构，建立完善的安全</w:t>
                  </w:r>
                  <w:r>
                    <w:rPr>
                      <w:rFonts w:hint="eastAsia" w:ascii="新宋体" w:hAnsi="新宋体" w:eastAsia="新宋体"/>
                      <w:color w:val="auto"/>
                      <w:sz w:val="22"/>
                      <w:szCs w:val="22"/>
                      <w:highlight w:val="none"/>
                    </w:rPr>
                    <w:t>生产与设备</w:t>
                  </w:r>
                  <w:r>
                    <w:rPr>
                      <w:rFonts w:ascii="新宋体" w:hAnsi="新宋体" w:eastAsia="新宋体"/>
                      <w:color w:val="auto"/>
                      <w:sz w:val="22"/>
                      <w:szCs w:val="22"/>
                      <w:highlight w:val="none"/>
                    </w:rPr>
                    <w:t>管理制度，</w:t>
                  </w:r>
                  <w:r>
                    <w:rPr>
                      <w:rFonts w:hint="eastAsia" w:ascii="新宋体" w:hAnsi="新宋体" w:eastAsia="新宋体"/>
                      <w:color w:val="auto"/>
                      <w:sz w:val="22"/>
                      <w:szCs w:val="22"/>
                      <w:highlight w:val="none"/>
                    </w:rPr>
                    <w:t>由评委进行打分（0-</w:t>
                  </w:r>
                  <w:r>
                    <w:rPr>
                      <w:rFonts w:hint="eastAsia" w:ascii="新宋体" w:hAnsi="新宋体" w:eastAsia="新宋体"/>
                      <w:color w:val="auto"/>
                      <w:sz w:val="22"/>
                      <w:szCs w:val="22"/>
                      <w:highlight w:val="none"/>
                      <w:lang w:val="en-US" w:eastAsia="zh-CN"/>
                    </w:rPr>
                    <w:t>3</w:t>
                  </w:r>
                  <w:r>
                    <w:rPr>
                      <w:rFonts w:hint="eastAsia" w:ascii="新宋体" w:hAnsi="新宋体" w:eastAsia="新宋体"/>
                      <w:color w:val="auto"/>
                      <w:sz w:val="22"/>
                      <w:szCs w:val="22"/>
                      <w:highlight w:val="none"/>
                    </w:rPr>
                    <w:t>分）。</w:t>
                  </w:r>
                </w:p>
                <w:p>
                  <w:pPr>
                    <w:autoSpaceDE w:val="0"/>
                    <w:autoSpaceDN w:val="0"/>
                    <w:snapToGrid w:val="0"/>
                    <w:rPr>
                      <w:rFonts w:ascii="新宋体" w:hAnsi="新宋体" w:eastAsia="新宋体"/>
                      <w:color w:val="auto"/>
                      <w:sz w:val="22"/>
                      <w:szCs w:val="22"/>
                      <w:highlight w:val="none"/>
                    </w:rPr>
                  </w:pPr>
                  <w:r>
                    <w:rPr>
                      <w:rFonts w:hint="eastAsia" w:ascii="新宋体" w:hAnsi="新宋体" w:eastAsia="新宋体" w:cs="新宋体"/>
                      <w:color w:val="auto"/>
                      <w:sz w:val="22"/>
                      <w:szCs w:val="22"/>
                      <w:highlight w:val="none"/>
                    </w:rPr>
                    <w:t>方案内容全面合理、准确到位，针对性强，可行性强的得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2.1</w:t>
                  </w:r>
                  <w:r>
                    <w:rPr>
                      <w:rFonts w:hint="eastAsia" w:ascii="新宋体" w:hAnsi="新宋体" w:eastAsia="新宋体" w:cs="新宋体"/>
                      <w:color w:val="auto"/>
                      <w:sz w:val="22"/>
                      <w:szCs w:val="22"/>
                      <w:highlight w:val="none"/>
                    </w:rPr>
                    <w:t>分；方案内容基本正确，措施的合理性可行性稍有欠缺的得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分；方案内容简单，措施合理程度较差的得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0.1</w:t>
                  </w:r>
                  <w:r>
                    <w:rPr>
                      <w:rFonts w:hint="eastAsia" w:ascii="新宋体" w:hAnsi="新宋体" w:eastAsia="新宋体" w:cs="新宋体"/>
                      <w:color w:val="auto"/>
                      <w:sz w:val="22"/>
                      <w:szCs w:val="22"/>
                      <w:highlight w:val="none"/>
                    </w:rPr>
                    <w:t>分；未提供不得分。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lang w:val="en-US" w:eastAsia="zh-CN"/>
                    </w:rPr>
                    <w:t>3</w:t>
                  </w:r>
                  <w:r>
                    <w:rPr>
                      <w:rFonts w:ascii="新宋体" w:hAnsi="新宋体" w:eastAsia="新宋体"/>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continue"/>
                  <w:noWrap w:val="0"/>
                  <w:tcMar>
                    <w:top w:w="57" w:type="dxa"/>
                    <w:bottom w:w="57" w:type="dxa"/>
                  </w:tcMar>
                  <w:vAlign w:val="center"/>
                </w:tcPr>
                <w:p>
                  <w:pPr>
                    <w:autoSpaceDE w:val="0"/>
                    <w:autoSpaceDN w:val="0"/>
                    <w:spacing w:after="120"/>
                    <w:ind w:firstLine="220" w:firstLineChars="100"/>
                    <w:jc w:val="left"/>
                    <w:rPr>
                      <w:color w:val="auto"/>
                      <w:kern w:val="0"/>
                      <w:sz w:val="22"/>
                      <w:szCs w:val="22"/>
                      <w:highlight w:val="none"/>
                    </w:rPr>
                  </w:pPr>
                </w:p>
              </w:tc>
              <w:tc>
                <w:tcPr>
                  <w:tcW w:w="1582" w:type="dxa"/>
                  <w:vMerge w:val="continue"/>
                  <w:noWrap w:val="0"/>
                  <w:tcMar>
                    <w:top w:w="57" w:type="dxa"/>
                    <w:bottom w:w="57" w:type="dxa"/>
                  </w:tcMar>
                  <w:vAlign w:val="center"/>
                </w:tcPr>
                <w:p>
                  <w:pPr>
                    <w:snapToGrid w:val="0"/>
                    <w:spacing w:line="280" w:lineRule="exact"/>
                    <w:rPr>
                      <w:rFonts w:ascii="新宋体" w:hAnsi="新宋体" w:eastAsia="新宋体"/>
                      <w:color w:val="auto"/>
                      <w:sz w:val="22"/>
                      <w:szCs w:val="22"/>
                      <w:highlight w:val="none"/>
                    </w:rPr>
                  </w:pPr>
                </w:p>
              </w:tc>
              <w:tc>
                <w:tcPr>
                  <w:tcW w:w="6352" w:type="dxa"/>
                  <w:noWrap w:val="0"/>
                  <w:tcMar>
                    <w:top w:w="57" w:type="dxa"/>
                    <w:bottom w:w="57" w:type="dxa"/>
                  </w:tcMar>
                  <w:vAlign w:val="center"/>
                </w:tcPr>
                <w:p>
                  <w:pPr>
                    <w:snapToGrid w:val="0"/>
                    <w:rPr>
                      <w:rFonts w:ascii="新宋体" w:hAnsi="新宋体" w:eastAsia="新宋体" w:cs="宋体"/>
                      <w:bCs/>
                      <w:color w:val="auto"/>
                      <w:sz w:val="22"/>
                      <w:szCs w:val="22"/>
                      <w:highlight w:val="none"/>
                    </w:rPr>
                  </w:pPr>
                  <w:r>
                    <w:rPr>
                      <w:rFonts w:hint="eastAsia" w:ascii="新宋体" w:hAnsi="新宋体" w:eastAsia="新宋体" w:cs="宋体"/>
                      <w:bCs/>
                      <w:color w:val="auto"/>
                      <w:sz w:val="22"/>
                      <w:szCs w:val="22"/>
                      <w:highlight w:val="none"/>
                    </w:rPr>
                    <w:t>数据资料安全保密措施</w:t>
                  </w:r>
                  <w:r>
                    <w:rPr>
                      <w:rFonts w:ascii="新宋体" w:hAnsi="新宋体" w:eastAsia="新宋体" w:cs="宋体"/>
                      <w:bCs/>
                      <w:color w:val="auto"/>
                      <w:sz w:val="22"/>
                      <w:szCs w:val="22"/>
                      <w:highlight w:val="none"/>
                    </w:rPr>
                    <w:t>：</w:t>
                  </w:r>
                </w:p>
                <w:p>
                  <w:pPr>
                    <w:snapToGrid w:val="0"/>
                    <w:rPr>
                      <w:rFonts w:hint="eastAsia" w:ascii="新宋体" w:hAnsi="新宋体" w:eastAsia="新宋体" w:cs="宋体"/>
                      <w:bCs/>
                      <w:color w:val="auto"/>
                      <w:sz w:val="22"/>
                      <w:szCs w:val="22"/>
                      <w:highlight w:val="none"/>
                    </w:rPr>
                  </w:pPr>
                  <w:r>
                    <w:rPr>
                      <w:rFonts w:hint="eastAsia" w:ascii="新宋体" w:hAnsi="新宋体" w:eastAsia="新宋体" w:cs="宋体"/>
                      <w:bCs/>
                      <w:color w:val="auto"/>
                      <w:sz w:val="22"/>
                      <w:szCs w:val="22"/>
                      <w:highlight w:val="none"/>
                    </w:rPr>
                    <w:t>供应商数据资料安全保密制度完善</w:t>
                  </w:r>
                  <w:r>
                    <w:rPr>
                      <w:rFonts w:ascii="新宋体" w:hAnsi="新宋体" w:eastAsia="新宋体" w:cs="宋体"/>
                      <w:bCs/>
                      <w:color w:val="auto"/>
                      <w:sz w:val="22"/>
                      <w:szCs w:val="22"/>
                      <w:highlight w:val="none"/>
                    </w:rPr>
                    <w:t>，在本项目生产各阶段均能做好保密措施</w:t>
                  </w:r>
                  <w:r>
                    <w:rPr>
                      <w:rFonts w:hint="eastAsia" w:ascii="新宋体" w:hAnsi="新宋体" w:eastAsia="新宋体" w:cs="宋体"/>
                      <w:bCs/>
                      <w:color w:val="auto"/>
                      <w:sz w:val="22"/>
                      <w:szCs w:val="22"/>
                      <w:highlight w:val="none"/>
                    </w:rPr>
                    <w:t>，由评委进行打分（0-</w:t>
                  </w:r>
                  <w:r>
                    <w:rPr>
                      <w:rFonts w:hint="eastAsia" w:ascii="新宋体" w:hAnsi="新宋体" w:eastAsia="新宋体"/>
                      <w:color w:val="auto"/>
                      <w:sz w:val="22"/>
                      <w:szCs w:val="22"/>
                      <w:highlight w:val="none"/>
                      <w:lang w:val="en-US" w:eastAsia="zh-CN"/>
                    </w:rPr>
                    <w:t>3</w:t>
                  </w:r>
                  <w:r>
                    <w:rPr>
                      <w:rFonts w:hint="eastAsia" w:ascii="新宋体" w:hAnsi="新宋体" w:eastAsia="新宋体" w:cs="宋体"/>
                      <w:bCs/>
                      <w:color w:val="auto"/>
                      <w:sz w:val="22"/>
                      <w:szCs w:val="22"/>
                      <w:highlight w:val="none"/>
                    </w:rPr>
                    <w:t>分）。</w:t>
                  </w:r>
                </w:p>
                <w:p>
                  <w:pPr>
                    <w:snapToGrid w:val="0"/>
                    <w:rPr>
                      <w:rFonts w:ascii="新宋体" w:hAnsi="新宋体" w:eastAsia="新宋体" w:cs="宋体"/>
                      <w:bCs/>
                      <w:color w:val="auto"/>
                      <w:kern w:val="0"/>
                      <w:sz w:val="22"/>
                      <w:szCs w:val="22"/>
                      <w:highlight w:val="none"/>
                    </w:rPr>
                  </w:pPr>
                  <w:r>
                    <w:rPr>
                      <w:rFonts w:hint="eastAsia" w:ascii="新宋体" w:hAnsi="新宋体" w:eastAsia="新宋体" w:cs="新宋体"/>
                      <w:color w:val="auto"/>
                      <w:sz w:val="22"/>
                      <w:szCs w:val="22"/>
                      <w:highlight w:val="none"/>
                    </w:rPr>
                    <w:t>方案内容全面合理、准确到位，针对性强，可行性强的得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2.1</w:t>
                  </w:r>
                  <w:r>
                    <w:rPr>
                      <w:rFonts w:hint="eastAsia" w:ascii="新宋体" w:hAnsi="新宋体" w:eastAsia="新宋体" w:cs="新宋体"/>
                      <w:color w:val="auto"/>
                      <w:sz w:val="22"/>
                      <w:szCs w:val="22"/>
                      <w:highlight w:val="none"/>
                    </w:rPr>
                    <w:t>分；方案内容基本正确，措施的合理性可行性稍有欠缺的得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分；方案内容简单，措施合理程度较差的得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0.1</w:t>
                  </w:r>
                  <w:r>
                    <w:rPr>
                      <w:rFonts w:hint="eastAsia" w:ascii="新宋体" w:hAnsi="新宋体" w:eastAsia="新宋体" w:cs="新宋体"/>
                      <w:color w:val="auto"/>
                      <w:sz w:val="22"/>
                      <w:szCs w:val="22"/>
                      <w:highlight w:val="none"/>
                    </w:rPr>
                    <w:t>分；未提供不得分。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lang w:val="en-US" w:eastAsia="zh-CN"/>
                    </w:rPr>
                    <w:t>3</w:t>
                  </w:r>
                  <w:r>
                    <w:rPr>
                      <w:rFonts w:ascii="新宋体" w:hAnsi="新宋体" w:eastAsia="新宋体"/>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noWrap w:val="0"/>
                  <w:tcMar>
                    <w:top w:w="57" w:type="dxa"/>
                    <w:bottom w:w="57" w:type="dxa"/>
                  </w:tcMar>
                  <w:vAlign w:val="center"/>
                </w:tcPr>
                <w:p>
                  <w:pPr>
                    <w:autoSpaceDE w:val="0"/>
                    <w:autoSpaceDN w:val="0"/>
                    <w:spacing w:after="120"/>
                    <w:ind w:firstLine="220" w:firstLineChars="100"/>
                    <w:jc w:val="left"/>
                    <w:rPr>
                      <w:color w:val="auto"/>
                      <w:kern w:val="0"/>
                      <w:sz w:val="22"/>
                      <w:szCs w:val="22"/>
                      <w:highlight w:val="none"/>
                    </w:rPr>
                  </w:pPr>
                  <w:r>
                    <w:rPr>
                      <w:rFonts w:hint="eastAsia"/>
                      <w:color w:val="auto"/>
                      <w:kern w:val="0"/>
                      <w:sz w:val="22"/>
                      <w:szCs w:val="22"/>
                      <w:highlight w:val="none"/>
                    </w:rPr>
                    <w:t>2</w:t>
                  </w:r>
                </w:p>
              </w:tc>
              <w:tc>
                <w:tcPr>
                  <w:tcW w:w="1582" w:type="dxa"/>
                  <w:noWrap w:val="0"/>
                  <w:tcMar>
                    <w:top w:w="57" w:type="dxa"/>
                    <w:bottom w:w="57" w:type="dxa"/>
                  </w:tcMar>
                  <w:vAlign w:val="center"/>
                </w:tcPr>
                <w:p>
                  <w:pPr>
                    <w:snapToGrid w:val="0"/>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设备投入情况（</w:t>
                  </w:r>
                  <w:r>
                    <w:rPr>
                      <w:rFonts w:hint="eastAsia" w:ascii="新宋体" w:hAnsi="新宋体" w:eastAsia="新宋体"/>
                      <w:color w:val="auto"/>
                      <w:sz w:val="22"/>
                      <w:szCs w:val="22"/>
                      <w:highlight w:val="none"/>
                      <w:lang w:val="en-US" w:eastAsia="zh-CN"/>
                    </w:rPr>
                    <w:t>3</w:t>
                  </w:r>
                  <w:r>
                    <w:rPr>
                      <w:rFonts w:hint="eastAsia" w:ascii="新宋体" w:hAnsi="新宋体" w:eastAsia="新宋体"/>
                      <w:color w:val="auto"/>
                      <w:sz w:val="22"/>
                      <w:szCs w:val="22"/>
                      <w:highlight w:val="none"/>
                    </w:rPr>
                    <w:t>分）</w:t>
                  </w:r>
                </w:p>
              </w:tc>
              <w:tc>
                <w:tcPr>
                  <w:tcW w:w="6352" w:type="dxa"/>
                  <w:noWrap w:val="0"/>
                  <w:tcMar>
                    <w:top w:w="57" w:type="dxa"/>
                    <w:bottom w:w="57" w:type="dxa"/>
                  </w:tcMar>
                  <w:vAlign w:val="center"/>
                </w:tcPr>
                <w:p>
                  <w:pPr>
                    <w:snapToGrid w:val="0"/>
                    <w:rPr>
                      <w:rFonts w:ascii="新宋体" w:hAnsi="新宋体" w:eastAsia="新宋体" w:cs="宋体"/>
                      <w:bCs/>
                      <w:color w:val="auto"/>
                      <w:sz w:val="22"/>
                      <w:szCs w:val="22"/>
                      <w:highlight w:val="none"/>
                    </w:rPr>
                  </w:pPr>
                  <w:r>
                    <w:rPr>
                      <w:rFonts w:hint="eastAsia" w:ascii="新宋体" w:hAnsi="新宋体" w:eastAsia="新宋体" w:cs="宋体"/>
                      <w:bCs/>
                      <w:color w:val="auto"/>
                      <w:sz w:val="22"/>
                      <w:szCs w:val="22"/>
                      <w:highlight w:val="none"/>
                    </w:rPr>
                    <w:t>根据供应商拟投入与本项目相关的监理专业设备配置数量、配置的齐全程度的情况进行综合评分（0-</w:t>
                  </w:r>
                  <w:r>
                    <w:rPr>
                      <w:rFonts w:hint="eastAsia" w:ascii="新宋体" w:hAnsi="新宋体" w:eastAsia="新宋体" w:cs="宋体"/>
                      <w:bCs/>
                      <w:color w:val="auto"/>
                      <w:sz w:val="22"/>
                      <w:szCs w:val="22"/>
                      <w:highlight w:val="none"/>
                      <w:lang w:val="en-US" w:eastAsia="zh-CN"/>
                    </w:rPr>
                    <w:t>3</w:t>
                  </w:r>
                  <w:r>
                    <w:rPr>
                      <w:rFonts w:hint="eastAsia" w:ascii="新宋体" w:hAnsi="新宋体" w:eastAsia="新宋体" w:cs="宋体"/>
                      <w:bCs/>
                      <w:color w:val="auto"/>
                      <w:sz w:val="22"/>
                      <w:szCs w:val="22"/>
                      <w:highlight w:val="none"/>
                    </w:rPr>
                    <w:t>分）。</w:t>
                  </w:r>
                </w:p>
                <w:p>
                  <w:pPr>
                    <w:snapToGrid w:val="0"/>
                    <w:rPr>
                      <w:rFonts w:ascii="新宋体" w:hAnsi="新宋体" w:eastAsia="新宋体" w:cs="宋体"/>
                      <w:bCs/>
                      <w:color w:val="auto"/>
                      <w:sz w:val="22"/>
                      <w:szCs w:val="22"/>
                      <w:highlight w:val="none"/>
                    </w:rPr>
                  </w:pPr>
                  <w:r>
                    <w:rPr>
                      <w:rFonts w:hint="eastAsia" w:ascii="新宋体" w:hAnsi="新宋体" w:eastAsia="新宋体" w:cs="宋体"/>
                      <w:bCs/>
                      <w:color w:val="auto"/>
                      <w:sz w:val="22"/>
                      <w:szCs w:val="22"/>
                      <w:highlight w:val="none"/>
                    </w:rPr>
                    <w:t>（注：以上设备须提供关设备购置发票或仪器检定证书）</w:t>
                  </w:r>
                </w:p>
              </w:tc>
              <w:tc>
                <w:tcPr>
                  <w:tcW w:w="820" w:type="dxa"/>
                  <w:noWrap w:val="0"/>
                  <w:vAlign w:val="center"/>
                </w:tcPr>
                <w:p>
                  <w:pPr>
                    <w:snapToGrid w:val="0"/>
                    <w:jc w:val="center"/>
                    <w:rPr>
                      <w:rFonts w:ascii="新宋体" w:hAnsi="新宋体" w:eastAsia="新宋体" w:cs="宋体"/>
                      <w:bCs/>
                      <w:color w:val="auto"/>
                      <w:sz w:val="22"/>
                      <w:szCs w:val="22"/>
                      <w:highlight w:val="none"/>
                    </w:rPr>
                  </w:pPr>
                  <w:r>
                    <w:rPr>
                      <w:rFonts w:hint="eastAsia" w:ascii="新宋体" w:hAnsi="新宋体" w:eastAsia="新宋体" w:cs="宋体"/>
                      <w:bCs/>
                      <w:color w:val="auto"/>
                      <w:sz w:val="22"/>
                      <w:szCs w:val="22"/>
                      <w:highlight w:val="none"/>
                      <w:lang w:val="en-US" w:eastAsia="zh-CN"/>
                    </w:rPr>
                    <w:t>3</w:t>
                  </w:r>
                  <w:r>
                    <w:rPr>
                      <w:rFonts w:hint="eastAsia" w:ascii="新宋体" w:hAnsi="新宋体" w:eastAsia="新宋体" w:cs="宋体"/>
                      <w:bCs/>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noWrap w:val="0"/>
                  <w:tcMar>
                    <w:top w:w="57" w:type="dxa"/>
                    <w:bottom w:w="57" w:type="dxa"/>
                  </w:tcMar>
                  <w:vAlign w:val="center"/>
                </w:tcPr>
                <w:p>
                  <w:pPr>
                    <w:autoSpaceDE w:val="0"/>
                    <w:autoSpaceDN w:val="0"/>
                    <w:spacing w:after="120"/>
                    <w:ind w:firstLine="220" w:firstLineChars="100"/>
                    <w:jc w:val="left"/>
                    <w:rPr>
                      <w:color w:val="auto"/>
                      <w:kern w:val="0"/>
                      <w:sz w:val="22"/>
                      <w:szCs w:val="22"/>
                      <w:highlight w:val="none"/>
                    </w:rPr>
                  </w:pPr>
                  <w:r>
                    <w:rPr>
                      <w:rFonts w:hint="eastAsia"/>
                      <w:color w:val="auto"/>
                      <w:kern w:val="0"/>
                      <w:sz w:val="22"/>
                      <w:szCs w:val="22"/>
                      <w:highlight w:val="none"/>
                    </w:rPr>
                    <w:t>3</w:t>
                  </w:r>
                </w:p>
              </w:tc>
              <w:tc>
                <w:tcPr>
                  <w:tcW w:w="1582" w:type="dxa"/>
                  <w:noWrap w:val="0"/>
                  <w:tcMar>
                    <w:top w:w="57" w:type="dxa"/>
                    <w:bottom w:w="57" w:type="dxa"/>
                  </w:tcMar>
                  <w:vAlign w:val="center"/>
                </w:tcPr>
                <w:p>
                  <w:pPr>
                    <w:spacing w:line="280" w:lineRule="exact"/>
                    <w:jc w:val="center"/>
                    <w:rPr>
                      <w:rFonts w:ascii="新宋体" w:hAnsi="新宋体" w:eastAsia="新宋体" w:cs="宋体"/>
                      <w:bCs/>
                      <w:color w:val="auto"/>
                      <w:sz w:val="22"/>
                      <w:szCs w:val="22"/>
                      <w:highlight w:val="none"/>
                    </w:rPr>
                  </w:pPr>
                  <w:r>
                    <w:rPr>
                      <w:rFonts w:hint="eastAsia" w:ascii="新宋体" w:hAnsi="新宋体" w:eastAsia="新宋体" w:cs="宋体"/>
                      <w:bCs/>
                      <w:color w:val="auto"/>
                      <w:sz w:val="22"/>
                      <w:highlight w:val="none"/>
                    </w:rPr>
                    <w:t>应急响应服务</w:t>
                  </w:r>
                  <w:r>
                    <w:rPr>
                      <w:rFonts w:hint="eastAsia" w:ascii="新宋体" w:hAnsi="新宋体" w:eastAsia="新宋体" w:cs="宋体"/>
                      <w:color w:val="auto"/>
                      <w:sz w:val="22"/>
                      <w:szCs w:val="22"/>
                      <w:highlight w:val="none"/>
                    </w:rPr>
                    <w:t>（</w:t>
                  </w:r>
                  <w:r>
                    <w:rPr>
                      <w:rFonts w:hint="eastAsia" w:ascii="新宋体" w:hAnsi="新宋体" w:eastAsia="新宋体" w:cs="宋体"/>
                      <w:color w:val="auto"/>
                      <w:sz w:val="22"/>
                      <w:szCs w:val="22"/>
                      <w:highlight w:val="none"/>
                      <w:lang w:val="en-US" w:eastAsia="zh-CN"/>
                    </w:rPr>
                    <w:t>6</w:t>
                  </w:r>
                  <w:r>
                    <w:rPr>
                      <w:rFonts w:hint="eastAsia" w:ascii="新宋体" w:hAnsi="新宋体" w:eastAsia="新宋体" w:cs="宋体"/>
                      <w:color w:val="auto"/>
                      <w:sz w:val="22"/>
                      <w:szCs w:val="22"/>
                      <w:highlight w:val="none"/>
                    </w:rPr>
                    <w:t>分）</w:t>
                  </w:r>
                </w:p>
                <w:p>
                  <w:pPr>
                    <w:spacing w:line="280" w:lineRule="exact"/>
                    <w:jc w:val="center"/>
                    <w:rPr>
                      <w:rFonts w:ascii="新宋体" w:hAnsi="新宋体" w:eastAsia="新宋体" w:cs="微软雅黑"/>
                      <w:color w:val="auto"/>
                      <w:sz w:val="22"/>
                      <w:szCs w:val="22"/>
                      <w:highlight w:val="none"/>
                    </w:rPr>
                  </w:pPr>
                </w:p>
              </w:tc>
              <w:tc>
                <w:tcPr>
                  <w:tcW w:w="6352" w:type="dxa"/>
                  <w:noWrap w:val="0"/>
                  <w:tcMar>
                    <w:top w:w="57" w:type="dxa"/>
                    <w:bottom w:w="57" w:type="dxa"/>
                  </w:tcMar>
                  <w:vAlign w:val="center"/>
                </w:tcPr>
                <w:p>
                  <w:pPr>
                    <w:numPr>
                      <w:ilvl w:val="0"/>
                      <w:numId w:val="0"/>
                    </w:numPr>
                    <w:snapToGrid w:val="0"/>
                    <w:rPr>
                      <w:rFonts w:hint="eastAsia" w:ascii="新宋体" w:hAnsi="新宋体" w:eastAsia="新宋体" w:cs="宋体"/>
                      <w:bCs/>
                      <w:color w:val="auto"/>
                      <w:sz w:val="22"/>
                      <w:szCs w:val="22"/>
                      <w:highlight w:val="none"/>
                    </w:rPr>
                  </w:pPr>
                  <w:r>
                    <w:rPr>
                      <w:rFonts w:hint="eastAsia" w:ascii="新宋体" w:hAnsi="新宋体" w:eastAsia="新宋体" w:cs="宋体"/>
                      <w:bCs/>
                      <w:color w:val="auto"/>
                      <w:sz w:val="22"/>
                      <w:szCs w:val="22"/>
                      <w:highlight w:val="none"/>
                      <w:lang w:val="en-US" w:eastAsia="zh-CN"/>
                    </w:rPr>
                    <w:t>1、</w:t>
                  </w:r>
                  <w:r>
                    <w:rPr>
                      <w:rFonts w:hint="eastAsia" w:ascii="新宋体" w:hAnsi="新宋体" w:eastAsia="新宋体" w:cs="宋体"/>
                      <w:bCs/>
                      <w:color w:val="auto"/>
                      <w:sz w:val="22"/>
                      <w:szCs w:val="22"/>
                      <w:highlight w:val="none"/>
                    </w:rPr>
                    <w:t>根据</w:t>
                  </w:r>
                  <w:r>
                    <w:rPr>
                      <w:rFonts w:ascii="新宋体" w:hAnsi="新宋体" w:eastAsia="新宋体"/>
                      <w:color w:val="auto"/>
                      <w:sz w:val="22"/>
                      <w:szCs w:val="22"/>
                      <w:highlight w:val="none"/>
                    </w:rPr>
                    <w:t>供应商</w:t>
                  </w:r>
                  <w:r>
                    <w:rPr>
                      <w:rFonts w:hint="eastAsia" w:ascii="新宋体" w:hAnsi="新宋体" w:eastAsia="新宋体" w:cs="宋体"/>
                      <w:bCs/>
                      <w:color w:val="auto"/>
                      <w:sz w:val="22"/>
                      <w:szCs w:val="22"/>
                      <w:highlight w:val="none"/>
                    </w:rPr>
                    <w:t>针对项目提供的售后培训、技术支持及售后服务计划完整、高效，能确保项目后期正常有序运行，综合评价酌情打分（0-</w:t>
                  </w:r>
                  <w:r>
                    <w:rPr>
                      <w:rFonts w:hint="eastAsia" w:ascii="新宋体" w:hAnsi="新宋体" w:eastAsia="新宋体" w:cs="宋体"/>
                      <w:bCs/>
                      <w:color w:val="auto"/>
                      <w:sz w:val="22"/>
                      <w:szCs w:val="22"/>
                      <w:highlight w:val="none"/>
                      <w:lang w:val="en-US" w:eastAsia="zh-CN"/>
                    </w:rPr>
                    <w:t>3</w:t>
                  </w:r>
                  <w:r>
                    <w:rPr>
                      <w:rFonts w:hint="eastAsia" w:ascii="新宋体" w:hAnsi="新宋体" w:eastAsia="新宋体" w:cs="宋体"/>
                      <w:bCs/>
                      <w:color w:val="auto"/>
                      <w:sz w:val="22"/>
                      <w:szCs w:val="22"/>
                      <w:highlight w:val="none"/>
                    </w:rPr>
                    <w:t>分）。</w:t>
                  </w:r>
                </w:p>
                <w:p>
                  <w:pPr>
                    <w:numPr>
                      <w:ilvl w:val="0"/>
                      <w:numId w:val="0"/>
                    </w:numPr>
                    <w:snapToGrid w:val="0"/>
                    <w:rPr>
                      <w:rFonts w:hint="default" w:ascii="新宋体" w:hAnsi="新宋体" w:eastAsia="新宋体" w:cs="宋体"/>
                      <w:bCs/>
                      <w:color w:val="auto"/>
                      <w:sz w:val="22"/>
                      <w:szCs w:val="22"/>
                      <w:highlight w:val="none"/>
                      <w:lang w:val="en-US" w:eastAsia="zh-CN"/>
                    </w:rPr>
                  </w:pPr>
                  <w:r>
                    <w:rPr>
                      <w:rFonts w:hint="eastAsia" w:ascii="新宋体" w:hAnsi="新宋体" w:eastAsia="新宋体" w:cs="宋体"/>
                      <w:bCs/>
                      <w:color w:val="auto"/>
                      <w:sz w:val="22"/>
                      <w:highlight w:val="none"/>
                    </w:rPr>
                    <w:t>2、根据供应商设立服务网点地址（以工商营业执照注册地为准）能否提供快速便捷的服务，结合梅雨、高温、台风等因素影响，是否能及时、安全的提供服务，综合评价酌情打分（0-</w:t>
                  </w:r>
                  <w:r>
                    <w:rPr>
                      <w:rFonts w:hint="eastAsia" w:ascii="新宋体" w:hAnsi="新宋体" w:eastAsia="新宋体" w:cs="宋体"/>
                      <w:bCs/>
                      <w:color w:val="auto"/>
                      <w:sz w:val="22"/>
                      <w:highlight w:val="none"/>
                      <w:lang w:val="en-US" w:eastAsia="zh-CN"/>
                    </w:rPr>
                    <w:t>3</w:t>
                  </w:r>
                  <w:r>
                    <w:rPr>
                      <w:rFonts w:hint="eastAsia" w:ascii="新宋体" w:hAnsi="新宋体" w:eastAsia="新宋体" w:cs="宋体"/>
                      <w:bCs/>
                      <w:color w:val="auto"/>
                      <w:sz w:val="22"/>
                      <w:highlight w:val="none"/>
                    </w:rPr>
                    <w:t>分）。</w:t>
                  </w:r>
                  <w:r>
                    <w:rPr>
                      <w:rFonts w:hint="eastAsia" w:ascii="新宋体" w:hAnsi="新宋体" w:eastAsia="新宋体" w:cs="宋体"/>
                      <w:bCs/>
                      <w:color w:val="auto"/>
                      <w:sz w:val="22"/>
                      <w:highlight w:val="none"/>
                      <w:lang w:eastAsia="zh-CN"/>
                    </w:rPr>
                    <w:t>以上每项</w:t>
                  </w:r>
                  <w:r>
                    <w:rPr>
                      <w:rFonts w:hint="eastAsia" w:ascii="新宋体" w:hAnsi="新宋体" w:eastAsia="新宋体" w:cs="新宋体"/>
                      <w:color w:val="auto"/>
                      <w:sz w:val="22"/>
                      <w:szCs w:val="22"/>
                      <w:highlight w:val="none"/>
                    </w:rPr>
                    <w:t>方案内容全面合理、准确到位，针对性强，可行性强的得</w:t>
                  </w:r>
                  <w:r>
                    <w:rPr>
                      <w:rFonts w:hint="eastAsia" w:ascii="新宋体" w:hAnsi="新宋体" w:eastAsia="新宋体" w:cs="新宋体"/>
                      <w:color w:val="auto"/>
                      <w:sz w:val="22"/>
                      <w:szCs w:val="22"/>
                      <w:highlight w:val="none"/>
                      <w:lang w:val="en-US" w:eastAsia="zh-CN"/>
                    </w:rPr>
                    <w:t>3</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2.1</w:t>
                  </w:r>
                  <w:r>
                    <w:rPr>
                      <w:rFonts w:hint="eastAsia" w:ascii="新宋体" w:hAnsi="新宋体" w:eastAsia="新宋体" w:cs="新宋体"/>
                      <w:color w:val="auto"/>
                      <w:sz w:val="22"/>
                      <w:szCs w:val="22"/>
                      <w:highlight w:val="none"/>
                    </w:rPr>
                    <w:t>分；方案内容基本正确，措施的合理性可行性稍有欠缺的得</w:t>
                  </w:r>
                  <w:r>
                    <w:rPr>
                      <w:rFonts w:hint="eastAsia" w:ascii="新宋体" w:hAnsi="新宋体" w:eastAsia="新宋体" w:cs="新宋体"/>
                      <w:color w:val="auto"/>
                      <w:sz w:val="22"/>
                      <w:szCs w:val="22"/>
                      <w:highlight w:val="none"/>
                      <w:lang w:val="en-US" w:eastAsia="zh-CN"/>
                    </w:rPr>
                    <w:t>2</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1.1</w:t>
                  </w:r>
                  <w:r>
                    <w:rPr>
                      <w:rFonts w:hint="eastAsia" w:ascii="新宋体" w:hAnsi="新宋体" w:eastAsia="新宋体" w:cs="新宋体"/>
                      <w:color w:val="auto"/>
                      <w:sz w:val="22"/>
                      <w:szCs w:val="22"/>
                      <w:highlight w:val="none"/>
                    </w:rPr>
                    <w:t>分；方案内容简单，措施合理程度较差的得</w:t>
                  </w:r>
                  <w:r>
                    <w:rPr>
                      <w:rFonts w:hint="eastAsia" w:ascii="新宋体" w:hAnsi="新宋体" w:eastAsia="新宋体" w:cs="新宋体"/>
                      <w:color w:val="auto"/>
                      <w:sz w:val="22"/>
                      <w:szCs w:val="22"/>
                      <w:highlight w:val="none"/>
                      <w:lang w:val="en-US" w:eastAsia="zh-CN"/>
                    </w:rPr>
                    <w:t>1</w:t>
                  </w:r>
                  <w:r>
                    <w:rPr>
                      <w:rFonts w:hint="eastAsia" w:ascii="新宋体" w:hAnsi="新宋体" w:eastAsia="新宋体" w:cs="新宋体"/>
                      <w:color w:val="auto"/>
                      <w:sz w:val="22"/>
                      <w:szCs w:val="22"/>
                      <w:highlight w:val="none"/>
                    </w:rPr>
                    <w:t>-</w:t>
                  </w:r>
                  <w:r>
                    <w:rPr>
                      <w:rFonts w:hint="eastAsia" w:ascii="新宋体" w:hAnsi="新宋体" w:eastAsia="新宋体" w:cs="新宋体"/>
                      <w:color w:val="auto"/>
                      <w:sz w:val="22"/>
                      <w:szCs w:val="22"/>
                      <w:highlight w:val="none"/>
                      <w:lang w:val="en-US" w:eastAsia="zh-CN"/>
                    </w:rPr>
                    <w:t>0.1</w:t>
                  </w:r>
                  <w:r>
                    <w:rPr>
                      <w:rFonts w:hint="eastAsia" w:ascii="新宋体" w:hAnsi="新宋体" w:eastAsia="新宋体" w:cs="新宋体"/>
                      <w:color w:val="auto"/>
                      <w:sz w:val="22"/>
                      <w:szCs w:val="22"/>
                      <w:highlight w:val="none"/>
                    </w:rPr>
                    <w:t>分；未提供不得分。</w:t>
                  </w:r>
                  <w:r>
                    <w:rPr>
                      <w:rFonts w:hint="eastAsia" w:ascii="新宋体" w:hAnsi="新宋体" w:eastAsia="新宋体" w:cs="新宋体"/>
                      <w:color w:val="auto"/>
                      <w:sz w:val="22"/>
                      <w:szCs w:val="22"/>
                      <w:highlight w:val="none"/>
                      <w:lang w:eastAsia="zh-CN"/>
                    </w:rPr>
                    <w:t>本项最高得</w:t>
                  </w:r>
                  <w:r>
                    <w:rPr>
                      <w:rFonts w:hint="eastAsia" w:ascii="新宋体" w:hAnsi="新宋体" w:eastAsia="新宋体" w:cs="新宋体"/>
                      <w:color w:val="auto"/>
                      <w:sz w:val="22"/>
                      <w:szCs w:val="22"/>
                      <w:highlight w:val="none"/>
                      <w:lang w:val="en-US" w:eastAsia="zh-CN"/>
                    </w:rPr>
                    <w:t>6分</w:t>
                  </w:r>
                </w:p>
              </w:tc>
              <w:tc>
                <w:tcPr>
                  <w:tcW w:w="820" w:type="dxa"/>
                  <w:noWrap w:val="0"/>
                  <w:vAlign w:val="center"/>
                </w:tcPr>
                <w:p>
                  <w:pPr>
                    <w:snapToGrid w:val="0"/>
                    <w:jc w:val="center"/>
                    <w:rPr>
                      <w:rFonts w:ascii="新宋体" w:hAnsi="新宋体" w:eastAsia="新宋体" w:cs="宋体"/>
                      <w:bCs/>
                      <w:color w:val="auto"/>
                      <w:sz w:val="22"/>
                      <w:szCs w:val="22"/>
                      <w:highlight w:val="none"/>
                    </w:rPr>
                  </w:pPr>
                  <w:r>
                    <w:rPr>
                      <w:rFonts w:hint="eastAsia" w:ascii="新宋体" w:hAnsi="新宋体" w:eastAsia="新宋体" w:cs="宋体"/>
                      <w:bCs/>
                      <w:color w:val="auto"/>
                      <w:sz w:val="22"/>
                      <w:szCs w:val="22"/>
                      <w:highlight w:val="none"/>
                      <w:lang w:val="en-US" w:eastAsia="zh-CN"/>
                    </w:rPr>
                    <w:t>6</w:t>
                  </w:r>
                  <w:r>
                    <w:rPr>
                      <w:rFonts w:hint="eastAsia" w:ascii="新宋体" w:hAnsi="新宋体" w:eastAsia="新宋体" w:cs="宋体"/>
                      <w:bCs/>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restart"/>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r>
                    <w:rPr>
                      <w:rFonts w:hint="eastAsia" w:ascii="新宋体" w:hAnsi="新宋体" w:eastAsia="新宋体" w:cs="微软雅黑"/>
                      <w:color w:val="auto"/>
                      <w:sz w:val="22"/>
                      <w:szCs w:val="22"/>
                      <w:highlight w:val="none"/>
                    </w:rPr>
                    <w:t>4</w:t>
                  </w:r>
                </w:p>
              </w:tc>
              <w:tc>
                <w:tcPr>
                  <w:tcW w:w="1582" w:type="dxa"/>
                  <w:vMerge w:val="restart"/>
                  <w:noWrap w:val="0"/>
                  <w:tcMar>
                    <w:top w:w="57" w:type="dxa"/>
                    <w:bottom w:w="57" w:type="dxa"/>
                  </w:tcMar>
                  <w:vAlign w:val="center"/>
                </w:tcPr>
                <w:p>
                  <w:pPr>
                    <w:spacing w:line="280" w:lineRule="exact"/>
                    <w:jc w:val="lef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人员配备（2</w:t>
                  </w:r>
                  <w:r>
                    <w:rPr>
                      <w:rFonts w:hint="eastAsia" w:ascii="新宋体" w:hAnsi="新宋体" w:eastAsia="新宋体"/>
                      <w:color w:val="auto"/>
                      <w:sz w:val="22"/>
                      <w:szCs w:val="22"/>
                      <w:highlight w:val="none"/>
                      <w:lang w:val="en-US" w:eastAsia="zh-CN"/>
                    </w:rPr>
                    <w:t>7</w:t>
                  </w:r>
                  <w:r>
                    <w:rPr>
                      <w:rFonts w:hint="eastAsia" w:ascii="新宋体" w:hAnsi="新宋体" w:eastAsia="新宋体"/>
                      <w:color w:val="auto"/>
                      <w:sz w:val="22"/>
                      <w:szCs w:val="22"/>
                      <w:highlight w:val="none"/>
                    </w:rPr>
                    <w:t>分）</w:t>
                  </w:r>
                </w:p>
                <w:p>
                  <w:pPr>
                    <w:spacing w:line="280" w:lineRule="exact"/>
                    <w:jc w:val="lef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注：须提供相关证书或证明文件复印件。</w:t>
                  </w:r>
                </w:p>
                <w:p>
                  <w:pPr>
                    <w:spacing w:line="280" w:lineRule="exact"/>
                    <w:jc w:val="lef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所有人员必须是投标单位正式人员，</w:t>
                  </w:r>
                  <w:r>
                    <w:rPr>
                      <w:rFonts w:hint="eastAsia" w:ascii="宋体" w:hAnsi="宋体"/>
                      <w:color w:val="auto"/>
                      <w:kern w:val="0"/>
                      <w:sz w:val="22"/>
                      <w:szCs w:val="22"/>
                      <w:highlight w:val="none"/>
                    </w:rPr>
                    <w:t>须提供在投标单位近三个月内开具的社保证明扫描件加盖公章</w:t>
                  </w:r>
                  <w:r>
                    <w:rPr>
                      <w:rFonts w:hint="eastAsia" w:ascii="新宋体" w:hAnsi="新宋体" w:eastAsia="新宋体"/>
                      <w:color w:val="auto"/>
                      <w:sz w:val="22"/>
                      <w:szCs w:val="22"/>
                      <w:highlight w:val="none"/>
                    </w:rPr>
                    <w:t>，未能证明的不得分。</w:t>
                  </w:r>
                </w:p>
              </w:tc>
              <w:tc>
                <w:tcPr>
                  <w:tcW w:w="6352" w:type="dxa"/>
                  <w:noWrap w:val="0"/>
                  <w:tcMar>
                    <w:top w:w="57" w:type="dxa"/>
                    <w:bottom w:w="57" w:type="dxa"/>
                  </w:tcMar>
                  <w:vAlign w:val="center"/>
                </w:tcPr>
                <w:p>
                  <w:pPr>
                    <w:spacing w:line="280" w:lineRule="exact"/>
                    <w:rPr>
                      <w:color w:val="auto"/>
                      <w:sz w:val="22"/>
                      <w:szCs w:val="22"/>
                      <w:highlight w:val="none"/>
                    </w:rPr>
                  </w:pPr>
                  <w:r>
                    <w:rPr>
                      <w:rFonts w:hint="eastAsia"/>
                      <w:color w:val="auto"/>
                      <w:sz w:val="22"/>
                      <w:szCs w:val="22"/>
                      <w:highlight w:val="none"/>
                    </w:rPr>
                    <w:t>项目总负责人：</w:t>
                  </w:r>
                </w:p>
                <w:p>
                  <w:pPr>
                    <w:spacing w:line="280" w:lineRule="exact"/>
                    <w:rPr>
                      <w:color w:val="auto"/>
                      <w:sz w:val="22"/>
                      <w:szCs w:val="22"/>
                      <w:highlight w:val="none"/>
                    </w:rPr>
                  </w:pPr>
                  <w:r>
                    <w:rPr>
                      <w:rFonts w:hint="eastAsia"/>
                      <w:color w:val="auto"/>
                      <w:sz w:val="22"/>
                      <w:szCs w:val="22"/>
                      <w:highlight w:val="none"/>
                    </w:rPr>
                    <w:t>①具有物探或测绘专业正高（教授）级工程师职称②具有注册测绘师资格③具有城市地下管线探测项目经理及工程监理证书</w:t>
                  </w:r>
                </w:p>
                <w:p>
                  <w:pPr>
                    <w:spacing w:line="280" w:lineRule="exact"/>
                    <w:rPr>
                      <w:rFonts w:hint="eastAsia"/>
                      <w:color w:val="auto"/>
                      <w:sz w:val="22"/>
                      <w:szCs w:val="22"/>
                      <w:highlight w:val="none"/>
                    </w:rPr>
                  </w:pPr>
                  <w:r>
                    <w:rPr>
                      <w:rFonts w:hint="eastAsia"/>
                      <w:color w:val="auto"/>
                      <w:sz w:val="22"/>
                      <w:szCs w:val="22"/>
                      <w:highlight w:val="none"/>
                    </w:rPr>
                    <w:t>项目总负责人满足以上条件的每项得</w:t>
                  </w:r>
                  <w:r>
                    <w:rPr>
                      <w:color w:val="auto"/>
                      <w:sz w:val="22"/>
                      <w:szCs w:val="22"/>
                      <w:highlight w:val="none"/>
                    </w:rPr>
                    <w:t>3</w:t>
                  </w:r>
                  <w:r>
                    <w:rPr>
                      <w:rFonts w:hint="eastAsia"/>
                      <w:color w:val="auto"/>
                      <w:sz w:val="22"/>
                      <w:szCs w:val="22"/>
                      <w:highlight w:val="none"/>
                    </w:rPr>
                    <w:t>分，最高得</w:t>
                  </w:r>
                  <w:r>
                    <w:rPr>
                      <w:color w:val="auto"/>
                      <w:sz w:val="22"/>
                      <w:szCs w:val="22"/>
                      <w:highlight w:val="none"/>
                    </w:rPr>
                    <w:t>9</w:t>
                  </w:r>
                  <w:r>
                    <w:rPr>
                      <w:rFonts w:hint="eastAsia"/>
                      <w:color w:val="auto"/>
                      <w:sz w:val="22"/>
                      <w:szCs w:val="22"/>
                      <w:highlight w:val="none"/>
                    </w:rPr>
                    <w:t>分。</w:t>
                  </w:r>
                </w:p>
                <w:p>
                  <w:pPr>
                    <w:spacing w:line="280" w:lineRule="exact"/>
                    <w:rPr>
                      <w:rFonts w:hint="eastAsia" w:eastAsia="宋体"/>
                      <w:color w:val="auto"/>
                      <w:sz w:val="22"/>
                      <w:szCs w:val="22"/>
                      <w:highlight w:val="none"/>
                      <w:lang w:eastAsia="zh-CN"/>
                    </w:rPr>
                  </w:pPr>
                  <w:r>
                    <w:rPr>
                      <w:rFonts w:hint="eastAsia" w:ascii="Times New Roman" w:hAnsi="Times New Roman" w:cs="Times New Roman"/>
                      <w:color w:val="auto"/>
                      <w:sz w:val="22"/>
                      <w:szCs w:val="22"/>
                      <w:highlight w:val="none"/>
                    </w:rPr>
                    <w:t>项目总负责人必须由联合体牵头方委派</w:t>
                  </w:r>
                  <w:r>
                    <w:rPr>
                      <w:rFonts w:hint="eastAsia" w:cs="Times New Roman"/>
                      <w:color w:val="auto"/>
                      <w:sz w:val="22"/>
                      <w:szCs w:val="22"/>
                      <w:highlight w:val="none"/>
                      <w:lang w:eastAsia="zh-CN"/>
                    </w:rPr>
                    <w:t>。</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ascii="新宋体" w:hAnsi="新宋体" w:eastAsia="新宋体"/>
                      <w:color w:val="auto"/>
                      <w:sz w:val="22"/>
                      <w:szCs w:val="22"/>
                      <w:highlight w:val="none"/>
                    </w:rPr>
                    <w:t>9</w:t>
                  </w:r>
                  <w:r>
                    <w:rPr>
                      <w:rFonts w:hint="eastAsia" w:ascii="新宋体" w:hAnsi="新宋体" w:eastAsia="新宋体"/>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continue"/>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p>
              </w:tc>
              <w:tc>
                <w:tcPr>
                  <w:tcW w:w="1582" w:type="dxa"/>
                  <w:vMerge w:val="continue"/>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p>
              </w:tc>
              <w:tc>
                <w:tcPr>
                  <w:tcW w:w="6352" w:type="dxa"/>
                  <w:noWrap w:val="0"/>
                  <w:tcMar>
                    <w:top w:w="57" w:type="dxa"/>
                    <w:bottom w:w="57" w:type="dxa"/>
                  </w:tcMar>
                  <w:vAlign w:val="center"/>
                </w:tcPr>
                <w:p>
                  <w:pPr>
                    <w:spacing w:line="280" w:lineRule="exact"/>
                    <w:rPr>
                      <w:color w:val="auto"/>
                      <w:sz w:val="22"/>
                      <w:szCs w:val="22"/>
                      <w:highlight w:val="none"/>
                    </w:rPr>
                  </w:pPr>
                  <w:r>
                    <w:rPr>
                      <w:rFonts w:hint="eastAsia"/>
                      <w:color w:val="auto"/>
                      <w:sz w:val="22"/>
                      <w:szCs w:val="22"/>
                      <w:highlight w:val="none"/>
                    </w:rPr>
                    <w:t>项目技术负责人：</w:t>
                  </w:r>
                </w:p>
                <w:p>
                  <w:pPr>
                    <w:spacing w:line="280" w:lineRule="exact"/>
                    <w:rPr>
                      <w:color w:val="auto"/>
                      <w:sz w:val="22"/>
                      <w:szCs w:val="22"/>
                      <w:highlight w:val="none"/>
                    </w:rPr>
                  </w:pPr>
                  <w:r>
                    <w:rPr>
                      <w:rFonts w:hint="eastAsia"/>
                      <w:color w:val="auto"/>
                      <w:sz w:val="22"/>
                      <w:szCs w:val="22"/>
                      <w:highlight w:val="none"/>
                    </w:rPr>
                    <w:t>①具有物探或测绘专业正高（教授）级工程师职称②具有注册测绘师资格</w:t>
                  </w:r>
                </w:p>
                <w:p>
                  <w:pPr>
                    <w:spacing w:line="280" w:lineRule="exact"/>
                    <w:rPr>
                      <w:rFonts w:hint="eastAsia"/>
                      <w:color w:val="auto"/>
                      <w:sz w:val="22"/>
                      <w:szCs w:val="22"/>
                      <w:highlight w:val="none"/>
                    </w:rPr>
                  </w:pPr>
                  <w:r>
                    <w:rPr>
                      <w:rFonts w:hint="eastAsia"/>
                      <w:color w:val="auto"/>
                      <w:sz w:val="22"/>
                      <w:szCs w:val="22"/>
                      <w:highlight w:val="none"/>
                    </w:rPr>
                    <w:t>项目技术负责人满足以上条件的每项得3分，最高得6分。</w:t>
                  </w:r>
                </w:p>
                <w:p>
                  <w:pPr>
                    <w:spacing w:line="280" w:lineRule="exact"/>
                    <w:rPr>
                      <w:color w:val="auto"/>
                      <w:sz w:val="22"/>
                      <w:szCs w:val="22"/>
                      <w:highlight w:val="none"/>
                    </w:rPr>
                  </w:pPr>
                  <w:r>
                    <w:rPr>
                      <w:rFonts w:hint="eastAsia" w:ascii="宋体" w:hAnsi="宋体" w:eastAsia="宋体" w:cs="宋体"/>
                      <w:color w:val="auto"/>
                      <w:sz w:val="22"/>
                      <w:szCs w:val="22"/>
                      <w:highlight w:val="none"/>
                    </w:rPr>
                    <w:t>项目</w:t>
                  </w:r>
                  <w:r>
                    <w:rPr>
                      <w:rFonts w:hint="eastAsia" w:ascii="Times New Roman" w:hAnsi="Times New Roman" w:cs="Times New Roman"/>
                      <w:color w:val="auto"/>
                      <w:sz w:val="22"/>
                      <w:szCs w:val="22"/>
                      <w:highlight w:val="none"/>
                    </w:rPr>
                    <w:t>技术负责人必须由联合体牵头方委派。</w:t>
                  </w:r>
                </w:p>
              </w:tc>
              <w:tc>
                <w:tcPr>
                  <w:tcW w:w="820" w:type="dxa"/>
                  <w:noWrap w:val="0"/>
                  <w:vAlign w:val="center"/>
                </w:tcPr>
                <w:p>
                  <w:pPr>
                    <w:spacing w:line="280" w:lineRule="exact"/>
                    <w:jc w:val="center"/>
                    <w:rPr>
                      <w:rFonts w:ascii="新宋体" w:hAnsi="新宋体" w:eastAsia="新宋体" w:cs="微软雅黑"/>
                      <w:color w:val="auto"/>
                      <w:sz w:val="22"/>
                      <w:szCs w:val="22"/>
                      <w:highlight w:val="none"/>
                    </w:rPr>
                  </w:pPr>
                  <w:r>
                    <w:rPr>
                      <w:rFonts w:hint="eastAsia" w:ascii="新宋体" w:hAnsi="新宋体" w:eastAsia="新宋体"/>
                      <w:color w:val="auto"/>
                      <w:sz w:val="22"/>
                      <w:szCs w:val="22"/>
                      <w:highlight w:val="none"/>
                    </w:rPr>
                    <w:t>6分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669" w:type="dxa"/>
                  <w:vMerge w:val="continue"/>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p>
              </w:tc>
              <w:tc>
                <w:tcPr>
                  <w:tcW w:w="1582" w:type="dxa"/>
                  <w:vMerge w:val="continue"/>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p>
              </w:tc>
              <w:tc>
                <w:tcPr>
                  <w:tcW w:w="6352" w:type="dxa"/>
                  <w:noWrap w:val="0"/>
                  <w:tcMar>
                    <w:top w:w="57" w:type="dxa"/>
                    <w:bottom w:w="57" w:type="dxa"/>
                  </w:tcMar>
                  <w:vAlign w:val="center"/>
                </w:tcPr>
                <w:p>
                  <w:pPr>
                    <w:spacing w:line="280" w:lineRule="exact"/>
                    <w:rPr>
                      <w:color w:val="auto"/>
                      <w:sz w:val="22"/>
                      <w:szCs w:val="22"/>
                      <w:highlight w:val="none"/>
                    </w:rPr>
                  </w:pPr>
                  <w:r>
                    <w:rPr>
                      <w:rFonts w:hint="eastAsia" w:ascii="Times New Roman" w:hAnsi="Times New Roman" w:cs="Times New Roman"/>
                      <w:color w:val="auto"/>
                      <w:sz w:val="22"/>
                      <w:szCs w:val="22"/>
                      <w:highlight w:val="none"/>
                    </w:rPr>
                    <w:t>拟投入本项目的技术人员</w:t>
                  </w:r>
                  <w:r>
                    <w:rPr>
                      <w:rFonts w:hint="eastAsia"/>
                      <w:color w:val="auto"/>
                      <w:sz w:val="22"/>
                      <w:szCs w:val="22"/>
                      <w:highlight w:val="none"/>
                    </w:rPr>
                    <w:t>（不含项目总负责人和项目技术负责人）：</w:t>
                  </w:r>
                </w:p>
                <w:p>
                  <w:pPr>
                    <w:spacing w:line="280" w:lineRule="exact"/>
                    <w:rPr>
                      <w:color w:val="auto"/>
                      <w:sz w:val="22"/>
                      <w:szCs w:val="22"/>
                      <w:highlight w:val="none"/>
                    </w:rPr>
                  </w:pPr>
                  <w:r>
                    <w:rPr>
                      <w:rFonts w:hint="eastAsia"/>
                      <w:color w:val="auto"/>
                      <w:sz w:val="22"/>
                      <w:szCs w:val="22"/>
                      <w:highlight w:val="none"/>
                    </w:rPr>
                    <w:t>①具有城市地下管线探测项目经理及工程监理证书的，每1人得</w:t>
                  </w:r>
                  <w:r>
                    <w:rPr>
                      <w:color w:val="auto"/>
                      <w:sz w:val="22"/>
                      <w:szCs w:val="22"/>
                      <w:highlight w:val="none"/>
                    </w:rPr>
                    <w:t>0.5</w:t>
                  </w:r>
                  <w:r>
                    <w:rPr>
                      <w:rFonts w:hint="eastAsia"/>
                      <w:color w:val="auto"/>
                      <w:sz w:val="22"/>
                      <w:szCs w:val="22"/>
                      <w:highlight w:val="none"/>
                    </w:rPr>
                    <w:t>分，最高得4分。</w:t>
                  </w:r>
                </w:p>
                <w:p>
                  <w:pPr>
                    <w:spacing w:line="280" w:lineRule="exact"/>
                    <w:rPr>
                      <w:rFonts w:hint="eastAsia" w:ascii="Times New Roman" w:hAnsi="Times New Roman" w:cs="Times New Roman"/>
                      <w:color w:val="auto"/>
                      <w:sz w:val="22"/>
                      <w:szCs w:val="22"/>
                      <w:highlight w:val="none"/>
                    </w:rPr>
                  </w:pPr>
                  <w:r>
                    <w:rPr>
                      <w:rFonts w:hint="eastAsia"/>
                      <w:color w:val="auto"/>
                      <w:sz w:val="22"/>
                      <w:szCs w:val="22"/>
                      <w:highlight w:val="none"/>
                    </w:rPr>
                    <w:t>②</w:t>
                  </w:r>
                  <w:r>
                    <w:rPr>
                      <w:rFonts w:hint="eastAsia" w:ascii="Times New Roman" w:hAnsi="Times New Roman" w:cs="Times New Roman"/>
                      <w:color w:val="auto"/>
                      <w:sz w:val="22"/>
                      <w:szCs w:val="22"/>
                      <w:highlight w:val="none"/>
                    </w:rPr>
                    <w:t>具有物化探专业工程师及以上职称证书的，每人得1分，最高得3分；</w:t>
                  </w:r>
                </w:p>
                <w:p>
                  <w:pPr>
                    <w:spacing w:line="280" w:lineRule="exact"/>
                    <w:rPr>
                      <w:color w:val="auto"/>
                      <w:sz w:val="22"/>
                      <w:szCs w:val="22"/>
                      <w:highlight w:val="none"/>
                    </w:rPr>
                  </w:pPr>
                  <w:r>
                    <w:rPr>
                      <w:rFonts w:hint="eastAsia"/>
                      <w:color w:val="auto"/>
                      <w:sz w:val="22"/>
                      <w:szCs w:val="22"/>
                      <w:highlight w:val="none"/>
                    </w:rPr>
                    <w:t>③项目组成员具备注册安全工程师证书的，每1人得</w:t>
                  </w:r>
                  <w:r>
                    <w:rPr>
                      <w:color w:val="auto"/>
                      <w:sz w:val="22"/>
                      <w:szCs w:val="22"/>
                      <w:highlight w:val="none"/>
                    </w:rPr>
                    <w:t>1</w:t>
                  </w:r>
                  <w:r>
                    <w:rPr>
                      <w:rFonts w:hint="eastAsia"/>
                      <w:color w:val="auto"/>
                      <w:sz w:val="22"/>
                      <w:szCs w:val="22"/>
                      <w:highlight w:val="none"/>
                    </w:rPr>
                    <w:t>分，最高得</w:t>
                  </w:r>
                  <w:r>
                    <w:rPr>
                      <w:rFonts w:hint="eastAsia"/>
                      <w:color w:val="auto"/>
                      <w:sz w:val="22"/>
                      <w:szCs w:val="22"/>
                      <w:highlight w:val="none"/>
                      <w:lang w:val="en-US" w:eastAsia="zh-CN"/>
                    </w:rPr>
                    <w:t>3</w:t>
                  </w:r>
                  <w:r>
                    <w:rPr>
                      <w:rFonts w:hint="eastAsia"/>
                      <w:color w:val="auto"/>
                      <w:sz w:val="22"/>
                      <w:szCs w:val="22"/>
                      <w:highlight w:val="none"/>
                    </w:rPr>
                    <w:t>分。</w:t>
                  </w:r>
                </w:p>
                <w:p>
                  <w:pPr>
                    <w:spacing w:line="280" w:lineRule="exact"/>
                    <w:rPr>
                      <w:rFonts w:hint="eastAsia" w:ascii="Times New Roman" w:hAnsi="Times New Roman" w:cs="Times New Roman"/>
                      <w:color w:val="auto"/>
                      <w:sz w:val="22"/>
                      <w:szCs w:val="22"/>
                      <w:highlight w:val="none"/>
                    </w:rPr>
                  </w:pPr>
                  <w:r>
                    <w:rPr>
                      <w:rFonts w:hint="eastAsia"/>
                      <w:color w:val="auto"/>
                      <w:sz w:val="22"/>
                      <w:szCs w:val="22"/>
                      <w:highlight w:val="none"/>
                    </w:rPr>
                    <w:t>④</w:t>
                  </w:r>
                  <w:r>
                    <w:rPr>
                      <w:rFonts w:hint="eastAsia" w:ascii="Times New Roman" w:hAnsi="Times New Roman" w:cs="Times New Roman"/>
                      <w:color w:val="auto"/>
                      <w:sz w:val="22"/>
                      <w:szCs w:val="22"/>
                      <w:highlight w:val="none"/>
                    </w:rPr>
                    <w:t>具有省级及以上地下管线测量专家库成员得</w:t>
                  </w:r>
                  <w:r>
                    <w:rPr>
                      <w:rFonts w:hint="eastAsia" w:ascii="Times New Roman" w:hAnsi="Times New Roman" w:cs="Times New Roman"/>
                      <w:color w:val="auto"/>
                      <w:sz w:val="22"/>
                      <w:szCs w:val="22"/>
                      <w:highlight w:val="none"/>
                      <w:lang w:val="en-US" w:eastAsia="zh-CN"/>
                    </w:rPr>
                    <w:t>2</w:t>
                  </w:r>
                  <w:r>
                    <w:rPr>
                      <w:rFonts w:hint="eastAsia" w:ascii="Times New Roman" w:hAnsi="Times New Roman" w:cs="Times New Roman"/>
                      <w:color w:val="auto"/>
                      <w:sz w:val="22"/>
                      <w:szCs w:val="22"/>
                      <w:highlight w:val="none"/>
                    </w:rPr>
                    <w:t>分。</w:t>
                  </w:r>
                </w:p>
                <w:p>
                  <w:pPr>
                    <w:spacing w:line="280" w:lineRule="exact"/>
                    <w:rPr>
                      <w:color w:val="auto"/>
                      <w:highlight w:val="none"/>
                    </w:rPr>
                  </w:pPr>
                  <w:r>
                    <w:rPr>
                      <w:rFonts w:hint="eastAsia" w:ascii="Times New Roman" w:hAnsi="Times New Roman" w:cs="Times New Roman"/>
                      <w:color w:val="auto"/>
                      <w:sz w:val="22"/>
                      <w:szCs w:val="22"/>
                      <w:highlight w:val="none"/>
                    </w:rPr>
                    <w:t>注：联合体投标的，由联合体牵头人委派的技术人员（不含项目负责人、技术负责人）必须占总技术人员（不含项目负责人、技术负责人）的50%及以上，否则不得分。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1</w:t>
                  </w:r>
                  <w:r>
                    <w:rPr>
                      <w:rFonts w:hint="eastAsia" w:ascii="新宋体" w:hAnsi="新宋体" w:eastAsia="新宋体"/>
                      <w:color w:val="auto"/>
                      <w:sz w:val="22"/>
                      <w:szCs w:val="22"/>
                      <w:highlight w:val="none"/>
                      <w:lang w:val="en-US" w:eastAsia="zh-CN"/>
                    </w:rPr>
                    <w:t>2</w:t>
                  </w:r>
                  <w:r>
                    <w:rPr>
                      <w:rFonts w:hint="eastAsia" w:ascii="新宋体" w:hAnsi="新宋体" w:eastAsia="新宋体"/>
                      <w:color w:val="auto"/>
                      <w:sz w:val="22"/>
                      <w:szCs w:val="22"/>
                      <w:highlight w:val="none"/>
                    </w:rPr>
                    <w:t>分</w:t>
                  </w:r>
                </w:p>
              </w:tc>
              <w:tc>
                <w:tcPr>
                  <w:tcW w:w="692" w:type="dxa"/>
                  <w:noWrap w:val="0"/>
                  <w:vAlign w:val="center"/>
                </w:tcPr>
                <w:p>
                  <w:pPr>
                    <w:spacing w:line="280" w:lineRule="exact"/>
                    <w:ind w:left="-105" w:leftChars="-50" w:right="-105" w:rightChars="-50"/>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r>
                    <w:rPr>
                      <w:rFonts w:hint="eastAsia" w:ascii="新宋体" w:hAnsi="新宋体" w:eastAsia="新宋体" w:cs="微软雅黑"/>
                      <w:color w:val="auto"/>
                      <w:sz w:val="22"/>
                      <w:szCs w:val="22"/>
                      <w:highlight w:val="none"/>
                    </w:rPr>
                    <w:t>5</w:t>
                  </w:r>
                </w:p>
              </w:tc>
              <w:tc>
                <w:tcPr>
                  <w:tcW w:w="1582" w:type="dxa"/>
                  <w:noWrap w:val="0"/>
                  <w:tcMar>
                    <w:top w:w="57" w:type="dxa"/>
                    <w:bottom w:w="57" w:type="dxa"/>
                  </w:tcMar>
                  <w:vAlign w:val="center"/>
                </w:tcPr>
                <w:p>
                  <w:pPr>
                    <w:spacing w:line="280" w:lineRule="exact"/>
                    <w:rPr>
                      <w:rFonts w:ascii="新宋体" w:hAnsi="新宋体" w:eastAsia="新宋体" w:cs="微软雅黑"/>
                      <w:color w:val="auto"/>
                      <w:sz w:val="22"/>
                      <w:szCs w:val="22"/>
                      <w:highlight w:val="none"/>
                    </w:rPr>
                  </w:pPr>
                  <w:r>
                    <w:rPr>
                      <w:rFonts w:hint="eastAsia" w:ascii="新宋体" w:hAnsi="新宋体" w:eastAsia="新宋体" w:cs="微软雅黑"/>
                      <w:color w:val="auto"/>
                      <w:sz w:val="22"/>
                      <w:szCs w:val="22"/>
                      <w:highlight w:val="none"/>
                    </w:rPr>
                    <w:t>投标供应商认证（5分）</w:t>
                  </w:r>
                </w:p>
                <w:p>
                  <w:pPr>
                    <w:spacing w:line="280" w:lineRule="exact"/>
                    <w:rPr>
                      <w:color w:val="auto"/>
                      <w:kern w:val="0"/>
                      <w:sz w:val="22"/>
                      <w:szCs w:val="22"/>
                      <w:highlight w:val="none"/>
                    </w:rPr>
                  </w:pPr>
                  <w:r>
                    <w:rPr>
                      <w:rFonts w:hint="eastAsia" w:ascii="新宋体" w:hAnsi="新宋体" w:eastAsia="新宋体" w:cs="微软雅黑"/>
                      <w:color w:val="auto"/>
                      <w:sz w:val="22"/>
                      <w:szCs w:val="22"/>
                      <w:highlight w:val="none"/>
                    </w:rPr>
                    <w:t>注：提供相关证书复印件。</w:t>
                  </w:r>
                </w:p>
              </w:tc>
              <w:tc>
                <w:tcPr>
                  <w:tcW w:w="6352" w:type="dxa"/>
                  <w:noWrap w:val="0"/>
                  <w:tcMar>
                    <w:top w:w="57" w:type="dxa"/>
                    <w:bottom w:w="57" w:type="dxa"/>
                  </w:tcMar>
                  <w:vAlign w:val="top"/>
                </w:tcPr>
                <w:p>
                  <w:pPr>
                    <w:snapToGrid w:val="0"/>
                    <w:jc w:val="left"/>
                    <w:rPr>
                      <w:rFonts w:ascii="新宋体" w:hAnsi="新宋体" w:eastAsia="新宋体"/>
                      <w:color w:val="auto"/>
                      <w:sz w:val="22"/>
                      <w:szCs w:val="22"/>
                      <w:highlight w:val="none"/>
                    </w:rPr>
                  </w:pPr>
                  <w:r>
                    <w:rPr>
                      <w:rFonts w:ascii="新宋体" w:hAnsi="新宋体" w:eastAsia="新宋体"/>
                      <w:color w:val="auto"/>
                      <w:sz w:val="22"/>
                      <w:szCs w:val="22"/>
                      <w:highlight w:val="none"/>
                    </w:rPr>
                    <w:t>供应商具有</w:t>
                  </w:r>
                  <w:r>
                    <w:rPr>
                      <w:rFonts w:hint="eastAsia" w:ascii="新宋体" w:hAnsi="新宋体" w:eastAsia="新宋体"/>
                      <w:color w:val="auto"/>
                      <w:sz w:val="22"/>
                      <w:szCs w:val="22"/>
                      <w:highlight w:val="none"/>
                    </w:rPr>
                    <w:t>质量管理体系认证证书得1分、环境管理体系认证证书得1分、职业健康安全管理体系认证证书得1分、信息安全管理体系认证证书得1分、信息技术服务管理体系认证证书得1分。</w:t>
                  </w:r>
                </w:p>
              </w:tc>
              <w:tc>
                <w:tcPr>
                  <w:tcW w:w="820" w:type="dxa"/>
                  <w:noWrap w:val="0"/>
                  <w:vAlign w:val="center"/>
                </w:tcPr>
                <w:p>
                  <w:pPr>
                    <w:spacing w:line="280" w:lineRule="exact"/>
                    <w:jc w:val="center"/>
                    <w:rPr>
                      <w:rFonts w:ascii="新宋体" w:hAnsi="新宋体" w:eastAsia="新宋体" w:cs="微软雅黑"/>
                      <w:color w:val="auto"/>
                      <w:sz w:val="22"/>
                      <w:szCs w:val="22"/>
                      <w:highlight w:val="none"/>
                    </w:rPr>
                  </w:pPr>
                  <w:r>
                    <w:rPr>
                      <w:rFonts w:hint="eastAsia" w:ascii="新宋体" w:hAnsi="新宋体" w:eastAsia="新宋体"/>
                      <w:color w:val="auto"/>
                      <w:sz w:val="22"/>
                      <w:szCs w:val="22"/>
                      <w:highlight w:val="none"/>
                    </w:rPr>
                    <w:t>5分</w:t>
                  </w:r>
                </w:p>
              </w:tc>
              <w:tc>
                <w:tcPr>
                  <w:tcW w:w="692" w:type="dxa"/>
                  <w:noWrap w:val="0"/>
                  <w:vAlign w:val="center"/>
                </w:tcPr>
                <w:p>
                  <w:pPr>
                    <w:spacing w:line="280" w:lineRule="exact"/>
                    <w:ind w:left="-105" w:leftChars="-50" w:right="-105" w:rightChars="-5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restart"/>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r>
                    <w:rPr>
                      <w:rFonts w:hint="eastAsia" w:ascii="新宋体" w:hAnsi="新宋体" w:eastAsia="新宋体" w:cs="微软雅黑"/>
                      <w:color w:val="auto"/>
                      <w:sz w:val="22"/>
                      <w:szCs w:val="22"/>
                      <w:highlight w:val="none"/>
                    </w:rPr>
                    <w:t>6</w:t>
                  </w:r>
                </w:p>
              </w:tc>
              <w:tc>
                <w:tcPr>
                  <w:tcW w:w="1582" w:type="dxa"/>
                  <w:vMerge w:val="restart"/>
                  <w:noWrap w:val="0"/>
                  <w:tcMar>
                    <w:top w:w="57" w:type="dxa"/>
                    <w:bottom w:w="57" w:type="dxa"/>
                  </w:tcMar>
                  <w:vAlign w:val="center"/>
                </w:tcPr>
                <w:p>
                  <w:pPr>
                    <w:spacing w:line="280" w:lineRule="exact"/>
                    <w:rPr>
                      <w:rFonts w:ascii="新宋体" w:hAnsi="新宋体" w:eastAsia="新宋体" w:cs="微软雅黑"/>
                      <w:color w:val="auto"/>
                      <w:sz w:val="22"/>
                      <w:szCs w:val="22"/>
                      <w:highlight w:val="none"/>
                    </w:rPr>
                  </w:pPr>
                  <w:r>
                    <w:rPr>
                      <w:rFonts w:hint="eastAsia" w:ascii="新宋体" w:hAnsi="新宋体" w:eastAsia="新宋体" w:cs="微软雅黑"/>
                      <w:color w:val="auto"/>
                      <w:sz w:val="22"/>
                      <w:szCs w:val="22"/>
                      <w:highlight w:val="none"/>
                    </w:rPr>
                    <w:t>投标人综合实力（</w:t>
                  </w:r>
                  <w:r>
                    <w:rPr>
                      <w:rFonts w:ascii="新宋体" w:hAnsi="新宋体" w:eastAsia="新宋体" w:cs="微软雅黑"/>
                      <w:color w:val="auto"/>
                      <w:sz w:val="22"/>
                      <w:szCs w:val="22"/>
                      <w:highlight w:val="none"/>
                    </w:rPr>
                    <w:t>6</w:t>
                  </w:r>
                  <w:r>
                    <w:rPr>
                      <w:rFonts w:hint="eastAsia" w:ascii="新宋体" w:hAnsi="新宋体" w:eastAsia="新宋体" w:cs="微软雅黑"/>
                      <w:color w:val="auto"/>
                      <w:sz w:val="22"/>
                      <w:szCs w:val="22"/>
                      <w:highlight w:val="none"/>
                    </w:rPr>
                    <w:t>分）</w:t>
                  </w:r>
                </w:p>
              </w:tc>
              <w:tc>
                <w:tcPr>
                  <w:tcW w:w="6352" w:type="dxa"/>
                  <w:noWrap w:val="0"/>
                  <w:tcMar>
                    <w:top w:w="57" w:type="dxa"/>
                    <w:bottom w:w="57" w:type="dxa"/>
                  </w:tcMar>
                  <w:vAlign w:val="top"/>
                </w:tcPr>
                <w:p>
                  <w:pPr>
                    <w:snapToGrid w:val="0"/>
                    <w:jc w:val="left"/>
                    <w:rPr>
                      <w:rFonts w:ascii="新宋体" w:hAnsi="新宋体" w:eastAsia="新宋体" w:cs="Times New Roman"/>
                      <w:color w:val="auto"/>
                      <w:sz w:val="22"/>
                      <w:szCs w:val="22"/>
                      <w:highlight w:val="none"/>
                    </w:rPr>
                  </w:pPr>
                  <w:r>
                    <w:rPr>
                      <w:rFonts w:hint="eastAsia" w:ascii="新宋体" w:hAnsi="新宋体" w:eastAsia="新宋体" w:cs="Times New Roman"/>
                      <w:color w:val="auto"/>
                      <w:sz w:val="22"/>
                      <w:szCs w:val="22"/>
                      <w:highlight w:val="none"/>
                      <w:lang w:eastAsia="zh-CN"/>
                    </w:rPr>
                    <w:t>供应商</w:t>
                  </w:r>
                  <w:r>
                    <w:rPr>
                      <w:rFonts w:ascii="新宋体" w:hAnsi="新宋体" w:eastAsia="新宋体" w:cs="Times New Roman"/>
                      <w:color w:val="auto"/>
                      <w:sz w:val="22"/>
                      <w:szCs w:val="22"/>
                      <w:highlight w:val="none"/>
                    </w:rPr>
                    <w:t>具有CMA检验检测机构资质认定证书</w:t>
                  </w:r>
                  <w:r>
                    <w:rPr>
                      <w:rFonts w:ascii="宋体" w:hAnsi="宋体" w:cs="宋体"/>
                      <w:color w:val="auto"/>
                      <w:spacing w:val="-3"/>
                      <w:sz w:val="22"/>
                      <w:szCs w:val="22"/>
                      <w:highlight w:val="none"/>
                    </w:rPr>
                    <w:t>的得</w:t>
                  </w:r>
                  <w:r>
                    <w:rPr>
                      <w:rFonts w:ascii="宋体" w:hAnsi="宋体" w:cs="宋体"/>
                      <w:color w:val="auto"/>
                      <w:sz w:val="22"/>
                      <w:szCs w:val="22"/>
                      <w:highlight w:val="none"/>
                    </w:rPr>
                    <w:t>2</w:t>
                  </w:r>
                  <w:r>
                    <w:rPr>
                      <w:rFonts w:ascii="宋体" w:hAnsi="宋体" w:cs="宋体"/>
                      <w:color w:val="auto"/>
                      <w:spacing w:val="-3"/>
                      <w:sz w:val="22"/>
                      <w:szCs w:val="22"/>
                      <w:highlight w:val="none"/>
                    </w:rPr>
                    <w:t>分。</w:t>
                  </w:r>
                </w:p>
                <w:p>
                  <w:pPr>
                    <w:snapToGrid w:val="0"/>
                    <w:jc w:val="left"/>
                    <w:rPr>
                      <w:rFonts w:ascii="新宋体" w:hAnsi="新宋体" w:eastAsia="新宋体" w:cs="Times New Roman"/>
                      <w:color w:val="auto"/>
                      <w:sz w:val="22"/>
                      <w:szCs w:val="22"/>
                      <w:highlight w:val="none"/>
                    </w:rPr>
                  </w:pPr>
                  <w:r>
                    <w:rPr>
                      <w:rFonts w:hint="eastAsia" w:ascii="新宋体" w:hAnsi="新宋体" w:eastAsia="新宋体" w:cs="Times New Roman"/>
                      <w:color w:val="auto"/>
                      <w:sz w:val="22"/>
                      <w:szCs w:val="22"/>
                      <w:highlight w:val="none"/>
                      <w:lang w:val="en-US" w:eastAsia="zh-CN"/>
                    </w:rPr>
                    <w:t>【提供证书扫描件并加盖公章，未提供不得分】</w:t>
                  </w:r>
                </w:p>
              </w:tc>
              <w:tc>
                <w:tcPr>
                  <w:tcW w:w="820" w:type="dxa"/>
                  <w:noWrap w:val="0"/>
                  <w:vAlign w:val="center"/>
                </w:tcPr>
                <w:p>
                  <w:pPr>
                    <w:spacing w:line="280" w:lineRule="exact"/>
                    <w:jc w:val="center"/>
                    <w:rPr>
                      <w:rFonts w:hint="default" w:ascii="新宋体" w:hAnsi="新宋体" w:eastAsia="新宋体"/>
                      <w:color w:val="auto"/>
                      <w:sz w:val="22"/>
                      <w:szCs w:val="22"/>
                      <w:highlight w:val="none"/>
                      <w:lang w:val="en-US" w:eastAsia="zh-CN"/>
                    </w:rPr>
                  </w:pPr>
                  <w:r>
                    <w:rPr>
                      <w:rFonts w:hint="eastAsia" w:ascii="新宋体" w:hAnsi="新宋体" w:eastAsia="新宋体"/>
                      <w:color w:val="auto"/>
                      <w:sz w:val="22"/>
                      <w:szCs w:val="22"/>
                      <w:highlight w:val="none"/>
                      <w:lang w:val="en-US" w:eastAsia="zh-CN"/>
                    </w:rPr>
                    <w:t xml:space="preserve">2分  </w:t>
                  </w:r>
                </w:p>
              </w:tc>
              <w:tc>
                <w:tcPr>
                  <w:tcW w:w="692" w:type="dxa"/>
                  <w:vMerge w:val="restart"/>
                  <w:noWrap w:val="0"/>
                  <w:vAlign w:val="center"/>
                </w:tcPr>
                <w:p>
                  <w:pPr>
                    <w:spacing w:line="280" w:lineRule="exact"/>
                    <w:ind w:left="-105" w:leftChars="-50" w:right="-105" w:rightChars="-50"/>
                    <w:rPr>
                      <w:rFonts w:ascii="新宋体" w:hAnsi="新宋体" w:eastAsia="新宋体"/>
                      <w:color w:val="auto"/>
                      <w:sz w:val="22"/>
                      <w:szCs w:val="22"/>
                      <w:highlight w:val="none"/>
                    </w:rPr>
                  </w:pPr>
                  <w:r>
                    <w:rPr>
                      <w:rFonts w:hint="eastAsia" w:hAnsi="Calibri"/>
                      <w:color w:val="auto"/>
                      <w:sz w:val="22"/>
                      <w:szCs w:val="2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vMerge w:val="continue"/>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p>
              </w:tc>
              <w:tc>
                <w:tcPr>
                  <w:tcW w:w="1582" w:type="dxa"/>
                  <w:vMerge w:val="continue"/>
                  <w:noWrap w:val="0"/>
                  <w:tcMar>
                    <w:top w:w="57" w:type="dxa"/>
                    <w:bottom w:w="57" w:type="dxa"/>
                  </w:tcMar>
                  <w:vAlign w:val="center"/>
                </w:tcPr>
                <w:p>
                  <w:pPr>
                    <w:spacing w:line="280" w:lineRule="exact"/>
                    <w:rPr>
                      <w:rFonts w:ascii="新宋体" w:hAnsi="新宋体" w:eastAsia="新宋体" w:cs="微软雅黑"/>
                      <w:color w:val="auto"/>
                      <w:sz w:val="22"/>
                      <w:szCs w:val="22"/>
                      <w:highlight w:val="none"/>
                    </w:rPr>
                  </w:pPr>
                </w:p>
              </w:tc>
              <w:tc>
                <w:tcPr>
                  <w:tcW w:w="6352" w:type="dxa"/>
                  <w:noWrap w:val="0"/>
                  <w:tcMar>
                    <w:top w:w="57" w:type="dxa"/>
                    <w:bottom w:w="57" w:type="dxa"/>
                  </w:tcMar>
                  <w:vAlign w:val="center"/>
                </w:tcPr>
                <w:p>
                  <w:pPr>
                    <w:snapToGrid w:val="0"/>
                    <w:jc w:val="left"/>
                    <w:rPr>
                      <w:rFonts w:ascii="新宋体" w:hAnsi="新宋体" w:eastAsia="新宋体"/>
                      <w:color w:val="auto"/>
                      <w:sz w:val="22"/>
                      <w:szCs w:val="22"/>
                      <w:highlight w:val="none"/>
                    </w:rPr>
                  </w:pPr>
                  <w:r>
                    <w:rPr>
                      <w:rFonts w:ascii="宋体" w:hAnsi="宋体" w:cs="宋体"/>
                      <w:color w:val="auto"/>
                      <w:sz w:val="22"/>
                      <w:szCs w:val="22"/>
                      <w:highlight w:val="none"/>
                    </w:rPr>
                    <w:t>2019年1月1日以来</w:t>
                  </w:r>
                  <w:r>
                    <w:rPr>
                      <w:rFonts w:hint="eastAsia" w:ascii="宋体" w:hAnsi="宋体" w:cs="宋体"/>
                      <w:color w:val="auto"/>
                      <w:szCs w:val="21"/>
                      <w:highlight w:val="none"/>
                      <w:lang w:eastAsia="zh-CN"/>
                    </w:rPr>
                    <w:t>供</w:t>
                  </w:r>
                  <w:r>
                    <w:rPr>
                      <w:rFonts w:hint="eastAsia" w:ascii="宋体" w:hAnsi="宋体" w:cs="宋体"/>
                      <w:color w:val="auto"/>
                      <w:sz w:val="22"/>
                      <w:szCs w:val="22"/>
                      <w:highlight w:val="none"/>
                      <w:lang w:eastAsia="zh-CN"/>
                    </w:rPr>
                    <w:t>应商</w:t>
                  </w:r>
                  <w:r>
                    <w:rPr>
                      <w:rFonts w:ascii="宋体" w:hAnsi="宋体" w:cs="宋体"/>
                      <w:color w:val="auto"/>
                      <w:sz w:val="22"/>
                      <w:szCs w:val="22"/>
                      <w:highlight w:val="none"/>
                    </w:rPr>
                    <w:t>获得过</w:t>
                  </w:r>
                  <w:r>
                    <w:rPr>
                      <w:rFonts w:hint="eastAsia" w:ascii="宋体" w:hAnsi="宋体" w:cs="宋体"/>
                      <w:color w:val="auto"/>
                      <w:sz w:val="22"/>
                      <w:szCs w:val="22"/>
                      <w:highlight w:val="none"/>
                    </w:rPr>
                    <w:t>地下市政管线类相关专利、</w:t>
                  </w:r>
                  <w:r>
                    <w:rPr>
                      <w:rFonts w:ascii="宋体" w:hAnsi="宋体" w:cs="宋体"/>
                      <w:color w:val="auto"/>
                      <w:sz w:val="22"/>
                      <w:szCs w:val="22"/>
                      <w:highlight w:val="none"/>
                    </w:rPr>
                    <w:t>软件著作权的，每项得1分，最多得4分。【提供证明材料原件复印件并加盖公章，未提供不得分。】</w:t>
                  </w:r>
                </w:p>
              </w:tc>
              <w:tc>
                <w:tcPr>
                  <w:tcW w:w="820" w:type="dxa"/>
                  <w:noWrap w:val="0"/>
                  <w:vAlign w:val="center"/>
                </w:tcPr>
                <w:p>
                  <w:pPr>
                    <w:spacing w:line="280" w:lineRule="exact"/>
                    <w:jc w:val="center"/>
                    <w:rPr>
                      <w:rFonts w:hint="eastAsia" w:ascii="新宋体" w:hAnsi="新宋体" w:eastAsia="新宋体"/>
                      <w:color w:val="auto"/>
                      <w:sz w:val="22"/>
                      <w:szCs w:val="22"/>
                      <w:highlight w:val="none"/>
                      <w:lang w:val="en-US" w:eastAsia="zh-CN"/>
                    </w:rPr>
                  </w:pPr>
                  <w:r>
                    <w:rPr>
                      <w:rFonts w:hint="eastAsia" w:ascii="新宋体" w:hAnsi="新宋体" w:eastAsia="新宋体"/>
                      <w:color w:val="auto"/>
                      <w:sz w:val="22"/>
                      <w:szCs w:val="22"/>
                      <w:highlight w:val="none"/>
                      <w:lang w:val="en-US" w:eastAsia="zh-CN"/>
                    </w:rPr>
                    <w:t>4分</w:t>
                  </w:r>
                </w:p>
              </w:tc>
              <w:tc>
                <w:tcPr>
                  <w:tcW w:w="692" w:type="dxa"/>
                  <w:vMerge w:val="continue"/>
                  <w:noWrap w:val="0"/>
                  <w:vAlign w:val="center"/>
                </w:tcPr>
                <w:p>
                  <w:pPr>
                    <w:spacing w:line="280" w:lineRule="exact"/>
                    <w:ind w:left="-105" w:leftChars="-50" w:right="-105" w:rightChars="-50"/>
                    <w:rPr>
                      <w:rFonts w:ascii="新宋体" w:hAnsi="新宋体" w:eastAsia="新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9" w:type="dxa"/>
                  <w:noWrap w:val="0"/>
                  <w:tcMar>
                    <w:top w:w="57" w:type="dxa"/>
                    <w:bottom w:w="57" w:type="dxa"/>
                  </w:tcMar>
                  <w:vAlign w:val="center"/>
                </w:tcPr>
                <w:p>
                  <w:pPr>
                    <w:snapToGrid w:val="0"/>
                    <w:jc w:val="center"/>
                    <w:rPr>
                      <w:rFonts w:ascii="新宋体" w:hAnsi="新宋体" w:eastAsia="新宋体"/>
                      <w:color w:val="auto"/>
                      <w:sz w:val="22"/>
                      <w:szCs w:val="22"/>
                      <w:highlight w:val="none"/>
                    </w:rPr>
                  </w:pPr>
                  <w:r>
                    <w:rPr>
                      <w:rFonts w:ascii="新宋体" w:hAnsi="新宋体" w:eastAsia="新宋体"/>
                      <w:color w:val="auto"/>
                      <w:sz w:val="22"/>
                      <w:szCs w:val="22"/>
                      <w:highlight w:val="none"/>
                    </w:rPr>
                    <w:t>7</w:t>
                  </w:r>
                </w:p>
              </w:tc>
              <w:tc>
                <w:tcPr>
                  <w:tcW w:w="1582" w:type="dxa"/>
                  <w:noWrap w:val="0"/>
                  <w:tcMar>
                    <w:top w:w="57" w:type="dxa"/>
                    <w:bottom w:w="57" w:type="dxa"/>
                  </w:tcMar>
                  <w:vAlign w:val="center"/>
                </w:tcPr>
                <w:p>
                  <w:pPr>
                    <w:snapToGrid w:val="0"/>
                    <w:jc w:val="lef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企业荣誉（</w:t>
                  </w:r>
                  <w:r>
                    <w:rPr>
                      <w:rFonts w:ascii="新宋体" w:hAnsi="新宋体" w:eastAsia="新宋体"/>
                      <w:color w:val="auto"/>
                      <w:sz w:val="22"/>
                      <w:szCs w:val="22"/>
                      <w:highlight w:val="none"/>
                    </w:rPr>
                    <w:t>5</w:t>
                  </w:r>
                  <w:r>
                    <w:rPr>
                      <w:rFonts w:hint="eastAsia" w:ascii="新宋体" w:hAnsi="新宋体" w:eastAsia="新宋体"/>
                      <w:color w:val="auto"/>
                      <w:sz w:val="22"/>
                      <w:szCs w:val="22"/>
                      <w:highlight w:val="none"/>
                    </w:rPr>
                    <w:t>分）</w:t>
                  </w:r>
                </w:p>
              </w:tc>
              <w:tc>
                <w:tcPr>
                  <w:tcW w:w="6352" w:type="dxa"/>
                  <w:noWrap w:val="0"/>
                  <w:tcMar>
                    <w:top w:w="57" w:type="dxa"/>
                    <w:bottom w:w="57" w:type="dxa"/>
                  </w:tcMar>
                  <w:vAlign w:val="top"/>
                </w:tcPr>
                <w:p>
                  <w:pPr>
                    <w:snapToGrid w:val="0"/>
                    <w:jc w:val="left"/>
                    <w:rPr>
                      <w:rFonts w:ascii="新宋体" w:hAnsi="新宋体" w:eastAsia="新宋体"/>
                      <w:color w:val="auto"/>
                      <w:sz w:val="22"/>
                      <w:szCs w:val="22"/>
                      <w:highlight w:val="none"/>
                    </w:rPr>
                  </w:pPr>
                  <w:r>
                    <w:rPr>
                      <w:rFonts w:hint="eastAsia" w:ascii="宋体" w:hAnsi="宋体" w:cs="宋体"/>
                      <w:color w:val="auto"/>
                      <w:szCs w:val="21"/>
                      <w:highlight w:val="none"/>
                      <w:lang w:eastAsia="zh-CN"/>
                    </w:rPr>
                    <w:t>供</w:t>
                  </w:r>
                  <w:r>
                    <w:rPr>
                      <w:rFonts w:hint="eastAsia" w:ascii="宋体" w:hAnsi="宋体" w:cs="宋体"/>
                      <w:color w:val="auto"/>
                      <w:sz w:val="22"/>
                      <w:szCs w:val="22"/>
                      <w:highlight w:val="none"/>
                      <w:lang w:eastAsia="zh-CN"/>
                    </w:rPr>
                    <w:t>应商</w:t>
                  </w:r>
                  <w:r>
                    <w:rPr>
                      <w:rFonts w:hint="eastAsia"/>
                      <w:color w:val="auto"/>
                      <w:sz w:val="22"/>
                      <w:szCs w:val="22"/>
                      <w:highlight w:val="none"/>
                    </w:rPr>
                    <w:t>2019年1月1日至今（以荣誉证书落款时间为准）完成的地下市政管线普查或监理类项目获得省级及以上机构颁发的奖项的，每个奖项得1分；获得国家级机构颁发的奖项的，每个奖项得2分，本项最高得</w:t>
                  </w:r>
                  <w:r>
                    <w:rPr>
                      <w:color w:val="auto"/>
                      <w:sz w:val="22"/>
                      <w:szCs w:val="22"/>
                      <w:highlight w:val="none"/>
                    </w:rPr>
                    <w:t>5</w:t>
                  </w:r>
                  <w:r>
                    <w:rPr>
                      <w:rFonts w:hint="eastAsia"/>
                      <w:color w:val="auto"/>
                      <w:sz w:val="22"/>
                      <w:szCs w:val="22"/>
                      <w:highlight w:val="none"/>
                    </w:rPr>
                    <w:t>分</w:t>
                  </w:r>
                  <w:r>
                    <w:rPr>
                      <w:rFonts w:hint="eastAsia" w:ascii="新宋体" w:hAnsi="新宋体" w:eastAsia="新宋体"/>
                      <w:color w:val="auto"/>
                      <w:sz w:val="22"/>
                      <w:szCs w:val="22"/>
                      <w:highlight w:val="none"/>
                    </w:rPr>
                    <w:t>。</w:t>
                  </w:r>
                  <w:r>
                    <w:rPr>
                      <w:rFonts w:ascii="宋体" w:hAnsi="宋体" w:cs="宋体"/>
                      <w:color w:val="auto"/>
                      <w:sz w:val="22"/>
                      <w:szCs w:val="22"/>
                      <w:highlight w:val="none"/>
                    </w:rPr>
                    <w:t>【提供</w:t>
                  </w:r>
                  <w:r>
                    <w:rPr>
                      <w:rFonts w:hint="eastAsia" w:ascii="宋体" w:hAnsi="宋体" w:cs="宋体"/>
                      <w:color w:val="auto"/>
                      <w:sz w:val="22"/>
                      <w:szCs w:val="22"/>
                      <w:highlight w:val="none"/>
                    </w:rPr>
                    <w:t>项目获奖证书及合同原</w:t>
                  </w:r>
                  <w:r>
                    <w:rPr>
                      <w:rFonts w:ascii="宋体" w:hAnsi="宋体" w:cs="宋体"/>
                      <w:color w:val="auto"/>
                      <w:sz w:val="22"/>
                      <w:szCs w:val="22"/>
                      <w:highlight w:val="none"/>
                    </w:rPr>
                    <w:t>件复印件并加盖公章，未提供不得分。】</w:t>
                  </w:r>
                </w:p>
              </w:tc>
              <w:tc>
                <w:tcPr>
                  <w:tcW w:w="820" w:type="dxa"/>
                  <w:noWrap w:val="0"/>
                  <w:vAlign w:val="center"/>
                </w:tcPr>
                <w:p>
                  <w:pPr>
                    <w:snapToGrid w:val="0"/>
                    <w:jc w:val="center"/>
                    <w:rPr>
                      <w:rFonts w:ascii="新宋体" w:hAnsi="新宋体" w:eastAsia="新宋体"/>
                      <w:color w:val="auto"/>
                      <w:sz w:val="22"/>
                      <w:szCs w:val="22"/>
                      <w:highlight w:val="none"/>
                    </w:rPr>
                  </w:pPr>
                  <w:r>
                    <w:rPr>
                      <w:rFonts w:ascii="新宋体" w:hAnsi="新宋体" w:eastAsia="新宋体"/>
                      <w:color w:val="auto"/>
                      <w:sz w:val="22"/>
                      <w:szCs w:val="22"/>
                      <w:highlight w:val="none"/>
                    </w:rPr>
                    <w:t>5</w:t>
                  </w:r>
                  <w:r>
                    <w:rPr>
                      <w:rFonts w:hint="eastAsia" w:ascii="新宋体" w:hAnsi="新宋体" w:eastAsia="新宋体"/>
                      <w:color w:val="auto"/>
                      <w:sz w:val="22"/>
                      <w:szCs w:val="22"/>
                      <w:highlight w:val="none"/>
                    </w:rPr>
                    <w:t>分</w:t>
                  </w:r>
                </w:p>
              </w:tc>
              <w:tc>
                <w:tcPr>
                  <w:tcW w:w="692" w:type="dxa"/>
                  <w:noWrap w:val="0"/>
                  <w:vAlign w:val="center"/>
                </w:tcPr>
                <w:p>
                  <w:pPr>
                    <w:snapToGrid w:val="0"/>
                    <w:ind w:left="-105" w:leftChars="-50" w:right="-105" w:rightChars="-50"/>
                    <w:jc w:val="lef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69" w:type="dxa"/>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r>
                    <w:rPr>
                      <w:rFonts w:ascii="新宋体" w:hAnsi="新宋体" w:eastAsia="新宋体" w:cs="微软雅黑"/>
                      <w:color w:val="auto"/>
                      <w:sz w:val="22"/>
                      <w:szCs w:val="22"/>
                      <w:highlight w:val="none"/>
                    </w:rPr>
                    <w:t>8</w:t>
                  </w:r>
                </w:p>
              </w:tc>
              <w:tc>
                <w:tcPr>
                  <w:tcW w:w="1582" w:type="dxa"/>
                  <w:noWrap w:val="0"/>
                  <w:tcMar>
                    <w:top w:w="57" w:type="dxa"/>
                    <w:bottom w:w="57" w:type="dxa"/>
                  </w:tcMar>
                  <w:vAlign w:val="center"/>
                </w:tcPr>
                <w:p>
                  <w:pPr>
                    <w:spacing w:line="280" w:lineRule="exact"/>
                    <w:jc w:val="center"/>
                    <w:rPr>
                      <w:rFonts w:ascii="新宋体" w:hAnsi="新宋体" w:eastAsia="新宋体" w:cs="微软雅黑"/>
                      <w:color w:val="auto"/>
                      <w:sz w:val="22"/>
                      <w:szCs w:val="22"/>
                      <w:highlight w:val="none"/>
                    </w:rPr>
                  </w:pPr>
                  <w:r>
                    <w:rPr>
                      <w:rFonts w:hint="eastAsia" w:ascii="新宋体" w:hAnsi="新宋体" w:eastAsia="新宋体" w:cs="微软雅黑"/>
                      <w:color w:val="auto"/>
                      <w:sz w:val="22"/>
                      <w:szCs w:val="22"/>
                      <w:highlight w:val="none"/>
                    </w:rPr>
                    <w:t>投标供应商业绩（1分）</w:t>
                  </w:r>
                </w:p>
              </w:tc>
              <w:tc>
                <w:tcPr>
                  <w:tcW w:w="6352" w:type="dxa"/>
                  <w:noWrap w:val="0"/>
                  <w:tcMar>
                    <w:top w:w="57" w:type="dxa"/>
                    <w:bottom w:w="57" w:type="dxa"/>
                  </w:tcMar>
                  <w:vAlign w:val="center"/>
                </w:tcPr>
                <w:p>
                  <w:pPr>
                    <w:spacing w:line="280" w:lineRule="exact"/>
                    <w:jc w:val="lef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供应商承担过</w:t>
                  </w:r>
                  <w:r>
                    <w:rPr>
                      <w:rFonts w:hint="eastAsia"/>
                      <w:color w:val="auto"/>
                      <w:sz w:val="22"/>
                      <w:szCs w:val="22"/>
                      <w:highlight w:val="none"/>
                    </w:rPr>
                    <w:t>地下市政管线监理类项目</w:t>
                  </w:r>
                  <w:r>
                    <w:rPr>
                      <w:rFonts w:hint="eastAsia" w:ascii="新宋体" w:hAnsi="新宋体" w:eastAsia="新宋体"/>
                      <w:color w:val="auto"/>
                      <w:sz w:val="22"/>
                      <w:szCs w:val="22"/>
                      <w:highlight w:val="none"/>
                    </w:rPr>
                    <w:t>，有一个得0.5分，最高得1分。</w:t>
                  </w:r>
                </w:p>
                <w:p>
                  <w:pPr>
                    <w:spacing w:line="280" w:lineRule="exact"/>
                    <w:jc w:val="lef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（以合同为准,提供合同扫描件，未提供不得分。）</w:t>
                  </w:r>
                </w:p>
              </w:tc>
              <w:tc>
                <w:tcPr>
                  <w:tcW w:w="820" w:type="dxa"/>
                  <w:noWrap w:val="0"/>
                  <w:vAlign w:val="center"/>
                </w:tcPr>
                <w:p>
                  <w:pPr>
                    <w:spacing w:line="280" w:lineRule="exact"/>
                    <w:jc w:val="center"/>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1分</w:t>
                  </w:r>
                </w:p>
              </w:tc>
              <w:tc>
                <w:tcPr>
                  <w:tcW w:w="692" w:type="dxa"/>
                  <w:noWrap w:val="0"/>
                  <w:vAlign w:val="center"/>
                </w:tcPr>
                <w:p>
                  <w:pPr>
                    <w:spacing w:line="280" w:lineRule="exact"/>
                    <w:ind w:left="-105" w:leftChars="-50" w:right="-105" w:rightChars="-5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客观分</w:t>
                  </w:r>
                </w:p>
              </w:tc>
            </w:tr>
          </w:tbl>
          <w:p>
            <w:pPr>
              <w:widowControl/>
              <w:adjustRightInd/>
              <w:jc w:val="left"/>
              <w:rPr>
                <w:rFonts w:hint="eastAsia"/>
                <w:color w:val="auto"/>
                <w:sz w:val="22"/>
                <w:szCs w:val="22"/>
                <w:highlight w:val="none"/>
                <w:lang w:eastAsia="zh-CN"/>
              </w:rPr>
            </w:pPr>
          </w:p>
          <w:p>
            <w:pPr>
              <w:widowControl/>
              <w:adjustRightInd/>
              <w:jc w:val="left"/>
              <w:rPr>
                <w:color w:val="auto"/>
                <w:sz w:val="22"/>
                <w:szCs w:val="22"/>
                <w:highlight w:val="none"/>
              </w:rPr>
            </w:pPr>
            <w:r>
              <w:rPr>
                <w:rFonts w:hint="eastAsia"/>
                <w:color w:val="auto"/>
                <w:sz w:val="22"/>
                <w:szCs w:val="22"/>
                <w:highlight w:val="none"/>
                <w:lang w:eastAsia="zh-CN"/>
              </w:rPr>
              <w:t>（二）投标</w:t>
            </w:r>
            <w:r>
              <w:rPr>
                <w:rFonts w:hint="eastAsia"/>
                <w:color w:val="auto"/>
                <w:sz w:val="22"/>
                <w:szCs w:val="22"/>
                <w:highlight w:val="none"/>
              </w:rPr>
              <w:t>报价分（</w:t>
            </w:r>
            <w:r>
              <w:rPr>
                <w:rFonts w:hint="eastAsia"/>
                <w:color w:val="auto"/>
                <w:sz w:val="22"/>
                <w:szCs w:val="22"/>
                <w:highlight w:val="none"/>
                <w:lang w:val="en-US" w:eastAsia="zh-CN"/>
              </w:rPr>
              <w:t>10</w:t>
            </w:r>
            <w:r>
              <w:rPr>
                <w:rFonts w:hint="eastAsia"/>
                <w:color w:val="auto"/>
                <w:sz w:val="22"/>
                <w:szCs w:val="22"/>
                <w:highlight w:val="none"/>
              </w:rPr>
              <w:t>分）</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7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16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firstLine="440" w:firstLineChars="200"/>
                    <w:rPr>
                      <w:color w:val="auto"/>
                      <w:sz w:val="22"/>
                      <w:szCs w:val="22"/>
                      <w:highlight w:val="none"/>
                    </w:rPr>
                  </w:pPr>
                  <w:r>
                    <w:rPr>
                      <w:rFonts w:hint="eastAsia"/>
                      <w:color w:val="auto"/>
                      <w:sz w:val="22"/>
                      <w:szCs w:val="22"/>
                      <w:highlight w:val="none"/>
                    </w:rPr>
                    <w:t>价格权值</w:t>
                  </w:r>
                </w:p>
              </w:tc>
              <w:tc>
                <w:tcPr>
                  <w:tcW w:w="782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ind w:firstLine="440" w:firstLineChars="200"/>
                    <w:rPr>
                      <w:color w:val="auto"/>
                      <w:sz w:val="22"/>
                      <w:szCs w:val="22"/>
                      <w:highlight w:val="none"/>
                    </w:rPr>
                  </w:pPr>
                  <w:r>
                    <w:rPr>
                      <w:rFonts w:hint="eastAsia"/>
                      <w:color w:val="auto"/>
                      <w:sz w:val="22"/>
                      <w:szCs w:val="22"/>
                      <w:highlight w:val="non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216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color w:val="auto"/>
                      <w:sz w:val="22"/>
                      <w:szCs w:val="22"/>
                      <w:highlight w:val="none"/>
                      <w:lang w:eastAsia="zh-CN"/>
                    </w:rPr>
                  </w:pPr>
                  <w:r>
                    <w:rPr>
                      <w:rFonts w:hint="eastAsia"/>
                      <w:color w:val="auto"/>
                      <w:sz w:val="22"/>
                      <w:szCs w:val="22"/>
                      <w:highlight w:val="none"/>
                      <w:lang w:eastAsia="zh-CN"/>
                    </w:rPr>
                    <w:t>投标报价得分</w:t>
                  </w:r>
                </w:p>
              </w:tc>
              <w:tc>
                <w:tcPr>
                  <w:tcW w:w="782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color w:val="auto"/>
                      <w:sz w:val="22"/>
                      <w:szCs w:val="22"/>
                      <w:highlight w:val="none"/>
                    </w:rPr>
                  </w:pPr>
                  <w:r>
                    <w:rPr>
                      <w:rFonts w:hint="eastAsia"/>
                      <w:color w:val="auto"/>
                      <w:sz w:val="22"/>
                      <w:szCs w:val="22"/>
                      <w:highlight w:val="none"/>
                    </w:rPr>
                    <w:t>（</w:t>
                  </w:r>
                  <w:r>
                    <w:rPr>
                      <w:rFonts w:hint="eastAsia"/>
                      <w:color w:val="auto"/>
                      <w:sz w:val="22"/>
                      <w:szCs w:val="22"/>
                      <w:highlight w:val="none"/>
                      <w:lang w:val="en-US" w:eastAsia="zh-CN"/>
                    </w:rPr>
                    <w:t>1</w:t>
                  </w:r>
                  <w:r>
                    <w:rPr>
                      <w:rFonts w:hint="eastAsia"/>
                      <w:color w:val="auto"/>
                      <w:sz w:val="22"/>
                      <w:szCs w:val="22"/>
                      <w:highlight w:val="none"/>
                    </w:rPr>
                    <w:t>）满足</w:t>
                  </w:r>
                  <w:r>
                    <w:rPr>
                      <w:rFonts w:hint="eastAsia"/>
                      <w:color w:val="auto"/>
                      <w:sz w:val="22"/>
                      <w:szCs w:val="22"/>
                      <w:highlight w:val="none"/>
                      <w:lang w:eastAsia="zh-CN"/>
                    </w:rPr>
                    <w:t>采购文件</w:t>
                  </w:r>
                  <w:r>
                    <w:rPr>
                      <w:rFonts w:hint="eastAsia"/>
                      <w:color w:val="auto"/>
                      <w:sz w:val="22"/>
                      <w:szCs w:val="22"/>
                      <w:highlight w:val="none"/>
                    </w:rPr>
                    <w:t>要求且</w:t>
                  </w:r>
                  <w:r>
                    <w:rPr>
                      <w:rFonts w:hint="eastAsia"/>
                      <w:color w:val="auto"/>
                      <w:sz w:val="22"/>
                      <w:szCs w:val="22"/>
                      <w:highlight w:val="none"/>
                      <w:lang w:val="en-US" w:eastAsia="zh-CN"/>
                    </w:rPr>
                    <w:t>报价</w:t>
                  </w:r>
                  <w:r>
                    <w:rPr>
                      <w:rFonts w:hint="eastAsia"/>
                      <w:color w:val="auto"/>
                      <w:sz w:val="22"/>
                      <w:szCs w:val="22"/>
                      <w:highlight w:val="none"/>
                    </w:rPr>
                    <w:t>最低的投标报价为评标基准价，其价格分为</w:t>
                  </w:r>
                  <w:r>
                    <w:rPr>
                      <w:rFonts w:hint="eastAsia"/>
                      <w:color w:val="auto"/>
                      <w:sz w:val="22"/>
                      <w:szCs w:val="22"/>
                      <w:highlight w:val="none"/>
                      <w:lang w:val="en-US" w:eastAsia="zh-CN"/>
                    </w:rPr>
                    <w:t>满分</w:t>
                  </w:r>
                  <w:r>
                    <w:rPr>
                      <w:rFonts w:hint="eastAsia"/>
                      <w:color w:val="auto"/>
                      <w:sz w:val="22"/>
                      <w:szCs w:val="22"/>
                      <w:highlight w:val="none"/>
                    </w:rPr>
                    <w:t>。</w:t>
                  </w:r>
                </w:p>
                <w:p>
                  <w:pPr>
                    <w:snapToGrid w:val="0"/>
                    <w:rPr>
                      <w:rFonts w:hint="eastAsia"/>
                      <w:color w:val="auto"/>
                      <w:sz w:val="22"/>
                      <w:szCs w:val="22"/>
                      <w:highlight w:val="none"/>
                    </w:rPr>
                  </w:pPr>
                  <w:r>
                    <w:rPr>
                      <w:rFonts w:hint="eastAsia"/>
                      <w:color w:val="auto"/>
                      <w:sz w:val="22"/>
                      <w:szCs w:val="22"/>
                      <w:highlight w:val="none"/>
                    </w:rPr>
                    <w:t>（2）其他投标人的投标价格得分按以下公式计算：</w:t>
                  </w:r>
                </w:p>
                <w:p>
                  <w:pPr>
                    <w:widowControl/>
                    <w:spacing w:line="360" w:lineRule="auto"/>
                    <w:ind w:firstLine="440" w:firstLineChars="200"/>
                    <w:rPr>
                      <w:color w:val="auto"/>
                      <w:sz w:val="22"/>
                      <w:szCs w:val="22"/>
                      <w:highlight w:val="none"/>
                    </w:rPr>
                  </w:pPr>
                  <w:r>
                    <w:rPr>
                      <w:rFonts w:hint="eastAsia"/>
                      <w:color w:val="auto"/>
                      <w:sz w:val="22"/>
                      <w:szCs w:val="22"/>
                      <w:highlight w:val="none"/>
                    </w:rPr>
                    <w:t>投标报价得分=（评标基准价/</w:t>
                  </w:r>
                  <w:r>
                    <w:rPr>
                      <w:rFonts w:hint="eastAsia"/>
                      <w:color w:val="auto"/>
                      <w:sz w:val="22"/>
                      <w:szCs w:val="22"/>
                      <w:highlight w:val="none"/>
                      <w:lang w:val="zh-CN"/>
                    </w:rPr>
                    <w:t>有效投标报价</w:t>
                  </w:r>
                  <w:r>
                    <w:rPr>
                      <w:rFonts w:hint="eastAsia"/>
                      <w:color w:val="auto"/>
                      <w:sz w:val="22"/>
                      <w:szCs w:val="22"/>
                      <w:highlight w:val="none"/>
                    </w:rPr>
                    <w:t>）× 价格权值 ×100（四舍五入，保留小数点后2位）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165"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color w:val="auto"/>
                      <w:sz w:val="22"/>
                      <w:szCs w:val="22"/>
                      <w:highlight w:val="none"/>
                      <w:lang w:eastAsia="zh-CN"/>
                    </w:rPr>
                  </w:pPr>
                  <w:r>
                    <w:rPr>
                      <w:rFonts w:hint="eastAsia"/>
                      <w:color w:val="auto"/>
                      <w:sz w:val="22"/>
                      <w:szCs w:val="22"/>
                      <w:highlight w:val="none"/>
                    </w:rPr>
                    <w:t>落实政府采购政策需进行的价格扣除</w:t>
                  </w:r>
                </w:p>
              </w:tc>
              <w:tc>
                <w:tcPr>
                  <w:tcW w:w="7821"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rPr>
                      <w:rFonts w:hint="eastAsia"/>
                      <w:color w:val="auto"/>
                      <w:sz w:val="22"/>
                      <w:szCs w:val="22"/>
                      <w:highlight w:val="none"/>
                    </w:rPr>
                  </w:pPr>
                  <w:r>
                    <w:rPr>
                      <w:rFonts w:hint="eastAsia"/>
                      <w:color w:val="auto"/>
                      <w:sz w:val="22"/>
                      <w:szCs w:val="22"/>
                      <w:highlight w:val="none"/>
                      <w:lang w:eastAsia="zh-CN"/>
                    </w:rPr>
                    <w:t>见“</w:t>
                  </w:r>
                  <w:r>
                    <w:rPr>
                      <w:rFonts w:hint="eastAsia"/>
                      <w:color w:val="auto"/>
                      <w:sz w:val="22"/>
                      <w:szCs w:val="22"/>
                      <w:highlight w:val="none"/>
                    </w:rPr>
                    <w:t>投标人须知前附表</w:t>
                  </w:r>
                  <w:r>
                    <w:rPr>
                      <w:rFonts w:hint="eastAsia"/>
                      <w:color w:val="auto"/>
                      <w:sz w:val="22"/>
                      <w:szCs w:val="22"/>
                      <w:highlight w:val="none"/>
                      <w:lang w:eastAsia="zh-CN"/>
                    </w:rPr>
                    <w:t>”</w:t>
                  </w:r>
                </w:p>
              </w:tc>
            </w:tr>
          </w:tbl>
          <w:p>
            <w:pPr>
              <w:pStyle w:val="5"/>
              <w:ind w:left="0" w:leftChars="0" w:firstLine="0" w:firstLineChars="0"/>
              <w:rPr>
                <w:rFonts w:hint="eastAsia"/>
                <w:color w:val="auto"/>
                <w:sz w:val="22"/>
                <w:szCs w:val="22"/>
                <w:highlight w:val="none"/>
              </w:rPr>
            </w:pPr>
          </w:p>
        </w:tc>
      </w:tr>
    </w:tbl>
    <w:p>
      <w:pPr>
        <w:snapToGrid w:val="0"/>
        <w:spacing w:line="360" w:lineRule="auto"/>
        <w:jc w:val="both"/>
        <w:outlineLvl w:val="1"/>
        <w:rPr>
          <w:rFonts w:hint="eastAsia" w:ascii="仿宋" w:hAnsi="仿宋" w:eastAsia="仿宋" w:cs="仿宋"/>
          <w:b/>
          <w:color w:val="auto"/>
          <w:sz w:val="28"/>
          <w:szCs w:val="28"/>
          <w:highlight w:val="none"/>
        </w:rPr>
      </w:pPr>
      <w:r>
        <w:rPr>
          <w:rStyle w:val="82"/>
          <w:rFonts w:hint="eastAsia" w:ascii="仿宋" w:hAnsi="仿宋" w:eastAsia="仿宋" w:cs="仿宋"/>
          <w:color w:val="auto"/>
          <w:kern w:val="2"/>
          <w:highlight w:val="none"/>
          <w:lang w:eastAsia="zh-CN" w:bidi="ar-SA"/>
        </w:rPr>
        <w:br w:type="page"/>
      </w:r>
      <w:bookmarkEnd w:id="51"/>
      <w:bookmarkEnd w:id="422"/>
      <w:bookmarkEnd w:id="423"/>
      <w:bookmarkStart w:id="424" w:name="第五部分"/>
      <w:bookmarkStart w:id="425" w:name="_Toc86217003"/>
      <w:r>
        <w:rPr>
          <w:rFonts w:hint="eastAsia" w:ascii="仿宋" w:hAnsi="仿宋" w:eastAsia="仿宋" w:cs="仿宋"/>
          <w:b/>
          <w:color w:val="auto"/>
          <w:sz w:val="32"/>
          <w:highlight w:val="none"/>
        </w:rPr>
        <w:t>一、评标方法</w:t>
      </w:r>
    </w:p>
    <w:p>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outlineLvl w:val="1"/>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2.评标标准：</w:t>
      </w:r>
      <w:r>
        <w:rPr>
          <w:rFonts w:hint="eastAsia" w:ascii="仿宋" w:hAnsi="仿宋" w:eastAsia="仿宋" w:cs="仿宋"/>
          <w:color w:val="auto"/>
          <w:kern w:val="0"/>
          <w:sz w:val="24"/>
          <w:highlight w:val="none"/>
        </w:rPr>
        <w:t>见评标办法前附表。</w:t>
      </w:r>
    </w:p>
    <w:p>
      <w:pPr>
        <w:adjustRightInd/>
        <w:spacing w:line="360" w:lineRule="auto"/>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三、评标程序</w:t>
      </w:r>
    </w:p>
    <w:p>
      <w:pPr>
        <w:spacing w:line="360" w:lineRule="auto"/>
        <w:rPr>
          <w:rFonts w:hint="eastAsia" w:ascii="仿宋" w:hAnsi="仿宋" w:eastAsia="仿宋" w:cs="仿宋"/>
          <w:color w:val="auto"/>
          <w:kern w:val="0"/>
          <w:sz w:val="24"/>
          <w:highlight w:val="none"/>
          <w:u w:val="single"/>
        </w:rPr>
      </w:pPr>
      <w:r>
        <w:rPr>
          <w:rFonts w:hint="eastAsia" w:ascii="仿宋" w:hAnsi="仿宋" w:eastAsia="仿宋" w:cs="仿宋"/>
          <w:b/>
          <w:color w:val="auto"/>
          <w:kern w:val="0"/>
          <w:sz w:val="24"/>
          <w:highlight w:val="none"/>
        </w:rPr>
        <w:t>3.1</w:t>
      </w:r>
      <w:r>
        <w:rPr>
          <w:rFonts w:hint="eastAsia" w:ascii="仿宋" w:hAnsi="仿宋" w:eastAsia="仿宋" w:cs="仿宋"/>
          <w:color w:val="auto"/>
          <w:kern w:val="0"/>
          <w:sz w:val="24"/>
          <w:szCs w:val="24"/>
          <w:highlight w:val="none"/>
          <w:u w:val="single"/>
        </w:rPr>
        <w:t>▲</w:t>
      </w:r>
      <w:r>
        <w:rPr>
          <w:rFonts w:hint="eastAsia" w:ascii="仿宋" w:hAnsi="仿宋" w:eastAsia="仿宋" w:cs="仿宋"/>
          <w:b/>
          <w:color w:val="auto"/>
          <w:kern w:val="0"/>
          <w:sz w:val="24"/>
          <w:highlight w:val="none"/>
          <w:u w:val="single"/>
        </w:rPr>
        <w:t>符合性审查。</w:t>
      </w:r>
      <w:r>
        <w:rPr>
          <w:rFonts w:hint="eastAsia" w:ascii="仿宋" w:hAnsi="仿宋" w:eastAsia="仿宋" w:cs="仿宋"/>
          <w:color w:val="auto"/>
          <w:kern w:val="0"/>
          <w:sz w:val="24"/>
          <w:highlight w:val="none"/>
          <w:u w:val="single"/>
        </w:rPr>
        <w:t>评标委员会应当对符合资格的投标人的投标文件进行符合性审查，以确定其是否满足招标文件的实质性要求。不满足招标文件的实质性要求的，投标无效。</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543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962" w:type="dxa"/>
            <w:noWrap w:val="0"/>
            <w:vAlign w:val="center"/>
          </w:tcPr>
          <w:p>
            <w:pPr>
              <w:snapToGrid w:val="0"/>
              <w:spacing w:line="240" w:lineRule="atLeas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5438" w:type="dxa"/>
            <w:noWrap w:val="0"/>
            <w:vAlign w:val="center"/>
          </w:tcPr>
          <w:p>
            <w:pPr>
              <w:snapToGrid w:val="0"/>
              <w:spacing w:line="240" w:lineRule="atLeas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799" w:type="dxa"/>
            <w:noWrap w:val="0"/>
            <w:vAlign w:val="center"/>
          </w:tcPr>
          <w:p>
            <w:pPr>
              <w:snapToGrid w:val="0"/>
              <w:spacing w:line="240" w:lineRule="atLeas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962" w:type="dxa"/>
            <w:noWrap w:val="0"/>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438" w:type="dxa"/>
            <w:noWrap w:val="0"/>
            <w:vAlign w:val="top"/>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不存在如下情形：投标文件未按照招标文件要求签署、盖章。</w:t>
            </w:r>
          </w:p>
        </w:tc>
        <w:tc>
          <w:tcPr>
            <w:tcW w:w="2799" w:type="dxa"/>
            <w:noWrap w:val="0"/>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投标文件的组成部分中需要使用电子签章或者签字盖章处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962" w:type="dxa"/>
            <w:noWrap w:val="0"/>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438" w:type="dxa"/>
            <w:noWrap w:val="0"/>
            <w:vAlign w:val="top"/>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不存在如下情形：投标文件中承诺的投标有效期少于招标文件中载明的投标有效期。</w:t>
            </w:r>
          </w:p>
        </w:tc>
        <w:tc>
          <w:tcPr>
            <w:tcW w:w="2799" w:type="dxa"/>
            <w:noWrap w:val="0"/>
            <w:vAlign w:val="center"/>
          </w:tcPr>
          <w:p>
            <w:pP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962" w:type="dxa"/>
            <w:noWrap w:val="0"/>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438" w:type="dxa"/>
            <w:noWrap w:val="0"/>
            <w:vAlign w:val="top"/>
          </w:tcPr>
          <w:p>
            <w:pPr>
              <w:spacing w:line="360" w:lineRule="auto"/>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不存在如下情形：投标文件不满足招标文件的</w:t>
            </w:r>
            <w:r>
              <w:rPr>
                <w:rFonts w:hint="eastAsia" w:ascii="仿宋" w:hAnsi="仿宋" w:eastAsia="仿宋" w:cs="仿宋"/>
                <w:color w:val="auto"/>
                <w:sz w:val="24"/>
                <w:highlight w:val="none"/>
                <w:lang w:eastAsia="zh-CN"/>
              </w:rPr>
              <w:t>无效标条款及</w:t>
            </w:r>
            <w:r>
              <w:rPr>
                <w:rFonts w:hint="eastAsia" w:ascii="仿宋" w:hAnsi="仿宋" w:eastAsia="仿宋" w:cs="仿宋"/>
                <w:color w:val="auto"/>
                <w:sz w:val="24"/>
                <w:highlight w:val="none"/>
              </w:rPr>
              <w:t>其它实质性要求。</w:t>
            </w:r>
          </w:p>
        </w:tc>
        <w:tc>
          <w:tcPr>
            <w:tcW w:w="2799" w:type="dxa"/>
            <w:noWrap w:val="0"/>
            <w:vAlign w:val="center"/>
          </w:tcPr>
          <w:p>
            <w:pPr>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highlight w:val="none"/>
              </w:rPr>
              <w:t>招标文件其它实质性要求相应的材料（招标文件未要求的，无需提供）</w:t>
            </w:r>
          </w:p>
        </w:tc>
      </w:tr>
    </w:tbl>
    <w:p>
      <w:pPr>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pPr>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pPr>
        <w:pStyle w:val="326"/>
        <w:spacing w:before="0"/>
        <w:ind w:firstLine="0" w:firstLineChars="0"/>
        <w:rPr>
          <w:rFonts w:hint="eastAsia" w:ascii="仿宋" w:hAnsi="仿宋" w:eastAsia="仿宋" w:cs="仿宋"/>
          <w:b/>
          <w:color w:val="auto"/>
          <w:kern w:val="0"/>
          <w:highlight w:val="none"/>
        </w:rPr>
      </w:pPr>
      <w:r>
        <w:rPr>
          <w:rFonts w:hint="eastAsia" w:ascii="仿宋" w:hAnsi="仿宋" w:eastAsia="仿宋" w:cs="仿宋"/>
          <w:b/>
          <w:color w:val="auto"/>
          <w:kern w:val="0"/>
          <w:highlight w:val="none"/>
        </w:rPr>
        <w:t>3.4.1投标文件报价出现前后不一致的，按照下列规定修正：</w:t>
      </w:r>
    </w:p>
    <w:p>
      <w:pPr>
        <w:pStyle w:val="326"/>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pPr>
        <w:pStyle w:val="326"/>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pPr>
        <w:pStyle w:val="326"/>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pPr>
        <w:pStyle w:val="326"/>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pPr>
        <w:pStyle w:val="326"/>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3.4.2</w:t>
      </w:r>
      <w:r>
        <w:rPr>
          <w:rFonts w:hint="eastAsia" w:ascii="仿宋" w:hAnsi="仿宋" w:eastAsia="仿宋" w:cs="仿宋"/>
          <w:color w:val="auto"/>
          <w:kern w:val="0"/>
          <w:sz w:val="24"/>
          <w:highlight w:val="none"/>
        </w:rPr>
        <w:t>投标文件出现不是唯一的、有选择性投标报价的，投标无效。</w:t>
      </w:r>
    </w:p>
    <w:p>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3.4.3</w:t>
      </w:r>
      <w:r>
        <w:rPr>
          <w:rFonts w:hint="eastAsia" w:ascii="仿宋" w:hAnsi="仿宋" w:eastAsia="仿宋" w:cs="仿宋"/>
          <w:color w:val="auto"/>
          <w:kern w:val="0"/>
          <w:sz w:val="24"/>
          <w:highlight w:val="none"/>
        </w:rPr>
        <w:t>投标报价超过招标文件中规定的预算金额或者最高限价的，投标无效。</w:t>
      </w:r>
    </w:p>
    <w:p>
      <w:pPr>
        <w:pStyle w:val="326"/>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3.4.4</w:t>
      </w:r>
      <w:r>
        <w:rPr>
          <w:rFonts w:hint="eastAsia" w:ascii="仿宋" w:hAnsi="仿宋" w:eastAsia="仿宋" w:cs="仿宋"/>
          <w:color w:val="auto"/>
          <w:kern w:val="0"/>
          <w:szCs w:val="24"/>
          <w:highlight w:val="none"/>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326"/>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3.4.5</w:t>
      </w:r>
      <w:r>
        <w:rPr>
          <w:rFonts w:hint="eastAsia" w:ascii="仿宋" w:hAnsi="仿宋" w:eastAsia="仿宋" w:cs="仿宋"/>
          <w:color w:val="auto"/>
          <w:kern w:val="0"/>
          <w:szCs w:val="24"/>
          <w:highlight w:val="none"/>
        </w:rPr>
        <w:t>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kern w:val="0"/>
          <w:szCs w:val="24"/>
          <w:highlight w:val="none"/>
          <w:lang w:eastAsia="zh-CN"/>
        </w:rPr>
        <w:t>20%</w:t>
      </w:r>
      <w:r>
        <w:rPr>
          <w:rFonts w:hint="eastAsia" w:ascii="仿宋" w:hAnsi="仿宋" w:eastAsia="仿宋" w:cs="仿宋"/>
          <w:color w:val="auto"/>
          <w:kern w:val="0"/>
          <w:szCs w:val="24"/>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kern w:val="0"/>
          <w:szCs w:val="24"/>
          <w:highlight w:val="none"/>
          <w:lang w:eastAsia="zh-CN"/>
        </w:rPr>
        <w:t>6%</w:t>
      </w:r>
      <w:r>
        <w:rPr>
          <w:rFonts w:hint="eastAsia" w:ascii="仿宋" w:hAnsi="仿宋" w:eastAsia="仿宋" w:cs="仿宋"/>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3.5</w:t>
      </w:r>
      <w:r>
        <w:rPr>
          <w:rFonts w:hint="eastAsia" w:ascii="仿宋" w:hAnsi="仿宋" w:eastAsia="仿宋" w:cs="仿宋"/>
          <w:b/>
          <w:color w:val="auto"/>
          <w:kern w:val="0"/>
          <w:sz w:val="24"/>
          <w:highlight w:val="none"/>
        </w:rPr>
        <w:t>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widowControl/>
        <w:adjustRightInd/>
        <w:spacing w:before="100" w:beforeAutospacing="1" w:after="100" w:afterAutospacing="1" w:line="360" w:lineRule="auto"/>
        <w:jc w:val="left"/>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pPr>
        <w:pStyle w:val="326"/>
        <w:spacing w:before="0"/>
        <w:ind w:firstLine="0"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1"/>
          <w:highlight w:val="none"/>
        </w:rPr>
        <w:t>4.1</w:t>
      </w:r>
      <w:r>
        <w:rPr>
          <w:rFonts w:hint="eastAsia" w:ascii="仿宋" w:hAnsi="仿宋" w:eastAsia="仿宋" w:cs="仿宋"/>
          <w:b/>
          <w:color w:val="auto"/>
          <w:kern w:val="0"/>
          <w:szCs w:val="24"/>
          <w:highlight w:val="none"/>
        </w:rPr>
        <w:t>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章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7"/>
        <w:spacing w:line="360" w:lineRule="auto"/>
        <w:ind w:left="559" w:hanging="479" w:hangingChars="199"/>
        <w:rPr>
          <w:rFonts w:hint="eastAsia" w:ascii="仿宋" w:hAnsi="仿宋" w:eastAsia="仿宋" w:cs="仿宋"/>
          <w:color w:val="auto"/>
          <w:szCs w:val="21"/>
          <w:highlight w:val="none"/>
        </w:rPr>
      </w:pPr>
      <w:r>
        <w:rPr>
          <w:rFonts w:hint="eastAsia" w:ascii="仿宋" w:hAnsi="仿宋" w:eastAsia="仿宋" w:cs="仿宋"/>
          <w:b/>
          <w:bCs/>
          <w:color w:val="auto"/>
          <w:highlight w:val="none"/>
          <w:u w:val="single"/>
        </w:rPr>
        <w:t>▲</w:t>
      </w:r>
      <w:r>
        <w:rPr>
          <w:rFonts w:hint="eastAsia" w:ascii="仿宋" w:hAnsi="仿宋" w:eastAsia="仿宋" w:cs="仿宋"/>
          <w:b/>
          <w:color w:val="auto"/>
          <w:spacing w:val="20"/>
          <w:highlight w:val="none"/>
          <w:u w:val="single"/>
        </w:rPr>
        <w:t>4.2</w:t>
      </w:r>
      <w:r>
        <w:rPr>
          <w:rFonts w:hint="eastAsia" w:ascii="仿宋" w:hAnsi="仿宋" w:eastAsia="仿宋" w:cs="仿宋"/>
          <w:b/>
          <w:color w:val="auto"/>
          <w:spacing w:val="20"/>
          <w:highlight w:val="none"/>
          <w:u w:val="single"/>
          <w:lang w:eastAsia="zh-CN"/>
        </w:rPr>
        <w:t>无效标条款</w:t>
      </w:r>
      <w:r>
        <w:rPr>
          <w:rFonts w:hint="eastAsia" w:ascii="仿宋" w:hAnsi="仿宋" w:eastAsia="仿宋" w:cs="仿宋"/>
          <w:b/>
          <w:color w:val="auto"/>
          <w:spacing w:val="20"/>
          <w:highlight w:val="none"/>
          <w:u w:val="single"/>
        </w:rPr>
        <w:t>。</w:t>
      </w:r>
      <w:r>
        <w:rPr>
          <w:rFonts w:hint="eastAsia" w:ascii="仿宋" w:hAnsi="仿宋" w:eastAsia="仿宋" w:cs="仿宋"/>
          <w:color w:val="auto"/>
          <w:szCs w:val="21"/>
          <w:highlight w:val="none"/>
        </w:rPr>
        <w:t>有下列情况之一的，投标无效：</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4.2.3采购人拟采购的产品属于政府强制采购的节能产品品目清单范围的，投标人未按招标文件要求提供国家确定的认证机构出具的、处于有效期之内的节能产品认证证书</w:t>
      </w:r>
      <w:r>
        <w:rPr>
          <w:rFonts w:hint="eastAsia" w:ascii="仿宋" w:hAnsi="仿宋" w:eastAsia="仿宋" w:cs="仿宋"/>
          <w:color w:val="auto"/>
          <w:sz w:val="24"/>
          <w:highlight w:val="none"/>
        </w:rPr>
        <w:t>、环境标志产品认证证书</w:t>
      </w:r>
      <w:r>
        <w:rPr>
          <w:rFonts w:hint="eastAsia" w:ascii="仿宋" w:hAnsi="仿宋" w:eastAsia="仿宋" w:cs="仿宋"/>
          <w:color w:val="auto"/>
          <w:kern w:val="0"/>
          <w:sz w:val="24"/>
          <w:highlight w:val="none"/>
        </w:rPr>
        <w:t>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4.2.12投标人仅提交备份投标文件，没有在电子交易平台传输递交投标文件的，投标无效；</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4.2.13 投标文件不满足招标文件的其它实质性要求的；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pPr>
        <w:pStyle w:val="27"/>
        <w:snapToGrid w:val="0"/>
        <w:spacing w:line="360" w:lineRule="auto"/>
        <w:ind w:firstLine="0" w:firstLineChars="0"/>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废标后，采购机构应当将废标理由通知所有投标人。</w:t>
      </w:r>
    </w:p>
    <w:p>
      <w:pPr>
        <w:pStyle w:val="27"/>
        <w:snapToGrid w:val="0"/>
        <w:spacing w:line="360" w:lineRule="auto"/>
        <w:ind w:firstLine="118" w:firstLineChars="49"/>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7"/>
        <w:snapToGrid w:val="0"/>
        <w:spacing w:line="360" w:lineRule="auto"/>
        <w:ind w:firstLine="118" w:firstLineChars="49"/>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27"/>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27"/>
        <w:snapToGrid w:val="0"/>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7.5政府采购当事人有其他违反政府采购法或者政府采购法实施条例等法律法规规定的行为，经改正后仍然影响或者可能影响中标、成交结果或者依法被认定为中标、成交无效的，依照7.1-7.4规定处理。</w:t>
      </w:r>
      <w:r>
        <w:rPr>
          <w:rFonts w:hint="eastAsia" w:ascii="仿宋" w:hAnsi="仿宋" w:eastAsia="仿宋" w:cs="仿宋"/>
          <w:color w:val="auto"/>
          <w:highlight w:val="none"/>
          <w:lang w:eastAsia="zh-CN"/>
        </w:rPr>
        <w:br w:type="page"/>
      </w:r>
      <w:bookmarkStart w:id="426" w:name="_Toc9682"/>
      <w:r>
        <w:rPr>
          <w:rStyle w:val="82"/>
          <w:rFonts w:hint="eastAsia" w:ascii="仿宋" w:eastAsia="仿宋" w:cs="仿宋"/>
          <w:color w:val="auto"/>
          <w:kern w:val="2"/>
          <w:highlight w:val="none"/>
          <w:lang w:eastAsia="zh-CN" w:bidi="ar-SA"/>
        </w:rPr>
        <w:t>第五部分 拟签订的合同文本</w:t>
      </w:r>
      <w:bookmarkEnd w:id="426"/>
    </w:p>
    <w:p>
      <w:pPr>
        <w:spacing w:line="360" w:lineRule="auto"/>
        <w:jc w:val="center"/>
        <w:outlineLvl w:val="0"/>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（标段一：</w:t>
      </w:r>
      <w:r>
        <w:rPr>
          <w:rFonts w:hint="eastAsia" w:ascii="仿宋" w:hAnsi="仿宋" w:eastAsia="仿宋" w:cs="仿宋"/>
          <w:b/>
          <w:color w:val="auto"/>
          <w:sz w:val="28"/>
          <w:szCs w:val="28"/>
          <w:highlight w:val="none"/>
        </w:rPr>
        <w:t>政府采购合同参考范本</w:t>
      </w:r>
      <w:r>
        <w:rPr>
          <w:rFonts w:hint="eastAsia" w:ascii="仿宋" w:hAnsi="仿宋" w:eastAsia="仿宋" w:cs="仿宋"/>
          <w:b/>
          <w:color w:val="auto"/>
          <w:sz w:val="28"/>
          <w:szCs w:val="28"/>
          <w:highlight w:val="none"/>
          <w:lang w:eastAsia="zh-CN"/>
        </w:rPr>
        <w:t>）</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 购 人（甲方）：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成交单位（乙方）：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 xml:space="preserve">                                            </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（采购人名称）   </w:t>
      </w:r>
      <w:r>
        <w:rPr>
          <w:rFonts w:hint="eastAsia" w:ascii="仿宋" w:hAnsi="仿宋" w:eastAsia="仿宋" w:cs="仿宋"/>
          <w:color w:val="auto"/>
          <w:sz w:val="24"/>
          <w:szCs w:val="24"/>
          <w:highlight w:val="none"/>
          <w:u w:val="single"/>
          <w:lang w:val="zh-CN"/>
        </w:rPr>
        <w:t>(以下简称：甲方)</w:t>
      </w:r>
      <w:r>
        <w:rPr>
          <w:rFonts w:hint="eastAsia" w:ascii="仿宋" w:hAnsi="仿宋" w:eastAsia="仿宋" w:cs="仿宋"/>
          <w:color w:val="auto"/>
          <w:sz w:val="24"/>
          <w:szCs w:val="24"/>
          <w:highlight w:val="none"/>
          <w:lang w:val="zh-CN"/>
        </w:rPr>
        <w:t>和</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（中标供应商名称）   </w:t>
      </w:r>
      <w:r>
        <w:rPr>
          <w:rFonts w:hint="eastAsia" w:ascii="仿宋" w:hAnsi="仿宋" w:eastAsia="仿宋" w:cs="仿宋"/>
          <w:color w:val="auto"/>
          <w:sz w:val="24"/>
          <w:szCs w:val="24"/>
          <w:highlight w:val="none"/>
          <w:u w:val="single"/>
          <w:lang w:val="zh-CN"/>
        </w:rPr>
        <w:t>(以下简称：乙方)协</w:t>
      </w:r>
      <w:r>
        <w:rPr>
          <w:rFonts w:hint="eastAsia" w:ascii="仿宋" w:hAnsi="仿宋" w:eastAsia="仿宋" w:cs="仿宋"/>
          <w:color w:val="auto"/>
          <w:sz w:val="24"/>
          <w:szCs w:val="24"/>
          <w:highlight w:val="none"/>
          <w:lang w:val="zh-CN"/>
        </w:rPr>
        <w:t>商一致，约定以下合同</w:t>
      </w:r>
      <w:r>
        <w:rPr>
          <w:rFonts w:hint="eastAsia" w:ascii="仿宋" w:hAnsi="仿宋" w:eastAsia="仿宋" w:cs="仿宋"/>
          <w:color w:val="auto"/>
          <w:sz w:val="24"/>
          <w:szCs w:val="24"/>
          <w:highlight w:val="none"/>
        </w:rPr>
        <w:t>条款，以兹共同遵守、全面履行。</w:t>
      </w:r>
    </w:p>
    <w:p>
      <w:pPr>
        <w:pStyle w:val="58"/>
        <w:numPr>
          <w:ilvl w:val="0"/>
          <w:numId w:val="8"/>
        </w:numPr>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服务范围</w:t>
      </w:r>
    </w:p>
    <w:p>
      <w:pPr>
        <w:pStyle w:val="58"/>
        <w:numPr>
          <w:ilvl w:val="0"/>
          <w:numId w:val="0"/>
        </w:numPr>
        <w:spacing w:before="0" w:beforeAutospacing="0" w:after="0" w:afterAutospacing="0" w:line="360" w:lineRule="auto"/>
        <w:outlineLvl w:val="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（合同签订时填写）</w:t>
      </w:r>
    </w:p>
    <w:p>
      <w:pPr>
        <w:pStyle w:val="58"/>
        <w:numPr>
          <w:ilvl w:val="0"/>
          <w:numId w:val="8"/>
        </w:numPr>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合同价格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3601"/>
        <w:gridCol w:w="1141"/>
        <w:gridCol w:w="1258"/>
        <w:gridCol w:w="1410"/>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17" w:type="dxa"/>
            <w:noWrap w:val="0"/>
            <w:vAlign w:val="center"/>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3601" w:type="dxa"/>
            <w:noWrap w:val="0"/>
            <w:vAlign w:val="center"/>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工作内容</w:t>
            </w:r>
          </w:p>
        </w:tc>
        <w:tc>
          <w:tcPr>
            <w:tcW w:w="1141" w:type="dxa"/>
            <w:noWrap w:val="0"/>
            <w:vAlign w:val="center"/>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工作量</w:t>
            </w:r>
          </w:p>
        </w:tc>
        <w:tc>
          <w:tcPr>
            <w:tcW w:w="1258" w:type="dxa"/>
            <w:noWrap w:val="0"/>
            <w:vAlign w:val="center"/>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410" w:type="dxa"/>
            <w:noWrap w:val="0"/>
            <w:vAlign w:val="center"/>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单项合计</w:t>
            </w:r>
          </w:p>
        </w:tc>
        <w:tc>
          <w:tcPr>
            <w:tcW w:w="1091" w:type="dxa"/>
            <w:noWrap w:val="0"/>
            <w:vAlign w:val="top"/>
          </w:tcPr>
          <w:p>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7"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601" w:type="dxa"/>
            <w:noWrap w:val="0"/>
            <w:vAlign w:val="center"/>
          </w:tcPr>
          <w:p>
            <w:pPr>
              <w:spacing w:line="240" w:lineRule="auto"/>
              <w:jc w:val="center"/>
              <w:rPr>
                <w:rFonts w:hint="eastAsia" w:ascii="仿宋" w:hAnsi="仿宋" w:eastAsia="仿宋" w:cs="仿宋"/>
                <w:color w:val="auto"/>
                <w:sz w:val="24"/>
                <w:szCs w:val="24"/>
                <w:highlight w:val="none"/>
              </w:rPr>
            </w:pPr>
          </w:p>
        </w:tc>
        <w:tc>
          <w:tcPr>
            <w:tcW w:w="1141" w:type="dxa"/>
            <w:noWrap w:val="0"/>
            <w:vAlign w:val="center"/>
          </w:tcPr>
          <w:p>
            <w:pPr>
              <w:spacing w:line="360" w:lineRule="auto"/>
              <w:jc w:val="center"/>
              <w:rPr>
                <w:rFonts w:hint="eastAsia" w:ascii="仿宋" w:hAnsi="仿宋" w:eastAsia="仿宋" w:cs="仿宋"/>
                <w:color w:val="auto"/>
                <w:sz w:val="24"/>
                <w:szCs w:val="24"/>
                <w:highlight w:val="none"/>
              </w:rPr>
            </w:pPr>
          </w:p>
        </w:tc>
        <w:tc>
          <w:tcPr>
            <w:tcW w:w="1258" w:type="dxa"/>
            <w:noWrap w:val="0"/>
            <w:vAlign w:val="center"/>
          </w:tcPr>
          <w:p>
            <w:pPr>
              <w:spacing w:line="360" w:lineRule="auto"/>
              <w:jc w:val="center"/>
              <w:rPr>
                <w:rFonts w:hint="eastAsia" w:ascii="仿宋" w:hAnsi="仿宋" w:eastAsia="仿宋" w:cs="仿宋"/>
                <w:color w:val="auto"/>
                <w:sz w:val="24"/>
                <w:szCs w:val="24"/>
                <w:highlight w:val="none"/>
              </w:rPr>
            </w:pPr>
          </w:p>
        </w:tc>
        <w:tc>
          <w:tcPr>
            <w:tcW w:w="1410" w:type="dxa"/>
            <w:noWrap w:val="0"/>
            <w:vAlign w:val="center"/>
          </w:tcPr>
          <w:p>
            <w:pPr>
              <w:spacing w:line="360" w:lineRule="auto"/>
              <w:jc w:val="center"/>
              <w:rPr>
                <w:rFonts w:hint="eastAsia" w:ascii="仿宋" w:hAnsi="仿宋" w:eastAsia="仿宋" w:cs="仿宋"/>
                <w:color w:val="auto"/>
                <w:sz w:val="24"/>
                <w:szCs w:val="24"/>
                <w:highlight w:val="none"/>
              </w:rPr>
            </w:pPr>
          </w:p>
        </w:tc>
        <w:tc>
          <w:tcPr>
            <w:tcW w:w="1091" w:type="dxa"/>
            <w:noWrap w:val="0"/>
            <w:vAlign w:val="top"/>
          </w:tcPr>
          <w:p>
            <w:pPr>
              <w:spacing w:line="24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7"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601" w:type="dxa"/>
            <w:noWrap w:val="0"/>
            <w:vAlign w:val="center"/>
          </w:tcPr>
          <w:p>
            <w:pPr>
              <w:spacing w:line="240" w:lineRule="auto"/>
              <w:jc w:val="center"/>
              <w:rPr>
                <w:rFonts w:hint="eastAsia" w:ascii="仿宋" w:hAnsi="仿宋" w:eastAsia="仿宋" w:cs="仿宋"/>
                <w:color w:val="auto"/>
                <w:sz w:val="24"/>
                <w:szCs w:val="24"/>
                <w:highlight w:val="none"/>
              </w:rPr>
            </w:pPr>
          </w:p>
        </w:tc>
        <w:tc>
          <w:tcPr>
            <w:tcW w:w="1141" w:type="dxa"/>
            <w:noWrap w:val="0"/>
            <w:vAlign w:val="center"/>
          </w:tcPr>
          <w:p>
            <w:pPr>
              <w:spacing w:line="360" w:lineRule="auto"/>
              <w:jc w:val="center"/>
              <w:rPr>
                <w:rFonts w:hint="eastAsia" w:ascii="仿宋" w:hAnsi="仿宋" w:eastAsia="仿宋" w:cs="仿宋"/>
                <w:color w:val="auto"/>
                <w:sz w:val="24"/>
                <w:szCs w:val="24"/>
                <w:highlight w:val="none"/>
              </w:rPr>
            </w:pPr>
          </w:p>
        </w:tc>
        <w:tc>
          <w:tcPr>
            <w:tcW w:w="1258" w:type="dxa"/>
            <w:noWrap w:val="0"/>
            <w:vAlign w:val="center"/>
          </w:tcPr>
          <w:p>
            <w:pPr>
              <w:spacing w:line="360" w:lineRule="auto"/>
              <w:jc w:val="center"/>
              <w:rPr>
                <w:rFonts w:hint="eastAsia" w:ascii="仿宋" w:hAnsi="仿宋" w:eastAsia="仿宋" w:cs="仿宋"/>
                <w:color w:val="auto"/>
                <w:sz w:val="24"/>
                <w:szCs w:val="24"/>
                <w:highlight w:val="none"/>
              </w:rPr>
            </w:pPr>
          </w:p>
        </w:tc>
        <w:tc>
          <w:tcPr>
            <w:tcW w:w="1410" w:type="dxa"/>
            <w:noWrap w:val="0"/>
            <w:vAlign w:val="center"/>
          </w:tcPr>
          <w:p>
            <w:pPr>
              <w:spacing w:line="360" w:lineRule="auto"/>
              <w:jc w:val="center"/>
              <w:rPr>
                <w:rFonts w:hint="eastAsia" w:ascii="仿宋" w:hAnsi="仿宋" w:eastAsia="仿宋" w:cs="仿宋"/>
                <w:color w:val="auto"/>
                <w:sz w:val="24"/>
                <w:szCs w:val="24"/>
                <w:highlight w:val="none"/>
              </w:rPr>
            </w:pPr>
          </w:p>
        </w:tc>
        <w:tc>
          <w:tcPr>
            <w:tcW w:w="1091" w:type="dxa"/>
            <w:noWrap w:val="0"/>
            <w:vAlign w:val="top"/>
          </w:tcPr>
          <w:p>
            <w:pPr>
              <w:spacing w:line="24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17"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601" w:type="dxa"/>
            <w:noWrap w:val="0"/>
            <w:vAlign w:val="center"/>
          </w:tcPr>
          <w:p>
            <w:pPr>
              <w:spacing w:line="240" w:lineRule="auto"/>
              <w:jc w:val="center"/>
              <w:rPr>
                <w:rFonts w:hint="eastAsia" w:ascii="仿宋" w:hAnsi="仿宋" w:eastAsia="仿宋" w:cs="仿宋"/>
                <w:color w:val="auto"/>
                <w:sz w:val="24"/>
                <w:szCs w:val="24"/>
                <w:highlight w:val="none"/>
              </w:rPr>
            </w:pPr>
          </w:p>
        </w:tc>
        <w:tc>
          <w:tcPr>
            <w:tcW w:w="1141" w:type="dxa"/>
            <w:noWrap w:val="0"/>
            <w:vAlign w:val="center"/>
          </w:tcPr>
          <w:p>
            <w:pPr>
              <w:spacing w:line="360" w:lineRule="auto"/>
              <w:jc w:val="center"/>
              <w:rPr>
                <w:rFonts w:hint="eastAsia" w:ascii="仿宋" w:hAnsi="仿宋" w:eastAsia="仿宋" w:cs="仿宋"/>
                <w:color w:val="auto"/>
                <w:sz w:val="24"/>
                <w:szCs w:val="24"/>
                <w:highlight w:val="none"/>
              </w:rPr>
            </w:pPr>
          </w:p>
        </w:tc>
        <w:tc>
          <w:tcPr>
            <w:tcW w:w="1258" w:type="dxa"/>
            <w:noWrap w:val="0"/>
            <w:vAlign w:val="center"/>
          </w:tcPr>
          <w:p>
            <w:pPr>
              <w:spacing w:line="360" w:lineRule="auto"/>
              <w:jc w:val="center"/>
              <w:rPr>
                <w:rFonts w:hint="eastAsia" w:ascii="仿宋" w:hAnsi="仿宋" w:eastAsia="仿宋" w:cs="仿宋"/>
                <w:color w:val="auto"/>
                <w:sz w:val="24"/>
                <w:szCs w:val="24"/>
                <w:highlight w:val="none"/>
              </w:rPr>
            </w:pPr>
          </w:p>
        </w:tc>
        <w:tc>
          <w:tcPr>
            <w:tcW w:w="1410" w:type="dxa"/>
            <w:noWrap w:val="0"/>
            <w:vAlign w:val="center"/>
          </w:tcPr>
          <w:p>
            <w:pPr>
              <w:spacing w:line="360" w:lineRule="auto"/>
              <w:jc w:val="center"/>
              <w:rPr>
                <w:rFonts w:hint="eastAsia" w:ascii="仿宋" w:hAnsi="仿宋" w:eastAsia="仿宋" w:cs="仿宋"/>
                <w:color w:val="auto"/>
                <w:sz w:val="24"/>
                <w:szCs w:val="24"/>
                <w:highlight w:val="none"/>
              </w:rPr>
            </w:pPr>
          </w:p>
        </w:tc>
        <w:tc>
          <w:tcPr>
            <w:tcW w:w="1091" w:type="dxa"/>
            <w:noWrap w:val="0"/>
            <w:vAlign w:val="top"/>
          </w:tcPr>
          <w:p>
            <w:pPr>
              <w:spacing w:line="240" w:lineRule="auto"/>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17" w:type="dxa"/>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3601" w:type="dxa"/>
            <w:noWrap w:val="0"/>
            <w:vAlign w:val="center"/>
          </w:tcPr>
          <w:p>
            <w:pPr>
              <w:spacing w:line="240" w:lineRule="auto"/>
              <w:jc w:val="center"/>
              <w:rPr>
                <w:rFonts w:hint="eastAsia" w:ascii="仿宋" w:hAnsi="仿宋" w:eastAsia="仿宋" w:cs="仿宋"/>
                <w:color w:val="auto"/>
                <w:kern w:val="2"/>
                <w:sz w:val="24"/>
                <w:szCs w:val="24"/>
                <w:highlight w:val="none"/>
                <w:lang w:val="en-US" w:eastAsia="zh-CN" w:bidi="ar-SA"/>
              </w:rPr>
            </w:pPr>
          </w:p>
        </w:tc>
        <w:tc>
          <w:tcPr>
            <w:tcW w:w="1141" w:type="dxa"/>
            <w:noWrap w:val="0"/>
            <w:vAlign w:val="center"/>
          </w:tcPr>
          <w:p>
            <w:pPr>
              <w:spacing w:line="360" w:lineRule="auto"/>
              <w:jc w:val="center"/>
              <w:rPr>
                <w:rFonts w:hint="eastAsia" w:ascii="仿宋" w:hAnsi="仿宋" w:eastAsia="仿宋" w:cs="仿宋"/>
                <w:color w:val="auto"/>
                <w:kern w:val="2"/>
                <w:sz w:val="24"/>
                <w:szCs w:val="24"/>
                <w:highlight w:val="none"/>
                <w:lang w:val="en-US" w:eastAsia="zh-CN" w:bidi="ar-SA"/>
              </w:rPr>
            </w:pPr>
          </w:p>
        </w:tc>
        <w:tc>
          <w:tcPr>
            <w:tcW w:w="1258" w:type="dxa"/>
            <w:noWrap w:val="0"/>
            <w:vAlign w:val="center"/>
          </w:tcPr>
          <w:p>
            <w:pPr>
              <w:spacing w:line="360" w:lineRule="auto"/>
              <w:jc w:val="center"/>
              <w:rPr>
                <w:rFonts w:hint="eastAsia" w:ascii="仿宋" w:hAnsi="仿宋" w:eastAsia="仿宋" w:cs="仿宋"/>
                <w:color w:val="auto"/>
                <w:sz w:val="24"/>
                <w:szCs w:val="24"/>
                <w:highlight w:val="none"/>
              </w:rPr>
            </w:pPr>
          </w:p>
        </w:tc>
        <w:tc>
          <w:tcPr>
            <w:tcW w:w="1410" w:type="dxa"/>
            <w:noWrap w:val="0"/>
            <w:vAlign w:val="center"/>
          </w:tcPr>
          <w:p>
            <w:pPr>
              <w:spacing w:line="360" w:lineRule="auto"/>
              <w:jc w:val="center"/>
              <w:rPr>
                <w:rFonts w:hint="eastAsia" w:ascii="仿宋" w:hAnsi="仿宋" w:eastAsia="仿宋" w:cs="仿宋"/>
                <w:color w:val="auto"/>
                <w:sz w:val="24"/>
                <w:szCs w:val="24"/>
                <w:highlight w:val="none"/>
              </w:rPr>
            </w:pPr>
          </w:p>
        </w:tc>
        <w:tc>
          <w:tcPr>
            <w:tcW w:w="1091" w:type="dxa"/>
            <w:noWrap w:val="0"/>
            <w:vAlign w:val="top"/>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17" w:type="dxa"/>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3601" w:type="dxa"/>
            <w:noWrap w:val="0"/>
            <w:vAlign w:val="center"/>
          </w:tcPr>
          <w:p>
            <w:pPr>
              <w:spacing w:line="240" w:lineRule="auto"/>
              <w:jc w:val="center"/>
              <w:rPr>
                <w:rFonts w:hint="eastAsia" w:ascii="仿宋" w:hAnsi="仿宋" w:eastAsia="仿宋" w:cs="仿宋"/>
                <w:color w:val="auto"/>
                <w:sz w:val="24"/>
                <w:szCs w:val="24"/>
                <w:highlight w:val="none"/>
              </w:rPr>
            </w:pPr>
          </w:p>
        </w:tc>
        <w:tc>
          <w:tcPr>
            <w:tcW w:w="1141" w:type="dxa"/>
            <w:noWrap w:val="0"/>
            <w:vAlign w:val="center"/>
          </w:tcPr>
          <w:p>
            <w:pPr>
              <w:spacing w:line="360" w:lineRule="auto"/>
              <w:jc w:val="center"/>
              <w:rPr>
                <w:rFonts w:hint="eastAsia" w:ascii="仿宋" w:hAnsi="仿宋" w:eastAsia="仿宋" w:cs="仿宋"/>
                <w:color w:val="auto"/>
                <w:sz w:val="24"/>
                <w:szCs w:val="24"/>
                <w:highlight w:val="none"/>
              </w:rPr>
            </w:pPr>
          </w:p>
        </w:tc>
        <w:tc>
          <w:tcPr>
            <w:tcW w:w="1258" w:type="dxa"/>
            <w:noWrap w:val="0"/>
            <w:vAlign w:val="center"/>
          </w:tcPr>
          <w:p>
            <w:pPr>
              <w:spacing w:line="360" w:lineRule="auto"/>
              <w:jc w:val="center"/>
              <w:rPr>
                <w:rFonts w:hint="eastAsia" w:ascii="仿宋" w:hAnsi="仿宋" w:eastAsia="仿宋" w:cs="仿宋"/>
                <w:color w:val="auto"/>
                <w:sz w:val="24"/>
                <w:szCs w:val="24"/>
                <w:highlight w:val="none"/>
              </w:rPr>
            </w:pPr>
          </w:p>
        </w:tc>
        <w:tc>
          <w:tcPr>
            <w:tcW w:w="1410" w:type="dxa"/>
            <w:noWrap w:val="0"/>
            <w:vAlign w:val="center"/>
          </w:tcPr>
          <w:p>
            <w:pPr>
              <w:spacing w:line="360" w:lineRule="auto"/>
              <w:jc w:val="center"/>
              <w:rPr>
                <w:rFonts w:hint="eastAsia" w:ascii="仿宋" w:hAnsi="仿宋" w:eastAsia="仿宋" w:cs="仿宋"/>
                <w:color w:val="auto"/>
                <w:sz w:val="24"/>
                <w:szCs w:val="24"/>
                <w:highlight w:val="none"/>
              </w:rPr>
            </w:pPr>
          </w:p>
        </w:tc>
        <w:tc>
          <w:tcPr>
            <w:tcW w:w="1091" w:type="dxa"/>
            <w:noWrap w:val="0"/>
            <w:vAlign w:val="top"/>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17" w:type="dxa"/>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3601" w:type="dxa"/>
            <w:noWrap w:val="0"/>
            <w:vAlign w:val="center"/>
          </w:tcPr>
          <w:p>
            <w:pPr>
              <w:spacing w:line="360" w:lineRule="auto"/>
              <w:jc w:val="center"/>
              <w:rPr>
                <w:rFonts w:hint="eastAsia" w:ascii="仿宋" w:hAnsi="仿宋" w:eastAsia="仿宋" w:cs="仿宋"/>
                <w:color w:val="auto"/>
                <w:sz w:val="24"/>
                <w:szCs w:val="24"/>
                <w:highlight w:val="none"/>
              </w:rPr>
            </w:pPr>
          </w:p>
        </w:tc>
        <w:tc>
          <w:tcPr>
            <w:tcW w:w="1141" w:type="dxa"/>
            <w:noWrap w:val="0"/>
            <w:vAlign w:val="center"/>
          </w:tcPr>
          <w:p>
            <w:pPr>
              <w:spacing w:line="360" w:lineRule="auto"/>
              <w:jc w:val="center"/>
              <w:rPr>
                <w:rFonts w:hint="eastAsia" w:ascii="仿宋" w:hAnsi="仿宋" w:eastAsia="仿宋" w:cs="仿宋"/>
                <w:color w:val="auto"/>
                <w:sz w:val="24"/>
                <w:szCs w:val="24"/>
                <w:highlight w:val="none"/>
              </w:rPr>
            </w:pPr>
          </w:p>
        </w:tc>
        <w:tc>
          <w:tcPr>
            <w:tcW w:w="1258" w:type="dxa"/>
            <w:noWrap w:val="0"/>
            <w:vAlign w:val="center"/>
          </w:tcPr>
          <w:p>
            <w:pPr>
              <w:spacing w:line="360" w:lineRule="auto"/>
              <w:jc w:val="center"/>
              <w:rPr>
                <w:rFonts w:hint="eastAsia" w:ascii="仿宋" w:hAnsi="仿宋" w:eastAsia="仿宋" w:cs="仿宋"/>
                <w:color w:val="auto"/>
                <w:sz w:val="24"/>
                <w:szCs w:val="24"/>
                <w:highlight w:val="none"/>
              </w:rPr>
            </w:pPr>
          </w:p>
        </w:tc>
        <w:tc>
          <w:tcPr>
            <w:tcW w:w="1410" w:type="dxa"/>
            <w:noWrap w:val="0"/>
            <w:vAlign w:val="center"/>
          </w:tcPr>
          <w:p>
            <w:pPr>
              <w:spacing w:line="360" w:lineRule="auto"/>
              <w:jc w:val="center"/>
              <w:rPr>
                <w:rFonts w:hint="eastAsia" w:ascii="仿宋" w:hAnsi="仿宋" w:eastAsia="仿宋" w:cs="仿宋"/>
                <w:color w:val="auto"/>
                <w:sz w:val="24"/>
                <w:szCs w:val="24"/>
                <w:highlight w:val="none"/>
              </w:rPr>
            </w:pPr>
          </w:p>
        </w:tc>
        <w:tc>
          <w:tcPr>
            <w:tcW w:w="1091" w:type="dxa"/>
            <w:noWrap w:val="0"/>
            <w:vAlign w:val="top"/>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17" w:type="dxa"/>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3601" w:type="dxa"/>
            <w:noWrap w:val="0"/>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w:t>
            </w:r>
          </w:p>
        </w:tc>
        <w:tc>
          <w:tcPr>
            <w:tcW w:w="3809" w:type="dxa"/>
            <w:gridSpan w:val="3"/>
            <w:noWrap w:val="0"/>
            <w:vAlign w:val="center"/>
          </w:tcPr>
          <w:p>
            <w:pPr>
              <w:spacing w:line="360" w:lineRule="auto"/>
              <w:jc w:val="center"/>
              <w:rPr>
                <w:rFonts w:hint="eastAsia" w:ascii="仿宋" w:hAnsi="仿宋" w:eastAsia="仿宋" w:cs="仿宋"/>
                <w:color w:val="auto"/>
                <w:sz w:val="24"/>
                <w:szCs w:val="24"/>
                <w:highlight w:val="none"/>
              </w:rPr>
            </w:pPr>
          </w:p>
        </w:tc>
        <w:tc>
          <w:tcPr>
            <w:tcW w:w="1091" w:type="dxa"/>
            <w:noWrap w:val="0"/>
            <w:vAlign w:val="top"/>
          </w:tcPr>
          <w:p>
            <w:pPr>
              <w:spacing w:line="360" w:lineRule="auto"/>
              <w:jc w:val="center"/>
              <w:rPr>
                <w:rFonts w:hint="eastAsia" w:ascii="仿宋" w:hAnsi="仿宋" w:eastAsia="仿宋" w:cs="仿宋"/>
                <w:color w:val="auto"/>
                <w:sz w:val="24"/>
                <w:szCs w:val="24"/>
                <w:highlight w:val="none"/>
              </w:rPr>
            </w:pPr>
          </w:p>
        </w:tc>
      </w:tr>
    </w:tbl>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本项目所有工作完成，按实际</w:t>
      </w:r>
      <w:r>
        <w:rPr>
          <w:rFonts w:hint="eastAsia" w:ascii="仿宋" w:hAnsi="仿宋" w:eastAsia="仿宋" w:cs="仿宋"/>
          <w:color w:val="auto"/>
          <w:sz w:val="24"/>
          <w:szCs w:val="24"/>
          <w:highlight w:val="none"/>
          <w:lang w:val="en-US" w:eastAsia="zh-CN"/>
        </w:rPr>
        <w:t>工作</w:t>
      </w:r>
      <w:r>
        <w:rPr>
          <w:rFonts w:hint="eastAsia" w:ascii="仿宋" w:hAnsi="仿宋" w:eastAsia="仿宋" w:cs="仿宋"/>
          <w:color w:val="auto"/>
          <w:sz w:val="24"/>
          <w:szCs w:val="24"/>
          <w:highlight w:val="none"/>
          <w:lang w:eastAsia="zh-CN"/>
        </w:rPr>
        <w:t>量计算费用（结算时</w:t>
      </w:r>
      <w:r>
        <w:rPr>
          <w:rFonts w:hint="eastAsia" w:ascii="仿宋" w:hAnsi="仿宋" w:eastAsia="仿宋" w:cs="仿宋"/>
          <w:color w:val="auto"/>
          <w:sz w:val="24"/>
          <w:szCs w:val="24"/>
          <w:highlight w:val="none"/>
          <w:lang w:val="en-US" w:eastAsia="zh-CN"/>
        </w:rPr>
        <w:t>单价不予调整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合同价款包含</w:t>
      </w:r>
      <w:r>
        <w:rPr>
          <w:rFonts w:hint="eastAsia" w:ascii="仿宋" w:hAnsi="仿宋" w:eastAsia="仿宋" w:cs="仿宋"/>
          <w:color w:val="auto"/>
          <w:sz w:val="24"/>
          <w:szCs w:val="24"/>
          <w:highlight w:val="none"/>
          <w:lang w:eastAsia="zh-CN"/>
        </w:rPr>
        <w:t>：</w:t>
      </w:r>
    </w:p>
    <w:p>
      <w:pPr>
        <w:numPr>
          <w:ilvl w:val="0"/>
          <w:numId w:val="6"/>
        </w:numPr>
        <w:spacing w:line="360" w:lineRule="auto"/>
        <w:ind w:left="0"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eastAsia="zh-CN"/>
        </w:rPr>
        <w:t>合同价格</w:t>
      </w:r>
      <w:r>
        <w:rPr>
          <w:rFonts w:hint="eastAsia" w:ascii="仿宋" w:hAnsi="仿宋" w:eastAsia="仿宋" w:cs="仿宋"/>
          <w:b/>
          <w:bCs/>
          <w:color w:val="auto"/>
          <w:sz w:val="24"/>
          <w:highlight w:val="none"/>
        </w:rPr>
        <w:t>包括</w:t>
      </w:r>
      <w:r>
        <w:rPr>
          <w:rFonts w:hint="eastAsia" w:ascii="仿宋" w:hAnsi="仿宋" w:eastAsia="仿宋" w:cs="仿宋"/>
          <w:b/>
          <w:bCs/>
          <w:color w:val="auto"/>
          <w:sz w:val="24"/>
          <w:highlight w:val="none"/>
          <w:lang w:val="en-US" w:eastAsia="zh-CN"/>
        </w:rPr>
        <w:t>本次项目实际工作量超出预估工作内容等、现场服务（含参与交底，解决项目设计和实施中有关问题、参加各类会议等服务）、数据质检费、设计评审、项目验收费、招标代理费、项目人员保险费用及其他的相关费用等，有关本项目实施所需的所有费用（含税费）均计入报价。</w:t>
      </w:r>
    </w:p>
    <w:p>
      <w:pPr>
        <w:pStyle w:val="58"/>
        <w:numPr>
          <w:ilvl w:val="0"/>
          <w:numId w:val="8"/>
        </w:numPr>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执行技术标准</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1.《浙江省测绘地理信息条例》（浙江省第十三届人民代表大会常务委员会公告第10号）；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2.《住房和城乡建设部关于加强城市地下市政基础设施建设的指导意见》（建城〔2020〕111号）；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3.《城市市政基础设施普查和综合管理信息平台建设工作指导手册》（建办城函〔2021〕208号）；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4.《关于印发浙江省加强城市地下市政基础设施建设实施方案的通知》（浙建城〔2021〕21号)；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5.《关于印发浙江省城市地下市政基础设施普查实施方案的通知》（浙自然资厅函〔2020〕431号）；</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6.《城市地下空间测绘规范》GB/T 35636-2017；</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7.《卫星导航定位基准站网络实时动态测量（RTK）规范》GB/T 39616-2020；</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8.《国家基本比例尺地图图式第1部分：1∶500  1∶1000  1∶2000地形图图式》GB/T 20257.1-2017；</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9.《工程测量标准》GB 50026-2020；</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10.《数字测绘成果质量检查与验收》GB/T 18316-2008；</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11.《测绘成果质量检查与验收》GB/T 24356-2009；</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12.《人民防空地下室设计规范》GB 50038-2005；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13.《人民防空工程设计规范》GB 50225-2005；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14.《城市综合管廊工程技术规范》GB 50838-2015；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15.《城市停车规划规范》GB/T 51149-2016；</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16.《城市测量规范》CJJ/T 8-2011；</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17.《城市地下管线探测技术规程》CJJ 61-2017；</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18.《卫星定位城市测量技术标准》CJJ/T 73-2019；</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19.《城市地下道路工程设计规范》CJJ/T 221-2015；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20.《管线要素分类代码与符号表达》CH/T 1036-2015；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21.《管线测绘技术规程》CH/T 6002-2015；</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22.《管线测绘工程监理规程》CH/T 6009-2019；</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23.《实景三维地理信息数据激光雷达测量技术规程》CH/T 3020-2018；</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24.《基础地理信息要素分类与图形表达代码》DB33/T 817-2010；</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25.《建筑工程建筑面积计算和竣工综合测量技术规程》DB33/T 1152-2018；</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26.《浙江省城市地下市政基础设施普查技术规程》；</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27.《浙江省城市地下市政基础设施数据库建设规范》；</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28.《浙江省城市地下市政基础设施普查质量检查检验规范》。</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第四条  项目工期</w:t>
      </w:r>
    </w:p>
    <w:p>
      <w:pPr>
        <w:pStyle w:val="3"/>
        <w:ind w:firstLine="480" w:firstLineChars="2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1、2022年11月底前完成全部普查及建库工作，并出具相关数据成果。</w:t>
      </w:r>
    </w:p>
    <w:p>
      <w:pPr>
        <w:pStyle w:val="3"/>
        <w:ind w:firstLine="480" w:firstLineChars="2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2、2022年12月底前完成项目全部工作内容并通过验收，绘制城市地下市政基础设施“一张图”，并向省自然资源厅汇交普查成果。</w:t>
      </w:r>
    </w:p>
    <w:p>
      <w:pPr>
        <w:pStyle w:val="3"/>
        <w:ind w:firstLine="480" w:firstLineChars="20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如遇特殊情况（设计变更、工作量变化、恶劣天气、不可抗力影响、政府行为以及非成交供应商原因造成的停、窝工等）时，工期顺延。（如采购人另有通知，以通知时间为准）。</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第五条  甲方的义务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1、自本合同签订之日起7日内向乙方提交有关资料和提出技术要求。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2、自接到乙方编制的技术设计书之日起7日内完成技术设计书的审核备案工作。</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3、甲方应当保证工程款按时到位，以保证工程的顺利进行。</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4、甲方应当为乙方提供必要的技术支持及工作联系事宜。</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5、乙方提供给甲方的过程成果或最终成果，按照测绘成果保密管理有关法律法规要求已涉密的，甲方应严格按相应的保密要求进行管理，如对存放本项目涉密数据的计算机应进行涉密标识等。</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第六条  乙方的义务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1、自收到甲方的有关资料之日起，根据甲方的有关资料和本合同的技术要求，</w:t>
      </w:r>
      <w:r>
        <w:rPr>
          <w:rFonts w:hint="eastAsia" w:ascii="仿宋" w:hAnsi="仿宋" w:eastAsia="仿宋" w:cs="仿宋"/>
          <w:color w:val="auto"/>
          <w:sz w:val="24"/>
          <w:szCs w:val="24"/>
          <w:highlight w:val="none"/>
          <w:u w:val="single"/>
        </w:rPr>
        <w:t>7</w:t>
      </w:r>
      <w:r>
        <w:rPr>
          <w:rFonts w:hint="eastAsia" w:ascii="仿宋" w:hAnsi="仿宋" w:eastAsia="仿宋" w:cs="仿宋"/>
          <w:color w:val="auto"/>
          <w:sz w:val="24"/>
          <w:szCs w:val="24"/>
          <w:highlight w:val="none"/>
        </w:rPr>
        <w:t>日内完成技术设计书的编制，并交甲方审核与备案。</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2、自收到甲方对技术设计书同意实施的审定意见之日起</w:t>
      </w:r>
      <w:r>
        <w:rPr>
          <w:rFonts w:hint="eastAsia" w:ascii="仿宋" w:hAnsi="仿宋" w:eastAsia="仿宋" w:cs="仿宋"/>
          <w:color w:val="auto"/>
          <w:sz w:val="24"/>
          <w:szCs w:val="24"/>
          <w:highlight w:val="none"/>
          <w:u w:val="single"/>
        </w:rPr>
        <w:t xml:space="preserve"> 15 </w:t>
      </w:r>
      <w:r>
        <w:rPr>
          <w:rFonts w:hint="eastAsia" w:ascii="仿宋" w:hAnsi="仿宋" w:eastAsia="仿宋" w:cs="仿宋"/>
          <w:color w:val="auto"/>
          <w:sz w:val="24"/>
          <w:szCs w:val="24"/>
          <w:highlight w:val="none"/>
        </w:rPr>
        <w:t>日内组织测绘队伍进场作业。</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3、乙方应当根据合同与技术设计书要求确保测绘项目如期完成。</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4、坚持《中华人民共和国保守国家秘密法》及其实施办法和相关保密法律法规，确保国家秘密和甲方及其下属单位工作秘密的安全，杜绝失、泄密事件的发生。</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本项目的所有成果的知识产权均属于甲方，乙方保证在未征得甲方许可情况下，绝不将本项目的任何成果透露给第三方。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在本项目工作过程中的任意阶段，无条件接受甲方对项目成果保密等各方面的监督检查，接受甲方提出的合理整改要求。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密范围：项目所涉及的所有属于国家秘密的资料或数据、项目过程中由甲方或其下属单位提供的各类业务资料及电子数据、各类测绘资料及空间数据、项目产生的所有成果，包括各类文字报告、文档资料、电子数据和软件程序等、与双方合作有关的计划、规范、制度、会议纪要及其他应予以保密的情报或资料。</w:t>
      </w:r>
    </w:p>
    <w:p>
      <w:pPr>
        <w:pStyle w:val="58"/>
        <w:numPr>
          <w:ilvl w:val="0"/>
          <w:numId w:val="9"/>
        </w:numPr>
        <w:spacing w:before="0" w:beforeAutospacing="0" w:after="0" w:afterAutospacing="0" w:line="360" w:lineRule="auto"/>
        <w:ind w:firstLine="479" w:firstLineChars="199"/>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验收</w:t>
      </w:r>
    </w:p>
    <w:p>
      <w:pPr>
        <w:pStyle w:val="58"/>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按国家或行业标准、规定及技术标准等相关要求进行验收,通过省级测绘质量监督检验机构质检合格。</w:t>
      </w:r>
    </w:p>
    <w:p>
      <w:pPr>
        <w:pStyle w:val="58"/>
        <w:spacing w:before="0" w:beforeAutospacing="0" w:after="0" w:afterAutospacing="0" w:line="360" w:lineRule="auto"/>
        <w:ind w:firstLine="479" w:firstLineChars="199"/>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第八条  对乙方测绘成果的所有权、使用权和著作权归属的约定</w:t>
      </w:r>
    </w:p>
    <w:p>
      <w:pPr>
        <w:pStyle w:val="58"/>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1、乙方保证提供服务过程中不会侵犯任何第三方的知识产权。</w:t>
      </w:r>
    </w:p>
    <w:p>
      <w:pPr>
        <w:pStyle w:val="58"/>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2、本项目所有成果的版权属甲方所有，乙方不得以任何形式向第三方提供。否则，甲方将按国家法律和有关规定及项目合同追究乙方的一切责任。</w:t>
      </w:r>
    </w:p>
    <w:p>
      <w:pPr>
        <w:pStyle w:val="58"/>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3、本项目作业过程中由甲方提供的所有资料或数据均属甲方所有，中标单位不得在合同规定之外自行处置数据，不得自行删除、复制、修改、转移数据，不得以任何形式向第三方提供。</w:t>
      </w:r>
    </w:p>
    <w:p>
      <w:pPr>
        <w:pStyle w:val="58"/>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4、甲方允许乙方内部使用本合同生产的测绘成果，不得用于营利性项目。</w:t>
      </w:r>
    </w:p>
    <w:p>
      <w:pPr>
        <w:pStyle w:val="58"/>
        <w:spacing w:before="0" w:beforeAutospacing="0" w:after="0" w:afterAutospacing="0" w:line="360" w:lineRule="auto"/>
        <w:ind w:firstLine="479" w:firstLineChars="199"/>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第九条  付款方式</w:t>
      </w:r>
    </w:p>
    <w:p>
      <w:pPr>
        <w:snapToGrid w:val="0"/>
        <w:spacing w:line="360" w:lineRule="auto"/>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eastAsia="zh-CN"/>
        </w:rPr>
        <w:t>合同签订</w:t>
      </w:r>
      <w:r>
        <w:rPr>
          <w:rFonts w:hint="eastAsia" w:ascii="仿宋" w:hAnsi="仿宋" w:eastAsia="仿宋" w:cs="仿宋"/>
          <w:color w:val="auto"/>
          <w:sz w:val="24"/>
          <w:highlight w:val="none"/>
          <w:lang w:val="en-US" w:eastAsia="zh-CN"/>
        </w:rPr>
        <w:t>后，</w:t>
      </w:r>
      <w:r>
        <w:rPr>
          <w:rFonts w:hint="eastAsia" w:ascii="仿宋" w:hAnsi="仿宋" w:eastAsia="仿宋" w:cs="仿宋"/>
          <w:color w:val="auto"/>
          <w:sz w:val="24"/>
          <w:highlight w:val="none"/>
        </w:rPr>
        <w:t>采购人在</w:t>
      </w:r>
      <w:r>
        <w:rPr>
          <w:rFonts w:hint="eastAsia" w:ascii="仿宋" w:hAnsi="仿宋" w:eastAsia="仿宋" w:cs="仿宋"/>
          <w:color w:val="auto"/>
          <w:sz w:val="24"/>
          <w:highlight w:val="none"/>
          <w:lang w:eastAsia="zh-CN"/>
        </w:rPr>
        <w:t>7个工作日</w:t>
      </w:r>
      <w:r>
        <w:rPr>
          <w:rFonts w:hint="eastAsia" w:ascii="仿宋" w:hAnsi="仿宋" w:eastAsia="仿宋" w:cs="仿宋"/>
          <w:color w:val="auto"/>
          <w:sz w:val="24"/>
          <w:highlight w:val="none"/>
        </w:rPr>
        <w:t>内向供应商支付合同总价款的</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2、供应商完成全部普查及数据建库工作后，采购人在</w:t>
      </w:r>
      <w:r>
        <w:rPr>
          <w:rFonts w:hint="eastAsia" w:ascii="仿宋" w:hAnsi="仿宋" w:eastAsia="仿宋" w:cs="仿宋"/>
          <w:color w:val="auto"/>
          <w:sz w:val="24"/>
          <w:highlight w:val="none"/>
          <w:lang w:eastAsia="zh-CN"/>
        </w:rPr>
        <w:t>7个工作日</w:t>
      </w:r>
      <w:r>
        <w:rPr>
          <w:rFonts w:hint="eastAsia" w:ascii="仿宋" w:hAnsi="仿宋" w:eastAsia="仿宋" w:cs="仿宋"/>
          <w:color w:val="auto"/>
          <w:sz w:val="24"/>
          <w:highlight w:val="none"/>
        </w:rPr>
        <w:t>内向供应商支付合同总价款的</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w:t>
      </w:r>
    </w:p>
    <w:p>
      <w:pPr>
        <w:spacing w:line="360" w:lineRule="auto"/>
        <w:ind w:firstLine="235" w:firstLineChars="98"/>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3、供应商完成全部普查提交成果并通过采购人的验收后，采购人在</w:t>
      </w:r>
      <w:r>
        <w:rPr>
          <w:rFonts w:hint="eastAsia" w:ascii="仿宋" w:hAnsi="仿宋" w:eastAsia="仿宋" w:cs="仿宋"/>
          <w:color w:val="auto"/>
          <w:sz w:val="24"/>
          <w:highlight w:val="none"/>
          <w:lang w:eastAsia="zh-CN"/>
        </w:rPr>
        <w:t>7个工作日</w:t>
      </w:r>
      <w:r>
        <w:rPr>
          <w:rFonts w:hint="eastAsia" w:ascii="仿宋" w:hAnsi="仿宋" w:eastAsia="仿宋" w:cs="仿宋"/>
          <w:color w:val="auto"/>
          <w:sz w:val="24"/>
          <w:highlight w:val="none"/>
        </w:rPr>
        <w:t>内根据实际工作量向供应商支付</w:t>
      </w:r>
      <w:r>
        <w:rPr>
          <w:rFonts w:hint="eastAsia" w:ascii="仿宋" w:hAnsi="仿宋" w:eastAsia="仿宋" w:cs="仿宋"/>
          <w:color w:val="auto"/>
          <w:sz w:val="24"/>
          <w:highlight w:val="none"/>
          <w:lang w:val="en-US" w:eastAsia="zh-CN"/>
        </w:rPr>
        <w:t>全部</w:t>
      </w:r>
      <w:r>
        <w:rPr>
          <w:rFonts w:hint="eastAsia" w:ascii="仿宋" w:hAnsi="仿宋" w:eastAsia="仿宋" w:cs="仿宋"/>
          <w:color w:val="auto"/>
          <w:sz w:val="24"/>
          <w:highlight w:val="none"/>
        </w:rPr>
        <w:t>合同尾款。</w:t>
      </w:r>
    </w:p>
    <w:p>
      <w:pPr>
        <w:spacing w:line="360" w:lineRule="auto"/>
        <w:ind w:firstLine="236" w:firstLineChars="98"/>
        <w:rPr>
          <w:rFonts w:hint="eastAsia" w:ascii="宋体" w:hAnsi="宋体" w:cs="宋体"/>
          <w:b/>
          <w:bCs/>
          <w:color w:val="auto"/>
          <w:sz w:val="24"/>
          <w:highlight w:val="none"/>
        </w:rPr>
      </w:pPr>
      <w:r>
        <w:rPr>
          <w:rFonts w:hint="eastAsia" w:ascii="宋体" w:hAnsi="宋体" w:cs="宋体"/>
          <w:b/>
          <w:bCs/>
          <w:color w:val="auto"/>
          <w:sz w:val="24"/>
          <w:highlight w:val="none"/>
        </w:rPr>
        <w:t>注：</w:t>
      </w:r>
      <w:r>
        <w:rPr>
          <w:rFonts w:hint="eastAsia" w:ascii="宋体" w:hAnsi="宋体" w:cs="宋体"/>
          <w:b/>
          <w:bCs/>
          <w:color w:val="auto"/>
          <w:sz w:val="24"/>
          <w:highlight w:val="none"/>
          <w:lang w:eastAsia="zh-CN"/>
        </w:rPr>
        <w:t>乙方</w:t>
      </w:r>
      <w:r>
        <w:rPr>
          <w:rFonts w:hint="eastAsia" w:ascii="宋体" w:hAnsi="宋体" w:cs="宋体"/>
          <w:b/>
          <w:bCs/>
          <w:color w:val="auto"/>
          <w:sz w:val="24"/>
          <w:highlight w:val="none"/>
        </w:rPr>
        <w:t>需在每次付款前提供正式发票，税费由</w:t>
      </w:r>
      <w:r>
        <w:rPr>
          <w:rFonts w:hint="eastAsia" w:ascii="宋体" w:hAnsi="宋体" w:cs="宋体"/>
          <w:b/>
          <w:bCs/>
          <w:color w:val="auto"/>
          <w:sz w:val="24"/>
          <w:highlight w:val="none"/>
          <w:lang w:eastAsia="zh-CN"/>
        </w:rPr>
        <w:t>乙方</w:t>
      </w:r>
      <w:r>
        <w:rPr>
          <w:rFonts w:hint="eastAsia" w:ascii="宋体" w:hAnsi="宋体" w:cs="宋体"/>
          <w:b/>
          <w:bCs/>
          <w:color w:val="auto"/>
          <w:sz w:val="24"/>
          <w:highlight w:val="none"/>
        </w:rPr>
        <w:t>承担，如逾期提供，付款时间顺延</w:t>
      </w:r>
      <w:r>
        <w:rPr>
          <w:rFonts w:hint="eastAsia" w:ascii="宋体" w:hAnsi="宋体" w:cs="宋体"/>
          <w:b/>
          <w:bCs/>
          <w:color w:val="auto"/>
          <w:sz w:val="24"/>
          <w:highlight w:val="none"/>
          <w:lang w:eastAsia="zh-CN"/>
        </w:rPr>
        <w:t>，</w:t>
      </w:r>
      <w:r>
        <w:rPr>
          <w:rFonts w:hint="eastAsia" w:ascii="宋体" w:hAnsi="宋体" w:eastAsia="宋体" w:cs="宋体"/>
          <w:b/>
          <w:bCs/>
          <w:color w:val="auto"/>
          <w:sz w:val="24"/>
          <w:szCs w:val="24"/>
          <w:highlight w:val="none"/>
          <w:u w:val="none" w:color="auto"/>
          <w:lang w:eastAsia="zh-CN"/>
        </w:rPr>
        <w:t>具体支付进度以财政资金到位时间为准。</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第十条  提交普查成果</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项目完成后需提交以下内容：</w:t>
      </w:r>
    </w:p>
    <w:p>
      <w:pPr>
        <w:snapToGrid w:val="0"/>
        <w:spacing w:line="360" w:lineRule="auto"/>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（1）数据成果</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普查成果数据库。</w:t>
      </w:r>
    </w:p>
    <w:p>
      <w:pPr>
        <w:snapToGrid w:val="0"/>
        <w:spacing w:line="360" w:lineRule="auto"/>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（2）图件成果</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普查单元分布图及其他各类专题城市地下市政基础设施分布图。</w:t>
      </w:r>
    </w:p>
    <w:p>
      <w:pPr>
        <w:snapToGrid w:val="0"/>
        <w:spacing w:line="360" w:lineRule="auto"/>
        <w:ind w:firstLine="480" w:firstLineChars="200"/>
        <w:jc w:val="left"/>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（3）文档成果</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技术设计书、工作总结、技术总结、质量检验报告、验收意见等。</w:t>
      </w:r>
    </w:p>
    <w:p>
      <w:pPr>
        <w:pStyle w:val="58"/>
        <w:spacing w:before="0" w:beforeAutospacing="0" w:after="0" w:afterAutospacing="0" w:line="360" w:lineRule="auto"/>
        <w:ind w:firstLine="472" w:firstLineChars="196"/>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第十一条  甲方违约责任</w:t>
      </w:r>
    </w:p>
    <w:p>
      <w:pPr>
        <w:spacing w:line="360" w:lineRule="auto"/>
        <w:ind w:firstLine="480" w:firstLineChars="200"/>
        <w:outlineLvl w:val="0"/>
        <w:rPr>
          <w:rStyle w:val="343"/>
          <w:rFonts w:hint="eastAsia" w:ascii="仿宋" w:hAnsi="仿宋" w:eastAsia="仿宋" w:cs="仿宋"/>
          <w:color w:val="auto"/>
          <w:sz w:val="24"/>
          <w:szCs w:val="24"/>
          <w:highlight w:val="none"/>
        </w:rPr>
      </w:pPr>
      <w:r>
        <w:rPr>
          <w:rStyle w:val="343"/>
          <w:rFonts w:hint="eastAsia" w:ascii="仿宋" w:hAnsi="仿宋" w:eastAsia="仿宋" w:cs="仿宋"/>
          <w:color w:val="auto"/>
          <w:sz w:val="24"/>
          <w:szCs w:val="24"/>
          <w:highlight w:val="none"/>
        </w:rPr>
        <w:t>1、在合同履行期间，甲方要求终止或解除合同，乙方已进入现场开始工作的，甲方应根据乙方已进行的实际工作量，不足一半时，按项目工程费的一半支付；超过一半时，按项目工程费的全额支付。</w:t>
      </w:r>
    </w:p>
    <w:p>
      <w:pPr>
        <w:spacing w:line="360" w:lineRule="auto"/>
        <w:ind w:firstLine="480" w:firstLineChars="200"/>
        <w:outlineLvl w:val="0"/>
        <w:rPr>
          <w:rStyle w:val="343"/>
          <w:rFonts w:hint="eastAsia" w:ascii="仿宋" w:hAnsi="仿宋" w:eastAsia="仿宋" w:cs="仿宋"/>
          <w:color w:val="auto"/>
          <w:sz w:val="24"/>
          <w:szCs w:val="24"/>
          <w:highlight w:val="none"/>
        </w:rPr>
      </w:pPr>
      <w:r>
        <w:rPr>
          <w:rStyle w:val="343"/>
          <w:rFonts w:hint="eastAsia" w:ascii="仿宋" w:hAnsi="仿宋" w:eastAsia="仿宋" w:cs="仿宋"/>
          <w:color w:val="auto"/>
          <w:sz w:val="24"/>
          <w:szCs w:val="24"/>
          <w:highlight w:val="none"/>
        </w:rPr>
        <w:t>2、甲方由于财政支付时间计划发生变更而未按要求时间支付乙方工程费的，甲方不承担工程延期的责任。</w:t>
      </w:r>
    </w:p>
    <w:p>
      <w:pPr>
        <w:spacing w:line="360" w:lineRule="auto"/>
        <w:ind w:firstLine="480" w:firstLineChars="200"/>
        <w:outlineLvl w:val="0"/>
        <w:rPr>
          <w:rStyle w:val="343"/>
          <w:rFonts w:hint="eastAsia" w:ascii="仿宋" w:hAnsi="仿宋" w:eastAsia="仿宋" w:cs="仿宋"/>
          <w:color w:val="auto"/>
          <w:sz w:val="24"/>
          <w:szCs w:val="24"/>
          <w:highlight w:val="none"/>
        </w:rPr>
      </w:pPr>
      <w:r>
        <w:rPr>
          <w:rStyle w:val="343"/>
          <w:rFonts w:hint="eastAsia" w:ascii="仿宋" w:hAnsi="仿宋" w:eastAsia="仿宋" w:cs="仿宋"/>
          <w:color w:val="auto"/>
          <w:sz w:val="24"/>
          <w:szCs w:val="24"/>
          <w:highlight w:val="none"/>
        </w:rPr>
        <w:t>3、甲方按本合同规定的金额和日期支付乙方项目费每逾期支付一天（财政拨款方式原因影响除外），应承担支付金额千分之一的逾期违约金。</w:t>
      </w:r>
    </w:p>
    <w:p>
      <w:pPr>
        <w:spacing w:line="360" w:lineRule="auto"/>
        <w:ind w:firstLine="480" w:firstLineChars="200"/>
        <w:outlineLvl w:val="0"/>
        <w:rPr>
          <w:rStyle w:val="343"/>
          <w:rFonts w:hint="eastAsia" w:ascii="仿宋" w:hAnsi="仿宋" w:eastAsia="仿宋" w:cs="仿宋"/>
          <w:color w:val="auto"/>
          <w:sz w:val="24"/>
          <w:szCs w:val="24"/>
          <w:highlight w:val="none"/>
        </w:rPr>
      </w:pPr>
      <w:r>
        <w:rPr>
          <w:rStyle w:val="343"/>
          <w:rFonts w:hint="eastAsia" w:ascii="仿宋" w:hAnsi="仿宋" w:eastAsia="仿宋" w:cs="仿宋"/>
          <w:color w:val="auto"/>
          <w:sz w:val="24"/>
          <w:szCs w:val="24"/>
          <w:highlight w:val="none"/>
        </w:rPr>
        <w:t>4、因甲方原因而造成停窝工的，项目工期顺延。</w:t>
      </w:r>
    </w:p>
    <w:p>
      <w:pPr>
        <w:spacing w:line="360" w:lineRule="auto"/>
        <w:ind w:firstLine="480" w:firstLineChars="200"/>
        <w:outlineLvl w:val="0"/>
        <w:rPr>
          <w:rFonts w:hint="eastAsia" w:ascii="仿宋" w:hAnsi="仿宋" w:eastAsia="仿宋" w:cs="仿宋"/>
          <w:color w:val="auto"/>
          <w:sz w:val="24"/>
          <w:szCs w:val="24"/>
          <w:highlight w:val="none"/>
        </w:rPr>
      </w:pPr>
      <w:r>
        <w:rPr>
          <w:rStyle w:val="343"/>
          <w:rFonts w:hint="eastAsia" w:ascii="仿宋" w:hAnsi="仿宋" w:eastAsia="仿宋" w:cs="仿宋"/>
          <w:color w:val="auto"/>
          <w:sz w:val="24"/>
          <w:szCs w:val="24"/>
          <w:highlight w:val="none"/>
        </w:rPr>
        <w:t>5、对于乙方提供的图纸等资料以及属于乙方的测绘成果，甲方有义务保密，不得向第三方提供或用于本合同以外的项目，否则乙方有权对因此造成的损失追究甲方责任。</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第十二条  乙方违约责任</w:t>
      </w:r>
    </w:p>
    <w:p>
      <w:pPr>
        <w:spacing w:line="360" w:lineRule="auto"/>
        <w:ind w:firstLine="480" w:firstLineChars="200"/>
        <w:outlineLvl w:val="0"/>
        <w:rPr>
          <w:rStyle w:val="343"/>
          <w:rFonts w:hint="eastAsia" w:ascii="仿宋" w:hAnsi="仿宋" w:eastAsia="仿宋" w:cs="仿宋"/>
          <w:color w:val="auto"/>
          <w:sz w:val="24"/>
          <w:szCs w:val="24"/>
          <w:highlight w:val="none"/>
        </w:rPr>
      </w:pPr>
      <w:r>
        <w:rPr>
          <w:rStyle w:val="343"/>
          <w:rFonts w:hint="eastAsia" w:ascii="仿宋" w:hAnsi="仿宋" w:eastAsia="仿宋" w:cs="仿宋"/>
          <w:color w:val="auto"/>
          <w:sz w:val="24"/>
          <w:szCs w:val="24"/>
          <w:highlight w:val="none"/>
        </w:rPr>
        <w:t>1、合同签定后，如乙方擅自中途停止或解除合同。双方没有约定定金的，乙方应向甲方返回已付工程价款，并赔偿由此引起的损失。</w:t>
      </w:r>
    </w:p>
    <w:p>
      <w:pPr>
        <w:spacing w:line="360" w:lineRule="auto"/>
        <w:ind w:firstLine="480" w:firstLineChars="200"/>
        <w:outlineLvl w:val="0"/>
        <w:rPr>
          <w:rStyle w:val="343"/>
          <w:rFonts w:hint="eastAsia" w:ascii="仿宋" w:hAnsi="仿宋" w:eastAsia="仿宋" w:cs="仿宋"/>
          <w:color w:val="auto"/>
          <w:sz w:val="24"/>
          <w:szCs w:val="24"/>
          <w:highlight w:val="none"/>
          <w:lang w:eastAsia="zh-CN"/>
        </w:rPr>
      </w:pPr>
      <w:r>
        <w:rPr>
          <w:rStyle w:val="343"/>
          <w:rFonts w:hint="eastAsia" w:ascii="仿宋" w:hAnsi="仿宋" w:eastAsia="仿宋" w:cs="仿宋"/>
          <w:color w:val="auto"/>
          <w:sz w:val="24"/>
          <w:szCs w:val="24"/>
          <w:highlight w:val="none"/>
        </w:rPr>
        <w:t>2、乙方未能按合同规定的日期提交测绘成果时，应向甲方偿付拖期损失费，延期</w:t>
      </w:r>
      <w:r>
        <w:rPr>
          <w:rStyle w:val="343"/>
          <w:rFonts w:hint="eastAsia" w:ascii="仿宋" w:hAnsi="仿宋" w:eastAsia="仿宋" w:cs="仿宋"/>
          <w:color w:val="auto"/>
          <w:sz w:val="24"/>
          <w:szCs w:val="24"/>
          <w:highlight w:val="none"/>
          <w:lang w:val="en-US" w:eastAsia="zh-CN"/>
        </w:rPr>
        <w:t>60</w:t>
      </w:r>
      <w:r>
        <w:rPr>
          <w:rStyle w:val="343"/>
          <w:rFonts w:hint="eastAsia" w:ascii="仿宋" w:hAnsi="仿宋" w:eastAsia="仿宋" w:cs="仿宋"/>
          <w:color w:val="auto"/>
          <w:sz w:val="24"/>
          <w:szCs w:val="24"/>
          <w:highlight w:val="none"/>
        </w:rPr>
        <w:t>天以内的，每天扣除</w:t>
      </w:r>
      <w:r>
        <w:rPr>
          <w:rStyle w:val="343"/>
          <w:rFonts w:hint="eastAsia" w:ascii="仿宋" w:hAnsi="仿宋" w:eastAsia="仿宋" w:cs="仿宋"/>
          <w:color w:val="auto"/>
          <w:sz w:val="24"/>
          <w:szCs w:val="24"/>
          <w:highlight w:val="none"/>
          <w:lang w:val="en-US" w:eastAsia="zh-CN"/>
        </w:rPr>
        <w:t>0.2</w:t>
      </w:r>
      <w:r>
        <w:rPr>
          <w:rStyle w:val="343"/>
          <w:rFonts w:hint="eastAsia" w:ascii="仿宋" w:hAnsi="仿宋" w:eastAsia="仿宋" w:cs="仿宋"/>
          <w:color w:val="auto"/>
          <w:sz w:val="24"/>
          <w:szCs w:val="24"/>
          <w:highlight w:val="none"/>
          <w:lang w:eastAsia="zh-CN"/>
        </w:rPr>
        <w:t>万</w:t>
      </w:r>
      <w:r>
        <w:rPr>
          <w:rStyle w:val="343"/>
          <w:rFonts w:hint="eastAsia" w:ascii="仿宋" w:hAnsi="仿宋" w:eastAsia="仿宋" w:cs="仿宋"/>
          <w:color w:val="auto"/>
          <w:sz w:val="24"/>
          <w:szCs w:val="24"/>
          <w:highlight w:val="none"/>
        </w:rPr>
        <w:t>，延期</w:t>
      </w:r>
      <w:r>
        <w:rPr>
          <w:rStyle w:val="343"/>
          <w:rFonts w:hint="eastAsia" w:ascii="仿宋" w:hAnsi="仿宋" w:eastAsia="仿宋" w:cs="仿宋"/>
          <w:color w:val="auto"/>
          <w:sz w:val="24"/>
          <w:szCs w:val="24"/>
          <w:highlight w:val="none"/>
          <w:lang w:val="en-US" w:eastAsia="zh-CN"/>
        </w:rPr>
        <w:t>60</w:t>
      </w:r>
      <w:r>
        <w:rPr>
          <w:rStyle w:val="343"/>
          <w:rFonts w:hint="eastAsia" w:ascii="仿宋" w:hAnsi="仿宋" w:eastAsia="仿宋" w:cs="仿宋"/>
          <w:color w:val="auto"/>
          <w:sz w:val="24"/>
          <w:szCs w:val="24"/>
          <w:highlight w:val="none"/>
        </w:rPr>
        <w:t>天</w:t>
      </w:r>
      <w:r>
        <w:rPr>
          <w:rStyle w:val="343"/>
          <w:rFonts w:hint="eastAsia" w:ascii="仿宋" w:hAnsi="仿宋" w:eastAsia="仿宋" w:cs="仿宋"/>
          <w:color w:val="auto"/>
          <w:sz w:val="24"/>
          <w:szCs w:val="24"/>
          <w:highlight w:val="none"/>
          <w:lang w:eastAsia="zh-CN"/>
        </w:rPr>
        <w:t>（</w:t>
      </w:r>
      <w:r>
        <w:rPr>
          <w:rStyle w:val="343"/>
          <w:rFonts w:hint="eastAsia" w:ascii="仿宋" w:hAnsi="仿宋" w:eastAsia="仿宋" w:cs="仿宋"/>
          <w:color w:val="auto"/>
          <w:sz w:val="24"/>
          <w:szCs w:val="24"/>
          <w:highlight w:val="none"/>
          <w:lang w:val="en-US" w:eastAsia="zh-CN"/>
        </w:rPr>
        <w:t>含</w:t>
      </w:r>
      <w:r>
        <w:rPr>
          <w:rStyle w:val="343"/>
          <w:rFonts w:hint="eastAsia" w:ascii="仿宋" w:hAnsi="仿宋" w:eastAsia="仿宋" w:cs="仿宋"/>
          <w:color w:val="auto"/>
          <w:sz w:val="24"/>
          <w:szCs w:val="24"/>
          <w:highlight w:val="none"/>
          <w:lang w:eastAsia="zh-CN"/>
        </w:rPr>
        <w:t>）</w:t>
      </w:r>
      <w:r>
        <w:rPr>
          <w:rStyle w:val="343"/>
          <w:rFonts w:hint="eastAsia" w:ascii="仿宋" w:hAnsi="仿宋" w:eastAsia="仿宋" w:cs="仿宋"/>
          <w:color w:val="auto"/>
          <w:sz w:val="24"/>
          <w:szCs w:val="24"/>
          <w:highlight w:val="none"/>
        </w:rPr>
        <w:t>以上的，超出天数每天扣除0.</w:t>
      </w:r>
      <w:r>
        <w:rPr>
          <w:rStyle w:val="343"/>
          <w:rFonts w:hint="eastAsia" w:ascii="仿宋" w:hAnsi="仿宋" w:eastAsia="仿宋" w:cs="仿宋"/>
          <w:color w:val="auto"/>
          <w:sz w:val="24"/>
          <w:szCs w:val="24"/>
          <w:highlight w:val="none"/>
          <w:lang w:val="en-US" w:eastAsia="zh-CN"/>
        </w:rPr>
        <w:t>5万</w:t>
      </w:r>
      <w:r>
        <w:rPr>
          <w:rStyle w:val="343"/>
          <w:rFonts w:hint="eastAsia" w:ascii="仿宋" w:hAnsi="仿宋" w:eastAsia="仿宋" w:cs="仿宋"/>
          <w:color w:val="auto"/>
          <w:sz w:val="24"/>
          <w:szCs w:val="24"/>
          <w:highlight w:val="none"/>
        </w:rPr>
        <w:t>，最高不超过总价格的</w:t>
      </w:r>
      <w:r>
        <w:rPr>
          <w:rStyle w:val="343"/>
          <w:rFonts w:hint="eastAsia" w:ascii="仿宋" w:hAnsi="仿宋" w:eastAsia="仿宋" w:cs="仿宋"/>
          <w:color w:val="auto"/>
          <w:sz w:val="24"/>
          <w:szCs w:val="24"/>
          <w:highlight w:val="none"/>
          <w:lang w:val="en-US" w:eastAsia="zh-CN"/>
        </w:rPr>
        <w:t>5</w:t>
      </w:r>
      <w:r>
        <w:rPr>
          <w:rStyle w:val="343"/>
          <w:rFonts w:hint="eastAsia" w:ascii="仿宋" w:hAnsi="仿宋" w:eastAsia="仿宋" w:cs="仿宋"/>
          <w:color w:val="auto"/>
          <w:sz w:val="24"/>
          <w:szCs w:val="24"/>
          <w:highlight w:val="none"/>
        </w:rPr>
        <w:t>%</w:t>
      </w:r>
      <w:r>
        <w:rPr>
          <w:rStyle w:val="343"/>
          <w:rFonts w:hint="eastAsia" w:ascii="仿宋" w:hAnsi="仿宋" w:eastAsia="仿宋" w:cs="仿宋"/>
          <w:color w:val="auto"/>
          <w:sz w:val="24"/>
          <w:szCs w:val="24"/>
          <w:highlight w:val="none"/>
          <w:lang w:eastAsia="zh-CN"/>
        </w:rPr>
        <w:t>。</w:t>
      </w:r>
    </w:p>
    <w:p>
      <w:pPr>
        <w:spacing w:line="360" w:lineRule="auto"/>
        <w:ind w:firstLine="480" w:firstLineChars="200"/>
        <w:outlineLvl w:val="0"/>
        <w:rPr>
          <w:rStyle w:val="343"/>
          <w:rFonts w:hint="default" w:ascii="仿宋" w:hAnsi="仿宋" w:eastAsia="仿宋" w:cs="仿宋"/>
          <w:color w:val="auto"/>
          <w:sz w:val="24"/>
          <w:szCs w:val="24"/>
          <w:highlight w:val="none"/>
          <w:lang w:val="en-US" w:eastAsia="zh-CN"/>
        </w:rPr>
      </w:pPr>
      <w:r>
        <w:rPr>
          <w:rStyle w:val="343"/>
          <w:rFonts w:hint="eastAsia" w:ascii="仿宋" w:hAnsi="仿宋" w:eastAsia="仿宋" w:cs="仿宋"/>
          <w:color w:val="auto"/>
          <w:sz w:val="24"/>
          <w:szCs w:val="24"/>
          <w:highlight w:val="none"/>
        </w:rPr>
        <w:t>3、</w:t>
      </w:r>
      <w:r>
        <w:rPr>
          <w:rStyle w:val="343"/>
          <w:rFonts w:hint="eastAsia" w:ascii="仿宋" w:hAnsi="仿宋" w:eastAsia="仿宋" w:cs="仿宋"/>
          <w:color w:val="auto"/>
          <w:sz w:val="24"/>
          <w:szCs w:val="24"/>
          <w:highlight w:val="none"/>
          <w:lang w:eastAsia="zh-CN"/>
        </w:rPr>
        <w:t>乙方提交的成果资料应符合招标要求。乙方提交的成果经验收</w:t>
      </w:r>
      <w:r>
        <w:rPr>
          <w:rStyle w:val="343"/>
          <w:rFonts w:hint="eastAsia" w:ascii="仿宋" w:hAnsi="仿宋" w:eastAsia="仿宋" w:cs="仿宋"/>
          <w:color w:val="auto"/>
          <w:sz w:val="24"/>
          <w:szCs w:val="24"/>
          <w:highlight w:val="none"/>
          <w:lang w:val="en-US" w:eastAsia="zh-CN"/>
        </w:rPr>
        <w:t>第一次不通过的，须整改后重新提交成果，甲方并扣其除合同价款10万元作为处罚金；第二次不通过的，甲方有权解除合同，并追已支付给乙方的全部支付款项，扣除全部履约保证金，并处以总价款5%的赔偿金。</w:t>
      </w:r>
    </w:p>
    <w:p>
      <w:pPr>
        <w:spacing w:line="360" w:lineRule="auto"/>
        <w:ind w:firstLine="480" w:firstLineChars="200"/>
        <w:outlineLvl w:val="0"/>
        <w:rPr>
          <w:rStyle w:val="343"/>
          <w:rFonts w:hint="eastAsia" w:ascii="仿宋" w:hAnsi="仿宋" w:eastAsia="仿宋" w:cs="仿宋"/>
          <w:color w:val="auto"/>
          <w:sz w:val="24"/>
          <w:szCs w:val="24"/>
          <w:highlight w:val="none"/>
        </w:rPr>
      </w:pPr>
      <w:r>
        <w:rPr>
          <w:rStyle w:val="343"/>
          <w:rFonts w:hint="eastAsia" w:ascii="仿宋" w:hAnsi="仿宋" w:eastAsia="仿宋" w:cs="仿宋"/>
          <w:color w:val="auto"/>
          <w:sz w:val="24"/>
          <w:szCs w:val="24"/>
          <w:highlight w:val="none"/>
        </w:rPr>
        <w:t>4、对于甲方提供的图纸和技术资料以及属于甲方的测绘成果，乙方有义务保密，不得向第三方转让，否则，甲方有权对因此造成的损失追究责任。</w:t>
      </w:r>
    </w:p>
    <w:p>
      <w:pPr>
        <w:spacing w:line="360" w:lineRule="auto"/>
        <w:ind w:firstLine="480" w:firstLineChars="200"/>
        <w:outlineLvl w:val="0"/>
        <w:rPr>
          <w:rStyle w:val="343"/>
          <w:rFonts w:hint="eastAsia" w:ascii="仿宋" w:hAnsi="仿宋" w:eastAsia="仿宋" w:cs="仿宋"/>
          <w:color w:val="auto"/>
          <w:sz w:val="24"/>
          <w:szCs w:val="24"/>
          <w:highlight w:val="none"/>
          <w:lang w:val="en-US" w:eastAsia="zh-CN"/>
        </w:rPr>
      </w:pPr>
      <w:r>
        <w:rPr>
          <w:rStyle w:val="343"/>
          <w:rFonts w:hint="eastAsia" w:ascii="仿宋" w:hAnsi="仿宋" w:eastAsia="仿宋" w:cs="仿宋"/>
          <w:color w:val="auto"/>
          <w:sz w:val="24"/>
          <w:szCs w:val="24"/>
          <w:highlight w:val="none"/>
          <w:lang w:val="en-US" w:eastAsia="zh-CN"/>
        </w:rPr>
        <w:t>5、本项目有涉密要求，非经甲方允许，乙方不得向第三方透露下项目相关信息、数据及甲方提供的资料等，不得分包、转包，否则甲方有权取消合同，扣除履约保证金，造成损失的，将追究相关责任。</w:t>
      </w:r>
    </w:p>
    <w:p>
      <w:pPr>
        <w:spacing w:line="360" w:lineRule="auto"/>
        <w:ind w:firstLine="480" w:firstLineChars="200"/>
        <w:outlineLvl w:val="0"/>
        <w:rPr>
          <w:rStyle w:val="343"/>
          <w:rFonts w:hint="eastAsia" w:ascii="仿宋" w:hAnsi="仿宋" w:eastAsia="仿宋" w:cs="仿宋"/>
          <w:color w:val="auto"/>
          <w:sz w:val="24"/>
          <w:szCs w:val="24"/>
          <w:highlight w:val="none"/>
          <w:lang w:val="en-US" w:eastAsia="zh-CN"/>
        </w:rPr>
      </w:pPr>
      <w:r>
        <w:rPr>
          <w:rStyle w:val="343"/>
          <w:rFonts w:hint="eastAsia" w:ascii="仿宋" w:hAnsi="仿宋" w:eastAsia="仿宋" w:cs="仿宋"/>
          <w:color w:val="auto"/>
          <w:sz w:val="24"/>
          <w:szCs w:val="24"/>
          <w:highlight w:val="none"/>
          <w:lang w:val="en-US" w:eastAsia="zh-CN"/>
        </w:rPr>
        <w:t>6、落实中标后人员配备及到位，配备人员非必要不允许更换，若更换必须经甲方认可，更换后项目班组成员能力、资信等不能低于原配置人员，且每更换一人次乙方向甲方支付违约金人民币5000元，项目负责人及技术负责人非不可抗力不允许更换。项业主单位及监理单位将对中标单位人员实际投入情况进行检查，若人员就位情况不符合，将予以警告、扣除违约金、取消合同并扣除履约保证金等</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0"/>
        <w:rPr>
          <w:rStyle w:val="343"/>
          <w:rFonts w:hint="eastAsia" w:ascii="仿宋" w:hAnsi="仿宋" w:eastAsia="仿宋" w:cs="仿宋"/>
          <w:color w:val="auto"/>
          <w:sz w:val="24"/>
          <w:szCs w:val="24"/>
          <w:highlight w:val="none"/>
          <w:lang w:val="en-US" w:eastAsia="zh-CN"/>
        </w:rPr>
      </w:pPr>
      <w:r>
        <w:rPr>
          <w:rStyle w:val="343"/>
          <w:rFonts w:hint="eastAsia" w:ascii="仿宋" w:hAnsi="仿宋" w:eastAsia="仿宋" w:cs="仿宋"/>
          <w:color w:val="auto"/>
          <w:sz w:val="24"/>
          <w:szCs w:val="24"/>
          <w:highlight w:val="none"/>
          <w:lang w:val="en-US" w:eastAsia="zh-CN"/>
        </w:rPr>
        <w:t>不可抗力需要更换人员的，应经过甲方认可，配备资信不低于原委派人员，由甲方视情况决定是否处罚，处罚方式为警告、扣除违约金一人次人民币10000元、取消合同并扣除履约保证金等。</w:t>
      </w:r>
    </w:p>
    <w:p>
      <w:pPr>
        <w:pStyle w:val="23"/>
        <w:keepNext w:val="0"/>
        <w:keepLines w:val="0"/>
        <w:pageBreakBefore w:val="0"/>
        <w:widowControl w:val="0"/>
        <w:numPr>
          <w:ilvl w:val="0"/>
          <w:numId w:val="10"/>
        </w:numPr>
        <w:kinsoku/>
        <w:wordWrap/>
        <w:overflowPunct/>
        <w:topLinePunct w:val="0"/>
        <w:autoSpaceDE/>
        <w:autoSpaceDN/>
        <w:bidi w:val="0"/>
        <w:adjustRightInd w:val="0"/>
        <w:snapToGrid/>
        <w:spacing w:line="360" w:lineRule="auto"/>
        <w:textAlignment w:val="auto"/>
        <w:rPr>
          <w:rStyle w:val="343"/>
          <w:rFonts w:hint="eastAsia" w:ascii="仿宋" w:hAnsi="仿宋" w:eastAsia="仿宋" w:cs="仿宋"/>
          <w:color w:val="auto"/>
          <w:sz w:val="24"/>
          <w:szCs w:val="24"/>
          <w:highlight w:val="none"/>
          <w:lang w:val="en-US" w:eastAsia="zh-CN"/>
        </w:rPr>
      </w:pPr>
      <w:r>
        <w:rPr>
          <w:rStyle w:val="343"/>
          <w:rFonts w:hint="eastAsia" w:ascii="仿宋" w:hAnsi="仿宋" w:eastAsia="仿宋" w:cs="仿宋"/>
          <w:color w:val="auto"/>
          <w:kern w:val="2"/>
          <w:sz w:val="24"/>
          <w:szCs w:val="24"/>
          <w:highlight w:val="none"/>
          <w:lang w:val="en-US" w:eastAsia="zh-CN" w:bidi="ar-SA"/>
        </w:rPr>
        <w:t>要求月度例会、专家论证会、专题讨论会、阶段工作总结会、阶段及最终验收会、问题通报会议总负责人及技术负责人必须参加，若有缺席，向甲方支付违约金一人次人民</w:t>
      </w:r>
      <w:r>
        <w:rPr>
          <w:rStyle w:val="343"/>
          <w:rFonts w:hint="eastAsia" w:ascii="仿宋" w:hAnsi="仿宋" w:eastAsia="仿宋" w:cs="仿宋"/>
          <w:color w:val="auto"/>
          <w:sz w:val="24"/>
          <w:szCs w:val="24"/>
          <w:highlight w:val="none"/>
          <w:lang w:val="en-US" w:eastAsia="zh-CN"/>
        </w:rPr>
        <w:t>币5000元，累计缺席超过10次，甲方有权取消合同并扣除履约保证金，造成损失的，将追究相关责任。</w:t>
      </w:r>
    </w:p>
    <w:p>
      <w:pPr>
        <w:pStyle w:val="23"/>
        <w:keepNext w:val="0"/>
        <w:keepLines w:val="0"/>
        <w:pageBreakBefore w:val="0"/>
        <w:widowControl w:val="0"/>
        <w:numPr>
          <w:ilvl w:val="0"/>
          <w:numId w:val="10"/>
        </w:numPr>
        <w:kinsoku/>
        <w:wordWrap/>
        <w:overflowPunct/>
        <w:topLinePunct w:val="0"/>
        <w:autoSpaceDE/>
        <w:autoSpaceDN/>
        <w:bidi w:val="0"/>
        <w:adjustRightInd w:val="0"/>
        <w:snapToGrid/>
        <w:spacing w:line="360" w:lineRule="auto"/>
        <w:textAlignment w:val="auto"/>
        <w:rPr>
          <w:rStyle w:val="343"/>
          <w:rFonts w:hint="default" w:ascii="仿宋" w:hAnsi="仿宋" w:eastAsia="仿宋" w:cs="仿宋"/>
          <w:color w:val="auto"/>
          <w:sz w:val="24"/>
          <w:szCs w:val="24"/>
          <w:highlight w:val="none"/>
          <w:lang w:val="en-US" w:eastAsia="zh-CN"/>
        </w:rPr>
      </w:pPr>
      <w:r>
        <w:rPr>
          <w:rStyle w:val="343"/>
          <w:rFonts w:hint="eastAsia" w:ascii="仿宋" w:hAnsi="仿宋" w:eastAsia="仿宋" w:cs="仿宋"/>
          <w:color w:val="auto"/>
          <w:sz w:val="24"/>
          <w:szCs w:val="24"/>
          <w:highlight w:val="none"/>
          <w:lang w:val="en-US" w:eastAsia="zh-CN"/>
        </w:rPr>
        <w:t>如有上述违约情况我单位将按照《浙江省测绘地理信息行业信用管理办法（试行）》予以处置。</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highlight w:val="none"/>
        </w:rPr>
        <w:t>条  履约保证金</w:t>
      </w:r>
    </w:p>
    <w:p>
      <w:pPr>
        <w:pStyle w:val="360"/>
        <w:adjustRightInd/>
        <w:ind w:firstLine="482"/>
        <w:rPr>
          <w:rFonts w:hint="eastAsia" w:ascii="仿宋" w:hAnsi="仿宋" w:eastAsia="仿宋" w:cs="仿宋"/>
          <w:b/>
          <w:color w:val="auto"/>
          <w:highlight w:val="none"/>
        </w:rPr>
      </w:pPr>
      <w:r>
        <w:rPr>
          <w:rFonts w:hint="eastAsia" w:ascii="仿宋" w:hAnsi="仿宋" w:eastAsia="仿宋" w:cs="仿宋"/>
          <w:b/>
          <w:color w:val="auto"/>
          <w:highlight w:val="none"/>
        </w:rPr>
        <w:t>在合同签订后7日历天内中标供应商须向采购人缴纳合同总价</w:t>
      </w: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rPr>
        <w:t>%的履约保证金。履约保证金可采用☑银行转账  ☑银行保函  ☑保险凭证等。</w:t>
      </w:r>
    </w:p>
    <w:p>
      <w:pPr>
        <w:widowControl/>
        <w:snapToGrid w:val="0"/>
        <w:spacing w:line="360" w:lineRule="auto"/>
        <w:ind w:firstLine="480" w:firstLineChars="200"/>
        <w:jc w:val="left"/>
        <w:rPr>
          <w:rFonts w:hint="eastAsia"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lang w:val="en-US" w:eastAsia="zh-CN"/>
        </w:rPr>
        <w:t>1、</w:t>
      </w:r>
      <w:r>
        <w:rPr>
          <w:rFonts w:hint="eastAsia" w:ascii="仿宋_GB2312" w:hAnsi="宋体" w:eastAsia="仿宋_GB2312" w:cs="Arial"/>
          <w:color w:val="auto"/>
          <w:kern w:val="0"/>
          <w:sz w:val="24"/>
          <w:highlight w:val="none"/>
        </w:rPr>
        <w:t xml:space="preserve"> 在合同签订后7日历天内</w:t>
      </w:r>
      <w:r>
        <w:rPr>
          <w:rFonts w:hint="eastAsia" w:ascii="仿宋_GB2312" w:hAnsi="宋体" w:eastAsia="仿宋_GB2312" w:cs="Arial"/>
          <w:color w:val="auto"/>
          <w:kern w:val="0"/>
          <w:sz w:val="24"/>
          <w:highlight w:val="none"/>
          <w:lang w:eastAsia="zh-CN"/>
        </w:rPr>
        <w:t>乙方</w:t>
      </w:r>
      <w:r>
        <w:rPr>
          <w:rFonts w:hint="eastAsia" w:ascii="仿宋_GB2312" w:hAnsi="宋体" w:eastAsia="仿宋_GB2312" w:cs="Arial"/>
          <w:color w:val="auto"/>
          <w:kern w:val="0"/>
          <w:sz w:val="24"/>
          <w:highlight w:val="none"/>
        </w:rPr>
        <w:t>须向</w:t>
      </w:r>
      <w:r>
        <w:rPr>
          <w:rFonts w:hint="eastAsia" w:ascii="仿宋_GB2312" w:hAnsi="宋体" w:eastAsia="仿宋_GB2312" w:cs="Arial"/>
          <w:color w:val="auto"/>
          <w:kern w:val="0"/>
          <w:sz w:val="24"/>
          <w:highlight w:val="none"/>
          <w:lang w:eastAsia="zh-CN"/>
        </w:rPr>
        <w:t>甲方</w:t>
      </w:r>
      <w:r>
        <w:rPr>
          <w:rFonts w:hint="eastAsia" w:ascii="仿宋_GB2312" w:hAnsi="宋体" w:eastAsia="仿宋_GB2312" w:cs="Arial"/>
          <w:color w:val="auto"/>
          <w:kern w:val="0"/>
          <w:sz w:val="24"/>
          <w:highlight w:val="none"/>
        </w:rPr>
        <w:t>缴纳合同总价</w:t>
      </w:r>
      <w:r>
        <w:rPr>
          <w:rFonts w:hint="eastAsia" w:ascii="仿宋_GB2312" w:hAnsi="宋体" w:eastAsia="仿宋_GB2312" w:cs="Arial"/>
          <w:color w:val="auto"/>
          <w:kern w:val="0"/>
          <w:sz w:val="24"/>
          <w:highlight w:val="none"/>
          <w:lang w:eastAsia="zh-CN"/>
        </w:rPr>
        <w:t>1%</w:t>
      </w:r>
      <w:r>
        <w:rPr>
          <w:rFonts w:hint="eastAsia" w:ascii="仿宋_GB2312" w:hAnsi="宋体" w:eastAsia="仿宋_GB2312" w:cs="Arial"/>
          <w:color w:val="auto"/>
          <w:kern w:val="0"/>
          <w:sz w:val="24"/>
          <w:highlight w:val="none"/>
        </w:rPr>
        <w:t xml:space="preserve">的履约保证金（鼓励以银行、保险公司出具的履约保函形式提交；若以电汇、银行转账方式提交的，必须转到甲方的指定账户），计（大写）： </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元（￥：</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w:t>
      </w:r>
    </w:p>
    <w:p>
      <w:pPr>
        <w:widowControl/>
        <w:snapToGrid w:val="0"/>
        <w:spacing w:line="360" w:lineRule="auto"/>
        <w:ind w:firstLine="480" w:firstLineChars="200"/>
        <w:jc w:val="left"/>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lang w:val="en-US" w:eastAsia="zh-CN"/>
        </w:rPr>
        <w:t>2、</w:t>
      </w:r>
      <w:r>
        <w:rPr>
          <w:rFonts w:hint="eastAsia" w:ascii="仿宋" w:hAnsi="仿宋" w:eastAsia="仿宋" w:cs="仿宋"/>
          <w:bCs/>
          <w:color w:val="auto"/>
          <w:kern w:val="0"/>
          <w:sz w:val="24"/>
          <w:highlight w:val="none"/>
        </w:rPr>
        <w:t xml:space="preserve"> 甲方在任何时候都有权从履约保证金中扣除因乙方违约而导致损失的金额或违约金。乙方应在接到扣除履约保证金通知后一周内补足所扣差额，以保证承包期间履约保证金的完整。</w:t>
      </w:r>
    </w:p>
    <w:p>
      <w:pPr>
        <w:pStyle w:val="58"/>
        <w:spacing w:before="0" w:beforeAutospacing="0" w:after="0" w:afterAutospacing="0" w:line="360" w:lineRule="auto"/>
        <w:ind w:firstLine="480" w:firstLineChars="200"/>
        <w:rPr>
          <w:rFonts w:hint="eastAsia" w:ascii="仿宋" w:hAnsi="仿宋" w:eastAsia="仿宋" w:cs="仿宋"/>
          <w:bCs/>
          <w:color w:val="auto"/>
          <w:kern w:val="0"/>
          <w:sz w:val="24"/>
          <w:highlight w:val="none"/>
        </w:rPr>
      </w:pPr>
      <w:r>
        <w:rPr>
          <w:rFonts w:hint="eastAsia" w:ascii="仿宋" w:hAnsi="仿宋" w:eastAsia="仿宋" w:cs="仿宋"/>
          <w:bCs/>
          <w:color w:val="auto"/>
          <w:kern w:val="0"/>
          <w:sz w:val="24"/>
          <w:highlight w:val="none"/>
          <w:lang w:val="en-US" w:eastAsia="zh-CN"/>
        </w:rPr>
        <w:t>3、</w:t>
      </w:r>
      <w:r>
        <w:rPr>
          <w:rFonts w:hint="eastAsia" w:ascii="仿宋" w:hAnsi="仿宋" w:eastAsia="仿宋" w:cs="仿宋"/>
          <w:bCs/>
          <w:color w:val="auto"/>
          <w:kern w:val="0"/>
          <w:sz w:val="24"/>
          <w:highlight w:val="none"/>
        </w:rPr>
        <w:t xml:space="preserve"> 如果乙方在服务期内没有涉及甲方的应付而未付金额或违约行为，甲方在服务期满后或提前终止合同后全额无息退还履约保证金。</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四</w:t>
      </w:r>
      <w:r>
        <w:rPr>
          <w:rFonts w:hint="eastAsia" w:ascii="仿宋" w:hAnsi="仿宋" w:eastAsia="仿宋" w:cs="仿宋"/>
          <w:b/>
          <w:color w:val="auto"/>
          <w:sz w:val="24"/>
          <w:szCs w:val="24"/>
          <w:highlight w:val="none"/>
        </w:rPr>
        <w:t>条  其他约定</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1、在合同有效期内，任何一方因不可抗力事件导致不能履行合同，则合同履约执行期可延长，其延长期与不可抗力影响期相同。</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2、不可抗力事件发生后，应立即通知对方，并寄送有关权威机构出具的证明。</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3、不可抗力事件延续120天以上，双方应通过友好协商，确定是否继续履行合同。</w:t>
      </w:r>
    </w:p>
    <w:p>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4、在服务期限内，乙方应对可能出现的风险自行承担一切责任。</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rPr>
        <w:t>条  关于补充协议</w:t>
      </w:r>
    </w:p>
    <w:p>
      <w:pPr>
        <w:pStyle w:val="58"/>
        <w:spacing w:before="0" w:beforeAutospacing="0" w:afterAutospacing="0" w:line="360" w:lineRule="auto"/>
        <w:ind w:firstLine="477" w:firstLineChars="19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本合同执行过程中的未尽事宜，双方应本着实事求是、友好协商的态度加以解决。双方协商一致的，签订补充协议。补充协议与本合同具有同等效力。</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w:t>
      </w:r>
      <w:r>
        <w:rPr>
          <w:rFonts w:hint="eastAsia" w:ascii="仿宋" w:hAnsi="仿宋" w:eastAsia="仿宋" w:cs="仿宋"/>
          <w:b/>
          <w:color w:val="auto"/>
          <w:sz w:val="24"/>
          <w:szCs w:val="24"/>
          <w:highlight w:val="none"/>
          <w:lang w:val="en-US" w:eastAsia="zh-CN"/>
        </w:rPr>
        <w:t>六</w:t>
      </w:r>
      <w:r>
        <w:rPr>
          <w:rFonts w:hint="eastAsia" w:ascii="仿宋" w:hAnsi="仿宋" w:eastAsia="仿宋" w:cs="仿宋"/>
          <w:b/>
          <w:color w:val="auto"/>
          <w:sz w:val="24"/>
          <w:szCs w:val="24"/>
          <w:highlight w:val="none"/>
        </w:rPr>
        <w:t>条  诉讼与争议</w:t>
      </w:r>
    </w:p>
    <w:p>
      <w:pPr>
        <w:pStyle w:val="58"/>
        <w:spacing w:before="0" w:beforeAutospacing="0" w:afterAutospacing="0" w:line="360" w:lineRule="auto"/>
        <w:ind w:firstLine="477" w:firstLineChars="19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双方因履行本合同而发生的争议，应协商、调解解决。</w:t>
      </w:r>
    </w:p>
    <w:p>
      <w:pPr>
        <w:pStyle w:val="58"/>
        <w:spacing w:before="0" w:beforeAutospacing="0" w:afterAutospacing="0" w:line="360" w:lineRule="auto"/>
        <w:ind w:firstLine="477" w:firstLineChars="19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协商、调解不成的，确定按以下第</w:t>
      </w:r>
      <w:r>
        <w:rPr>
          <w:rFonts w:hint="eastAsia" w:ascii="仿宋" w:hAnsi="仿宋" w:eastAsia="仿宋" w:cs="仿宋"/>
          <w:color w:val="auto"/>
          <w:sz w:val="24"/>
          <w:szCs w:val="24"/>
          <w:highlight w:val="none"/>
          <w:u w:val="single"/>
        </w:rPr>
        <w:t xml:space="preserve"> 2 </w:t>
      </w:r>
      <w:r>
        <w:rPr>
          <w:rFonts w:hint="eastAsia" w:ascii="仿宋" w:hAnsi="仿宋" w:eastAsia="仿宋" w:cs="仿宋"/>
          <w:color w:val="auto"/>
          <w:sz w:val="24"/>
          <w:szCs w:val="24"/>
          <w:highlight w:val="none"/>
        </w:rPr>
        <w:t>种方式处理：</w:t>
      </w:r>
    </w:p>
    <w:p>
      <w:pPr>
        <w:pStyle w:val="58"/>
        <w:spacing w:before="0" w:beforeAutospacing="0" w:afterAutospacing="0" w:line="360" w:lineRule="auto"/>
        <w:ind w:firstLine="477" w:firstLineChars="19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1．提交</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仲裁委员会仲裁；</w:t>
      </w:r>
    </w:p>
    <w:p>
      <w:pPr>
        <w:pStyle w:val="58"/>
        <w:spacing w:before="0" w:beforeAutospacing="0" w:afterAutospacing="0" w:line="360" w:lineRule="auto"/>
        <w:ind w:firstLine="477" w:firstLineChars="19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2．依法向委托方所在地的人民法院起诉。</w:t>
      </w:r>
    </w:p>
    <w:p>
      <w:pPr>
        <w:pStyle w:val="58"/>
        <w:spacing w:before="0" w:beforeAutospacing="0" w:after="0" w:afterAutospacing="0" w:line="360" w:lineRule="auto"/>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第十六条  附则：</w:t>
      </w:r>
    </w:p>
    <w:p>
      <w:pPr>
        <w:pStyle w:val="58"/>
        <w:spacing w:before="0" w:beforeAutospacing="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1、本合同由双方代表签字，加盖双方公章或合同专用章即生效。全部成果交接完毕和测绘工程费结算完成后，本合同终止。</w:t>
      </w:r>
    </w:p>
    <w:p>
      <w:pPr>
        <w:pStyle w:val="58"/>
        <w:spacing w:before="0" w:beforeAutospacing="0" w:afterAutospacing="0"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2、有关本合同中未写明的内容以本项目（招）采购文件的规定为准</w:t>
      </w:r>
      <w:r>
        <w:rPr>
          <w:rFonts w:hint="eastAsia" w:ascii="仿宋" w:hAnsi="仿宋" w:eastAsia="仿宋" w:cs="仿宋"/>
          <w:color w:val="auto"/>
          <w:sz w:val="24"/>
          <w:szCs w:val="24"/>
          <w:highlight w:val="none"/>
          <w:lang w:eastAsia="zh-CN"/>
        </w:rPr>
        <w:t>。</w:t>
      </w:r>
    </w:p>
    <w:p>
      <w:pPr>
        <w:pStyle w:val="58"/>
        <w:spacing w:before="0" w:beforeAutospacing="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本合同一式肆份，甲方贰份，乙方贰份。</w:t>
      </w:r>
    </w:p>
    <w:p>
      <w:pPr>
        <w:widowControl/>
        <w:snapToGrid w:val="0"/>
        <w:spacing w:line="360" w:lineRule="auto"/>
        <w:ind w:firstLine="120" w:firstLineChars="50"/>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甲方（盖章）：</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乙方（盖章）：</w:t>
      </w:r>
      <w:r>
        <w:rPr>
          <w:rFonts w:hint="eastAsia" w:ascii="仿宋_GB2312" w:hAnsi="宋体" w:eastAsia="仿宋_GB2312" w:cs="Arial"/>
          <w:color w:val="auto"/>
          <w:kern w:val="0"/>
          <w:sz w:val="24"/>
          <w:highlight w:val="none"/>
          <w:u w:val="single"/>
        </w:rPr>
        <w:t xml:space="preserve">                         </w:t>
      </w:r>
    </w:p>
    <w:p>
      <w:pPr>
        <w:widowControl/>
        <w:snapToGrid w:val="0"/>
        <w:spacing w:line="360" w:lineRule="auto"/>
        <w:ind w:left="120" w:leftChars="57"/>
        <w:jc w:val="left"/>
        <w:rPr>
          <w:rFonts w:hint="eastAsia"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地址：</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地址：</w:t>
      </w:r>
      <w:r>
        <w:rPr>
          <w:rFonts w:hint="eastAsia" w:ascii="仿宋_GB2312" w:hAnsi="宋体" w:eastAsia="仿宋_GB2312" w:cs="Arial"/>
          <w:color w:val="auto"/>
          <w:kern w:val="0"/>
          <w:sz w:val="24"/>
          <w:highlight w:val="none"/>
          <w:u w:val="single"/>
        </w:rPr>
        <w:t xml:space="preserve">                         　　　　</w:t>
      </w:r>
    </w:p>
    <w:p>
      <w:pPr>
        <w:widowControl/>
        <w:snapToGrid w:val="0"/>
        <w:spacing w:line="360" w:lineRule="auto"/>
        <w:ind w:left="120" w:leftChars="57"/>
        <w:jc w:val="left"/>
        <w:rPr>
          <w:rFonts w:hint="eastAsia" w:ascii="仿宋_GB2312" w:hAnsi="宋体" w:eastAsia="仿宋_GB2312" w:cs="Arial"/>
          <w:color w:val="auto"/>
          <w:kern w:val="0"/>
          <w:sz w:val="24"/>
          <w:highlight w:val="none"/>
        </w:rPr>
      </w:pPr>
      <w:r>
        <w:rPr>
          <w:rFonts w:hint="eastAsia" w:ascii="仿宋_GB2312" w:hAnsi="宋体" w:eastAsia="仿宋_GB2312" w:cs="Arial"/>
          <w:color w:val="auto"/>
          <w:kern w:val="0"/>
          <w:sz w:val="24"/>
          <w:highlight w:val="none"/>
        </w:rPr>
        <w:t>法定代表人（负责人）：</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法定代表人（负责人）：</w:t>
      </w:r>
      <w:r>
        <w:rPr>
          <w:rFonts w:hint="eastAsia" w:ascii="仿宋_GB2312" w:hAnsi="宋体" w:eastAsia="仿宋_GB2312" w:cs="Arial"/>
          <w:color w:val="auto"/>
          <w:kern w:val="0"/>
          <w:sz w:val="24"/>
          <w:highlight w:val="none"/>
          <w:u w:val="single"/>
        </w:rPr>
        <w:t xml:space="preserve">                 </w:t>
      </w:r>
    </w:p>
    <w:p>
      <w:pPr>
        <w:widowControl/>
        <w:snapToGrid w:val="0"/>
        <w:spacing w:line="360" w:lineRule="auto"/>
        <w:ind w:left="120" w:leftChars="57"/>
        <w:jc w:val="left"/>
        <w:rPr>
          <w:rFonts w:hint="eastAsia" w:ascii="仿宋_GB2312" w:hAnsi="宋体" w:eastAsia="仿宋_GB2312" w:cs="Arial"/>
          <w:color w:val="auto"/>
          <w:kern w:val="0"/>
          <w:sz w:val="24"/>
          <w:highlight w:val="none"/>
          <w:u w:val="single"/>
        </w:rPr>
      </w:pPr>
      <w:r>
        <w:rPr>
          <w:rFonts w:hint="eastAsia" w:ascii="仿宋_GB2312" w:hAnsi="宋体" w:eastAsia="仿宋_GB2312" w:cs="Arial"/>
          <w:color w:val="auto"/>
          <w:kern w:val="0"/>
          <w:sz w:val="24"/>
          <w:highlight w:val="none"/>
        </w:rPr>
        <w:t>项目联系人：</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项目联系人：</w:t>
      </w:r>
      <w:r>
        <w:rPr>
          <w:rFonts w:hint="eastAsia" w:ascii="仿宋_GB2312" w:hAnsi="宋体" w:eastAsia="仿宋_GB2312" w:cs="Arial"/>
          <w:color w:val="auto"/>
          <w:kern w:val="0"/>
          <w:sz w:val="24"/>
          <w:highlight w:val="none"/>
          <w:u w:val="single"/>
        </w:rPr>
        <w:t xml:space="preserve">                           </w:t>
      </w:r>
    </w:p>
    <w:p>
      <w:pPr>
        <w:widowControl/>
        <w:snapToGrid w:val="0"/>
        <w:spacing w:line="360" w:lineRule="auto"/>
        <w:ind w:left="120" w:leftChars="57"/>
        <w:jc w:val="left"/>
        <w:rPr>
          <w:rFonts w:hint="eastAsia" w:ascii="仿宋_GB2312" w:hAnsi="宋体" w:eastAsia="仿宋_GB2312" w:cs="Arial"/>
          <w:color w:val="auto"/>
          <w:kern w:val="0"/>
          <w:sz w:val="24"/>
          <w:highlight w:val="none"/>
        </w:rPr>
      </w:pPr>
      <w:r>
        <w:rPr>
          <w:rFonts w:hint="eastAsia" w:ascii="仿宋" w:hAnsi="仿宋" w:eastAsia="仿宋" w:cs="仿宋"/>
          <w:color w:val="auto"/>
          <w:kern w:val="0"/>
          <w:sz w:val="24"/>
          <w:highlight w:val="none"/>
        </w:rPr>
        <w:t>联系方式：</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联系方式：</w:t>
      </w:r>
      <w:r>
        <w:rPr>
          <w:rFonts w:hint="eastAsia" w:ascii="仿宋" w:hAnsi="仿宋" w:eastAsia="仿宋" w:cs="仿宋"/>
          <w:color w:val="auto"/>
          <w:kern w:val="0"/>
          <w:sz w:val="24"/>
          <w:highlight w:val="none"/>
          <w:u w:val="single"/>
        </w:rPr>
        <w:t xml:space="preserve">　　　　　　　　　　    　　 </w:t>
      </w:r>
    </w:p>
    <w:p>
      <w:pPr>
        <w:widowControl/>
        <w:snapToGrid w:val="0"/>
        <w:spacing w:line="360" w:lineRule="auto"/>
        <w:ind w:left="120" w:leftChars="57"/>
        <w:jc w:val="left"/>
        <w:rPr>
          <w:rFonts w:ascii="Arial" w:hAnsi="Arial" w:cs="Arial"/>
          <w:color w:val="auto"/>
          <w:kern w:val="0"/>
          <w:sz w:val="14"/>
          <w:szCs w:val="14"/>
          <w:highlight w:val="none"/>
        </w:rPr>
      </w:pPr>
      <w:r>
        <w:rPr>
          <w:rFonts w:hint="eastAsia" w:ascii="仿宋_GB2312" w:hAnsi="宋体" w:eastAsia="仿宋_GB2312" w:cs="Arial"/>
          <w:color w:val="auto"/>
          <w:kern w:val="0"/>
          <w:sz w:val="24"/>
          <w:highlight w:val="none"/>
        </w:rPr>
        <w:t>账户名称：</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账户名称：</w:t>
      </w:r>
      <w:r>
        <w:rPr>
          <w:rFonts w:hint="eastAsia" w:ascii="仿宋_GB2312" w:hAnsi="宋体" w:eastAsia="仿宋_GB2312" w:cs="Arial"/>
          <w:color w:val="auto"/>
          <w:kern w:val="0"/>
          <w:sz w:val="24"/>
          <w:highlight w:val="none"/>
          <w:u w:val="single"/>
        </w:rPr>
        <w:t xml:space="preserve">                             </w:t>
      </w:r>
    </w:p>
    <w:p>
      <w:pPr>
        <w:widowControl/>
        <w:snapToGrid w:val="0"/>
        <w:spacing w:line="360" w:lineRule="auto"/>
        <w:ind w:left="120" w:leftChars="57"/>
        <w:jc w:val="left"/>
        <w:rPr>
          <w:rFonts w:hint="eastAsia" w:ascii="仿宋_GB2312" w:hAnsi="宋体" w:eastAsia="仿宋_GB2312" w:cs="Arial"/>
          <w:color w:val="auto"/>
          <w:kern w:val="0"/>
          <w:sz w:val="24"/>
          <w:highlight w:val="none"/>
          <w:u w:val="single"/>
        </w:rPr>
      </w:pPr>
      <w:r>
        <w:rPr>
          <w:rFonts w:hint="eastAsia" w:ascii="仿宋_GB2312" w:hAnsi="Arial" w:eastAsia="仿宋_GB2312" w:cs="Arial"/>
          <w:color w:val="auto"/>
          <w:kern w:val="0"/>
          <w:sz w:val="24"/>
          <w:highlight w:val="none"/>
        </w:rPr>
        <w:t>开户银行</w:t>
      </w:r>
      <w:r>
        <w:rPr>
          <w:rFonts w:hint="eastAsia" w:ascii="仿宋_GB2312" w:hAnsi="宋体" w:eastAsia="仿宋_GB2312" w:cs="Arial"/>
          <w:color w:val="auto"/>
          <w:kern w:val="0"/>
          <w:sz w:val="24"/>
          <w:highlight w:val="none"/>
        </w:rPr>
        <w:t>：</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 xml:space="preserve">  </w:t>
      </w:r>
      <w:r>
        <w:rPr>
          <w:rFonts w:hint="eastAsia" w:ascii="仿宋_GB2312" w:hAnsi="Arial" w:eastAsia="仿宋_GB2312" w:cs="Arial"/>
          <w:color w:val="auto"/>
          <w:kern w:val="0"/>
          <w:sz w:val="24"/>
          <w:highlight w:val="none"/>
        </w:rPr>
        <w:t>开户银行</w:t>
      </w:r>
      <w:r>
        <w:rPr>
          <w:rFonts w:hint="eastAsia" w:ascii="仿宋_GB2312" w:hAnsi="宋体" w:eastAsia="仿宋_GB2312" w:cs="Arial"/>
          <w:color w:val="auto"/>
          <w:kern w:val="0"/>
          <w:sz w:val="24"/>
          <w:highlight w:val="none"/>
        </w:rPr>
        <w:t>：</w:t>
      </w:r>
      <w:r>
        <w:rPr>
          <w:rFonts w:hint="eastAsia" w:ascii="仿宋_GB2312" w:hAnsi="宋体" w:eastAsia="仿宋_GB2312" w:cs="Arial"/>
          <w:color w:val="auto"/>
          <w:kern w:val="0"/>
          <w:sz w:val="24"/>
          <w:highlight w:val="none"/>
          <w:u w:val="single"/>
        </w:rPr>
        <w:t xml:space="preserve">                              </w:t>
      </w:r>
    </w:p>
    <w:p>
      <w:pPr>
        <w:widowControl/>
        <w:snapToGrid w:val="0"/>
        <w:spacing w:line="360" w:lineRule="auto"/>
        <w:ind w:left="120" w:leftChars="57"/>
        <w:jc w:val="left"/>
        <w:rPr>
          <w:rFonts w:hint="eastAsia" w:ascii="仿宋_GB2312" w:hAnsi="宋体" w:eastAsia="仿宋_GB2312" w:cs="Arial"/>
          <w:color w:val="auto"/>
          <w:kern w:val="0"/>
          <w:sz w:val="24"/>
          <w:highlight w:val="none"/>
          <w:u w:val="single"/>
        </w:rPr>
      </w:pPr>
      <w:r>
        <w:rPr>
          <w:rFonts w:hint="eastAsia" w:ascii="仿宋_GB2312" w:hAnsi="宋体" w:eastAsia="仿宋_GB2312" w:cs="Arial"/>
          <w:color w:val="auto"/>
          <w:kern w:val="0"/>
          <w:sz w:val="24"/>
          <w:highlight w:val="none"/>
        </w:rPr>
        <w:t>账号：</w:t>
      </w:r>
      <w:r>
        <w:rPr>
          <w:rFonts w:hint="eastAsia" w:ascii="仿宋_GB2312" w:hAnsi="宋体" w:eastAsia="仿宋_GB2312" w:cs="Arial"/>
          <w:color w:val="auto"/>
          <w:kern w:val="0"/>
          <w:sz w:val="24"/>
          <w:highlight w:val="none"/>
          <w:u w:val="single"/>
        </w:rPr>
        <w:t>　　　　　　　　　　　　　　　</w:t>
      </w:r>
      <w:r>
        <w:rPr>
          <w:rFonts w:hint="eastAsia" w:ascii="仿宋_GB2312" w:hAnsi="宋体" w:eastAsia="仿宋_GB2312" w:cs="Arial"/>
          <w:color w:val="auto"/>
          <w:kern w:val="0"/>
          <w:sz w:val="24"/>
          <w:highlight w:val="none"/>
        </w:rPr>
        <w:t>　 账号：</w:t>
      </w:r>
      <w:r>
        <w:rPr>
          <w:rFonts w:hint="eastAsia" w:ascii="仿宋_GB2312" w:hAnsi="宋体" w:eastAsia="仿宋_GB2312" w:cs="Arial"/>
          <w:color w:val="auto"/>
          <w:kern w:val="0"/>
          <w:sz w:val="24"/>
          <w:highlight w:val="none"/>
          <w:u w:val="single"/>
        </w:rPr>
        <w:t xml:space="preserve">                                    </w:t>
      </w:r>
    </w:p>
    <w:p>
      <w:pPr>
        <w:widowControl/>
        <w:snapToGrid w:val="0"/>
        <w:spacing w:line="360" w:lineRule="auto"/>
        <w:ind w:left="120" w:leftChars="57"/>
        <w:jc w:val="left"/>
        <w:rPr>
          <w:rFonts w:hint="eastAsia" w:ascii="仿宋" w:hAnsi="仿宋" w:eastAsia="仿宋" w:cs="仿宋"/>
          <w:b/>
          <w:bCs/>
          <w:color w:val="auto"/>
          <w:sz w:val="36"/>
          <w:szCs w:val="32"/>
          <w:highlight w:val="none"/>
        </w:rPr>
      </w:pPr>
      <w:r>
        <w:rPr>
          <w:rFonts w:hint="eastAsia" w:ascii="仿宋_GB2312" w:hAnsi="宋体" w:eastAsia="仿宋_GB2312" w:cs="Arial"/>
          <w:color w:val="auto"/>
          <w:kern w:val="0"/>
          <w:sz w:val="24"/>
          <w:highlight w:val="none"/>
        </w:rPr>
        <w:t>签订时间：</w:t>
      </w:r>
      <w:r>
        <w:rPr>
          <w:rFonts w:hint="eastAsia" w:ascii="仿宋_GB2312" w:hAnsi="宋体" w:eastAsia="仿宋_GB2312" w:cs="Arial"/>
          <w:color w:val="auto"/>
          <w:kern w:val="0"/>
          <w:sz w:val="24"/>
          <w:highlight w:val="none"/>
          <w:u w:val="single"/>
        </w:rPr>
        <w:t xml:space="preserve">                             </w:t>
      </w:r>
      <w:r>
        <w:rPr>
          <w:rFonts w:hint="eastAsia" w:ascii="仿宋_GB2312" w:hAnsi="宋体" w:eastAsia="仿宋_GB2312" w:cs="Arial"/>
          <w:color w:val="auto"/>
          <w:kern w:val="0"/>
          <w:sz w:val="24"/>
          <w:highlight w:val="none"/>
        </w:rPr>
        <w:t>签订地点：</w:t>
      </w:r>
      <w:r>
        <w:rPr>
          <w:rFonts w:hint="eastAsia" w:ascii="仿宋_GB2312" w:hAnsi="宋体" w:eastAsia="仿宋_GB2312" w:cs="Arial"/>
          <w:color w:val="auto"/>
          <w:kern w:val="0"/>
          <w:sz w:val="24"/>
          <w:highlight w:val="none"/>
          <w:u w:val="single"/>
        </w:rPr>
        <w:t xml:space="preserve">                      </w:t>
      </w:r>
    </w:p>
    <w:p>
      <w:pPr>
        <w:spacing w:line="360" w:lineRule="auto"/>
        <w:jc w:val="center"/>
        <w:outlineLvl w:val="0"/>
        <w:rPr>
          <w:rFonts w:hint="eastAsia" w:ascii="仿宋" w:hAnsi="仿宋" w:eastAsia="仿宋" w:cs="仿宋"/>
          <w:b/>
          <w:color w:val="auto"/>
          <w:sz w:val="28"/>
          <w:szCs w:val="28"/>
          <w:highlight w:val="none"/>
          <w:lang w:eastAsia="zh-CN"/>
        </w:rPr>
      </w:pPr>
      <w:r>
        <w:rPr>
          <w:rFonts w:hint="eastAsia" w:ascii="仿宋" w:hAnsi="仿宋" w:eastAsia="仿宋" w:cs="仿宋"/>
          <w:color w:val="auto"/>
          <w:highlight w:val="none"/>
          <w:lang w:eastAsia="zh-CN"/>
        </w:rPr>
        <w:br w:type="page"/>
      </w:r>
      <w:r>
        <w:rPr>
          <w:rFonts w:hint="eastAsia" w:ascii="仿宋" w:hAnsi="仿宋" w:eastAsia="仿宋" w:cs="仿宋"/>
          <w:b/>
          <w:color w:val="auto"/>
          <w:sz w:val="28"/>
          <w:szCs w:val="28"/>
          <w:highlight w:val="none"/>
          <w:lang w:eastAsia="zh-CN"/>
        </w:rPr>
        <w:t>（标段二：</w:t>
      </w:r>
      <w:r>
        <w:rPr>
          <w:rFonts w:hint="eastAsia" w:ascii="仿宋" w:hAnsi="仿宋" w:eastAsia="仿宋" w:cs="仿宋"/>
          <w:b/>
          <w:color w:val="auto"/>
          <w:sz w:val="28"/>
          <w:szCs w:val="28"/>
          <w:highlight w:val="none"/>
        </w:rPr>
        <w:t>政府采购合同参考范本</w:t>
      </w:r>
      <w:r>
        <w:rPr>
          <w:rFonts w:hint="eastAsia" w:ascii="仿宋" w:hAnsi="仿宋" w:eastAsia="仿宋" w:cs="仿宋"/>
          <w:b/>
          <w:color w:val="auto"/>
          <w:sz w:val="28"/>
          <w:szCs w:val="28"/>
          <w:highlight w:val="none"/>
          <w:lang w:eastAsia="zh-CN"/>
        </w:rPr>
        <w:t>）</w:t>
      </w:r>
    </w:p>
    <w:p>
      <w:pPr>
        <w:spacing w:line="360" w:lineRule="auto"/>
        <w:jc w:val="center"/>
        <w:rPr>
          <w:rFonts w:hint="eastAsia" w:ascii="仿宋" w:hAnsi="仿宋" w:eastAsia="宋体" w:cs="仿宋"/>
          <w:color w:val="auto"/>
          <w:highlight w:val="none"/>
          <w:lang w:eastAsia="zh-CN"/>
        </w:rPr>
      </w:pP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 购 人（甲方）：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成交单位（乙方）：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 xml:space="preserve">                                            </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（采购人名称）   </w:t>
      </w:r>
      <w:r>
        <w:rPr>
          <w:rFonts w:hint="eastAsia" w:ascii="仿宋" w:hAnsi="仿宋" w:eastAsia="仿宋" w:cs="仿宋"/>
          <w:color w:val="auto"/>
          <w:sz w:val="24"/>
          <w:szCs w:val="24"/>
          <w:highlight w:val="none"/>
          <w:u w:val="single"/>
          <w:lang w:val="zh-CN"/>
        </w:rPr>
        <w:t>(以下简称：甲方)</w:t>
      </w:r>
      <w:r>
        <w:rPr>
          <w:rFonts w:hint="eastAsia" w:ascii="仿宋" w:hAnsi="仿宋" w:eastAsia="仿宋" w:cs="仿宋"/>
          <w:color w:val="auto"/>
          <w:sz w:val="24"/>
          <w:szCs w:val="24"/>
          <w:highlight w:val="none"/>
          <w:lang w:val="zh-CN"/>
        </w:rPr>
        <w:t>和</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（中标供应商名称）   </w:t>
      </w:r>
      <w:r>
        <w:rPr>
          <w:rFonts w:hint="eastAsia" w:ascii="仿宋" w:hAnsi="仿宋" w:eastAsia="仿宋" w:cs="仿宋"/>
          <w:color w:val="auto"/>
          <w:sz w:val="24"/>
          <w:szCs w:val="24"/>
          <w:highlight w:val="none"/>
          <w:u w:val="single"/>
          <w:lang w:val="zh-CN"/>
        </w:rPr>
        <w:t>(以下简称：乙方)协</w:t>
      </w:r>
      <w:r>
        <w:rPr>
          <w:rFonts w:hint="eastAsia" w:ascii="仿宋" w:hAnsi="仿宋" w:eastAsia="仿宋" w:cs="仿宋"/>
          <w:color w:val="auto"/>
          <w:sz w:val="24"/>
          <w:szCs w:val="24"/>
          <w:highlight w:val="none"/>
          <w:lang w:val="zh-CN"/>
        </w:rPr>
        <w:t>商一致，约定以下合同</w:t>
      </w:r>
      <w:r>
        <w:rPr>
          <w:rFonts w:hint="eastAsia" w:ascii="仿宋" w:hAnsi="仿宋" w:eastAsia="仿宋" w:cs="仿宋"/>
          <w:color w:val="auto"/>
          <w:sz w:val="24"/>
          <w:szCs w:val="24"/>
          <w:highlight w:val="none"/>
        </w:rPr>
        <w:t>条款，以兹共同遵守、全面履行。</w:t>
      </w:r>
    </w:p>
    <w:p>
      <w:pPr>
        <w:pStyle w:val="7"/>
        <w:snapToGrid w:val="0"/>
        <w:spacing w:line="360" w:lineRule="auto"/>
        <w:outlineLvl w:val="0"/>
        <w:rPr>
          <w:rFonts w:cs="宋体"/>
          <w:b/>
          <w:color w:val="auto"/>
          <w:sz w:val="24"/>
          <w:szCs w:val="24"/>
          <w:highlight w:val="none"/>
        </w:rPr>
      </w:pPr>
      <w:r>
        <w:rPr>
          <w:rFonts w:hint="eastAsia" w:cs="宋体"/>
          <w:b/>
          <w:color w:val="auto"/>
          <w:sz w:val="24"/>
          <w:szCs w:val="24"/>
          <w:highlight w:val="none"/>
          <w:lang w:val="en-US" w:eastAsia="zh-CN"/>
        </w:rPr>
        <w:t>第一条</w:t>
      </w:r>
      <w:r>
        <w:rPr>
          <w:rFonts w:hint="eastAsia" w:cs="宋体"/>
          <w:b/>
          <w:color w:val="auto"/>
          <w:sz w:val="24"/>
          <w:szCs w:val="24"/>
          <w:highlight w:val="none"/>
        </w:rPr>
        <w:t>、</w:t>
      </w:r>
      <w:r>
        <w:rPr>
          <w:rFonts w:hint="eastAsia"/>
          <w:b/>
          <w:bCs/>
          <w:color w:val="auto"/>
          <w:sz w:val="24"/>
          <w:szCs w:val="24"/>
          <w:highlight w:val="none"/>
        </w:rPr>
        <w:t>合同金额</w:t>
      </w:r>
    </w:p>
    <w:tbl>
      <w:tblPr>
        <w:tblStyle w:val="62"/>
        <w:tblW w:w="0" w:type="auto"/>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4428"/>
        <w:gridCol w:w="1325"/>
        <w:gridCol w:w="2468"/>
        <w:gridCol w:w="8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851"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spacing w:line="360" w:lineRule="auto"/>
              <w:jc w:val="center"/>
              <w:rPr>
                <w:rFonts w:hint="eastAsia" w:ascii="宋体" w:hAnsi="宋体" w:cs="宋体"/>
                <w:color w:val="auto"/>
                <w:sz w:val="24"/>
                <w:szCs w:val="24"/>
                <w:highlight w:val="none"/>
                <w:lang w:val="zh-TW" w:eastAsia="zh-TW"/>
              </w:rPr>
            </w:pPr>
            <w:r>
              <w:rPr>
                <w:rFonts w:hint="eastAsia" w:ascii="宋体" w:hAnsi="宋体" w:cs="宋体"/>
                <w:bCs/>
                <w:color w:val="auto"/>
                <w:sz w:val="24"/>
                <w:szCs w:val="24"/>
                <w:highlight w:val="none"/>
              </w:rPr>
              <w:t>序号</w:t>
            </w:r>
          </w:p>
        </w:tc>
        <w:tc>
          <w:tcPr>
            <w:tcW w:w="4428"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spacing w:line="360" w:lineRule="auto"/>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招标内容</w:t>
            </w:r>
          </w:p>
        </w:tc>
        <w:tc>
          <w:tcPr>
            <w:tcW w:w="1325"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spacing w:line="360" w:lineRule="auto"/>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数量</w:t>
            </w:r>
          </w:p>
        </w:tc>
        <w:tc>
          <w:tcPr>
            <w:tcW w:w="2468"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spacing w:line="360" w:lineRule="auto"/>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总价（元）</w:t>
            </w:r>
          </w:p>
        </w:tc>
        <w:tc>
          <w:tcPr>
            <w:tcW w:w="851" w:type="dxa"/>
            <w:tcBorders>
              <w:top w:val="single" w:color="000000" w:sz="4" w:space="0"/>
              <w:left w:val="single" w:color="000000" w:sz="4" w:space="0"/>
              <w:bottom w:val="single" w:color="000000" w:sz="4" w:space="0"/>
              <w:right w:val="single" w:color="000000" w:sz="4" w:space="0"/>
            </w:tcBorders>
            <w:noWrap w:val="0"/>
            <w:vAlign w:val="top"/>
          </w:tcPr>
          <w:p>
            <w:pPr>
              <w:spacing w:line="360" w:lineRule="auto"/>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851" w:type="dxa"/>
            <w:tcBorders>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pStyle w:val="489"/>
              <w:pBdr>
                <w:top w:val="none" w:color="auto" w:sz="0" w:space="0"/>
                <w:left w:val="none" w:color="auto" w:sz="0" w:space="0"/>
                <w:bottom w:val="none" w:color="auto" w:sz="0" w:space="0"/>
                <w:right w:val="none" w:color="auto" w:sz="0" w:space="0"/>
              </w:pBdr>
              <w:spacing w:before="120" w:after="12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428" w:type="dxa"/>
            <w:tcBorders>
              <w:left w:val="single" w:color="000000" w:sz="4" w:space="0"/>
              <w:bottom w:val="single" w:color="000000" w:sz="4" w:space="0"/>
              <w:right w:val="single" w:color="auto" w:sz="4" w:space="0"/>
            </w:tcBorders>
            <w:noWrap w:val="0"/>
            <w:tcMar>
              <w:top w:w="80" w:type="dxa"/>
              <w:left w:w="80" w:type="dxa"/>
              <w:bottom w:w="80" w:type="dxa"/>
              <w:right w:w="80" w:type="dxa"/>
            </w:tcMar>
            <w:vAlign w:val="top"/>
          </w:tcPr>
          <w:p>
            <w:pPr>
              <w:spacing w:line="360" w:lineRule="auto"/>
              <w:jc w:val="center"/>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 xml:space="preserve"> </w:t>
            </w:r>
          </w:p>
        </w:tc>
        <w:tc>
          <w:tcPr>
            <w:tcW w:w="1325" w:type="dxa"/>
            <w:tcBorders>
              <w:left w:val="single" w:color="auto" w:sz="4" w:space="0"/>
              <w:bottom w:val="single" w:color="000000" w:sz="4" w:space="0"/>
              <w:right w:val="single" w:color="000000" w:sz="4" w:space="0"/>
            </w:tcBorders>
            <w:noWrap w:val="0"/>
            <w:tcMar>
              <w:top w:w="80" w:type="dxa"/>
              <w:left w:w="80" w:type="dxa"/>
              <w:bottom w:w="80" w:type="dxa"/>
              <w:right w:w="80" w:type="dxa"/>
            </w:tcMar>
            <w:vAlign w:val="top"/>
          </w:tcPr>
          <w:p>
            <w:pPr>
              <w:pStyle w:val="489"/>
              <w:pBdr>
                <w:top w:val="none" w:color="auto" w:sz="0" w:space="0"/>
                <w:left w:val="none" w:color="auto" w:sz="0" w:space="0"/>
                <w:bottom w:val="none" w:color="auto" w:sz="0" w:space="0"/>
                <w:right w:val="none" w:color="auto" w:sz="0" w:space="0"/>
              </w:pBd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Cs/>
                <w:color w:val="auto"/>
                <w:kern w:val="0"/>
                <w:sz w:val="24"/>
                <w:szCs w:val="24"/>
                <w:highlight w:val="none"/>
              </w:rPr>
              <w:t>1项</w:t>
            </w:r>
          </w:p>
        </w:tc>
        <w:tc>
          <w:tcPr>
            <w:tcW w:w="2468" w:type="dxa"/>
            <w:tcBorders>
              <w:left w:val="single" w:color="000000" w:sz="4" w:space="0"/>
              <w:bottom w:val="single" w:color="auto" w:sz="4" w:space="0"/>
              <w:right w:val="single" w:color="000000" w:sz="4" w:space="0"/>
            </w:tcBorders>
            <w:noWrap w:val="0"/>
            <w:tcMar>
              <w:top w:w="80" w:type="dxa"/>
              <w:left w:w="80" w:type="dxa"/>
              <w:bottom w:w="80" w:type="dxa"/>
              <w:right w:w="80" w:type="dxa"/>
            </w:tcMar>
            <w:vAlign w:val="center"/>
          </w:tcPr>
          <w:p>
            <w:pPr>
              <w:pStyle w:val="489"/>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highlight w:val="none"/>
              </w:rPr>
            </w:pPr>
          </w:p>
        </w:tc>
        <w:tc>
          <w:tcPr>
            <w:tcW w:w="851" w:type="dxa"/>
            <w:tcBorders>
              <w:left w:val="single" w:color="000000" w:sz="4" w:space="0"/>
              <w:bottom w:val="single" w:color="auto" w:sz="4" w:space="0"/>
              <w:right w:val="single" w:color="000000" w:sz="4" w:space="0"/>
            </w:tcBorders>
            <w:noWrap w:val="0"/>
            <w:vAlign w:val="top"/>
          </w:tcPr>
          <w:p>
            <w:pPr>
              <w:pStyle w:val="489"/>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279" w:type="dxa"/>
            <w:gridSpan w:val="2"/>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pPr>
              <w:pStyle w:val="489"/>
              <w:pBdr>
                <w:top w:val="none" w:color="auto" w:sz="0" w:space="0"/>
                <w:left w:val="none" w:color="auto" w:sz="0" w:space="0"/>
                <w:bottom w:val="none" w:color="auto" w:sz="0" w:space="0"/>
                <w:right w:val="none" w:color="auto" w:sz="0" w:space="0"/>
              </w:pBdr>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highlight w:val="none"/>
                <w:lang w:val="zh-TW" w:eastAsia="zh-TW"/>
              </w:rPr>
              <w:t>合     计</w:t>
            </w:r>
          </w:p>
        </w:tc>
        <w:tc>
          <w:tcPr>
            <w:tcW w:w="4644" w:type="dxa"/>
            <w:gridSpan w:val="3"/>
            <w:tcBorders>
              <w:top w:val="single" w:color="000000" w:sz="4" w:space="0"/>
              <w:left w:val="single" w:color="000000" w:sz="4" w:space="0"/>
              <w:bottom w:val="single" w:color="000000" w:sz="4" w:space="0"/>
              <w:right w:val="single" w:color="000000" w:sz="4" w:space="0"/>
            </w:tcBorders>
            <w:noWrap w:val="0"/>
            <w:vAlign w:val="top"/>
          </w:tcPr>
          <w:p>
            <w:pPr>
              <w:spacing w:line="360" w:lineRule="auto"/>
              <w:rPr>
                <w:rFonts w:hint="eastAsia" w:ascii="宋体" w:hAnsi="宋体" w:cs="宋体"/>
                <w:color w:val="auto"/>
                <w:highlight w:val="none"/>
              </w:rPr>
            </w:pPr>
          </w:p>
        </w:tc>
      </w:tr>
    </w:tbl>
    <w:p>
      <w:pPr>
        <w:spacing w:line="360" w:lineRule="auto"/>
        <w:ind w:firstLine="465"/>
        <w:rPr>
          <w:rFonts w:hint="eastAsia" w:cs="宋体"/>
          <w:color w:val="auto"/>
          <w:sz w:val="24"/>
          <w:szCs w:val="24"/>
          <w:highlight w:val="none"/>
        </w:rPr>
      </w:pPr>
      <w:r>
        <w:rPr>
          <w:rFonts w:hint="eastAsia" w:cs="宋体"/>
          <w:color w:val="auto"/>
          <w:sz w:val="24"/>
          <w:szCs w:val="24"/>
          <w:highlight w:val="none"/>
        </w:rPr>
        <w:t>本项目总价为（大写）：人民币___________________元（￥___________）。</w:t>
      </w:r>
    </w:p>
    <w:p>
      <w:pPr>
        <w:spacing w:line="360" w:lineRule="auto"/>
        <w:ind w:firstLine="465"/>
        <w:rPr>
          <w:rFonts w:hint="eastAsia" w:cs="宋体"/>
          <w:color w:val="auto"/>
          <w:sz w:val="24"/>
          <w:szCs w:val="24"/>
          <w:highlight w:val="none"/>
        </w:rPr>
      </w:pPr>
      <w:r>
        <w:rPr>
          <w:rFonts w:hint="eastAsia" w:cs="宋体"/>
          <w:color w:val="auto"/>
          <w:sz w:val="24"/>
          <w:szCs w:val="24"/>
          <w:highlight w:val="none"/>
        </w:rPr>
        <w:t>履约保证金：合同价款的</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%，即</w:t>
      </w:r>
      <w:r>
        <w:rPr>
          <w:rFonts w:hint="eastAsia" w:ascii="宋体" w:hAnsi="宋体" w:cs="宋体"/>
          <w:color w:val="auto"/>
          <w:sz w:val="24"/>
          <w:szCs w:val="24"/>
          <w:highlight w:val="none"/>
          <w:u w:val="single"/>
        </w:rPr>
        <w:t>人民币     元整(￥     .00元)</w:t>
      </w:r>
      <w:r>
        <w:rPr>
          <w:rFonts w:hint="eastAsia" w:ascii="宋体" w:hAnsi="宋体" w:cs="宋体"/>
          <w:color w:val="auto"/>
          <w:sz w:val="24"/>
          <w:szCs w:val="24"/>
          <w:highlight w:val="none"/>
        </w:rPr>
        <w:t>。</w:t>
      </w:r>
    </w:p>
    <w:p>
      <w:pPr>
        <w:spacing w:line="360" w:lineRule="auto"/>
        <w:ind w:firstLine="465"/>
        <w:rPr>
          <w:rFonts w:ascii="宋体" w:hAnsi="宋体" w:cs="宋体"/>
          <w:color w:val="auto"/>
          <w:sz w:val="24"/>
          <w:highlight w:val="none"/>
        </w:rPr>
      </w:pPr>
      <w:r>
        <w:rPr>
          <w:rFonts w:hint="eastAsia" w:ascii="宋体" w:hAnsi="宋体" w:cs="宋体"/>
          <w:color w:val="auto"/>
          <w:sz w:val="24"/>
          <w:highlight w:val="none"/>
        </w:rPr>
        <w:t>乙方在收到中标通知书一周内提交，</w:t>
      </w:r>
      <w:r>
        <w:rPr>
          <w:rFonts w:hint="eastAsia" w:ascii="宋体" w:hAnsi="宋体" w:cs="宋体"/>
          <w:color w:val="auto"/>
          <w:sz w:val="24"/>
          <w:highlight w:val="none"/>
          <w:u w:val="none" w:color="000000"/>
          <w:lang w:val="zh-TW" w:eastAsia="zh-TW"/>
        </w:rPr>
        <w:t>履约保证金在乙方服务</w:t>
      </w:r>
      <w:r>
        <w:rPr>
          <w:rFonts w:hint="eastAsia" w:ascii="宋体" w:hAnsi="宋体" w:cs="宋体"/>
          <w:color w:val="auto"/>
          <w:sz w:val="24"/>
          <w:highlight w:val="none"/>
          <w:u w:val="none" w:color="000000"/>
          <w:lang w:val="en-US" w:eastAsia="zh-CN"/>
        </w:rPr>
        <w:t>期限</w:t>
      </w:r>
      <w:r>
        <w:rPr>
          <w:rFonts w:hint="eastAsia" w:ascii="宋体" w:hAnsi="宋体" w:cs="宋体"/>
          <w:color w:val="auto"/>
          <w:sz w:val="24"/>
          <w:highlight w:val="none"/>
          <w:u w:val="none" w:color="000000"/>
          <w:lang w:val="zh-TW" w:eastAsia="zh-TW"/>
        </w:rPr>
        <w:t>完毕并经验收合格后15个工作日内甲方一次性无息退还</w:t>
      </w:r>
      <w:r>
        <w:rPr>
          <w:rFonts w:hint="eastAsia" w:ascii="宋体" w:hAnsi="宋体" w:cs="宋体"/>
          <w:color w:val="auto"/>
          <w:sz w:val="24"/>
          <w:highlight w:val="none"/>
        </w:rPr>
        <w:t>；</w:t>
      </w:r>
    </w:p>
    <w:p>
      <w:pPr>
        <w:spacing w:line="360" w:lineRule="auto"/>
        <w:ind w:firstLine="480" w:firstLineChars="200"/>
        <w:outlineLvl w:val="1"/>
        <w:rPr>
          <w:rFonts w:hint="eastAsia" w:ascii="宋体" w:hAnsi="宋体" w:cs="宋体"/>
          <w:color w:val="auto"/>
          <w:sz w:val="24"/>
          <w:highlight w:val="none"/>
          <w:lang w:val="zh-TW"/>
        </w:rPr>
      </w:pPr>
      <w:r>
        <w:rPr>
          <w:rFonts w:hint="eastAsia" w:ascii="宋体" w:hAnsi="宋体" w:cs="宋体"/>
          <w:color w:val="auto"/>
          <w:sz w:val="24"/>
          <w:highlight w:val="none"/>
        </w:rPr>
        <w:t>履约保证金</w:t>
      </w:r>
      <w:r>
        <w:rPr>
          <w:rFonts w:hint="eastAsia" w:ascii="宋体" w:hAnsi="宋体" w:cs="宋体"/>
          <w:color w:val="auto"/>
          <w:sz w:val="24"/>
          <w:highlight w:val="none"/>
          <w:lang w:val="zh-TW" w:eastAsia="zh-TW"/>
        </w:rPr>
        <w:t>提交方式：</w:t>
      </w:r>
      <w:r>
        <w:rPr>
          <w:rFonts w:hint="eastAsia" w:ascii="宋体" w:hAnsi="宋体" w:cs="宋体"/>
          <w:color w:val="auto"/>
          <w:sz w:val="24"/>
          <w:szCs w:val="24"/>
          <w:highlight w:val="none"/>
          <w:lang w:val="zh-TW"/>
        </w:rPr>
        <w:t>现金或履约保函</w:t>
      </w:r>
      <w:r>
        <w:rPr>
          <w:rFonts w:hint="eastAsia" w:ascii="宋体" w:hAnsi="宋体" w:cs="宋体"/>
          <w:color w:val="auto"/>
          <w:sz w:val="24"/>
          <w:highlight w:val="none"/>
          <w:lang w:val="zh-TW"/>
        </w:rPr>
        <w:t>。</w:t>
      </w:r>
    </w:p>
    <w:p>
      <w:pPr>
        <w:spacing w:line="360" w:lineRule="auto"/>
        <w:outlineLvl w:val="0"/>
        <w:rPr>
          <w:rFonts w:ascii="宋体" w:hAnsi="宋体" w:cs="宋体"/>
          <w:b/>
          <w:color w:val="auto"/>
          <w:sz w:val="24"/>
          <w:highlight w:val="none"/>
        </w:rPr>
      </w:pPr>
      <w:r>
        <w:rPr>
          <w:rFonts w:hint="eastAsia" w:ascii="宋体" w:hAnsi="宋体" w:cs="宋体"/>
          <w:b/>
          <w:color w:val="auto"/>
          <w:sz w:val="24"/>
          <w:highlight w:val="none"/>
          <w:lang w:val="en-US" w:eastAsia="zh-CN"/>
        </w:rPr>
        <w:t>第二条、相关执行标准</w:t>
      </w:r>
      <w:r>
        <w:rPr>
          <w:rFonts w:hint="eastAsia" w:ascii="宋体" w:hAnsi="宋体" w:cs="宋体"/>
          <w:b/>
          <w:color w:val="auto"/>
          <w:sz w:val="24"/>
          <w:highlight w:val="none"/>
        </w:rPr>
        <w:t>：</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 xml:space="preserve"> （1）《浙江省测绘地理信息条例》（浙江省第十三届人民代表大会常务委员会公告第10号）；</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（2）《住房和城乡建设部关于加强城市地下市政基础设施建设的指导意见》（建城〔2020〕111 号）；</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（3）《城市市政基础设施普查和综合管理信息平台建设工作指导手册》；</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（4）《浙江省住房和城乡建设厅关于印发浙江省加强城市地下市政基础设施建设实施方案的通知》（浙建城〔2021〕21号)；</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（5）《城市地下空间测绘规范》GB/T 35636-2017；</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（6）《卫星导航定位基准站网络实时动态测量（RTK）规范》GB/T 39616-2020；</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（7）《国家基本比例尺地图图式 第 1 部分：1∶500  1∶1 000  1∶2 000 地形图图式》 GB/T 20257.1-2017；</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（8）《工程测量标准》GB 50026-2020；</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（9）《数字测绘成果质量检查与验收》GB/T 18316-2008；</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（10）《测绘成果质量检查与验收》GB/T 24356-2009；</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（11）《人民防空地下室设计规范》GB 50038-2005；</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（12）《人民防空工程设计规范》GB 50225-2005；</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（13）《城市综合管廊工程技术规范》GB 50838-2015；</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（14）《城市停车规划规范》GB/T 51149-2016；</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（15）《城市测量规范》CJJ/T 8-2011；</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（16）《城市地下管线探测技术规程》CJJ 61-2017；</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（17）《卫星定位城市测量技术标准》CJJ/T 73-2019；</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（18）《城市地下道路工程设计规范》CJJ/T 221-2015；</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（19）《管线要素分类代码与符号表达》CH/T 1036-2015；</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（20）《管线测绘技术规程》CH/T 6002-2015；</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（21）《管线测绘工程监理规程》CH/T 6009-2019；</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（22）《实景三维地理信息数据激光雷达测量技术规程》CH/T 3020-2018；</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（23）《基础地理信息要素分类与图形表达代码》DB33/T 817-2010；</w:t>
      </w:r>
    </w:p>
    <w:p>
      <w:pPr>
        <w:spacing w:line="360" w:lineRule="auto"/>
        <w:ind w:firstLine="240" w:firstLineChars="1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（24）《建筑工程建筑面积计算和竣工综合测量技术规程》DB33/T 1152-2018。</w:t>
      </w:r>
    </w:p>
    <w:p>
      <w:pPr>
        <w:spacing w:line="360" w:lineRule="auto"/>
        <w:ind w:firstLine="240" w:firstLineChars="100"/>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 xml:space="preserve"> </w:t>
      </w:r>
      <w:r>
        <w:rPr>
          <w:rFonts w:hint="eastAsia" w:ascii="宋体" w:hAnsi="宋体" w:cs="宋体"/>
          <w:b/>
          <w:color w:val="auto"/>
          <w:kern w:val="1"/>
          <w:sz w:val="24"/>
          <w:highlight w:val="none"/>
        </w:rPr>
        <w:t>若</w:t>
      </w:r>
      <w:r>
        <w:rPr>
          <w:rFonts w:hint="eastAsia" w:ascii="宋体" w:hAnsi="宋体" w:cs="宋体"/>
          <w:b/>
          <w:color w:val="auto"/>
          <w:kern w:val="1"/>
          <w:sz w:val="24"/>
          <w:highlight w:val="none"/>
          <w:lang w:eastAsia="zh-CN"/>
        </w:rPr>
        <w:t>后续省厅或国家</w:t>
      </w:r>
      <w:r>
        <w:rPr>
          <w:rFonts w:hint="eastAsia" w:ascii="宋体" w:hAnsi="宋体" w:cs="宋体"/>
          <w:b/>
          <w:color w:val="auto"/>
          <w:kern w:val="1"/>
          <w:sz w:val="24"/>
          <w:highlight w:val="none"/>
        </w:rPr>
        <w:t>出台</w:t>
      </w:r>
      <w:r>
        <w:rPr>
          <w:rFonts w:hint="eastAsia" w:ascii="宋体" w:hAnsi="宋体" w:cs="宋体"/>
          <w:b/>
          <w:color w:val="auto"/>
          <w:kern w:val="1"/>
          <w:sz w:val="24"/>
          <w:highlight w:val="none"/>
          <w:lang w:val="en-US" w:eastAsia="zh-CN"/>
        </w:rPr>
        <w:t>相关</w:t>
      </w:r>
      <w:r>
        <w:rPr>
          <w:rFonts w:hint="eastAsia" w:ascii="宋体" w:hAnsi="宋体" w:cs="宋体"/>
          <w:b/>
          <w:color w:val="auto"/>
          <w:kern w:val="1"/>
          <w:sz w:val="24"/>
          <w:highlight w:val="none"/>
        </w:rPr>
        <w:t>新标准，新要求的，</w:t>
      </w:r>
      <w:r>
        <w:rPr>
          <w:rFonts w:hint="eastAsia" w:ascii="宋体" w:hAnsi="宋体" w:cs="宋体"/>
          <w:b/>
          <w:color w:val="auto"/>
          <w:kern w:val="1"/>
          <w:sz w:val="24"/>
          <w:highlight w:val="none"/>
          <w:lang w:eastAsia="zh-CN"/>
        </w:rPr>
        <w:t>则</w:t>
      </w:r>
      <w:r>
        <w:rPr>
          <w:rFonts w:hint="eastAsia" w:ascii="宋体" w:hAnsi="宋体" w:cs="宋体"/>
          <w:b/>
          <w:color w:val="auto"/>
          <w:kern w:val="1"/>
          <w:sz w:val="24"/>
          <w:highlight w:val="none"/>
        </w:rPr>
        <w:t>从其规程标准和要求</w:t>
      </w:r>
      <w:r>
        <w:rPr>
          <w:rFonts w:hint="eastAsia" w:ascii="宋体" w:hAnsi="宋体" w:cs="宋体"/>
          <w:b/>
          <w:color w:val="auto"/>
          <w:kern w:val="1"/>
          <w:sz w:val="24"/>
          <w:highlight w:val="none"/>
          <w:lang w:eastAsia="zh-CN"/>
        </w:rPr>
        <w:t>。</w:t>
      </w:r>
    </w:p>
    <w:p>
      <w:pPr>
        <w:spacing w:line="360" w:lineRule="auto"/>
        <w:outlineLvl w:val="0"/>
        <w:rPr>
          <w:rFonts w:hint="eastAsia" w:ascii="宋体" w:hAnsi="宋体" w:cs="宋体"/>
          <w:b/>
          <w:color w:val="auto"/>
          <w:kern w:val="1"/>
          <w:sz w:val="24"/>
          <w:highlight w:val="none"/>
        </w:rPr>
      </w:pPr>
      <w:r>
        <w:rPr>
          <w:rFonts w:hint="eastAsia" w:ascii="宋体" w:hAnsi="宋体" w:cs="宋体"/>
          <w:b/>
          <w:color w:val="auto"/>
          <w:kern w:val="1"/>
          <w:sz w:val="24"/>
          <w:highlight w:val="none"/>
          <w:lang w:val="en-US" w:eastAsia="zh-CN"/>
        </w:rPr>
        <w:t>第三条</w:t>
      </w:r>
      <w:r>
        <w:rPr>
          <w:rFonts w:hint="eastAsia" w:ascii="宋体" w:hAnsi="宋体" w:cs="宋体"/>
          <w:b/>
          <w:color w:val="auto"/>
          <w:kern w:val="1"/>
          <w:sz w:val="24"/>
          <w:highlight w:val="none"/>
        </w:rPr>
        <w:t>、主要</w:t>
      </w:r>
      <w:r>
        <w:rPr>
          <w:rFonts w:hint="eastAsia" w:ascii="宋体" w:hAnsi="宋体" w:cs="宋体"/>
          <w:b/>
          <w:color w:val="auto"/>
          <w:kern w:val="1"/>
          <w:sz w:val="24"/>
          <w:highlight w:val="none"/>
          <w:lang w:val="en-US" w:eastAsia="zh-CN"/>
        </w:rPr>
        <w:t>工作内容</w:t>
      </w:r>
      <w:r>
        <w:rPr>
          <w:rFonts w:hint="eastAsia" w:ascii="宋体" w:hAnsi="宋体" w:cs="宋体"/>
          <w:b/>
          <w:color w:val="auto"/>
          <w:kern w:val="1"/>
          <w:sz w:val="24"/>
          <w:highlight w:val="none"/>
        </w:rPr>
        <w:t>：</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 xml:space="preserve">  对温州经济技术开发区地下市政基础设施普查（地下管线及其附属设施部分）进行全过程监理，按照“四控制、三管理、一协调”的原则，保证项目在规定的时间内完成，并实现项目建设的目标。具体内容包括：</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1.方案把关</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（1）审核和确认普查单位的项目设计书；</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（2）审核和确认项目建设过程中的各种关键技术方案；</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（3）审核和确认普查单位的项目质量保证计划、质量控制体系（含质量控制的关键性节点）；</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（4）审核和确认承建单位的项目进度计划、进度控制节点。</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2.质量控制</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（1）对普查工作实施全过程的质量控制，并为普查成果验收提供依据。</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（2）由乙方负责制定《经开区地下管线普查任务项目监理方案》，并报甲方备案。</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（3）经监理检查，对达不到技术要求的普查项目，乙方应责成普查单位立即整改或返工，两次检查达不到技术要求，应上报甲方。</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（4）普查过程中发现存在隐患及时监督上报。</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（5）对普查成果做综合质量检验。</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（6）制定系统验收大纲，并协助甲方组织验收。</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（7）负责普查单位的协调管理。</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3.进度控制</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（1）审核普查进度分解计划，确认分解计划可以保证总体计划目标的实现。</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（2）对项目实施进度进行实时跟踪，并要求普查单位对进度计划进行动态调整，以确保项目阶段目标和总体进度目标的实现。</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（3）当项目目标出现偏离时，应及时指出，并提出对策和建议，同时督促项目普查单位尽快采取措施。</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u w:val="none" w:color="auto"/>
          <w:lang w:val="en-US" w:eastAsia="zh-CN"/>
        </w:rPr>
        <w:t>4.</w:t>
      </w:r>
      <w:r>
        <w:rPr>
          <w:rFonts w:hint="eastAsia" w:ascii="宋体" w:hAnsi="宋体" w:cs="宋体"/>
          <w:bCs/>
          <w:color w:val="auto"/>
          <w:sz w:val="24"/>
          <w:szCs w:val="24"/>
          <w:highlight w:val="none"/>
          <w:lang w:val="en-US" w:eastAsia="zh-CN"/>
        </w:rPr>
        <w:t>费用控制</w:t>
      </w:r>
    </w:p>
    <w:p>
      <w:pPr>
        <w:spacing w:line="360" w:lineRule="auto"/>
        <w:outlineLvl w:val="1"/>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项目实施过程中，监理单位可对设计方案提出更合理的意见。</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5.变更控制</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（1）与甲方确定项目变更流程和程序，对变更进行严格的控制。</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（2）协助甲方核准普查单位在项目建设过程中工作量核减和新增情况。</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（3）协助甲方与承建单位关于项目变更、索赔、有关争议而进行的谈判。</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6.合同管理</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（1）跟踪检查合同的执行情况，确保普查单位按时履约。</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（2）对合同工期的延误和延期进行审核确认</w:t>
      </w:r>
      <w:r>
        <w:rPr>
          <w:rFonts w:hint="eastAsia" w:ascii="宋体" w:hAnsi="宋体" w:cs="宋体"/>
          <w:bCs/>
          <w:color w:val="auto"/>
          <w:sz w:val="24"/>
          <w:szCs w:val="24"/>
          <w:highlight w:val="none"/>
          <w:lang w:val="en-US" w:eastAsia="zh-CN"/>
        </w:rPr>
        <w:t>并及时将相关情况上报采购人</w:t>
      </w:r>
      <w:r>
        <w:rPr>
          <w:rFonts w:hint="eastAsia" w:ascii="宋体" w:hAnsi="宋体" w:cs="宋体"/>
          <w:bCs/>
          <w:color w:val="auto"/>
          <w:sz w:val="24"/>
          <w:szCs w:val="24"/>
          <w:highlight w:val="none"/>
          <w:u w:val="none" w:color="auto"/>
          <w:lang w:val="en-US" w:eastAsia="zh-CN"/>
        </w:rPr>
        <w:t>。</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（3）对合同变更、索赔等事宜进行审核确认</w:t>
      </w:r>
      <w:r>
        <w:rPr>
          <w:rFonts w:hint="eastAsia" w:ascii="宋体" w:hAnsi="宋体" w:cs="宋体"/>
          <w:bCs/>
          <w:color w:val="auto"/>
          <w:sz w:val="24"/>
          <w:szCs w:val="24"/>
          <w:highlight w:val="none"/>
          <w:lang w:val="en-US" w:eastAsia="zh-CN"/>
        </w:rPr>
        <w:t>并及时将相关情况上报采购人</w:t>
      </w:r>
      <w:r>
        <w:rPr>
          <w:rFonts w:hint="eastAsia" w:ascii="宋体" w:hAnsi="宋体" w:cs="宋体"/>
          <w:bCs/>
          <w:color w:val="auto"/>
          <w:sz w:val="24"/>
          <w:szCs w:val="24"/>
          <w:highlight w:val="none"/>
          <w:u w:val="none" w:color="auto"/>
          <w:lang w:val="en-US" w:eastAsia="zh-CN"/>
        </w:rPr>
        <w:t>。</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7.文档管理</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（1）在项目实施过程中作好监理日记及大事记。</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（2）作好双方合同、技术设计方案、验收报告等各类往来文件的存档。</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（3）作好项目协调会、技术专题会的会议纪要工作，并监督会议有关事项的执行。</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（4）通过计算机管理手段对项目的技术类文档进行分类管理。</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8.安全管理</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（1）监督和落实普查单位制定安全生产管理制度，负责项目普查过程中安全控制，确保不出现安全事故。</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（2）负责项目建设过程中所涉及的政府涉密数据和资料的保护，保证不被非授权使用。</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（3）监督和落实项目普查单位保密协议签订，项目相关工作人员的保密承诺书签订等。</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9.经甲方委托，负责协调普查项目所涉及的普查单位与使用方之间的工作关系，并协调解决项目建设过程中的各类纠纷。</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乙方应该通过必要的会议制度来实施协调工作，主要包括：</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（1）现场会；</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（2）监理交底会；</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（3）周例会；</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（4）监理协调会；</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（5）专题讨论会；</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（6）专家论证会；</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（7）阶段工作总结会；</w:t>
      </w:r>
    </w:p>
    <w:p>
      <w:pPr>
        <w:spacing w:line="360" w:lineRule="auto"/>
        <w:outlineLvl w:val="1"/>
        <w:rPr>
          <w:rFonts w:hint="eastAsia" w:ascii="宋体" w:hAnsi="宋体" w:cs="宋体"/>
          <w:bCs/>
          <w:color w:val="auto"/>
          <w:sz w:val="24"/>
          <w:szCs w:val="24"/>
          <w:highlight w:val="none"/>
          <w:u w:val="none" w:color="auto"/>
          <w:lang w:val="en-US" w:eastAsia="zh-CN"/>
        </w:rPr>
      </w:pPr>
      <w:r>
        <w:rPr>
          <w:rFonts w:hint="eastAsia" w:ascii="宋体" w:hAnsi="宋体" w:cs="宋体"/>
          <w:bCs/>
          <w:color w:val="auto"/>
          <w:sz w:val="24"/>
          <w:szCs w:val="24"/>
          <w:highlight w:val="none"/>
          <w:u w:val="none" w:color="auto"/>
          <w:lang w:val="en-US" w:eastAsia="zh-CN"/>
        </w:rPr>
        <w:t>（8）问题通报会；</w:t>
      </w:r>
    </w:p>
    <w:p>
      <w:pPr>
        <w:spacing w:line="360" w:lineRule="auto"/>
        <w:outlineLvl w:val="1"/>
        <w:rPr>
          <w:rFonts w:hint="eastAsia" w:ascii="宋体" w:hAnsi="宋体" w:eastAsia="宋体" w:cs="宋体"/>
          <w:bCs/>
          <w:color w:val="auto"/>
          <w:sz w:val="24"/>
          <w:szCs w:val="24"/>
          <w:highlight w:val="none"/>
          <w:u w:val="none" w:color="auto"/>
          <w:lang w:val="en-US" w:eastAsia="zh-CN"/>
        </w:rPr>
      </w:pPr>
      <w:r>
        <w:rPr>
          <w:rFonts w:hint="eastAsia" w:ascii="宋体" w:hAnsi="宋体" w:eastAsia="宋体" w:cs="宋体"/>
          <w:bCs/>
          <w:color w:val="auto"/>
          <w:sz w:val="24"/>
          <w:szCs w:val="24"/>
          <w:highlight w:val="none"/>
          <w:u w:val="none" w:color="auto"/>
          <w:lang w:val="en-US" w:eastAsia="zh-CN"/>
        </w:rPr>
        <w:t>（9）阶段及最终验收会。</w:t>
      </w:r>
    </w:p>
    <w:p>
      <w:pPr>
        <w:spacing w:line="360" w:lineRule="auto"/>
        <w:outlineLvl w:val="1"/>
        <w:rPr>
          <w:rFonts w:hint="default" w:ascii="宋体" w:hAnsi="宋体" w:eastAsia="宋体" w:cs="宋体"/>
          <w:b w:val="0"/>
          <w:bCs/>
          <w:color w:val="auto"/>
          <w:kern w:val="2"/>
          <w:sz w:val="24"/>
          <w:szCs w:val="24"/>
          <w:highlight w:val="none"/>
          <w:u w:val="none" w:color="auto"/>
          <w:lang w:val="en-US" w:eastAsia="zh-CN" w:bidi="ar-SA"/>
        </w:rPr>
      </w:pPr>
      <w:r>
        <w:rPr>
          <w:rFonts w:hint="eastAsia" w:ascii="宋体" w:hAnsi="宋体" w:eastAsia="宋体" w:cs="宋体"/>
          <w:bCs/>
          <w:color w:val="auto"/>
          <w:sz w:val="24"/>
          <w:szCs w:val="24"/>
          <w:highlight w:val="none"/>
          <w:u w:val="none" w:color="auto"/>
          <w:lang w:val="en-US" w:eastAsia="zh-CN"/>
        </w:rPr>
        <w:t>10. 对中标单位人员实际投入到</w:t>
      </w:r>
      <w:r>
        <w:rPr>
          <w:rFonts w:hint="eastAsia" w:ascii="宋体" w:hAnsi="宋体" w:eastAsia="宋体" w:cs="宋体"/>
          <w:b w:val="0"/>
          <w:bCs/>
          <w:color w:val="auto"/>
          <w:kern w:val="2"/>
          <w:sz w:val="24"/>
          <w:szCs w:val="24"/>
          <w:highlight w:val="none"/>
          <w:u w:val="none" w:color="auto"/>
          <w:lang w:val="en-US" w:eastAsia="zh-CN" w:bidi="ar-SA"/>
        </w:rPr>
        <w:t>位情况进行督查。</w:t>
      </w:r>
    </w:p>
    <w:p>
      <w:pPr>
        <w:numPr>
          <w:ilvl w:val="0"/>
          <w:numId w:val="0"/>
        </w:numPr>
        <w:spacing w:line="360" w:lineRule="auto"/>
        <w:outlineLvl w:val="0"/>
        <w:rPr>
          <w:rFonts w:hint="eastAsia" w:ascii="宋体" w:hAnsi="宋体" w:cs="宋体"/>
          <w:b/>
          <w:color w:val="auto"/>
          <w:kern w:val="1"/>
          <w:sz w:val="24"/>
          <w:szCs w:val="24"/>
          <w:highlight w:val="none"/>
        </w:rPr>
      </w:pPr>
      <w:r>
        <w:rPr>
          <w:rFonts w:hint="eastAsia" w:ascii="宋体" w:hAnsi="宋体" w:cs="宋体"/>
          <w:b/>
          <w:bCs/>
          <w:color w:val="auto"/>
          <w:kern w:val="1"/>
          <w:sz w:val="24"/>
          <w:szCs w:val="24"/>
          <w:highlight w:val="none"/>
          <w:lang w:val="en-US" w:eastAsia="zh-CN"/>
        </w:rPr>
        <w:t>第四条、</w:t>
      </w:r>
      <w:r>
        <w:rPr>
          <w:rFonts w:hint="eastAsia" w:ascii="宋体" w:hAnsi="宋体" w:cs="宋体"/>
          <w:b/>
          <w:bCs/>
          <w:color w:val="auto"/>
          <w:kern w:val="1"/>
          <w:sz w:val="24"/>
          <w:szCs w:val="24"/>
          <w:highlight w:val="none"/>
        </w:rPr>
        <w:t>商</w:t>
      </w:r>
      <w:r>
        <w:rPr>
          <w:rFonts w:hint="eastAsia" w:ascii="宋体" w:hAnsi="宋体" w:cs="宋体"/>
          <w:b/>
          <w:color w:val="auto"/>
          <w:kern w:val="1"/>
          <w:sz w:val="24"/>
          <w:szCs w:val="24"/>
          <w:highlight w:val="none"/>
        </w:rPr>
        <w:t>务要求</w:t>
      </w:r>
    </w:p>
    <w:p>
      <w:pPr>
        <w:spacing w:line="360" w:lineRule="auto"/>
        <w:rPr>
          <w:rFonts w:hint="eastAsia" w:ascii="宋体" w:hAnsi="宋体" w:cs="宋体"/>
          <w:b/>
          <w:bCs/>
          <w:color w:val="auto"/>
          <w:sz w:val="24"/>
          <w:szCs w:val="24"/>
          <w:highlight w:val="none"/>
          <w:u w:val="none" w:color="auto"/>
        </w:rPr>
      </w:pPr>
      <w:r>
        <w:rPr>
          <w:rFonts w:hint="eastAsia" w:ascii="宋体" w:hAnsi="宋体" w:cs="宋体"/>
          <w:b/>
          <w:bCs/>
          <w:color w:val="auto"/>
          <w:sz w:val="24"/>
          <w:szCs w:val="24"/>
          <w:highlight w:val="none"/>
          <w:u w:val="none" w:color="auto"/>
          <w:lang w:val="en-US" w:eastAsia="zh-CN"/>
        </w:rPr>
        <w:t xml:space="preserve">  </w:t>
      </w:r>
      <w:r>
        <w:rPr>
          <w:rFonts w:hint="eastAsia" w:ascii="宋体" w:hAnsi="宋体" w:cs="宋体"/>
          <w:b/>
          <w:bCs/>
          <w:color w:val="auto"/>
          <w:sz w:val="24"/>
          <w:szCs w:val="24"/>
          <w:highlight w:val="none"/>
          <w:u w:val="none" w:color="auto"/>
        </w:rPr>
        <w:t>1、项目服务期限：</w:t>
      </w:r>
    </w:p>
    <w:p>
      <w:pPr>
        <w:spacing w:line="360" w:lineRule="exact"/>
        <w:rPr>
          <w:rFonts w:hint="eastAsia" w:ascii="宋体" w:hAnsi="宋体"/>
          <w:color w:val="auto"/>
          <w:sz w:val="24"/>
          <w:szCs w:val="24"/>
          <w:highlight w:val="none"/>
          <w:u w:val="none" w:color="auto"/>
        </w:rPr>
      </w:pPr>
      <w:r>
        <w:rPr>
          <w:rFonts w:hint="eastAsia" w:ascii="宋体" w:hAnsi="宋体"/>
          <w:color w:val="auto"/>
          <w:sz w:val="24"/>
          <w:szCs w:val="24"/>
          <w:highlight w:val="none"/>
          <w:u w:val="none" w:color="auto"/>
          <w:lang w:val="en-US" w:eastAsia="zh-CN"/>
        </w:rPr>
        <w:t xml:space="preserve">  </w:t>
      </w:r>
      <w:r>
        <w:rPr>
          <w:rFonts w:hint="eastAsia" w:ascii="宋体" w:hAnsi="宋体" w:eastAsia="宋体" w:cs="宋体"/>
          <w:color w:val="auto"/>
          <w:sz w:val="24"/>
          <w:szCs w:val="24"/>
          <w:highlight w:val="none"/>
          <w:u w:val="none" w:color="auto"/>
          <w:lang w:val="en-US" w:eastAsia="zh-CN"/>
        </w:rPr>
        <w:t>自普查服务单位工作开始至普查项目验收通过，普查成果提交</w:t>
      </w:r>
      <w:r>
        <w:rPr>
          <w:rFonts w:hint="eastAsia" w:ascii="宋体" w:hAnsi="宋体" w:cs="宋体"/>
          <w:color w:val="auto"/>
          <w:sz w:val="24"/>
          <w:highlight w:val="none"/>
        </w:rPr>
        <w:t>省自然资源厅</w:t>
      </w:r>
      <w:r>
        <w:rPr>
          <w:rFonts w:hint="eastAsia" w:ascii="宋体" w:hAnsi="宋体" w:cs="宋体"/>
          <w:color w:val="auto"/>
          <w:sz w:val="24"/>
          <w:highlight w:val="none"/>
          <w:lang w:eastAsia="zh-CN"/>
        </w:rPr>
        <w:t>且录入</w:t>
      </w:r>
      <w:r>
        <w:rPr>
          <w:rFonts w:hint="eastAsia" w:ascii="宋体" w:hAnsi="宋体" w:cs="宋体"/>
          <w:color w:val="auto"/>
          <w:sz w:val="24"/>
          <w:szCs w:val="24"/>
          <w:highlight w:val="none"/>
          <w:u w:val="none" w:color="auto"/>
          <w:lang w:val="en-US" w:eastAsia="zh-CN"/>
        </w:rPr>
        <w:t>甲方指定系统可正常使用后</w:t>
      </w:r>
      <w:r>
        <w:rPr>
          <w:rFonts w:hint="eastAsia" w:ascii="宋体" w:hAnsi="宋体" w:eastAsia="宋体" w:cs="宋体"/>
          <w:color w:val="auto"/>
          <w:sz w:val="24"/>
          <w:szCs w:val="24"/>
          <w:highlight w:val="none"/>
          <w:u w:val="none" w:color="auto"/>
          <w:lang w:val="en-US" w:eastAsia="zh-CN"/>
        </w:rPr>
        <w:t>为止。</w:t>
      </w:r>
    </w:p>
    <w:p>
      <w:pPr>
        <w:pStyle w:val="961"/>
        <w:spacing w:line="360" w:lineRule="auto"/>
        <w:ind w:left="0" w:leftChars="0" w:firstLine="0" w:firstLineChars="0"/>
        <w:rPr>
          <w:rFonts w:hint="eastAsia" w:ascii="宋体" w:hAnsi="宋体" w:cs="宋体"/>
          <w:color w:val="auto"/>
          <w:sz w:val="24"/>
          <w:szCs w:val="24"/>
          <w:highlight w:val="none"/>
          <w:u w:val="none" w:color="auto"/>
          <w:lang w:val="en-US"/>
        </w:rPr>
      </w:pPr>
      <w:r>
        <w:rPr>
          <w:rFonts w:hint="eastAsia" w:ascii="宋体" w:hAnsi="宋体" w:cs="宋体"/>
          <w:b/>
          <w:bCs/>
          <w:color w:val="auto"/>
          <w:sz w:val="24"/>
          <w:szCs w:val="24"/>
          <w:highlight w:val="none"/>
          <w:u w:val="none" w:color="auto"/>
          <w:lang w:val="en-US" w:eastAsia="zh-CN"/>
        </w:rPr>
        <w:t xml:space="preserve">  </w:t>
      </w:r>
      <w:r>
        <w:rPr>
          <w:rFonts w:hint="eastAsia" w:ascii="宋体" w:hAnsi="宋体" w:cs="宋体"/>
          <w:b/>
          <w:bCs/>
          <w:color w:val="auto"/>
          <w:sz w:val="24"/>
          <w:szCs w:val="24"/>
          <w:highlight w:val="none"/>
          <w:u w:val="none" w:color="auto"/>
          <w:lang w:val="en-US"/>
        </w:rPr>
        <w:t>2、服务地点：</w:t>
      </w:r>
      <w:r>
        <w:rPr>
          <w:rFonts w:hint="eastAsia" w:ascii="宋体" w:hAnsi="宋体" w:cs="宋体"/>
          <w:color w:val="auto"/>
          <w:sz w:val="24"/>
          <w:szCs w:val="24"/>
          <w:highlight w:val="none"/>
          <w:u w:val="none" w:color="auto"/>
          <w:lang w:val="en-US"/>
        </w:rPr>
        <w:t>工作范围为</w:t>
      </w:r>
      <w:r>
        <w:rPr>
          <w:rFonts w:hint="eastAsia" w:ascii="宋体" w:hAnsi="宋体" w:cs="宋体"/>
          <w:color w:val="auto"/>
          <w:sz w:val="24"/>
          <w:szCs w:val="24"/>
          <w:highlight w:val="none"/>
          <w:u w:val="none" w:color="auto"/>
          <w:lang w:val="en-US" w:eastAsia="zh-CN"/>
        </w:rPr>
        <w:t>经开区及采购单位要求的区域</w:t>
      </w:r>
      <w:r>
        <w:rPr>
          <w:rFonts w:hint="eastAsia" w:ascii="宋体" w:hAnsi="宋体" w:cs="宋体"/>
          <w:color w:val="auto"/>
          <w:sz w:val="24"/>
          <w:szCs w:val="24"/>
          <w:highlight w:val="none"/>
          <w:u w:val="none" w:color="auto"/>
          <w:lang w:val="en-US"/>
        </w:rPr>
        <w:t>。</w:t>
      </w:r>
    </w:p>
    <w:p>
      <w:pPr>
        <w:spacing w:line="360" w:lineRule="auto"/>
        <w:rPr>
          <w:rFonts w:hint="eastAsia" w:ascii="宋体" w:hAnsi="宋体" w:cs="宋体"/>
          <w:b/>
          <w:bCs/>
          <w:color w:val="auto"/>
          <w:sz w:val="24"/>
          <w:szCs w:val="24"/>
          <w:highlight w:val="none"/>
          <w:u w:val="none" w:color="auto"/>
        </w:rPr>
      </w:pPr>
      <w:r>
        <w:rPr>
          <w:rFonts w:hint="eastAsia" w:ascii="宋体" w:hAnsi="宋体" w:cs="宋体"/>
          <w:b w:val="0"/>
          <w:bCs w:val="0"/>
          <w:color w:val="auto"/>
          <w:sz w:val="24"/>
          <w:szCs w:val="24"/>
          <w:highlight w:val="none"/>
          <w:u w:val="none" w:color="auto"/>
          <w:lang w:val="en-US" w:eastAsia="zh-CN"/>
        </w:rPr>
        <w:t xml:space="preserve">  </w:t>
      </w:r>
      <w:r>
        <w:rPr>
          <w:rFonts w:hint="eastAsia" w:ascii="宋体" w:hAnsi="宋体" w:cs="宋体"/>
          <w:b/>
          <w:bCs/>
          <w:color w:val="auto"/>
          <w:sz w:val="24"/>
          <w:szCs w:val="24"/>
          <w:highlight w:val="none"/>
          <w:u w:val="none" w:color="auto"/>
          <w:lang w:val="en-US" w:eastAsia="zh-CN"/>
        </w:rPr>
        <w:t>3</w:t>
      </w:r>
      <w:r>
        <w:rPr>
          <w:rFonts w:hint="eastAsia" w:ascii="宋体" w:hAnsi="宋体" w:cs="宋体"/>
          <w:b/>
          <w:bCs/>
          <w:color w:val="auto"/>
          <w:sz w:val="24"/>
          <w:szCs w:val="24"/>
          <w:highlight w:val="none"/>
          <w:u w:val="none" w:color="auto"/>
        </w:rPr>
        <w:t>、付款方式：</w:t>
      </w:r>
    </w:p>
    <w:p>
      <w:pPr>
        <w:spacing w:line="360" w:lineRule="auto"/>
        <w:rPr>
          <w:rFonts w:hint="eastAsia" w:ascii="宋体" w:hAnsi="宋体" w:cs="宋体"/>
          <w:color w:val="auto"/>
          <w:sz w:val="24"/>
          <w:szCs w:val="24"/>
          <w:highlight w:val="none"/>
          <w:u w:val="none" w:color="auto"/>
        </w:rPr>
      </w:pPr>
      <w:r>
        <w:rPr>
          <w:rFonts w:hint="eastAsia" w:ascii="宋体" w:hAnsi="宋体" w:cs="宋体"/>
          <w:color w:val="auto"/>
          <w:sz w:val="24"/>
          <w:szCs w:val="24"/>
          <w:highlight w:val="none"/>
          <w:u w:val="none" w:color="auto"/>
          <w:lang w:val="en-US" w:eastAsia="zh-CN"/>
        </w:rPr>
        <w:t xml:space="preserve">  </w:t>
      </w:r>
      <w:r>
        <w:rPr>
          <w:rFonts w:hint="eastAsia" w:ascii="宋体" w:hAnsi="宋体" w:cs="宋体"/>
          <w:color w:val="auto"/>
          <w:sz w:val="24"/>
          <w:szCs w:val="24"/>
          <w:highlight w:val="none"/>
          <w:u w:val="none" w:color="auto"/>
        </w:rPr>
        <w:t>（1）合同签订后，</w:t>
      </w:r>
      <w:r>
        <w:rPr>
          <w:rFonts w:hint="eastAsia" w:ascii="宋体" w:hAnsi="宋体" w:cs="宋体"/>
          <w:color w:val="auto"/>
          <w:sz w:val="24"/>
          <w:szCs w:val="24"/>
          <w:highlight w:val="none"/>
          <w:u w:val="none" w:color="auto"/>
          <w:lang w:val="en-US" w:eastAsia="zh-CN"/>
        </w:rPr>
        <w:t>7个工作日内</w:t>
      </w:r>
      <w:r>
        <w:rPr>
          <w:rFonts w:hint="eastAsia" w:ascii="宋体" w:hAnsi="宋体" w:cs="宋体"/>
          <w:color w:val="auto"/>
          <w:sz w:val="24"/>
          <w:szCs w:val="24"/>
          <w:highlight w:val="none"/>
          <w:u w:val="none" w:color="auto"/>
        </w:rPr>
        <w:t>支付合同</w:t>
      </w:r>
      <w:r>
        <w:rPr>
          <w:rFonts w:hint="eastAsia" w:ascii="宋体" w:hAnsi="宋体" w:cs="宋体"/>
          <w:color w:val="auto"/>
          <w:sz w:val="24"/>
          <w:szCs w:val="24"/>
          <w:highlight w:val="none"/>
          <w:u w:val="none" w:color="auto"/>
          <w:lang w:eastAsia="zh-CN"/>
        </w:rPr>
        <w:t>价款</w:t>
      </w:r>
      <w:r>
        <w:rPr>
          <w:rFonts w:hint="eastAsia" w:ascii="宋体" w:hAnsi="宋体" w:cs="宋体"/>
          <w:color w:val="auto"/>
          <w:sz w:val="24"/>
          <w:szCs w:val="24"/>
          <w:highlight w:val="none"/>
          <w:u w:val="none" w:color="auto"/>
        </w:rPr>
        <w:t>的</w:t>
      </w:r>
      <w:r>
        <w:rPr>
          <w:rFonts w:hint="eastAsia" w:ascii="宋体" w:hAnsi="宋体" w:cs="宋体"/>
          <w:color w:val="auto"/>
          <w:sz w:val="24"/>
          <w:szCs w:val="24"/>
          <w:highlight w:val="none"/>
          <w:u w:val="none" w:color="auto"/>
          <w:lang w:val="en-US" w:eastAsia="zh-CN"/>
        </w:rPr>
        <w:t>40</w:t>
      </w:r>
      <w:r>
        <w:rPr>
          <w:rFonts w:hint="eastAsia" w:ascii="宋体" w:hAnsi="宋体" w:cs="宋体"/>
          <w:color w:val="auto"/>
          <w:sz w:val="24"/>
          <w:szCs w:val="24"/>
          <w:highlight w:val="none"/>
          <w:u w:val="none" w:color="auto"/>
        </w:rPr>
        <w:t>%；</w:t>
      </w:r>
    </w:p>
    <w:p>
      <w:pPr>
        <w:spacing w:line="360" w:lineRule="auto"/>
        <w:rPr>
          <w:rFonts w:hint="eastAsia" w:ascii="宋体" w:hAnsi="宋体" w:cs="宋体"/>
          <w:color w:val="auto"/>
          <w:sz w:val="24"/>
          <w:szCs w:val="24"/>
          <w:highlight w:val="none"/>
          <w:u w:val="none" w:color="auto"/>
          <w:lang w:val="en-US" w:eastAsia="zh-CN"/>
        </w:rPr>
      </w:pPr>
      <w:r>
        <w:rPr>
          <w:rFonts w:hint="eastAsia" w:ascii="宋体" w:hAnsi="宋体" w:cs="宋体"/>
          <w:color w:val="auto"/>
          <w:sz w:val="24"/>
          <w:szCs w:val="24"/>
          <w:highlight w:val="none"/>
          <w:u w:val="none" w:color="auto"/>
          <w:lang w:val="en-US" w:eastAsia="zh-CN"/>
        </w:rPr>
        <w:t xml:space="preserve">  </w:t>
      </w:r>
      <w:r>
        <w:rPr>
          <w:rFonts w:hint="eastAsia" w:ascii="宋体" w:hAnsi="宋体" w:cs="宋体"/>
          <w:color w:val="auto"/>
          <w:sz w:val="24"/>
          <w:szCs w:val="24"/>
          <w:highlight w:val="none"/>
          <w:u w:val="none" w:color="auto"/>
        </w:rPr>
        <w:t>（2）</w:t>
      </w:r>
      <w:r>
        <w:rPr>
          <w:rFonts w:hint="eastAsia" w:ascii="宋体" w:hAnsi="宋体" w:cs="宋体"/>
          <w:color w:val="auto"/>
          <w:sz w:val="24"/>
          <w:szCs w:val="24"/>
          <w:highlight w:val="none"/>
          <w:u w:val="none" w:color="auto"/>
          <w:lang w:val="en-US" w:eastAsia="zh-CN"/>
        </w:rPr>
        <w:t>普查项目完成全部外业核查后，7个工作日内支付至合同价款的30%；</w:t>
      </w:r>
    </w:p>
    <w:p>
      <w:pPr>
        <w:spacing w:line="360" w:lineRule="auto"/>
        <w:rPr>
          <w:rFonts w:hint="eastAsia" w:ascii="宋体" w:hAnsi="宋体" w:cs="宋体"/>
          <w:color w:val="auto"/>
          <w:sz w:val="24"/>
          <w:szCs w:val="24"/>
          <w:highlight w:val="none"/>
          <w:u w:val="none" w:color="auto"/>
          <w:lang w:val="en-US" w:eastAsia="zh-CN"/>
        </w:rPr>
      </w:pPr>
      <w:r>
        <w:rPr>
          <w:rFonts w:hint="eastAsia" w:ascii="宋体" w:hAnsi="宋体" w:cs="宋体"/>
          <w:color w:val="auto"/>
          <w:sz w:val="24"/>
          <w:szCs w:val="24"/>
          <w:highlight w:val="none"/>
          <w:u w:val="none" w:color="auto"/>
          <w:lang w:val="en-US" w:eastAsia="zh-CN"/>
        </w:rPr>
        <w:t xml:space="preserve">  （3）普查项目通过验收，普查成果提交省自然资源厅且数据录入甲方指定系统可正常使用后，7个工作日内付清余款。</w:t>
      </w:r>
    </w:p>
    <w:p>
      <w:pPr>
        <w:spacing w:line="360" w:lineRule="auto"/>
        <w:ind w:firstLine="236" w:firstLineChars="98"/>
        <w:rPr>
          <w:rFonts w:hint="eastAsia" w:ascii="宋体" w:hAnsi="宋体" w:cs="宋体"/>
          <w:b/>
          <w:bCs/>
          <w:color w:val="auto"/>
          <w:sz w:val="24"/>
          <w:highlight w:val="none"/>
        </w:rPr>
      </w:pPr>
      <w:r>
        <w:rPr>
          <w:rFonts w:hint="eastAsia" w:ascii="宋体" w:hAnsi="宋体" w:cs="宋体"/>
          <w:b/>
          <w:bCs/>
          <w:color w:val="auto"/>
          <w:sz w:val="24"/>
          <w:highlight w:val="none"/>
        </w:rPr>
        <w:t>注：</w:t>
      </w:r>
      <w:r>
        <w:rPr>
          <w:rFonts w:hint="eastAsia" w:ascii="宋体" w:hAnsi="宋体" w:cs="宋体"/>
          <w:b/>
          <w:bCs/>
          <w:color w:val="auto"/>
          <w:sz w:val="24"/>
          <w:highlight w:val="none"/>
          <w:lang w:eastAsia="zh-CN"/>
        </w:rPr>
        <w:t>乙方</w:t>
      </w:r>
      <w:r>
        <w:rPr>
          <w:rFonts w:hint="eastAsia" w:ascii="宋体" w:hAnsi="宋体" w:cs="宋体"/>
          <w:b/>
          <w:bCs/>
          <w:color w:val="auto"/>
          <w:sz w:val="24"/>
          <w:highlight w:val="none"/>
        </w:rPr>
        <w:t>需在每次付款前提供正式发票，税费由</w:t>
      </w:r>
      <w:r>
        <w:rPr>
          <w:rFonts w:hint="eastAsia" w:ascii="宋体" w:hAnsi="宋体" w:cs="宋体"/>
          <w:b/>
          <w:bCs/>
          <w:color w:val="auto"/>
          <w:sz w:val="24"/>
          <w:highlight w:val="none"/>
          <w:lang w:eastAsia="zh-CN"/>
        </w:rPr>
        <w:t>乙方</w:t>
      </w:r>
      <w:r>
        <w:rPr>
          <w:rFonts w:hint="eastAsia" w:ascii="宋体" w:hAnsi="宋体" w:cs="宋体"/>
          <w:b/>
          <w:bCs/>
          <w:color w:val="auto"/>
          <w:sz w:val="24"/>
          <w:highlight w:val="none"/>
        </w:rPr>
        <w:t>承担，如逾期提供，付款时间顺延</w:t>
      </w:r>
      <w:r>
        <w:rPr>
          <w:rFonts w:hint="eastAsia" w:ascii="宋体" w:hAnsi="宋体" w:cs="宋体"/>
          <w:b/>
          <w:bCs/>
          <w:color w:val="auto"/>
          <w:sz w:val="24"/>
          <w:highlight w:val="none"/>
          <w:lang w:eastAsia="zh-CN"/>
        </w:rPr>
        <w:t>，</w:t>
      </w:r>
      <w:r>
        <w:rPr>
          <w:rFonts w:hint="eastAsia" w:ascii="宋体" w:hAnsi="宋体" w:eastAsia="宋体" w:cs="宋体"/>
          <w:b/>
          <w:bCs/>
          <w:color w:val="auto"/>
          <w:sz w:val="24"/>
          <w:szCs w:val="24"/>
          <w:highlight w:val="none"/>
          <w:u w:val="none" w:color="auto"/>
          <w:lang w:eastAsia="zh-CN"/>
        </w:rPr>
        <w:t>具体支付进度以财政资金到位时间为准。</w:t>
      </w:r>
    </w:p>
    <w:p>
      <w:pPr>
        <w:pStyle w:val="61"/>
        <w:spacing w:line="360" w:lineRule="auto"/>
        <w:ind w:left="0" w:leftChars="0" w:firstLine="0" w:firstLineChars="0"/>
        <w:rPr>
          <w:rFonts w:hint="eastAsia" w:ascii="宋体" w:hAnsi="宋体" w:cs="宋体"/>
          <w:b/>
          <w:bCs/>
          <w:color w:val="auto"/>
          <w:sz w:val="24"/>
          <w:szCs w:val="24"/>
          <w:highlight w:val="none"/>
        </w:rPr>
      </w:pPr>
      <w:r>
        <w:rPr>
          <w:rFonts w:hint="eastAsia" w:ascii="宋体" w:hAnsi="宋体" w:cs="宋体"/>
          <w:b/>
          <w:bCs/>
          <w:color w:val="auto"/>
          <w:sz w:val="24"/>
          <w:highlight w:val="none"/>
          <w:lang w:val="en-US" w:eastAsia="zh-CN"/>
        </w:rPr>
        <w:t xml:space="preserve">  </w:t>
      </w:r>
      <w:r>
        <w:rPr>
          <w:rFonts w:hint="eastAsia" w:ascii="宋体" w:hAnsi="宋体" w:cs="宋体"/>
          <w:b/>
          <w:bCs/>
          <w:color w:val="auto"/>
          <w:sz w:val="24"/>
          <w:highlight w:val="none"/>
        </w:rPr>
        <w:t>本项目实施过程中的资料费、税费、培训费、验收费、中标服务费等项目过程中所涉及的一切可见或不可见的费用均由</w:t>
      </w:r>
      <w:r>
        <w:rPr>
          <w:rFonts w:hint="eastAsia" w:ascii="宋体" w:hAnsi="宋体" w:cs="宋体"/>
          <w:b/>
          <w:bCs/>
          <w:color w:val="auto"/>
          <w:sz w:val="24"/>
          <w:highlight w:val="none"/>
          <w:lang w:eastAsia="zh-CN"/>
        </w:rPr>
        <w:t>乙方</w:t>
      </w:r>
      <w:r>
        <w:rPr>
          <w:rFonts w:hint="eastAsia" w:ascii="宋体" w:hAnsi="宋体" w:cs="宋体"/>
          <w:b/>
          <w:bCs/>
          <w:color w:val="auto"/>
          <w:sz w:val="24"/>
          <w:highlight w:val="none"/>
        </w:rPr>
        <w:t>承担。如有漏项，视同已包含在</w:t>
      </w:r>
      <w:r>
        <w:rPr>
          <w:rFonts w:hint="eastAsia" w:ascii="宋体" w:hAnsi="宋体" w:cs="宋体"/>
          <w:b/>
          <w:bCs/>
          <w:color w:val="auto"/>
          <w:sz w:val="24"/>
          <w:highlight w:val="none"/>
          <w:lang w:eastAsia="zh-CN"/>
        </w:rPr>
        <w:t>乙方</w:t>
      </w:r>
      <w:r>
        <w:rPr>
          <w:rFonts w:hint="eastAsia" w:ascii="宋体" w:hAnsi="宋体" w:cs="宋体"/>
          <w:b/>
          <w:bCs/>
          <w:color w:val="auto"/>
          <w:sz w:val="24"/>
          <w:highlight w:val="none"/>
        </w:rPr>
        <w:t>的总价中</w:t>
      </w:r>
      <w:r>
        <w:rPr>
          <w:rFonts w:hint="eastAsia" w:ascii="宋体" w:hAnsi="宋体" w:cs="宋体"/>
          <w:b/>
          <w:bCs/>
          <w:color w:val="auto"/>
          <w:sz w:val="24"/>
          <w:szCs w:val="24"/>
          <w:highlight w:val="none"/>
        </w:rPr>
        <w:t>。</w:t>
      </w:r>
    </w:p>
    <w:p>
      <w:pPr>
        <w:pStyle w:val="61"/>
        <w:spacing w:line="360" w:lineRule="auto"/>
        <w:ind w:left="0" w:leftChars="0" w:firstLine="0" w:firstLineChars="0"/>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 xml:space="preserve">  4、验收标准及方式：</w:t>
      </w:r>
    </w:p>
    <w:p>
      <w:pPr>
        <w:pStyle w:val="61"/>
        <w:spacing w:line="360" w:lineRule="auto"/>
        <w:ind w:left="0" w:leftChars="0" w:firstLine="0" w:firstLineChars="0"/>
        <w:rPr>
          <w:rFonts w:hint="eastAsia" w:ascii="宋体" w:hAnsi="宋体" w:cs="宋体"/>
          <w:b w:val="0"/>
          <w:bCs w:val="0"/>
          <w:color w:val="auto"/>
          <w:sz w:val="24"/>
          <w:szCs w:val="24"/>
          <w:highlight w:val="none"/>
          <w:u w:val="none" w:color="auto"/>
          <w:lang w:val="en-US" w:eastAsia="zh-CN"/>
        </w:rPr>
      </w:pPr>
      <w:r>
        <w:rPr>
          <w:rFonts w:hint="eastAsia" w:ascii="宋体" w:hAnsi="宋体" w:cs="宋体"/>
          <w:b w:val="0"/>
          <w:bCs w:val="0"/>
          <w:color w:val="auto"/>
          <w:sz w:val="24"/>
          <w:szCs w:val="24"/>
          <w:highlight w:val="none"/>
          <w:u w:val="none" w:color="auto"/>
          <w:lang w:val="en-US" w:eastAsia="zh-CN"/>
        </w:rPr>
        <w:t xml:space="preserve">  4.1、验收标准：普查成果经省级及以上法定测绘质量检验检测机构检验合格，并出具成果质量检验报告。成果数据</w:t>
      </w:r>
      <w:r>
        <w:rPr>
          <w:rFonts w:hint="eastAsia" w:ascii="宋体" w:hAnsi="宋体" w:cs="宋体"/>
          <w:color w:val="auto"/>
          <w:sz w:val="24"/>
          <w:szCs w:val="24"/>
          <w:highlight w:val="none"/>
          <w:u w:val="none" w:color="auto"/>
          <w:lang w:val="en-US" w:eastAsia="zh-CN"/>
        </w:rPr>
        <w:t>录入甲方指定系统可正常使用并</w:t>
      </w:r>
      <w:r>
        <w:rPr>
          <w:rFonts w:hint="eastAsia" w:ascii="宋体" w:hAnsi="宋体" w:cs="宋体"/>
          <w:b w:val="0"/>
          <w:bCs w:val="0"/>
          <w:color w:val="auto"/>
          <w:sz w:val="24"/>
          <w:szCs w:val="24"/>
          <w:highlight w:val="none"/>
          <w:u w:val="none" w:color="auto"/>
          <w:lang w:val="en-US" w:eastAsia="zh-CN"/>
        </w:rPr>
        <w:t>上报省自然资源厅。</w:t>
      </w:r>
    </w:p>
    <w:p>
      <w:pPr>
        <w:spacing w:line="360" w:lineRule="auto"/>
        <w:rPr>
          <w:rFonts w:hint="eastAsia" w:ascii="宋体" w:hAnsi="宋体" w:cs="宋体"/>
          <w:b w:val="0"/>
          <w:bCs w:val="0"/>
          <w:color w:val="auto"/>
          <w:sz w:val="24"/>
          <w:szCs w:val="24"/>
          <w:highlight w:val="none"/>
          <w:u w:val="none" w:color="auto"/>
          <w:lang w:val="en-US" w:eastAsia="zh-CN"/>
        </w:rPr>
      </w:pPr>
      <w:r>
        <w:rPr>
          <w:rFonts w:hint="eastAsia" w:ascii="宋体" w:hAnsi="宋体" w:cs="宋体"/>
          <w:b w:val="0"/>
          <w:bCs w:val="0"/>
          <w:color w:val="auto"/>
          <w:sz w:val="24"/>
          <w:szCs w:val="24"/>
          <w:highlight w:val="none"/>
          <w:u w:val="none" w:color="auto"/>
          <w:lang w:val="en-US" w:eastAsia="zh-CN"/>
        </w:rPr>
        <w:t xml:space="preserve">  4.2、验收方式：由甲方组织相关人员验收。</w:t>
      </w:r>
    </w:p>
    <w:p>
      <w:pPr>
        <w:spacing w:line="360" w:lineRule="auto"/>
        <w:ind w:firstLine="480" w:firstLineChars="200"/>
        <w:rPr>
          <w:rFonts w:hint="eastAsia" w:ascii="宋体" w:hAnsi="宋体" w:cs="微软雅黑"/>
          <w:b/>
          <w:bCs/>
          <w:color w:val="auto"/>
          <w:sz w:val="24"/>
          <w:szCs w:val="24"/>
          <w:highlight w:val="none"/>
        </w:rPr>
      </w:pPr>
      <w:r>
        <w:rPr>
          <w:rFonts w:hint="eastAsia" w:ascii="宋体" w:hAnsi="宋体" w:cs="宋体"/>
          <w:b w:val="0"/>
          <w:bCs w:val="0"/>
          <w:color w:val="auto"/>
          <w:sz w:val="24"/>
          <w:szCs w:val="24"/>
          <w:highlight w:val="none"/>
          <w:u w:val="none" w:color="auto"/>
          <w:lang w:val="en-US" w:eastAsia="zh-CN"/>
        </w:rPr>
        <w:t>5</w:t>
      </w:r>
      <w:r>
        <w:rPr>
          <w:rFonts w:hint="eastAsia" w:ascii="宋体" w:hAnsi="宋体" w:cs="宋体"/>
          <w:b/>
          <w:bCs/>
          <w:color w:val="auto"/>
          <w:sz w:val="24"/>
          <w:highlight w:val="none"/>
        </w:rPr>
        <w:t>、</w:t>
      </w:r>
      <w:r>
        <w:rPr>
          <w:rFonts w:hint="eastAsia" w:ascii="宋体" w:hAnsi="宋体" w:cs="微软雅黑"/>
          <w:b/>
          <w:bCs/>
          <w:color w:val="auto"/>
          <w:sz w:val="24"/>
          <w:szCs w:val="24"/>
          <w:highlight w:val="none"/>
        </w:rPr>
        <w:t>安全要求：</w:t>
      </w:r>
    </w:p>
    <w:p>
      <w:pPr>
        <w:pStyle w:val="2"/>
        <w:numPr>
          <w:ilvl w:val="0"/>
          <w:numId w:val="0"/>
        </w:numPr>
        <w:tabs>
          <w:tab w:val="left" w:pos="208"/>
        </w:tabs>
        <w:spacing w:line="360" w:lineRule="auto"/>
        <w:ind w:leftChars="0" w:firstLine="480" w:firstLineChars="200"/>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（1）</w:t>
      </w:r>
      <w:r>
        <w:rPr>
          <w:rFonts w:hint="eastAsia" w:ascii="宋体" w:hAnsi="宋体" w:cs="宋体"/>
          <w:color w:val="auto"/>
          <w:sz w:val="24"/>
          <w:szCs w:val="22"/>
          <w:highlight w:val="none"/>
          <w:lang w:val="en-US" w:eastAsia="zh-CN" w:bidi="ar-SA"/>
        </w:rPr>
        <w:t>乙方</w:t>
      </w:r>
      <w:r>
        <w:rPr>
          <w:rFonts w:hint="eastAsia" w:ascii="宋体" w:hAnsi="宋体" w:eastAsia="宋体" w:cs="宋体"/>
          <w:color w:val="auto"/>
          <w:sz w:val="24"/>
          <w:szCs w:val="22"/>
          <w:highlight w:val="none"/>
          <w:lang w:val="en-US" w:eastAsia="zh-CN" w:bidi="ar-SA"/>
        </w:rPr>
        <w:t>需对外出</w:t>
      </w:r>
      <w:r>
        <w:rPr>
          <w:rFonts w:hint="eastAsia" w:ascii="宋体" w:hAnsi="宋体" w:cs="宋体"/>
          <w:color w:val="auto"/>
          <w:sz w:val="24"/>
          <w:szCs w:val="22"/>
          <w:highlight w:val="none"/>
          <w:lang w:val="en-US" w:eastAsia="zh-CN" w:bidi="ar-SA"/>
        </w:rPr>
        <w:t>监理的</w:t>
      </w:r>
      <w:r>
        <w:rPr>
          <w:rFonts w:hint="eastAsia" w:ascii="宋体" w:hAnsi="宋体" w:eastAsia="宋体" w:cs="宋体"/>
          <w:color w:val="auto"/>
          <w:sz w:val="24"/>
          <w:szCs w:val="22"/>
          <w:highlight w:val="none"/>
          <w:lang w:val="en-US" w:eastAsia="zh-CN" w:bidi="ar-SA"/>
        </w:rPr>
        <w:t>工作人员进行培训，依据普查</w:t>
      </w:r>
      <w:r>
        <w:rPr>
          <w:rFonts w:hint="eastAsia" w:ascii="宋体" w:hAnsi="宋体" w:cs="宋体"/>
          <w:color w:val="auto"/>
          <w:sz w:val="24"/>
          <w:szCs w:val="22"/>
          <w:highlight w:val="none"/>
          <w:lang w:val="en-US" w:eastAsia="zh-CN" w:bidi="ar-SA"/>
        </w:rPr>
        <w:t>的</w:t>
      </w:r>
      <w:r>
        <w:rPr>
          <w:rFonts w:hint="eastAsia" w:ascii="宋体" w:hAnsi="宋体" w:eastAsia="宋体" w:cs="宋体"/>
          <w:color w:val="auto"/>
          <w:sz w:val="24"/>
          <w:szCs w:val="22"/>
          <w:highlight w:val="none"/>
          <w:lang w:val="en-US" w:eastAsia="zh-CN" w:bidi="ar-SA"/>
        </w:rPr>
        <w:t>环境，配发相关需要的必须品，如遇</w:t>
      </w:r>
      <w:r>
        <w:rPr>
          <w:rFonts w:hint="eastAsia" w:ascii="宋体" w:hAnsi="宋体" w:cs="宋体"/>
          <w:color w:val="auto"/>
          <w:sz w:val="24"/>
          <w:szCs w:val="22"/>
          <w:highlight w:val="none"/>
          <w:lang w:val="en-US" w:eastAsia="zh-CN" w:bidi="ar-SA"/>
        </w:rPr>
        <w:t>监理过程</w:t>
      </w:r>
      <w:r>
        <w:rPr>
          <w:rFonts w:hint="eastAsia" w:ascii="宋体" w:hAnsi="宋体" w:eastAsia="宋体" w:cs="宋体"/>
          <w:color w:val="auto"/>
          <w:sz w:val="24"/>
          <w:szCs w:val="22"/>
          <w:highlight w:val="none"/>
          <w:lang w:val="en-US" w:eastAsia="zh-CN" w:bidi="ar-SA"/>
        </w:rPr>
        <w:t>中较危险的区域，应及时做好应对措施并及时上报</w:t>
      </w:r>
      <w:r>
        <w:rPr>
          <w:rFonts w:hint="eastAsia" w:ascii="宋体" w:hAnsi="宋体" w:cs="宋体"/>
          <w:color w:val="auto"/>
          <w:sz w:val="24"/>
          <w:szCs w:val="22"/>
          <w:highlight w:val="none"/>
          <w:lang w:val="en-US" w:eastAsia="zh-CN" w:bidi="ar-SA"/>
        </w:rPr>
        <w:t>甲方</w:t>
      </w:r>
      <w:r>
        <w:rPr>
          <w:rFonts w:hint="eastAsia" w:ascii="宋体" w:hAnsi="宋体" w:eastAsia="宋体" w:cs="宋体"/>
          <w:color w:val="auto"/>
          <w:sz w:val="24"/>
          <w:szCs w:val="22"/>
          <w:highlight w:val="none"/>
          <w:lang w:val="en-US" w:eastAsia="zh-CN" w:bidi="ar-SA"/>
        </w:rPr>
        <w:t>；</w:t>
      </w:r>
    </w:p>
    <w:p>
      <w:pPr>
        <w:pStyle w:val="2"/>
        <w:numPr>
          <w:ilvl w:val="0"/>
          <w:numId w:val="0"/>
        </w:numPr>
        <w:tabs>
          <w:tab w:val="left" w:pos="208"/>
        </w:tabs>
        <w:spacing w:line="360" w:lineRule="auto"/>
        <w:ind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szCs w:val="22"/>
          <w:highlight w:val="none"/>
          <w:lang w:val="en-US" w:eastAsia="zh-CN" w:bidi="ar-SA"/>
        </w:rPr>
        <w:t>乙方</w:t>
      </w:r>
      <w:r>
        <w:rPr>
          <w:rFonts w:hint="eastAsia" w:ascii="宋体" w:hAnsi="宋体" w:cs="宋体"/>
          <w:color w:val="auto"/>
          <w:sz w:val="24"/>
          <w:highlight w:val="none"/>
        </w:rPr>
        <w:t>需设置专职安全员，定期开展安全培训；</w:t>
      </w:r>
    </w:p>
    <w:p>
      <w:pPr>
        <w:pStyle w:val="2"/>
        <w:numPr>
          <w:ilvl w:val="0"/>
          <w:numId w:val="0"/>
        </w:numPr>
        <w:tabs>
          <w:tab w:val="left" w:pos="208"/>
        </w:tabs>
        <w:spacing w:line="360" w:lineRule="auto"/>
        <w:ind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（3）外出</w:t>
      </w:r>
      <w:r>
        <w:rPr>
          <w:rFonts w:hint="eastAsia" w:ascii="宋体" w:hAnsi="宋体" w:cs="宋体"/>
          <w:color w:val="auto"/>
          <w:sz w:val="24"/>
          <w:highlight w:val="none"/>
          <w:lang w:val="en-US" w:eastAsia="zh-CN"/>
        </w:rPr>
        <w:t>监理</w:t>
      </w:r>
      <w:r>
        <w:rPr>
          <w:rFonts w:hint="eastAsia" w:ascii="宋体" w:hAnsi="宋体" w:cs="宋体"/>
          <w:color w:val="auto"/>
          <w:sz w:val="24"/>
          <w:highlight w:val="none"/>
        </w:rPr>
        <w:t>时，</w:t>
      </w:r>
      <w:r>
        <w:rPr>
          <w:rFonts w:hint="eastAsia" w:ascii="宋体" w:hAnsi="宋体" w:cs="宋体"/>
          <w:color w:val="auto"/>
          <w:sz w:val="24"/>
          <w:szCs w:val="22"/>
          <w:highlight w:val="none"/>
          <w:lang w:val="en-US" w:eastAsia="zh-CN" w:bidi="ar-SA"/>
        </w:rPr>
        <w:t>乙方</w:t>
      </w:r>
      <w:r>
        <w:rPr>
          <w:rFonts w:hint="eastAsia" w:ascii="宋体" w:hAnsi="宋体" w:cs="宋体"/>
          <w:color w:val="auto"/>
          <w:sz w:val="24"/>
          <w:highlight w:val="none"/>
        </w:rPr>
        <w:t>应做好预防各类与</w:t>
      </w:r>
      <w:r>
        <w:rPr>
          <w:rFonts w:hint="eastAsia" w:ascii="宋体" w:hAnsi="宋体" w:cs="宋体"/>
          <w:color w:val="auto"/>
          <w:sz w:val="24"/>
          <w:highlight w:val="none"/>
          <w:lang w:val="en-US" w:eastAsia="zh-CN"/>
        </w:rPr>
        <w:t>监理工作</w:t>
      </w:r>
      <w:r>
        <w:rPr>
          <w:rFonts w:hint="eastAsia" w:ascii="宋体" w:hAnsi="宋体" w:cs="宋体"/>
          <w:color w:val="auto"/>
          <w:sz w:val="24"/>
          <w:highlight w:val="none"/>
        </w:rPr>
        <w:t>可能有关的事故发生，</w:t>
      </w:r>
      <w:r>
        <w:rPr>
          <w:rFonts w:hint="eastAsia" w:ascii="宋体" w:hAnsi="宋体" w:cs="宋体"/>
          <w:color w:val="auto"/>
          <w:sz w:val="24"/>
          <w:highlight w:val="none"/>
          <w:lang w:val="en-US"/>
        </w:rPr>
        <w:t>如恶劣天气情况，应</w:t>
      </w:r>
      <w:r>
        <w:rPr>
          <w:rFonts w:hint="eastAsia" w:ascii="宋体" w:hAnsi="宋体" w:cs="宋体"/>
          <w:color w:val="auto"/>
          <w:sz w:val="24"/>
          <w:highlight w:val="none"/>
          <w:lang w:val="en-US" w:eastAsia="zh-CN"/>
        </w:rPr>
        <w:t>劝阻普查单位停止</w:t>
      </w:r>
      <w:r>
        <w:rPr>
          <w:rFonts w:hint="eastAsia" w:ascii="宋体" w:hAnsi="宋体" w:cs="宋体"/>
          <w:color w:val="auto"/>
          <w:sz w:val="24"/>
          <w:highlight w:val="none"/>
          <w:lang w:val="en-US"/>
        </w:rPr>
        <w:t>当天的普查工作并及时上报</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w:t>
      </w:r>
    </w:p>
    <w:p>
      <w:pPr>
        <w:pStyle w:val="2"/>
        <w:numPr>
          <w:ilvl w:val="0"/>
          <w:numId w:val="0"/>
        </w:numPr>
        <w:tabs>
          <w:tab w:val="left" w:pos="208"/>
        </w:tabs>
        <w:spacing w:line="360" w:lineRule="auto"/>
        <w:ind w:leftChars="0" w:firstLine="480" w:firstLineChars="200"/>
        <w:rPr>
          <w:rFonts w:hint="eastAsia"/>
          <w:color w:val="auto"/>
          <w:highlight w:val="none"/>
        </w:rPr>
      </w:pPr>
      <w:r>
        <w:rPr>
          <w:rFonts w:hint="eastAsia" w:ascii="宋体" w:hAnsi="宋体" w:eastAsia="宋体" w:cs="宋体"/>
          <w:color w:val="auto"/>
          <w:highlight w:val="none"/>
        </w:rPr>
        <w:t>（4）</w:t>
      </w:r>
      <w:r>
        <w:rPr>
          <w:rFonts w:hint="eastAsia"/>
          <w:color w:val="auto"/>
          <w:highlight w:val="none"/>
          <w:lang w:val="en-US" w:eastAsia="zh-CN"/>
        </w:rPr>
        <w:t>乙方</w:t>
      </w:r>
      <w:r>
        <w:rPr>
          <w:rFonts w:hint="eastAsia"/>
          <w:color w:val="auto"/>
          <w:highlight w:val="none"/>
        </w:rPr>
        <w:t>须为本项目拟派的外出</w:t>
      </w:r>
      <w:r>
        <w:rPr>
          <w:rFonts w:hint="eastAsia"/>
          <w:color w:val="auto"/>
          <w:highlight w:val="none"/>
          <w:lang w:val="en-US" w:eastAsia="zh-CN"/>
        </w:rPr>
        <w:t>监理</w:t>
      </w:r>
      <w:r>
        <w:rPr>
          <w:rFonts w:hint="eastAsia"/>
          <w:color w:val="auto"/>
          <w:highlight w:val="none"/>
        </w:rPr>
        <w:t>工作人员购买人身意外险（费用自行承担），如遇特殊意外情况（如人员伤亡、财产损失等），</w:t>
      </w:r>
      <w:r>
        <w:rPr>
          <w:rFonts w:hint="eastAsia"/>
          <w:color w:val="auto"/>
          <w:highlight w:val="none"/>
          <w:lang w:val="en-US" w:eastAsia="zh-CN"/>
        </w:rPr>
        <w:t>甲方</w:t>
      </w:r>
      <w:r>
        <w:rPr>
          <w:rFonts w:hint="eastAsia"/>
          <w:color w:val="auto"/>
          <w:highlight w:val="none"/>
        </w:rPr>
        <w:t>概不负责。</w:t>
      </w:r>
    </w:p>
    <w:p>
      <w:pPr>
        <w:pStyle w:val="2"/>
        <w:numPr>
          <w:ilvl w:val="0"/>
          <w:numId w:val="0"/>
        </w:numPr>
        <w:tabs>
          <w:tab w:val="left" w:pos="208"/>
        </w:tabs>
        <w:spacing w:line="360" w:lineRule="auto"/>
        <w:ind w:leftChars="0" w:firstLine="480" w:firstLineChars="200"/>
        <w:rPr>
          <w:rFonts w:hint="eastAsia" w:ascii="宋体" w:hAnsi="宋体" w:cs="宋体"/>
          <w:color w:val="auto"/>
          <w:sz w:val="24"/>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5）</w:t>
      </w:r>
      <w:r>
        <w:rPr>
          <w:rFonts w:hint="eastAsia" w:ascii="宋体" w:hAnsi="宋体" w:eastAsia="宋体" w:cs="宋体"/>
          <w:color w:val="auto"/>
          <w:highlight w:val="none"/>
        </w:rPr>
        <w:t>在合</w:t>
      </w:r>
      <w:r>
        <w:rPr>
          <w:rFonts w:hint="eastAsia"/>
          <w:color w:val="auto"/>
          <w:highlight w:val="none"/>
        </w:rPr>
        <w:t>同实施期间发生的一切安全事故的经济赔偿和法律责任均由</w:t>
      </w:r>
      <w:r>
        <w:rPr>
          <w:rFonts w:hint="eastAsia"/>
          <w:color w:val="auto"/>
          <w:highlight w:val="none"/>
          <w:lang w:val="en-US" w:eastAsia="zh-CN"/>
        </w:rPr>
        <w:t>乙方</w:t>
      </w:r>
      <w:r>
        <w:rPr>
          <w:rFonts w:hint="eastAsia"/>
          <w:color w:val="auto"/>
          <w:highlight w:val="none"/>
        </w:rPr>
        <w:t>负责。</w:t>
      </w:r>
    </w:p>
    <w:p>
      <w:pPr>
        <w:pStyle w:val="2"/>
        <w:tabs>
          <w:tab w:val="left" w:pos="208"/>
        </w:tabs>
        <w:spacing w:line="360" w:lineRule="auto"/>
        <w:ind w:firstLine="0"/>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注：外出工作时配备的物品（安全帽、手电筒等）、人员的保险费用等均包含在乙方的报价中。</w:t>
      </w:r>
    </w:p>
    <w:p>
      <w:pPr>
        <w:pStyle w:val="2"/>
        <w:tabs>
          <w:tab w:val="left" w:pos="208"/>
        </w:tabs>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6、</w:t>
      </w:r>
      <w:r>
        <w:rPr>
          <w:rFonts w:hint="eastAsia" w:ascii="宋体" w:hAnsi="宋体" w:cs="宋体"/>
          <w:b/>
          <w:bCs/>
          <w:color w:val="auto"/>
          <w:sz w:val="24"/>
          <w:highlight w:val="none"/>
        </w:rPr>
        <w:t>保密要求：</w:t>
      </w:r>
    </w:p>
    <w:p>
      <w:pPr>
        <w:pStyle w:val="2"/>
        <w:numPr>
          <w:ilvl w:val="0"/>
          <w:numId w:val="0"/>
        </w:numPr>
        <w:tabs>
          <w:tab w:val="left" w:pos="208"/>
        </w:tabs>
        <w:spacing w:line="360" w:lineRule="auto"/>
        <w:ind w:firstLine="480" w:firstLineChars="200"/>
        <w:rPr>
          <w:rFonts w:ascii="宋体" w:hAnsi="宋体"/>
          <w:bCs/>
          <w:color w:val="auto"/>
          <w:sz w:val="24"/>
          <w:szCs w:val="24"/>
          <w:highlight w:val="none"/>
        </w:rPr>
      </w:pPr>
      <w:r>
        <w:rPr>
          <w:rFonts w:hint="eastAsia" w:ascii="宋体" w:hAnsi="宋体"/>
          <w:color w:val="auto"/>
          <w:sz w:val="24"/>
          <w:highlight w:val="none"/>
        </w:rPr>
        <w:t>（1）</w:t>
      </w:r>
      <w:r>
        <w:rPr>
          <w:rFonts w:hint="eastAsia" w:ascii="宋体" w:hAnsi="宋体"/>
          <w:bCs/>
          <w:color w:val="auto"/>
          <w:sz w:val="24"/>
          <w:szCs w:val="24"/>
          <w:highlight w:val="none"/>
        </w:rPr>
        <w:t>项目过程保密及数据保密：在项目实施过程中和系统运行过程中（包括合同解除、终止后），</w:t>
      </w:r>
      <w:r>
        <w:rPr>
          <w:rFonts w:hint="eastAsia" w:ascii="宋体" w:hAnsi="宋体"/>
          <w:bCs/>
          <w:color w:val="auto"/>
          <w:sz w:val="24"/>
          <w:szCs w:val="24"/>
          <w:highlight w:val="none"/>
          <w:lang w:eastAsia="zh-CN"/>
        </w:rPr>
        <w:t>乙方</w:t>
      </w:r>
      <w:r>
        <w:rPr>
          <w:rFonts w:hint="eastAsia" w:ascii="宋体" w:hAnsi="宋体"/>
          <w:bCs/>
          <w:color w:val="auto"/>
          <w:sz w:val="24"/>
          <w:szCs w:val="24"/>
          <w:highlight w:val="none"/>
        </w:rPr>
        <w:t>必须对</w:t>
      </w:r>
      <w:r>
        <w:rPr>
          <w:rFonts w:hint="eastAsia" w:ascii="宋体" w:hAnsi="宋体"/>
          <w:bCs/>
          <w:color w:val="auto"/>
          <w:sz w:val="24"/>
          <w:szCs w:val="24"/>
          <w:highlight w:val="none"/>
          <w:lang w:eastAsia="zh-CN"/>
        </w:rPr>
        <w:t>甲方</w:t>
      </w:r>
      <w:r>
        <w:rPr>
          <w:rFonts w:hint="eastAsia" w:ascii="宋体" w:hAnsi="宋体"/>
          <w:bCs/>
          <w:color w:val="auto"/>
          <w:sz w:val="24"/>
          <w:szCs w:val="24"/>
          <w:highlight w:val="none"/>
        </w:rPr>
        <w:t>提供的任何数据及文档有保密的责任和义务。不得以任何理由留存，不得</w:t>
      </w:r>
      <w:r>
        <w:rPr>
          <w:rFonts w:ascii="宋体" w:hAnsi="宋体"/>
          <w:bCs/>
          <w:color w:val="auto"/>
          <w:sz w:val="24"/>
          <w:szCs w:val="24"/>
          <w:highlight w:val="none"/>
        </w:rPr>
        <w:t>转让和使用本项目的成果。否则</w:t>
      </w:r>
      <w:r>
        <w:rPr>
          <w:rFonts w:hint="eastAsia" w:ascii="宋体" w:hAnsi="宋体"/>
          <w:bCs/>
          <w:color w:val="auto"/>
          <w:sz w:val="24"/>
          <w:szCs w:val="24"/>
          <w:highlight w:val="none"/>
        </w:rPr>
        <w:t>，</w:t>
      </w:r>
      <w:r>
        <w:rPr>
          <w:rFonts w:hint="eastAsia" w:ascii="宋体" w:hAnsi="宋体"/>
          <w:bCs/>
          <w:color w:val="auto"/>
          <w:sz w:val="24"/>
          <w:szCs w:val="24"/>
          <w:highlight w:val="none"/>
          <w:lang w:eastAsia="zh-CN"/>
        </w:rPr>
        <w:t>乙方</w:t>
      </w:r>
      <w:r>
        <w:rPr>
          <w:rFonts w:hint="eastAsia" w:ascii="宋体" w:hAnsi="宋体"/>
          <w:bCs/>
          <w:color w:val="auto"/>
          <w:sz w:val="24"/>
          <w:szCs w:val="24"/>
          <w:highlight w:val="none"/>
        </w:rPr>
        <w:t>应承</w:t>
      </w:r>
      <w:r>
        <w:rPr>
          <w:rFonts w:ascii="宋体" w:hAnsi="宋体"/>
          <w:bCs/>
          <w:color w:val="auto"/>
          <w:sz w:val="24"/>
          <w:szCs w:val="24"/>
          <w:highlight w:val="none"/>
        </w:rPr>
        <w:t>担由此产生的一切法律和经济责任。</w:t>
      </w:r>
    </w:p>
    <w:p>
      <w:pPr>
        <w:pStyle w:val="2"/>
        <w:numPr>
          <w:ilvl w:val="0"/>
          <w:numId w:val="0"/>
        </w:numPr>
        <w:tabs>
          <w:tab w:val="left" w:pos="208"/>
        </w:tabs>
        <w:spacing w:line="360" w:lineRule="auto"/>
        <w:ind w:firstLine="480"/>
        <w:rPr>
          <w:rFonts w:hint="eastAsia" w:ascii="宋体" w:hAnsi="宋体"/>
          <w:bCs/>
          <w:color w:val="auto"/>
          <w:sz w:val="24"/>
          <w:szCs w:val="24"/>
          <w:highlight w:val="none"/>
        </w:rPr>
      </w:pPr>
      <w:r>
        <w:rPr>
          <w:rFonts w:hint="eastAsia" w:ascii="宋体" w:hAnsi="宋体"/>
          <w:bCs/>
          <w:color w:val="auto"/>
          <w:sz w:val="24"/>
          <w:szCs w:val="24"/>
          <w:highlight w:val="none"/>
        </w:rPr>
        <w:t>投标书中对该项内容提交</w:t>
      </w:r>
      <w:r>
        <w:rPr>
          <w:rFonts w:hint="eastAsia" w:ascii="宋体" w:hAnsi="宋体"/>
          <w:bCs/>
          <w:color w:val="auto"/>
          <w:sz w:val="24"/>
          <w:szCs w:val="24"/>
          <w:highlight w:val="none"/>
          <w:lang w:eastAsia="zh-CN"/>
        </w:rPr>
        <w:t>的</w:t>
      </w:r>
      <w:r>
        <w:rPr>
          <w:rFonts w:hint="eastAsia" w:ascii="宋体" w:hAnsi="宋体"/>
          <w:bCs/>
          <w:color w:val="auto"/>
          <w:sz w:val="24"/>
          <w:szCs w:val="24"/>
          <w:highlight w:val="none"/>
        </w:rPr>
        <w:t>书面承诺书，作为签订项目保密合同的依据，并作为合同密不可分的一部分。</w:t>
      </w:r>
    </w:p>
    <w:p>
      <w:pPr>
        <w:pStyle w:val="2"/>
        <w:numPr>
          <w:ilvl w:val="0"/>
          <w:numId w:val="0"/>
        </w:numPr>
        <w:tabs>
          <w:tab w:val="left" w:pos="208"/>
        </w:tabs>
        <w:spacing w:line="360" w:lineRule="auto"/>
        <w:ind w:firstLine="480"/>
        <w:rPr>
          <w:rFonts w:hint="eastAsia" w:hAnsi="宋体"/>
          <w:color w:val="auto"/>
          <w:sz w:val="24"/>
          <w:szCs w:val="24"/>
          <w:highlight w:val="none"/>
        </w:rPr>
      </w:pPr>
      <w:r>
        <w:rPr>
          <w:rFonts w:hint="eastAsia" w:ascii="宋体" w:hAnsi="宋体"/>
          <w:bCs/>
          <w:color w:val="auto"/>
          <w:sz w:val="24"/>
          <w:szCs w:val="24"/>
          <w:highlight w:val="none"/>
          <w:lang w:eastAsia="zh-CN"/>
        </w:rPr>
        <w:t>（</w:t>
      </w:r>
      <w:r>
        <w:rPr>
          <w:rFonts w:hint="eastAsia" w:ascii="宋体" w:hAnsi="宋体"/>
          <w:bCs/>
          <w:color w:val="auto"/>
          <w:sz w:val="24"/>
          <w:szCs w:val="24"/>
          <w:highlight w:val="none"/>
          <w:lang w:val="en-US" w:eastAsia="zh-CN"/>
        </w:rPr>
        <w:t>2</w:t>
      </w:r>
      <w:r>
        <w:rPr>
          <w:rFonts w:hint="eastAsia" w:ascii="宋体" w:hAnsi="宋体"/>
          <w:bCs/>
          <w:color w:val="auto"/>
          <w:sz w:val="24"/>
          <w:szCs w:val="24"/>
          <w:highlight w:val="none"/>
          <w:lang w:eastAsia="zh-CN"/>
        </w:rPr>
        <w:t>）</w:t>
      </w:r>
      <w:r>
        <w:rPr>
          <w:rFonts w:hint="eastAsia" w:ascii="宋体" w:hAnsi="宋体"/>
          <w:color w:val="auto"/>
          <w:sz w:val="24"/>
          <w:szCs w:val="24"/>
          <w:highlight w:val="none"/>
        </w:rPr>
        <w:t>版权与保密。</w:t>
      </w:r>
      <w:r>
        <w:rPr>
          <w:rFonts w:hint="eastAsia" w:hAnsi="宋体"/>
          <w:color w:val="auto"/>
          <w:sz w:val="24"/>
          <w:szCs w:val="24"/>
          <w:highlight w:val="none"/>
        </w:rPr>
        <w:t>本项目所有成果的版权属</w:t>
      </w:r>
      <w:r>
        <w:rPr>
          <w:rFonts w:hint="eastAsia" w:hAnsi="宋体"/>
          <w:color w:val="auto"/>
          <w:sz w:val="24"/>
          <w:szCs w:val="24"/>
          <w:highlight w:val="none"/>
          <w:lang w:eastAsia="zh-CN"/>
        </w:rPr>
        <w:t>甲方</w:t>
      </w:r>
      <w:r>
        <w:rPr>
          <w:rFonts w:hint="eastAsia" w:hAnsi="宋体"/>
          <w:color w:val="auto"/>
          <w:sz w:val="24"/>
          <w:szCs w:val="24"/>
          <w:highlight w:val="none"/>
        </w:rPr>
        <w:t>所有，未经同意，</w:t>
      </w:r>
      <w:r>
        <w:rPr>
          <w:rFonts w:hint="eastAsia" w:hAnsi="宋体"/>
          <w:color w:val="auto"/>
          <w:sz w:val="24"/>
          <w:szCs w:val="24"/>
          <w:highlight w:val="none"/>
          <w:lang w:eastAsia="zh-CN"/>
        </w:rPr>
        <w:t>乙方</w:t>
      </w:r>
      <w:r>
        <w:rPr>
          <w:rFonts w:hint="eastAsia" w:hAnsi="宋体"/>
          <w:color w:val="auto"/>
          <w:sz w:val="24"/>
          <w:szCs w:val="24"/>
          <w:highlight w:val="none"/>
        </w:rPr>
        <w:t>不得自行删除、复制、修改、转移数据，亦不得以任何形式向第三方提供；</w:t>
      </w:r>
      <w:r>
        <w:rPr>
          <w:rFonts w:hint="eastAsia" w:hAnsi="宋体"/>
          <w:color w:val="auto"/>
          <w:sz w:val="24"/>
          <w:szCs w:val="24"/>
          <w:highlight w:val="none"/>
          <w:lang w:eastAsia="zh-CN"/>
        </w:rPr>
        <w:t>甲方</w:t>
      </w:r>
      <w:r>
        <w:rPr>
          <w:rFonts w:hint="eastAsia" w:hAnsi="宋体"/>
          <w:color w:val="auto"/>
          <w:sz w:val="24"/>
          <w:szCs w:val="24"/>
          <w:highlight w:val="none"/>
        </w:rPr>
        <w:t>提供的任何业务资料，</w:t>
      </w:r>
      <w:r>
        <w:rPr>
          <w:rFonts w:hint="eastAsia" w:hAnsi="宋体"/>
          <w:color w:val="auto"/>
          <w:sz w:val="24"/>
          <w:szCs w:val="24"/>
          <w:highlight w:val="none"/>
          <w:lang w:eastAsia="zh-CN"/>
        </w:rPr>
        <w:t>乙方</w:t>
      </w:r>
      <w:r>
        <w:rPr>
          <w:rFonts w:hint="eastAsia" w:hAnsi="宋体"/>
          <w:color w:val="auto"/>
          <w:sz w:val="24"/>
          <w:szCs w:val="24"/>
          <w:highlight w:val="none"/>
        </w:rPr>
        <w:t>需认真保管、严格保密，并在使用完毕后及时归还。</w:t>
      </w:r>
    </w:p>
    <w:p>
      <w:pPr>
        <w:pStyle w:val="2"/>
        <w:numPr>
          <w:ilvl w:val="0"/>
          <w:numId w:val="0"/>
        </w:numPr>
        <w:tabs>
          <w:tab w:val="left" w:pos="208"/>
        </w:tabs>
        <w:spacing w:line="360" w:lineRule="auto"/>
        <w:ind w:leftChars="0" w:firstLine="480" w:firstLineChars="200"/>
        <w:rPr>
          <w:rFonts w:hint="eastAsia" w:hAnsi="宋体"/>
          <w:color w:val="auto"/>
          <w:sz w:val="24"/>
          <w:szCs w:val="24"/>
          <w:highlight w:val="none"/>
        </w:rPr>
      </w:pPr>
      <w:r>
        <w:rPr>
          <w:rFonts w:hint="eastAsia" w:ascii="宋体" w:hAnsi="宋体" w:cs="宋体"/>
          <w:color w:val="auto"/>
          <w:sz w:val="24"/>
          <w:szCs w:val="24"/>
          <w:highlight w:val="none"/>
        </w:rPr>
        <w:t>（3）</w:t>
      </w:r>
      <w:r>
        <w:rPr>
          <w:rFonts w:hint="eastAsia" w:hAnsi="宋体"/>
          <w:color w:val="auto"/>
          <w:sz w:val="24"/>
          <w:szCs w:val="24"/>
          <w:highlight w:val="none"/>
        </w:rPr>
        <w:t>保密期限：永久。</w:t>
      </w:r>
    </w:p>
    <w:p>
      <w:pPr>
        <w:pStyle w:val="2"/>
        <w:numPr>
          <w:ilvl w:val="0"/>
          <w:numId w:val="0"/>
        </w:numPr>
        <w:tabs>
          <w:tab w:val="left" w:pos="208"/>
        </w:tabs>
        <w:spacing w:line="360" w:lineRule="auto"/>
        <w:ind w:leftChars="0" w:firstLine="482" w:firstLineChars="200"/>
        <w:rPr>
          <w:rFonts w:hint="eastAsia" w:ascii="宋体" w:hAnsi="宋体" w:cs="微软雅黑"/>
          <w:color w:val="auto"/>
          <w:sz w:val="24"/>
          <w:szCs w:val="24"/>
          <w:highlight w:val="none"/>
          <w:u w:val="none" w:color="auto"/>
          <w:lang w:val="en-US" w:eastAsia="zh-CN"/>
        </w:rPr>
      </w:pPr>
      <w:r>
        <w:rPr>
          <w:rFonts w:hint="eastAsia" w:ascii="宋体" w:hAnsi="宋体" w:cs="微软雅黑"/>
          <w:b/>
          <w:bCs/>
          <w:color w:val="auto"/>
          <w:sz w:val="24"/>
          <w:szCs w:val="24"/>
          <w:highlight w:val="none"/>
          <w:u w:val="none" w:color="auto"/>
          <w:lang w:val="en-US" w:eastAsia="zh-CN"/>
        </w:rPr>
        <w:t>7、关于转包或分包：</w:t>
      </w:r>
      <w:r>
        <w:rPr>
          <w:rFonts w:hint="eastAsia" w:ascii="宋体" w:hAnsi="宋体" w:cs="微软雅黑"/>
          <w:color w:val="auto"/>
          <w:sz w:val="24"/>
          <w:szCs w:val="24"/>
          <w:highlight w:val="none"/>
          <w:u w:val="none" w:color="auto"/>
          <w:lang w:val="en-US" w:eastAsia="zh-CN"/>
        </w:rPr>
        <w:t>本项目不允许分包或转包，如乙方有分包或转包行为的，甲方有权解除采购合同。</w:t>
      </w:r>
    </w:p>
    <w:p>
      <w:pPr>
        <w:pStyle w:val="2"/>
        <w:numPr>
          <w:ilvl w:val="0"/>
          <w:numId w:val="0"/>
        </w:numPr>
        <w:tabs>
          <w:tab w:val="left" w:pos="208"/>
        </w:tabs>
        <w:spacing w:line="360" w:lineRule="auto"/>
        <w:ind w:leftChars="0" w:firstLine="482" w:firstLineChars="200"/>
        <w:outlineLvl w:val="0"/>
        <w:rPr>
          <w:rFonts w:hint="eastAsia"/>
          <w:b/>
          <w:bCs/>
          <w:color w:val="auto"/>
          <w:sz w:val="24"/>
          <w:szCs w:val="24"/>
          <w:highlight w:val="none"/>
          <w:lang w:eastAsia="zh-CN"/>
        </w:rPr>
      </w:pPr>
      <w:r>
        <w:rPr>
          <w:rFonts w:hint="eastAsia"/>
          <w:b/>
          <w:bCs/>
          <w:color w:val="auto"/>
          <w:sz w:val="24"/>
          <w:szCs w:val="24"/>
          <w:highlight w:val="none"/>
          <w:lang w:val="en-US" w:eastAsia="zh-CN"/>
        </w:rPr>
        <w:t>第五条</w:t>
      </w:r>
      <w:r>
        <w:rPr>
          <w:rFonts w:hint="eastAsia"/>
          <w:b/>
          <w:bCs/>
          <w:color w:val="auto"/>
          <w:sz w:val="24"/>
          <w:szCs w:val="24"/>
          <w:highlight w:val="none"/>
        </w:rPr>
        <w:t>、违约责任</w:t>
      </w:r>
      <w:r>
        <w:rPr>
          <w:rFonts w:hint="eastAsia"/>
          <w:b/>
          <w:bCs/>
          <w:color w:val="auto"/>
          <w:sz w:val="24"/>
          <w:szCs w:val="24"/>
          <w:highlight w:val="none"/>
          <w:lang w:eastAsia="zh-CN"/>
        </w:rPr>
        <w:t>、</w:t>
      </w:r>
    </w:p>
    <w:p>
      <w:pPr>
        <w:pStyle w:val="2"/>
        <w:numPr>
          <w:ilvl w:val="0"/>
          <w:numId w:val="0"/>
        </w:numPr>
        <w:tabs>
          <w:tab w:val="left" w:pos="208"/>
        </w:tabs>
        <w:spacing w:line="360" w:lineRule="auto"/>
        <w:ind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1．违反本合同约定，造成本合同不能履行或不能完全履行，由违约方承担违约责任，违约方应按</w:t>
      </w:r>
      <w:r>
        <w:rPr>
          <w:rFonts w:hint="eastAsia" w:ascii="宋体" w:hAnsi="宋体" w:cs="宋体"/>
          <w:color w:val="auto"/>
          <w:sz w:val="24"/>
          <w:szCs w:val="24"/>
          <w:highlight w:val="none"/>
          <w:lang w:val="en-US" w:eastAsia="zh-CN"/>
        </w:rPr>
        <w:t>民法典</w:t>
      </w:r>
      <w:r>
        <w:rPr>
          <w:rFonts w:hint="eastAsia" w:ascii="宋体" w:hAnsi="宋体" w:cs="宋体"/>
          <w:color w:val="auto"/>
          <w:sz w:val="24"/>
          <w:szCs w:val="24"/>
          <w:highlight w:val="none"/>
        </w:rPr>
        <w:t>赔偿对方经济损失。</w:t>
      </w:r>
    </w:p>
    <w:p>
      <w:pPr>
        <w:pStyle w:val="2"/>
        <w:numPr>
          <w:ilvl w:val="0"/>
          <w:numId w:val="0"/>
        </w:numPr>
        <w:tabs>
          <w:tab w:val="left" w:pos="208"/>
        </w:tabs>
        <w:spacing w:line="360" w:lineRule="auto"/>
        <w:ind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2．甲方无故逾期验收和办理款项支付手续的,甲方应按逾期付款总额每日</w:t>
      </w:r>
      <w:r>
        <w:rPr>
          <w:rFonts w:hint="eastAsia" w:ascii="宋体" w:hAnsi="宋体" w:cs="宋体"/>
          <w:color w:val="auto"/>
          <w:sz w:val="24"/>
          <w:szCs w:val="24"/>
          <w:highlight w:val="none"/>
          <w:lang w:val="en-US" w:eastAsia="zh-CN"/>
        </w:rPr>
        <w:t>500元</w:t>
      </w:r>
      <w:r>
        <w:rPr>
          <w:rFonts w:hint="eastAsia" w:ascii="宋体" w:hAnsi="宋体" w:cs="宋体"/>
          <w:color w:val="auto"/>
          <w:sz w:val="24"/>
          <w:szCs w:val="24"/>
          <w:highlight w:val="none"/>
        </w:rPr>
        <w:t>支付违约金。</w:t>
      </w:r>
    </w:p>
    <w:p>
      <w:pPr>
        <w:pStyle w:val="2"/>
        <w:numPr>
          <w:ilvl w:val="0"/>
          <w:numId w:val="0"/>
        </w:numPr>
        <w:tabs>
          <w:tab w:val="left" w:pos="208"/>
        </w:tabs>
        <w:spacing w:line="360" w:lineRule="auto"/>
        <w:ind w:leftChars="0"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3.乙方监理不到位产生质量问题导致项目延期，每日向甲方支付500元作为违约金。项目验收时，乙方不能提供合同约定内容的相关佐证资料的，甲方可解除本合同，并可以要求乙方退还已支付的款项，</w:t>
      </w:r>
      <w:r>
        <w:rPr>
          <w:rFonts w:hint="eastAsia" w:hAnsi="宋体"/>
          <w:color w:val="auto"/>
          <w:sz w:val="24"/>
          <w:szCs w:val="24"/>
          <w:highlight w:val="none"/>
          <w:lang w:val="en-US" w:eastAsia="zh-CN"/>
        </w:rPr>
        <w:t>履约保证金不予退还</w:t>
      </w:r>
      <w:r>
        <w:rPr>
          <w:rFonts w:hint="eastAsia" w:ascii="宋体" w:hAnsi="宋体"/>
          <w:color w:val="auto"/>
          <w:sz w:val="24"/>
          <w:szCs w:val="24"/>
          <w:highlight w:val="none"/>
          <w:lang w:val="en-US" w:eastAsia="zh-CN"/>
        </w:rPr>
        <w:t>，如造成甲方损失超过违约金的，超出部分由乙方继续承担赔偿责任。</w:t>
      </w:r>
    </w:p>
    <w:p>
      <w:pPr>
        <w:pStyle w:val="2"/>
        <w:numPr>
          <w:ilvl w:val="0"/>
          <w:numId w:val="0"/>
        </w:numPr>
        <w:tabs>
          <w:tab w:val="left" w:pos="208"/>
        </w:tabs>
        <w:spacing w:line="360" w:lineRule="auto"/>
        <w:ind w:leftChars="0" w:firstLine="480" w:firstLineChars="200"/>
        <w:rPr>
          <w:rFonts w:ascii="宋体" w:hAnsi="宋体"/>
          <w:bCs/>
          <w:color w:val="auto"/>
          <w:sz w:val="24"/>
          <w:szCs w:val="24"/>
          <w:highlight w:val="none"/>
        </w:rPr>
      </w:pPr>
      <w:r>
        <w:rPr>
          <w:rFonts w:hint="eastAsia" w:ascii="宋体" w:hAnsi="宋体"/>
          <w:color w:val="auto"/>
          <w:highlight w:val="none"/>
          <w:lang w:val="en-US" w:eastAsia="zh-CN"/>
        </w:rPr>
        <w:t>4.</w:t>
      </w:r>
      <w:r>
        <w:rPr>
          <w:rFonts w:hint="eastAsia" w:ascii="宋体" w:hAnsi="宋体"/>
          <w:bCs/>
          <w:color w:val="auto"/>
          <w:sz w:val="24"/>
          <w:szCs w:val="24"/>
          <w:highlight w:val="none"/>
        </w:rPr>
        <w:t>如乙方违反保密约定的</w:t>
      </w:r>
      <w:r>
        <w:rPr>
          <w:rFonts w:ascii="宋体" w:hAnsi="宋体"/>
          <w:bCs/>
          <w:color w:val="auto"/>
          <w:sz w:val="24"/>
          <w:szCs w:val="24"/>
          <w:highlight w:val="none"/>
        </w:rPr>
        <w:t>，</w:t>
      </w:r>
      <w:r>
        <w:rPr>
          <w:rFonts w:hint="eastAsia" w:ascii="宋体" w:hAnsi="宋体"/>
          <w:bCs/>
          <w:color w:val="auto"/>
          <w:sz w:val="24"/>
          <w:szCs w:val="24"/>
          <w:highlight w:val="none"/>
        </w:rPr>
        <w:t>应承担赔偿损失</w:t>
      </w:r>
      <w:r>
        <w:rPr>
          <w:rFonts w:ascii="宋体" w:hAnsi="宋体"/>
          <w:bCs/>
          <w:color w:val="auto"/>
          <w:sz w:val="24"/>
          <w:szCs w:val="24"/>
          <w:highlight w:val="none"/>
        </w:rPr>
        <w:t>，</w:t>
      </w:r>
      <w:r>
        <w:rPr>
          <w:rFonts w:hint="eastAsia" w:hAnsi="宋体"/>
          <w:bCs/>
          <w:color w:val="auto"/>
          <w:sz w:val="24"/>
          <w:szCs w:val="24"/>
          <w:highlight w:val="none"/>
          <w:lang w:eastAsia="zh-CN"/>
        </w:rPr>
        <w:t>履约保证金不予退还</w:t>
      </w:r>
      <w:r>
        <w:rPr>
          <w:rFonts w:ascii="宋体" w:hAnsi="宋体"/>
          <w:bCs/>
          <w:color w:val="auto"/>
          <w:sz w:val="24"/>
          <w:szCs w:val="24"/>
          <w:highlight w:val="none"/>
        </w:rPr>
        <w:t>。</w:t>
      </w:r>
    </w:p>
    <w:p>
      <w:pPr>
        <w:rPr>
          <w:color w:val="auto"/>
          <w:highlight w:val="none"/>
        </w:rPr>
      </w:pPr>
    </w:p>
    <w:p>
      <w:pPr>
        <w:pStyle w:val="2"/>
        <w:numPr>
          <w:ilvl w:val="0"/>
          <w:numId w:val="0"/>
        </w:numPr>
        <w:tabs>
          <w:tab w:val="left" w:pos="208"/>
        </w:tabs>
        <w:spacing w:line="360" w:lineRule="auto"/>
        <w:outlineLvl w:val="0"/>
        <w:rPr>
          <w:rFonts w:hint="eastAsia" w:ascii="宋体" w:hAnsi="宋体" w:cs="宋体"/>
          <w:b/>
          <w:color w:val="auto"/>
          <w:sz w:val="24"/>
          <w:szCs w:val="24"/>
          <w:highlight w:val="none"/>
        </w:rPr>
      </w:pPr>
      <w:r>
        <w:rPr>
          <w:rFonts w:hint="eastAsia" w:ascii="宋体" w:hAnsi="宋体" w:cs="宋体"/>
          <w:b/>
          <w:color w:val="auto"/>
          <w:sz w:val="24"/>
          <w:szCs w:val="24"/>
          <w:highlight w:val="none"/>
          <w:lang w:val="en-US" w:eastAsia="zh-CN"/>
        </w:rPr>
        <w:t>第六条</w:t>
      </w:r>
      <w:r>
        <w:rPr>
          <w:rFonts w:hint="eastAsia" w:ascii="宋体" w:hAnsi="宋体" w:cs="宋体"/>
          <w:b/>
          <w:color w:val="auto"/>
          <w:sz w:val="24"/>
          <w:szCs w:val="24"/>
          <w:highlight w:val="none"/>
        </w:rPr>
        <w:t>、不可抗力事件处理</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1.在合同有效期内，任何一方因不可抗力事件导致不能履行合同，则合同履行期可延长，其延长期与不可抗力影响期相同。</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2.当事人一方因不可抗力不能履行合同的，应当及时通知对方，以减轻可能给对方造成的损失。</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3.不可抗力事件延续20天以上，双方应通过友好协商，确定是否继续履行合同。</w:t>
      </w:r>
    </w:p>
    <w:p>
      <w:pPr>
        <w:pStyle w:val="2"/>
        <w:numPr>
          <w:ilvl w:val="0"/>
          <w:numId w:val="0"/>
        </w:numPr>
        <w:tabs>
          <w:tab w:val="left" w:pos="208"/>
        </w:tabs>
        <w:spacing w:line="360" w:lineRule="auto"/>
        <w:outlineLvl w:val="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第七条</w:t>
      </w:r>
      <w:r>
        <w:rPr>
          <w:rFonts w:hint="eastAsia" w:ascii="宋体" w:hAnsi="宋体" w:cs="宋体"/>
          <w:b/>
          <w:bCs/>
          <w:color w:val="auto"/>
          <w:sz w:val="24"/>
          <w:szCs w:val="24"/>
          <w:highlight w:val="none"/>
        </w:rPr>
        <w:t>、合同争议处理方式</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双方在执行合同中所发生的一切争议，应通过协商解决。如协商不成，可向甲方所在地法院起诉。</w:t>
      </w:r>
    </w:p>
    <w:p>
      <w:pPr>
        <w:pStyle w:val="2"/>
        <w:numPr>
          <w:ilvl w:val="0"/>
          <w:numId w:val="0"/>
        </w:numPr>
        <w:tabs>
          <w:tab w:val="left" w:pos="208"/>
        </w:tabs>
        <w:spacing w:line="360" w:lineRule="auto"/>
        <w:outlineLvl w:val="0"/>
        <w:rPr>
          <w:rFonts w:hint="eastAsia" w:ascii="宋体" w:hAnsi="宋体" w:cs="宋体"/>
          <w:b/>
          <w:color w:val="auto"/>
          <w:sz w:val="24"/>
          <w:szCs w:val="24"/>
          <w:highlight w:val="none"/>
        </w:rPr>
      </w:pPr>
      <w:r>
        <w:rPr>
          <w:rFonts w:hint="eastAsia" w:ascii="宋体" w:hAnsi="宋体" w:cs="宋体"/>
          <w:b/>
          <w:color w:val="auto"/>
          <w:sz w:val="24"/>
          <w:szCs w:val="24"/>
          <w:highlight w:val="none"/>
          <w:lang w:val="en-US" w:eastAsia="zh-CN"/>
        </w:rPr>
        <w:t>第八条、</w:t>
      </w:r>
      <w:r>
        <w:rPr>
          <w:rFonts w:hint="eastAsia" w:ascii="宋体" w:hAnsi="宋体" w:cs="宋体"/>
          <w:b/>
          <w:color w:val="auto"/>
          <w:sz w:val="24"/>
          <w:szCs w:val="24"/>
          <w:highlight w:val="none"/>
        </w:rPr>
        <w:t>合同生效及其它</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1.合同经双方法定代表人或授权代表签字并加盖单位公章后生效。</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甲方联系人：         ，联系方式：     </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乙方联系人：         ，联系方式：</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hAnsi="宋体" w:cs="宋体"/>
          <w:color w:val="auto"/>
          <w:sz w:val="24"/>
          <w:szCs w:val="24"/>
          <w:highlight w:val="none"/>
          <w:lang w:val="en-US" w:eastAsia="zh-CN"/>
        </w:rPr>
        <w:t>经开区</w:t>
      </w:r>
      <w:r>
        <w:rPr>
          <w:rFonts w:hint="eastAsia" w:ascii="宋体" w:hAnsi="宋体" w:cs="宋体"/>
          <w:color w:val="auto"/>
          <w:sz w:val="24"/>
          <w:szCs w:val="24"/>
          <w:highlight w:val="none"/>
          <w:lang w:val="en-US" w:eastAsia="zh-CN"/>
        </w:rPr>
        <w:t>地下管线普查任务</w:t>
      </w:r>
      <w:r>
        <w:rPr>
          <w:rFonts w:hint="eastAsia" w:ascii="宋体" w:hAnsi="宋体" w:cs="宋体"/>
          <w:color w:val="auto"/>
          <w:sz w:val="24"/>
          <w:szCs w:val="24"/>
          <w:highlight w:val="none"/>
          <w:lang w:val="zh-TW" w:eastAsia="zh-CN"/>
        </w:rPr>
        <w:t xml:space="preserve">项目 </w:t>
      </w:r>
      <w:r>
        <w:rPr>
          <w:rFonts w:hint="eastAsia" w:ascii="宋体" w:hAnsi="宋体" w:cs="宋体"/>
          <w:color w:val="auto"/>
          <w:sz w:val="24"/>
          <w:szCs w:val="24"/>
          <w:highlight w:val="none"/>
        </w:rPr>
        <w:t>（采购编号：</w:t>
      </w:r>
      <w:r>
        <w:rPr>
          <w:rFonts w:hint="eastAsia" w:hAnsi="宋体" w:cs="宋体"/>
          <w:color w:val="auto"/>
          <w:sz w:val="24"/>
          <w:szCs w:val="24"/>
          <w:highlight w:val="none"/>
          <w:lang w:val="en-US" w:eastAsia="zh-CN"/>
        </w:rPr>
        <w:t xml:space="preserve">  </w:t>
      </w:r>
      <w:r>
        <w:rPr>
          <w:rFonts w:hint="eastAsia" w:ascii="宋体" w:hAnsi="宋体" w:cs="宋体"/>
          <w:color w:val="auto"/>
          <w:sz w:val="24"/>
          <w:szCs w:val="24"/>
          <w:highlight w:val="none"/>
        </w:rPr>
        <w:t>）采购文件以及采购响应文件、询标纪要、“承诺书”等是本合同不可分割的组成部分，本合同未尽事宜从其规定。其它按《</w:t>
      </w:r>
      <w:r>
        <w:rPr>
          <w:rFonts w:hint="eastAsia" w:ascii="宋体" w:hAnsi="宋体" w:cs="宋体"/>
          <w:color w:val="auto"/>
          <w:sz w:val="24"/>
          <w:szCs w:val="24"/>
          <w:highlight w:val="none"/>
          <w:lang w:val="en-US" w:eastAsia="zh-CN"/>
        </w:rPr>
        <w:t>民法典</w:t>
      </w:r>
      <w:r>
        <w:rPr>
          <w:rFonts w:hint="eastAsia" w:ascii="宋体" w:hAnsi="宋体" w:cs="宋体"/>
          <w:color w:val="auto"/>
          <w:sz w:val="24"/>
          <w:szCs w:val="24"/>
          <w:highlight w:val="none"/>
        </w:rPr>
        <w:t>》有关条文执行。</w:t>
      </w:r>
    </w:p>
    <w:p>
      <w:pPr>
        <w:pStyle w:val="2"/>
        <w:numPr>
          <w:ilvl w:val="0"/>
          <w:numId w:val="0"/>
        </w:numPr>
        <w:tabs>
          <w:tab w:val="left" w:pos="208"/>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3.本合同执行过程中的未尽事宜，双方应本着实事求是友好协商的态度加以解决。双方协商一致的，签订补充协议。补充协议与本合同具有同等效力。</w:t>
      </w:r>
    </w:p>
    <w:p>
      <w:pPr>
        <w:pStyle w:val="2"/>
        <w:numPr>
          <w:ilvl w:val="0"/>
          <w:numId w:val="0"/>
        </w:numPr>
        <w:tabs>
          <w:tab w:val="left" w:pos="208"/>
        </w:tabs>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4.本合同一式陆份，具有同等法律效力，甲乙双方各执</w:t>
      </w:r>
      <w:r>
        <w:rPr>
          <w:rFonts w:hint="eastAsia" w:hAnsi="宋体" w:cs="宋体"/>
          <w:color w:val="auto"/>
          <w:sz w:val="24"/>
          <w:szCs w:val="24"/>
          <w:highlight w:val="none"/>
          <w:lang w:eastAsia="zh-CN"/>
        </w:rPr>
        <w:t>叁</w:t>
      </w:r>
      <w:r>
        <w:rPr>
          <w:rFonts w:hint="eastAsia" w:ascii="宋体" w:hAnsi="宋体" w:cs="宋体"/>
          <w:color w:val="auto"/>
          <w:sz w:val="24"/>
          <w:szCs w:val="24"/>
          <w:highlight w:val="none"/>
        </w:rPr>
        <w:t>份。</w:t>
      </w:r>
    </w:p>
    <w:p>
      <w:pPr>
        <w:spacing w:line="360" w:lineRule="auto"/>
        <w:ind w:firstLine="480" w:firstLineChars="200"/>
        <w:outlineLvl w:val="0"/>
        <w:rPr>
          <w:rStyle w:val="343"/>
          <w:rFonts w:hint="eastAsia" w:ascii="仿宋" w:hAnsi="仿宋" w:eastAsia="仿宋" w:cs="仿宋"/>
          <w:color w:val="auto"/>
          <w:sz w:val="24"/>
          <w:szCs w:val="24"/>
          <w:highlight w:val="none"/>
          <w:lang w:val="en-US" w:eastAsia="zh-CN"/>
        </w:rPr>
      </w:pPr>
      <w:r>
        <w:rPr>
          <w:rStyle w:val="343"/>
          <w:rFonts w:hint="eastAsia" w:ascii="仿宋" w:hAnsi="仿宋" w:eastAsia="仿宋" w:cs="仿宋"/>
          <w:color w:val="auto"/>
          <w:sz w:val="24"/>
          <w:szCs w:val="24"/>
          <w:highlight w:val="none"/>
          <w:lang w:val="en-US" w:eastAsia="zh-CN"/>
        </w:rPr>
        <w:t>5、落实中标后人员配备及到位，配备人员非必要不允许更换，若更换必须经甲方认可，更换后项目班组成员能力、资信等不能低于原配置人员，且每更换一人次乙方向甲方支付违约金人民币5000元，项目负责人及技术负责人非不可抗力不允许更换。</w:t>
      </w:r>
    </w:p>
    <w:p>
      <w:pPr>
        <w:spacing w:line="360" w:lineRule="auto"/>
        <w:ind w:firstLine="480" w:firstLineChars="200"/>
        <w:outlineLvl w:val="0"/>
        <w:rPr>
          <w:rStyle w:val="343"/>
          <w:rFonts w:hint="eastAsia" w:ascii="仿宋" w:hAnsi="仿宋" w:eastAsia="仿宋" w:cs="仿宋"/>
          <w:color w:val="auto"/>
          <w:sz w:val="24"/>
          <w:szCs w:val="24"/>
          <w:highlight w:val="none"/>
          <w:lang w:val="en-US" w:eastAsia="zh-CN"/>
        </w:rPr>
      </w:pPr>
      <w:r>
        <w:rPr>
          <w:rStyle w:val="343"/>
          <w:rFonts w:hint="eastAsia" w:ascii="仿宋" w:hAnsi="仿宋" w:eastAsia="仿宋" w:cs="仿宋"/>
          <w:color w:val="auto"/>
          <w:sz w:val="24"/>
          <w:szCs w:val="24"/>
          <w:highlight w:val="none"/>
          <w:lang w:val="en-US" w:eastAsia="zh-CN"/>
        </w:rPr>
        <w:t>不可抗力需要更换人员的，应经过甲方认可，配备资信不低于原委派人员，由甲方视情况决定是否处罚，处罚方式为警告、扣除违约金一人次人民币10000元、取消合同并</w:t>
      </w:r>
      <w:r>
        <w:rPr>
          <w:rFonts w:hint="eastAsia"/>
          <w:color w:val="auto"/>
          <w:highlight w:val="none"/>
          <w:lang w:val="en-US" w:eastAsia="zh-CN"/>
        </w:rPr>
        <w:t>扣除履约保证金</w:t>
      </w:r>
      <w:r>
        <w:rPr>
          <w:rStyle w:val="343"/>
          <w:rFonts w:hint="eastAsia" w:ascii="仿宋" w:hAnsi="仿宋" w:eastAsia="仿宋" w:cs="仿宋"/>
          <w:color w:val="auto"/>
          <w:sz w:val="24"/>
          <w:szCs w:val="24"/>
          <w:highlight w:val="none"/>
          <w:lang w:val="en-US" w:eastAsia="zh-CN"/>
        </w:rPr>
        <w:t>等。</w:t>
      </w:r>
    </w:p>
    <w:p>
      <w:pPr>
        <w:spacing w:line="360" w:lineRule="auto"/>
        <w:ind w:firstLine="480" w:firstLineChars="200"/>
        <w:outlineLvl w:val="0"/>
        <w:rPr>
          <w:rStyle w:val="343"/>
          <w:rFonts w:hint="default" w:ascii="仿宋" w:hAnsi="仿宋" w:eastAsia="仿宋" w:cs="仿宋"/>
          <w:color w:val="auto"/>
          <w:sz w:val="24"/>
          <w:szCs w:val="24"/>
          <w:highlight w:val="none"/>
          <w:lang w:val="en-US" w:eastAsia="zh-CN"/>
        </w:rPr>
      </w:pPr>
      <w:r>
        <w:rPr>
          <w:rStyle w:val="343"/>
          <w:rFonts w:hint="eastAsia" w:ascii="仿宋" w:hAnsi="仿宋" w:eastAsia="仿宋" w:cs="仿宋"/>
          <w:color w:val="auto"/>
          <w:sz w:val="24"/>
          <w:szCs w:val="24"/>
          <w:highlight w:val="none"/>
          <w:lang w:val="en-US" w:eastAsia="zh-CN"/>
        </w:rPr>
        <w:t>6、要求月度例会、专家论证会、专题讨论会、阶段工作总结会、阶段及最终验收会、问题通报会议总负责人及技术负责人必须参加，若有缺席，向甲方支付违约金一人次人民币5000元，累计缺席超过10次，甲方有权取消合同并</w:t>
      </w:r>
      <w:r>
        <w:rPr>
          <w:rFonts w:hint="eastAsia"/>
          <w:color w:val="auto"/>
          <w:highlight w:val="none"/>
          <w:lang w:val="en-US" w:eastAsia="zh-CN"/>
        </w:rPr>
        <w:t>扣除履约保证金</w:t>
      </w:r>
      <w:r>
        <w:rPr>
          <w:rStyle w:val="343"/>
          <w:rFonts w:hint="eastAsia" w:ascii="仿宋" w:hAnsi="仿宋" w:eastAsia="仿宋" w:cs="仿宋"/>
          <w:color w:val="auto"/>
          <w:sz w:val="24"/>
          <w:szCs w:val="24"/>
          <w:highlight w:val="none"/>
          <w:lang w:val="en-US" w:eastAsia="zh-CN"/>
        </w:rPr>
        <w:t>，造成损失的，将追究相关责任。</w:t>
      </w:r>
    </w:p>
    <w:p>
      <w:pPr>
        <w:pStyle w:val="7"/>
        <w:snapToGrid w:val="0"/>
        <w:spacing w:line="360" w:lineRule="auto"/>
        <w:ind w:firstLine="562" w:firstLineChars="200"/>
        <w:rPr>
          <w:rFonts w:hint="eastAsia" w:cs="宋体"/>
          <w:b/>
          <w:bCs/>
          <w:color w:val="auto"/>
          <w:sz w:val="28"/>
          <w:szCs w:val="28"/>
          <w:highlight w:val="none"/>
        </w:rPr>
      </w:pPr>
    </w:p>
    <w:p>
      <w:pPr>
        <w:pStyle w:val="7"/>
        <w:snapToGrid w:val="0"/>
        <w:spacing w:line="360" w:lineRule="auto"/>
        <w:ind w:firstLine="562" w:firstLineChars="200"/>
        <w:rPr>
          <w:rFonts w:hint="eastAsia" w:cs="宋体"/>
          <w:b/>
          <w:bCs/>
          <w:color w:val="auto"/>
          <w:sz w:val="28"/>
          <w:szCs w:val="28"/>
          <w:highlight w:val="none"/>
        </w:rPr>
      </w:pPr>
    </w:p>
    <w:p>
      <w:pPr>
        <w:pStyle w:val="7"/>
        <w:snapToGrid w:val="0"/>
        <w:spacing w:line="360" w:lineRule="auto"/>
        <w:ind w:firstLine="562" w:firstLineChars="200"/>
        <w:outlineLvl w:val="0"/>
        <w:rPr>
          <w:rFonts w:hint="eastAsia" w:cs="宋体"/>
          <w:b/>
          <w:bCs/>
          <w:color w:val="auto"/>
          <w:sz w:val="28"/>
          <w:szCs w:val="28"/>
          <w:highlight w:val="none"/>
        </w:rPr>
      </w:pPr>
      <w:r>
        <w:rPr>
          <w:rFonts w:hint="eastAsia" w:cs="宋体"/>
          <w:b/>
          <w:bCs/>
          <w:color w:val="auto"/>
          <w:sz w:val="28"/>
          <w:szCs w:val="28"/>
          <w:highlight w:val="none"/>
        </w:rPr>
        <w:t>注：本合同甲乙双方必须盖骑缝章。</w:t>
      </w:r>
    </w:p>
    <w:p>
      <w:pPr>
        <w:pStyle w:val="7"/>
        <w:snapToGrid w:val="0"/>
        <w:spacing w:line="360" w:lineRule="auto"/>
        <w:ind w:firstLine="360" w:firstLineChars="150"/>
        <w:rPr>
          <w:rFonts w:hint="eastAsia" w:cs="宋体"/>
          <w:color w:val="auto"/>
          <w:sz w:val="24"/>
          <w:szCs w:val="24"/>
          <w:highlight w:val="none"/>
        </w:rPr>
      </w:pPr>
      <w:r>
        <w:rPr>
          <w:rFonts w:hint="eastAsia" w:cs="宋体"/>
          <w:color w:val="auto"/>
          <w:sz w:val="24"/>
          <w:szCs w:val="24"/>
          <w:highlight w:val="none"/>
        </w:rPr>
        <w:t xml:space="preserve">甲方（盖章）：                            乙方（盖章）：                 </w:t>
      </w:r>
    </w:p>
    <w:p>
      <w:pPr>
        <w:pStyle w:val="7"/>
        <w:snapToGrid w:val="0"/>
        <w:spacing w:line="360" w:lineRule="auto"/>
        <w:ind w:firstLine="360" w:firstLineChars="150"/>
        <w:rPr>
          <w:rFonts w:hint="eastAsia" w:cs="宋体"/>
          <w:color w:val="auto"/>
          <w:sz w:val="24"/>
          <w:szCs w:val="24"/>
          <w:highlight w:val="none"/>
        </w:rPr>
      </w:pPr>
      <w:r>
        <w:rPr>
          <w:rFonts w:hint="eastAsia" w:cs="宋体"/>
          <w:color w:val="auto"/>
          <w:sz w:val="24"/>
          <w:szCs w:val="24"/>
          <w:highlight w:val="none"/>
        </w:rPr>
        <w:t xml:space="preserve">法定代表人或受委托人                     法定代表人或受委托人  </w:t>
      </w:r>
    </w:p>
    <w:p>
      <w:pPr>
        <w:pStyle w:val="7"/>
        <w:snapToGrid w:val="0"/>
        <w:spacing w:line="360" w:lineRule="auto"/>
        <w:ind w:firstLine="360" w:firstLineChars="150"/>
        <w:rPr>
          <w:rFonts w:hint="eastAsia" w:cs="宋体"/>
          <w:color w:val="auto"/>
          <w:sz w:val="24"/>
          <w:szCs w:val="24"/>
          <w:highlight w:val="none"/>
        </w:rPr>
      </w:pPr>
      <w:r>
        <w:rPr>
          <w:rFonts w:hint="eastAsia" w:cs="宋体"/>
          <w:color w:val="auto"/>
          <w:sz w:val="24"/>
          <w:szCs w:val="24"/>
          <w:highlight w:val="none"/>
        </w:rPr>
        <w:t xml:space="preserve">（签字）                                 （签字）  </w:t>
      </w:r>
    </w:p>
    <w:p>
      <w:pPr>
        <w:pStyle w:val="7"/>
        <w:snapToGrid w:val="0"/>
        <w:spacing w:line="360" w:lineRule="auto"/>
        <w:ind w:firstLine="360" w:firstLineChars="150"/>
        <w:rPr>
          <w:rFonts w:hint="eastAsia" w:cs="宋体"/>
          <w:color w:val="auto"/>
          <w:sz w:val="24"/>
          <w:szCs w:val="24"/>
          <w:highlight w:val="none"/>
        </w:rPr>
      </w:pPr>
      <w:r>
        <w:rPr>
          <w:rFonts w:hint="eastAsia" w:cs="宋体"/>
          <w:color w:val="auto"/>
          <w:sz w:val="24"/>
          <w:szCs w:val="24"/>
          <w:highlight w:val="none"/>
        </w:rPr>
        <w:t>地址：                                    地址：</w:t>
      </w:r>
    </w:p>
    <w:p>
      <w:pPr>
        <w:pStyle w:val="7"/>
        <w:snapToGrid w:val="0"/>
        <w:spacing w:line="360" w:lineRule="auto"/>
        <w:ind w:firstLine="360" w:firstLineChars="150"/>
        <w:rPr>
          <w:rFonts w:hint="eastAsia" w:cs="宋体"/>
          <w:color w:val="auto"/>
          <w:sz w:val="24"/>
          <w:szCs w:val="24"/>
          <w:highlight w:val="none"/>
        </w:rPr>
      </w:pPr>
      <w:r>
        <w:rPr>
          <w:rFonts w:hint="eastAsia" w:cs="宋体"/>
          <w:color w:val="auto"/>
          <w:sz w:val="24"/>
          <w:szCs w:val="24"/>
          <w:highlight w:val="none"/>
        </w:rPr>
        <w:t xml:space="preserve">邮编：                                    邮编： </w:t>
      </w:r>
    </w:p>
    <w:p>
      <w:pPr>
        <w:pStyle w:val="7"/>
        <w:snapToGrid w:val="0"/>
        <w:spacing w:line="360" w:lineRule="auto"/>
        <w:ind w:firstLine="360" w:firstLineChars="150"/>
        <w:rPr>
          <w:rFonts w:hint="eastAsia" w:cs="宋体"/>
          <w:color w:val="auto"/>
          <w:sz w:val="24"/>
          <w:szCs w:val="24"/>
          <w:highlight w:val="none"/>
        </w:rPr>
      </w:pPr>
      <w:r>
        <w:rPr>
          <w:rFonts w:hint="eastAsia" w:cs="宋体"/>
          <w:color w:val="auto"/>
          <w:sz w:val="24"/>
          <w:szCs w:val="24"/>
          <w:highlight w:val="none"/>
        </w:rPr>
        <w:t>电话：                                    电话：</w:t>
      </w:r>
    </w:p>
    <w:p>
      <w:pPr>
        <w:pStyle w:val="7"/>
        <w:snapToGrid w:val="0"/>
        <w:spacing w:line="360" w:lineRule="auto"/>
        <w:ind w:firstLine="360" w:firstLineChars="150"/>
        <w:rPr>
          <w:rFonts w:hint="eastAsia" w:cs="宋体"/>
          <w:color w:val="auto"/>
          <w:sz w:val="24"/>
          <w:szCs w:val="24"/>
          <w:highlight w:val="none"/>
        </w:rPr>
      </w:pPr>
      <w:r>
        <w:rPr>
          <w:rFonts w:hint="eastAsia" w:cs="宋体"/>
          <w:color w:val="auto"/>
          <w:sz w:val="24"/>
          <w:szCs w:val="24"/>
          <w:highlight w:val="none"/>
        </w:rPr>
        <w:t>传真：                                    传真：</w:t>
      </w:r>
    </w:p>
    <w:p>
      <w:pPr>
        <w:pStyle w:val="7"/>
        <w:snapToGrid w:val="0"/>
        <w:spacing w:line="360" w:lineRule="auto"/>
        <w:ind w:firstLine="360" w:firstLineChars="150"/>
        <w:rPr>
          <w:rFonts w:hint="eastAsia" w:cs="宋体"/>
          <w:color w:val="auto"/>
          <w:sz w:val="24"/>
          <w:szCs w:val="24"/>
          <w:highlight w:val="none"/>
        </w:rPr>
      </w:pPr>
      <w:r>
        <w:rPr>
          <w:rFonts w:hint="eastAsia" w:cs="宋体"/>
          <w:color w:val="auto"/>
          <w:sz w:val="24"/>
          <w:szCs w:val="24"/>
          <w:highlight w:val="none"/>
        </w:rPr>
        <w:t xml:space="preserve">开户银行：                                开户银行：  </w:t>
      </w:r>
    </w:p>
    <w:p>
      <w:pPr>
        <w:spacing w:line="360" w:lineRule="auto"/>
        <w:ind w:firstLine="240" w:firstLineChars="100"/>
        <w:rPr>
          <w:rFonts w:hint="eastAsia" w:ascii="仿宋" w:hAnsi="仿宋" w:eastAsia="仿宋" w:cs="仿宋"/>
          <w:bCs/>
          <w:color w:val="auto"/>
          <w:sz w:val="24"/>
          <w:highlight w:val="none"/>
        </w:rPr>
      </w:pPr>
      <w:r>
        <w:rPr>
          <w:rFonts w:hint="eastAsia" w:cs="宋体"/>
          <w:color w:val="auto"/>
          <w:sz w:val="24"/>
          <w:szCs w:val="24"/>
          <w:highlight w:val="none"/>
        </w:rPr>
        <w:t>帐号：                                    帐号：</w:t>
      </w:r>
      <w:r>
        <w:rPr>
          <w:rFonts w:hint="eastAsia" w:cs="宋体"/>
          <w:color w:val="auto"/>
          <w:highlight w:val="none"/>
        </w:rPr>
        <w:t xml:space="preserve">  </w:t>
      </w:r>
    </w:p>
    <w:p>
      <w:pPr>
        <w:ind w:firstLine="281" w:firstLineChars="100"/>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br w:type="page"/>
      </w:r>
      <w:r>
        <w:rPr>
          <w:rFonts w:hint="eastAsia" w:ascii="仿宋" w:hAnsi="仿宋" w:eastAsia="仿宋" w:cs="仿宋"/>
          <w:b/>
          <w:bCs/>
          <w:color w:val="auto"/>
          <w:sz w:val="28"/>
          <w:szCs w:val="28"/>
          <w:highlight w:val="none"/>
        </w:rPr>
        <w:t>政府采购履约验收书</w:t>
      </w:r>
    </w:p>
    <w:p>
      <w:pPr>
        <w:jc w:val="center"/>
        <w:outlineLvl w:val="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（参考模板）</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923"/>
        <w:gridCol w:w="1352"/>
        <w:gridCol w:w="226"/>
        <w:gridCol w:w="1201"/>
        <w:gridCol w:w="250"/>
        <w:gridCol w:w="649"/>
        <w:gridCol w:w="1366"/>
        <w:gridCol w:w="606"/>
        <w:gridCol w:w="764"/>
        <w:gridCol w:w="332"/>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1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1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p>
        </w:tc>
        <w:tc>
          <w:tcPr>
            <w:tcW w:w="3678" w:type="dxa"/>
            <w:gridSpan w:val="5"/>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p>
        </w:tc>
        <w:tc>
          <w:tcPr>
            <w:tcW w:w="2439" w:type="dxa"/>
            <w:gridSpan w:val="4"/>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3678" w:type="dxa"/>
            <w:gridSpan w:val="5"/>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合同编号</w:t>
            </w:r>
          </w:p>
        </w:tc>
        <w:tc>
          <w:tcPr>
            <w:tcW w:w="2439" w:type="dxa"/>
            <w:gridSpan w:val="4"/>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合同签订时间</w:t>
            </w:r>
          </w:p>
        </w:tc>
        <w:tc>
          <w:tcPr>
            <w:tcW w:w="3678" w:type="dxa"/>
            <w:gridSpan w:val="5"/>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合同规定验收时间</w:t>
            </w:r>
          </w:p>
        </w:tc>
        <w:tc>
          <w:tcPr>
            <w:tcW w:w="2439" w:type="dxa"/>
            <w:gridSpan w:val="4"/>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项目类型</w:t>
            </w:r>
          </w:p>
        </w:tc>
        <w:tc>
          <w:tcPr>
            <w:tcW w:w="3678" w:type="dxa"/>
            <w:gridSpan w:val="5"/>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货物/</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服务</w:t>
            </w: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合同金额</w:t>
            </w:r>
          </w:p>
        </w:tc>
        <w:tc>
          <w:tcPr>
            <w:tcW w:w="2439" w:type="dxa"/>
            <w:gridSpan w:val="4"/>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1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（二）验收方式与方法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验收组织方式</w:t>
            </w:r>
          </w:p>
        </w:tc>
        <w:tc>
          <w:tcPr>
            <w:tcW w:w="3678" w:type="dxa"/>
            <w:gridSpan w:val="5"/>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自行组织/</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委托代理</w:t>
            </w: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代理机构名称</w:t>
            </w:r>
          </w:p>
        </w:tc>
        <w:tc>
          <w:tcPr>
            <w:tcW w:w="2439" w:type="dxa"/>
            <w:gridSpan w:val="4"/>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验收方式</w:t>
            </w:r>
          </w:p>
        </w:tc>
        <w:tc>
          <w:tcPr>
            <w:tcW w:w="3678" w:type="dxa"/>
            <w:gridSpan w:val="5"/>
            <w:noWrap w:val="0"/>
            <w:vAlign w:val="center"/>
          </w:tcPr>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一般验收程序/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简易验收程序</w:t>
            </w: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选择简易验收理由</w:t>
            </w:r>
          </w:p>
        </w:tc>
        <w:tc>
          <w:tcPr>
            <w:tcW w:w="2439" w:type="dxa"/>
            <w:gridSpan w:val="4"/>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验收方法</w:t>
            </w:r>
          </w:p>
        </w:tc>
        <w:tc>
          <w:tcPr>
            <w:tcW w:w="3678" w:type="dxa"/>
            <w:gridSpan w:val="5"/>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一次性验收/</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分段验收/</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分期验收</w:t>
            </w: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选择非一次性验收理由</w:t>
            </w:r>
          </w:p>
        </w:tc>
        <w:tc>
          <w:tcPr>
            <w:tcW w:w="2439" w:type="dxa"/>
            <w:gridSpan w:val="4"/>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31" w:type="dxa"/>
            <w:gridSpan w:val="2"/>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大型或复杂项目</w:t>
            </w:r>
          </w:p>
        </w:tc>
        <w:tc>
          <w:tcPr>
            <w:tcW w:w="3678" w:type="dxa"/>
            <w:gridSpan w:val="5"/>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否</w:t>
            </w:r>
          </w:p>
        </w:tc>
        <w:tc>
          <w:tcPr>
            <w:tcW w:w="1366" w:type="dxa"/>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邀请本项目其他供应商</w:t>
            </w:r>
          </w:p>
        </w:tc>
        <w:tc>
          <w:tcPr>
            <w:tcW w:w="2439" w:type="dxa"/>
            <w:gridSpan w:val="4"/>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参与验收监测机构名称</w:t>
            </w:r>
          </w:p>
        </w:tc>
        <w:tc>
          <w:tcPr>
            <w:tcW w:w="2100" w:type="dxa"/>
            <w:gridSpan w:val="3"/>
            <w:noWrap w:val="0"/>
            <w:vAlign w:val="center"/>
          </w:tcPr>
          <w:p>
            <w:pPr>
              <w:jc w:val="center"/>
              <w:rPr>
                <w:rFonts w:hint="eastAsia" w:ascii="仿宋" w:hAnsi="仿宋" w:eastAsia="仿宋" w:cs="仿宋"/>
                <w:color w:val="auto"/>
                <w:sz w:val="24"/>
                <w:szCs w:val="24"/>
                <w:highlight w:val="none"/>
              </w:rPr>
            </w:pPr>
          </w:p>
        </w:tc>
        <w:tc>
          <w:tcPr>
            <w:tcW w:w="1366" w:type="dxa"/>
            <w:vMerge w:val="continue"/>
            <w:noWrap w:val="0"/>
            <w:vAlign w:val="center"/>
          </w:tcPr>
          <w:p>
            <w:pPr>
              <w:jc w:val="center"/>
              <w:rPr>
                <w:rFonts w:hint="eastAsia" w:ascii="仿宋" w:hAnsi="仿宋" w:eastAsia="仿宋" w:cs="仿宋"/>
                <w:color w:val="auto"/>
                <w:sz w:val="24"/>
                <w:szCs w:val="24"/>
                <w:highlight w:val="none"/>
              </w:rPr>
            </w:pP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参与验收供应商名称</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031" w:type="dxa"/>
            <w:gridSpan w:val="2"/>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向社会公众提供的公共服务项目方式</w:t>
            </w:r>
          </w:p>
        </w:tc>
        <w:tc>
          <w:tcPr>
            <w:tcW w:w="3678" w:type="dxa"/>
            <w:gridSpan w:val="5"/>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否</w:t>
            </w:r>
          </w:p>
        </w:tc>
        <w:tc>
          <w:tcPr>
            <w:tcW w:w="1366" w:type="dxa"/>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采购人、使用人分离项目</w:t>
            </w:r>
          </w:p>
        </w:tc>
        <w:tc>
          <w:tcPr>
            <w:tcW w:w="2439" w:type="dxa"/>
            <w:gridSpan w:val="4"/>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参与验收服务对象</w:t>
            </w:r>
          </w:p>
        </w:tc>
        <w:tc>
          <w:tcPr>
            <w:tcW w:w="2100" w:type="dxa"/>
            <w:gridSpan w:val="3"/>
            <w:noWrap w:val="0"/>
            <w:vAlign w:val="center"/>
          </w:tcPr>
          <w:p>
            <w:pPr>
              <w:jc w:val="center"/>
              <w:rPr>
                <w:rFonts w:hint="eastAsia" w:ascii="仿宋" w:hAnsi="仿宋" w:eastAsia="仿宋" w:cs="仿宋"/>
                <w:color w:val="auto"/>
                <w:sz w:val="24"/>
                <w:szCs w:val="24"/>
                <w:highlight w:val="none"/>
              </w:rPr>
            </w:pPr>
          </w:p>
        </w:tc>
        <w:tc>
          <w:tcPr>
            <w:tcW w:w="1366" w:type="dxa"/>
            <w:vMerge w:val="continue"/>
            <w:noWrap w:val="0"/>
            <w:vAlign w:val="center"/>
          </w:tcPr>
          <w:p>
            <w:pPr>
              <w:jc w:val="center"/>
              <w:rPr>
                <w:rFonts w:hint="eastAsia" w:ascii="仿宋" w:hAnsi="仿宋" w:eastAsia="仿宋" w:cs="仿宋"/>
                <w:color w:val="auto"/>
                <w:sz w:val="24"/>
                <w:szCs w:val="24"/>
                <w:highlight w:val="none"/>
              </w:rPr>
            </w:pP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使用单位名称</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1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（三）验收人员组成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验收小组总人数</w:t>
            </w:r>
          </w:p>
        </w:tc>
        <w:tc>
          <w:tcPr>
            <w:tcW w:w="1352" w:type="dxa"/>
            <w:noWrap w:val="0"/>
            <w:vAlign w:val="center"/>
          </w:tcPr>
          <w:p>
            <w:pPr>
              <w:jc w:val="center"/>
              <w:rPr>
                <w:rFonts w:hint="eastAsia" w:ascii="仿宋" w:hAnsi="仿宋" w:eastAsia="仿宋" w:cs="仿宋"/>
                <w:color w:val="auto"/>
                <w:sz w:val="24"/>
                <w:szCs w:val="24"/>
                <w:highlight w:val="none"/>
              </w:rPr>
            </w:pPr>
          </w:p>
        </w:tc>
        <w:tc>
          <w:tcPr>
            <w:tcW w:w="1427"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专业技术人员人数</w:t>
            </w:r>
          </w:p>
        </w:tc>
        <w:tc>
          <w:tcPr>
            <w:tcW w:w="899" w:type="dxa"/>
            <w:gridSpan w:val="2"/>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实际使用人人数（如有）</w:t>
            </w:r>
          </w:p>
        </w:tc>
        <w:tc>
          <w:tcPr>
            <w:tcW w:w="606" w:type="dxa"/>
            <w:noWrap w:val="0"/>
            <w:vAlign w:val="center"/>
          </w:tcPr>
          <w:p>
            <w:pPr>
              <w:jc w:val="center"/>
              <w:rPr>
                <w:rFonts w:hint="eastAsia" w:ascii="仿宋" w:hAnsi="仿宋" w:eastAsia="仿宋" w:cs="仿宋"/>
                <w:color w:val="auto"/>
                <w:sz w:val="24"/>
                <w:szCs w:val="24"/>
                <w:highlight w:val="none"/>
              </w:rPr>
            </w:pPr>
          </w:p>
        </w:tc>
        <w:tc>
          <w:tcPr>
            <w:tcW w:w="1096"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其他验收人员数量</w:t>
            </w:r>
          </w:p>
        </w:tc>
        <w:tc>
          <w:tcPr>
            <w:tcW w:w="737" w:type="dxa"/>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验收人员姓名</w:t>
            </w:r>
          </w:p>
        </w:tc>
        <w:tc>
          <w:tcPr>
            <w:tcW w:w="3678" w:type="dxa"/>
            <w:gridSpan w:val="5"/>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工作单位</w:t>
            </w: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职称（专业）</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p>
        </w:tc>
        <w:tc>
          <w:tcPr>
            <w:tcW w:w="1069"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p>
        </w:tc>
        <w:tc>
          <w:tcPr>
            <w:tcW w:w="3678" w:type="dxa"/>
            <w:gridSpan w:val="5"/>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p>
        </w:tc>
        <w:tc>
          <w:tcPr>
            <w:tcW w:w="1370" w:type="dxa"/>
            <w:gridSpan w:val="2"/>
            <w:noWrap w:val="0"/>
            <w:vAlign w:val="center"/>
          </w:tcPr>
          <w:p>
            <w:pPr>
              <w:jc w:val="center"/>
              <w:rPr>
                <w:rFonts w:hint="eastAsia" w:ascii="仿宋" w:hAnsi="仿宋" w:eastAsia="仿宋" w:cs="仿宋"/>
                <w:color w:val="auto"/>
                <w:sz w:val="24"/>
                <w:szCs w:val="24"/>
                <w:highlight w:val="none"/>
              </w:rPr>
            </w:pP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p>
        </w:tc>
        <w:tc>
          <w:tcPr>
            <w:tcW w:w="3678" w:type="dxa"/>
            <w:gridSpan w:val="5"/>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p>
        </w:tc>
        <w:tc>
          <w:tcPr>
            <w:tcW w:w="1370" w:type="dxa"/>
            <w:gridSpan w:val="2"/>
            <w:noWrap w:val="0"/>
            <w:vAlign w:val="center"/>
          </w:tcPr>
          <w:p>
            <w:pPr>
              <w:jc w:val="center"/>
              <w:rPr>
                <w:rFonts w:hint="eastAsia" w:ascii="仿宋" w:hAnsi="仿宋" w:eastAsia="仿宋" w:cs="仿宋"/>
                <w:color w:val="auto"/>
                <w:sz w:val="24"/>
                <w:szCs w:val="24"/>
                <w:highlight w:val="none"/>
              </w:rPr>
            </w:pP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1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（四）验收主要指标和标准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8"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923"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合同履约时间、地点、方式</w:t>
            </w:r>
          </w:p>
        </w:tc>
        <w:tc>
          <w:tcPr>
            <w:tcW w:w="2100" w:type="dxa"/>
            <w:gridSpan w:val="3"/>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货物型号规格、标准及配置等（或服务内容、标准）</w:t>
            </w: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069"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8" w:type="dxa"/>
            <w:noWrap w:val="0"/>
            <w:vAlign w:val="center"/>
          </w:tcPr>
          <w:p>
            <w:pPr>
              <w:jc w:val="center"/>
              <w:rPr>
                <w:rFonts w:hint="eastAsia" w:ascii="仿宋" w:hAnsi="仿宋" w:eastAsia="仿宋" w:cs="仿宋"/>
                <w:color w:val="auto"/>
                <w:sz w:val="24"/>
                <w:szCs w:val="24"/>
                <w:highlight w:val="none"/>
              </w:rPr>
            </w:pPr>
          </w:p>
        </w:tc>
        <w:tc>
          <w:tcPr>
            <w:tcW w:w="923" w:type="dxa"/>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p>
        </w:tc>
        <w:tc>
          <w:tcPr>
            <w:tcW w:w="2100" w:type="dxa"/>
            <w:gridSpan w:val="3"/>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p>
        </w:tc>
        <w:tc>
          <w:tcPr>
            <w:tcW w:w="1370" w:type="dxa"/>
            <w:gridSpan w:val="2"/>
            <w:noWrap w:val="0"/>
            <w:vAlign w:val="center"/>
          </w:tcPr>
          <w:p>
            <w:pPr>
              <w:jc w:val="center"/>
              <w:rPr>
                <w:rFonts w:hint="eastAsia" w:ascii="仿宋" w:hAnsi="仿宋" w:eastAsia="仿宋" w:cs="仿宋"/>
                <w:color w:val="auto"/>
                <w:sz w:val="24"/>
                <w:szCs w:val="24"/>
                <w:highlight w:val="none"/>
              </w:rPr>
            </w:pP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8" w:type="dxa"/>
            <w:noWrap w:val="0"/>
            <w:vAlign w:val="center"/>
          </w:tcPr>
          <w:p>
            <w:pPr>
              <w:jc w:val="center"/>
              <w:rPr>
                <w:rFonts w:hint="eastAsia" w:ascii="仿宋" w:hAnsi="仿宋" w:eastAsia="仿宋" w:cs="仿宋"/>
                <w:color w:val="auto"/>
                <w:sz w:val="24"/>
                <w:szCs w:val="24"/>
                <w:highlight w:val="none"/>
              </w:rPr>
            </w:pPr>
          </w:p>
        </w:tc>
        <w:tc>
          <w:tcPr>
            <w:tcW w:w="923" w:type="dxa"/>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p>
        </w:tc>
        <w:tc>
          <w:tcPr>
            <w:tcW w:w="2100" w:type="dxa"/>
            <w:gridSpan w:val="3"/>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p>
        </w:tc>
        <w:tc>
          <w:tcPr>
            <w:tcW w:w="1370" w:type="dxa"/>
            <w:gridSpan w:val="2"/>
            <w:noWrap w:val="0"/>
            <w:vAlign w:val="center"/>
          </w:tcPr>
          <w:p>
            <w:pPr>
              <w:jc w:val="center"/>
              <w:rPr>
                <w:rFonts w:hint="eastAsia" w:ascii="仿宋" w:hAnsi="仿宋" w:eastAsia="仿宋" w:cs="仿宋"/>
                <w:color w:val="auto"/>
                <w:sz w:val="24"/>
                <w:szCs w:val="24"/>
                <w:highlight w:val="none"/>
              </w:rPr>
            </w:pP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8" w:type="dxa"/>
            <w:noWrap w:val="0"/>
            <w:vAlign w:val="center"/>
          </w:tcPr>
          <w:p>
            <w:pPr>
              <w:jc w:val="center"/>
              <w:rPr>
                <w:rFonts w:hint="eastAsia" w:ascii="仿宋" w:hAnsi="仿宋" w:eastAsia="仿宋" w:cs="仿宋"/>
                <w:color w:val="auto"/>
                <w:sz w:val="24"/>
                <w:szCs w:val="24"/>
                <w:highlight w:val="none"/>
              </w:rPr>
            </w:pPr>
          </w:p>
        </w:tc>
        <w:tc>
          <w:tcPr>
            <w:tcW w:w="923" w:type="dxa"/>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p>
        </w:tc>
        <w:tc>
          <w:tcPr>
            <w:tcW w:w="2100" w:type="dxa"/>
            <w:gridSpan w:val="3"/>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p>
        </w:tc>
        <w:tc>
          <w:tcPr>
            <w:tcW w:w="1370" w:type="dxa"/>
            <w:gridSpan w:val="2"/>
            <w:noWrap w:val="0"/>
            <w:vAlign w:val="center"/>
          </w:tcPr>
          <w:p>
            <w:pPr>
              <w:jc w:val="center"/>
              <w:rPr>
                <w:rFonts w:hint="eastAsia" w:ascii="仿宋" w:hAnsi="仿宋" w:eastAsia="仿宋" w:cs="仿宋"/>
                <w:color w:val="auto"/>
                <w:sz w:val="24"/>
                <w:szCs w:val="24"/>
                <w:highlight w:val="none"/>
              </w:rPr>
            </w:pP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1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分期情况</w:t>
            </w:r>
          </w:p>
        </w:tc>
        <w:tc>
          <w:tcPr>
            <w:tcW w:w="3678" w:type="dxa"/>
            <w:gridSpan w:val="5"/>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共分 期，此为第  期验收</w:t>
            </w:r>
          </w:p>
        </w:tc>
        <w:tc>
          <w:tcPr>
            <w:tcW w:w="1366" w:type="dxa"/>
            <w:noWrap w:val="0"/>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分段情况     </w:t>
            </w:r>
          </w:p>
        </w:tc>
        <w:tc>
          <w:tcPr>
            <w:tcW w:w="2439" w:type="dxa"/>
            <w:gridSpan w:val="4"/>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共分  段，此为   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第三方参考情况说明</w:t>
            </w: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评价对象</w:t>
            </w:r>
          </w:p>
        </w:tc>
        <w:tc>
          <w:tcPr>
            <w:tcW w:w="2100" w:type="dxa"/>
            <w:gridSpan w:val="3"/>
            <w:noWrap w:val="0"/>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评价结果</w:t>
            </w:r>
          </w:p>
        </w:tc>
        <w:tc>
          <w:tcPr>
            <w:tcW w:w="2736" w:type="dxa"/>
            <w:gridSpan w:val="3"/>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理由</w:t>
            </w:r>
          </w:p>
        </w:tc>
        <w:tc>
          <w:tcPr>
            <w:tcW w:w="1069"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检测机构</w:t>
            </w:r>
          </w:p>
        </w:tc>
        <w:tc>
          <w:tcPr>
            <w:tcW w:w="2100" w:type="dxa"/>
            <w:gridSpan w:val="3"/>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合格/</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2736" w:type="dxa"/>
            <w:gridSpan w:val="3"/>
            <w:noWrap w:val="0"/>
            <w:vAlign w:val="center"/>
          </w:tcPr>
          <w:p>
            <w:pPr>
              <w:jc w:val="center"/>
              <w:rPr>
                <w:rFonts w:hint="eastAsia" w:ascii="仿宋" w:hAnsi="仿宋" w:eastAsia="仿宋" w:cs="仿宋"/>
                <w:color w:val="auto"/>
                <w:sz w:val="24"/>
                <w:szCs w:val="24"/>
                <w:highlight w:val="none"/>
              </w:rPr>
            </w:pP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其他供应商</w:t>
            </w:r>
          </w:p>
        </w:tc>
        <w:tc>
          <w:tcPr>
            <w:tcW w:w="2100" w:type="dxa"/>
            <w:gridSpan w:val="3"/>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合格/</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2736" w:type="dxa"/>
            <w:gridSpan w:val="3"/>
            <w:noWrap w:val="0"/>
            <w:vAlign w:val="center"/>
          </w:tcPr>
          <w:p>
            <w:pPr>
              <w:jc w:val="center"/>
              <w:rPr>
                <w:rFonts w:hint="eastAsia" w:ascii="仿宋" w:hAnsi="仿宋" w:eastAsia="仿宋" w:cs="仿宋"/>
                <w:color w:val="auto"/>
                <w:sz w:val="24"/>
                <w:szCs w:val="24"/>
                <w:highlight w:val="none"/>
              </w:rPr>
            </w:pP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服务对象</w:t>
            </w:r>
          </w:p>
        </w:tc>
        <w:tc>
          <w:tcPr>
            <w:tcW w:w="2100" w:type="dxa"/>
            <w:gridSpan w:val="3"/>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合格/</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2736" w:type="dxa"/>
            <w:gridSpan w:val="3"/>
            <w:noWrap w:val="0"/>
            <w:vAlign w:val="center"/>
          </w:tcPr>
          <w:p>
            <w:pPr>
              <w:jc w:val="center"/>
              <w:rPr>
                <w:rFonts w:hint="eastAsia" w:ascii="仿宋" w:hAnsi="仿宋" w:eastAsia="仿宋" w:cs="仿宋"/>
                <w:color w:val="auto"/>
                <w:sz w:val="24"/>
                <w:szCs w:val="24"/>
                <w:highlight w:val="none"/>
              </w:rPr>
            </w:pP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货物类验收内容及验收情况</w:t>
            </w: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评价内容</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评价情况</w:t>
            </w:r>
          </w:p>
        </w:tc>
        <w:tc>
          <w:tcPr>
            <w:tcW w:w="899"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理由</w:t>
            </w: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评价内容</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评价情况</w:t>
            </w:r>
          </w:p>
        </w:tc>
        <w:tc>
          <w:tcPr>
            <w:tcW w:w="1069"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货物清单</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899" w:type="dxa"/>
            <w:gridSpan w:val="2"/>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品牌、型号、规格、数量、及外观数量</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技术、性能指标</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899" w:type="dxa"/>
            <w:gridSpan w:val="2"/>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运行状况及安装调试</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质量证明文件</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899" w:type="dxa"/>
            <w:gridSpan w:val="2"/>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售后服务承诺</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安全标准</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899" w:type="dxa"/>
            <w:gridSpan w:val="2"/>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合同履约时间、地点、方式</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服务类验收内容及结果</w:t>
            </w: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评价内容</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评价情况</w:t>
            </w:r>
          </w:p>
        </w:tc>
        <w:tc>
          <w:tcPr>
            <w:tcW w:w="899"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理由</w:t>
            </w: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评价内容</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评价情况</w:t>
            </w:r>
          </w:p>
        </w:tc>
        <w:tc>
          <w:tcPr>
            <w:tcW w:w="1069"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服务质量</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899" w:type="dxa"/>
            <w:gridSpan w:val="2"/>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服务进度</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人员、设备配备情况</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899" w:type="dxa"/>
            <w:gridSpan w:val="2"/>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安全标准</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1578"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服务承诺时限</w:t>
            </w:r>
          </w:p>
        </w:tc>
        <w:tc>
          <w:tcPr>
            <w:tcW w:w="120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899" w:type="dxa"/>
            <w:gridSpan w:val="2"/>
            <w:noWrap w:val="0"/>
            <w:vAlign w:val="center"/>
          </w:tcPr>
          <w:p>
            <w:pPr>
              <w:jc w:val="center"/>
              <w:rPr>
                <w:rFonts w:hint="eastAsia" w:ascii="仿宋" w:hAnsi="仿宋" w:eastAsia="仿宋" w:cs="仿宋"/>
                <w:color w:val="auto"/>
                <w:sz w:val="24"/>
                <w:szCs w:val="24"/>
                <w:highlight w:val="none"/>
              </w:rPr>
            </w:pPr>
          </w:p>
        </w:tc>
        <w:tc>
          <w:tcPr>
            <w:tcW w:w="1366"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合同履约时间、地点、方式</w:t>
            </w:r>
          </w:p>
        </w:tc>
        <w:tc>
          <w:tcPr>
            <w:tcW w:w="1370"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tc>
        <w:tc>
          <w:tcPr>
            <w:tcW w:w="1069" w:type="dxa"/>
            <w:gridSpan w:val="2"/>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1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三、验收结论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2031" w:type="dxa"/>
            <w:gridSpan w:val="2"/>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存在问题和改进意见</w:t>
            </w:r>
          </w:p>
        </w:tc>
        <w:tc>
          <w:tcPr>
            <w:tcW w:w="7483" w:type="dxa"/>
            <w:gridSpan w:val="10"/>
            <w:noWrap w:val="0"/>
            <w:vAlign w:val="center"/>
          </w:tcPr>
          <w:p>
            <w:pPr>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restar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验收小组意见</w:t>
            </w:r>
          </w:p>
        </w:tc>
        <w:tc>
          <w:tcPr>
            <w:tcW w:w="7483" w:type="dxa"/>
            <w:gridSpan w:val="10"/>
            <w:noWrap w:val="0"/>
            <w:vAlign w:val="center"/>
          </w:tcPr>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验收结论性意见：</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 xml:space="preserve">合  格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不合格</w:t>
            </w:r>
          </w:p>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其他需要说明的事项：</w:t>
            </w:r>
          </w:p>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1" w:type="dxa"/>
            <w:gridSpan w:val="2"/>
            <w:vMerge w:val="continue"/>
            <w:noWrap w:val="0"/>
            <w:vAlign w:val="center"/>
          </w:tcPr>
          <w:p>
            <w:pPr>
              <w:jc w:val="center"/>
              <w:rPr>
                <w:rFonts w:hint="eastAsia" w:ascii="仿宋" w:hAnsi="仿宋" w:eastAsia="仿宋" w:cs="仿宋"/>
                <w:color w:val="auto"/>
                <w:sz w:val="24"/>
                <w:szCs w:val="24"/>
                <w:highlight w:val="none"/>
              </w:rPr>
            </w:pPr>
          </w:p>
        </w:tc>
        <w:tc>
          <w:tcPr>
            <w:tcW w:w="7483" w:type="dxa"/>
            <w:gridSpan w:val="10"/>
            <w:noWrap w:val="0"/>
            <w:vAlign w:val="center"/>
          </w:tcPr>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有异议的意见和说明理由：</w:t>
            </w:r>
          </w:p>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p>
          <w:p>
            <w:pPr>
              <w:wordWrap w:val="0"/>
              <w:ind w:right="315"/>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14" w:type="dxa"/>
            <w:gridSpan w:val="12"/>
            <w:noWrap w:val="0"/>
            <w:vAlign w:val="center"/>
          </w:tcPr>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验收小组成员签字：</w:t>
            </w:r>
          </w:p>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p>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5060" w:type="dxa"/>
            <w:gridSpan w:val="6"/>
            <w:noWrap w:val="0"/>
            <w:vAlign w:val="top"/>
          </w:tcPr>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采购人意见：</w:t>
            </w: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3"/>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经办人：       负责人：       （盖章）</w:t>
            </w: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w:t>
            </w:r>
          </w:p>
          <w:p>
            <w:pPr>
              <w:rPr>
                <w:rFonts w:hint="eastAsia" w:ascii="仿宋" w:hAnsi="仿宋" w:eastAsia="仿宋" w:cs="仿宋"/>
                <w:color w:val="auto"/>
                <w:sz w:val="24"/>
                <w:szCs w:val="24"/>
                <w:highlight w:val="none"/>
              </w:rPr>
            </w:pPr>
          </w:p>
        </w:tc>
        <w:tc>
          <w:tcPr>
            <w:tcW w:w="4454" w:type="dxa"/>
            <w:gridSpan w:val="6"/>
            <w:noWrap w:val="0"/>
            <w:vAlign w:val="top"/>
          </w:tcPr>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供应商确认：</w:t>
            </w: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3"/>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供应商盖章或授权代表签字：</w:t>
            </w:r>
          </w:p>
          <w:p>
            <w:pPr>
              <w:rPr>
                <w:rFonts w:hint="eastAsia" w:ascii="仿宋" w:hAnsi="仿宋" w:eastAsia="仿宋" w:cs="仿宋"/>
                <w:color w:val="auto"/>
                <w:sz w:val="24"/>
                <w:szCs w:val="24"/>
                <w:highlight w:val="none"/>
              </w:rPr>
            </w:pPr>
          </w:p>
          <w:p>
            <w:pPr>
              <w:ind w:firstLine="4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p>
            <w:pPr>
              <w:ind w:firstLine="4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              </w:t>
            </w:r>
          </w:p>
        </w:tc>
      </w:tr>
    </w:tbl>
    <w:p>
      <w:pPr>
        <w:pStyle w:val="6"/>
        <w:bidi w:val="0"/>
        <w:jc w:val="center"/>
        <w:outlineLvl w:val="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bookmarkStart w:id="427" w:name="_Toc12650"/>
      <w:r>
        <w:rPr>
          <w:rFonts w:hint="eastAsia" w:ascii="仿宋" w:hAnsi="仿宋" w:eastAsia="仿宋" w:cs="仿宋"/>
          <w:color w:val="auto"/>
          <w:highlight w:val="none"/>
          <w:lang w:eastAsia="zh-CN"/>
        </w:rPr>
        <w:t>第六部分</w:t>
      </w:r>
      <w:bookmarkEnd w:id="424"/>
      <w:r>
        <w:rPr>
          <w:rFonts w:hint="eastAsia" w:ascii="仿宋" w:hAnsi="仿宋" w:eastAsia="仿宋" w:cs="仿宋"/>
          <w:color w:val="auto"/>
          <w:highlight w:val="none"/>
          <w:lang w:eastAsia="zh-CN"/>
        </w:rPr>
        <w:t xml:space="preserve"> </w:t>
      </w:r>
      <w:bookmarkEnd w:id="425"/>
      <w:r>
        <w:rPr>
          <w:rFonts w:hint="eastAsia" w:ascii="仿宋" w:hAnsi="仿宋" w:eastAsia="仿宋" w:cs="仿宋"/>
          <w:color w:val="auto"/>
          <w:highlight w:val="none"/>
          <w:lang w:eastAsia="zh-CN"/>
        </w:rPr>
        <w:t>应提交的有关格式范例</w:t>
      </w:r>
      <w:bookmarkEnd w:id="427"/>
    </w:p>
    <w:p>
      <w:pPr>
        <w:pStyle w:val="6"/>
        <w:bidi w:val="0"/>
        <w:jc w:val="center"/>
        <w:rPr>
          <w:rFonts w:hint="eastAsia" w:ascii="仿宋" w:hAnsi="仿宋" w:eastAsia="仿宋" w:cs="仿宋"/>
          <w:b w:val="0"/>
          <w:color w:val="auto"/>
          <w:kern w:val="0"/>
          <w:szCs w:val="36"/>
          <w:highlight w:val="none"/>
        </w:rPr>
      </w:pPr>
      <w:bookmarkStart w:id="428" w:name="_Toc13322"/>
      <w:r>
        <w:rPr>
          <w:rFonts w:hint="eastAsia" w:ascii="仿宋" w:hAnsi="仿宋" w:eastAsia="仿宋" w:cs="仿宋"/>
          <w:color w:val="auto"/>
          <w:highlight w:val="none"/>
        </w:rPr>
        <w:t>资格文件部分</w:t>
      </w:r>
      <w:bookmarkEnd w:id="428"/>
    </w:p>
    <w:p>
      <w:pPr>
        <w:spacing w:line="360" w:lineRule="auto"/>
        <w:jc w:val="center"/>
        <w:outlineLvl w:val="0"/>
        <w:rPr>
          <w:rFonts w:hint="eastAsia" w:ascii="仿宋" w:hAnsi="仿宋" w:eastAsia="仿宋" w:cs="仿宋"/>
          <w:b/>
          <w:color w:val="auto"/>
          <w:kern w:val="0"/>
          <w:sz w:val="36"/>
          <w:szCs w:val="36"/>
          <w:highlight w:val="none"/>
        </w:rPr>
      </w:pPr>
      <w:bookmarkStart w:id="429" w:name="_Toc3652"/>
      <w:bookmarkStart w:id="430" w:name="_Toc19552"/>
      <w:bookmarkStart w:id="431" w:name="_Toc22497"/>
      <w:r>
        <w:rPr>
          <w:rFonts w:hint="eastAsia" w:ascii="仿宋" w:hAnsi="仿宋" w:eastAsia="仿宋" w:cs="仿宋"/>
          <w:b/>
          <w:color w:val="auto"/>
          <w:kern w:val="0"/>
          <w:sz w:val="36"/>
          <w:szCs w:val="36"/>
          <w:highlight w:val="none"/>
        </w:rPr>
        <w:t>目录</w:t>
      </w:r>
      <w:bookmarkEnd w:id="429"/>
      <w:bookmarkEnd w:id="430"/>
      <w:bookmarkEnd w:id="431"/>
    </w:p>
    <w:p>
      <w:pPr>
        <w:pStyle w:val="482"/>
        <w:snapToGrid w:val="0"/>
        <w:spacing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a.符合参与政府采购活动资格条件的承诺函；</w:t>
      </w:r>
    </w:p>
    <w:p>
      <w:pPr>
        <w:pStyle w:val="482"/>
        <w:snapToGrid w:val="0"/>
        <w:spacing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b.具有独立承担民事责任能力的证明材料</w:t>
      </w:r>
      <w:r>
        <w:rPr>
          <w:rFonts w:hint="eastAsia" w:ascii="仿宋" w:hAnsi="仿宋" w:eastAsia="仿宋" w:cs="仿宋"/>
          <w:color w:val="auto"/>
          <w:highlight w:val="none"/>
          <w:lang w:eastAsia="zh-CN"/>
        </w:rPr>
        <w:t>【提供</w:t>
      </w:r>
      <w:r>
        <w:rPr>
          <w:rFonts w:hint="eastAsia" w:ascii="仿宋" w:hAnsi="仿宋" w:eastAsia="仿宋" w:cs="仿宋"/>
          <w:color w:val="auto"/>
          <w:sz w:val="24"/>
          <w:highlight w:val="none"/>
          <w:lang w:eastAsia="zh-CN"/>
        </w:rPr>
        <w:t>有效的企业营业执照（或事业法人登记证书或其它工商等登记证明材料，自然人提供身份证)复制件（如为联合体，则联合体各方均应提供）（五选一）</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w:t>
      </w:r>
    </w:p>
    <w:p>
      <w:pPr>
        <w:pStyle w:val="482"/>
        <w:snapToGrid w:val="0"/>
        <w:spacing w:line="360" w:lineRule="auto"/>
        <w:ind w:firstLine="42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c.</w:t>
      </w:r>
      <w:r>
        <w:rPr>
          <w:rFonts w:hint="eastAsia" w:ascii="仿宋" w:hAnsi="仿宋" w:eastAsia="仿宋" w:cs="仿宋"/>
          <w:color w:val="auto"/>
          <w:highlight w:val="none"/>
        </w:rPr>
        <w:t>联合协议</w:t>
      </w:r>
      <w:r>
        <w:rPr>
          <w:rFonts w:hint="eastAsia" w:ascii="仿宋" w:hAnsi="仿宋" w:eastAsia="仿宋" w:cs="仿宋"/>
          <w:color w:val="auto"/>
          <w:highlight w:val="none"/>
          <w:lang w:eastAsia="zh-CN"/>
        </w:rPr>
        <w:t>（或</w:t>
      </w:r>
      <w:r>
        <w:rPr>
          <w:rFonts w:hint="eastAsia" w:ascii="仿宋" w:hAnsi="仿宋" w:eastAsia="仿宋" w:cs="仿宋"/>
          <w:color w:val="auto"/>
          <w:highlight w:val="none"/>
        </w:rPr>
        <w:t>分包意向协议</w:t>
      </w:r>
      <w:r>
        <w:rPr>
          <w:rFonts w:hint="eastAsia" w:ascii="仿宋" w:hAnsi="仿宋" w:eastAsia="仿宋" w:cs="仿宋"/>
          <w:color w:val="auto"/>
          <w:highlight w:val="none"/>
          <w:lang w:eastAsia="zh-CN"/>
        </w:rPr>
        <w:t>），如以联合体（分包）形式参与投标的，必须提供</w:t>
      </w:r>
      <w:r>
        <w:rPr>
          <w:rFonts w:hint="eastAsia" w:ascii="仿宋" w:hAnsi="仿宋" w:eastAsia="仿宋" w:cs="仿宋"/>
          <w:color w:val="auto"/>
          <w:highlight w:val="none"/>
        </w:rPr>
        <w:t>；</w:t>
      </w:r>
    </w:p>
    <w:p>
      <w:pPr>
        <w:pStyle w:val="482"/>
        <w:snapToGrid w:val="0"/>
        <w:spacing w:line="360" w:lineRule="auto"/>
        <w:ind w:firstLine="420"/>
        <w:rPr>
          <w:rFonts w:hint="eastAsia" w:ascii="仿宋" w:hAnsi="仿宋" w:eastAsia="仿宋" w:cs="仿宋"/>
          <w:color w:val="auto"/>
          <w:sz w:val="24"/>
          <w:highlight w:val="none"/>
          <w:lang w:eastAsia="zh-CN"/>
        </w:rPr>
      </w:pPr>
      <w:r>
        <w:rPr>
          <w:rFonts w:hint="eastAsia" w:ascii="仿宋" w:hAnsi="仿宋" w:eastAsia="仿宋" w:cs="仿宋"/>
          <w:color w:val="auto"/>
          <w:highlight w:val="none"/>
          <w:lang w:val="en-US" w:eastAsia="zh-CN"/>
        </w:rPr>
        <w:t>d</w:t>
      </w:r>
      <w:r>
        <w:rPr>
          <w:rFonts w:hint="eastAsia" w:ascii="仿宋" w:hAnsi="仿宋" w:eastAsia="仿宋" w:cs="仿宋"/>
          <w:color w:val="auto"/>
          <w:highlight w:val="none"/>
        </w:rPr>
        <w:t>.</w:t>
      </w:r>
      <w:r>
        <w:rPr>
          <w:rFonts w:hint="eastAsia" w:ascii="仿宋" w:hAnsi="仿宋" w:eastAsia="仿宋" w:cs="仿宋"/>
          <w:color w:val="auto"/>
          <w:sz w:val="24"/>
          <w:highlight w:val="none"/>
          <w:lang w:eastAsia="zh-CN"/>
        </w:rPr>
        <w:t>授权委托书或法定代表人（单位负责人、自然人本人）身份证明</w:t>
      </w:r>
    </w:p>
    <w:p>
      <w:pPr>
        <w:pStyle w:val="482"/>
        <w:snapToGrid w:val="0"/>
        <w:spacing w:line="360" w:lineRule="auto"/>
        <w:ind w:firstLine="42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e.落实政府采购政策需满足的资格要求</w:t>
      </w:r>
      <w:r>
        <w:rPr>
          <w:rFonts w:hint="eastAsia" w:ascii="仿宋" w:hAnsi="仿宋" w:eastAsia="仿宋" w:cs="仿宋"/>
          <w:color w:val="auto"/>
          <w:sz w:val="24"/>
          <w:highlight w:val="none"/>
          <w:lang w:val="zh-CN" w:eastAsia="zh-CN"/>
        </w:rPr>
        <w:t>证明材料</w:t>
      </w:r>
      <w:r>
        <w:rPr>
          <w:rFonts w:hint="eastAsia" w:ascii="仿宋" w:hAnsi="仿宋" w:eastAsia="仿宋" w:cs="仿宋"/>
          <w:color w:val="auto"/>
          <w:sz w:val="24"/>
          <w:highlight w:val="none"/>
          <w:lang w:val="en-US" w:eastAsia="zh-CN"/>
        </w:rPr>
        <w:t>(本项目不要求)</w:t>
      </w:r>
    </w:p>
    <w:p>
      <w:pPr>
        <w:pStyle w:val="482"/>
        <w:snapToGrid w:val="0"/>
        <w:spacing w:line="360" w:lineRule="auto"/>
        <w:ind w:firstLine="420"/>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f.本项目的特定资格要求：</w:t>
      </w:r>
    </w:p>
    <w:p>
      <w:pPr>
        <w:pStyle w:val="482"/>
        <w:snapToGrid w:val="0"/>
        <w:spacing w:line="360" w:lineRule="auto"/>
        <w:ind w:firstLine="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zh-CN" w:eastAsia="zh-CN"/>
        </w:rPr>
        <w:t>标段一：</w:t>
      </w:r>
      <w:r>
        <w:rPr>
          <w:rFonts w:hint="eastAsia" w:ascii="仿宋" w:hAnsi="仿宋" w:eastAsia="仿宋" w:cs="仿宋"/>
          <w:color w:val="auto"/>
          <w:sz w:val="24"/>
          <w:highlight w:val="none"/>
          <w:lang w:val="en-US" w:eastAsia="zh-CN"/>
        </w:rPr>
        <w:t>提供具备地理信息系统工程、工程测量（含地下管线测量）甲级测绘资质证书证明材料。</w:t>
      </w:r>
    </w:p>
    <w:p>
      <w:pPr>
        <w:pStyle w:val="482"/>
        <w:snapToGrid w:val="0"/>
        <w:spacing w:line="360" w:lineRule="auto"/>
        <w:ind w:firstLine="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标段二：提供具备地理信息系统工程监理、工程测量监理甲级测绘资质证明材料。</w:t>
      </w:r>
    </w:p>
    <w:p>
      <w:pPr>
        <w:pStyle w:val="482"/>
        <w:snapToGrid w:val="0"/>
        <w:spacing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g.</w:t>
      </w:r>
      <w:r>
        <w:rPr>
          <w:rFonts w:hint="eastAsia" w:ascii="仿宋" w:hAnsi="仿宋" w:eastAsia="仿宋" w:cs="仿宋"/>
          <w:color w:val="auto"/>
          <w:highlight w:val="none"/>
        </w:rPr>
        <w:t>商业信誉（商业信誉可提前自查，投标文件中可不提供）：</w:t>
      </w:r>
    </w:p>
    <w:p>
      <w:pPr>
        <w:pStyle w:val="482"/>
        <w:snapToGrid w:val="0"/>
        <w:spacing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至本项目投标截止时间止未列入失信被执行人、重大税收违法案件当事人名单、政府采购严重违法失信行为记录名单。（代理机构以开标当日在“信用中国”网站（www.creditchina.gov.cn）、中国政府采购网（www.ccgp.gov.cn）网页查询记录为准）</w:t>
      </w:r>
    </w:p>
    <w:p>
      <w:pPr>
        <w:pStyle w:val="482"/>
        <w:snapToGrid w:val="0"/>
        <w:spacing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对列入失信被执行人、重大税收违法案件当事人名单、政府采购严重违法失信行为记录名单的投标人，其投标将作无效标处理。</w:t>
      </w:r>
    </w:p>
    <w:p>
      <w:pPr>
        <w:pStyle w:val="58"/>
        <w:tabs>
          <w:tab w:val="left" w:pos="630"/>
          <w:tab w:val="left" w:pos="840"/>
          <w:tab w:val="left" w:pos="1050"/>
        </w:tabs>
        <w:adjustRightInd w:val="0"/>
        <w:snapToGrid w:val="0"/>
        <w:spacing w:before="0" w:beforeAutospacing="0" w:after="0" w:afterAutospacing="0" w:line="360" w:lineRule="auto"/>
        <w:jc w:val="center"/>
        <w:outlineLvl w:val="0"/>
        <w:rPr>
          <w:rFonts w:hint="eastAsia" w:ascii="仿宋" w:hAnsi="仿宋" w:eastAsia="仿宋" w:cs="仿宋"/>
          <w:color w:val="auto"/>
          <w:sz w:val="28"/>
          <w:szCs w:val="28"/>
          <w:highlight w:val="none"/>
        </w:rPr>
      </w:pPr>
      <w:r>
        <w:rPr>
          <w:rFonts w:hint="eastAsia" w:ascii="仿宋" w:hAnsi="仿宋" w:eastAsia="仿宋" w:cs="仿宋"/>
          <w:color w:val="auto"/>
          <w:sz w:val="24"/>
          <w:highlight w:val="none"/>
          <w:lang w:val="zh-CN"/>
        </w:rPr>
        <w:br w:type="page"/>
      </w:r>
      <w:r>
        <w:rPr>
          <w:rFonts w:hint="eastAsia" w:ascii="仿宋" w:hAnsi="仿宋" w:eastAsia="仿宋" w:cs="仿宋"/>
          <w:b/>
          <w:color w:val="auto"/>
          <w:kern w:val="0"/>
          <w:sz w:val="32"/>
          <w:szCs w:val="32"/>
          <w:highlight w:val="none"/>
          <w:lang w:val="en-US" w:eastAsia="zh-CN" w:bidi="ar-SA"/>
        </w:rPr>
        <w:t>一、</w:t>
      </w:r>
      <w:r>
        <w:rPr>
          <w:rFonts w:hint="eastAsia" w:ascii="仿宋" w:hAnsi="仿宋" w:eastAsia="仿宋" w:cs="仿宋"/>
          <w:color w:val="auto"/>
          <w:sz w:val="28"/>
          <w:szCs w:val="28"/>
          <w:highlight w:val="none"/>
        </w:rPr>
        <w:t>符合参与政府采购活动资格条件的承诺函：</w:t>
      </w:r>
    </w:p>
    <w:p>
      <w:pPr>
        <w:shd w:val="clear" w:color="auto" w:fill="FFFFFF"/>
        <w:snapToGrid w:val="0"/>
        <w:spacing w:line="440" w:lineRule="exact"/>
        <w:jc w:val="center"/>
        <w:rPr>
          <w:rFonts w:hint="eastAsia" w:ascii="仿宋" w:hAnsi="仿宋" w:eastAsia="仿宋" w:cs="仿宋"/>
          <w:b w:val="0"/>
          <w:color w:val="auto"/>
          <w:sz w:val="28"/>
          <w:szCs w:val="36"/>
          <w:highlight w:val="none"/>
        </w:rPr>
      </w:pPr>
      <w:r>
        <w:rPr>
          <w:rFonts w:hint="eastAsia" w:ascii="仿宋" w:hAnsi="仿宋" w:eastAsia="仿宋" w:cs="仿宋"/>
          <w:b w:val="0"/>
          <w:color w:val="auto"/>
          <w:sz w:val="28"/>
          <w:szCs w:val="36"/>
          <w:highlight w:val="none"/>
          <w:lang w:val="en-US" w:eastAsia="zh-CN"/>
        </w:rPr>
        <w:t>a.</w:t>
      </w:r>
      <w:r>
        <w:rPr>
          <w:rFonts w:hint="eastAsia" w:ascii="仿宋" w:hAnsi="仿宋" w:eastAsia="仿宋" w:cs="仿宋"/>
          <w:b w:val="0"/>
          <w:color w:val="auto"/>
          <w:sz w:val="28"/>
          <w:szCs w:val="36"/>
          <w:highlight w:val="none"/>
        </w:rPr>
        <w:t>资格条件承诺函</w:t>
      </w:r>
    </w:p>
    <w:p>
      <w:pPr>
        <w:shd w:val="clear" w:color="auto" w:fill="FFFFFF"/>
        <w:snapToGrid w:val="0"/>
        <w:spacing w:line="44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温州市自然资源和规划局经济技术开发区分局</w:t>
      </w:r>
    </w:p>
    <w:p>
      <w:pPr>
        <w:shd w:val="clear" w:color="auto" w:fill="FFFFFF"/>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温州鑫正招标代理有限公司</w:t>
      </w:r>
      <w:r>
        <w:rPr>
          <w:rFonts w:hint="eastAsia" w:ascii="仿宋" w:hAnsi="仿宋" w:eastAsia="仿宋" w:cs="仿宋"/>
          <w:color w:val="auto"/>
          <w:sz w:val="24"/>
          <w:highlight w:val="none"/>
        </w:rPr>
        <w:t>：</w:t>
      </w:r>
    </w:p>
    <w:p>
      <w:pPr>
        <w:widowControl/>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（采购项目名称、编号）投标，现郑重承诺：</w:t>
      </w:r>
    </w:p>
    <w:p>
      <w:pPr>
        <w:widowControl/>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1、我方符合《中华人民共和国政府采购法》第22条规定的资格条件，即</w:t>
      </w:r>
    </w:p>
    <w:p>
      <w:pPr>
        <w:widowControl/>
        <w:snapToGrid w:val="0"/>
        <w:spacing w:line="440" w:lineRule="exact"/>
        <w:ind w:left="420" w:left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（1）我方具有独立承担民事责任的能力；</w:t>
      </w:r>
    </w:p>
    <w:p>
      <w:pPr>
        <w:widowControl/>
        <w:snapToGrid w:val="0"/>
        <w:spacing w:line="440" w:lineRule="exact"/>
        <w:ind w:left="420" w:left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（2）我方具有良好的商业信誉和健全的财务会计制度；</w:t>
      </w:r>
    </w:p>
    <w:p>
      <w:pPr>
        <w:widowControl/>
        <w:snapToGrid w:val="0"/>
        <w:spacing w:line="440" w:lineRule="exact"/>
        <w:ind w:left="420" w:left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（3）我方具有履行合同所必需的设备和专业技术能力；</w:t>
      </w:r>
    </w:p>
    <w:p>
      <w:pPr>
        <w:widowControl/>
        <w:snapToGrid w:val="0"/>
        <w:spacing w:line="440" w:lineRule="exact"/>
        <w:ind w:left="420" w:left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（4）我方有依法缴纳税收和社会保障资金的良好记录；</w:t>
      </w:r>
    </w:p>
    <w:p>
      <w:pPr>
        <w:widowControl/>
        <w:snapToGrid w:val="0"/>
        <w:spacing w:line="440" w:lineRule="exact"/>
        <w:ind w:left="1020" w:leftChars="200" w:hanging="600" w:hangingChars="2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我方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w:t>
      </w:r>
    </w:p>
    <w:p>
      <w:pPr>
        <w:widowControl/>
        <w:spacing w:line="440" w:lineRule="exact"/>
        <w:ind w:left="283" w:hanging="283" w:hangingChars="118"/>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2、到本项目投标截止时间为止，我方未被“信用中国（</w:t>
      </w:r>
      <w:r>
        <w:rPr>
          <w:rFonts w:hint="eastAsia" w:ascii="仿宋" w:hAnsi="仿宋" w:eastAsia="仿宋" w:cs="仿宋"/>
          <w:color w:val="auto"/>
          <w:kern w:val="0"/>
          <w:sz w:val="24"/>
          <w:highlight w:val="none"/>
        </w:rPr>
        <w:fldChar w:fldCharType="begin"/>
      </w:r>
      <w:r>
        <w:rPr>
          <w:rFonts w:hint="eastAsia" w:ascii="仿宋" w:hAnsi="仿宋" w:eastAsia="仿宋" w:cs="仿宋"/>
          <w:color w:val="auto"/>
          <w:kern w:val="0"/>
          <w:sz w:val="24"/>
          <w:highlight w:val="none"/>
        </w:rPr>
        <w:instrText xml:space="preserve"> HYPERLINK "http://www.creditchina.gov.cn）、" </w:instrText>
      </w:r>
      <w:r>
        <w:rPr>
          <w:rFonts w:hint="eastAsia" w:ascii="仿宋" w:hAnsi="仿宋" w:eastAsia="仿宋" w:cs="仿宋"/>
          <w:color w:val="auto"/>
          <w:kern w:val="0"/>
          <w:sz w:val="24"/>
          <w:highlight w:val="none"/>
        </w:rPr>
        <w:fldChar w:fldCharType="separate"/>
      </w:r>
      <w:r>
        <w:rPr>
          <w:rStyle w:val="76"/>
          <w:rFonts w:hint="eastAsia" w:ascii="仿宋" w:hAnsi="仿宋" w:eastAsia="仿宋" w:cs="仿宋"/>
          <w:color w:val="auto"/>
          <w:sz w:val="24"/>
          <w:highlight w:val="none"/>
        </w:rPr>
        <w:t>www.creditchina.gov.cn）、</w:t>
      </w:r>
      <w:r>
        <w:rPr>
          <w:rFonts w:hint="eastAsia" w:ascii="仿宋" w:hAnsi="仿宋" w:eastAsia="仿宋" w:cs="仿宋"/>
          <w:color w:val="auto"/>
          <w:kern w:val="0"/>
          <w:sz w:val="24"/>
          <w:highlight w:val="none"/>
        </w:rPr>
        <w:fldChar w:fldCharType="end"/>
      </w:r>
      <w:r>
        <w:rPr>
          <w:rFonts w:hint="eastAsia" w:ascii="仿宋" w:hAnsi="仿宋" w:eastAsia="仿宋" w:cs="仿宋"/>
          <w:color w:val="auto"/>
          <w:kern w:val="0"/>
          <w:sz w:val="24"/>
          <w:highlight w:val="none"/>
        </w:rPr>
        <w:t xml:space="preserve"> 中国政府采购网（www.ccgp.gov.cn）列入失信被执行人名单、重大税收违法案件当事人名单、政府采购严重违法失信行为记录名单。</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p>
    <w:p>
      <w:pPr>
        <w:widowControl/>
        <w:snapToGrid w:val="0"/>
        <w:spacing w:line="440" w:lineRule="exact"/>
        <w:ind w:left="210" w:leftChars="1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以上承诺如有虚假，</w:t>
      </w:r>
      <w:r>
        <w:rPr>
          <w:rFonts w:hint="eastAsia" w:ascii="仿宋" w:hAnsi="仿宋" w:eastAsia="仿宋" w:cs="仿宋"/>
          <w:color w:val="auto"/>
          <w:sz w:val="24"/>
          <w:highlight w:val="none"/>
        </w:rPr>
        <w:t>愿接受取消</w:t>
      </w:r>
      <w:r>
        <w:rPr>
          <w:rFonts w:hint="eastAsia" w:ascii="仿宋" w:hAnsi="仿宋" w:eastAsia="仿宋" w:cs="仿宋"/>
          <w:color w:val="auto"/>
          <w:kern w:val="0"/>
          <w:sz w:val="24"/>
          <w:highlight w:val="none"/>
        </w:rPr>
        <w:t>我方任何资格（投标/成交/签订合同）</w:t>
      </w:r>
      <w:r>
        <w:rPr>
          <w:rFonts w:hint="eastAsia" w:ascii="仿宋" w:hAnsi="仿宋" w:eastAsia="仿宋" w:cs="仿宋"/>
          <w:color w:val="auto"/>
          <w:sz w:val="24"/>
          <w:highlight w:val="none"/>
        </w:rPr>
        <w:t>及其他任何形式的处理。</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p>
    <w:p>
      <w:pPr>
        <w:snapToGrid w:val="0"/>
        <w:spacing w:line="360" w:lineRule="auto"/>
        <w:ind w:firstLine="5520" w:firstLineChars="2300"/>
        <w:rPr>
          <w:rFonts w:hint="eastAsia" w:ascii="仿宋" w:hAnsi="仿宋" w:eastAsia="仿宋" w:cs="仿宋"/>
          <w:color w:val="auto"/>
          <w:kern w:val="0"/>
          <w:sz w:val="24"/>
          <w:highlight w:val="none"/>
          <w:lang w:val="zh-CN"/>
        </w:rPr>
      </w:pPr>
    </w:p>
    <w:p>
      <w:pPr>
        <w:tabs>
          <w:tab w:val="left" w:pos="5454"/>
        </w:tabs>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投标人名称(电子签名/公章)：</w:t>
      </w:r>
    </w:p>
    <w:p>
      <w:pPr>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both"/>
        <w:rPr>
          <w:rFonts w:hint="eastAsia" w:ascii="仿宋" w:hAnsi="仿宋" w:eastAsia="仿宋" w:cs="仿宋"/>
          <w:b/>
          <w:color w:val="auto"/>
          <w:kern w:val="0"/>
          <w:sz w:val="32"/>
          <w:szCs w:val="32"/>
          <w:highlight w:val="none"/>
        </w:rPr>
      </w:pPr>
    </w:p>
    <w:p>
      <w:pPr>
        <w:pStyle w:val="58"/>
        <w:tabs>
          <w:tab w:val="left" w:pos="630"/>
          <w:tab w:val="left" w:pos="840"/>
          <w:tab w:val="left" w:pos="1050"/>
        </w:tabs>
        <w:adjustRightInd w:val="0"/>
        <w:snapToGrid w:val="0"/>
        <w:spacing w:before="0" w:beforeAutospacing="0" w:after="0" w:afterAutospacing="0" w:line="360" w:lineRule="auto"/>
        <w:ind w:left="420"/>
        <w:rPr>
          <w:rFonts w:hint="eastAsia" w:ascii="仿宋" w:hAnsi="仿宋" w:eastAsia="仿宋" w:cs="仿宋"/>
          <w:bCs/>
          <w:color w:val="auto"/>
          <w:sz w:val="24"/>
          <w:szCs w:val="24"/>
          <w:highlight w:val="none"/>
        </w:rPr>
      </w:pPr>
      <w:r>
        <w:rPr>
          <w:rFonts w:hint="eastAsia" w:ascii="仿宋" w:hAnsi="仿宋" w:eastAsia="仿宋" w:cs="仿宋"/>
          <w:color w:val="auto"/>
          <w:sz w:val="28"/>
          <w:szCs w:val="28"/>
          <w:highlight w:val="none"/>
        </w:rPr>
        <w:br w:type="page"/>
      </w:r>
      <w:r>
        <w:rPr>
          <w:rFonts w:hint="eastAsia" w:ascii="仿宋" w:hAnsi="仿宋" w:eastAsia="仿宋" w:cs="仿宋"/>
          <w:color w:val="auto"/>
          <w:sz w:val="28"/>
          <w:szCs w:val="28"/>
          <w:highlight w:val="none"/>
          <w:lang w:val="en-US" w:eastAsia="zh-CN"/>
        </w:rPr>
        <w:t xml:space="preserve">   b.</w:t>
      </w:r>
      <w:r>
        <w:rPr>
          <w:rFonts w:hint="eastAsia" w:ascii="仿宋" w:hAnsi="仿宋" w:eastAsia="仿宋" w:cs="仿宋"/>
          <w:bCs/>
          <w:color w:val="auto"/>
          <w:sz w:val="24"/>
          <w:szCs w:val="24"/>
          <w:highlight w:val="none"/>
        </w:rPr>
        <w:t>投标人须在投标文件中出具符合以下情况的证明材料复印件（五选一）：</w:t>
      </w:r>
    </w:p>
    <w:p>
      <w:pPr>
        <w:pStyle w:val="58"/>
        <w:numPr>
          <w:ilvl w:val="0"/>
          <w:numId w:val="11"/>
          <w:numberingChange w:id="0" w:author="ibm" w:date="2021-03-28T21:44:00Z" w:original="%1:1:28:　"/>
        </w:numPr>
        <w:tabs>
          <w:tab w:val="left" w:pos="312"/>
        </w:tabs>
        <w:adjustRightInd w:val="0"/>
        <w:snapToGrid w:val="0"/>
        <w:spacing w:before="0" w:beforeAutospacing="0" w:after="0" w:afterAutospacing="0"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如投标人是企业（包括合伙企业），提供在工商部门注册的有效“企业法人营业执照”或“营业执照”；</w:t>
      </w:r>
    </w:p>
    <w:p>
      <w:pPr>
        <w:pStyle w:val="58"/>
        <w:numPr>
          <w:ilvl w:val="0"/>
          <w:numId w:val="11"/>
          <w:numberingChange w:id="1" w:author="ibm" w:date="2021-03-28T21:44:00Z" w:original="%1:2:28:　"/>
        </w:numPr>
        <w:tabs>
          <w:tab w:val="left" w:pos="312"/>
        </w:tabs>
        <w:adjustRightInd w:val="0"/>
        <w:snapToGrid w:val="0"/>
        <w:spacing w:before="0" w:beforeAutospacing="0" w:after="0" w:afterAutospacing="0"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如投标人是事业单位，提供有效的“事业单位法人证书”；</w:t>
      </w:r>
    </w:p>
    <w:p>
      <w:pPr>
        <w:pStyle w:val="58"/>
        <w:numPr>
          <w:ilvl w:val="0"/>
          <w:numId w:val="11"/>
          <w:numberingChange w:id="2" w:author="ibm" w:date="2021-03-28T21:44:00Z" w:original="%1:3:28:　"/>
        </w:numPr>
        <w:tabs>
          <w:tab w:val="left" w:pos="312"/>
        </w:tabs>
        <w:adjustRightInd w:val="0"/>
        <w:snapToGrid w:val="0"/>
        <w:spacing w:before="0" w:beforeAutospacing="0" w:after="0" w:afterAutospacing="0"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如投标人是非企业专业服务机构的，提供执业许可证等证明文件；</w:t>
      </w:r>
    </w:p>
    <w:p>
      <w:pPr>
        <w:pStyle w:val="58"/>
        <w:numPr>
          <w:ilvl w:val="0"/>
          <w:numId w:val="11"/>
          <w:numberingChange w:id="3" w:author="ibm" w:date="2021-03-28T21:44:00Z" w:original="%1:4:28:　"/>
        </w:numPr>
        <w:tabs>
          <w:tab w:val="left" w:pos="312"/>
        </w:tabs>
        <w:adjustRightInd w:val="0"/>
        <w:snapToGrid w:val="0"/>
        <w:spacing w:before="0" w:beforeAutospacing="0" w:after="0" w:afterAutospacing="0"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如投标人是个体工商户，提供有效的“个体工商户营业执照”；</w:t>
      </w:r>
    </w:p>
    <w:p>
      <w:pPr>
        <w:pStyle w:val="58"/>
        <w:numPr>
          <w:ilvl w:val="0"/>
          <w:numId w:val="11"/>
          <w:numberingChange w:id="4" w:author="ibm" w:date="2021-03-28T21:44:00Z" w:original="%1:5:28:　"/>
        </w:numPr>
        <w:tabs>
          <w:tab w:val="left" w:pos="312"/>
        </w:tabs>
        <w:adjustRightInd w:val="0"/>
        <w:snapToGrid w:val="0"/>
        <w:spacing w:before="0" w:beforeAutospacing="0" w:after="0" w:afterAutospacing="0"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如投标人是自然人，提供有效的自然人身份证明（居民身份证正反面或公安机关出具的临时居民身份证正反面或港澳台胞证或护照）。</w:t>
      </w:r>
    </w:p>
    <w:p>
      <w:pPr>
        <w:pStyle w:val="58"/>
        <w:tabs>
          <w:tab w:val="left" w:pos="312"/>
        </w:tabs>
        <w:adjustRightInd w:val="0"/>
        <w:snapToGrid w:val="0"/>
        <w:spacing w:before="0" w:beforeAutospacing="0" w:after="0" w:afterAutospacing="0" w:line="360" w:lineRule="auto"/>
        <w:rPr>
          <w:rFonts w:hint="eastAsia" w:ascii="仿宋" w:hAnsi="仿宋" w:eastAsia="仿宋" w:cs="仿宋"/>
          <w:bCs/>
          <w:color w:val="auto"/>
          <w:sz w:val="21"/>
          <w:szCs w:val="21"/>
          <w:highlight w:val="none"/>
        </w:rPr>
      </w:pPr>
    </w:p>
    <w:p>
      <w:pPr>
        <w:pStyle w:val="482"/>
        <w:snapToGrid w:val="0"/>
        <w:spacing w:line="360" w:lineRule="auto"/>
        <w:ind w:firstLine="420"/>
        <w:rPr>
          <w:rFonts w:hint="eastAsia" w:ascii="仿宋" w:hAnsi="仿宋" w:eastAsia="仿宋" w:cs="仿宋"/>
          <w:color w:val="auto"/>
          <w:szCs w:val="21"/>
          <w:highlight w:val="none"/>
        </w:rPr>
      </w:pPr>
      <w:r>
        <w:rPr>
          <w:rFonts w:hint="eastAsia" w:ascii="仿宋" w:hAnsi="仿宋" w:eastAsia="仿宋" w:cs="仿宋"/>
          <w:color w:val="auto"/>
          <w:szCs w:val="21"/>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jc w:val="left"/>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lang w:val="en-US" w:eastAsia="zh-CN"/>
        </w:rPr>
        <w:t>c.</w:t>
      </w:r>
      <w:r>
        <w:rPr>
          <w:rFonts w:hint="eastAsia" w:ascii="仿宋" w:hAnsi="仿宋" w:eastAsia="仿宋" w:cs="仿宋"/>
          <w:b/>
          <w:color w:val="auto"/>
          <w:kern w:val="0"/>
          <w:sz w:val="32"/>
          <w:szCs w:val="32"/>
          <w:highlight w:val="none"/>
          <w:lang w:val="zh-CN"/>
        </w:rPr>
        <w:t>联合协议</w:t>
      </w:r>
    </w:p>
    <w:p>
      <w:pPr>
        <w:snapToGrid w:val="0"/>
        <w:spacing w:before="50" w:after="50"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(参考格式，</w:t>
      </w:r>
      <w:r>
        <w:rPr>
          <w:rFonts w:hint="eastAsia" w:ascii="仿宋" w:hAnsi="仿宋" w:eastAsia="仿宋" w:cs="仿宋"/>
          <w:b/>
          <w:color w:val="auto"/>
          <w:sz w:val="24"/>
          <w:highlight w:val="none"/>
        </w:rPr>
        <w:t>以联合体形式投标的，提供联合协议；投标人不以联合体形式投标的，则不需要提供</w:t>
      </w:r>
      <w:r>
        <w:rPr>
          <w:rFonts w:hint="eastAsia" w:ascii="仿宋" w:hAnsi="仿宋" w:eastAsia="仿宋" w:cs="仿宋"/>
          <w:b/>
          <w:color w:val="auto"/>
          <w:sz w:val="24"/>
          <w:highlight w:val="none"/>
          <w:lang w:val="en-US" w:eastAsia="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温州经济技术开发区地下市政基础设施普查项目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ZQCG-XZ-2022-055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before="50" w:after="50" w:line="360" w:lineRule="auto"/>
        <w:jc w:val="cente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参考格式，</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温州经济技术开发区地下市政基础设施普查项目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ZQCG-XZ-2022-055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的中标人，将依法采取分包方式履行合同。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6"/>
        <w:ind w:left="664" w:leftChars="316" w:firstLine="229" w:firstLineChars="95"/>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lang w:val="en-US" w:eastAsia="zh-CN"/>
        </w:rPr>
        <w:t>d.</w:t>
      </w:r>
      <w:r>
        <w:rPr>
          <w:rFonts w:hint="eastAsia" w:ascii="仿宋" w:hAnsi="仿宋" w:eastAsia="仿宋" w:cs="仿宋"/>
          <w:b/>
          <w:color w:val="auto"/>
          <w:kern w:val="0"/>
          <w:sz w:val="32"/>
          <w:szCs w:val="32"/>
          <w:highlight w:val="none"/>
          <w:lang w:val="zh-CN"/>
        </w:rPr>
        <w:t>授权委托书或法定代表人（单位负责人、自然人本人）身份证明</w:t>
      </w:r>
    </w:p>
    <w:p>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331"/>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pPr>
              <w:pStyle w:val="331"/>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331"/>
              <w:adjustRightInd w:val="0"/>
              <w:spacing w:line="360" w:lineRule="auto"/>
              <w:rPr>
                <w:rFonts w:hint="eastAsia" w:ascii="仿宋" w:hAnsi="仿宋" w:eastAsia="仿宋" w:cs="仿宋"/>
                <w:bCs/>
                <w:color w:val="auto"/>
                <w:sz w:val="24"/>
                <w:highlight w:val="none"/>
              </w:rPr>
            </w:pPr>
          </w:p>
        </w:tc>
      </w:tr>
    </w:tbl>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p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jc w:val="center"/>
        <w:outlineLvl w:val="0"/>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rPr>
        <w:t>二、落实政府采购政策需满足的资格要求</w:t>
      </w:r>
      <w:r>
        <w:rPr>
          <w:rFonts w:hint="eastAsia" w:ascii="仿宋" w:hAnsi="仿宋" w:eastAsia="仿宋" w:cs="仿宋"/>
          <w:b/>
          <w:color w:val="auto"/>
          <w:kern w:val="0"/>
          <w:sz w:val="32"/>
          <w:szCs w:val="32"/>
          <w:highlight w:val="none"/>
          <w:lang w:val="en-US" w:eastAsia="zh-CN"/>
        </w:rPr>
        <w:t>证明材料</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.专门面向中小企业，货物全部由符合政策要求的中小企业（或小微企业）制造或者服务全部由符合政策要求的中小企业（或小微企业）承接的，提供相应的中小企业声明函。 </w:t>
      </w:r>
    </w:p>
    <w:p>
      <w:pPr>
        <w:widowControl/>
        <w:spacing w:line="360" w:lineRule="auto"/>
        <w:ind w:firstLine="480"/>
        <w:jc w:val="left"/>
        <w:rPr>
          <w:rFonts w:hint="eastAsia" w:ascii="仿宋" w:hAnsi="仿宋" w:eastAsia="仿宋" w:cs="仿宋"/>
          <w:color w:val="auto"/>
          <w:sz w:val="24"/>
          <w:highlight w:val="none"/>
        </w:rPr>
      </w:pP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p>
    <w:p>
      <w:pPr>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kern w:val="0"/>
          <w:sz w:val="32"/>
          <w:szCs w:val="32"/>
          <w:highlight w:val="none"/>
        </w:rPr>
        <w:t>三、本项目的特定资格要求</w:t>
      </w:r>
    </w:p>
    <w:p>
      <w:pPr>
        <w:pStyle w:val="482"/>
        <w:snapToGrid w:val="0"/>
        <w:spacing w:line="360" w:lineRule="auto"/>
        <w:ind w:firstLine="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zh-CN" w:eastAsia="zh-CN"/>
        </w:rPr>
        <w:t>标段一：</w:t>
      </w:r>
      <w:r>
        <w:rPr>
          <w:rFonts w:hint="eastAsia" w:ascii="仿宋" w:hAnsi="仿宋" w:eastAsia="仿宋" w:cs="仿宋"/>
          <w:color w:val="auto"/>
          <w:sz w:val="24"/>
          <w:highlight w:val="none"/>
          <w:lang w:val="en-US" w:eastAsia="zh-CN"/>
        </w:rPr>
        <w:t>提供具备地理信息系统工程、工程测量（含地下管线测量）甲级测绘资质证书证明材料。</w:t>
      </w:r>
    </w:p>
    <w:p>
      <w:pPr>
        <w:pStyle w:val="482"/>
        <w:snapToGrid w:val="0"/>
        <w:spacing w:line="360" w:lineRule="auto"/>
        <w:ind w:firstLine="42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标段二：提供具备地理信息系统工程监理、工程测量监理甲级测绘资质证明材料。</w:t>
      </w: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bookmarkStart w:id="432" w:name="_Toc31209"/>
      <w:r>
        <w:rPr>
          <w:rStyle w:val="82"/>
          <w:rFonts w:hint="eastAsia" w:ascii="仿宋" w:hAnsi="仿宋" w:eastAsia="仿宋" w:cs="仿宋"/>
          <w:color w:val="auto"/>
          <w:highlight w:val="none"/>
        </w:rPr>
        <w:t>商务技术文件部分</w:t>
      </w:r>
      <w:bookmarkEnd w:id="432"/>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bookmarkStart w:id="433" w:name="_Toc23572"/>
      <w:bookmarkStart w:id="434" w:name="_Toc23620"/>
      <w:bookmarkStart w:id="435" w:name="_Toc11049"/>
      <w:r>
        <w:rPr>
          <w:rFonts w:hint="eastAsia" w:ascii="仿宋" w:hAnsi="仿宋" w:eastAsia="仿宋" w:cs="仿宋"/>
          <w:b/>
          <w:color w:val="auto"/>
          <w:kern w:val="0"/>
          <w:sz w:val="28"/>
          <w:szCs w:val="28"/>
          <w:highlight w:val="none"/>
        </w:rPr>
        <w:t>目录</w:t>
      </w:r>
      <w:bookmarkEnd w:id="433"/>
      <w:bookmarkEnd w:id="434"/>
      <w:bookmarkEnd w:id="435"/>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）商务技术偏离表</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jc w:val="both"/>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sz w:val="32"/>
          <w:szCs w:val="32"/>
          <w:highlight w:val="none"/>
        </w:rPr>
      </w:pPr>
      <w:bookmarkStart w:id="436" w:name="_Toc21536"/>
      <w:bookmarkStart w:id="437" w:name="_Toc26161"/>
      <w:bookmarkStart w:id="438" w:name="_Toc25202"/>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28"/>
          <w:szCs w:val="28"/>
          <w:highlight w:val="none"/>
        </w:rPr>
        <w:t>一、投标函</w:t>
      </w:r>
      <w:bookmarkEnd w:id="436"/>
      <w:bookmarkEnd w:id="437"/>
      <w:bookmarkEnd w:id="438"/>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温州市自然资源和规划局经济技术开发区分局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温州鑫正招标代理有限公司</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温州经济技术开发区地下市政基础设施普查项目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ZQCG-XZ-2022-055</w:t>
      </w:r>
      <w:r>
        <w:rPr>
          <w:rFonts w:hint="eastAsia" w:ascii="仿宋" w:hAnsi="仿宋" w:eastAsia="仿宋" w:cs="仿宋"/>
          <w:color w:val="auto"/>
          <w:sz w:val="24"/>
          <w:highlight w:val="none"/>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42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rPr>
        <w:t>具有独立承担民事责任能力的证明材料</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rPr>
        <w:t>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rPr>
        <w:t>联合协议（如果有）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分包意向协议（如果有）</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2.1.3本项目的特定资格要求（如果有）。</w:t>
      </w:r>
    </w:p>
    <w:p>
      <w:pPr>
        <w:keepNext w:val="0"/>
        <w:keepLines w:val="0"/>
        <w:pageBreakBefore w:val="0"/>
        <w:widowControl w:val="0"/>
        <w:kinsoku/>
        <w:wordWrap/>
        <w:overflowPunct/>
        <w:topLinePunct w:val="0"/>
        <w:autoSpaceDE/>
        <w:autoSpaceDN/>
        <w:bidi w:val="0"/>
        <w:adjustRightInd w:val="0"/>
        <w:snapToGrid w:val="0"/>
        <w:spacing w:line="420" w:lineRule="exact"/>
        <w:ind w:left="210" w:leftChars="10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符合性审查资料；</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评标标准相应的商务技术资料；</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商务技术偏离表；</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招标文件要求的其他材料；</w:t>
      </w:r>
    </w:p>
    <w:p>
      <w:pPr>
        <w:keepNext w:val="0"/>
        <w:keepLines w:val="0"/>
        <w:pageBreakBefore w:val="0"/>
        <w:widowControl w:val="0"/>
        <w:kinsoku/>
        <w:wordWrap/>
        <w:overflowPunct/>
        <w:topLinePunct w:val="0"/>
        <w:autoSpaceDE/>
        <w:autoSpaceDN/>
        <w:bidi w:val="0"/>
        <w:adjustRightInd w:val="0"/>
        <w:snapToGrid w:val="0"/>
        <w:spacing w:line="42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w:t>
      </w:r>
      <w:r>
        <w:rPr>
          <w:rFonts w:hint="eastAsia" w:ascii="仿宋" w:hAnsi="仿宋" w:eastAsia="仿宋" w:cs="仿宋"/>
          <w:color w:val="auto"/>
          <w:sz w:val="24"/>
          <w:highlight w:val="none"/>
          <w:lang w:eastAsia="zh-CN"/>
        </w:rPr>
        <w:t>开标一览表</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w:t>
      </w:r>
      <w:r>
        <w:rPr>
          <w:rFonts w:hint="eastAsia" w:ascii="仿宋" w:hAnsi="仿宋" w:eastAsia="仿宋" w:cs="仿宋"/>
          <w:color w:val="auto"/>
          <w:sz w:val="22"/>
          <w:szCs w:val="22"/>
          <w:highlight w:val="none"/>
        </w:rPr>
        <w:t>投标分项报价表</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20" w:lineRule="exact"/>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pPr>
        <w:keepNext w:val="0"/>
        <w:keepLines w:val="0"/>
        <w:pageBreakBefore w:val="0"/>
        <w:widowControl w:val="0"/>
        <w:kinsoku/>
        <w:wordWrap/>
        <w:overflowPunct/>
        <w:topLinePunct w:val="0"/>
        <w:autoSpaceDE/>
        <w:autoSpaceDN/>
        <w:bidi w:val="0"/>
        <w:adjustRightInd w:val="0"/>
        <w:snapToGrid w:val="0"/>
        <w:spacing w:line="42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42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42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42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420" w:lineRule="exact"/>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pacing w:line="420" w:lineRule="exact"/>
        <w:ind w:firstLine="3600" w:firstLineChars="15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keepNext w:val="0"/>
        <w:keepLines w:val="0"/>
        <w:pageBreakBefore w:val="0"/>
        <w:widowControl w:val="0"/>
        <w:kinsoku/>
        <w:wordWrap/>
        <w:overflowPunct/>
        <w:topLinePunct w:val="0"/>
        <w:autoSpaceDE/>
        <w:autoSpaceDN/>
        <w:bidi w:val="0"/>
        <w:adjustRightInd w:val="0"/>
        <w:spacing w:line="42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br w:type="page"/>
      </w: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、评标标准相应的商务技术资料</w:t>
      </w:r>
    </w:p>
    <w:p>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、商务技术偏离表</w:t>
      </w:r>
    </w:p>
    <w:tbl>
      <w:tblPr>
        <w:tblStyle w:val="62"/>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56"/>
        <w:gridCol w:w="3219"/>
        <w:gridCol w:w="1822"/>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序号</w:t>
            </w:r>
          </w:p>
        </w:tc>
        <w:tc>
          <w:tcPr>
            <w:tcW w:w="1656" w:type="dxa"/>
            <w:noWrap w:val="0"/>
            <w:vAlign w:val="center"/>
          </w:tcPr>
          <w:p>
            <w:pPr>
              <w:snapToGrid w:val="0"/>
              <w:spacing w:line="400" w:lineRule="exact"/>
              <w:jc w:val="center"/>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采购文件要求</w:t>
            </w:r>
          </w:p>
        </w:tc>
        <w:tc>
          <w:tcPr>
            <w:tcW w:w="3219" w:type="dxa"/>
            <w:noWrap w:val="0"/>
            <w:vAlign w:val="center"/>
          </w:tcPr>
          <w:p>
            <w:pPr>
              <w:snapToGrid w:val="0"/>
              <w:spacing w:line="400" w:lineRule="exact"/>
              <w:jc w:val="center"/>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投标文件对应规范</w:t>
            </w:r>
          </w:p>
        </w:tc>
        <w:tc>
          <w:tcPr>
            <w:tcW w:w="1822" w:type="dxa"/>
            <w:noWrap w:val="0"/>
            <w:vAlign w:val="center"/>
          </w:tcPr>
          <w:p>
            <w:pPr>
              <w:snapToGrid w:val="0"/>
              <w:spacing w:line="400" w:lineRule="exact"/>
              <w:jc w:val="center"/>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是否偏离</w:t>
            </w:r>
          </w:p>
          <w:p>
            <w:pPr>
              <w:snapToGrid w:val="0"/>
              <w:spacing w:line="400" w:lineRule="exact"/>
              <w:jc w:val="center"/>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（提供说明）</w:t>
            </w:r>
          </w:p>
        </w:tc>
        <w:tc>
          <w:tcPr>
            <w:tcW w:w="1735" w:type="dxa"/>
            <w:noWrap w:val="0"/>
            <w:vAlign w:val="center"/>
          </w:tcPr>
          <w:p>
            <w:pPr>
              <w:snapToGrid w:val="0"/>
              <w:spacing w:line="400" w:lineRule="exact"/>
              <w:jc w:val="center"/>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要求提供的证明材料页码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3" w:type="dxa"/>
            <w:gridSpan w:val="5"/>
            <w:noWrap w:val="0"/>
            <w:vAlign w:val="center"/>
          </w:tcPr>
          <w:p>
            <w:pPr>
              <w:snapToGrid w:val="0"/>
              <w:spacing w:line="400" w:lineRule="exact"/>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3" w:type="dxa"/>
            <w:gridSpan w:val="5"/>
            <w:noWrap w:val="0"/>
            <w:vAlign w:val="center"/>
          </w:tcPr>
          <w:p>
            <w:pPr>
              <w:snapToGrid w:val="0"/>
              <w:spacing w:line="400" w:lineRule="exact"/>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656"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3219"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822"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c>
          <w:tcPr>
            <w:tcW w:w="1735" w:type="dxa"/>
            <w:noWrap w:val="0"/>
            <w:vAlign w:val="center"/>
          </w:tcPr>
          <w:p>
            <w:pPr>
              <w:snapToGrid w:val="0"/>
              <w:spacing w:line="400" w:lineRule="exact"/>
              <w:jc w:val="center"/>
              <w:rPr>
                <w:rFonts w:hint="eastAsia" w:ascii="仿宋" w:hAnsi="仿宋" w:eastAsia="仿宋" w:cs="仿宋"/>
                <w:color w:val="auto"/>
                <w:spacing w:val="-6"/>
                <w:sz w:val="24"/>
                <w:highlight w:val="none"/>
              </w:rPr>
            </w:pPr>
          </w:p>
        </w:tc>
      </w:tr>
    </w:tbl>
    <w:p>
      <w:pPr>
        <w:jc w:val="left"/>
        <w:rPr>
          <w:rFonts w:hint="eastAsia" w:ascii="仿宋" w:hAnsi="仿宋" w:eastAsia="仿宋" w:cs="仿宋"/>
          <w:color w:val="auto"/>
          <w:kern w:val="0"/>
          <w:sz w:val="24"/>
          <w:highlight w:val="none"/>
        </w:rPr>
      </w:pPr>
    </w:p>
    <w:p>
      <w:pPr>
        <w:snapToGrid w:val="0"/>
        <w:spacing w:line="400" w:lineRule="exact"/>
        <w:jc w:val="left"/>
        <w:rPr>
          <w:rFonts w:hint="eastAsia" w:ascii="仿宋" w:hAnsi="仿宋" w:eastAsia="仿宋" w:cs="仿宋"/>
          <w:b/>
          <w:bCs/>
          <w:color w:val="auto"/>
          <w:spacing w:val="-6"/>
          <w:sz w:val="24"/>
          <w:highlight w:val="none"/>
        </w:rPr>
      </w:pPr>
      <w:r>
        <w:rPr>
          <w:rFonts w:hint="eastAsia" w:ascii="仿宋" w:hAnsi="仿宋" w:eastAsia="仿宋" w:cs="仿宋"/>
          <w:b/>
          <w:bCs/>
          <w:color w:val="auto"/>
          <w:spacing w:val="-6"/>
          <w:sz w:val="24"/>
          <w:highlight w:val="none"/>
        </w:rPr>
        <w:t>注意：1.逐项按照采购文件要求填写响应规格；如不填写或留空，则视为完全响应采购文件的要求</w:t>
      </w:r>
      <w:r>
        <w:rPr>
          <w:rFonts w:hint="eastAsia" w:ascii="仿宋" w:hAnsi="仿宋" w:eastAsia="仿宋" w:cs="仿宋"/>
          <w:b/>
          <w:color w:val="auto"/>
          <w:spacing w:val="-6"/>
          <w:sz w:val="24"/>
          <w:highlight w:val="none"/>
        </w:rPr>
        <w:t>，自行承担投标响应风险</w:t>
      </w:r>
      <w:r>
        <w:rPr>
          <w:rFonts w:hint="eastAsia" w:ascii="仿宋" w:hAnsi="仿宋" w:eastAsia="仿宋" w:cs="仿宋"/>
          <w:b/>
          <w:bCs/>
          <w:color w:val="auto"/>
          <w:spacing w:val="-6"/>
          <w:sz w:val="24"/>
          <w:szCs w:val="22"/>
          <w:highlight w:val="none"/>
        </w:rPr>
        <w:t>。</w:t>
      </w:r>
    </w:p>
    <w:p>
      <w:pPr>
        <w:snapToGrid w:val="0"/>
        <w:spacing w:line="400" w:lineRule="exact"/>
        <w:ind w:firstLine="687" w:firstLineChars="300"/>
        <w:jc w:val="left"/>
        <w:rPr>
          <w:rFonts w:hint="eastAsia" w:ascii="仿宋" w:hAnsi="仿宋" w:eastAsia="仿宋" w:cs="仿宋"/>
          <w:b/>
          <w:bCs/>
          <w:color w:val="auto"/>
          <w:spacing w:val="-6"/>
          <w:sz w:val="24"/>
          <w:highlight w:val="none"/>
        </w:rPr>
      </w:pPr>
      <w:r>
        <w:rPr>
          <w:rFonts w:hint="eastAsia" w:ascii="仿宋" w:hAnsi="仿宋" w:eastAsia="仿宋" w:cs="仿宋"/>
          <w:b/>
          <w:bCs/>
          <w:color w:val="auto"/>
          <w:spacing w:val="-6"/>
          <w:sz w:val="24"/>
          <w:highlight w:val="none"/>
        </w:rPr>
        <w:t>2.偏离说明是指对采购文件要求存在不同之处的解释说明。偏离系指：正偏离（高于采购需求）、负偏离（低于采购需求或未按采购需求提供相应证明材料的）、无偏离（满足采购需求）；</w:t>
      </w:r>
    </w:p>
    <w:p>
      <w:pPr>
        <w:snapToGrid w:val="0"/>
        <w:spacing w:line="400" w:lineRule="exact"/>
        <w:ind w:firstLine="687" w:firstLineChars="300"/>
        <w:jc w:val="left"/>
        <w:rPr>
          <w:rFonts w:hint="eastAsia" w:ascii="仿宋" w:hAnsi="仿宋" w:eastAsia="仿宋" w:cs="仿宋"/>
          <w:b/>
          <w:bCs/>
          <w:color w:val="auto"/>
          <w:spacing w:val="-6"/>
          <w:sz w:val="24"/>
          <w:highlight w:val="none"/>
        </w:rPr>
      </w:pPr>
      <w:r>
        <w:rPr>
          <w:rFonts w:hint="eastAsia" w:ascii="仿宋" w:hAnsi="仿宋" w:eastAsia="仿宋" w:cs="仿宋"/>
          <w:b/>
          <w:bCs/>
          <w:color w:val="auto"/>
          <w:spacing w:val="-6"/>
          <w:sz w:val="24"/>
          <w:highlight w:val="none"/>
        </w:rPr>
        <w:t>3.建议供应商准备采购需求中要求的证明材料（如证书、检测报告等）条目索引，要求清晰提供的证明材料（如证书、检测报告等），由不清晰或者模糊造成无法判断证明材料是否符合要求的风险由供应商自行承担。</w:t>
      </w:r>
    </w:p>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rPr>
      </w:pPr>
    </w:p>
    <w:p>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br w:type="page"/>
      </w: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温州市自然资源和规划局经济技术开发区分局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温州鑫正招标代理有限公司</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sectPr>
          <w:footerReference r:id="rId8" w:type="first"/>
          <w:footerReference r:id="rId7" w:type="default"/>
          <w:pgSz w:w="11906" w:h="16838"/>
          <w:pgMar w:top="1219" w:right="1304" w:bottom="1191" w:left="1304" w:header="851" w:footer="850" w:gutter="0"/>
          <w:pgNumType w:fmt="decimal"/>
          <w:cols w:space="720" w:num="1"/>
          <w:titlePg/>
          <w:docGrid w:linePitch="312" w:charSpace="0"/>
        </w:sectPr>
      </w:pPr>
    </w:p>
    <w:p>
      <w:pPr>
        <w:pStyle w:val="6"/>
        <w:bidi w:val="0"/>
        <w:jc w:val="center"/>
        <w:rPr>
          <w:rFonts w:hint="eastAsia" w:ascii="仿宋" w:hAnsi="仿宋" w:eastAsia="仿宋" w:cs="仿宋"/>
          <w:b w:val="0"/>
          <w:color w:val="auto"/>
          <w:kern w:val="0"/>
          <w:szCs w:val="36"/>
          <w:highlight w:val="none"/>
        </w:rPr>
      </w:pPr>
      <w:bookmarkStart w:id="439" w:name="_Toc29762"/>
      <w:r>
        <w:rPr>
          <w:rFonts w:hint="eastAsia" w:ascii="仿宋" w:hAnsi="仿宋" w:eastAsia="仿宋" w:cs="仿宋"/>
          <w:color w:val="auto"/>
          <w:highlight w:val="none"/>
        </w:rPr>
        <w:t>报价文件部分</w:t>
      </w:r>
      <w:bookmarkEnd w:id="439"/>
    </w:p>
    <w:p>
      <w:pPr>
        <w:spacing w:line="360" w:lineRule="auto"/>
        <w:jc w:val="center"/>
        <w:outlineLvl w:val="0"/>
        <w:rPr>
          <w:rFonts w:hint="eastAsia" w:ascii="仿宋" w:hAnsi="仿宋" w:eastAsia="仿宋" w:cs="仿宋"/>
          <w:b/>
          <w:color w:val="auto"/>
          <w:kern w:val="0"/>
          <w:sz w:val="36"/>
          <w:szCs w:val="36"/>
          <w:highlight w:val="none"/>
        </w:rPr>
      </w:pPr>
      <w:bookmarkStart w:id="440" w:name="_Toc9713"/>
      <w:bookmarkStart w:id="441" w:name="_Toc14052"/>
      <w:bookmarkStart w:id="442" w:name="_Toc24830"/>
      <w:r>
        <w:rPr>
          <w:rFonts w:hint="eastAsia" w:ascii="仿宋" w:hAnsi="仿宋" w:eastAsia="仿宋" w:cs="仿宋"/>
          <w:b/>
          <w:color w:val="auto"/>
          <w:kern w:val="0"/>
          <w:sz w:val="36"/>
          <w:szCs w:val="36"/>
          <w:highlight w:val="none"/>
        </w:rPr>
        <w:t>目录</w:t>
      </w:r>
      <w:bookmarkEnd w:id="440"/>
      <w:bookmarkEnd w:id="441"/>
      <w:bookmarkEnd w:id="442"/>
    </w:p>
    <w:p>
      <w:pPr>
        <w:spacing w:line="360" w:lineRule="auto"/>
        <w:jc w:val="center"/>
        <w:outlineLvl w:val="0"/>
        <w:rPr>
          <w:rFonts w:hint="eastAsia" w:ascii="仿宋" w:hAnsi="仿宋" w:eastAsia="仿宋" w:cs="仿宋"/>
          <w:b/>
          <w:color w:val="auto"/>
          <w:kern w:val="0"/>
          <w:sz w:val="36"/>
          <w:szCs w:val="36"/>
          <w:highlight w:val="none"/>
        </w:rPr>
      </w:pPr>
    </w:p>
    <w:p>
      <w:pPr>
        <w:numPr>
          <w:ilvl w:val="0"/>
          <w:numId w:val="12"/>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开标一览表</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分项报价表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57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1" w:type="first"/>
          <w:headerReference r:id="rId9" w:type="default"/>
          <w:footerReference r:id="rId10" w:type="default"/>
          <w:pgSz w:w="11906" w:h="16838"/>
          <w:pgMar w:top="1276" w:right="1418" w:bottom="1247" w:left="1418" w:header="851" w:footer="992" w:gutter="0"/>
          <w:pgNumType w:fmt="decimal"/>
          <w:cols w:space="720" w:num="1"/>
          <w:titlePg/>
          <w:docGrid w:linePitch="312" w:charSpace="0"/>
        </w:sectPr>
      </w:pPr>
    </w:p>
    <w:p>
      <w:pPr>
        <w:pStyle w:val="57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eastAsia="zh-CN"/>
        </w:rPr>
      </w:pPr>
      <w:bookmarkStart w:id="443" w:name="_Toc24274"/>
      <w:bookmarkStart w:id="444" w:name="_Toc17889"/>
      <w:bookmarkStart w:id="445" w:name="_Toc23337"/>
      <w:r>
        <w:rPr>
          <w:rFonts w:hint="eastAsia" w:ascii="仿宋" w:hAnsi="仿宋" w:eastAsia="仿宋" w:cs="仿宋"/>
          <w:color w:val="auto"/>
          <w:kern w:val="2"/>
          <w:sz w:val="32"/>
          <w:szCs w:val="32"/>
          <w:highlight w:val="none"/>
        </w:rPr>
        <w:t>一、开标一览表</w:t>
      </w:r>
      <w:bookmarkEnd w:id="443"/>
      <w:bookmarkEnd w:id="444"/>
      <w:bookmarkEnd w:id="445"/>
      <w:r>
        <w:rPr>
          <w:rFonts w:hint="eastAsia" w:ascii="仿宋" w:hAnsi="仿宋" w:eastAsia="仿宋" w:cs="仿宋"/>
          <w:color w:val="auto"/>
          <w:kern w:val="2"/>
          <w:sz w:val="32"/>
          <w:szCs w:val="32"/>
          <w:highlight w:val="none"/>
          <w:lang w:eastAsia="zh-CN"/>
        </w:rPr>
        <w:t>（标段一）</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温州市自然资源和规划局经济技术开发区分局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温州鑫正招标代理有限公司</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按你方招标文件要求，我们，本投标文件签字方，谨此向你方发出要约如下：如你方接受本投标，我方承诺按照如下开标一览表的价格完成</w:t>
      </w:r>
      <w:r>
        <w:rPr>
          <w:rFonts w:hint="eastAsia" w:ascii="仿宋" w:hAnsi="仿宋" w:eastAsia="仿宋" w:cs="仿宋"/>
          <w:color w:val="auto"/>
          <w:sz w:val="24"/>
          <w:highlight w:val="none"/>
          <w:lang w:eastAsia="zh-CN"/>
        </w:rPr>
        <w:t>温州经济技术开发区地下市政基础设施普查项目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ZQCG-XZ-2022-055</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pStyle w:val="3"/>
        <w:rPr>
          <w:rFonts w:hint="eastAsia"/>
          <w:color w:val="auto"/>
          <w:highlight w:val="none"/>
          <w:lang w:val="zh-CN"/>
        </w:rPr>
      </w:pPr>
      <w:r>
        <w:rPr>
          <w:rFonts w:hint="eastAsia" w:ascii="仿宋" w:hAnsi="仿宋" w:eastAsia="仿宋" w:cs="仿宋"/>
          <w:color w:val="auto"/>
          <w:kern w:val="0"/>
          <w:sz w:val="24"/>
          <w:highlight w:val="none"/>
          <w:lang w:val="zh-CN"/>
        </w:rPr>
        <w:t>标段一名称：</w:t>
      </w:r>
    </w:p>
    <w:tbl>
      <w:tblPr>
        <w:tblStyle w:val="62"/>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29"/>
        <w:gridCol w:w="3759"/>
        <w:gridCol w:w="4251"/>
        <w:gridCol w:w="2264"/>
        <w:gridCol w:w="24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1529" w:type="dxa"/>
            <w:noWrap w:val="0"/>
            <w:tcMar>
              <w:top w:w="0" w:type="dxa"/>
              <w:left w:w="108" w:type="dxa"/>
              <w:bottom w:w="0" w:type="dxa"/>
              <w:right w:w="108" w:type="dxa"/>
            </w:tcMar>
            <w:vAlign w:val="center"/>
          </w:tcPr>
          <w:p>
            <w:pPr>
              <w:widowControl/>
              <w:spacing w:before="60" w:after="60"/>
              <w:ind w:left="60" w:right="60"/>
              <w:jc w:val="center"/>
              <w:rPr>
                <w:rFonts w:hint="eastAsia" w:ascii="仿宋" w:hAnsi="仿宋" w:eastAsia="仿宋" w:cs="仿宋"/>
                <w:b/>
                <w:color w:val="auto"/>
                <w:kern w:val="0"/>
                <w:sz w:val="22"/>
                <w:szCs w:val="22"/>
                <w:highlight w:val="none"/>
              </w:rPr>
            </w:pPr>
            <w:r>
              <w:rPr>
                <w:rFonts w:hint="eastAsia" w:ascii="仿宋" w:hAnsi="仿宋" w:eastAsia="仿宋" w:cs="仿宋"/>
                <w:b/>
                <w:color w:val="auto"/>
                <w:kern w:val="0"/>
                <w:sz w:val="22"/>
                <w:szCs w:val="22"/>
                <w:highlight w:val="none"/>
              </w:rPr>
              <w:t>序号</w:t>
            </w:r>
          </w:p>
        </w:tc>
        <w:tc>
          <w:tcPr>
            <w:tcW w:w="3759" w:type="dxa"/>
            <w:noWrap w:val="0"/>
            <w:tcMar>
              <w:top w:w="0" w:type="dxa"/>
              <w:left w:w="108" w:type="dxa"/>
              <w:bottom w:w="0" w:type="dxa"/>
              <w:right w:w="108" w:type="dxa"/>
            </w:tcMar>
            <w:vAlign w:val="center"/>
          </w:tcPr>
          <w:p>
            <w:pPr>
              <w:widowControl/>
              <w:spacing w:before="60" w:after="60"/>
              <w:ind w:left="60" w:right="60"/>
              <w:jc w:val="center"/>
              <w:rPr>
                <w:rFonts w:hint="eastAsia" w:ascii="仿宋" w:hAnsi="仿宋" w:eastAsia="仿宋" w:cs="仿宋"/>
                <w:b/>
                <w:color w:val="auto"/>
                <w:kern w:val="0"/>
                <w:sz w:val="22"/>
                <w:szCs w:val="22"/>
                <w:highlight w:val="none"/>
              </w:rPr>
            </w:pPr>
            <w:r>
              <w:rPr>
                <w:rFonts w:hint="eastAsia" w:ascii="仿宋" w:hAnsi="仿宋" w:eastAsia="仿宋" w:cs="仿宋"/>
                <w:b/>
                <w:color w:val="auto"/>
                <w:kern w:val="0"/>
                <w:sz w:val="22"/>
                <w:szCs w:val="22"/>
                <w:highlight w:val="none"/>
              </w:rPr>
              <w:t>内容</w:t>
            </w:r>
          </w:p>
        </w:tc>
        <w:tc>
          <w:tcPr>
            <w:tcW w:w="4251" w:type="dxa"/>
            <w:tcBorders>
              <w:right w:val="single" w:color="auto" w:sz="4" w:space="0"/>
            </w:tcBorders>
            <w:noWrap w:val="0"/>
            <w:tcMar>
              <w:top w:w="0" w:type="dxa"/>
              <w:left w:w="108" w:type="dxa"/>
              <w:bottom w:w="0" w:type="dxa"/>
              <w:right w:w="108" w:type="dxa"/>
            </w:tcMar>
            <w:vAlign w:val="center"/>
          </w:tcPr>
          <w:p>
            <w:pPr>
              <w:widowControl/>
              <w:spacing w:before="60" w:after="60"/>
              <w:ind w:left="60" w:right="60"/>
              <w:jc w:val="both"/>
              <w:rPr>
                <w:rFonts w:hint="eastAsia" w:ascii="仿宋" w:hAnsi="仿宋" w:eastAsia="仿宋" w:cs="仿宋"/>
                <w:b/>
                <w:color w:val="auto"/>
                <w:kern w:val="0"/>
                <w:sz w:val="22"/>
                <w:szCs w:val="22"/>
                <w:highlight w:val="none"/>
                <w:lang w:eastAsia="zh-CN"/>
              </w:rPr>
            </w:pPr>
            <w:r>
              <w:rPr>
                <w:rFonts w:hint="eastAsia" w:ascii="仿宋" w:hAnsi="仿宋" w:eastAsia="仿宋" w:cs="仿宋"/>
                <w:b/>
                <w:color w:val="auto"/>
                <w:kern w:val="0"/>
                <w:sz w:val="22"/>
                <w:szCs w:val="22"/>
                <w:highlight w:val="none"/>
              </w:rPr>
              <w:t>投标</w:t>
            </w:r>
            <w:r>
              <w:rPr>
                <w:rFonts w:hint="eastAsia" w:ascii="仿宋" w:hAnsi="仿宋" w:eastAsia="仿宋" w:cs="仿宋"/>
                <w:b/>
                <w:color w:val="auto"/>
                <w:kern w:val="0"/>
                <w:sz w:val="22"/>
                <w:szCs w:val="22"/>
                <w:highlight w:val="none"/>
                <w:lang w:eastAsia="zh-CN"/>
              </w:rPr>
              <w:t>综合单价</w:t>
            </w:r>
          </w:p>
        </w:tc>
        <w:tc>
          <w:tcPr>
            <w:tcW w:w="2264" w:type="dxa"/>
            <w:tcBorders>
              <w:left w:val="single" w:color="auto" w:sz="4" w:space="0"/>
              <w:right w:val="single" w:color="auto" w:sz="4" w:space="0"/>
            </w:tcBorders>
            <w:noWrap w:val="0"/>
            <w:tcMar>
              <w:top w:w="0" w:type="dxa"/>
              <w:left w:w="108" w:type="dxa"/>
              <w:bottom w:w="0" w:type="dxa"/>
              <w:right w:w="108" w:type="dxa"/>
            </w:tcMar>
            <w:vAlign w:val="center"/>
          </w:tcPr>
          <w:p>
            <w:pPr>
              <w:widowControl/>
              <w:spacing w:before="60" w:after="60"/>
              <w:ind w:left="60" w:right="60" w:firstLine="663" w:firstLineChars="300"/>
              <w:jc w:val="both"/>
              <w:rPr>
                <w:rFonts w:hint="eastAsia" w:ascii="仿宋" w:hAnsi="仿宋" w:eastAsia="仿宋" w:cs="仿宋"/>
                <w:b/>
                <w:color w:val="auto"/>
                <w:kern w:val="0"/>
                <w:sz w:val="22"/>
                <w:szCs w:val="22"/>
                <w:highlight w:val="none"/>
                <w:lang w:eastAsia="zh-CN"/>
              </w:rPr>
            </w:pPr>
            <w:r>
              <w:rPr>
                <w:rFonts w:hint="eastAsia" w:ascii="仿宋" w:hAnsi="仿宋" w:eastAsia="仿宋" w:cs="仿宋"/>
                <w:b/>
                <w:color w:val="auto"/>
                <w:kern w:val="0"/>
                <w:sz w:val="22"/>
                <w:szCs w:val="22"/>
                <w:highlight w:val="none"/>
                <w:lang w:eastAsia="zh-CN"/>
              </w:rPr>
              <w:t>数量</w:t>
            </w:r>
          </w:p>
        </w:tc>
        <w:tc>
          <w:tcPr>
            <w:tcW w:w="2432" w:type="dxa"/>
            <w:tcBorders>
              <w:left w:val="single" w:color="auto" w:sz="4" w:space="0"/>
            </w:tcBorders>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 w:val="24"/>
                <w:highlight w:val="none"/>
                <w:u w:val="single"/>
                <w:lang w:val="en-US" w:eastAsia="zh-CN"/>
              </w:rPr>
            </w:pPr>
            <w:r>
              <w:rPr>
                <w:rFonts w:hint="eastAsia" w:ascii="仿宋" w:hAnsi="仿宋" w:eastAsia="仿宋" w:cs="仿宋"/>
                <w:b w:val="0"/>
                <w:bCs w:val="0"/>
                <w:color w:val="auto"/>
                <w:sz w:val="24"/>
                <w:highlight w:val="none"/>
                <w:u w:val="single"/>
                <w:lang w:val="en-US" w:eastAsia="zh-CN"/>
              </w:rPr>
              <w:t>▲单价最高限价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529"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3759"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bCs/>
                <w:color w:val="auto"/>
                <w:kern w:val="0"/>
                <w:sz w:val="22"/>
                <w:szCs w:val="22"/>
                <w:highlight w:val="none"/>
                <w:lang w:eastAsia="zh-CN"/>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4"/>
                <w:highlight w:val="none"/>
                <w:lang w:val="en-US" w:eastAsia="zh-CN"/>
              </w:rPr>
              <w:t>完成约2140公里地下管线测量、普查与建库。</w:t>
            </w:r>
          </w:p>
        </w:tc>
        <w:tc>
          <w:tcPr>
            <w:tcW w:w="4251" w:type="dxa"/>
            <w:tcBorders>
              <w:right w:val="single" w:color="auto" w:sz="4" w:space="0"/>
            </w:tcBorders>
            <w:noWrap w:val="0"/>
            <w:tcMar>
              <w:top w:w="0" w:type="dxa"/>
              <w:left w:w="108" w:type="dxa"/>
              <w:bottom w:w="0" w:type="dxa"/>
              <w:right w:w="108" w:type="dxa"/>
            </w:tcMar>
            <w:vAlign w:val="center"/>
          </w:tcPr>
          <w:p>
            <w:pPr>
              <w:autoSpaceDE w:val="0"/>
              <w:autoSpaceDN w:val="0"/>
              <w:adjustRightInd w:val="0"/>
              <w:spacing w:line="380" w:lineRule="atLeast"/>
              <w:ind w:right="349"/>
              <w:jc w:val="left"/>
              <w:rPr>
                <w:rFonts w:hint="eastAsia"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（大写）：</w:t>
            </w:r>
            <w:r>
              <w:rPr>
                <w:rFonts w:hint="eastAsia" w:ascii="仿宋" w:hAnsi="仿宋" w:eastAsia="仿宋" w:cs="仿宋"/>
                <w:b/>
                <w:bCs/>
                <w:color w:val="auto"/>
                <w:kern w:val="0"/>
                <w:sz w:val="22"/>
                <w:szCs w:val="22"/>
                <w:highlight w:val="none"/>
                <w:lang w:val="en-US" w:eastAsia="zh-CN"/>
              </w:rPr>
              <w:t xml:space="preserve">                </w:t>
            </w:r>
            <w:r>
              <w:rPr>
                <w:rFonts w:hint="eastAsia" w:ascii="仿宋" w:hAnsi="仿宋" w:eastAsia="仿宋" w:cs="仿宋"/>
                <w:b/>
                <w:bCs/>
                <w:color w:val="auto"/>
                <w:kern w:val="0"/>
                <w:sz w:val="22"/>
                <w:szCs w:val="22"/>
                <w:highlight w:val="none"/>
                <w:lang w:eastAsia="zh-CN"/>
              </w:rPr>
              <w:t>元</w:t>
            </w:r>
            <w:r>
              <w:rPr>
                <w:rFonts w:hint="eastAsia" w:ascii="仿宋" w:hAnsi="仿宋" w:eastAsia="仿宋" w:cs="仿宋"/>
                <w:b/>
                <w:bCs/>
                <w:color w:val="auto"/>
                <w:kern w:val="0"/>
                <w:sz w:val="22"/>
                <w:szCs w:val="22"/>
                <w:highlight w:val="none"/>
                <w:lang w:val="en-US" w:eastAsia="zh-CN"/>
              </w:rPr>
              <w:t>/</w:t>
            </w:r>
            <w:r>
              <w:rPr>
                <w:rFonts w:hint="eastAsia" w:ascii="仿宋" w:hAnsi="仿宋" w:eastAsia="仿宋" w:cs="仿宋"/>
                <w:color w:val="auto"/>
                <w:sz w:val="24"/>
                <w:highlight w:val="none"/>
                <w:lang w:val="en-US" w:eastAsia="zh-CN"/>
              </w:rPr>
              <w:t>公里</w:t>
            </w:r>
          </w:p>
          <w:p>
            <w:pPr>
              <w:widowControl/>
              <w:spacing w:before="60" w:after="60"/>
              <w:rPr>
                <w:rFonts w:hint="default" w:ascii="仿宋" w:hAnsi="仿宋" w:eastAsia="仿宋" w:cs="仿宋"/>
                <w:bCs/>
                <w:color w:val="auto"/>
                <w:kern w:val="0"/>
                <w:sz w:val="22"/>
                <w:szCs w:val="22"/>
                <w:highlight w:val="none"/>
                <w:lang w:val="en-US" w:eastAsia="zh-CN"/>
              </w:rPr>
            </w:pPr>
            <w:r>
              <w:rPr>
                <w:rFonts w:hint="eastAsia" w:ascii="仿宋" w:hAnsi="仿宋" w:eastAsia="仿宋" w:cs="仿宋"/>
                <w:b/>
                <w:bCs/>
                <w:color w:val="auto"/>
                <w:kern w:val="0"/>
                <w:sz w:val="22"/>
                <w:szCs w:val="22"/>
                <w:highlight w:val="none"/>
              </w:rPr>
              <w:t>（小写）：¥</w:t>
            </w:r>
            <w:r>
              <w:rPr>
                <w:rFonts w:hint="eastAsia" w:ascii="仿宋" w:hAnsi="仿宋" w:eastAsia="仿宋" w:cs="仿宋"/>
                <w:b/>
                <w:bCs/>
                <w:color w:val="auto"/>
                <w:kern w:val="0"/>
                <w:sz w:val="22"/>
                <w:szCs w:val="22"/>
                <w:highlight w:val="none"/>
                <w:lang w:val="en-US" w:eastAsia="zh-CN"/>
              </w:rPr>
              <w:t xml:space="preserve">               </w:t>
            </w:r>
            <w:r>
              <w:rPr>
                <w:rFonts w:hint="eastAsia" w:ascii="仿宋" w:hAnsi="仿宋" w:eastAsia="仿宋" w:cs="仿宋"/>
                <w:b/>
                <w:bCs/>
                <w:color w:val="auto"/>
                <w:kern w:val="0"/>
                <w:sz w:val="22"/>
                <w:szCs w:val="22"/>
                <w:highlight w:val="none"/>
                <w:lang w:eastAsia="zh-CN"/>
              </w:rPr>
              <w:t>元</w:t>
            </w:r>
            <w:r>
              <w:rPr>
                <w:rFonts w:hint="eastAsia" w:ascii="仿宋" w:hAnsi="仿宋" w:eastAsia="仿宋" w:cs="仿宋"/>
                <w:b/>
                <w:bCs/>
                <w:color w:val="auto"/>
                <w:kern w:val="0"/>
                <w:sz w:val="22"/>
                <w:szCs w:val="22"/>
                <w:highlight w:val="none"/>
                <w:lang w:val="en-US" w:eastAsia="zh-CN"/>
              </w:rPr>
              <w:t>/</w:t>
            </w:r>
            <w:r>
              <w:rPr>
                <w:rFonts w:hint="eastAsia" w:ascii="仿宋" w:hAnsi="仿宋" w:eastAsia="仿宋" w:cs="仿宋"/>
                <w:color w:val="auto"/>
                <w:sz w:val="24"/>
                <w:highlight w:val="none"/>
                <w:lang w:val="en-US" w:eastAsia="zh-CN"/>
              </w:rPr>
              <w:t>公里</w:t>
            </w:r>
          </w:p>
        </w:tc>
        <w:tc>
          <w:tcPr>
            <w:tcW w:w="2264" w:type="dxa"/>
            <w:tcBorders>
              <w:left w:val="single" w:color="auto" w:sz="4" w:space="0"/>
              <w:right w:val="single" w:color="auto" w:sz="4" w:space="0"/>
            </w:tcBorders>
            <w:noWrap w:val="0"/>
            <w:tcMar>
              <w:top w:w="0" w:type="dxa"/>
              <w:left w:w="108" w:type="dxa"/>
              <w:bottom w:w="0" w:type="dxa"/>
              <w:right w:w="108" w:type="dxa"/>
            </w:tcMar>
            <w:vAlign w:val="center"/>
          </w:tcPr>
          <w:p>
            <w:pPr>
              <w:widowControl/>
              <w:spacing w:before="60" w:after="60"/>
              <w:rPr>
                <w:rFonts w:hint="eastAsia" w:ascii="仿宋" w:hAnsi="仿宋" w:eastAsia="仿宋" w:cs="仿宋"/>
                <w:b/>
                <w:bCs/>
                <w:color w:val="auto"/>
                <w:kern w:val="0"/>
                <w:sz w:val="22"/>
                <w:szCs w:val="22"/>
                <w:highlight w:val="none"/>
              </w:rPr>
            </w:pPr>
            <w:r>
              <w:rPr>
                <w:rFonts w:hint="eastAsia" w:ascii="仿宋" w:hAnsi="仿宋" w:eastAsia="仿宋" w:cs="仿宋"/>
                <w:color w:val="auto"/>
                <w:sz w:val="24"/>
                <w:highlight w:val="none"/>
                <w:lang w:val="en-US" w:eastAsia="zh-CN"/>
              </w:rPr>
              <w:t>暂定2140公里</w:t>
            </w:r>
          </w:p>
        </w:tc>
        <w:tc>
          <w:tcPr>
            <w:tcW w:w="2432" w:type="dxa"/>
            <w:tcBorders>
              <w:left w:val="single" w:color="auto" w:sz="4" w:space="0"/>
            </w:tcBorders>
            <w:noWrap w:val="0"/>
            <w:tcMar>
              <w:top w:w="0" w:type="dxa"/>
              <w:left w:w="108" w:type="dxa"/>
              <w:bottom w:w="0" w:type="dxa"/>
              <w:right w:w="108" w:type="dxa"/>
            </w:tcMar>
            <w:vAlign w:val="center"/>
          </w:tcPr>
          <w:p>
            <w:pPr>
              <w:widowControl/>
              <w:spacing w:before="60" w:after="60"/>
              <w:jc w:val="center"/>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3000元/公里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529"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3759"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4"/>
                <w:highlight w:val="none"/>
                <w:lang w:val="en-US" w:eastAsia="zh-CN"/>
              </w:rPr>
              <w:t>完成约2134公里已有地下管线数据的精度检核、补充调查与建库。</w:t>
            </w:r>
          </w:p>
        </w:tc>
        <w:tc>
          <w:tcPr>
            <w:tcW w:w="4251" w:type="dxa"/>
            <w:tcBorders>
              <w:right w:val="single" w:color="auto" w:sz="4" w:space="0"/>
            </w:tcBorders>
            <w:noWrap w:val="0"/>
            <w:tcMar>
              <w:top w:w="0" w:type="dxa"/>
              <w:left w:w="108" w:type="dxa"/>
              <w:bottom w:w="0" w:type="dxa"/>
              <w:right w:w="108" w:type="dxa"/>
            </w:tcMar>
            <w:vAlign w:val="center"/>
          </w:tcPr>
          <w:p>
            <w:pPr>
              <w:autoSpaceDE w:val="0"/>
              <w:autoSpaceDN w:val="0"/>
              <w:adjustRightInd w:val="0"/>
              <w:spacing w:line="380" w:lineRule="atLeast"/>
              <w:ind w:right="349"/>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kern w:val="0"/>
                <w:sz w:val="22"/>
                <w:szCs w:val="22"/>
                <w:highlight w:val="none"/>
              </w:rPr>
              <w:t>大写）：</w:t>
            </w:r>
            <w:r>
              <w:rPr>
                <w:rFonts w:hint="eastAsia" w:ascii="仿宋" w:hAnsi="仿宋" w:eastAsia="仿宋" w:cs="仿宋"/>
                <w:b/>
                <w:bCs/>
                <w:color w:val="auto"/>
                <w:kern w:val="0"/>
                <w:sz w:val="22"/>
                <w:szCs w:val="22"/>
                <w:highlight w:val="none"/>
                <w:lang w:val="en-US" w:eastAsia="zh-CN"/>
              </w:rPr>
              <w:t xml:space="preserve">                  </w:t>
            </w:r>
            <w:r>
              <w:rPr>
                <w:rFonts w:hint="eastAsia" w:ascii="仿宋" w:hAnsi="仿宋" w:eastAsia="仿宋" w:cs="仿宋"/>
                <w:b/>
                <w:bCs/>
                <w:color w:val="auto"/>
                <w:kern w:val="0"/>
                <w:sz w:val="22"/>
                <w:szCs w:val="22"/>
                <w:highlight w:val="none"/>
                <w:lang w:eastAsia="zh-CN"/>
              </w:rPr>
              <w:t>元</w:t>
            </w:r>
            <w:r>
              <w:rPr>
                <w:rFonts w:hint="eastAsia" w:ascii="仿宋" w:hAnsi="仿宋" w:eastAsia="仿宋" w:cs="仿宋"/>
                <w:b/>
                <w:bCs/>
                <w:color w:val="auto"/>
                <w:kern w:val="0"/>
                <w:sz w:val="22"/>
                <w:szCs w:val="22"/>
                <w:highlight w:val="none"/>
                <w:lang w:val="en-US" w:eastAsia="zh-CN"/>
              </w:rPr>
              <w:t>/</w:t>
            </w:r>
            <w:r>
              <w:rPr>
                <w:rFonts w:hint="eastAsia" w:ascii="仿宋" w:hAnsi="仿宋" w:eastAsia="仿宋" w:cs="仿宋"/>
                <w:color w:val="auto"/>
                <w:sz w:val="24"/>
                <w:highlight w:val="none"/>
                <w:lang w:val="en-US" w:eastAsia="zh-CN"/>
              </w:rPr>
              <w:t>公里</w:t>
            </w:r>
          </w:p>
          <w:p>
            <w:pPr>
              <w:autoSpaceDE w:val="0"/>
              <w:autoSpaceDN w:val="0"/>
              <w:adjustRightInd w:val="0"/>
              <w:spacing w:line="380" w:lineRule="atLeast"/>
              <w:ind w:right="349"/>
              <w:jc w:val="left"/>
              <w:rPr>
                <w:rFonts w:hint="eastAsia"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（小写）：¥</w:t>
            </w:r>
            <w:r>
              <w:rPr>
                <w:rFonts w:hint="eastAsia" w:ascii="仿宋" w:hAnsi="仿宋" w:eastAsia="仿宋" w:cs="仿宋"/>
                <w:b/>
                <w:bCs/>
                <w:color w:val="auto"/>
                <w:kern w:val="0"/>
                <w:sz w:val="22"/>
                <w:szCs w:val="22"/>
                <w:highlight w:val="none"/>
                <w:lang w:val="en-US" w:eastAsia="zh-CN"/>
              </w:rPr>
              <w:t xml:space="preserve">               </w:t>
            </w:r>
            <w:r>
              <w:rPr>
                <w:rFonts w:hint="eastAsia" w:ascii="仿宋" w:hAnsi="仿宋" w:eastAsia="仿宋" w:cs="仿宋"/>
                <w:b/>
                <w:bCs/>
                <w:color w:val="auto"/>
                <w:kern w:val="0"/>
                <w:sz w:val="22"/>
                <w:szCs w:val="22"/>
                <w:highlight w:val="none"/>
                <w:lang w:eastAsia="zh-CN"/>
              </w:rPr>
              <w:t>元</w:t>
            </w:r>
            <w:r>
              <w:rPr>
                <w:rFonts w:hint="eastAsia" w:ascii="仿宋" w:hAnsi="仿宋" w:eastAsia="仿宋" w:cs="仿宋"/>
                <w:b/>
                <w:bCs/>
                <w:color w:val="auto"/>
                <w:kern w:val="0"/>
                <w:sz w:val="22"/>
                <w:szCs w:val="22"/>
                <w:highlight w:val="none"/>
                <w:lang w:val="en-US" w:eastAsia="zh-CN"/>
              </w:rPr>
              <w:t>/</w:t>
            </w:r>
            <w:r>
              <w:rPr>
                <w:rFonts w:hint="eastAsia" w:ascii="仿宋" w:hAnsi="仿宋" w:eastAsia="仿宋" w:cs="仿宋"/>
                <w:color w:val="auto"/>
                <w:sz w:val="24"/>
                <w:highlight w:val="none"/>
                <w:lang w:val="en-US" w:eastAsia="zh-CN"/>
              </w:rPr>
              <w:t>公里</w:t>
            </w:r>
          </w:p>
        </w:tc>
        <w:tc>
          <w:tcPr>
            <w:tcW w:w="2264" w:type="dxa"/>
            <w:tcBorders>
              <w:left w:val="single" w:color="auto" w:sz="4" w:space="0"/>
              <w:right w:val="single" w:color="auto" w:sz="4" w:space="0"/>
            </w:tcBorders>
            <w:noWrap w:val="0"/>
            <w:tcMar>
              <w:top w:w="0" w:type="dxa"/>
              <w:left w:w="108" w:type="dxa"/>
              <w:bottom w:w="0" w:type="dxa"/>
              <w:right w:w="108" w:type="dxa"/>
            </w:tcMar>
            <w:vAlign w:val="center"/>
          </w:tcPr>
          <w:p>
            <w:pPr>
              <w:autoSpaceDE w:val="0"/>
              <w:autoSpaceDN w:val="0"/>
              <w:adjustRightInd w:val="0"/>
              <w:spacing w:line="380" w:lineRule="atLeast"/>
              <w:ind w:right="349"/>
              <w:jc w:val="left"/>
              <w:rPr>
                <w:rFonts w:hint="eastAsia" w:ascii="仿宋" w:hAnsi="仿宋" w:eastAsia="仿宋" w:cs="仿宋"/>
                <w:b/>
                <w:bCs/>
                <w:color w:val="auto"/>
                <w:kern w:val="0"/>
                <w:sz w:val="22"/>
                <w:szCs w:val="22"/>
                <w:highlight w:val="none"/>
              </w:rPr>
            </w:pPr>
            <w:r>
              <w:rPr>
                <w:rFonts w:hint="eastAsia" w:ascii="仿宋" w:hAnsi="仿宋" w:eastAsia="仿宋" w:cs="仿宋"/>
                <w:color w:val="auto"/>
                <w:sz w:val="24"/>
                <w:highlight w:val="none"/>
                <w:lang w:val="en-US" w:eastAsia="zh-CN"/>
              </w:rPr>
              <w:t>暂定2134公里</w:t>
            </w:r>
          </w:p>
        </w:tc>
        <w:tc>
          <w:tcPr>
            <w:tcW w:w="2432" w:type="dxa"/>
            <w:tcBorders>
              <w:left w:val="single" w:color="auto" w:sz="4" w:space="0"/>
            </w:tcBorders>
            <w:noWrap w:val="0"/>
            <w:tcMar>
              <w:top w:w="0" w:type="dxa"/>
              <w:left w:w="108" w:type="dxa"/>
              <w:bottom w:w="0" w:type="dxa"/>
              <w:right w:w="108" w:type="dxa"/>
            </w:tcMar>
            <w:vAlign w:val="center"/>
          </w:tcPr>
          <w:p>
            <w:pPr>
              <w:widowControl/>
              <w:spacing w:before="60" w:after="60"/>
              <w:jc w:val="center"/>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1800元/公里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529" w:type="dxa"/>
            <w:noWrap w:val="0"/>
            <w:tcMar>
              <w:top w:w="0" w:type="dxa"/>
              <w:left w:w="108" w:type="dxa"/>
              <w:bottom w:w="0" w:type="dxa"/>
              <w:right w:w="108" w:type="dxa"/>
            </w:tcMar>
            <w:vAlign w:val="center"/>
          </w:tcPr>
          <w:p>
            <w:pPr>
              <w:widowControl/>
              <w:spacing w:before="60" w:after="60"/>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3759" w:type="dxa"/>
            <w:noWrap w:val="0"/>
            <w:tcMar>
              <w:top w:w="0" w:type="dxa"/>
              <w:left w:w="108" w:type="dxa"/>
              <w:bottom w:w="0" w:type="dxa"/>
              <w:right w:w="108" w:type="dxa"/>
            </w:tcMar>
            <w:vAlign w:val="center"/>
          </w:tcPr>
          <w:p>
            <w:pPr>
              <w:widowControl/>
              <w:spacing w:before="60" w:after="6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项目履约验收等相关费用</w:t>
            </w:r>
          </w:p>
        </w:tc>
        <w:tc>
          <w:tcPr>
            <w:tcW w:w="4251" w:type="dxa"/>
            <w:tcBorders>
              <w:right w:val="single" w:color="auto" w:sz="4" w:space="0"/>
            </w:tcBorders>
            <w:noWrap w:val="0"/>
            <w:tcMar>
              <w:top w:w="0" w:type="dxa"/>
              <w:left w:w="108" w:type="dxa"/>
              <w:bottom w:w="0" w:type="dxa"/>
              <w:right w:w="108" w:type="dxa"/>
            </w:tcMar>
            <w:vAlign w:val="center"/>
          </w:tcPr>
          <w:p>
            <w:pPr>
              <w:autoSpaceDE w:val="0"/>
              <w:autoSpaceDN w:val="0"/>
              <w:adjustRightInd w:val="0"/>
              <w:spacing w:line="380" w:lineRule="atLeast"/>
              <w:ind w:right="349"/>
              <w:jc w:val="left"/>
              <w:rPr>
                <w:rFonts w:hint="eastAsia"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lang w:eastAsia="zh-CN"/>
              </w:rPr>
              <w:t>人民币</w:t>
            </w:r>
            <w:r>
              <w:rPr>
                <w:rFonts w:hint="eastAsia" w:ascii="仿宋" w:hAnsi="仿宋" w:eastAsia="仿宋" w:cs="仿宋"/>
                <w:b/>
                <w:bCs/>
                <w:color w:val="auto"/>
                <w:kern w:val="0"/>
                <w:sz w:val="22"/>
                <w:szCs w:val="22"/>
                <w:highlight w:val="none"/>
                <w:u w:val="single"/>
                <w:lang w:val="en-US" w:eastAsia="zh-CN"/>
              </w:rPr>
              <w:t xml:space="preserve">                 </w:t>
            </w:r>
            <w:r>
              <w:rPr>
                <w:rFonts w:hint="eastAsia" w:ascii="仿宋" w:hAnsi="仿宋" w:eastAsia="仿宋" w:cs="仿宋"/>
                <w:b/>
                <w:bCs/>
                <w:color w:val="auto"/>
                <w:kern w:val="0"/>
                <w:sz w:val="22"/>
                <w:szCs w:val="22"/>
                <w:highlight w:val="none"/>
                <w:lang w:eastAsia="zh-CN"/>
              </w:rPr>
              <w:t>元</w:t>
            </w:r>
          </w:p>
        </w:tc>
        <w:tc>
          <w:tcPr>
            <w:tcW w:w="2264" w:type="dxa"/>
            <w:tcBorders>
              <w:left w:val="single" w:color="auto" w:sz="4" w:space="0"/>
              <w:right w:val="single" w:color="auto" w:sz="4" w:space="0"/>
            </w:tcBorders>
            <w:noWrap w:val="0"/>
            <w:tcMar>
              <w:top w:w="0" w:type="dxa"/>
              <w:left w:w="108" w:type="dxa"/>
              <w:bottom w:w="0" w:type="dxa"/>
              <w:right w:w="108" w:type="dxa"/>
            </w:tcMar>
            <w:vAlign w:val="center"/>
          </w:tcPr>
          <w:p>
            <w:pPr>
              <w:autoSpaceDE w:val="0"/>
              <w:autoSpaceDN w:val="0"/>
              <w:adjustRightInd w:val="0"/>
              <w:spacing w:line="380" w:lineRule="atLeast"/>
              <w:ind w:right="349"/>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1项</w:t>
            </w:r>
          </w:p>
        </w:tc>
        <w:tc>
          <w:tcPr>
            <w:tcW w:w="2432" w:type="dxa"/>
            <w:tcBorders>
              <w:left w:val="single" w:color="auto" w:sz="4" w:space="0"/>
            </w:tcBorders>
            <w:noWrap w:val="0"/>
            <w:tcMar>
              <w:top w:w="0" w:type="dxa"/>
              <w:left w:w="108" w:type="dxa"/>
              <w:bottom w:w="0" w:type="dxa"/>
              <w:right w:w="108" w:type="dxa"/>
            </w:tcMar>
            <w:vAlign w:val="center"/>
          </w:tcPr>
          <w:p>
            <w:pPr>
              <w:widowControl/>
              <w:spacing w:before="60" w:after="60"/>
              <w:jc w:val="center"/>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288800元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529"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759"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总价（1+2+3）</w:t>
            </w:r>
          </w:p>
        </w:tc>
        <w:tc>
          <w:tcPr>
            <w:tcW w:w="8947" w:type="dxa"/>
            <w:gridSpan w:val="3"/>
            <w:noWrap w:val="0"/>
            <w:tcMar>
              <w:top w:w="0" w:type="dxa"/>
              <w:left w:w="108" w:type="dxa"/>
              <w:bottom w:w="0" w:type="dxa"/>
              <w:right w:w="108" w:type="dxa"/>
            </w:tcMar>
            <w:vAlign w:val="center"/>
          </w:tcPr>
          <w:p>
            <w:pPr>
              <w:widowControl/>
              <w:spacing w:before="60" w:after="60"/>
              <w:rPr>
                <w:rFonts w:hint="eastAsia"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lang w:eastAsia="zh-CN"/>
              </w:rPr>
              <w:t>人民币</w:t>
            </w:r>
            <w:r>
              <w:rPr>
                <w:rFonts w:hint="eastAsia" w:ascii="仿宋" w:hAnsi="仿宋" w:eastAsia="仿宋" w:cs="仿宋"/>
                <w:b/>
                <w:bCs/>
                <w:color w:val="auto"/>
                <w:kern w:val="0"/>
                <w:sz w:val="22"/>
                <w:szCs w:val="22"/>
                <w:highlight w:val="none"/>
                <w:u w:val="single"/>
                <w:lang w:val="en-US" w:eastAsia="zh-CN"/>
              </w:rPr>
              <w:t xml:space="preserve">                 </w:t>
            </w:r>
            <w:r>
              <w:rPr>
                <w:rFonts w:hint="eastAsia" w:ascii="仿宋" w:hAnsi="仿宋" w:eastAsia="仿宋" w:cs="仿宋"/>
                <w:b/>
                <w:bCs/>
                <w:color w:val="auto"/>
                <w:kern w:val="0"/>
                <w:sz w:val="22"/>
                <w:szCs w:val="22"/>
                <w:highlight w:val="none"/>
                <w:lang w:eastAsia="zh-CN"/>
              </w:rPr>
              <w:t>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529" w:type="dxa"/>
            <w:noWrap w:val="0"/>
            <w:tcMar>
              <w:top w:w="0" w:type="dxa"/>
              <w:left w:w="108" w:type="dxa"/>
              <w:bottom w:w="0" w:type="dxa"/>
              <w:right w:w="108" w:type="dxa"/>
            </w:tcMar>
            <w:vAlign w:val="center"/>
          </w:tcPr>
          <w:p>
            <w:pPr>
              <w:widowControl/>
              <w:spacing w:before="60" w:after="60"/>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759"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备注</w:t>
            </w:r>
          </w:p>
        </w:tc>
        <w:tc>
          <w:tcPr>
            <w:tcW w:w="8947" w:type="dxa"/>
            <w:gridSpan w:val="3"/>
            <w:noWrap w:val="0"/>
            <w:tcMar>
              <w:top w:w="0" w:type="dxa"/>
              <w:left w:w="108" w:type="dxa"/>
              <w:bottom w:w="0" w:type="dxa"/>
              <w:right w:w="108" w:type="dxa"/>
            </w:tcMar>
            <w:vAlign w:val="center"/>
          </w:tcPr>
          <w:p>
            <w:pPr>
              <w:widowControl/>
              <w:spacing w:before="60" w:after="60"/>
              <w:rPr>
                <w:rFonts w:hint="eastAsia" w:ascii="仿宋" w:hAnsi="仿宋" w:eastAsia="仿宋" w:cs="仿宋"/>
                <w:b/>
                <w:bCs/>
                <w:color w:val="auto"/>
                <w:kern w:val="0"/>
                <w:sz w:val="22"/>
                <w:szCs w:val="22"/>
                <w:highlight w:val="none"/>
                <w:lang w:eastAsia="zh-CN"/>
              </w:rPr>
            </w:pPr>
            <w:r>
              <w:rPr>
                <w:rFonts w:hint="eastAsia" w:ascii="仿宋" w:hAnsi="仿宋" w:eastAsia="仿宋" w:cs="仿宋"/>
                <w:b/>
                <w:bCs/>
                <w:color w:val="auto"/>
                <w:kern w:val="0"/>
                <w:sz w:val="22"/>
                <w:szCs w:val="22"/>
                <w:highlight w:val="none"/>
                <w:lang w:eastAsia="zh-CN"/>
              </w:rPr>
              <w:t>合同履行期限：</w:t>
            </w:r>
          </w:p>
        </w:tc>
      </w:tr>
    </w:tbl>
    <w:p>
      <w:pPr>
        <w:overflowPunct w:val="0"/>
        <w:spacing w:line="46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w:t>
      </w:r>
    </w:p>
    <w:p>
      <w:pPr>
        <w:widowControl/>
        <w:spacing w:before="60" w:after="6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1、投标人根据投标综合单价及暂定数量计算出本项目总价，作为本项目计算报价得分的依据，最终结算以单价为准，履约验收费按实际产生费用由供应商支付。</w:t>
      </w:r>
    </w:p>
    <w:p>
      <w:pPr>
        <w:widowControl/>
        <w:spacing w:before="60" w:after="6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u w:val="single"/>
          <w:lang w:val="en-US" w:eastAsia="zh-CN"/>
        </w:rPr>
        <w:t>▲此栏内投标总价应与“分项报价表”中投标报价相一致。</w:t>
      </w:r>
    </w:p>
    <w:p>
      <w:pPr>
        <w:autoSpaceDE w:val="0"/>
        <w:autoSpaceDN w:val="0"/>
        <w:spacing w:line="360" w:lineRule="auto"/>
        <w:ind w:right="1120"/>
        <w:jc w:val="left"/>
        <w:rPr>
          <w:rFonts w:hint="eastAsia" w:ascii="仿宋" w:hAnsi="仿宋" w:eastAsia="仿宋" w:cs="仿宋"/>
          <w:color w:val="auto"/>
          <w:kern w:val="0"/>
          <w:sz w:val="24"/>
          <w:highlight w:val="none"/>
          <w:lang w:val="zh-CN"/>
        </w:rPr>
      </w:pPr>
    </w:p>
    <w:p>
      <w:pPr>
        <w:autoSpaceDE w:val="0"/>
        <w:autoSpaceDN w:val="0"/>
        <w:spacing w:line="360" w:lineRule="auto"/>
        <w:ind w:right="112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napToGrid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color w:val="auto"/>
          <w:kern w:val="2"/>
          <w:sz w:val="32"/>
          <w:szCs w:val="32"/>
          <w:highlight w:val="none"/>
        </w:rPr>
        <w:br w:type="page"/>
      </w:r>
      <w:r>
        <w:rPr>
          <w:rFonts w:hint="eastAsia" w:ascii="仿宋" w:hAnsi="仿宋" w:eastAsia="仿宋" w:cs="仿宋"/>
          <w:color w:val="auto"/>
          <w:kern w:val="2"/>
          <w:sz w:val="32"/>
          <w:szCs w:val="32"/>
          <w:highlight w:val="none"/>
          <w:lang w:val="en-US" w:eastAsia="zh-CN"/>
        </w:rPr>
        <w:t>分项报价表 （标段一）</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920"/>
        <w:gridCol w:w="4430"/>
        <w:gridCol w:w="1223"/>
        <w:gridCol w:w="1685"/>
        <w:gridCol w:w="1569"/>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903"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920"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4430" w:type="dxa"/>
            <w:noWrap w:val="0"/>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color w:val="auto"/>
                <w:kern w:val="0"/>
                <w:sz w:val="24"/>
                <w:highlight w:val="none"/>
                <w:lang w:val="zh-CN"/>
              </w:rPr>
              <w:t>规格型号（或具体服务内容）</w:t>
            </w:r>
          </w:p>
        </w:tc>
        <w:tc>
          <w:tcPr>
            <w:tcW w:w="1223"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85"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569"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总价</w:t>
            </w:r>
          </w:p>
        </w:tc>
        <w:tc>
          <w:tcPr>
            <w:tcW w:w="1837" w:type="dxa"/>
            <w:noWrap w:val="0"/>
            <w:vAlign w:val="center"/>
          </w:tcPr>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03" w:type="dxa"/>
            <w:noWrap w:val="0"/>
            <w:vAlign w:val="center"/>
          </w:tcPr>
          <w:p>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（一）</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地下管线测量、普查与建库</w:t>
            </w: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1</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eastAsia" w:ascii="仿宋" w:hAnsi="仿宋" w:eastAsia="仿宋" w:cs="仿宋"/>
                <w:color w:val="auto"/>
                <w:sz w:val="24"/>
                <w:highlight w:val="none"/>
                <w:lang w:val="en-US" w:eastAsia="zh-CN"/>
              </w:rPr>
            </w:pPr>
          </w:p>
        </w:tc>
        <w:tc>
          <w:tcPr>
            <w:tcW w:w="2920" w:type="dxa"/>
            <w:noWrap w:val="0"/>
            <w:vAlign w:val="center"/>
          </w:tcPr>
          <w:p>
            <w:pP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（二）</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已有地下管线数据的精度检核、补充调查与建库。</w:t>
            </w: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eastAsia" w:ascii="仿宋" w:hAnsi="仿宋" w:eastAsia="仿宋" w:cs="仿宋"/>
                <w:color w:val="auto"/>
                <w:sz w:val="24"/>
                <w:highlight w:val="none"/>
                <w:lang w:val="en-US" w:eastAsia="zh-CN"/>
              </w:rPr>
            </w:pPr>
          </w:p>
        </w:tc>
        <w:tc>
          <w:tcPr>
            <w:tcW w:w="2920" w:type="dxa"/>
            <w:noWrap w:val="0"/>
            <w:vAlign w:val="center"/>
          </w:tcPr>
          <w:p>
            <w:pP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03" w:type="dxa"/>
            <w:noWrap w:val="0"/>
            <w:vAlign w:val="center"/>
          </w:tcPr>
          <w:p>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三</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项目履约验收等相关费用</w:t>
            </w: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lang w:val="en-US" w:eastAsia="zh-CN"/>
              </w:rPr>
            </w:pP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 w:type="dxa"/>
            <w:noWrap w:val="0"/>
            <w:vAlign w:val="center"/>
          </w:tcPr>
          <w:p>
            <w:pPr>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920" w:type="dxa"/>
            <w:noWrap w:val="0"/>
            <w:vAlign w:val="center"/>
          </w:tcPr>
          <w:p>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443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22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685" w:type="dxa"/>
            <w:noWrap w:val="0"/>
            <w:vAlign w:val="center"/>
          </w:tcPr>
          <w:p>
            <w:pPr>
              <w:spacing w:line="360" w:lineRule="auto"/>
              <w:jc w:val="center"/>
              <w:rPr>
                <w:rFonts w:hint="eastAsia" w:ascii="仿宋" w:hAnsi="仿宋" w:eastAsia="仿宋" w:cs="仿宋"/>
                <w:color w:val="auto"/>
                <w:sz w:val="24"/>
                <w:highlight w:val="none"/>
              </w:rPr>
            </w:pPr>
          </w:p>
        </w:tc>
        <w:tc>
          <w:tcPr>
            <w:tcW w:w="1569" w:type="dxa"/>
            <w:noWrap w:val="0"/>
            <w:vAlign w:val="center"/>
          </w:tcPr>
          <w:p>
            <w:pPr>
              <w:spacing w:line="360" w:lineRule="auto"/>
              <w:jc w:val="center"/>
              <w:rPr>
                <w:rFonts w:hint="eastAsia" w:ascii="仿宋" w:hAnsi="仿宋" w:eastAsia="仿宋" w:cs="仿宋"/>
                <w:color w:val="auto"/>
                <w:sz w:val="24"/>
                <w:highlight w:val="none"/>
              </w:rPr>
            </w:pPr>
          </w:p>
        </w:tc>
        <w:tc>
          <w:tcPr>
            <w:tcW w:w="1837"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253" w:type="dxa"/>
            <w:gridSpan w:val="3"/>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eastAsia="zh-CN"/>
              </w:rPr>
              <w:t>（一）</w:t>
            </w:r>
            <w:r>
              <w:rPr>
                <w:rFonts w:hint="eastAsia" w:ascii="仿宋" w:hAnsi="仿宋" w:eastAsia="仿宋" w:cs="仿宋"/>
                <w:b/>
                <w:color w:val="auto"/>
                <w:sz w:val="24"/>
                <w:highlight w:val="none"/>
                <w:lang w:val="en-US" w:eastAsia="zh-CN"/>
              </w:rPr>
              <w:t>+（二）+（三）</w:t>
            </w:r>
            <w:r>
              <w:rPr>
                <w:rFonts w:hint="eastAsia" w:ascii="仿宋" w:hAnsi="仿宋" w:eastAsia="仿宋" w:cs="仿宋"/>
                <w:b/>
                <w:color w:val="auto"/>
                <w:sz w:val="24"/>
                <w:highlight w:val="none"/>
              </w:rPr>
              <w:t>（小写）</w:t>
            </w:r>
          </w:p>
        </w:tc>
        <w:tc>
          <w:tcPr>
            <w:tcW w:w="6314" w:type="dxa"/>
            <w:gridSpan w:val="4"/>
            <w:noWrap w:val="0"/>
            <w:vAlign w:val="center"/>
          </w:tcPr>
          <w:p>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253" w:type="dxa"/>
            <w:gridSpan w:val="3"/>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eastAsia="zh-CN"/>
              </w:rPr>
              <w:t>（一）</w:t>
            </w:r>
            <w:r>
              <w:rPr>
                <w:rFonts w:hint="eastAsia" w:ascii="仿宋" w:hAnsi="仿宋" w:eastAsia="仿宋" w:cs="仿宋"/>
                <w:b/>
                <w:color w:val="auto"/>
                <w:sz w:val="24"/>
                <w:highlight w:val="none"/>
                <w:lang w:val="en-US" w:eastAsia="zh-CN"/>
              </w:rPr>
              <w:t>+（二）+（三）</w:t>
            </w:r>
            <w:r>
              <w:rPr>
                <w:rFonts w:hint="eastAsia" w:ascii="仿宋" w:hAnsi="仿宋" w:eastAsia="仿宋" w:cs="仿宋"/>
                <w:b/>
                <w:color w:val="auto"/>
                <w:sz w:val="24"/>
                <w:highlight w:val="none"/>
              </w:rPr>
              <w:t>（大写）</w:t>
            </w:r>
          </w:p>
        </w:tc>
        <w:tc>
          <w:tcPr>
            <w:tcW w:w="6314" w:type="dxa"/>
            <w:gridSpan w:val="4"/>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元</w:t>
            </w: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szCs w:val="20"/>
          <w:highlight w:val="none"/>
          <w:u w:val="thick"/>
        </w:rPr>
        <w:t>▲</w:t>
      </w:r>
      <w:r>
        <w:rPr>
          <w:rFonts w:hint="eastAsia" w:ascii="仿宋" w:hAnsi="仿宋" w:eastAsia="仿宋" w:cs="仿宋"/>
          <w:color w:val="auto"/>
          <w:kern w:val="0"/>
          <w:sz w:val="24"/>
          <w:highlight w:val="none"/>
          <w:u w:val="thick"/>
          <w:lang w:val="zh-CN"/>
        </w:rPr>
        <w:t>1、不提供此表的报价，视为没有实质性响应采购文件要求。</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投标文件含有采购人不能接受的附加条件的，投标无效</w:t>
      </w:r>
      <w:r>
        <w:rPr>
          <w:rFonts w:hint="eastAsia" w:ascii="仿宋" w:hAnsi="仿宋" w:eastAsia="仿宋" w:cs="仿宋"/>
          <w:b/>
          <w:color w:val="auto"/>
          <w:kern w:val="0"/>
          <w:sz w:val="24"/>
          <w:highlight w:val="none"/>
          <w:lang w:val="zh-CN"/>
        </w:rPr>
        <w:t>。</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3、以上表格要求细分项目及报价，在“规格型号（或具体服务内容）”一栏中，货物类项目填写规格型号，服务类项目填写具体服务。</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4、特别提示：采购代理机构将对项目名称和项目编号，中标人名称、地址和中标金额，主要中标标的的名称、规格型号、数量、单价、服务要求等予以公示。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5、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6、本表可在不改变格式的情况下根据具体需要自行增减。</w:t>
      </w:r>
    </w:p>
    <w:p>
      <w:pPr>
        <w:autoSpaceDE w:val="0"/>
        <w:autoSpaceDN w:val="0"/>
        <w:spacing w:line="360" w:lineRule="auto"/>
        <w:ind w:right="1120"/>
        <w:jc w:val="left"/>
        <w:rPr>
          <w:rFonts w:hint="eastAsia" w:ascii="仿宋" w:hAnsi="仿宋" w:eastAsia="仿宋" w:cs="仿宋"/>
          <w:color w:val="auto"/>
          <w:kern w:val="0"/>
          <w:sz w:val="24"/>
          <w:highlight w:val="none"/>
          <w:lang w:val="zh-CN"/>
        </w:rPr>
      </w:pPr>
    </w:p>
    <w:p>
      <w:pPr>
        <w:autoSpaceDE w:val="0"/>
        <w:autoSpaceDN w:val="0"/>
        <w:spacing w:line="360" w:lineRule="auto"/>
        <w:ind w:right="112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pStyle w:val="57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32"/>
          <w:highlight w:val="none"/>
        </w:rPr>
        <w:br w:type="page"/>
      </w:r>
      <w:r>
        <w:rPr>
          <w:rFonts w:hint="eastAsia" w:ascii="仿宋" w:hAnsi="仿宋" w:eastAsia="仿宋" w:cs="仿宋"/>
          <w:color w:val="auto"/>
          <w:kern w:val="2"/>
          <w:sz w:val="32"/>
          <w:szCs w:val="32"/>
          <w:highlight w:val="none"/>
        </w:rPr>
        <w:t>一、开标一览表</w:t>
      </w:r>
      <w:r>
        <w:rPr>
          <w:rFonts w:hint="eastAsia" w:ascii="仿宋" w:hAnsi="仿宋" w:eastAsia="仿宋" w:cs="仿宋"/>
          <w:color w:val="auto"/>
          <w:kern w:val="2"/>
          <w:sz w:val="32"/>
          <w:szCs w:val="32"/>
          <w:highlight w:val="none"/>
          <w:lang w:eastAsia="zh-CN"/>
        </w:rPr>
        <w:t>（标段二）</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温州市自然资源和规划局经济技术开发区分局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温州鑫正招标代理有限公司</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按你方招标文件要求，我们，本投标文件签字方，谨此向你方发出要约如下：如你方接受本投标，我方承诺按照如下开标一览表的价格完成</w:t>
      </w:r>
      <w:r>
        <w:rPr>
          <w:rFonts w:hint="eastAsia" w:ascii="仿宋" w:hAnsi="仿宋" w:eastAsia="仿宋" w:cs="仿宋"/>
          <w:color w:val="auto"/>
          <w:sz w:val="24"/>
          <w:highlight w:val="none"/>
          <w:lang w:eastAsia="zh-CN"/>
        </w:rPr>
        <w:t>温州经济技术开发区地下市政基础设施普查项目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ZQCG-XZ-2022-055</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pPr>
        <w:pStyle w:val="3"/>
        <w:rPr>
          <w:rFonts w:hint="eastAsia"/>
          <w:color w:val="auto"/>
          <w:highlight w:val="none"/>
          <w:lang w:val="zh-CN"/>
        </w:rPr>
      </w:pPr>
      <w:r>
        <w:rPr>
          <w:rFonts w:hint="eastAsia" w:ascii="仿宋" w:hAnsi="仿宋" w:eastAsia="仿宋" w:cs="仿宋"/>
          <w:color w:val="auto"/>
          <w:kern w:val="0"/>
          <w:sz w:val="24"/>
          <w:highlight w:val="none"/>
          <w:lang w:val="zh-CN"/>
        </w:rPr>
        <w:t>标段二名称：</w:t>
      </w:r>
    </w:p>
    <w:tbl>
      <w:tblPr>
        <w:tblStyle w:val="62"/>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41"/>
        <w:gridCol w:w="5060"/>
        <w:gridCol w:w="76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9" w:hRule="atLeast"/>
        </w:trPr>
        <w:tc>
          <w:tcPr>
            <w:tcW w:w="1541" w:type="dxa"/>
            <w:noWrap w:val="0"/>
            <w:tcMar>
              <w:top w:w="0" w:type="dxa"/>
              <w:left w:w="108" w:type="dxa"/>
              <w:bottom w:w="0" w:type="dxa"/>
              <w:right w:w="108" w:type="dxa"/>
            </w:tcMar>
            <w:vAlign w:val="center"/>
          </w:tcPr>
          <w:p>
            <w:pPr>
              <w:widowControl/>
              <w:spacing w:before="60" w:after="60"/>
              <w:ind w:left="60" w:right="60"/>
              <w:jc w:val="center"/>
              <w:rPr>
                <w:rFonts w:hint="eastAsia" w:ascii="仿宋" w:hAnsi="仿宋" w:eastAsia="仿宋" w:cs="仿宋"/>
                <w:b/>
                <w:color w:val="auto"/>
                <w:kern w:val="0"/>
                <w:sz w:val="22"/>
                <w:szCs w:val="22"/>
                <w:highlight w:val="none"/>
              </w:rPr>
            </w:pPr>
            <w:r>
              <w:rPr>
                <w:rFonts w:hint="eastAsia" w:ascii="仿宋" w:hAnsi="仿宋" w:eastAsia="仿宋" w:cs="仿宋"/>
                <w:b/>
                <w:color w:val="auto"/>
                <w:kern w:val="0"/>
                <w:sz w:val="22"/>
                <w:szCs w:val="22"/>
                <w:highlight w:val="none"/>
              </w:rPr>
              <w:t>序号</w:t>
            </w:r>
          </w:p>
        </w:tc>
        <w:tc>
          <w:tcPr>
            <w:tcW w:w="5060" w:type="dxa"/>
            <w:noWrap w:val="0"/>
            <w:tcMar>
              <w:top w:w="0" w:type="dxa"/>
              <w:left w:w="108" w:type="dxa"/>
              <w:bottom w:w="0" w:type="dxa"/>
              <w:right w:w="108" w:type="dxa"/>
            </w:tcMar>
            <w:vAlign w:val="center"/>
          </w:tcPr>
          <w:p>
            <w:pPr>
              <w:widowControl/>
              <w:spacing w:before="60" w:after="60"/>
              <w:ind w:left="60" w:right="60"/>
              <w:jc w:val="center"/>
              <w:rPr>
                <w:rFonts w:hint="eastAsia" w:ascii="仿宋" w:hAnsi="仿宋" w:eastAsia="仿宋" w:cs="仿宋"/>
                <w:b/>
                <w:color w:val="auto"/>
                <w:kern w:val="0"/>
                <w:sz w:val="22"/>
                <w:szCs w:val="22"/>
                <w:highlight w:val="none"/>
              </w:rPr>
            </w:pPr>
            <w:r>
              <w:rPr>
                <w:rFonts w:hint="eastAsia" w:ascii="仿宋" w:hAnsi="仿宋" w:eastAsia="仿宋" w:cs="仿宋"/>
                <w:b/>
                <w:color w:val="auto"/>
                <w:kern w:val="0"/>
                <w:sz w:val="22"/>
                <w:szCs w:val="22"/>
                <w:highlight w:val="none"/>
              </w:rPr>
              <w:t>内容</w:t>
            </w:r>
          </w:p>
        </w:tc>
        <w:tc>
          <w:tcPr>
            <w:tcW w:w="7634" w:type="dxa"/>
            <w:noWrap w:val="0"/>
            <w:tcMar>
              <w:top w:w="0" w:type="dxa"/>
              <w:left w:w="108" w:type="dxa"/>
              <w:bottom w:w="0" w:type="dxa"/>
              <w:right w:w="108" w:type="dxa"/>
            </w:tcMar>
            <w:vAlign w:val="center"/>
          </w:tcPr>
          <w:p>
            <w:pPr>
              <w:widowControl/>
              <w:spacing w:before="60" w:after="60"/>
              <w:ind w:left="60" w:right="60"/>
              <w:jc w:val="center"/>
              <w:rPr>
                <w:rFonts w:hint="eastAsia" w:ascii="仿宋" w:hAnsi="仿宋" w:eastAsia="仿宋" w:cs="仿宋"/>
                <w:b/>
                <w:color w:val="auto"/>
                <w:kern w:val="0"/>
                <w:sz w:val="22"/>
                <w:szCs w:val="22"/>
                <w:highlight w:val="none"/>
                <w:lang w:eastAsia="zh-CN"/>
              </w:rPr>
            </w:pPr>
            <w:r>
              <w:rPr>
                <w:rFonts w:hint="eastAsia" w:ascii="仿宋" w:hAnsi="仿宋" w:eastAsia="仿宋" w:cs="仿宋"/>
                <w:b/>
                <w:color w:val="auto"/>
                <w:kern w:val="0"/>
                <w:sz w:val="22"/>
                <w:szCs w:val="22"/>
                <w:highlight w:val="none"/>
                <w:lang w:eastAsia="zh-CN"/>
              </w:rPr>
              <w:t>投标报价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541"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5060"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bCs/>
                <w:color w:val="auto"/>
                <w:kern w:val="0"/>
                <w:sz w:val="22"/>
                <w:szCs w:val="22"/>
                <w:highlight w:val="none"/>
                <w:lang w:eastAsia="zh-CN"/>
              </w:rPr>
            </w:pPr>
            <w:r>
              <w:rPr>
                <w:rFonts w:hint="eastAsia" w:ascii="仿宋" w:hAnsi="仿宋" w:eastAsia="仿宋" w:cs="仿宋"/>
                <w:bCs/>
                <w:color w:val="auto"/>
                <w:kern w:val="0"/>
                <w:sz w:val="22"/>
                <w:szCs w:val="22"/>
                <w:highlight w:val="none"/>
                <w:lang w:eastAsia="zh-CN"/>
              </w:rPr>
              <w:t>项目名称</w:t>
            </w:r>
          </w:p>
        </w:tc>
        <w:tc>
          <w:tcPr>
            <w:tcW w:w="7634" w:type="dxa"/>
            <w:noWrap w:val="0"/>
            <w:tcMar>
              <w:top w:w="0" w:type="dxa"/>
              <w:left w:w="108" w:type="dxa"/>
              <w:bottom w:w="0" w:type="dxa"/>
              <w:right w:w="108" w:type="dxa"/>
            </w:tcMar>
            <w:vAlign w:val="center"/>
          </w:tcPr>
          <w:p>
            <w:pPr>
              <w:widowControl/>
              <w:spacing w:before="60" w:after="60"/>
              <w:rPr>
                <w:rFonts w:hint="eastAsia" w:ascii="仿宋" w:hAnsi="仿宋" w:eastAsia="仿宋" w:cs="仿宋"/>
                <w:b/>
                <w:bCs/>
                <w:color w:val="auto"/>
                <w:kern w:val="0"/>
                <w:sz w:val="22"/>
                <w:szCs w:val="22"/>
                <w:highlight w:val="none"/>
              </w:rPr>
            </w:pPr>
            <w:r>
              <w:rPr>
                <w:rFonts w:hint="eastAsia" w:ascii="仿宋" w:hAnsi="仿宋" w:eastAsia="仿宋" w:cs="仿宋"/>
                <w:color w:val="auto"/>
                <w:sz w:val="22"/>
                <w:szCs w:val="22"/>
                <w:highlight w:val="none"/>
                <w:lang w:val="en-US" w:eastAsia="zh-CN"/>
              </w:rPr>
              <w:t>温州经济技术开发区地下市政基础设施普查（地下管线及其附属设施部分）监理服务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541"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5060" w:type="dxa"/>
            <w:noWrap w:val="0"/>
            <w:tcMar>
              <w:top w:w="0" w:type="dxa"/>
              <w:left w:w="108" w:type="dxa"/>
              <w:bottom w:w="0" w:type="dxa"/>
              <w:right w:w="108" w:type="dxa"/>
            </w:tcMar>
            <w:vAlign w:val="center"/>
          </w:tcPr>
          <w:p>
            <w:pPr>
              <w:widowControl/>
              <w:spacing w:before="60" w:after="6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总价</w:t>
            </w:r>
          </w:p>
        </w:tc>
        <w:tc>
          <w:tcPr>
            <w:tcW w:w="7634" w:type="dxa"/>
            <w:noWrap w:val="0"/>
            <w:tcMar>
              <w:top w:w="0" w:type="dxa"/>
              <w:left w:w="108" w:type="dxa"/>
              <w:bottom w:w="0" w:type="dxa"/>
              <w:right w:w="108" w:type="dxa"/>
            </w:tcMar>
            <w:vAlign w:val="center"/>
          </w:tcPr>
          <w:p>
            <w:pPr>
              <w:widowControl/>
              <w:spacing w:before="60" w:after="60"/>
              <w:ind w:firstLine="1546" w:firstLineChars="700"/>
              <w:rPr>
                <w:rFonts w:hint="eastAsia"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lang w:eastAsia="zh-CN"/>
              </w:rPr>
              <w:t>人民币：</w:t>
            </w:r>
            <w:r>
              <w:rPr>
                <w:rFonts w:hint="eastAsia" w:ascii="仿宋" w:hAnsi="仿宋" w:eastAsia="仿宋" w:cs="仿宋"/>
                <w:b/>
                <w:bCs/>
                <w:color w:val="auto"/>
                <w:kern w:val="0"/>
                <w:sz w:val="22"/>
                <w:szCs w:val="22"/>
                <w:highlight w:val="none"/>
                <w:u w:val="single"/>
                <w:lang w:val="en-US" w:eastAsia="zh-CN"/>
              </w:rPr>
              <w:t xml:space="preserve">                        </w:t>
            </w:r>
            <w:r>
              <w:rPr>
                <w:rFonts w:hint="eastAsia" w:ascii="仿宋" w:hAnsi="仿宋" w:eastAsia="仿宋" w:cs="仿宋"/>
                <w:b/>
                <w:bCs/>
                <w:color w:val="auto"/>
                <w:kern w:val="0"/>
                <w:sz w:val="22"/>
                <w:szCs w:val="22"/>
                <w:highlight w:val="none"/>
                <w:lang w:eastAsia="zh-CN"/>
              </w:rPr>
              <w:t>元</w:t>
            </w:r>
          </w:p>
        </w:tc>
      </w:tr>
    </w:tbl>
    <w:p>
      <w:pPr>
        <w:overflowPunct w:val="0"/>
        <w:spacing w:line="380" w:lineRule="exact"/>
        <w:rPr>
          <w:rFonts w:hint="eastAsia" w:ascii="仿宋" w:hAnsi="仿宋" w:eastAsia="仿宋" w:cs="仿宋"/>
          <w:bCs/>
          <w:color w:val="auto"/>
          <w:sz w:val="22"/>
          <w:szCs w:val="22"/>
          <w:highlight w:val="none"/>
        </w:rPr>
      </w:pPr>
    </w:p>
    <w:p>
      <w:pPr>
        <w:overflowPunct w:val="0"/>
        <w:spacing w:line="46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w:t>
      </w:r>
    </w:p>
    <w:p>
      <w:pPr>
        <w:spacing w:line="380" w:lineRule="exact"/>
        <w:ind w:left="11" w:hanging="12" w:hangingChars="5"/>
        <w:rPr>
          <w:rFonts w:hint="eastAsia" w:ascii="仿宋" w:hAnsi="仿宋" w:eastAsia="仿宋" w:cs="仿宋"/>
          <w:b/>
          <w:color w:val="auto"/>
          <w:sz w:val="22"/>
          <w:highlight w:val="none"/>
          <w:u w:val="thick"/>
        </w:rPr>
      </w:pPr>
      <w:r>
        <w:rPr>
          <w:rFonts w:hint="eastAsia" w:ascii="仿宋" w:hAnsi="仿宋" w:eastAsia="仿宋" w:cs="仿宋"/>
          <w:color w:val="auto"/>
          <w:sz w:val="24"/>
          <w:szCs w:val="20"/>
          <w:highlight w:val="none"/>
          <w:u w:val="thick"/>
        </w:rPr>
        <w:t>▲</w:t>
      </w:r>
      <w:r>
        <w:rPr>
          <w:rFonts w:hint="eastAsia" w:ascii="仿宋" w:hAnsi="仿宋" w:eastAsia="仿宋" w:cs="仿宋"/>
          <w:b/>
          <w:color w:val="auto"/>
          <w:sz w:val="22"/>
          <w:highlight w:val="none"/>
          <w:u w:val="thick"/>
        </w:rPr>
        <w:t>此栏内投标总价应与“</w:t>
      </w:r>
      <w:r>
        <w:rPr>
          <w:rFonts w:hint="eastAsia" w:ascii="仿宋" w:hAnsi="仿宋" w:eastAsia="仿宋" w:cs="仿宋"/>
          <w:b/>
          <w:color w:val="auto"/>
          <w:sz w:val="22"/>
          <w:highlight w:val="none"/>
          <w:u w:val="thick"/>
          <w:lang w:val="en-US" w:eastAsia="zh-CN"/>
        </w:rPr>
        <w:t>分项报价表</w:t>
      </w:r>
      <w:r>
        <w:rPr>
          <w:rFonts w:hint="eastAsia" w:ascii="仿宋" w:hAnsi="仿宋" w:eastAsia="仿宋" w:cs="仿宋"/>
          <w:b/>
          <w:color w:val="auto"/>
          <w:sz w:val="22"/>
          <w:highlight w:val="none"/>
          <w:u w:val="thick"/>
        </w:rPr>
        <w:t>”中投标报价相一致。</w:t>
      </w:r>
    </w:p>
    <w:p>
      <w:pPr>
        <w:autoSpaceDE w:val="0"/>
        <w:autoSpaceDN w:val="0"/>
        <w:spacing w:line="360" w:lineRule="auto"/>
        <w:ind w:right="1120"/>
        <w:jc w:val="left"/>
        <w:rPr>
          <w:rFonts w:hint="eastAsia" w:ascii="仿宋" w:hAnsi="仿宋" w:eastAsia="仿宋" w:cs="仿宋"/>
          <w:color w:val="auto"/>
          <w:kern w:val="0"/>
          <w:sz w:val="24"/>
          <w:highlight w:val="none"/>
          <w:lang w:val="zh-CN"/>
        </w:rPr>
      </w:pPr>
    </w:p>
    <w:p>
      <w:pPr>
        <w:autoSpaceDE w:val="0"/>
        <w:autoSpaceDN w:val="0"/>
        <w:spacing w:line="360" w:lineRule="auto"/>
        <w:ind w:right="112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napToGrid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br w:type="page"/>
      </w:r>
      <w:r>
        <w:rPr>
          <w:rFonts w:hint="eastAsia" w:ascii="仿宋" w:hAnsi="仿宋" w:eastAsia="仿宋" w:cs="仿宋"/>
          <w:color w:val="auto"/>
          <w:kern w:val="2"/>
          <w:sz w:val="32"/>
          <w:szCs w:val="32"/>
          <w:highlight w:val="none"/>
          <w:lang w:val="en-US" w:eastAsia="zh-CN"/>
        </w:rPr>
        <w:t>分项报价表（标段二）</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260"/>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260"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p>
        </w:tc>
        <w:tc>
          <w:tcPr>
            <w:tcW w:w="3118" w:type="dxa"/>
            <w:noWrap w:val="0"/>
            <w:vAlign w:val="center"/>
          </w:tcPr>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具体服务</w:t>
            </w:r>
            <w:r>
              <w:rPr>
                <w:rFonts w:hint="eastAsia" w:ascii="仿宋" w:hAnsi="仿宋" w:eastAsia="仿宋" w:cs="仿宋"/>
                <w:b/>
                <w:color w:val="auto"/>
                <w:sz w:val="24"/>
                <w:highlight w:val="none"/>
                <w:lang w:eastAsia="zh-CN"/>
              </w:rPr>
              <w:t>内容</w:t>
            </w:r>
          </w:p>
        </w:tc>
        <w:tc>
          <w:tcPr>
            <w:tcW w:w="993"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总价</w:t>
            </w:r>
          </w:p>
        </w:tc>
        <w:tc>
          <w:tcPr>
            <w:tcW w:w="3119"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26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26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326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3260"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w:t>
            </w: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3"/>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3"/>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noWrap w:val="0"/>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szCs w:val="20"/>
          <w:highlight w:val="none"/>
          <w:u w:val="thick"/>
        </w:rPr>
        <w:t>▲</w:t>
      </w:r>
      <w:r>
        <w:rPr>
          <w:rFonts w:hint="eastAsia" w:ascii="仿宋" w:hAnsi="仿宋" w:eastAsia="仿宋" w:cs="仿宋"/>
          <w:color w:val="auto"/>
          <w:kern w:val="0"/>
          <w:sz w:val="24"/>
          <w:highlight w:val="none"/>
          <w:u w:val="thick"/>
          <w:lang w:val="zh-CN"/>
        </w:rPr>
        <w:t>1、不提供此表的报价，视为没有实质性响应采购文件要求。</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投标文件含有采购人不能接受的附加条件的，投标无效</w:t>
      </w:r>
      <w:r>
        <w:rPr>
          <w:rFonts w:hint="eastAsia" w:ascii="仿宋" w:hAnsi="仿宋" w:eastAsia="仿宋" w:cs="仿宋"/>
          <w:b/>
          <w:color w:val="auto"/>
          <w:kern w:val="0"/>
          <w:sz w:val="24"/>
          <w:highlight w:val="none"/>
          <w:lang w:val="zh-CN"/>
        </w:rPr>
        <w:t>。</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4、特别提示：采购代理机构将对项目名称和项目编号，中标人名称、地址和中标金额，主要中标标的的名称、规格型号、数量、单价、服务要求等予以公示。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5、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6、本表可在不改变格式的情况下根据具体需要自行增减。</w:t>
      </w:r>
    </w:p>
    <w:p>
      <w:pPr>
        <w:autoSpaceDE w:val="0"/>
        <w:autoSpaceDN w:val="0"/>
        <w:spacing w:line="360" w:lineRule="auto"/>
        <w:ind w:right="1120"/>
        <w:jc w:val="left"/>
        <w:rPr>
          <w:rFonts w:hint="eastAsia" w:ascii="仿宋" w:hAnsi="仿宋" w:eastAsia="仿宋" w:cs="仿宋"/>
          <w:color w:val="auto"/>
          <w:kern w:val="0"/>
          <w:sz w:val="24"/>
          <w:highlight w:val="none"/>
          <w:lang w:val="zh-CN"/>
        </w:rPr>
      </w:pPr>
    </w:p>
    <w:p>
      <w:pPr>
        <w:autoSpaceDE w:val="0"/>
        <w:autoSpaceDN w:val="0"/>
        <w:spacing w:line="360" w:lineRule="auto"/>
        <w:ind w:right="112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pStyle w:val="57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57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247" w:right="1247" w:bottom="1418" w:left="1276" w:header="851" w:footer="992" w:gutter="0"/>
          <w:pgNumType w:fmt="decimal"/>
          <w:cols w:space="720" w:num="1"/>
          <w:titlePg/>
          <w:docGrid w:linePitch="312" w:charSpace="0"/>
        </w:sectPr>
      </w:pPr>
    </w:p>
    <w:p>
      <w:pPr>
        <w:pStyle w:val="57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eastAsia="zh-CN"/>
        </w:rPr>
      </w:pPr>
      <w:bookmarkStart w:id="446" w:name="_Toc11456"/>
      <w:bookmarkStart w:id="447" w:name="_Toc9978"/>
      <w:bookmarkStart w:id="448" w:name="_Toc28168"/>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End w:id="446"/>
      <w:bookmarkEnd w:id="447"/>
      <w:r>
        <w:rPr>
          <w:rFonts w:hint="eastAsia" w:ascii="仿宋" w:hAnsi="仿宋" w:eastAsia="仿宋" w:cs="仿宋"/>
          <w:color w:val="auto"/>
          <w:sz w:val="32"/>
          <w:szCs w:val="32"/>
          <w:highlight w:val="none"/>
          <w:lang w:eastAsia="zh-CN"/>
        </w:rPr>
        <w:t>（残疾人福利性单位声明函、监狱企业提供的相关证明材料）</w:t>
      </w:r>
      <w:bookmarkEnd w:id="448"/>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57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rPr>
          <w:rFonts w:hint="eastAsia" w:ascii="仿宋" w:hAnsi="仿宋" w:eastAsia="仿宋" w:cs="仿宋"/>
          <w:b/>
          <w:color w:val="auto"/>
          <w:kern w:val="0"/>
          <w:sz w:val="36"/>
          <w:szCs w:val="36"/>
          <w:highlight w:val="none"/>
        </w:rPr>
      </w:pPr>
    </w:p>
    <w:p>
      <w:pPr>
        <w:pStyle w:val="5"/>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449" w:name="_Toc22695"/>
      <w:bookmarkStart w:id="450" w:name="_Toc465665161"/>
      <w:bookmarkStart w:id="451" w:name="_Toc10456"/>
      <w:bookmarkStart w:id="452" w:name="_Toc24602"/>
      <w:r>
        <w:rPr>
          <w:rFonts w:hint="eastAsia" w:ascii="仿宋" w:hAnsi="仿宋" w:eastAsia="仿宋" w:cs="仿宋"/>
          <w:color w:val="auto"/>
          <w:highlight w:val="none"/>
        </w:rPr>
        <w:t>附件</w:t>
      </w:r>
      <w:bookmarkEnd w:id="449"/>
      <w:bookmarkEnd w:id="450"/>
      <w:bookmarkEnd w:id="451"/>
      <w:bookmarkEnd w:id="452"/>
    </w:p>
    <w:p>
      <w:pPr>
        <w:spacing w:line="360" w:lineRule="auto"/>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pPr>
        <w:spacing w:line="360" w:lineRule="auto"/>
        <w:jc w:val="center"/>
        <w:rPr>
          <w:rFonts w:hint="eastAsia" w:ascii="仿宋" w:hAnsi="仿宋" w:eastAsia="仿宋" w:cs="仿宋"/>
          <w:b/>
          <w:color w:val="auto"/>
          <w:spacing w:val="6"/>
          <w:sz w:val="32"/>
          <w:szCs w:val="32"/>
          <w:highlight w:val="none"/>
        </w:rPr>
      </w:pPr>
      <w:bookmarkStart w:id="453" w:name="OLE_LINK13"/>
      <w:bookmarkStart w:id="454" w:name="OLE_LINK14"/>
      <w:r>
        <w:rPr>
          <w:rFonts w:hint="eastAsia" w:ascii="仿宋" w:hAnsi="仿宋" w:eastAsia="仿宋" w:cs="仿宋"/>
          <w:b/>
          <w:color w:val="auto"/>
          <w:spacing w:val="6"/>
          <w:sz w:val="32"/>
          <w:szCs w:val="32"/>
          <w:highlight w:val="none"/>
        </w:rPr>
        <w:t>残疾人福利性单位声明函</w:t>
      </w:r>
    </w:p>
    <w:bookmarkEnd w:id="453"/>
    <w:bookmarkEnd w:id="454"/>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jc w:val="center"/>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r>
        <w:rPr>
          <w:rFonts w:hint="eastAsia" w:ascii="仿宋" w:hAnsi="仿宋" w:eastAsia="仿宋" w:cs="仿宋"/>
          <w:b/>
          <w:color w:val="auto"/>
          <w:spacing w:val="6"/>
          <w:sz w:val="32"/>
          <w:szCs w:val="32"/>
          <w:highlight w:val="none"/>
        </w:rPr>
        <w:t>附件2：质疑函范本及制作说明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pStyle w:val="2"/>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lang w:val="en-US" w:eastAsia="zh-CN"/>
        </w:rPr>
        <w:t>7.以书面形式提交的，应按招标文件规定送达指定地点；以</w:t>
      </w:r>
      <w:r>
        <w:rPr>
          <w:rFonts w:hint="eastAsia" w:ascii="仿宋" w:hAnsi="仿宋" w:eastAsia="仿宋" w:cs="仿宋"/>
          <w:color w:val="auto"/>
          <w:sz w:val="24"/>
          <w:highlight w:val="none"/>
          <w:lang w:eastAsia="zh-CN"/>
        </w:rPr>
        <w:t>政采云平台（https://www.zcygov.cn/）通过“询问质疑投诉”栏提交的，应正确填写质疑供应商基本信息、被质疑人信息、质疑事项具体内容、质疑请求，并上传书面质疑函扫描件。</w:t>
      </w:r>
    </w:p>
    <w:p>
      <w:pPr>
        <w:spacing w:line="360" w:lineRule="auto"/>
        <w:jc w:val="left"/>
        <w:rPr>
          <w:rFonts w:hint="eastAsia" w:ascii="仿宋" w:hAnsi="仿宋" w:eastAsia="仿宋" w:cs="仿宋"/>
          <w:b/>
          <w:color w:val="auto"/>
          <w:spacing w:val="6"/>
          <w:sz w:val="32"/>
          <w:szCs w:val="32"/>
          <w:highlight w:val="none"/>
        </w:rPr>
      </w:pPr>
    </w:p>
    <w:p>
      <w:pPr>
        <w:spacing w:line="360" w:lineRule="auto"/>
        <w:jc w:val="center"/>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pStyle w:val="9"/>
        <w:ind w:left="0" w:leftChars="0" w:firstLine="0" w:firstLineChars="0"/>
        <w:rPr>
          <w:rFonts w:hint="eastAsia" w:ascii="仿宋" w:hAnsi="仿宋" w:eastAsia="仿宋" w:cs="仿宋"/>
          <w:color w:val="auto"/>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autoSpaceDE w:val="0"/>
        <w:autoSpaceDN w:val="0"/>
        <w:jc w:val="center"/>
        <w:outlineLvl w:val="0"/>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u w:val="single"/>
          <w:lang w:eastAsia="zh-CN"/>
        </w:rPr>
        <w:t>温州市自然资源和规划局经济技术开发区分局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温州鑫正招标代理有限公司</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温州经济技术开发区地下市政基础设施普查项目</w:t>
      </w:r>
      <w:r>
        <w:rPr>
          <w:rFonts w:hint="eastAsia" w:ascii="仿宋" w:hAnsi="仿宋" w:eastAsia="仿宋" w:cs="仿宋"/>
          <w:color w:val="auto"/>
          <w:sz w:val="24"/>
          <w:highlight w:val="none"/>
        </w:rPr>
        <w:t>项目【招标编号：</w:t>
      </w:r>
      <w:r>
        <w:rPr>
          <w:rFonts w:hint="eastAsia" w:ascii="仿宋" w:hAnsi="仿宋" w:eastAsia="仿宋" w:cs="仿宋"/>
          <w:color w:val="auto"/>
          <w:sz w:val="24"/>
          <w:highlight w:val="none"/>
          <w:lang w:eastAsia="zh-CN"/>
        </w:rPr>
        <w:t>ZQCG-XZ-2022-055</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c/4wdgAAAAKAQAADwAAAAAAAAABACAAAAAiAAAAZHJzL2Rvd25yZXYu&#10;eG1sUEsBAhQAFAAAAAgAh07iQNo4BWj7AQAAMQ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AilxcH7AQAAMQ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outlineLvl w:val="0"/>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br w:type="page"/>
      </w: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（单位名称） 的 </w:t>
      </w:r>
      <w:r>
        <w:rPr>
          <w:rFonts w:hint="eastAsia" w:ascii="仿宋" w:hAnsi="仿宋" w:eastAsia="仿宋" w:cs="仿宋"/>
          <w:color w:val="auto"/>
          <w:sz w:val="24"/>
          <w:highlight w:val="none"/>
          <w:lang w:eastAsia="zh-CN"/>
        </w:rPr>
        <w:t>温州经济技术开发区地下市政基础设施普查项目</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32"/>
          <w:szCs w:val="32"/>
          <w:highlight w:val="none"/>
        </w:rPr>
        <w:t>中小企业声明函（工程、服务）</w:t>
      </w:r>
    </w:p>
    <w:p>
      <w:pPr>
        <w:spacing w:line="360" w:lineRule="auto"/>
        <w:rPr>
          <w:rFonts w:hint="eastAsia" w:ascii="仿宋" w:hAnsi="仿宋" w:eastAsia="仿宋" w:cs="仿宋"/>
          <w:color w:val="auto"/>
          <w:highlight w:val="none"/>
        </w:rPr>
      </w:pP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（单位名称） 的 </w:t>
      </w:r>
      <w:r>
        <w:rPr>
          <w:rFonts w:hint="eastAsia" w:ascii="仿宋" w:hAnsi="仿宋" w:eastAsia="仿宋" w:cs="仿宋"/>
          <w:color w:val="auto"/>
          <w:sz w:val="24"/>
          <w:highlight w:val="none"/>
          <w:lang w:eastAsia="zh-CN"/>
        </w:rPr>
        <w:t>温州经济技术开发区地下市政基础设施普查项目</w:t>
      </w:r>
      <w:r>
        <w:rPr>
          <w:rFonts w:hint="eastAsia" w:ascii="仿宋" w:hAnsi="仿宋" w:eastAsia="仿宋" w:cs="仿宋"/>
          <w:color w:val="auto"/>
          <w:sz w:val="24"/>
          <w:highlight w:val="none"/>
        </w:rPr>
        <w:t xml:space="preserve">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hint="eastAsia" w:ascii="仿宋" w:hAnsi="仿宋" w:eastAsia="仿宋" w:cs="仿宋"/>
          <w:color w:val="auto"/>
          <w:highlight w:val="none"/>
          <w:lang w:val="en-US"/>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304" w:bottom="1247" w:left="130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Sans Serif">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ˎ̥">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Century Gothic">
    <w:altName w:val="Yu Gothic UI"/>
    <w:panose1 w:val="020B0502020202020204"/>
    <w:charset w:val="00"/>
    <w:family w:val="auto"/>
    <w:pitch w:val="default"/>
    <w:sig w:usb0="00000287"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Futura Bk">
    <w:altName w:val="Segoe Print"/>
    <w:panose1 w:val="00000000000000000000"/>
    <w:charset w:val="00"/>
    <w:family w:val="auto"/>
    <w:pitch w:val="default"/>
    <w:sig w:usb0="00000000" w:usb1="00000000" w:usb2="00000000" w:usb3="00000000" w:csb0="00000011" w:csb1="00000000"/>
  </w:font>
  <w:font w:name="Lucida Sans">
    <w:altName w:val="Lucida Sans Unicode"/>
    <w:panose1 w:val="020B0602030504020204"/>
    <w:charset w:val="00"/>
    <w:family w:val="auto"/>
    <w:pitch w:val="default"/>
    <w:sig w:usb0="00000003"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roman"/>
    <w:pitch w:val="default"/>
    <w:sig w:usb0="FFFFFFFF" w:usb1="E9FFFFFF" w:usb2="0000003F" w:usb3="00000000" w:csb0="603F01FF" w:csb1="FFFF0000"/>
  </w:font>
  <w:font w:name="Aldine401 BT">
    <w:altName w:val="Segoe Print"/>
    <w:panose1 w:val="00000000000000000000"/>
    <w:charset w:val="00"/>
    <w:family w:val="auto"/>
    <w:pitch w:val="default"/>
    <w:sig w:usb0="00000000" w:usb1="00000000" w:usb2="00000000" w:usb3="00000000" w:csb0="00000011" w:csb1="00000000"/>
  </w:font>
  <w:font w:name="Helvetica">
    <w:altName w:val="Arial"/>
    <w:panose1 w:val="020B0604020202020204"/>
    <w:charset w:val="00"/>
    <w:family w:val="swiss"/>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Arial (W1)">
    <w:altName w:val="Arial"/>
    <w:panose1 w:val="00000000000000000000"/>
    <w:charset w:val="00"/>
    <w:family w:val="auto"/>
    <w:pitch w:val="default"/>
    <w:sig w:usb0="00000000" w:usb1="00000000" w:usb2="00000008" w:usb3="00000000" w:csb0="000001FF" w:csb1="00000000"/>
  </w:font>
  <w:font w:name="Arial Narrow">
    <w:altName w:val="Arial"/>
    <w:panose1 w:val="020B0606020202030204"/>
    <w:charset w:val="00"/>
    <w:family w:val="swiss"/>
    <w:pitch w:val="default"/>
    <w:sig w:usb0="00000287" w:usb1="00000800" w:usb2="00000000" w:usb3="00000000" w:csb0="2000009F" w:csb1="DFD70000"/>
  </w:font>
  <w:font w:name="Futura Hv">
    <w:altName w:val="Lucida Sans Unicode"/>
    <w:panose1 w:val="00000000000000000000"/>
    <w:charset w:val="00"/>
    <w:family w:val="auto"/>
    <w:pitch w:val="default"/>
    <w:sig w:usb0="00000000" w:usb1="00000000" w:usb2="00000000" w:usb3="00000000" w:csb0="000001FB"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方正仿宋简体">
    <w:altName w:val="微软雅黑"/>
    <w:panose1 w:val="02010601030101010101"/>
    <w:charset w:val="86"/>
    <w:family w:val="auto"/>
    <w:pitch w:val="default"/>
    <w:sig w:usb0="00000000" w:usb1="00000000" w:usb2="00000000" w:usb3="00000000" w:csb0="00040000" w:csb1="00000000"/>
  </w:font>
  <w:font w:name="创艺简仿宋">
    <w:altName w:val="仿宋"/>
    <w:panose1 w:val="00000000000000000000"/>
    <w:charset w:val="86"/>
    <w:family w:val="auto"/>
    <w:pitch w:val="default"/>
    <w:sig w:usb0="00000000" w:usb1="00000000" w:usb2="00000000" w:usb3="00000000" w:csb0="00040001" w:csb1="00000000"/>
  </w:font>
  <w:font w:name="FHLHE E+ Futura Bk">
    <w:altName w:val="宋体"/>
    <w:panose1 w:val="00000000000000000000"/>
    <w:charset w:val="86"/>
    <w:family w:val="auto"/>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100003" w:usb1="00000000" w:usb2="00000000" w:usb3="00000000" w:csb0="00000001" w:csb1="00000000"/>
  </w:font>
  <w:font w:name="幼圆">
    <w:altName w:val="宋体"/>
    <w:panose1 w:val="02010509060101010101"/>
    <w:charset w:val="86"/>
    <w:family w:val="auto"/>
    <w:pitch w:val="default"/>
    <w:sig w:usb0="00000001" w:usb1="080E0000" w:usb2="00000000" w:usb3="00000000" w:csb0="00040000" w:csb1="00000000"/>
  </w:font>
  <w:font w:name=".PingFang SC">
    <w:altName w:val="宋体"/>
    <w:panose1 w:val="00000000000000000000"/>
    <w:charset w:val="86"/>
    <w:family w:val="auto"/>
    <w:pitch w:val="default"/>
    <w:sig w:usb0="00000000" w:usb1="00000000" w:usb2="00000000"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OhT15ucB&#10;AADJAwAADgAAAAAAAAABACAAAAAiAQAAZHJzL2Uyb0RvYy54bWxQSwUGAAAAAAYABgBZAQAAewUA&#10;AAAA&#10;">
              <v:fill on="f" focussize="0,0"/>
              <v:stroke on="f" weight="1.25pt"/>
              <v:imagedata o:title=""/>
              <o:lock v:ext="edit" aspectratio="f"/>
              <v:textbox inset="0mm,0mm,0mm,0mm" style="mso-fit-shape-to-text:t;">
                <w:txbxContent>
                  <w:p>
                    <w:pPr>
                      <w:pStyle w:val="41"/>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qG7x9ecB&#10;AADJAwAADgAAAAAAAAABACAAAAAiAQAAZHJzL2Uyb0RvYy54bWxQSwUGAAAAAAYABgBZAQAAewUA&#10;AAAA&#10;">
              <v:fill on="f" focussize="0,0"/>
              <v:stroke on="f" weight="1.2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pPr>
                          <w:r>
                            <w:fldChar w:fldCharType="begin"/>
                          </w:r>
                          <w:r>
                            <w:instrText xml:space="preserve"> PAGE  \* MERGEFORMAT </w:instrText>
                          </w:r>
                          <w:r>
                            <w:fldChar w:fldCharType="separate"/>
                          </w:r>
                          <w:r>
                            <w:t>80</w:t>
                          </w:r>
                          <w:r>
                            <w:fldChar w:fldCharType="end"/>
                          </w:r>
                        </w:p>
                      </w:txbxContent>
                    </wps:txbx>
                    <wps:bodyPr vert="horz" wrap="none" lIns="0" tIns="0" rIns="0" bIns="0" anchor="t" anchorCtr="0" upright="0">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FXkxIHo&#10;AQAAyQMAAA4AAAAAAAAAAQAgAAAAIgEAAGRycy9lMm9Eb2MueG1sUEsFBgAAAAAGAAYAWQEAAHwF&#10;AAAAAA==&#10;">
              <v:fill on="f" focussize="0,0"/>
              <v:stroke on="f" weight="1.25pt"/>
              <v:imagedata o:title=""/>
              <o:lock v:ext="edit" aspectratio="f"/>
              <v:textbox inset="0mm,0mm,0mm,0mm" style="mso-fit-shape-to-text:t;">
                <w:txbxContent>
                  <w:p>
                    <w:pPr>
                      <w:pStyle w:val="41"/>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pPr>
                          <w:r>
                            <w:fldChar w:fldCharType="begin"/>
                          </w:r>
                          <w:r>
                            <w:instrText xml:space="preserve"> PAGE  \* MERGEFORMAT </w:instrText>
                          </w:r>
                          <w:r>
                            <w:fldChar w:fldCharType="separate"/>
                          </w:r>
                          <w:r>
                            <w:t>79</w:t>
                          </w:r>
                          <w:r>
                            <w:fldChar w:fldCharType="end"/>
                          </w:r>
                        </w:p>
                      </w:txbxContent>
                    </wps:txbx>
                    <wps:bodyPr vert="horz" wrap="none" lIns="0" tIns="0" rIns="0" bIns="0" anchor="t" anchorCtr="0" upright="0">
                      <a:spAutoFit/>
                    </wps:bodyPr>
                  </wps:wsp>
                </a:graphicData>
              </a:graphic>
            </wp:anchor>
          </w:drawing>
        </mc:Choice>
        <mc:Fallback>
          <w:pict>
            <v:shape id="文本框 3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fEa13o&#10;AQAAyQMAAA4AAAAAAAAAAQAgAAAAIgEAAGRycy9lMm9Eb2MueG1sUEsFBgAAAAAGAAYAWQEAAHwF&#10;AAAAAA==&#10;">
              <v:fill on="f" focussize="0,0"/>
              <v:stroke on="f" weight="1.25pt"/>
              <v:imagedata o:title=""/>
              <o:lock v:ext="edit" aspectratio="f"/>
              <v:textbox inset="0mm,0mm,0mm,0mm" style="mso-fit-shape-to-text:t;">
                <w:txbxContent>
                  <w:p>
                    <w:pPr>
                      <w:pStyle w:val="41"/>
                    </w:pPr>
                    <w:r>
                      <w:fldChar w:fldCharType="begin"/>
                    </w:r>
                    <w:r>
                      <w:instrText xml:space="preserve"> PAGE  \* MERGEFORMAT </w:instrText>
                    </w:r>
                    <w:r>
                      <w:fldChar w:fldCharType="separate"/>
                    </w:r>
                    <w:r>
                      <w:t>79</w:t>
                    </w:r>
                    <w:r>
                      <w:fldChar w:fldCharType="end"/>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pPr>
                          <w:r>
                            <w:fldChar w:fldCharType="begin"/>
                          </w:r>
                          <w:r>
                            <w:instrText xml:space="preserve"> PAGE  \* MERGEFORMAT </w:instrText>
                          </w:r>
                          <w:r>
                            <w:fldChar w:fldCharType="separate"/>
                          </w:r>
                          <w:r>
                            <w:t>85</w:t>
                          </w:r>
                          <w:r>
                            <w:fldChar w:fldCharType="end"/>
                          </w:r>
                        </w:p>
                      </w:txbxContent>
                    </wps:txbx>
                    <wps:bodyPr vert="horz" wrap="none" lIns="0" tIns="0" rIns="0" bIns="0" anchor="t" anchorCtr="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tQ7xcucB&#10;AADJAwAADgAAAAAAAAABACAAAAAiAQAAZHJzL2Uyb0RvYy54bWxQSwUGAAAAAAYABgBZAQAAewUA&#10;AAAA&#10;">
              <v:fill on="f" focussize="0,0"/>
              <v:stroke on="f" weight="1.25pt"/>
              <v:imagedata o:title=""/>
              <o:lock v:ext="edit" aspectratio="f"/>
              <v:textbox inset="0mm,0mm,0mm,0mm" style="mso-fit-shape-to-text:t;">
                <w:txbxContent>
                  <w:p>
                    <w:pPr>
                      <w:pStyle w:val="41"/>
                    </w:pPr>
                    <w:r>
                      <w:fldChar w:fldCharType="begin"/>
                    </w:r>
                    <w:r>
                      <w:instrText xml:space="preserve"> PAGE  \* MERGEFORMAT </w:instrText>
                    </w:r>
                    <w:r>
                      <w:fldChar w:fldCharType="separate"/>
                    </w:r>
                    <w:r>
                      <w:t>85</w:t>
                    </w:r>
                    <w:r>
                      <w:fldChar w:fldCharType="end"/>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pPr>
                          <w:r>
                            <w:fldChar w:fldCharType="begin"/>
                          </w:r>
                          <w:r>
                            <w:instrText xml:space="preserve"> PAGE  \* MERGEFORMAT </w:instrText>
                          </w:r>
                          <w:r>
                            <w:fldChar w:fldCharType="separate"/>
                          </w:r>
                          <w:r>
                            <w:t>83</w:t>
                          </w:r>
                          <w:r>
                            <w:fldChar w:fldCharType="end"/>
                          </w:r>
                        </w:p>
                      </w:txbxContent>
                    </wps:txbx>
                    <wps:bodyPr vert="horz" wrap="none" lIns="0" tIns="0" rIns="0" bIns="0" anchor="t" anchorCtr="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Cb98q7o&#10;AQAAygMAAA4AAAAAAAAAAQAgAAAAIgEAAGRycy9lMm9Eb2MueG1sUEsFBgAAAAAGAAYAWQEAAHwF&#10;AAAAAA==&#10;">
              <v:fill on="f" focussize="0,0"/>
              <v:stroke on="f" weight="1.25pt"/>
              <v:imagedata o:title=""/>
              <o:lock v:ext="edit" aspectratio="f"/>
              <v:textbox inset="0mm,0mm,0mm,0mm" style="mso-fit-shape-to-text:t;">
                <w:txbxContent>
                  <w:p>
                    <w:pPr>
                      <w:pStyle w:val="41"/>
                    </w:pPr>
                    <w:r>
                      <w:fldChar w:fldCharType="begin"/>
                    </w:r>
                    <w:r>
                      <w:instrText xml:space="preserve"> PAGE  \* MERGEFORMAT </w:instrText>
                    </w:r>
                    <w:r>
                      <w:fldChar w:fldCharType="separate"/>
                    </w:r>
                    <w:r>
                      <w:t>83</w:t>
                    </w:r>
                    <w:r>
                      <w:fldChar w:fldCharType="end"/>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pPr>
                          <w:r>
                            <w:fldChar w:fldCharType="begin"/>
                          </w:r>
                          <w:r>
                            <w:instrText xml:space="preserve"> PAGE  \* MERGEFORMAT </w:instrText>
                          </w:r>
                          <w:r>
                            <w:fldChar w:fldCharType="separate"/>
                          </w:r>
                          <w:r>
                            <w:t>88</w:t>
                          </w:r>
                          <w:r>
                            <w:fldChar w:fldCharType="end"/>
                          </w:r>
                        </w:p>
                      </w:txbxContent>
                    </wps:txbx>
                    <wps:bodyPr vert="horz" wrap="none" lIns="0" tIns="0" rIns="0" bIns="0" anchor="t" anchorCtr="0" upright="0">
                      <a:spAutoFit/>
                    </wps:bodyPr>
                  </wps:wsp>
                </a:graphicData>
              </a:graphic>
            </wp:anchor>
          </w:drawing>
        </mc:Choice>
        <mc:Fallback>
          <w:pict>
            <v:shape id="文本框 3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Q3aIHo&#10;AQAAygMAAA4AAAAAAAAAAQAgAAAAIgEAAGRycy9lMm9Eb2MueG1sUEsFBgAAAAAGAAYAWQEAAHwF&#10;AAAAAA==&#10;">
              <v:fill on="f" focussize="0,0"/>
              <v:stroke on="f" weight="1.25pt"/>
              <v:imagedata o:title=""/>
              <o:lock v:ext="edit" aspectratio="f"/>
              <v:textbox inset="0mm,0mm,0mm,0mm" style="mso-fit-shape-to-text:t;">
                <w:txbxContent>
                  <w:p>
                    <w:pPr>
                      <w:pStyle w:val="41"/>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1"/>
                          </w:pPr>
                          <w:r>
                            <w:fldChar w:fldCharType="begin"/>
                          </w:r>
                          <w:r>
                            <w:instrText xml:space="preserve"> PAGE  \* MERGEFORMAT </w:instrText>
                          </w:r>
                          <w:r>
                            <w:fldChar w:fldCharType="separate"/>
                          </w:r>
                          <w:r>
                            <w:t>87</w:t>
                          </w:r>
                          <w:r>
                            <w:fldChar w:fldCharType="end"/>
                          </w:r>
                        </w:p>
                      </w:txbxContent>
                    </wps:txbx>
                    <wps:bodyPr vert="horz" wrap="none" lIns="0" tIns="0" rIns="0" bIns="0" anchor="t" anchorCtr="0" upright="0">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Ye9V8+cB&#10;AADKAwAADgAAAAAAAAABACAAAAAiAQAAZHJzL2Uyb0RvYy54bWxQSwUGAAAAAAYABgBZAQAAewUA&#10;AAAA&#10;">
              <v:fill on="f" focussize="0,0"/>
              <v:stroke on="f" weight="1.25pt"/>
              <v:imagedata o:title=""/>
              <o:lock v:ext="edit" aspectratio="f"/>
              <v:textbox inset="0mm,0mm,0mm,0mm" style="mso-fit-shape-to-text:t;">
                <w:txbxContent>
                  <w:p>
                    <w:pPr>
                      <w:pStyle w:val="41"/>
                    </w:pPr>
                    <w:r>
                      <w:fldChar w:fldCharType="begin"/>
                    </w:r>
                    <w:r>
                      <w:instrText xml:space="preserve"> PAGE  \* MERGEFORMAT </w:instrText>
                    </w:r>
                    <w:r>
                      <w:fldChar w:fldCharType="separate"/>
                    </w:r>
                    <w:r>
                      <w:t>87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snapToGrid/>
      <w:spacing w:before="0" w:after="0" w:line="240" w:lineRule="atLeast"/>
      <w:ind w:left="0" w:leftChars="0" w:firstLine="0" w:firstLineChars="0"/>
      <w:jc w:val="both"/>
      <w:textAlignment w:val="auto"/>
      <w:rPr>
        <w:rFonts w:hint="default"/>
        <w:lang w:val="en-US"/>
      </w:rPr>
    </w:pPr>
    <w:r>
      <w:rPr>
        <w:rFonts w:hint="eastAsia" w:ascii="楷体" w:hAnsi="楷体" w:eastAsia="楷体" w:cs="楷体"/>
        <w:color w:val="C00000"/>
        <w:sz w:val="36"/>
        <w:szCs w:val="36"/>
        <w:u w:val="thick" w:color="auto"/>
        <w:lang w:val="en-US" w:eastAsia="zh-CN"/>
      </w:rPr>
      <w:t xml:space="preserve"> </w:t>
    </w:r>
    <w:r>
      <w:rPr>
        <w:rFonts w:hint="eastAsia" w:ascii="楷体" w:hAnsi="楷体" w:eastAsia="楷体" w:cs="楷体"/>
        <w:color w:val="C00000"/>
        <w:sz w:val="36"/>
        <w:szCs w:val="36"/>
        <w:u w:val="thick" w:color="C9091E"/>
        <w:lang w:val="en-US" w:eastAsia="zh-CN"/>
      </w:rPr>
      <w:t xml:space="preserve">       </w:t>
    </w:r>
    <w:r>
      <w:rPr>
        <w:rFonts w:hint="eastAsia" w:ascii="楷体" w:hAnsi="楷体" w:eastAsia="楷体" w:cs="楷体"/>
        <w:color w:val="FF0000"/>
        <w:sz w:val="36"/>
        <w:szCs w:val="36"/>
        <w:u w:val="thick" w:color="C9091E"/>
        <w:lang w:val="en-US" w:eastAsia="zh-CN"/>
      </w:rPr>
      <w:t xml:space="preserve">                         </w:t>
    </w:r>
    <w:r>
      <w:rPr>
        <w:rFonts w:hint="eastAsia" w:ascii="楷体" w:hAnsi="楷体" w:eastAsia="楷体" w:cs="楷体"/>
        <w:color w:val="auto"/>
        <w:sz w:val="24"/>
        <w:szCs w:val="24"/>
        <w:u w:val="thick" w:color="C9091E"/>
        <w:lang w:val="en-US" w:eastAsia="zh-CN"/>
      </w:rPr>
      <w:t>温州市政府采购公开招标文件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tabs>
        <w:tab w:val="left" w:pos="2467"/>
      </w:tabs>
      <w:kinsoku/>
      <w:wordWrap/>
      <w:overflowPunct/>
      <w:topLinePunct w:val="0"/>
      <w:autoSpaceDE/>
      <w:autoSpaceDN/>
      <w:bidi w:val="0"/>
      <w:adjustRightInd/>
      <w:snapToGrid/>
      <w:spacing w:before="0" w:after="0" w:line="240" w:lineRule="atLeast"/>
      <w:ind w:left="0" w:leftChars="0" w:firstLine="0" w:firstLineChars="0"/>
      <w:textAlignment w:val="auto"/>
      <w:rPr>
        <w:rFonts w:hint="eastAsia" w:eastAsia="宋体"/>
        <w:sz w:val="20"/>
        <w:szCs w:val="22"/>
        <w:lang w:eastAsia="zh-CN"/>
      </w:rPr>
    </w:pPr>
    <w:r>
      <w:rPr>
        <w:rFonts w:hint="eastAsia"/>
        <w:sz w:val="20"/>
        <w:szCs w:val="22"/>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snapToGrid/>
      <w:spacing w:before="0" w:after="0" w:line="240" w:lineRule="atLeast"/>
      <w:ind w:left="0" w:leftChars="0" w:firstLine="0" w:firstLineChars="0"/>
      <w:jc w:val="both"/>
      <w:textAlignment w:val="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snapToGrid/>
      <w:spacing w:before="0" w:after="0" w:line="240" w:lineRule="atLeast"/>
      <w:ind w:left="0" w:leftChars="0" w:firstLine="0" w:firstLineChars="0"/>
      <w:jc w:val="both"/>
      <w:textAlignment w:val="auto"/>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9A7788"/>
    <w:multiLevelType w:val="singleLevel"/>
    <w:tmpl w:val="B39A7788"/>
    <w:lvl w:ilvl="0" w:tentative="0">
      <w:start w:val="4"/>
      <w:numFmt w:val="chineseCounting"/>
      <w:suff w:val="nothing"/>
      <w:lvlText w:val="%1、"/>
      <w:lvlJc w:val="left"/>
      <w:rPr>
        <w:rFonts w:hint="eastAsia"/>
      </w:rPr>
    </w:lvl>
  </w:abstractNum>
  <w:abstractNum w:abstractNumId="1">
    <w:nsid w:val="DBC5011F"/>
    <w:multiLevelType w:val="singleLevel"/>
    <w:tmpl w:val="DBC5011F"/>
    <w:lvl w:ilvl="0" w:tentative="0">
      <w:start w:val="3"/>
      <w:numFmt w:val="decimal"/>
      <w:lvlText w:val="%1."/>
      <w:lvlJc w:val="left"/>
      <w:pPr>
        <w:tabs>
          <w:tab w:val="left" w:pos="312"/>
        </w:tabs>
      </w:pPr>
    </w:lvl>
  </w:abstractNum>
  <w:abstractNum w:abstractNumId="2">
    <w:nsid w:val="F6CE8F93"/>
    <w:multiLevelType w:val="singleLevel"/>
    <w:tmpl w:val="F6CE8F93"/>
    <w:lvl w:ilvl="0" w:tentative="0">
      <w:start w:val="1"/>
      <w:numFmt w:val="decimalEnclosedCircleChinese"/>
      <w:suff w:val="nothing"/>
      <w:lvlText w:val="%1　"/>
      <w:lvlJc w:val="left"/>
      <w:pPr>
        <w:ind w:left="0" w:firstLine="400"/>
      </w:pPr>
      <w:rPr>
        <w:rFonts w:hint="eastAsia"/>
      </w:rPr>
    </w:lvl>
  </w:abstractNum>
  <w:abstractNum w:abstractNumId="3">
    <w:nsid w:val="152756F7"/>
    <w:multiLevelType w:val="singleLevel"/>
    <w:tmpl w:val="152756F7"/>
    <w:lvl w:ilvl="0" w:tentative="0">
      <w:start w:val="2"/>
      <w:numFmt w:val="chineseCounting"/>
      <w:suff w:val="space"/>
      <w:lvlText w:val="第%1部分"/>
      <w:lvlJc w:val="left"/>
      <w:rPr>
        <w:rFonts w:hint="eastAsia"/>
      </w:rPr>
    </w:lvl>
  </w:abstractNum>
  <w:abstractNum w:abstractNumId="4">
    <w:nsid w:val="175F3FBE"/>
    <w:multiLevelType w:val="multilevel"/>
    <w:tmpl w:val="175F3FBE"/>
    <w:lvl w:ilvl="0" w:tentative="0">
      <w:start w:val="1"/>
      <w:numFmt w:val="decimal"/>
      <w:lvlText w:val="%1)"/>
      <w:lvlJc w:val="left"/>
      <w:pPr>
        <w:ind w:left="823" w:hanging="420"/>
      </w:pPr>
    </w:lvl>
    <w:lvl w:ilvl="1" w:tentative="0">
      <w:start w:val="1"/>
      <w:numFmt w:val="lowerLetter"/>
      <w:lvlText w:val="%2)"/>
      <w:lvlJc w:val="left"/>
      <w:pPr>
        <w:ind w:left="1243" w:hanging="420"/>
      </w:pPr>
    </w:lvl>
    <w:lvl w:ilvl="2" w:tentative="0">
      <w:start w:val="1"/>
      <w:numFmt w:val="lowerRoman"/>
      <w:lvlText w:val="%3."/>
      <w:lvlJc w:val="right"/>
      <w:pPr>
        <w:ind w:left="1663" w:hanging="420"/>
      </w:pPr>
    </w:lvl>
    <w:lvl w:ilvl="3" w:tentative="0">
      <w:start w:val="1"/>
      <w:numFmt w:val="decimal"/>
      <w:lvlText w:val="%4."/>
      <w:lvlJc w:val="left"/>
      <w:pPr>
        <w:ind w:left="2083" w:hanging="420"/>
      </w:pPr>
    </w:lvl>
    <w:lvl w:ilvl="4" w:tentative="0">
      <w:start w:val="1"/>
      <w:numFmt w:val="lowerLetter"/>
      <w:lvlText w:val="%5)"/>
      <w:lvlJc w:val="left"/>
      <w:pPr>
        <w:ind w:left="2503" w:hanging="420"/>
      </w:pPr>
    </w:lvl>
    <w:lvl w:ilvl="5" w:tentative="0">
      <w:start w:val="1"/>
      <w:numFmt w:val="lowerRoman"/>
      <w:lvlText w:val="%6."/>
      <w:lvlJc w:val="right"/>
      <w:pPr>
        <w:ind w:left="2923" w:hanging="420"/>
      </w:pPr>
    </w:lvl>
    <w:lvl w:ilvl="6" w:tentative="0">
      <w:start w:val="1"/>
      <w:numFmt w:val="decimal"/>
      <w:lvlText w:val="%7."/>
      <w:lvlJc w:val="left"/>
      <w:pPr>
        <w:ind w:left="3343" w:hanging="420"/>
      </w:pPr>
    </w:lvl>
    <w:lvl w:ilvl="7" w:tentative="0">
      <w:start w:val="1"/>
      <w:numFmt w:val="lowerLetter"/>
      <w:lvlText w:val="%8)"/>
      <w:lvlJc w:val="left"/>
      <w:pPr>
        <w:ind w:left="3763" w:hanging="420"/>
      </w:pPr>
    </w:lvl>
    <w:lvl w:ilvl="8" w:tentative="0">
      <w:start w:val="1"/>
      <w:numFmt w:val="lowerRoman"/>
      <w:lvlText w:val="%9."/>
      <w:lvlJc w:val="right"/>
      <w:pPr>
        <w:ind w:left="4183" w:hanging="420"/>
      </w:pPr>
    </w:lvl>
  </w:abstractNum>
  <w:abstractNum w:abstractNumId="5">
    <w:nsid w:val="1B9D1E8B"/>
    <w:multiLevelType w:val="multilevel"/>
    <w:tmpl w:val="1B9D1E8B"/>
    <w:lvl w:ilvl="0" w:tentative="0">
      <w:start w:val="1"/>
      <w:numFmt w:val="decimal"/>
      <w:suff w:val="nothing"/>
      <w:lvlText w:val="（%1）"/>
      <w:lvlJc w:val="left"/>
      <w:pPr>
        <w:ind w:left="114" w:hanging="612"/>
      </w:pPr>
      <w:rPr>
        <w:rFonts w:hint="default" w:ascii="仿宋" w:hAnsi="仿宋" w:eastAsia="仿宋" w:cs="仿宋"/>
        <w:b/>
        <w:bCs/>
        <w:spacing w:val="2"/>
        <w:w w:val="99"/>
        <w:sz w:val="22"/>
        <w:szCs w:val="22"/>
        <w:lang w:val="en-US" w:eastAsia="zh-CN" w:bidi="ar-SA"/>
      </w:rPr>
    </w:lvl>
    <w:lvl w:ilvl="1" w:tentative="0">
      <w:start w:val="0"/>
      <w:numFmt w:val="bullet"/>
      <w:lvlText w:val="•"/>
      <w:lvlJc w:val="left"/>
      <w:pPr>
        <w:ind w:left="722" w:hanging="612"/>
      </w:pPr>
      <w:rPr>
        <w:rFonts w:hint="default"/>
        <w:lang w:val="en-US" w:eastAsia="zh-CN" w:bidi="ar-SA"/>
      </w:rPr>
    </w:lvl>
    <w:lvl w:ilvl="2" w:tentative="0">
      <w:start w:val="0"/>
      <w:numFmt w:val="bullet"/>
      <w:lvlText w:val="•"/>
      <w:lvlJc w:val="left"/>
      <w:pPr>
        <w:ind w:left="1325" w:hanging="612"/>
      </w:pPr>
      <w:rPr>
        <w:rFonts w:hint="default"/>
        <w:lang w:val="en-US" w:eastAsia="zh-CN" w:bidi="ar-SA"/>
      </w:rPr>
    </w:lvl>
    <w:lvl w:ilvl="3" w:tentative="0">
      <w:start w:val="0"/>
      <w:numFmt w:val="bullet"/>
      <w:lvlText w:val="•"/>
      <w:lvlJc w:val="left"/>
      <w:pPr>
        <w:ind w:left="1927" w:hanging="612"/>
      </w:pPr>
      <w:rPr>
        <w:rFonts w:hint="default"/>
        <w:lang w:val="en-US" w:eastAsia="zh-CN" w:bidi="ar-SA"/>
      </w:rPr>
    </w:lvl>
    <w:lvl w:ilvl="4" w:tentative="0">
      <w:start w:val="0"/>
      <w:numFmt w:val="bullet"/>
      <w:lvlText w:val="•"/>
      <w:lvlJc w:val="left"/>
      <w:pPr>
        <w:ind w:left="2530" w:hanging="612"/>
      </w:pPr>
      <w:rPr>
        <w:rFonts w:hint="default"/>
        <w:lang w:val="en-US" w:eastAsia="zh-CN" w:bidi="ar-SA"/>
      </w:rPr>
    </w:lvl>
    <w:lvl w:ilvl="5" w:tentative="0">
      <w:start w:val="0"/>
      <w:numFmt w:val="bullet"/>
      <w:lvlText w:val="•"/>
      <w:lvlJc w:val="left"/>
      <w:pPr>
        <w:ind w:left="3132" w:hanging="612"/>
      </w:pPr>
      <w:rPr>
        <w:rFonts w:hint="default"/>
        <w:lang w:val="en-US" w:eastAsia="zh-CN" w:bidi="ar-SA"/>
      </w:rPr>
    </w:lvl>
    <w:lvl w:ilvl="6" w:tentative="0">
      <w:start w:val="0"/>
      <w:numFmt w:val="bullet"/>
      <w:lvlText w:val="•"/>
      <w:lvlJc w:val="left"/>
      <w:pPr>
        <w:ind w:left="3735" w:hanging="612"/>
      </w:pPr>
      <w:rPr>
        <w:rFonts w:hint="default"/>
        <w:lang w:val="en-US" w:eastAsia="zh-CN" w:bidi="ar-SA"/>
      </w:rPr>
    </w:lvl>
    <w:lvl w:ilvl="7" w:tentative="0">
      <w:start w:val="0"/>
      <w:numFmt w:val="bullet"/>
      <w:lvlText w:val="•"/>
      <w:lvlJc w:val="left"/>
      <w:pPr>
        <w:ind w:left="4337" w:hanging="612"/>
      </w:pPr>
      <w:rPr>
        <w:rFonts w:hint="default"/>
        <w:lang w:val="en-US" w:eastAsia="zh-CN" w:bidi="ar-SA"/>
      </w:rPr>
    </w:lvl>
    <w:lvl w:ilvl="8" w:tentative="0">
      <w:start w:val="0"/>
      <w:numFmt w:val="bullet"/>
      <w:lvlText w:val="•"/>
      <w:lvlJc w:val="left"/>
      <w:pPr>
        <w:ind w:left="4940" w:hanging="612"/>
      </w:pPr>
      <w:rPr>
        <w:rFonts w:hint="default"/>
        <w:lang w:val="en-US" w:eastAsia="zh-CN" w:bidi="ar-SA"/>
      </w:rPr>
    </w:lvl>
  </w:abstractNum>
  <w:abstractNum w:abstractNumId="6">
    <w:nsid w:val="3D6C4FE6"/>
    <w:multiLevelType w:val="singleLevel"/>
    <w:tmpl w:val="3D6C4FE6"/>
    <w:lvl w:ilvl="0" w:tentative="0">
      <w:start w:val="7"/>
      <w:numFmt w:val="decimal"/>
      <w:suff w:val="nothing"/>
      <w:lvlText w:val="%1、"/>
      <w:lvlJc w:val="left"/>
    </w:lvl>
  </w:abstractNum>
  <w:abstractNum w:abstractNumId="7">
    <w:nsid w:val="4BF5AC26"/>
    <w:multiLevelType w:val="singleLevel"/>
    <w:tmpl w:val="4BF5AC26"/>
    <w:lvl w:ilvl="0" w:tentative="0">
      <w:start w:val="1"/>
      <w:numFmt w:val="decimal"/>
      <w:suff w:val="nothing"/>
      <w:lvlText w:val="%1、"/>
      <w:lvlJc w:val="left"/>
    </w:lvl>
  </w:abstractNum>
  <w:abstractNum w:abstractNumId="8">
    <w:nsid w:val="56B4DD29"/>
    <w:multiLevelType w:val="singleLevel"/>
    <w:tmpl w:val="56B4DD29"/>
    <w:lvl w:ilvl="0" w:tentative="0">
      <w:start w:val="1"/>
      <w:numFmt w:val="chineseCounting"/>
      <w:suff w:val="space"/>
      <w:lvlText w:val="第%1条"/>
      <w:lvlJc w:val="left"/>
      <w:rPr>
        <w:rFonts w:hint="eastAsia"/>
      </w:rPr>
    </w:lvl>
  </w:abstractNum>
  <w:abstractNum w:abstractNumId="9">
    <w:nsid w:val="58B55C79"/>
    <w:multiLevelType w:val="singleLevel"/>
    <w:tmpl w:val="58B55C79"/>
    <w:lvl w:ilvl="0" w:tentative="0">
      <w:start w:val="1"/>
      <w:numFmt w:val="decimal"/>
      <w:suff w:val="nothing"/>
      <w:lvlText w:val="（%1）"/>
      <w:lvlJc w:val="left"/>
    </w:lvl>
  </w:abstractNum>
  <w:abstractNum w:abstractNumId="10">
    <w:nsid w:val="6D91EDAE"/>
    <w:multiLevelType w:val="singleLevel"/>
    <w:tmpl w:val="6D91EDAE"/>
    <w:lvl w:ilvl="0" w:tentative="0">
      <w:start w:val="2"/>
      <w:numFmt w:val="decimal"/>
      <w:suff w:val="nothing"/>
      <w:lvlText w:val="（%1）"/>
      <w:lvlJc w:val="left"/>
    </w:lvl>
  </w:abstractNum>
  <w:abstractNum w:abstractNumId="11">
    <w:nsid w:val="6DD766F6"/>
    <w:multiLevelType w:val="singleLevel"/>
    <w:tmpl w:val="6DD766F6"/>
    <w:lvl w:ilvl="0" w:tentative="0">
      <w:start w:val="7"/>
      <w:numFmt w:val="chineseCounting"/>
      <w:suff w:val="space"/>
      <w:lvlText w:val="第%1条"/>
      <w:lvlJc w:val="left"/>
      <w:rPr>
        <w:rFonts w:hint="eastAsia"/>
      </w:rPr>
    </w:lvl>
  </w:abstractNum>
  <w:num w:numId="1">
    <w:abstractNumId w:val="1"/>
  </w:num>
  <w:num w:numId="2">
    <w:abstractNumId w:val="3"/>
  </w:num>
  <w:num w:numId="3">
    <w:abstractNumId w:val="10"/>
  </w:num>
  <w:num w:numId="4">
    <w:abstractNumId w:val="5"/>
  </w:num>
  <w:num w:numId="5">
    <w:abstractNumId w:val="0"/>
  </w:num>
  <w:num w:numId="6">
    <w:abstractNumId w:val="4"/>
  </w:num>
  <w:num w:numId="7">
    <w:abstractNumId w:val="7"/>
  </w:num>
  <w:num w:numId="8">
    <w:abstractNumId w:val="8"/>
  </w:num>
  <w:num w:numId="9">
    <w:abstractNumId w:val="11"/>
  </w:num>
  <w:num w:numId="10">
    <w:abstractNumId w:val="6"/>
  </w:num>
  <w:num w:numId="11">
    <w:abstractNumId w:val="2"/>
  </w:num>
  <w:num w:numId="1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3YTkzMTU2MDE2OTBmYTk1ZmE0NTY1ZTczZjNhNjk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0565"/>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BCA"/>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162"/>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383874"/>
    <w:rsid w:val="026B2E25"/>
    <w:rsid w:val="02824D4D"/>
    <w:rsid w:val="028C3D71"/>
    <w:rsid w:val="02DC4B10"/>
    <w:rsid w:val="02DD76CE"/>
    <w:rsid w:val="02E31351"/>
    <w:rsid w:val="02F36323"/>
    <w:rsid w:val="02F5619C"/>
    <w:rsid w:val="0326446A"/>
    <w:rsid w:val="03271650"/>
    <w:rsid w:val="032D5555"/>
    <w:rsid w:val="036634D2"/>
    <w:rsid w:val="03DD35E4"/>
    <w:rsid w:val="04076900"/>
    <w:rsid w:val="041A5A3B"/>
    <w:rsid w:val="042311BA"/>
    <w:rsid w:val="042B157A"/>
    <w:rsid w:val="0436058B"/>
    <w:rsid w:val="047C4692"/>
    <w:rsid w:val="048F763B"/>
    <w:rsid w:val="049F330E"/>
    <w:rsid w:val="04AA775C"/>
    <w:rsid w:val="04AF1889"/>
    <w:rsid w:val="04F66F48"/>
    <w:rsid w:val="05251E14"/>
    <w:rsid w:val="054A2CD9"/>
    <w:rsid w:val="05A16594"/>
    <w:rsid w:val="05A7762D"/>
    <w:rsid w:val="060E5941"/>
    <w:rsid w:val="06110FAF"/>
    <w:rsid w:val="06493CA7"/>
    <w:rsid w:val="065A6178"/>
    <w:rsid w:val="066F1CF3"/>
    <w:rsid w:val="06930BB8"/>
    <w:rsid w:val="07245D42"/>
    <w:rsid w:val="07264C62"/>
    <w:rsid w:val="0779354C"/>
    <w:rsid w:val="07902008"/>
    <w:rsid w:val="08061376"/>
    <w:rsid w:val="08452D77"/>
    <w:rsid w:val="086401F8"/>
    <w:rsid w:val="08751CAA"/>
    <w:rsid w:val="087E4C40"/>
    <w:rsid w:val="08D60F66"/>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70FAE"/>
    <w:rsid w:val="0A5B7E63"/>
    <w:rsid w:val="0AA374A5"/>
    <w:rsid w:val="0AAB7649"/>
    <w:rsid w:val="0ABC5606"/>
    <w:rsid w:val="0B30404E"/>
    <w:rsid w:val="0B4C6C14"/>
    <w:rsid w:val="0B6208F9"/>
    <w:rsid w:val="0B631A88"/>
    <w:rsid w:val="0B683D45"/>
    <w:rsid w:val="0B7F3F11"/>
    <w:rsid w:val="0B884417"/>
    <w:rsid w:val="0BF6188C"/>
    <w:rsid w:val="0BF73C91"/>
    <w:rsid w:val="0C170175"/>
    <w:rsid w:val="0C5526EF"/>
    <w:rsid w:val="0C571A41"/>
    <w:rsid w:val="0C5C1171"/>
    <w:rsid w:val="0C5E1CBC"/>
    <w:rsid w:val="0C615B50"/>
    <w:rsid w:val="0C721E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BE6938"/>
    <w:rsid w:val="10C26171"/>
    <w:rsid w:val="10F33360"/>
    <w:rsid w:val="10FC16EA"/>
    <w:rsid w:val="110F1D40"/>
    <w:rsid w:val="11266F33"/>
    <w:rsid w:val="112E2092"/>
    <w:rsid w:val="118963A1"/>
    <w:rsid w:val="11C6522A"/>
    <w:rsid w:val="11E104CC"/>
    <w:rsid w:val="11E20309"/>
    <w:rsid w:val="11F87AB8"/>
    <w:rsid w:val="12255233"/>
    <w:rsid w:val="12530213"/>
    <w:rsid w:val="127723A9"/>
    <w:rsid w:val="12862074"/>
    <w:rsid w:val="12883966"/>
    <w:rsid w:val="129E45B4"/>
    <w:rsid w:val="12D81596"/>
    <w:rsid w:val="12FD27F6"/>
    <w:rsid w:val="13072A44"/>
    <w:rsid w:val="135F4BE2"/>
    <w:rsid w:val="137C4750"/>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BA4EE3"/>
    <w:rsid w:val="17D349C1"/>
    <w:rsid w:val="1830729E"/>
    <w:rsid w:val="1870062C"/>
    <w:rsid w:val="18817102"/>
    <w:rsid w:val="18830A15"/>
    <w:rsid w:val="18852B28"/>
    <w:rsid w:val="188B5321"/>
    <w:rsid w:val="198D16D0"/>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AA299A"/>
    <w:rsid w:val="1BB4777D"/>
    <w:rsid w:val="1BD75AB8"/>
    <w:rsid w:val="1C0459C2"/>
    <w:rsid w:val="1C1B3B4A"/>
    <w:rsid w:val="1C88086E"/>
    <w:rsid w:val="1D266CE1"/>
    <w:rsid w:val="1D3963AF"/>
    <w:rsid w:val="1D6A673C"/>
    <w:rsid w:val="1D9247AE"/>
    <w:rsid w:val="1DB567EC"/>
    <w:rsid w:val="1DC803B3"/>
    <w:rsid w:val="1DF51A98"/>
    <w:rsid w:val="1E3D060F"/>
    <w:rsid w:val="1E3F7D2E"/>
    <w:rsid w:val="1E4134E4"/>
    <w:rsid w:val="1E5062B3"/>
    <w:rsid w:val="1E523514"/>
    <w:rsid w:val="1E6C7B3A"/>
    <w:rsid w:val="1E714A66"/>
    <w:rsid w:val="1E802593"/>
    <w:rsid w:val="1EA703CC"/>
    <w:rsid w:val="1EB7330C"/>
    <w:rsid w:val="1F0A0FF3"/>
    <w:rsid w:val="1F5771FF"/>
    <w:rsid w:val="1FE868A9"/>
    <w:rsid w:val="20034907"/>
    <w:rsid w:val="20173E4B"/>
    <w:rsid w:val="204E48BC"/>
    <w:rsid w:val="208921B3"/>
    <w:rsid w:val="20973DEB"/>
    <w:rsid w:val="20B26522"/>
    <w:rsid w:val="20B44310"/>
    <w:rsid w:val="20FE724F"/>
    <w:rsid w:val="211116EB"/>
    <w:rsid w:val="216133FC"/>
    <w:rsid w:val="21D56769"/>
    <w:rsid w:val="21E52EF3"/>
    <w:rsid w:val="21FB5D7B"/>
    <w:rsid w:val="220B1C3D"/>
    <w:rsid w:val="221D1D20"/>
    <w:rsid w:val="22334A87"/>
    <w:rsid w:val="22585384"/>
    <w:rsid w:val="22BE6801"/>
    <w:rsid w:val="231A1364"/>
    <w:rsid w:val="233500BF"/>
    <w:rsid w:val="23377FF7"/>
    <w:rsid w:val="235345C0"/>
    <w:rsid w:val="2362069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4F958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837F2"/>
    <w:rsid w:val="294C65AD"/>
    <w:rsid w:val="29806583"/>
    <w:rsid w:val="298B3C4C"/>
    <w:rsid w:val="29CF4CD2"/>
    <w:rsid w:val="29F26D24"/>
    <w:rsid w:val="2A15033F"/>
    <w:rsid w:val="2A1662C1"/>
    <w:rsid w:val="2A1C7367"/>
    <w:rsid w:val="2A2815FA"/>
    <w:rsid w:val="2A6D6092"/>
    <w:rsid w:val="2A7D76B4"/>
    <w:rsid w:val="2ADB73E3"/>
    <w:rsid w:val="2AF74D8B"/>
    <w:rsid w:val="2B437463"/>
    <w:rsid w:val="2B7807EE"/>
    <w:rsid w:val="2B976C05"/>
    <w:rsid w:val="2BBF00EC"/>
    <w:rsid w:val="2BC37CFD"/>
    <w:rsid w:val="2BD5237F"/>
    <w:rsid w:val="2BE536CE"/>
    <w:rsid w:val="2BE758D9"/>
    <w:rsid w:val="2C09049E"/>
    <w:rsid w:val="2C0A653C"/>
    <w:rsid w:val="2C191F85"/>
    <w:rsid w:val="2C336B7F"/>
    <w:rsid w:val="2CE82D6F"/>
    <w:rsid w:val="2D343236"/>
    <w:rsid w:val="2DD15014"/>
    <w:rsid w:val="2DF72DE4"/>
    <w:rsid w:val="2E0220AF"/>
    <w:rsid w:val="2E4B082A"/>
    <w:rsid w:val="2E5D4E86"/>
    <w:rsid w:val="2E5D790B"/>
    <w:rsid w:val="2E695641"/>
    <w:rsid w:val="2E9A3C18"/>
    <w:rsid w:val="2EBB0FEE"/>
    <w:rsid w:val="2EC63002"/>
    <w:rsid w:val="2EFF76CA"/>
    <w:rsid w:val="2F0A6B38"/>
    <w:rsid w:val="2F8D2B1D"/>
    <w:rsid w:val="2F946CCB"/>
    <w:rsid w:val="2FD25781"/>
    <w:rsid w:val="2FFD7934"/>
    <w:rsid w:val="30733ACD"/>
    <w:rsid w:val="308C3862"/>
    <w:rsid w:val="309379D8"/>
    <w:rsid w:val="30A270F7"/>
    <w:rsid w:val="30DF1478"/>
    <w:rsid w:val="30EC586F"/>
    <w:rsid w:val="319C6071"/>
    <w:rsid w:val="31AC537E"/>
    <w:rsid w:val="31E3679B"/>
    <w:rsid w:val="31E732FD"/>
    <w:rsid w:val="3251507D"/>
    <w:rsid w:val="32517576"/>
    <w:rsid w:val="32BE5C2C"/>
    <w:rsid w:val="32FB6478"/>
    <w:rsid w:val="33263B3F"/>
    <w:rsid w:val="333C3FC5"/>
    <w:rsid w:val="3351345A"/>
    <w:rsid w:val="336963EB"/>
    <w:rsid w:val="33816EEB"/>
    <w:rsid w:val="33EB55CD"/>
    <w:rsid w:val="33EC4C02"/>
    <w:rsid w:val="340D2360"/>
    <w:rsid w:val="3410665D"/>
    <w:rsid w:val="34211214"/>
    <w:rsid w:val="342E63AB"/>
    <w:rsid w:val="34533A5D"/>
    <w:rsid w:val="34950E68"/>
    <w:rsid w:val="34986E94"/>
    <w:rsid w:val="34AF62C9"/>
    <w:rsid w:val="34CB4388"/>
    <w:rsid w:val="34FA6E12"/>
    <w:rsid w:val="355B5373"/>
    <w:rsid w:val="358D5588"/>
    <w:rsid w:val="363A3B40"/>
    <w:rsid w:val="365302AE"/>
    <w:rsid w:val="36607A0A"/>
    <w:rsid w:val="366E227C"/>
    <w:rsid w:val="366F2E0D"/>
    <w:rsid w:val="367B6A5C"/>
    <w:rsid w:val="36A74ADA"/>
    <w:rsid w:val="36AD60D5"/>
    <w:rsid w:val="36B224F9"/>
    <w:rsid w:val="36EC0CC9"/>
    <w:rsid w:val="37064040"/>
    <w:rsid w:val="373F410B"/>
    <w:rsid w:val="37EE7094"/>
    <w:rsid w:val="380C316B"/>
    <w:rsid w:val="38296C89"/>
    <w:rsid w:val="383002EB"/>
    <w:rsid w:val="38586797"/>
    <w:rsid w:val="38992A91"/>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CF64245"/>
    <w:rsid w:val="3D221CF0"/>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A441BD"/>
    <w:rsid w:val="40C31A53"/>
    <w:rsid w:val="40F331E0"/>
    <w:rsid w:val="40FF545D"/>
    <w:rsid w:val="410067C8"/>
    <w:rsid w:val="418E5604"/>
    <w:rsid w:val="418F0D2A"/>
    <w:rsid w:val="41D01505"/>
    <w:rsid w:val="41FE0D9C"/>
    <w:rsid w:val="42474939"/>
    <w:rsid w:val="424C3C57"/>
    <w:rsid w:val="42613FF3"/>
    <w:rsid w:val="42660D96"/>
    <w:rsid w:val="428667D2"/>
    <w:rsid w:val="42A5582B"/>
    <w:rsid w:val="42CD1CE0"/>
    <w:rsid w:val="42E07F4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506A4"/>
    <w:rsid w:val="466A16E6"/>
    <w:rsid w:val="467B0944"/>
    <w:rsid w:val="46893F2B"/>
    <w:rsid w:val="46C4686E"/>
    <w:rsid w:val="47370EBF"/>
    <w:rsid w:val="477361EE"/>
    <w:rsid w:val="477B778F"/>
    <w:rsid w:val="478203EC"/>
    <w:rsid w:val="47B025FA"/>
    <w:rsid w:val="4809698F"/>
    <w:rsid w:val="4811697D"/>
    <w:rsid w:val="48677121"/>
    <w:rsid w:val="487A3E25"/>
    <w:rsid w:val="488B5503"/>
    <w:rsid w:val="48937E21"/>
    <w:rsid w:val="489A0361"/>
    <w:rsid w:val="48B94FF3"/>
    <w:rsid w:val="48E37AAB"/>
    <w:rsid w:val="48FD4B4C"/>
    <w:rsid w:val="490A68E0"/>
    <w:rsid w:val="491055FE"/>
    <w:rsid w:val="494D56FB"/>
    <w:rsid w:val="495F5B3E"/>
    <w:rsid w:val="496F77D7"/>
    <w:rsid w:val="497654FD"/>
    <w:rsid w:val="49B64211"/>
    <w:rsid w:val="49CA21C1"/>
    <w:rsid w:val="49F6167F"/>
    <w:rsid w:val="4A064FA0"/>
    <w:rsid w:val="4A16615C"/>
    <w:rsid w:val="4A4424D7"/>
    <w:rsid w:val="4A770446"/>
    <w:rsid w:val="4A9B4D6F"/>
    <w:rsid w:val="4AB82D0F"/>
    <w:rsid w:val="4AEB7664"/>
    <w:rsid w:val="4AFD7C19"/>
    <w:rsid w:val="4B0567D1"/>
    <w:rsid w:val="4B236AAE"/>
    <w:rsid w:val="4B502C65"/>
    <w:rsid w:val="4B707271"/>
    <w:rsid w:val="4B7101F9"/>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31E00"/>
    <w:rsid w:val="50FA4028"/>
    <w:rsid w:val="510D65B7"/>
    <w:rsid w:val="511157AB"/>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566820"/>
    <w:rsid w:val="54605E1E"/>
    <w:rsid w:val="546935F0"/>
    <w:rsid w:val="54B3506A"/>
    <w:rsid w:val="54CA0D16"/>
    <w:rsid w:val="54DD4057"/>
    <w:rsid w:val="54E7490F"/>
    <w:rsid w:val="55006BAB"/>
    <w:rsid w:val="550764A4"/>
    <w:rsid w:val="550B2BF6"/>
    <w:rsid w:val="55214EB5"/>
    <w:rsid w:val="55250D9C"/>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2855AB"/>
    <w:rsid w:val="5881576E"/>
    <w:rsid w:val="58917D2F"/>
    <w:rsid w:val="5894085C"/>
    <w:rsid w:val="58A208FB"/>
    <w:rsid w:val="58AE4F0C"/>
    <w:rsid w:val="58B85899"/>
    <w:rsid w:val="58E363A9"/>
    <w:rsid w:val="5912283C"/>
    <w:rsid w:val="595E1678"/>
    <w:rsid w:val="596D5BD4"/>
    <w:rsid w:val="597E3DD8"/>
    <w:rsid w:val="59E02540"/>
    <w:rsid w:val="59F80043"/>
    <w:rsid w:val="5A09252F"/>
    <w:rsid w:val="5A0B2778"/>
    <w:rsid w:val="5A2A7C7B"/>
    <w:rsid w:val="5A3E2560"/>
    <w:rsid w:val="5A5D3B6E"/>
    <w:rsid w:val="5A637A76"/>
    <w:rsid w:val="5A6D33BA"/>
    <w:rsid w:val="5A792B1F"/>
    <w:rsid w:val="5A874767"/>
    <w:rsid w:val="5AAD6F28"/>
    <w:rsid w:val="5AD63A24"/>
    <w:rsid w:val="5B267382"/>
    <w:rsid w:val="5B2E1A1D"/>
    <w:rsid w:val="5B843A1C"/>
    <w:rsid w:val="5B873E3F"/>
    <w:rsid w:val="5C02690E"/>
    <w:rsid w:val="5C196DA7"/>
    <w:rsid w:val="5C2A048C"/>
    <w:rsid w:val="5C80234E"/>
    <w:rsid w:val="5C8A680C"/>
    <w:rsid w:val="5CF36B1C"/>
    <w:rsid w:val="5D0C4701"/>
    <w:rsid w:val="5D0F0395"/>
    <w:rsid w:val="5D221076"/>
    <w:rsid w:val="5D397964"/>
    <w:rsid w:val="5D5A391C"/>
    <w:rsid w:val="5D5F10C0"/>
    <w:rsid w:val="5D634B0E"/>
    <w:rsid w:val="5D891B7B"/>
    <w:rsid w:val="5DAD38EE"/>
    <w:rsid w:val="5E006862"/>
    <w:rsid w:val="5E0207B9"/>
    <w:rsid w:val="5E1834A1"/>
    <w:rsid w:val="5E261785"/>
    <w:rsid w:val="5E4A7017"/>
    <w:rsid w:val="5E552BBA"/>
    <w:rsid w:val="5E611C10"/>
    <w:rsid w:val="5ECE4ECA"/>
    <w:rsid w:val="5EFC7377"/>
    <w:rsid w:val="5F06174D"/>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760D1A"/>
    <w:rsid w:val="6182292A"/>
    <w:rsid w:val="619F7F92"/>
    <w:rsid w:val="61F94C26"/>
    <w:rsid w:val="62000E56"/>
    <w:rsid w:val="624F3E49"/>
    <w:rsid w:val="62632286"/>
    <w:rsid w:val="626B6209"/>
    <w:rsid w:val="62885958"/>
    <w:rsid w:val="62EF6021"/>
    <w:rsid w:val="62F40B65"/>
    <w:rsid w:val="62FC2CFE"/>
    <w:rsid w:val="63024505"/>
    <w:rsid w:val="635B1DB5"/>
    <w:rsid w:val="63711FED"/>
    <w:rsid w:val="63880DDC"/>
    <w:rsid w:val="638D750D"/>
    <w:rsid w:val="63AC6CC0"/>
    <w:rsid w:val="64055776"/>
    <w:rsid w:val="64240056"/>
    <w:rsid w:val="643E143A"/>
    <w:rsid w:val="648B6EEF"/>
    <w:rsid w:val="64C158BF"/>
    <w:rsid w:val="64CE2EAA"/>
    <w:rsid w:val="65025EB4"/>
    <w:rsid w:val="652F1F4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52ADB"/>
    <w:rsid w:val="693E15D3"/>
    <w:rsid w:val="69492930"/>
    <w:rsid w:val="69627681"/>
    <w:rsid w:val="6977531D"/>
    <w:rsid w:val="697B2927"/>
    <w:rsid w:val="69CC2BFF"/>
    <w:rsid w:val="69FD55B8"/>
    <w:rsid w:val="6A0B1C62"/>
    <w:rsid w:val="6A0C03B6"/>
    <w:rsid w:val="6A2406C8"/>
    <w:rsid w:val="6ADE0BD1"/>
    <w:rsid w:val="6AE96859"/>
    <w:rsid w:val="6B147746"/>
    <w:rsid w:val="6B24787C"/>
    <w:rsid w:val="6B573233"/>
    <w:rsid w:val="6B5B6274"/>
    <w:rsid w:val="6B935D53"/>
    <w:rsid w:val="6C196F71"/>
    <w:rsid w:val="6C226FCB"/>
    <w:rsid w:val="6C31226F"/>
    <w:rsid w:val="6C552F0B"/>
    <w:rsid w:val="6C7575F8"/>
    <w:rsid w:val="6C8C67B7"/>
    <w:rsid w:val="6C9D744C"/>
    <w:rsid w:val="6D167928"/>
    <w:rsid w:val="6D26299B"/>
    <w:rsid w:val="6D4772EC"/>
    <w:rsid w:val="6D9078AF"/>
    <w:rsid w:val="6DAA3FEF"/>
    <w:rsid w:val="6DC0172B"/>
    <w:rsid w:val="6DCB690C"/>
    <w:rsid w:val="6DD41A5B"/>
    <w:rsid w:val="6DE617BB"/>
    <w:rsid w:val="6DEB08BB"/>
    <w:rsid w:val="6DF43C2E"/>
    <w:rsid w:val="6DF51CA3"/>
    <w:rsid w:val="6E8335BD"/>
    <w:rsid w:val="6E8E12EF"/>
    <w:rsid w:val="6E972936"/>
    <w:rsid w:val="6ED446C5"/>
    <w:rsid w:val="6F2A7D94"/>
    <w:rsid w:val="6F8331F1"/>
    <w:rsid w:val="6FAE1A09"/>
    <w:rsid w:val="6FD75BF8"/>
    <w:rsid w:val="707723D0"/>
    <w:rsid w:val="70F5661B"/>
    <w:rsid w:val="70FF235F"/>
    <w:rsid w:val="71125911"/>
    <w:rsid w:val="712A1073"/>
    <w:rsid w:val="71360107"/>
    <w:rsid w:val="713B688E"/>
    <w:rsid w:val="71B57345"/>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41BBE"/>
    <w:rsid w:val="749C4185"/>
    <w:rsid w:val="74AB2978"/>
    <w:rsid w:val="75067759"/>
    <w:rsid w:val="752E6DCD"/>
    <w:rsid w:val="7551380D"/>
    <w:rsid w:val="75600BE5"/>
    <w:rsid w:val="7564475C"/>
    <w:rsid w:val="7583797F"/>
    <w:rsid w:val="75BA23D0"/>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B359AD"/>
    <w:rsid w:val="78E172CC"/>
    <w:rsid w:val="78EA1D1F"/>
    <w:rsid w:val="78F307F1"/>
    <w:rsid w:val="7904172F"/>
    <w:rsid w:val="790F7E27"/>
    <w:rsid w:val="7919669B"/>
    <w:rsid w:val="792A231A"/>
    <w:rsid w:val="79316829"/>
    <w:rsid w:val="797E66A9"/>
    <w:rsid w:val="79A97383"/>
    <w:rsid w:val="79E27E8B"/>
    <w:rsid w:val="79F75532"/>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DFB3A10"/>
    <w:rsid w:val="7E1E5218"/>
    <w:rsid w:val="7E9A4E1F"/>
    <w:rsid w:val="7EA7723A"/>
    <w:rsid w:val="7EF56FBB"/>
    <w:rsid w:val="7F0768EB"/>
    <w:rsid w:val="7F143BEC"/>
    <w:rsid w:val="7F715AF2"/>
    <w:rsid w:val="7F886E69"/>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7"/>
    <w:link w:val="82"/>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8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85"/>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8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87"/>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8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uiPriority w:val="1"/>
  </w:style>
  <w:style w:type="table" w:default="1" w:styleId="62">
    <w:name w:val="Normal Table"/>
    <w:unhideWhenUsed/>
    <w:uiPriority w:val="99"/>
    <w:tblPr>
      <w:tblStyle w:val="62"/>
      <w:tblCellMar>
        <w:top w:w="0" w:type="dxa"/>
        <w:left w:w="108" w:type="dxa"/>
        <w:bottom w:w="0" w:type="dxa"/>
        <w:right w:w="108" w:type="dxa"/>
      </w:tblCellMar>
    </w:tblPr>
  </w:style>
  <w:style w:type="paragraph" w:styleId="2">
    <w:name w:val="Body Text First Indent"/>
    <w:basedOn w:val="3"/>
    <w:next w:val="4"/>
    <w:link w:val="80"/>
    <w:qFormat/>
    <w:uiPriority w:val="0"/>
    <w:pPr>
      <w:ind w:firstLine="420"/>
    </w:pPr>
    <w:rPr>
      <w:rFonts w:hAnsi="Calibri" w:cs="Times New Roman"/>
      <w:snapToGrid/>
      <w:szCs w:val="20"/>
    </w:rPr>
  </w:style>
  <w:style w:type="paragraph" w:styleId="3">
    <w:name w:val="Body Text"/>
    <w:basedOn w:val="1"/>
    <w:next w:val="1"/>
    <w:link w:val="79"/>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7">
    <w:name w:val="Plain Text"/>
    <w:basedOn w:val="1"/>
    <w:next w:val="1"/>
    <w:link w:val="83"/>
    <w:qFormat/>
    <w:uiPriority w:val="0"/>
    <w:rPr>
      <w:rFonts w:ascii="宋体" w:hAnsi="Courier New" w:cs="Arial"/>
      <w:snapToGrid w:val="0"/>
      <w:szCs w:val="21"/>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Normal Indent"/>
    <w:basedOn w:val="1"/>
    <w:link w:val="90"/>
    <w:qFormat/>
    <w:uiPriority w:val="0"/>
    <w:pPr>
      <w:widowControl/>
      <w:snapToGrid w:val="0"/>
      <w:spacing w:line="480" w:lineRule="exact"/>
      <w:ind w:firstLine="567"/>
    </w:pPr>
    <w:rPr>
      <w:rFonts w:ascii="宋体"/>
      <w:snapToGrid w:val="0"/>
      <w:color w:val="000000"/>
      <w:kern w:val="28"/>
      <w:sz w:val="28"/>
      <w:szCs w:val="20"/>
    </w:rPr>
  </w:style>
  <w:style w:type="paragraph" w:styleId="20">
    <w:name w:val="caption"/>
    <w:basedOn w:val="1"/>
    <w:next w:val="1"/>
    <w:link w:val="91"/>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92"/>
    <w:qFormat/>
    <w:uiPriority w:val="0"/>
    <w:pPr>
      <w:shd w:val="clear" w:color="auto" w:fill="000080"/>
    </w:pPr>
  </w:style>
  <w:style w:type="paragraph" w:styleId="23">
    <w:name w:val="annotation text"/>
    <w:basedOn w:val="1"/>
    <w:link w:val="93"/>
    <w:qFormat/>
    <w:uiPriority w:val="99"/>
    <w:pPr>
      <w:jc w:val="left"/>
    </w:pPr>
  </w:style>
  <w:style w:type="paragraph" w:styleId="24">
    <w:name w:val="Salutation"/>
    <w:basedOn w:val="1"/>
    <w:next w:val="1"/>
    <w:link w:val="94"/>
    <w:qFormat/>
    <w:uiPriority w:val="0"/>
    <w:rPr>
      <w:rFonts w:ascii="仿宋_GB2312" w:eastAsia="仿宋_GB2312"/>
      <w:sz w:val="28"/>
      <w:szCs w:val="20"/>
    </w:rPr>
  </w:style>
  <w:style w:type="paragraph" w:styleId="25">
    <w:name w:val="Body Text 3"/>
    <w:basedOn w:val="1"/>
    <w:link w:val="95"/>
    <w:qFormat/>
    <w:uiPriority w:val="0"/>
    <w:pPr>
      <w:jc w:val="center"/>
    </w:pPr>
    <w:rPr>
      <w:szCs w:val="20"/>
    </w:rPr>
  </w:style>
  <w:style w:type="paragraph" w:styleId="26">
    <w:name w:val="List Bullet 3"/>
    <w:basedOn w:val="1"/>
    <w:unhideWhenUsed/>
    <w:qFormat/>
    <w:uiPriority w:val="0"/>
    <w:pPr>
      <w:snapToGrid w:val="0"/>
      <w:spacing w:line="360" w:lineRule="auto"/>
      <w:ind w:left="360" w:right="238" w:hanging="360"/>
      <w:contextualSpacing/>
    </w:pPr>
    <w:rPr>
      <w:sz w:val="24"/>
    </w:rPr>
  </w:style>
  <w:style w:type="paragraph" w:styleId="27">
    <w:name w:val="Body Text Indent"/>
    <w:basedOn w:val="1"/>
    <w:next w:val="1"/>
    <w:link w:val="96"/>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97"/>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98"/>
    <w:qFormat/>
    <w:uiPriority w:val="0"/>
    <w:pPr>
      <w:ind w:left="100" w:leftChars="2500"/>
    </w:pPr>
    <w:rPr>
      <w:rFonts w:ascii="宋体"/>
      <w:sz w:val="24"/>
      <w:szCs w:val="21"/>
      <w:lang w:val="zh-CN"/>
    </w:rPr>
  </w:style>
  <w:style w:type="paragraph" w:styleId="38">
    <w:name w:val="Body Text Indent 2"/>
    <w:basedOn w:val="1"/>
    <w:link w:val="99"/>
    <w:qFormat/>
    <w:uiPriority w:val="0"/>
    <w:pPr>
      <w:spacing w:line="360" w:lineRule="auto"/>
      <w:ind w:firstLine="601"/>
      <w:textAlignment w:val="baseline"/>
    </w:pPr>
    <w:rPr>
      <w:rFonts w:ascii="宋体"/>
      <w:kern w:val="0"/>
      <w:sz w:val="28"/>
      <w:szCs w:val="20"/>
    </w:rPr>
  </w:style>
  <w:style w:type="paragraph" w:styleId="39">
    <w:name w:val="endnote text"/>
    <w:basedOn w:val="1"/>
    <w:link w:val="100"/>
    <w:qFormat/>
    <w:uiPriority w:val="0"/>
    <w:rPr>
      <w:lang w:val="zh-CN"/>
    </w:rPr>
  </w:style>
  <w:style w:type="paragraph" w:styleId="40">
    <w:name w:val="Balloon Text"/>
    <w:basedOn w:val="1"/>
    <w:link w:val="101"/>
    <w:qFormat/>
    <w:uiPriority w:val="0"/>
    <w:rPr>
      <w:sz w:val="18"/>
      <w:szCs w:val="18"/>
    </w:rPr>
  </w:style>
  <w:style w:type="paragraph" w:styleId="41">
    <w:name w:val="footer"/>
    <w:basedOn w:val="1"/>
    <w:link w:val="102"/>
    <w:qFormat/>
    <w:uiPriority w:val="99"/>
    <w:pPr>
      <w:tabs>
        <w:tab w:val="center" w:pos="4153"/>
        <w:tab w:val="right" w:pos="8306"/>
      </w:tabs>
      <w:snapToGrid w:val="0"/>
      <w:jc w:val="left"/>
    </w:pPr>
    <w:rPr>
      <w:sz w:val="18"/>
      <w:szCs w:val="18"/>
    </w:rPr>
  </w:style>
  <w:style w:type="paragraph" w:styleId="42">
    <w:name w:val="header"/>
    <w:basedOn w:val="1"/>
    <w:link w:val="10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10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0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9"/>
    <w:link w:val="106"/>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7"/>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8"/>
    <w:qFormat/>
    <w:uiPriority w:val="0"/>
    <w:pPr>
      <w:spacing w:after="120" w:line="480" w:lineRule="auto"/>
    </w:pPr>
  </w:style>
  <w:style w:type="paragraph" w:styleId="57">
    <w:name w:val="HTML Preformatted"/>
    <w:basedOn w:val="1"/>
    <w:link w:val="10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0"/>
    <w:qFormat/>
    <w:uiPriority w:val="10"/>
    <w:pPr>
      <w:widowControl/>
      <w:overflowPunct w:val="0"/>
      <w:autoSpaceDE w:val="0"/>
      <w:autoSpaceDN w:val="0"/>
      <w:jc w:val="center"/>
      <w:textAlignment w:val="baseline"/>
    </w:pPr>
    <w:rPr>
      <w:b/>
      <w:kern w:val="0"/>
      <w:sz w:val="24"/>
      <w:szCs w:val="20"/>
      <w:lang/>
    </w:rPr>
  </w:style>
  <w:style w:type="paragraph" w:styleId="60">
    <w:name w:val="annotation subject"/>
    <w:basedOn w:val="23"/>
    <w:next w:val="23"/>
    <w:link w:val="111"/>
    <w:qFormat/>
    <w:uiPriority w:val="0"/>
    <w:rPr>
      <w:b/>
      <w:bCs/>
    </w:rPr>
  </w:style>
  <w:style w:type="paragraph" w:styleId="61">
    <w:name w:val="Body Text First Indent 2"/>
    <w:basedOn w:val="27"/>
    <w:link w:val="11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Style w:val="62"/>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blStyle w:val="62"/>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Style w:val="62"/>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blStyle w:val="62"/>
      </w:tblPr>
      <w:tcPr>
        <w:tcBorders>
          <w:top w:val="nil"/>
          <w:left w:val="nil"/>
          <w:bottom w:val="single" w:color="000000" w:sz="12" w:space="0"/>
          <w:right w:val="nil"/>
          <w:insideH w:val="nil"/>
          <w:insideV w:val="nil"/>
          <w:tl2br w:val="nil"/>
          <w:tr2bl w:val="nil"/>
        </w:tcBorders>
      </w:tcPr>
    </w:tblStylePr>
    <w:tblStylePr w:type="lastRow">
      <w:rPr>
        <w:b/>
        <w:bCs/>
      </w:rPr>
      <w:tblPr>
        <w:tblStyle w:val="62"/>
      </w:tblPr>
      <w:tcPr>
        <w:tcBorders>
          <w:top w:val="nil"/>
          <w:left w:val="nil"/>
          <w:bottom w:val="nil"/>
          <w:right w:val="nil"/>
          <w:insideH w:val="nil"/>
          <w:insideV w:val="nil"/>
          <w:tl2br w:val="nil"/>
          <w:tr2bl w:val="nil"/>
        </w:tcBorders>
      </w:tcPr>
    </w:tblStylePr>
    <w:tblStylePr w:type="lastCol">
      <w:rPr>
        <w:b/>
        <w:bCs/>
      </w:rPr>
      <w:tblPr>
        <w:tblStyle w:val="62"/>
      </w:tblPr>
      <w:tcPr>
        <w:tcBorders>
          <w:top w:val="nil"/>
          <w:left w:val="nil"/>
          <w:bottom w:val="nil"/>
          <w:right w:val="nil"/>
          <w:insideH w:val="nil"/>
          <w:insideV w:val="nil"/>
          <w:tl2br w:val="nil"/>
          <w:tr2bl w:val="nil"/>
        </w:tcBorders>
      </w:tcPr>
    </w:tblStylePr>
    <w:tblStylePr w:type="nwCell">
      <w:tblPr>
        <w:tblStyle w:val="62"/>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Style w:val="62"/>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blStyle w:val="62"/>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Style w:val="62"/>
      </w:tblPr>
      <w:tcPr>
        <w:tcBorders>
          <w:top w:val="nil"/>
          <w:left w:val="nil"/>
          <w:bottom w:val="nil"/>
          <w:right w:val="nil"/>
          <w:insideH w:val="nil"/>
          <w:insideV w:val="nil"/>
          <w:tl2br w:val="nil"/>
          <w:tr2bl w:val="nil"/>
        </w:tcBorders>
      </w:tcPr>
    </w:tblStylePr>
    <w:tblStylePr w:type="lastCol">
      <w:rPr>
        <w:b/>
        <w:bCs/>
        <w:color w:val="auto"/>
      </w:rPr>
      <w:tblPr>
        <w:tblStyle w:val="62"/>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Style w:val="62"/>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blStyle w:val="62"/>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basedOn w:val="69"/>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80">
    <w:name w:val="正文首行缩进 Char"/>
    <w:link w:val="2"/>
    <w:qFormat/>
    <w:uiPriority w:val="0"/>
    <w:rPr>
      <w:rFonts w:ascii="宋体"/>
      <w:kern w:val="2"/>
      <w:sz w:val="24"/>
      <w:lang w:val="zh-CN"/>
    </w:rPr>
  </w:style>
  <w:style w:type="character" w:customStyle="1" w:styleId="81">
    <w:name w:val="标题 1 Char"/>
    <w:link w:val="5"/>
    <w:qFormat/>
    <w:uiPriority w:val="9"/>
    <w:rPr>
      <w:b/>
      <w:bCs/>
      <w:kern w:val="44"/>
      <w:sz w:val="44"/>
      <w:szCs w:val="44"/>
    </w:rPr>
  </w:style>
  <w:style w:type="character" w:customStyle="1" w:styleId="82">
    <w:name w:val="标题 2 Char1"/>
    <w:link w:val="6"/>
    <w:uiPriority w:val="0"/>
    <w:rPr>
      <w:rFonts w:ascii="仿宋_GB2312" w:hAnsi="仿宋" w:eastAsia="仿宋_GB2312"/>
      <w:b/>
      <w:bCs/>
      <w:sz w:val="32"/>
      <w:szCs w:val="32"/>
      <w:lang w:val="zh-CN"/>
    </w:rPr>
  </w:style>
  <w:style w:type="character" w:customStyle="1" w:styleId="83">
    <w:name w:val="纯文本 Char"/>
    <w:link w:val="7"/>
    <w:qFormat/>
    <w:uiPriority w:val="0"/>
    <w:rPr>
      <w:rFonts w:ascii="宋体" w:hAnsi="Courier New" w:eastAsia="宋体" w:cs="Arial"/>
      <w:snapToGrid w:val="0"/>
      <w:kern w:val="2"/>
      <w:sz w:val="21"/>
      <w:szCs w:val="21"/>
      <w:lang w:val="en-US" w:eastAsia="zh-CN" w:bidi="ar-SA"/>
    </w:rPr>
  </w:style>
  <w:style w:type="character" w:customStyle="1" w:styleId="84">
    <w:name w:val="标题 4 Char2"/>
    <w:link w:val="9"/>
    <w:qFormat/>
    <w:uiPriority w:val="9"/>
    <w:rPr>
      <w:rFonts w:ascii="Arial" w:hAnsi="Arial" w:eastAsia="黑体"/>
      <w:b/>
      <w:bCs/>
      <w:kern w:val="2"/>
      <w:sz w:val="28"/>
      <w:szCs w:val="28"/>
      <w:lang w:val="zh-CN"/>
    </w:rPr>
  </w:style>
  <w:style w:type="character" w:customStyle="1" w:styleId="85">
    <w:name w:val="标题 5 Char"/>
    <w:link w:val="10"/>
    <w:qFormat/>
    <w:uiPriority w:val="9"/>
    <w:rPr>
      <w:b/>
      <w:bCs/>
      <w:kern w:val="2"/>
      <w:sz w:val="28"/>
      <w:szCs w:val="28"/>
    </w:rPr>
  </w:style>
  <w:style w:type="character" w:customStyle="1" w:styleId="86">
    <w:name w:val="标题 6 Char"/>
    <w:link w:val="11"/>
    <w:qFormat/>
    <w:uiPriority w:val="0"/>
    <w:rPr>
      <w:rFonts w:ascii="Arial" w:hAnsi="Arial" w:eastAsia="黑体"/>
      <w:b/>
      <w:bCs/>
      <w:kern w:val="2"/>
      <w:sz w:val="24"/>
      <w:szCs w:val="24"/>
    </w:rPr>
  </w:style>
  <w:style w:type="character" w:customStyle="1" w:styleId="87">
    <w:name w:val="标题 7 Char"/>
    <w:link w:val="12"/>
    <w:qFormat/>
    <w:uiPriority w:val="0"/>
    <w:rPr>
      <w:b/>
      <w:bCs/>
      <w:kern w:val="2"/>
      <w:sz w:val="24"/>
      <w:szCs w:val="24"/>
    </w:rPr>
  </w:style>
  <w:style w:type="character" w:customStyle="1" w:styleId="88">
    <w:name w:val="标题 8 Char"/>
    <w:link w:val="13"/>
    <w:qFormat/>
    <w:uiPriority w:val="0"/>
    <w:rPr>
      <w:rFonts w:ascii="Arial" w:hAnsi="Arial" w:eastAsia="黑体"/>
      <w:kern w:val="2"/>
      <w:sz w:val="24"/>
      <w:szCs w:val="24"/>
    </w:rPr>
  </w:style>
  <w:style w:type="character" w:customStyle="1" w:styleId="89">
    <w:name w:val="标题 9 Char"/>
    <w:link w:val="14"/>
    <w:qFormat/>
    <w:uiPriority w:val="0"/>
    <w:rPr>
      <w:rFonts w:ascii="Arial" w:hAnsi="Arial" w:eastAsia="黑体"/>
      <w:kern w:val="2"/>
      <w:sz w:val="21"/>
      <w:szCs w:val="21"/>
    </w:rPr>
  </w:style>
  <w:style w:type="character" w:customStyle="1" w:styleId="90">
    <w:name w:val="正文缩进 Char2"/>
    <w:link w:val="19"/>
    <w:qFormat/>
    <w:uiPriority w:val="0"/>
    <w:rPr>
      <w:rFonts w:ascii="宋体" w:eastAsia="宋体"/>
      <w:snapToGrid w:val="0"/>
      <w:color w:val="000000"/>
      <w:kern w:val="28"/>
      <w:sz w:val="28"/>
      <w:lang w:val="en-US" w:eastAsia="zh-CN" w:bidi="ar-SA"/>
    </w:rPr>
  </w:style>
  <w:style w:type="character" w:customStyle="1" w:styleId="91">
    <w:name w:val="题注 Char"/>
    <w:link w:val="20"/>
    <w:qFormat/>
    <w:uiPriority w:val="0"/>
    <w:rPr>
      <w:b/>
      <w:kern w:val="2"/>
      <w:sz w:val="28"/>
    </w:rPr>
  </w:style>
  <w:style w:type="character" w:customStyle="1" w:styleId="92">
    <w:name w:val="文档结构图 Char1"/>
    <w:link w:val="22"/>
    <w:qFormat/>
    <w:uiPriority w:val="0"/>
    <w:rPr>
      <w:kern w:val="2"/>
      <w:sz w:val="21"/>
      <w:szCs w:val="24"/>
      <w:shd w:val="clear" w:color="auto" w:fill="000080"/>
    </w:rPr>
  </w:style>
  <w:style w:type="character" w:customStyle="1" w:styleId="93">
    <w:name w:val="批注文字 Char1"/>
    <w:link w:val="23"/>
    <w:qFormat/>
    <w:uiPriority w:val="0"/>
    <w:rPr>
      <w:kern w:val="2"/>
      <w:sz w:val="21"/>
      <w:szCs w:val="24"/>
    </w:rPr>
  </w:style>
  <w:style w:type="character" w:customStyle="1" w:styleId="94">
    <w:name w:val="称呼 Char"/>
    <w:link w:val="24"/>
    <w:qFormat/>
    <w:uiPriority w:val="0"/>
    <w:rPr>
      <w:rFonts w:ascii="仿宋_GB2312" w:eastAsia="仿宋_GB2312"/>
      <w:kern w:val="2"/>
      <w:sz w:val="28"/>
    </w:rPr>
  </w:style>
  <w:style w:type="character" w:customStyle="1" w:styleId="95">
    <w:name w:val="正文文本 3 Char"/>
    <w:link w:val="25"/>
    <w:qFormat/>
    <w:uiPriority w:val="0"/>
    <w:rPr>
      <w:kern w:val="2"/>
      <w:sz w:val="21"/>
    </w:rPr>
  </w:style>
  <w:style w:type="character" w:customStyle="1" w:styleId="96">
    <w:name w:val="正文文本缩进 Char3"/>
    <w:link w:val="27"/>
    <w:qFormat/>
    <w:uiPriority w:val="0"/>
    <w:rPr>
      <w:rFonts w:ascii="宋体" w:hAnsi="宋体"/>
      <w:kern w:val="2"/>
      <w:sz w:val="24"/>
      <w:szCs w:val="24"/>
    </w:rPr>
  </w:style>
  <w:style w:type="character" w:customStyle="1" w:styleId="97">
    <w:name w:val="HTML 地址 Char"/>
    <w:link w:val="32"/>
    <w:qFormat/>
    <w:uiPriority w:val="0"/>
    <w:rPr>
      <w:rFonts w:ascii="宋体" w:hAnsi="宋体"/>
      <w:i/>
      <w:iCs/>
      <w:sz w:val="24"/>
      <w:szCs w:val="24"/>
    </w:rPr>
  </w:style>
  <w:style w:type="character" w:customStyle="1" w:styleId="98">
    <w:name w:val="日期 Char"/>
    <w:link w:val="37"/>
    <w:qFormat/>
    <w:uiPriority w:val="0"/>
    <w:rPr>
      <w:rFonts w:ascii="宋体"/>
      <w:kern w:val="2"/>
      <w:sz w:val="24"/>
      <w:szCs w:val="21"/>
      <w:lang w:val="zh-CN"/>
    </w:rPr>
  </w:style>
  <w:style w:type="character" w:customStyle="1" w:styleId="99">
    <w:name w:val="正文文本缩进 2 Char"/>
    <w:link w:val="38"/>
    <w:qFormat/>
    <w:uiPriority w:val="0"/>
    <w:rPr>
      <w:rFonts w:ascii="宋体"/>
      <w:sz w:val="28"/>
    </w:rPr>
  </w:style>
  <w:style w:type="character" w:customStyle="1" w:styleId="100">
    <w:name w:val="尾注文本 Char"/>
    <w:link w:val="39"/>
    <w:qFormat/>
    <w:uiPriority w:val="0"/>
    <w:rPr>
      <w:kern w:val="2"/>
      <w:sz w:val="21"/>
      <w:szCs w:val="24"/>
      <w:lang w:val="zh-CN"/>
    </w:rPr>
  </w:style>
  <w:style w:type="character" w:customStyle="1" w:styleId="101">
    <w:name w:val="批注框文本 Char"/>
    <w:link w:val="40"/>
    <w:qFormat/>
    <w:uiPriority w:val="0"/>
    <w:rPr>
      <w:kern w:val="2"/>
      <w:sz w:val="18"/>
      <w:szCs w:val="18"/>
    </w:rPr>
  </w:style>
  <w:style w:type="character" w:customStyle="1" w:styleId="102">
    <w:name w:val="页脚 Char2"/>
    <w:link w:val="41"/>
    <w:qFormat/>
    <w:locked/>
    <w:uiPriority w:val="99"/>
    <w:rPr>
      <w:kern w:val="2"/>
      <w:sz w:val="18"/>
      <w:szCs w:val="18"/>
    </w:rPr>
  </w:style>
  <w:style w:type="character" w:customStyle="1" w:styleId="103">
    <w:name w:val="页眉 Char2"/>
    <w:link w:val="42"/>
    <w:qFormat/>
    <w:uiPriority w:val="99"/>
    <w:rPr>
      <w:kern w:val="2"/>
      <w:sz w:val="18"/>
      <w:szCs w:val="18"/>
    </w:rPr>
  </w:style>
  <w:style w:type="character" w:customStyle="1" w:styleId="104">
    <w:name w:val="签名 Char"/>
    <w:link w:val="43"/>
    <w:qFormat/>
    <w:uiPriority w:val="0"/>
    <w:rPr>
      <w:rFonts w:eastAsia="仿宋_GB2312"/>
      <w:sz w:val="24"/>
    </w:rPr>
  </w:style>
  <w:style w:type="character" w:customStyle="1" w:styleId="105">
    <w:name w:val="副标题 Char"/>
    <w:link w:val="48"/>
    <w:qFormat/>
    <w:uiPriority w:val="0"/>
    <w:rPr>
      <w:rFonts w:ascii="Arial" w:hAnsi="Arial" w:eastAsia="隶书"/>
      <w:b/>
      <w:bCs/>
      <w:kern w:val="28"/>
      <w:sz w:val="44"/>
      <w:szCs w:val="32"/>
      <w:lang w:val="en-US" w:eastAsia="zh-CN" w:bidi="ar-SA"/>
    </w:rPr>
  </w:style>
  <w:style w:type="character" w:customStyle="1" w:styleId="106">
    <w:name w:val="脚注文本 Char"/>
    <w:link w:val="51"/>
    <w:qFormat/>
    <w:uiPriority w:val="0"/>
    <w:rPr>
      <w:color w:val="0000FF"/>
      <w:sz w:val="21"/>
    </w:rPr>
  </w:style>
  <w:style w:type="character" w:customStyle="1" w:styleId="107">
    <w:name w:val="正文文本缩进 3 Char"/>
    <w:link w:val="53"/>
    <w:qFormat/>
    <w:uiPriority w:val="0"/>
    <w:rPr>
      <w:kern w:val="2"/>
      <w:sz w:val="24"/>
    </w:rPr>
  </w:style>
  <w:style w:type="character" w:customStyle="1" w:styleId="108">
    <w:name w:val="正文文本 2 Char1"/>
    <w:link w:val="56"/>
    <w:qFormat/>
    <w:uiPriority w:val="0"/>
    <w:rPr>
      <w:kern w:val="2"/>
      <w:sz w:val="21"/>
      <w:szCs w:val="24"/>
    </w:rPr>
  </w:style>
  <w:style w:type="character" w:customStyle="1" w:styleId="109">
    <w:name w:val="HTML 预设格式 Char"/>
    <w:link w:val="57"/>
    <w:qFormat/>
    <w:uiPriority w:val="0"/>
    <w:rPr>
      <w:rFonts w:ascii="黑体" w:hAnsi="Courier New" w:eastAsia="黑体"/>
    </w:rPr>
  </w:style>
  <w:style w:type="character" w:customStyle="1" w:styleId="110">
    <w:name w:val="标题 Char2"/>
    <w:link w:val="59"/>
    <w:qFormat/>
    <w:uiPriority w:val="10"/>
    <w:rPr>
      <w:b/>
      <w:sz w:val="24"/>
      <w:lang/>
    </w:rPr>
  </w:style>
  <w:style w:type="character" w:customStyle="1" w:styleId="111">
    <w:name w:val="批注主题 Char1"/>
    <w:link w:val="60"/>
    <w:qFormat/>
    <w:uiPriority w:val="0"/>
    <w:rPr>
      <w:b/>
      <w:bCs/>
      <w:kern w:val="2"/>
      <w:sz w:val="21"/>
      <w:szCs w:val="24"/>
    </w:rPr>
  </w:style>
  <w:style w:type="character" w:customStyle="1" w:styleId="112">
    <w:name w:val="正文首行缩进 2 Char"/>
    <w:link w:val="61"/>
    <w:qFormat/>
    <w:uiPriority w:val="0"/>
    <w:rPr>
      <w:rFonts w:ascii="宋体" w:hAnsi="宋体"/>
      <w:kern w:val="2"/>
      <w:sz w:val="21"/>
      <w:szCs w:val="24"/>
    </w:rPr>
  </w:style>
  <w:style w:type="character" w:customStyle="1" w:styleId="113">
    <w:name w:val="样式5 Char"/>
    <w:qFormat/>
    <w:uiPriority w:val="0"/>
    <w:rPr>
      <w:rFonts w:ascii="仿宋_GB2312" w:hAnsi="仿宋" w:eastAsia="仿宋_GB2312"/>
      <w:kern w:val="2"/>
      <w:sz w:val="24"/>
      <w:szCs w:val="24"/>
    </w:rPr>
  </w:style>
  <w:style w:type="character" w:customStyle="1" w:styleId="114">
    <w:name w:val="Ò³Ã¼ Char Char1"/>
    <w:qFormat/>
    <w:uiPriority w:val="0"/>
    <w:rPr>
      <w:rFonts w:eastAsia="宋体"/>
      <w:kern w:val="2"/>
      <w:sz w:val="18"/>
      <w:szCs w:val="18"/>
      <w:lang w:val="en-US" w:eastAsia="zh-CN" w:bidi="ar-SA"/>
    </w:rPr>
  </w:style>
  <w:style w:type="character" w:customStyle="1" w:styleId="115">
    <w:name w:val="md"/>
    <w:basedOn w:val="69"/>
    <w:qFormat/>
    <w:uiPriority w:val="0"/>
    <w:rPr>
      <w:rFonts w:ascii="Arial" w:hAnsi="Arial" w:eastAsia="黑体" w:cs="Arial"/>
      <w:snapToGrid w:val="0"/>
      <w:kern w:val="0"/>
      <w:szCs w:val="21"/>
    </w:rPr>
  </w:style>
  <w:style w:type="character" w:customStyle="1" w:styleId="116">
    <w:name w:val="样式 标题 4h4H4Fab-4T5Ref Heading 1rh1Heading sqlsect 1.2.3.... Char"/>
    <w:link w:val="117"/>
    <w:qFormat/>
    <w:uiPriority w:val="0"/>
    <w:rPr>
      <w:rFonts w:ascii="微软雅黑" w:hAnsi="微软雅黑" w:eastAsia="微软雅黑"/>
      <w:b/>
      <w:bCs/>
      <w:kern w:val="2"/>
      <w:sz w:val="24"/>
      <w:szCs w:val="28"/>
    </w:rPr>
  </w:style>
  <w:style w:type="paragraph" w:customStyle="1" w:styleId="117">
    <w:name w:val="样式 标题 4h4H4Fab-4T5Ref Heading 1rh1Heading sqlsect 1.2.3...."/>
    <w:basedOn w:val="9"/>
    <w:link w:val="116"/>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118">
    <w:name w:val="pt9"/>
    <w:qFormat/>
    <w:uiPriority w:val="0"/>
    <w:rPr>
      <w:rFonts w:ascii="仿宋_GB2312" w:eastAsia="微软雅黑"/>
      <w:b/>
      <w:kern w:val="2"/>
      <w:sz w:val="32"/>
      <w:szCs w:val="32"/>
      <w:lang w:val="en-US" w:eastAsia="zh-CN" w:bidi="ar-SA"/>
    </w:rPr>
  </w:style>
  <w:style w:type="character" w:customStyle="1" w:styleId="119">
    <w:name w:val="font81"/>
    <w:qFormat/>
    <w:uiPriority w:val="0"/>
    <w:rPr>
      <w:rFonts w:ascii="微软雅黑" w:hAnsi="微软雅黑" w:eastAsia="微软雅黑" w:cs="微软雅黑"/>
      <w:color w:val="000000"/>
      <w:sz w:val="20"/>
      <w:szCs w:val="20"/>
      <w:u w:val="none"/>
    </w:rPr>
  </w:style>
  <w:style w:type="character" w:customStyle="1" w:styleId="120">
    <w:name w:val="表正文 Char3"/>
    <w:qFormat/>
    <w:uiPriority w:val="0"/>
    <w:rPr>
      <w:rFonts w:eastAsia="宋体"/>
    </w:rPr>
  </w:style>
  <w:style w:type="character" w:customStyle="1" w:styleId="121">
    <w:name w:val="正文1 Char"/>
    <w:qFormat/>
    <w:uiPriority w:val="0"/>
    <w:rPr>
      <w:rFonts w:ascii="宋体" w:eastAsia="宋体"/>
      <w:snapToGrid w:val="0"/>
      <w:color w:val="000000"/>
      <w:kern w:val="28"/>
      <w:sz w:val="28"/>
      <w:lang w:val="en-US" w:eastAsia="zh-CN" w:bidi="ar-SA"/>
    </w:rPr>
  </w:style>
  <w:style w:type="character" w:customStyle="1" w:styleId="122">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123">
    <w:name w:val="正文文本缩进 Char1"/>
    <w:qFormat/>
    <w:uiPriority w:val="0"/>
    <w:rPr>
      <w:rFonts w:ascii="Calibri" w:hAnsi="Calibri"/>
      <w:sz w:val="28"/>
    </w:rPr>
  </w:style>
  <w:style w:type="character" w:customStyle="1" w:styleId="124">
    <w:name w:val="Char Char35"/>
    <w:qFormat/>
    <w:uiPriority w:val="6"/>
    <w:rPr>
      <w:rFonts w:ascii="Arial" w:hAnsi="Arial" w:eastAsia="黑体"/>
      <w:b/>
      <w:kern w:val="1"/>
      <w:sz w:val="28"/>
      <w:szCs w:val="28"/>
      <w:lang w:val="zh-CN"/>
    </w:rPr>
  </w:style>
  <w:style w:type="character" w:customStyle="1" w:styleId="125">
    <w:name w:val="mdeck"/>
    <w:qFormat/>
    <w:uiPriority w:val="0"/>
    <w:rPr>
      <w:rFonts w:ascii="仿宋_GB2312" w:eastAsia="微软雅黑"/>
      <w:b/>
      <w:kern w:val="2"/>
      <w:sz w:val="32"/>
      <w:szCs w:val="32"/>
      <w:lang w:val="en-US" w:eastAsia="zh-CN" w:bidi="ar-SA"/>
    </w:rPr>
  </w:style>
  <w:style w:type="character" w:customStyle="1" w:styleId="126">
    <w:name w:val="列表段落 字符"/>
    <w:qFormat/>
    <w:uiPriority w:val="99"/>
  </w:style>
  <w:style w:type="character" w:customStyle="1" w:styleId="127">
    <w:name w:val="tw4winExternal"/>
    <w:qFormat/>
    <w:uiPriority w:val="0"/>
    <w:rPr>
      <w:rFonts w:ascii="Courier New" w:hAnsi="Courier New" w:cs="Courier New"/>
      <w:color w:val="808080"/>
      <w:lang w:val="en-US" w:eastAsia="zh-CN"/>
    </w:rPr>
  </w:style>
  <w:style w:type="character" w:customStyle="1" w:styleId="128">
    <w:name w:val="Char Char9"/>
    <w:qFormat/>
    <w:uiPriority w:val="0"/>
    <w:rPr>
      <w:rFonts w:eastAsia="宋体"/>
      <w:kern w:val="2"/>
      <w:sz w:val="18"/>
      <w:szCs w:val="18"/>
      <w:lang w:val="en-US" w:eastAsia="zh-CN" w:bidi="ar-SA"/>
    </w:rPr>
  </w:style>
  <w:style w:type="character" w:customStyle="1" w:styleId="129">
    <w:name w:val="纯文本 Char1"/>
    <w:link w:val="130"/>
    <w:qFormat/>
    <w:uiPriority w:val="0"/>
    <w:rPr>
      <w:rFonts w:ascii="宋体" w:hAnsi="Courier New"/>
    </w:rPr>
  </w:style>
  <w:style w:type="paragraph" w:customStyle="1" w:styleId="130">
    <w:name w:val="纯文本1"/>
    <w:basedOn w:val="1"/>
    <w:link w:val="129"/>
    <w:qFormat/>
    <w:uiPriority w:val="0"/>
    <w:pPr>
      <w:adjustRightInd/>
    </w:pPr>
    <w:rPr>
      <w:rFonts w:ascii="宋体" w:hAnsi="Courier New"/>
      <w:kern w:val="0"/>
      <w:sz w:val="20"/>
      <w:szCs w:val="20"/>
    </w:rPr>
  </w:style>
  <w:style w:type="character" w:customStyle="1" w:styleId="131">
    <w:name w:val="正文缩进 Char3"/>
    <w:qFormat/>
    <w:uiPriority w:val="0"/>
    <w:rPr>
      <w:rFonts w:ascii="宋体" w:eastAsia="宋体"/>
      <w:snapToGrid w:val="0"/>
      <w:color w:val="000000"/>
      <w:kern w:val="28"/>
      <w:sz w:val="28"/>
      <w:lang w:val="en-US" w:eastAsia="zh-CN" w:bidi="ar-SA"/>
    </w:rPr>
  </w:style>
  <w:style w:type="character" w:customStyle="1" w:styleId="132">
    <w:name w:val="Char Char13"/>
    <w:qFormat/>
    <w:uiPriority w:val="6"/>
    <w:rPr>
      <w:rFonts w:ascii="宋体" w:hAnsi="宋体"/>
      <w:kern w:val="1"/>
      <w:sz w:val="21"/>
      <w:szCs w:val="24"/>
    </w:rPr>
  </w:style>
  <w:style w:type="character" w:customStyle="1" w:styleId="133">
    <w:name w:val="Char Char23"/>
    <w:qFormat/>
    <w:uiPriority w:val="6"/>
    <w:rPr>
      <w:color w:val="0000FF"/>
      <w:sz w:val="21"/>
    </w:rPr>
  </w:style>
  <w:style w:type="character" w:customStyle="1" w:styleId="134">
    <w:name w:val="插图说明 Char"/>
    <w:qFormat/>
    <w:uiPriority w:val="0"/>
    <w:rPr>
      <w:rFonts w:eastAsia="黑体"/>
      <w:sz w:val="24"/>
      <w:lang w:val="en-US" w:eastAsia="zh-CN"/>
    </w:rPr>
  </w:style>
  <w:style w:type="character" w:customStyle="1" w:styleId="135">
    <w:name w:val="标题 6 Char1"/>
    <w:qFormat/>
    <w:uiPriority w:val="0"/>
    <w:rPr>
      <w:rFonts w:ascii="Arial" w:hAnsi="Arial" w:eastAsia="黑体" w:cs="Times New Roman"/>
      <w:b/>
      <w:sz w:val="24"/>
      <w:szCs w:val="20"/>
      <w:lang w:bidi="ar-SA"/>
    </w:rPr>
  </w:style>
  <w:style w:type="character" w:customStyle="1" w:styleId="136">
    <w:name w:val="font61"/>
    <w:qFormat/>
    <w:uiPriority w:val="0"/>
    <w:rPr>
      <w:rFonts w:hint="eastAsia" w:ascii="仿宋" w:hAnsi="仿宋" w:eastAsia="仿宋" w:cs="仿宋"/>
      <w:color w:val="000000"/>
      <w:sz w:val="20"/>
      <w:szCs w:val="20"/>
      <w:u w:val="none"/>
    </w:rPr>
  </w:style>
  <w:style w:type="character" w:customStyle="1" w:styleId="137">
    <w:name w:val="正文文本缩进 3 Char1"/>
    <w:semiHidden/>
    <w:qFormat/>
    <w:uiPriority w:val="99"/>
    <w:rPr>
      <w:rFonts w:ascii="Times New Roman" w:hAnsi="Times New Roman" w:eastAsia="宋体" w:cs="Times New Roman"/>
      <w:sz w:val="16"/>
      <w:szCs w:val="16"/>
    </w:rPr>
  </w:style>
  <w:style w:type="character" w:customStyle="1" w:styleId="138">
    <w:name w:val="表名 Char"/>
    <w:qFormat/>
    <w:uiPriority w:val="0"/>
    <w:rPr>
      <w:rFonts w:eastAsia="宋体"/>
      <w:b/>
      <w:bCs/>
      <w:kern w:val="2"/>
      <w:sz w:val="24"/>
      <w:szCs w:val="24"/>
      <w:lang w:val="en-US" w:eastAsia="zh-CN" w:bidi="ar-SA"/>
    </w:rPr>
  </w:style>
  <w:style w:type="character" w:customStyle="1" w:styleId="139">
    <w:name w:val="Char Char41"/>
    <w:qFormat/>
    <w:uiPriority w:val="0"/>
    <w:rPr>
      <w:rFonts w:eastAsia="宋体"/>
      <w:b/>
      <w:sz w:val="24"/>
      <w:lang w:eastAsia="zh-CN" w:bidi="ar-SA"/>
    </w:rPr>
  </w:style>
  <w:style w:type="character" w:customStyle="1" w:styleId="140">
    <w:name w:val="正文文本 字符1"/>
    <w:qFormat/>
    <w:uiPriority w:val="0"/>
    <w:rPr>
      <w:rFonts w:ascii="Calibri" w:hAnsi="Calibri" w:eastAsia="黑体" w:cs="Arial"/>
      <w:snapToGrid w:val="0"/>
      <w:kern w:val="2"/>
      <w:sz w:val="28"/>
      <w:szCs w:val="21"/>
    </w:rPr>
  </w:style>
  <w:style w:type="character" w:customStyle="1" w:styleId="141">
    <w:name w:val="Char Char2"/>
    <w:qFormat/>
    <w:uiPriority w:val="0"/>
    <w:rPr>
      <w:rFonts w:eastAsia="宋体"/>
      <w:b/>
      <w:bCs/>
      <w:kern w:val="2"/>
      <w:sz w:val="21"/>
      <w:szCs w:val="24"/>
      <w:lang w:val="en-US" w:eastAsia="zh-CN" w:bidi="ar-SA"/>
    </w:rPr>
  </w:style>
  <w:style w:type="character" w:customStyle="1" w:styleId="142">
    <w:name w:val="标题 2 Char Char"/>
    <w:qFormat/>
    <w:uiPriority w:val="0"/>
    <w:rPr>
      <w:rFonts w:ascii="楷体_GB2312" w:hAnsi="Arial" w:eastAsia="楷体_GB2312"/>
      <w:b/>
      <w:bCs/>
      <w:kern w:val="2"/>
      <w:sz w:val="24"/>
      <w:szCs w:val="32"/>
      <w:lang w:val="en-US" w:eastAsia="zh-CN" w:bidi="ar-SA"/>
    </w:rPr>
  </w:style>
  <w:style w:type="character" w:customStyle="1" w:styleId="143">
    <w:name w:val="Footer-Even Char"/>
    <w:qFormat/>
    <w:uiPriority w:val="0"/>
    <w:rPr>
      <w:rFonts w:eastAsia="宋体"/>
      <w:kern w:val="2"/>
      <w:sz w:val="18"/>
      <w:lang w:val="en-US" w:eastAsia="zh-CN" w:bidi="ar-SA"/>
    </w:rPr>
  </w:style>
  <w:style w:type="character" w:customStyle="1" w:styleId="144">
    <w:name w:val="副标题 Char1"/>
    <w:qFormat/>
    <w:uiPriority w:val="0"/>
    <w:rPr>
      <w:rFonts w:ascii="Cambria" w:hAnsi="Cambria" w:eastAsia="宋体" w:cs="Times New Roman"/>
      <w:b/>
      <w:bCs/>
      <w:snapToGrid w:val="0"/>
      <w:kern w:val="28"/>
      <w:sz w:val="32"/>
      <w:szCs w:val="32"/>
    </w:rPr>
  </w:style>
  <w:style w:type="character" w:customStyle="1" w:styleId="145">
    <w:name w:val="ksfind_class_select1"/>
    <w:basedOn w:val="69"/>
    <w:qFormat/>
    <w:uiPriority w:val="0"/>
    <w:rPr>
      <w:color w:val="000000"/>
      <w:shd w:val="clear" w:color="auto" w:fill="EFD200"/>
    </w:rPr>
  </w:style>
  <w:style w:type="character" w:customStyle="1" w:styleId="146">
    <w:name w:val="gf正文1 Char"/>
    <w:qFormat/>
    <w:uiPriority w:val="0"/>
    <w:rPr>
      <w:rFonts w:ascii="宋体" w:hAnsi="宋体" w:eastAsia="宋体" w:cs="宋体"/>
      <w:kern w:val="2"/>
      <w:sz w:val="24"/>
      <w:szCs w:val="24"/>
      <w:lang w:val="en-US" w:eastAsia="zh-CN" w:bidi="ar-SA"/>
    </w:rPr>
  </w:style>
  <w:style w:type="character" w:customStyle="1" w:styleId="147">
    <w:name w:val="正文 项目2 Char"/>
    <w:basedOn w:val="148"/>
    <w:qFormat/>
    <w:uiPriority w:val="0"/>
    <w:rPr>
      <w:rFonts w:ascii="仿宋_GB2312" w:hAnsi="仿宋_GB2312" w:eastAsia="仿宋_GB2312"/>
      <w:kern w:val="2"/>
      <w:sz w:val="24"/>
      <w:lang w:bidi="ar-SA"/>
    </w:rPr>
  </w:style>
  <w:style w:type="character" w:customStyle="1" w:styleId="148">
    <w:name w:val="正文 项目 Char"/>
    <w:qFormat/>
    <w:uiPriority w:val="0"/>
    <w:rPr>
      <w:rFonts w:ascii="仿宋_GB2312" w:hAnsi="仿宋_GB2312" w:eastAsia="仿宋_GB2312"/>
      <w:kern w:val="2"/>
      <w:sz w:val="24"/>
      <w:lang w:bidi="ar-SA"/>
    </w:rPr>
  </w:style>
  <w:style w:type="character" w:customStyle="1" w:styleId="14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50">
    <w:name w:val="Font Style82"/>
    <w:qFormat/>
    <w:uiPriority w:val="99"/>
    <w:rPr>
      <w:rFonts w:ascii="宋体" w:eastAsia="宋体" w:cs="宋体"/>
      <w:color w:val="000000"/>
      <w:sz w:val="14"/>
      <w:szCs w:val="14"/>
    </w:rPr>
  </w:style>
  <w:style w:type="character" w:customStyle="1" w:styleId="151">
    <w:name w:val="Char Char26"/>
    <w:qFormat/>
    <w:uiPriority w:val="6"/>
    <w:rPr>
      <w:kern w:val="1"/>
      <w:sz w:val="21"/>
      <w:szCs w:val="24"/>
    </w:rPr>
  </w:style>
  <w:style w:type="character" w:customStyle="1" w:styleId="152">
    <w:name w:val="hei16b1"/>
    <w:qFormat/>
    <w:uiPriority w:val="0"/>
    <w:rPr>
      <w:rFonts w:hint="default" w:ascii="Arial" w:hAnsi="Arial" w:cs="Arial"/>
      <w:b/>
      <w:bCs/>
      <w:color w:val="000000"/>
      <w:sz w:val="24"/>
      <w:szCs w:val="24"/>
    </w:rPr>
  </w:style>
  <w:style w:type="character" w:customStyle="1" w:styleId="153">
    <w:name w:val="样式3 Char"/>
    <w:basedOn w:val="154"/>
    <w:qFormat/>
    <w:uiPriority w:val="0"/>
    <w:rPr>
      <w:rFonts w:ascii="仿宋_GB2312" w:hAnsi="仿宋" w:eastAsia="仿宋_GB2312" w:cs="仿宋_GB2312"/>
      <w:sz w:val="32"/>
      <w:szCs w:val="30"/>
      <w:lang w:val="zh-CN"/>
    </w:rPr>
  </w:style>
  <w:style w:type="character" w:customStyle="1" w:styleId="154">
    <w:name w:val="样式2 Char"/>
    <w:qFormat/>
    <w:uiPriority w:val="0"/>
    <w:rPr>
      <w:rFonts w:ascii="仿宋_GB2312" w:hAnsi="仿宋" w:eastAsia="仿宋_GB2312" w:cs="仿宋_GB2312"/>
      <w:b/>
      <w:bCs/>
      <w:sz w:val="32"/>
      <w:szCs w:val="30"/>
      <w:lang w:val="zh-CN"/>
    </w:rPr>
  </w:style>
  <w:style w:type="character" w:customStyle="1" w:styleId="155">
    <w:name w:val="普通文字 Char3"/>
    <w:qFormat/>
    <w:uiPriority w:val="0"/>
    <w:rPr>
      <w:rFonts w:ascii="宋体" w:hAnsi="Courier New" w:eastAsia="宋体"/>
      <w:kern w:val="2"/>
      <w:sz w:val="21"/>
      <w:lang w:val="en-US" w:eastAsia="zh-CN" w:bidi="ar-SA"/>
    </w:rPr>
  </w:style>
  <w:style w:type="character" w:customStyle="1" w:styleId="156">
    <w:name w:val="Normal Indent Char Char"/>
    <w:qFormat/>
    <w:uiPriority w:val="0"/>
    <w:rPr>
      <w:rFonts w:eastAsia="宋体"/>
      <w:kern w:val="2"/>
      <w:sz w:val="21"/>
      <w:lang w:val="en-US" w:eastAsia="zh-CN" w:bidi="ar-SA"/>
    </w:rPr>
  </w:style>
  <w:style w:type="character" w:customStyle="1" w:styleId="157">
    <w:name w:val="Used by Word for text of Help footnotes Char Char1"/>
    <w:qFormat/>
    <w:uiPriority w:val="0"/>
    <w:rPr>
      <w:color w:val="0000FF"/>
      <w:sz w:val="21"/>
    </w:rPr>
  </w:style>
  <w:style w:type="character" w:customStyle="1" w:styleId="158">
    <w:name w:val="Char Char6"/>
    <w:qFormat/>
    <w:uiPriority w:val="0"/>
    <w:rPr>
      <w:rFonts w:eastAsia="宋体"/>
      <w:kern w:val="2"/>
      <w:sz w:val="21"/>
      <w:szCs w:val="24"/>
      <w:lang w:val="en-US" w:eastAsia="zh-CN" w:bidi="ar-SA"/>
    </w:rPr>
  </w:style>
  <w:style w:type="character" w:customStyle="1" w:styleId="159">
    <w:name w:val="No Spacing Char"/>
    <w:link w:val="160"/>
    <w:qFormat/>
    <w:uiPriority w:val="1"/>
    <w:rPr>
      <w:sz w:val="22"/>
      <w:szCs w:val="22"/>
      <w:lang w:val="en-US" w:eastAsia="zh-CN" w:bidi="ar-SA"/>
    </w:rPr>
  </w:style>
  <w:style w:type="paragraph" w:customStyle="1" w:styleId="160">
    <w:name w:val="无间隔1"/>
    <w:link w:val="159"/>
    <w:qFormat/>
    <w:uiPriority w:val="1"/>
    <w:rPr>
      <w:rFonts w:ascii="Times New Roman" w:hAnsi="Times New Roman" w:eastAsia="宋体" w:cs="Times New Roman"/>
      <w:sz w:val="22"/>
      <w:szCs w:val="22"/>
      <w:lang w:val="en-US" w:eastAsia="zh-CN" w:bidi="ar-SA"/>
    </w:rPr>
  </w:style>
  <w:style w:type="character" w:customStyle="1" w:styleId="161">
    <w:name w:val="标题 1 字符"/>
    <w:qFormat/>
    <w:uiPriority w:val="9"/>
    <w:rPr>
      <w:rFonts w:ascii="Arial" w:hAnsi="Arial" w:eastAsia="黑体" w:cs="Arial"/>
      <w:b/>
      <w:bCs/>
      <w:snapToGrid w:val="0"/>
      <w:kern w:val="44"/>
      <w:sz w:val="44"/>
      <w:szCs w:val="44"/>
    </w:rPr>
  </w:style>
  <w:style w:type="character" w:customStyle="1" w:styleId="162">
    <w:name w:val="Char Char71"/>
    <w:semiHidden/>
    <w:qFormat/>
    <w:uiPriority w:val="0"/>
    <w:rPr>
      <w:rFonts w:eastAsia="宋体"/>
      <w:kern w:val="2"/>
      <w:sz w:val="21"/>
      <w:szCs w:val="24"/>
      <w:lang w:val="en-US" w:eastAsia="zh-CN" w:bidi="ar-SA"/>
    </w:rPr>
  </w:style>
  <w:style w:type="character" w:customStyle="1" w:styleId="163">
    <w:name w:val="标题 4 Char1"/>
    <w:qFormat/>
    <w:uiPriority w:val="9"/>
    <w:rPr>
      <w:rFonts w:ascii="Cambria" w:hAnsi="Cambria" w:eastAsia="宋体" w:cs="Times New Roman"/>
      <w:b/>
      <w:bCs/>
      <w:kern w:val="2"/>
      <w:sz w:val="28"/>
      <w:szCs w:val="28"/>
    </w:rPr>
  </w:style>
  <w:style w:type="character" w:customStyle="1" w:styleId="164">
    <w:name w:val="样式7 Char"/>
    <w:qFormat/>
    <w:uiPriority w:val="0"/>
    <w:rPr>
      <w:rFonts w:ascii="仿宋_GB2312" w:hAnsi="仿宋" w:eastAsia="仿宋_GB2312"/>
      <w:b/>
      <w:kern w:val="2"/>
      <w:sz w:val="24"/>
      <w:szCs w:val="24"/>
    </w:rPr>
  </w:style>
  <w:style w:type="character" w:customStyle="1" w:styleId="165">
    <w:name w:val="标题4-dyf Char"/>
    <w:link w:val="166"/>
    <w:qFormat/>
    <w:uiPriority w:val="0"/>
    <w:rPr>
      <w:rFonts w:ascii="Cambria" w:hAnsi="Cambria"/>
      <w:b/>
      <w:bCs/>
      <w:color w:val="000000"/>
      <w:kern w:val="2"/>
      <w:sz w:val="21"/>
      <w:szCs w:val="21"/>
    </w:rPr>
  </w:style>
  <w:style w:type="paragraph" w:customStyle="1" w:styleId="166">
    <w:name w:val="标题4-dyf"/>
    <w:basedOn w:val="9"/>
    <w:link w:val="165"/>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167">
    <w:name w:val="普通文字 Char Char1"/>
    <w:qFormat/>
    <w:uiPriority w:val="0"/>
    <w:rPr>
      <w:rFonts w:ascii="宋体" w:hAnsi="Courier New"/>
      <w:kern w:val="2"/>
      <w:sz w:val="21"/>
    </w:rPr>
  </w:style>
  <w:style w:type="character" w:customStyle="1" w:styleId="168">
    <w:name w:val="批注文字 Char"/>
    <w:qFormat/>
    <w:uiPriority w:val="99"/>
    <w:rPr>
      <w:kern w:val="2"/>
      <w:sz w:val="21"/>
      <w:szCs w:val="24"/>
    </w:rPr>
  </w:style>
  <w:style w:type="character" w:customStyle="1" w:styleId="169">
    <w:name w:val="Char Char1211"/>
    <w:qFormat/>
    <w:uiPriority w:val="0"/>
    <w:rPr>
      <w:rFonts w:ascii="仿宋_GB2312" w:eastAsia="仿宋_GB2312"/>
      <w:b/>
      <w:bCs/>
      <w:kern w:val="2"/>
      <w:sz w:val="24"/>
      <w:szCs w:val="24"/>
      <w:lang w:val="zh-CN" w:eastAsia="zh-CN" w:bidi="ar-SA"/>
    </w:rPr>
  </w:style>
  <w:style w:type="character" w:customStyle="1" w:styleId="170">
    <w:name w:val="正文缩进 Char"/>
    <w:qFormat/>
    <w:uiPriority w:val="0"/>
    <w:rPr>
      <w:rFonts w:eastAsia="宋体"/>
      <w:kern w:val="2"/>
      <w:sz w:val="21"/>
      <w:lang w:val="en-US" w:eastAsia="zh-CN"/>
    </w:rPr>
  </w:style>
  <w:style w:type="character" w:customStyle="1" w:styleId="171">
    <w:name w:val="zbggmain style9"/>
    <w:qFormat/>
    <w:uiPriority w:val="0"/>
  </w:style>
  <w:style w:type="character" w:customStyle="1" w:styleId="172">
    <w:name w:val="标题 3 字符"/>
    <w:qFormat/>
    <w:uiPriority w:val="9"/>
    <w:rPr>
      <w:b/>
      <w:bCs/>
      <w:kern w:val="2"/>
      <w:sz w:val="32"/>
      <w:szCs w:val="32"/>
    </w:rPr>
  </w:style>
  <w:style w:type="character" w:customStyle="1" w:styleId="173">
    <w:name w:val="样式6 Char"/>
    <w:qFormat/>
    <w:uiPriority w:val="0"/>
    <w:rPr>
      <w:rFonts w:ascii="仿宋_GB2312" w:hAnsi="宋体" w:eastAsia="仿宋_GB2312"/>
      <w:b/>
      <w:bCs/>
      <w:kern w:val="2"/>
      <w:sz w:val="24"/>
      <w:szCs w:val="24"/>
      <w:lang w:val="en-US" w:eastAsia="zh-CN" w:bidi="ar-SA"/>
    </w:rPr>
  </w:style>
  <w:style w:type="character" w:customStyle="1" w:styleId="174">
    <w:name w:val="正文文本 2 字符"/>
    <w:qFormat/>
    <w:uiPriority w:val="0"/>
    <w:rPr>
      <w:rFonts w:ascii="Arial" w:hAnsi="Arial" w:eastAsia="宋体"/>
      <w:kern w:val="2"/>
      <w:sz w:val="24"/>
      <w:szCs w:val="24"/>
      <w:lang w:val="en-US" w:eastAsia="zh-CN" w:bidi="ar-SA"/>
    </w:rPr>
  </w:style>
  <w:style w:type="character" w:customStyle="1" w:styleId="175">
    <w:name w:val="Char Char311"/>
    <w:qFormat/>
    <w:uiPriority w:val="0"/>
    <w:rPr>
      <w:rFonts w:eastAsia="宋体"/>
      <w:kern w:val="2"/>
      <w:sz w:val="21"/>
      <w:szCs w:val="24"/>
      <w:lang w:val="en-US" w:eastAsia="zh-CN" w:bidi="ar-SA"/>
    </w:rPr>
  </w:style>
  <w:style w:type="character" w:customStyle="1" w:styleId="176">
    <w:name w:val="myp1111"/>
    <w:qFormat/>
    <w:uiPriority w:val="0"/>
    <w:rPr>
      <w:rFonts w:hint="default" w:ascii="ˎ̥" w:hAnsi="ˎ̥"/>
      <w:color w:val="000000"/>
      <w:sz w:val="20"/>
      <w:szCs w:val="20"/>
      <w:u w:val="none"/>
    </w:rPr>
  </w:style>
  <w:style w:type="character" w:customStyle="1" w:styleId="177">
    <w:name w:val="unnamed31"/>
    <w:qFormat/>
    <w:uiPriority w:val="0"/>
    <w:rPr>
      <w:rFonts w:ascii="Tahoma" w:hAnsi="Tahoma" w:eastAsia="宋体"/>
      <w:b/>
      <w:kern w:val="2"/>
      <w:sz w:val="24"/>
      <w:szCs w:val="32"/>
      <w:u w:val="none"/>
      <w:lang w:val="en-US" w:eastAsia="zh-CN" w:bidi="ar-SA"/>
    </w:rPr>
  </w:style>
  <w:style w:type="character" w:customStyle="1" w:styleId="178">
    <w:name w:val="Char Char61"/>
    <w:qFormat/>
    <w:uiPriority w:val="6"/>
    <w:rPr>
      <w:rFonts w:eastAsia="宋体"/>
      <w:kern w:val="2"/>
      <w:sz w:val="21"/>
      <w:szCs w:val="24"/>
      <w:lang w:val="en-US" w:eastAsia="zh-CN" w:bidi="ar-SA"/>
    </w:rPr>
  </w:style>
  <w:style w:type="character" w:customStyle="1" w:styleId="179">
    <w:name w:val="正文非缩进 Char"/>
    <w:qFormat/>
    <w:uiPriority w:val="0"/>
    <w:rPr>
      <w:rFonts w:ascii="宋体" w:eastAsia="宋体"/>
      <w:snapToGrid w:val="0"/>
      <w:color w:val="000000"/>
      <w:kern w:val="28"/>
      <w:sz w:val="28"/>
      <w:lang w:val="en-US" w:eastAsia="zh-CN" w:bidi="ar-SA"/>
    </w:rPr>
  </w:style>
  <w:style w:type="character" w:customStyle="1" w:styleId="180">
    <w:name w:val="标准文本 Char Char"/>
    <w:link w:val="181"/>
    <w:qFormat/>
    <w:uiPriority w:val="0"/>
    <w:rPr>
      <w:rFonts w:cs="宋体"/>
      <w:kern w:val="2"/>
      <w:sz w:val="24"/>
    </w:rPr>
  </w:style>
  <w:style w:type="paragraph" w:customStyle="1" w:styleId="181">
    <w:name w:val="标准文本"/>
    <w:basedOn w:val="1"/>
    <w:link w:val="180"/>
    <w:qFormat/>
    <w:uiPriority w:val="0"/>
    <w:pPr>
      <w:adjustRightInd/>
      <w:spacing w:line="360" w:lineRule="auto"/>
      <w:ind w:firstLine="480" w:firstLineChars="200"/>
    </w:pPr>
    <w:rPr>
      <w:rFonts w:cs="宋体"/>
      <w:sz w:val="24"/>
      <w:szCs w:val="20"/>
    </w:rPr>
  </w:style>
  <w:style w:type="character" w:customStyle="1" w:styleId="182">
    <w:name w:val="二级标题 Char Char"/>
    <w:qFormat/>
    <w:uiPriority w:val="0"/>
    <w:rPr>
      <w:rFonts w:ascii="宋体" w:hAnsi="宋体" w:eastAsia="宋体"/>
      <w:b/>
      <w:snapToGrid w:val="0"/>
      <w:kern w:val="2"/>
      <w:sz w:val="24"/>
      <w:szCs w:val="24"/>
      <w:lang w:val="en-US" w:eastAsia="zh-CN" w:bidi="ar-SA"/>
    </w:rPr>
  </w:style>
  <w:style w:type="character" w:customStyle="1" w:styleId="183">
    <w:name w:val="*正文 Char"/>
    <w:link w:val="184"/>
    <w:qFormat/>
    <w:locked/>
    <w:uiPriority w:val="0"/>
    <w:rPr>
      <w:rFonts w:ascii="宋体" w:hAnsi="宋体"/>
      <w:sz w:val="24"/>
    </w:rPr>
  </w:style>
  <w:style w:type="paragraph" w:customStyle="1" w:styleId="184">
    <w:name w:val="*正文"/>
    <w:basedOn w:val="1"/>
    <w:link w:val="183"/>
    <w:qFormat/>
    <w:uiPriority w:val="0"/>
    <w:pPr>
      <w:snapToGrid w:val="0"/>
      <w:spacing w:line="360" w:lineRule="auto"/>
      <w:ind w:firstLine="482"/>
      <w:jc w:val="left"/>
    </w:pPr>
    <w:rPr>
      <w:rFonts w:ascii="宋体" w:hAnsi="宋体"/>
      <w:kern w:val="0"/>
      <w:sz w:val="24"/>
      <w:szCs w:val="20"/>
    </w:rPr>
  </w:style>
  <w:style w:type="character" w:customStyle="1" w:styleId="185">
    <w:name w:val="Char Char33"/>
    <w:qFormat/>
    <w:uiPriority w:val="6"/>
    <w:rPr>
      <w:rFonts w:ascii="Arial" w:hAnsi="Arial" w:eastAsia="黑体"/>
      <w:b/>
      <w:kern w:val="1"/>
      <w:sz w:val="24"/>
      <w:szCs w:val="24"/>
    </w:rPr>
  </w:style>
  <w:style w:type="character" w:customStyle="1" w:styleId="186">
    <w:name w:val="15"/>
    <w:qFormat/>
    <w:uiPriority w:val="0"/>
    <w:rPr>
      <w:rFonts w:hint="default" w:ascii="Calibri" w:hAnsi="Calibri"/>
      <w:color w:val="0000FF"/>
      <w:u w:val="single"/>
    </w:rPr>
  </w:style>
  <w:style w:type="character" w:customStyle="1" w:styleId="187">
    <w:name w:val="font91"/>
    <w:qFormat/>
    <w:uiPriority w:val="0"/>
    <w:rPr>
      <w:rFonts w:hint="eastAsia" w:ascii="仿宋" w:hAnsi="仿宋" w:eastAsia="仿宋" w:cs="仿宋"/>
      <w:color w:val="000000"/>
      <w:sz w:val="22"/>
      <w:szCs w:val="22"/>
      <w:u w:val="none"/>
    </w:rPr>
  </w:style>
  <w:style w:type="character" w:customStyle="1" w:styleId="188">
    <w:name w:val="表正文 Char"/>
    <w:qFormat/>
    <w:uiPriority w:val="0"/>
    <w:rPr>
      <w:rFonts w:ascii="宋体" w:eastAsia="宋体"/>
      <w:snapToGrid w:val="0"/>
      <w:color w:val="000000"/>
      <w:kern w:val="28"/>
      <w:sz w:val="28"/>
      <w:lang w:val="en-US" w:eastAsia="zh-CN" w:bidi="ar-SA"/>
    </w:rPr>
  </w:style>
  <w:style w:type="character" w:customStyle="1" w:styleId="189">
    <w:name w:val="bulletintext1"/>
    <w:qFormat/>
    <w:uiPriority w:val="0"/>
    <w:rPr>
      <w:color w:val="000000"/>
      <w:sz w:val="18"/>
    </w:rPr>
  </w:style>
  <w:style w:type="character" w:customStyle="1" w:styleId="190">
    <w:name w:val="公文正文 Char Char"/>
    <w:link w:val="191"/>
    <w:qFormat/>
    <w:uiPriority w:val="0"/>
    <w:rPr>
      <w:rFonts w:ascii="仿宋_GB2312" w:eastAsia="仿宋_GB2312"/>
      <w:kern w:val="2"/>
      <w:sz w:val="24"/>
      <w:szCs w:val="24"/>
    </w:rPr>
  </w:style>
  <w:style w:type="paragraph" w:customStyle="1" w:styleId="191">
    <w:name w:val="公文正文"/>
    <w:basedOn w:val="1"/>
    <w:link w:val="190"/>
    <w:qFormat/>
    <w:uiPriority w:val="0"/>
    <w:pPr>
      <w:adjustRightInd/>
      <w:spacing w:before="156" w:line="360" w:lineRule="auto"/>
      <w:ind w:firstLine="360" w:firstLineChars="200"/>
    </w:pPr>
    <w:rPr>
      <w:rFonts w:ascii="仿宋_GB2312" w:eastAsia="仿宋_GB2312"/>
      <w:sz w:val="24"/>
    </w:rPr>
  </w:style>
  <w:style w:type="character" w:customStyle="1" w:styleId="192">
    <w:name w:val="Char Char161"/>
    <w:qFormat/>
    <w:uiPriority w:val="0"/>
    <w:rPr>
      <w:rFonts w:eastAsia="宋体"/>
      <w:b/>
      <w:kern w:val="2"/>
      <w:sz w:val="32"/>
      <w:lang w:val="en-US" w:eastAsia="zh-CN"/>
    </w:rPr>
  </w:style>
  <w:style w:type="character" w:customStyle="1" w:styleId="193">
    <w:name w:val="标题 Char1"/>
    <w:qFormat/>
    <w:uiPriority w:val="0"/>
    <w:rPr>
      <w:rFonts w:ascii="Cambria" w:hAnsi="Cambria" w:eastAsia="宋体" w:cs="Times New Roman"/>
      <w:b/>
      <w:bCs/>
      <w:sz w:val="32"/>
      <w:szCs w:val="32"/>
      <w:lang w:bidi="ar-SA"/>
    </w:rPr>
  </w:style>
  <w:style w:type="character" w:customStyle="1" w:styleId="194">
    <w:name w:val="Ò³Ã¼ Char Char"/>
    <w:qFormat/>
    <w:uiPriority w:val="0"/>
    <w:rPr>
      <w:rFonts w:eastAsia="宋体"/>
      <w:kern w:val="2"/>
      <w:sz w:val="18"/>
      <w:lang w:val="en-US" w:eastAsia="zh-CN" w:bidi="ar-SA"/>
    </w:rPr>
  </w:style>
  <w:style w:type="character" w:customStyle="1" w:styleId="195">
    <w:name w:val="tpc_content1"/>
    <w:qFormat/>
    <w:uiPriority w:val="0"/>
    <w:rPr>
      <w:sz w:val="20"/>
      <w:szCs w:val="20"/>
    </w:rPr>
  </w:style>
  <w:style w:type="character" w:customStyle="1" w:styleId="196">
    <w:name w:val="Char Char16"/>
    <w:qFormat/>
    <w:uiPriority w:val="6"/>
    <w:rPr>
      <w:kern w:val="1"/>
      <w:sz w:val="18"/>
      <w:szCs w:val="18"/>
    </w:rPr>
  </w:style>
  <w:style w:type="character" w:customStyle="1" w:styleId="197">
    <w:name w:val="16"/>
    <w:basedOn w:val="69"/>
    <w:qFormat/>
    <w:uiPriority w:val="0"/>
    <w:rPr>
      <w:rFonts w:hint="eastAsia" w:ascii="宋体" w:hAnsi="宋体" w:eastAsia="宋体"/>
      <w:color w:val="000000"/>
      <w:sz w:val="20"/>
      <w:szCs w:val="20"/>
    </w:rPr>
  </w:style>
  <w:style w:type="character" w:customStyle="1" w:styleId="198">
    <w:name w:val="param-name"/>
    <w:qFormat/>
    <w:uiPriority w:val="99"/>
    <w:rPr>
      <w:rFonts w:ascii="Arial" w:hAnsi="Arial" w:eastAsia="黑体" w:cs="Arial"/>
      <w:snapToGrid w:val="0"/>
      <w:kern w:val="0"/>
      <w:szCs w:val="21"/>
    </w:rPr>
  </w:style>
  <w:style w:type="character" w:customStyle="1" w:styleId="199">
    <w:name w:val="页脚 字符1"/>
    <w:qFormat/>
    <w:locked/>
    <w:uiPriority w:val="99"/>
    <w:rPr>
      <w:kern w:val="2"/>
      <w:sz w:val="18"/>
      <w:szCs w:val="18"/>
    </w:rPr>
  </w:style>
  <w:style w:type="character" w:customStyle="1" w:styleId="200">
    <w:name w:val="font21"/>
    <w:qFormat/>
    <w:uiPriority w:val="0"/>
    <w:rPr>
      <w:rFonts w:hint="eastAsia" w:ascii="宋体" w:hAnsi="宋体" w:eastAsia="宋体"/>
      <w:kern w:val="2"/>
      <w:sz w:val="28"/>
      <w:szCs w:val="28"/>
      <w:lang w:val="en-US" w:eastAsia="zh-CN" w:bidi="ar-SA"/>
    </w:rPr>
  </w:style>
  <w:style w:type="character" w:customStyle="1" w:styleId="201">
    <w:name w:val="正文首行缩进 Char Char Char Char Char"/>
    <w:qFormat/>
    <w:uiPriority w:val="0"/>
    <w:rPr>
      <w:rFonts w:ascii="宋体"/>
      <w:kern w:val="2"/>
      <w:sz w:val="24"/>
      <w:lang w:val="zh-CN"/>
    </w:rPr>
  </w:style>
  <w:style w:type="character" w:customStyle="1" w:styleId="202">
    <w:name w:val="large1"/>
    <w:qFormat/>
    <w:uiPriority w:val="0"/>
    <w:rPr>
      <w:rFonts w:hint="eastAsia" w:ascii="宋体" w:hAnsi="宋体" w:eastAsia="宋体"/>
      <w:sz w:val="21"/>
      <w:szCs w:val="21"/>
    </w:rPr>
  </w:style>
  <w:style w:type="character" w:customStyle="1" w:styleId="203">
    <w:name w:val="Char Char34"/>
    <w:qFormat/>
    <w:uiPriority w:val="6"/>
    <w:rPr>
      <w:b/>
      <w:kern w:val="1"/>
      <w:sz w:val="28"/>
      <w:szCs w:val="28"/>
    </w:rPr>
  </w:style>
  <w:style w:type="character" w:customStyle="1" w:styleId="204">
    <w:name w:val="正文 编号 Char"/>
    <w:qFormat/>
    <w:uiPriority w:val="0"/>
    <w:rPr>
      <w:rFonts w:ascii="仿宋_GB2312" w:hAnsi="仿宋_GB2312" w:eastAsia="仿宋_GB2312"/>
      <w:kern w:val="2"/>
      <w:sz w:val="24"/>
      <w:lang w:bidi="ar-SA"/>
    </w:rPr>
  </w:style>
  <w:style w:type="character" w:customStyle="1" w:styleId="205">
    <w:name w:val="样式4 Char"/>
    <w:qFormat/>
    <w:uiPriority w:val="0"/>
    <w:rPr>
      <w:rFonts w:ascii="仿宋_GB2312" w:hAnsi="仿宋" w:eastAsia="仿宋_GB2312"/>
      <w:b/>
      <w:kern w:val="2"/>
      <w:sz w:val="32"/>
      <w:szCs w:val="32"/>
      <w:lang w:bidi="ar-SA"/>
    </w:rPr>
  </w:style>
  <w:style w:type="character" w:customStyle="1" w:styleId="206">
    <w:name w:val="页眉 字符"/>
    <w:qFormat/>
    <w:uiPriority w:val="99"/>
    <w:rPr>
      <w:kern w:val="2"/>
      <w:sz w:val="18"/>
      <w:szCs w:val="18"/>
    </w:rPr>
  </w:style>
  <w:style w:type="character" w:customStyle="1" w:styleId="207">
    <w:name w:val="5正文 Char"/>
    <w:link w:val="208"/>
    <w:qFormat/>
    <w:uiPriority w:val="0"/>
    <w:rPr>
      <w:rFonts w:ascii="仿宋_GB2312" w:hAnsi="微软雅黑" w:eastAsia="仿宋_GB2312"/>
      <w:sz w:val="28"/>
      <w:szCs w:val="21"/>
    </w:rPr>
  </w:style>
  <w:style w:type="paragraph" w:customStyle="1" w:styleId="208">
    <w:name w:val="5正文"/>
    <w:basedOn w:val="1"/>
    <w:link w:val="20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209">
    <w:name w:val="ca-131"/>
    <w:qFormat/>
    <w:uiPriority w:val="0"/>
    <w:rPr>
      <w:rFonts w:hint="eastAsia" w:ascii="仿宋_GB2312" w:eastAsia="仿宋_GB2312"/>
      <w:b/>
      <w:bCs/>
      <w:color w:val="000000"/>
      <w:spacing w:val="-20"/>
      <w:sz w:val="24"/>
      <w:szCs w:val="24"/>
    </w:rPr>
  </w:style>
  <w:style w:type="character" w:customStyle="1" w:styleId="210">
    <w:name w:val="交叉引用"/>
    <w:qFormat/>
    <w:uiPriority w:val="1"/>
    <w:rPr>
      <w:rFonts w:ascii="Arial" w:hAnsi="Arial" w:eastAsia="黑体"/>
      <w:snapToGrid w:val="0"/>
      <w:color w:val="0000FF"/>
      <w:kern w:val="0"/>
      <w:sz w:val="20"/>
      <w:szCs w:val="21"/>
      <w:u w:val="single"/>
      <w:lang w:val="en-US" w:eastAsia="zh-CN"/>
    </w:rPr>
  </w:style>
  <w:style w:type="character" w:customStyle="1" w:styleId="211">
    <w:name w:val="标题 Char"/>
    <w:qFormat/>
    <w:uiPriority w:val="0"/>
    <w:rPr>
      <w:rFonts w:eastAsia="宋体"/>
      <w:b/>
      <w:sz w:val="24"/>
      <w:lang w:eastAsia="zh-CN" w:bidi="ar-SA"/>
    </w:rPr>
  </w:style>
  <w:style w:type="character" w:customStyle="1" w:styleId="212">
    <w:name w:val="正文文字缩进 2 Char Char"/>
    <w:qFormat/>
    <w:uiPriority w:val="0"/>
    <w:rPr>
      <w:rFonts w:ascii="宋体"/>
      <w:sz w:val="28"/>
    </w:rPr>
  </w:style>
  <w:style w:type="character" w:customStyle="1" w:styleId="213">
    <w:name w:val="dandyren_title1"/>
    <w:qFormat/>
    <w:uiPriority w:val="0"/>
    <w:rPr>
      <w:b/>
      <w:bCs/>
      <w:color w:val="FF6633"/>
      <w:sz w:val="18"/>
      <w:szCs w:val="18"/>
    </w:rPr>
  </w:style>
  <w:style w:type="character" w:customStyle="1" w:styleId="214">
    <w:name w:val="表格名称[858D7CFB-ED40-4347-BF05-701D383B685F]"/>
    <w:link w:val="215"/>
    <w:qFormat/>
    <w:uiPriority w:val="0"/>
    <w:rPr>
      <w:sz w:val="32"/>
    </w:rPr>
  </w:style>
  <w:style w:type="paragraph" w:customStyle="1" w:styleId="215">
    <w:name w:val="表格名称"/>
    <w:basedOn w:val="6"/>
    <w:link w:val="21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16">
    <w:name w:val="Char Char28"/>
    <w:qFormat/>
    <w:uiPriority w:val="6"/>
    <w:rPr>
      <w:rFonts w:ascii="仿宋_GB2312" w:hAnsi="仿宋_GB2312" w:eastAsia="仿宋_GB2312"/>
      <w:kern w:val="1"/>
      <w:sz w:val="28"/>
    </w:rPr>
  </w:style>
  <w:style w:type="character" w:customStyle="1" w:styleId="217">
    <w:name w:val="hui"/>
    <w:basedOn w:val="69"/>
    <w:qFormat/>
    <w:uiPriority w:val="0"/>
    <w:rPr>
      <w:rFonts w:ascii="Arial" w:hAnsi="Arial" w:eastAsia="黑体" w:cs="Arial"/>
      <w:snapToGrid w:val="0"/>
      <w:kern w:val="0"/>
      <w:szCs w:val="21"/>
    </w:rPr>
  </w:style>
  <w:style w:type="character" w:customStyle="1" w:styleId="218">
    <w:name w:val="正文缩进 字符1"/>
    <w:qFormat/>
    <w:uiPriority w:val="0"/>
    <w:rPr>
      <w:rFonts w:ascii="宋体" w:eastAsia="宋体"/>
      <w:snapToGrid w:val="0"/>
      <w:color w:val="000000"/>
      <w:kern w:val="28"/>
      <w:sz w:val="28"/>
      <w:lang w:val="en-US" w:eastAsia="zh-CN" w:bidi="ar-SA"/>
    </w:rPr>
  </w:style>
  <w:style w:type="character" w:customStyle="1" w:styleId="219">
    <w:name w:val="链接"/>
    <w:qFormat/>
    <w:uiPriority w:val="0"/>
    <w:rPr>
      <w:color w:val="0000FF"/>
      <w:sz w:val="21"/>
      <w:szCs w:val="21"/>
      <w:u w:val="single"/>
    </w:rPr>
  </w:style>
  <w:style w:type="character" w:customStyle="1" w:styleId="220">
    <w:name w:val="正文（缩进2汉字） Char"/>
    <w:link w:val="221"/>
    <w:qFormat/>
    <w:uiPriority w:val="0"/>
    <w:rPr>
      <w:rFonts w:ascii="宋体"/>
    </w:rPr>
  </w:style>
  <w:style w:type="paragraph" w:customStyle="1" w:styleId="221">
    <w:name w:val="正文（缩进2汉字）"/>
    <w:basedOn w:val="1"/>
    <w:link w:val="22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222">
    <w:name w:val="正文文本缩进 字符"/>
    <w:qFormat/>
    <w:uiPriority w:val="0"/>
    <w:rPr>
      <w:rFonts w:ascii="Century Gothic" w:hAnsi="Century Gothic" w:eastAsia="Century Gothic"/>
      <w:kern w:val="2"/>
      <w:sz w:val="24"/>
      <w:lang w:val="en-US" w:eastAsia="zh-CN" w:bidi="ar-SA"/>
    </w:rPr>
  </w:style>
  <w:style w:type="character" w:customStyle="1" w:styleId="223">
    <w:name w:val="正文段 Char"/>
    <w:link w:val="224"/>
    <w:qFormat/>
    <w:uiPriority w:val="0"/>
    <w:rPr>
      <w:sz w:val="24"/>
    </w:rPr>
  </w:style>
  <w:style w:type="paragraph" w:customStyle="1" w:styleId="224">
    <w:name w:val="正文段"/>
    <w:basedOn w:val="1"/>
    <w:link w:val="223"/>
    <w:qFormat/>
    <w:uiPriority w:val="0"/>
    <w:pPr>
      <w:widowControl/>
      <w:snapToGrid w:val="0"/>
      <w:spacing w:after="156" w:afterLines="50"/>
      <w:ind w:firstLine="200" w:firstLineChars="200"/>
    </w:pPr>
    <w:rPr>
      <w:kern w:val="0"/>
      <w:sz w:val="24"/>
      <w:szCs w:val="20"/>
    </w:rPr>
  </w:style>
  <w:style w:type="character" w:customStyle="1" w:styleId="225">
    <w:name w:val="f141"/>
    <w:qFormat/>
    <w:uiPriority w:val="0"/>
    <w:rPr>
      <w:rFonts w:ascii="Tahoma" w:hAnsi="Tahoma" w:eastAsia="宋体"/>
      <w:b/>
      <w:kern w:val="2"/>
      <w:sz w:val="21"/>
      <w:szCs w:val="21"/>
      <w:lang w:val="en-US" w:eastAsia="zh-CN" w:bidi="ar-SA"/>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font01"/>
    <w:qFormat/>
    <w:uiPriority w:val="0"/>
    <w:rPr>
      <w:rFonts w:hint="eastAsia" w:ascii="微软雅黑" w:hAnsi="微软雅黑" w:eastAsia="微软雅黑" w:cs="微软雅黑"/>
      <w:color w:val="000000"/>
      <w:sz w:val="20"/>
      <w:szCs w:val="20"/>
      <w:u w:val="none"/>
    </w:rPr>
  </w:style>
  <w:style w:type="character" w:customStyle="1" w:styleId="229">
    <w:name w:val="font31"/>
    <w:qFormat/>
    <w:uiPriority w:val="0"/>
    <w:rPr>
      <w:rFonts w:hint="eastAsia" w:ascii="仿宋" w:hAnsi="仿宋" w:eastAsia="仿宋" w:cs="仿宋"/>
      <w:color w:val="000000"/>
      <w:sz w:val="20"/>
      <w:szCs w:val="20"/>
      <w:u w:val="none"/>
    </w:rPr>
  </w:style>
  <w:style w:type="character" w:customStyle="1" w:styleId="230">
    <w:name w:val="Bold"/>
    <w:qFormat/>
    <w:uiPriority w:val="0"/>
    <w:rPr>
      <w:rFonts w:ascii="Arial" w:hAnsi="Arial" w:eastAsia="黑体" w:cs="Times New Roman"/>
      <w:b/>
      <w:kern w:val="2"/>
      <w:sz w:val="32"/>
      <w:szCs w:val="32"/>
      <w:lang w:val="en-US" w:eastAsia="zh-CN" w:bidi="ar-SA"/>
    </w:rPr>
  </w:style>
  <w:style w:type="character" w:customStyle="1" w:styleId="231">
    <w:name w:val="tw4winTerm"/>
    <w:qFormat/>
    <w:uiPriority w:val="0"/>
    <w:rPr>
      <w:color w:val="0000FF"/>
    </w:rPr>
  </w:style>
  <w:style w:type="character" w:customStyle="1" w:styleId="232">
    <w:name w:val="h3 Char"/>
    <w:qFormat/>
    <w:uiPriority w:val="0"/>
    <w:rPr>
      <w:rFonts w:eastAsia="宋体"/>
      <w:b/>
      <w:kern w:val="2"/>
      <w:sz w:val="32"/>
      <w:lang w:val="en-US" w:eastAsia="zh-CN" w:bidi="ar-SA"/>
    </w:rPr>
  </w:style>
  <w:style w:type="character" w:customStyle="1" w:styleId="233">
    <w:name w:val="正文1 Char1"/>
    <w:qFormat/>
    <w:uiPriority w:val="0"/>
    <w:rPr>
      <w:rFonts w:ascii="仿宋_GB2312" w:hAnsi="Courier New" w:eastAsia="仿宋_GB2312"/>
      <w:kern w:val="28"/>
      <w:sz w:val="24"/>
      <w:szCs w:val="24"/>
      <w:lang w:val="en-US" w:eastAsia="zh-CN"/>
    </w:rPr>
  </w:style>
  <w:style w:type="character" w:customStyle="1" w:styleId="234">
    <w:name w:val="副标题 Char2"/>
    <w:qFormat/>
    <w:uiPriority w:val="0"/>
    <w:rPr>
      <w:rFonts w:ascii="Cambria" w:hAnsi="Cambria" w:eastAsia="宋体" w:cs="Times New Roman"/>
      <w:b/>
      <w:bCs/>
      <w:snapToGrid w:val="0"/>
      <w:kern w:val="28"/>
      <w:sz w:val="32"/>
      <w:szCs w:val="32"/>
    </w:rPr>
  </w:style>
  <w:style w:type="character" w:customStyle="1" w:styleId="235">
    <w:name w:val="样式 正文缩进 + 首行缩进:  2 字符 Char Char"/>
    <w:link w:val="236"/>
    <w:qFormat/>
    <w:uiPriority w:val="0"/>
    <w:rPr>
      <w:rFonts w:cs="宋体"/>
      <w:kern w:val="2"/>
      <w:sz w:val="24"/>
    </w:rPr>
  </w:style>
  <w:style w:type="paragraph" w:customStyle="1" w:styleId="236">
    <w:name w:val="样式 正文缩进 + 首行缩进:  2 字符"/>
    <w:basedOn w:val="19"/>
    <w:link w:val="23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237">
    <w:name w:val="Char Char24"/>
    <w:qFormat/>
    <w:uiPriority w:val="6"/>
    <w:rPr>
      <w:kern w:val="1"/>
      <w:sz w:val="21"/>
    </w:rPr>
  </w:style>
  <w:style w:type="character" w:customStyle="1" w:styleId="238">
    <w:name w:val="哈哈正文 Char"/>
    <w:link w:val="239"/>
    <w:qFormat/>
    <w:uiPriority w:val="0"/>
    <w:rPr>
      <w:rFonts w:ascii="宋体" w:hAnsi="宋体" w:eastAsia="宋体"/>
      <w:kern w:val="2"/>
      <w:sz w:val="24"/>
      <w:lang w:bidi="ar-SA"/>
    </w:rPr>
  </w:style>
  <w:style w:type="paragraph" w:customStyle="1" w:styleId="239">
    <w:name w:val="哈哈正文"/>
    <w:basedOn w:val="1"/>
    <w:link w:val="238"/>
    <w:qFormat/>
    <w:uiPriority w:val="0"/>
    <w:pPr>
      <w:adjustRightInd/>
      <w:spacing w:line="360" w:lineRule="auto"/>
      <w:ind w:firstLine="200" w:firstLineChars="200"/>
    </w:pPr>
    <w:rPr>
      <w:rFonts w:ascii="宋体" w:hAnsi="宋体"/>
      <w:sz w:val="24"/>
      <w:szCs w:val="20"/>
    </w:rPr>
  </w:style>
  <w:style w:type="character" w:customStyle="1" w:styleId="240">
    <w:name w:val="Used by Word for text of Help footnotes Char Char"/>
    <w:qFormat/>
    <w:uiPriority w:val="0"/>
    <w:rPr>
      <w:rFonts w:ascii="Times New Roman" w:hAnsi="Times New Roman" w:eastAsia="宋体" w:cs="Times New Roman"/>
      <w:sz w:val="20"/>
      <w:szCs w:val="20"/>
    </w:rPr>
  </w:style>
  <w:style w:type="character" w:customStyle="1" w:styleId="241">
    <w:name w:val="Char Char91"/>
    <w:qFormat/>
    <w:uiPriority w:val="0"/>
    <w:rPr>
      <w:rFonts w:eastAsia="宋体"/>
      <w:kern w:val="2"/>
      <w:sz w:val="18"/>
      <w:szCs w:val="18"/>
      <w:lang w:val="en-US" w:eastAsia="zh-CN" w:bidi="ar-SA"/>
    </w:rPr>
  </w:style>
  <w:style w:type="character" w:customStyle="1" w:styleId="242">
    <w:name w:val="表格非标题文字 Char"/>
    <w:link w:val="243"/>
    <w:qFormat/>
    <w:uiPriority w:val="0"/>
    <w:rPr>
      <w:rFonts w:ascii="Futura Bk" w:hAnsi="Futura Bk"/>
      <w:kern w:val="2"/>
      <w:sz w:val="18"/>
      <w:szCs w:val="21"/>
      <w:lang w:val="en-US" w:eastAsia="zh-CN" w:bidi="ar-SA"/>
    </w:rPr>
  </w:style>
  <w:style w:type="paragraph" w:customStyle="1" w:styleId="243">
    <w:name w:val="表格非标题文字"/>
    <w:link w:val="24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244">
    <w:name w:val="冯广丽 Char"/>
    <w:link w:val="245"/>
    <w:qFormat/>
    <w:uiPriority w:val="0"/>
    <w:rPr>
      <w:rFonts w:ascii="宋体" w:hAnsi="宋体"/>
      <w:kern w:val="2"/>
      <w:sz w:val="24"/>
      <w:szCs w:val="22"/>
    </w:rPr>
  </w:style>
  <w:style w:type="paragraph" w:customStyle="1" w:styleId="245">
    <w:name w:val="冯广丽"/>
    <w:basedOn w:val="1"/>
    <w:link w:val="244"/>
    <w:qFormat/>
    <w:uiPriority w:val="0"/>
    <w:pPr>
      <w:adjustRightInd/>
      <w:spacing w:line="360" w:lineRule="auto"/>
      <w:ind w:firstLine="480" w:firstLineChars="200"/>
    </w:pPr>
    <w:rPr>
      <w:rFonts w:ascii="宋体" w:hAnsi="宋体"/>
      <w:sz w:val="24"/>
      <w:szCs w:val="22"/>
    </w:rPr>
  </w:style>
  <w:style w:type="character" w:customStyle="1" w:styleId="246">
    <w:name w:val="表正文 Char1"/>
    <w:qFormat/>
    <w:uiPriority w:val="0"/>
    <w:rPr>
      <w:rFonts w:ascii="宋体" w:eastAsia="宋体"/>
      <w:snapToGrid w:val="0"/>
      <w:color w:val="000000"/>
      <w:kern w:val="28"/>
      <w:sz w:val="28"/>
    </w:rPr>
  </w:style>
  <w:style w:type="character" w:customStyle="1" w:styleId="247">
    <w:name w:val="Char Char32"/>
    <w:qFormat/>
    <w:uiPriority w:val="6"/>
    <w:rPr>
      <w:b/>
      <w:kern w:val="1"/>
      <w:sz w:val="24"/>
      <w:szCs w:val="24"/>
    </w:rPr>
  </w:style>
  <w:style w:type="character" w:customStyle="1" w:styleId="248">
    <w:name w:val="Char Char611"/>
    <w:qFormat/>
    <w:uiPriority w:val="0"/>
    <w:rPr>
      <w:rFonts w:eastAsia="宋体"/>
      <w:kern w:val="2"/>
      <w:sz w:val="21"/>
      <w:szCs w:val="24"/>
      <w:lang w:val="en-US" w:eastAsia="zh-CN" w:bidi="ar-SA"/>
    </w:rPr>
  </w:style>
  <w:style w:type="character" w:customStyle="1" w:styleId="249">
    <w:name w:val="Char Char14"/>
    <w:qFormat/>
    <w:uiPriority w:val="6"/>
    <w:rPr>
      <w:rFonts w:ascii="黑体" w:hAnsi="黑体" w:eastAsia="黑体"/>
    </w:rPr>
  </w:style>
  <w:style w:type="character" w:customStyle="1" w:styleId="250">
    <w:name w:val="正文首行缩进 2 Char1"/>
    <w:qFormat/>
    <w:uiPriority w:val="0"/>
    <w:rPr>
      <w:rFonts w:ascii="Times New Roman" w:hAnsi="Times New Roman" w:eastAsia="宋体" w:cs="Times New Roman"/>
      <w:kern w:val="2"/>
      <w:sz w:val="24"/>
      <w:szCs w:val="24"/>
    </w:rPr>
  </w:style>
  <w:style w:type="character" w:customStyle="1" w:styleId="251">
    <w:name w:val="HTML 地址 Char1"/>
    <w:qFormat/>
    <w:uiPriority w:val="0"/>
    <w:rPr>
      <w:rFonts w:ascii="Times New Roman" w:hAnsi="Times New Roman" w:eastAsia="宋体" w:cs="Times New Roman"/>
      <w:i/>
      <w:iCs/>
      <w:szCs w:val="24"/>
    </w:rPr>
  </w:style>
  <w:style w:type="character" w:customStyle="1" w:styleId="252">
    <w:name w:val="Char Char5"/>
    <w:qFormat/>
    <w:uiPriority w:val="0"/>
    <w:rPr>
      <w:rFonts w:ascii="宋体" w:hAnsi="Courier New" w:eastAsia="宋体"/>
      <w:kern w:val="2"/>
      <w:sz w:val="21"/>
      <w:lang w:val="en-US" w:eastAsia="zh-CN"/>
    </w:rPr>
  </w:style>
  <w:style w:type="character" w:customStyle="1" w:styleId="253">
    <w:name w:val="tw4winJump"/>
    <w:qFormat/>
    <w:uiPriority w:val="0"/>
    <w:rPr>
      <w:rFonts w:ascii="Courier New" w:hAnsi="Courier New" w:cs="Courier New"/>
      <w:color w:val="008080"/>
      <w:lang w:val="en-US" w:eastAsia="zh-CN"/>
    </w:rPr>
  </w:style>
  <w:style w:type="character" w:customStyle="1" w:styleId="254">
    <w:name w:val="未处理的提及1"/>
    <w:qFormat/>
    <w:uiPriority w:val="0"/>
    <w:rPr>
      <w:color w:val="808080"/>
      <w:shd w:val="clear" w:color="auto" w:fill="E6E6E6"/>
    </w:rPr>
  </w:style>
  <w:style w:type="character" w:customStyle="1" w:styleId="255">
    <w:name w:val="Char Char52"/>
    <w:qFormat/>
    <w:uiPriority w:val="0"/>
    <w:rPr>
      <w:rFonts w:ascii="宋体" w:hAnsi="Courier New" w:eastAsia="宋体"/>
      <w:kern w:val="2"/>
      <w:sz w:val="21"/>
      <w:lang w:val="en-US" w:eastAsia="zh-CN"/>
    </w:rPr>
  </w:style>
  <w:style w:type="character" w:customStyle="1" w:styleId="256">
    <w:name w:val="页脚 Char1"/>
    <w:qFormat/>
    <w:uiPriority w:val="0"/>
    <w:rPr>
      <w:rFonts w:eastAsia="宋体"/>
      <w:kern w:val="2"/>
      <w:sz w:val="18"/>
      <w:szCs w:val="18"/>
      <w:lang w:val="en-US" w:eastAsia="zh-CN" w:bidi="ar-SA"/>
    </w:rPr>
  </w:style>
  <w:style w:type="character" w:customStyle="1" w:styleId="257">
    <w:name w:val="Comment Text Char"/>
    <w:qFormat/>
    <w:locked/>
    <w:uiPriority w:val="0"/>
    <w:rPr>
      <w:rFonts w:ascii="宋体" w:hAnsi="宋体" w:eastAsia="宋体"/>
      <w:kern w:val="2"/>
      <w:sz w:val="24"/>
      <w:lang w:val="en-US" w:eastAsia="zh-CN" w:bidi="ar-SA"/>
    </w:rPr>
  </w:style>
  <w:style w:type="character" w:customStyle="1" w:styleId="258">
    <w:name w:val="方案正文 Char"/>
    <w:qFormat/>
    <w:uiPriority w:val="0"/>
    <w:rPr>
      <w:rFonts w:ascii="仿宋_GB2312" w:eastAsia="仿宋_GB2312"/>
      <w:b/>
      <w:color w:val="000000"/>
      <w:kern w:val="2"/>
      <w:sz w:val="24"/>
      <w:lang w:val="en-US" w:eastAsia="zh-CN" w:bidi="ar-SA"/>
    </w:rPr>
  </w:style>
  <w:style w:type="character" w:customStyle="1" w:styleId="259">
    <w:name w:val="style91"/>
    <w:qFormat/>
    <w:uiPriority w:val="0"/>
    <w:rPr>
      <w:color w:val="333333"/>
    </w:rPr>
  </w:style>
  <w:style w:type="character" w:customStyle="1" w:styleId="260">
    <w:name w:val="公文正文 Char"/>
    <w:qFormat/>
    <w:uiPriority w:val="0"/>
    <w:rPr>
      <w:rFonts w:ascii="仿宋_GB2312" w:eastAsia="仿宋_GB2312"/>
      <w:kern w:val="2"/>
      <w:sz w:val="24"/>
      <w:szCs w:val="24"/>
      <w:lang w:val="en-US" w:eastAsia="zh-CN" w:bidi="ar-SA"/>
    </w:rPr>
  </w:style>
  <w:style w:type="character" w:customStyle="1" w:styleId="261">
    <w:name w:val="样式8 Char"/>
    <w:qFormat/>
    <w:uiPriority w:val="0"/>
    <w:rPr>
      <w:rFonts w:ascii="仿宋_GB2312" w:hAnsi="宋体" w:eastAsia="仿宋_GB2312"/>
      <w:b/>
      <w:bCs/>
      <w:kern w:val="2"/>
      <w:sz w:val="24"/>
      <w:szCs w:val="24"/>
    </w:rPr>
  </w:style>
  <w:style w:type="character" w:customStyle="1" w:styleId="262">
    <w:name w:val="javascript"/>
    <w:qFormat/>
    <w:uiPriority w:val="0"/>
  </w:style>
  <w:style w:type="character" w:customStyle="1" w:styleId="263">
    <w:name w:val="正文首行缩进 Char Char Char Char Char Char"/>
    <w:qFormat/>
    <w:uiPriority w:val="0"/>
    <w:rPr>
      <w:rFonts w:ascii="宋体" w:eastAsia="宋体"/>
      <w:kern w:val="2"/>
      <w:sz w:val="24"/>
      <w:lang w:val="zh-CN" w:bidi="ar-SA"/>
    </w:rPr>
  </w:style>
  <w:style w:type="character" w:customStyle="1" w:styleId="264">
    <w:name w:val="Char Char102"/>
    <w:semiHidden/>
    <w:qFormat/>
    <w:uiPriority w:val="0"/>
    <w:rPr>
      <w:rFonts w:ascii="宋体" w:hAnsi="宋体"/>
      <w:kern w:val="2"/>
      <w:sz w:val="21"/>
      <w:szCs w:val="24"/>
      <w:lang w:val="en-US" w:eastAsia="zh-CN"/>
    </w:rPr>
  </w:style>
  <w:style w:type="character" w:customStyle="1" w:styleId="265">
    <w:name w:val="Heading 7 Char"/>
    <w:qFormat/>
    <w:locked/>
    <w:uiPriority w:val="0"/>
    <w:rPr>
      <w:rFonts w:ascii="宋体" w:hAnsi="宋体" w:eastAsia="宋体"/>
      <w:b/>
      <w:bCs/>
      <w:kern w:val="2"/>
      <w:sz w:val="24"/>
      <w:szCs w:val="24"/>
      <w:lang w:val="en-US" w:eastAsia="zh-CN" w:bidi="ar-SA"/>
    </w:rPr>
  </w:style>
  <w:style w:type="character" w:customStyle="1" w:styleId="266">
    <w:name w:val="列出段落 Char"/>
    <w:qFormat/>
    <w:uiPriority w:val="0"/>
    <w:rPr>
      <w:rFonts w:eastAsia="楷体_GB2312" w:cs="Lucida Sans"/>
      <w:kern w:val="2"/>
      <w:sz w:val="24"/>
      <w:szCs w:val="24"/>
      <w:lang w:val="en-US" w:eastAsia="zh-CN" w:bidi="ar-SA"/>
    </w:rPr>
  </w:style>
  <w:style w:type="character" w:customStyle="1" w:styleId="267">
    <w:name w:val="tw4winError"/>
    <w:qFormat/>
    <w:uiPriority w:val="0"/>
    <w:rPr>
      <w:rFonts w:ascii="Courier New" w:hAnsi="Courier New" w:cs="Courier New"/>
      <w:color w:val="00FF00"/>
      <w:sz w:val="40"/>
      <w:szCs w:val="40"/>
    </w:rPr>
  </w:style>
  <w:style w:type="character" w:customStyle="1" w:styleId="268">
    <w:name w:val="正文缩进 字符"/>
    <w:qFormat/>
    <w:uiPriority w:val="0"/>
    <w:rPr>
      <w:rFonts w:ascii="宋体" w:eastAsia="宋体"/>
      <w:snapToGrid w:val="0"/>
      <w:color w:val="000000"/>
      <w:kern w:val="28"/>
      <w:sz w:val="28"/>
      <w:lang w:val="en-US" w:eastAsia="zh-CN" w:bidi="ar-SA"/>
    </w:rPr>
  </w:style>
  <w:style w:type="character" w:customStyle="1" w:styleId="269">
    <w:name w:val="shadow11"/>
    <w:qFormat/>
    <w:uiPriority w:val="0"/>
    <w:rPr>
      <w:color w:val="000000"/>
      <w:sz w:val="21"/>
    </w:rPr>
  </w:style>
  <w:style w:type="character" w:customStyle="1" w:styleId="270">
    <w:name w:val="font11"/>
    <w:qFormat/>
    <w:uiPriority w:val="0"/>
    <w:rPr>
      <w:rFonts w:hint="default" w:ascii="Times New Roman" w:hAnsi="Times New Roman" w:cs="Times New Roman"/>
      <w:color w:val="000000"/>
      <w:sz w:val="22"/>
      <w:szCs w:val="22"/>
      <w:u w:val="none"/>
    </w:rPr>
  </w:style>
  <w:style w:type="character" w:customStyle="1" w:styleId="271">
    <w:name w:val="Footer-Even Char1"/>
    <w:qFormat/>
    <w:uiPriority w:val="0"/>
    <w:rPr>
      <w:rFonts w:eastAsia="宋体"/>
      <w:kern w:val="2"/>
      <w:sz w:val="18"/>
      <w:szCs w:val="18"/>
      <w:lang w:val="en-US" w:eastAsia="zh-CN" w:bidi="ar-SA"/>
    </w:rPr>
  </w:style>
  <w:style w:type="character" w:customStyle="1" w:styleId="272">
    <w:name w:val="Heading 1 Char"/>
    <w:qFormat/>
    <w:uiPriority w:val="6"/>
    <w:rPr>
      <w:rFonts w:ascii="Times New Roman" w:hAnsi="Times New Roman" w:eastAsia="黑体" w:cs="Times New Roman"/>
      <w:b/>
      <w:kern w:val="0"/>
      <w:sz w:val="24"/>
      <w:szCs w:val="24"/>
    </w:rPr>
  </w:style>
  <w:style w:type="character" w:customStyle="1" w:styleId="273">
    <w:name w:val="正文2 Char"/>
    <w:qFormat/>
    <w:uiPriority w:val="0"/>
    <w:rPr>
      <w:rFonts w:eastAsia="宋体"/>
      <w:kern w:val="2"/>
      <w:sz w:val="24"/>
      <w:lang w:val="en-US" w:eastAsia="zh-CN" w:bidi="ar-SA"/>
    </w:rPr>
  </w:style>
  <w:style w:type="character" w:customStyle="1" w:styleId="274">
    <w:name w:val="正文样式 Char"/>
    <w:link w:val="275"/>
    <w:qFormat/>
    <w:uiPriority w:val="0"/>
    <w:rPr>
      <w:rFonts w:ascii="Calibri" w:hAnsi="Calibri"/>
      <w:sz w:val="24"/>
      <w:szCs w:val="24"/>
    </w:rPr>
  </w:style>
  <w:style w:type="paragraph" w:customStyle="1" w:styleId="275">
    <w:name w:val="正文样式"/>
    <w:basedOn w:val="1"/>
    <w:link w:val="274"/>
    <w:qFormat/>
    <w:uiPriority w:val="0"/>
    <w:pPr>
      <w:adjustRightInd/>
      <w:spacing w:line="360" w:lineRule="auto"/>
      <w:ind w:firstLine="480" w:firstLineChars="200"/>
    </w:pPr>
    <w:rPr>
      <w:kern w:val="0"/>
      <w:sz w:val="24"/>
    </w:rPr>
  </w:style>
  <w:style w:type="character" w:customStyle="1" w:styleId="276">
    <w:name w:val="正文文本 2 Char"/>
    <w:qFormat/>
    <w:uiPriority w:val="0"/>
    <w:rPr>
      <w:rFonts w:eastAsia="宋体"/>
      <w:kern w:val="2"/>
      <w:sz w:val="21"/>
      <w:szCs w:val="24"/>
      <w:lang w:val="en-US" w:eastAsia="zh-CN" w:bidi="ar-SA"/>
    </w:rPr>
  </w:style>
  <w:style w:type="character" w:customStyle="1" w:styleId="277">
    <w:name w:val="h3 Char1"/>
    <w:qFormat/>
    <w:uiPriority w:val="0"/>
    <w:rPr>
      <w:rFonts w:eastAsia="宋体"/>
      <w:b/>
      <w:bCs/>
      <w:kern w:val="2"/>
      <w:sz w:val="32"/>
      <w:szCs w:val="32"/>
      <w:lang w:bidi="ar-SA"/>
    </w:rPr>
  </w:style>
  <w:style w:type="character" w:customStyle="1" w:styleId="278">
    <w:name w:val="Char Char29"/>
    <w:qFormat/>
    <w:uiPriority w:val="6"/>
    <w:rPr>
      <w:rFonts w:ascii="Arial" w:hAnsi="Arial" w:eastAsia="微软雅黑"/>
      <w:b/>
      <w:kern w:val="1"/>
      <w:sz w:val="44"/>
      <w:szCs w:val="32"/>
      <w:lang w:val="en-US" w:eastAsia="zh-CN" w:bidi="ar-SA"/>
    </w:rPr>
  </w:style>
  <w:style w:type="character" w:customStyle="1" w:styleId="27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280">
    <w:name w:val="正文说明 Char"/>
    <w:link w:val="281"/>
    <w:qFormat/>
    <w:uiPriority w:val="0"/>
    <w:rPr>
      <w:sz w:val="24"/>
      <w:szCs w:val="24"/>
    </w:rPr>
  </w:style>
  <w:style w:type="paragraph" w:customStyle="1" w:styleId="281">
    <w:name w:val="正文说明"/>
    <w:basedOn w:val="1"/>
    <w:link w:val="280"/>
    <w:qFormat/>
    <w:uiPriority w:val="0"/>
    <w:pPr>
      <w:adjustRightInd/>
      <w:spacing w:line="360" w:lineRule="auto"/>
    </w:pPr>
    <w:rPr>
      <w:kern w:val="0"/>
      <w:sz w:val="24"/>
    </w:rPr>
  </w:style>
  <w:style w:type="character" w:customStyle="1" w:styleId="282">
    <w:name w:val="正文首行缩进 Char Char Char Char Char Char1"/>
    <w:qFormat/>
    <w:uiPriority w:val="0"/>
    <w:rPr>
      <w:rFonts w:ascii="宋体" w:eastAsia="宋体"/>
      <w:kern w:val="2"/>
      <w:sz w:val="24"/>
      <w:szCs w:val="24"/>
      <w:lang w:val="zh-CN" w:bidi="ar-SA"/>
    </w:rPr>
  </w:style>
  <w:style w:type="character" w:customStyle="1" w:styleId="283">
    <w:name w:val="gf正文1 Char Char"/>
    <w:link w:val="284"/>
    <w:qFormat/>
    <w:uiPriority w:val="0"/>
    <w:rPr>
      <w:rFonts w:ascii="宋体" w:hAnsi="宋体" w:cs="宋体"/>
      <w:kern w:val="2"/>
      <w:sz w:val="24"/>
      <w:szCs w:val="24"/>
    </w:rPr>
  </w:style>
  <w:style w:type="paragraph" w:customStyle="1" w:styleId="284">
    <w:name w:val="gf正文1"/>
    <w:basedOn w:val="1"/>
    <w:link w:val="28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85">
    <w:name w:val="页脚 字符"/>
    <w:qFormat/>
    <w:uiPriority w:val="99"/>
    <w:rPr>
      <w:kern w:val="2"/>
      <w:sz w:val="18"/>
      <w:szCs w:val="18"/>
    </w:rPr>
  </w:style>
  <w:style w:type="character" w:customStyle="1" w:styleId="286">
    <w:name w:val="标题 4 字符"/>
    <w:qFormat/>
    <w:uiPriority w:val="9"/>
    <w:rPr>
      <w:rFonts w:ascii="等线 Light" w:hAnsi="等线 Light" w:eastAsia="等线 Light" w:cs="Times New Roman"/>
      <w:b/>
      <w:bCs/>
      <w:snapToGrid w:val="0"/>
      <w:kern w:val="0"/>
      <w:sz w:val="28"/>
      <w:szCs w:val="28"/>
    </w:rPr>
  </w:style>
  <w:style w:type="character" w:customStyle="1" w:styleId="287">
    <w:name w:val="HTML 预设格式 Char1"/>
    <w:qFormat/>
    <w:uiPriority w:val="0"/>
    <w:rPr>
      <w:rFonts w:ascii="Courier New" w:hAnsi="Courier New" w:eastAsia="宋体" w:cs="Courier New"/>
      <w:sz w:val="20"/>
      <w:szCs w:val="20"/>
    </w:rPr>
  </w:style>
  <w:style w:type="character" w:customStyle="1" w:styleId="288">
    <w:name w:val="gray6"/>
    <w:basedOn w:val="69"/>
    <w:qFormat/>
    <w:uiPriority w:val="0"/>
    <w:rPr>
      <w:rFonts w:ascii="Arial" w:hAnsi="Arial" w:eastAsia="黑体" w:cs="Arial"/>
      <w:snapToGrid w:val="0"/>
      <w:kern w:val="0"/>
      <w:szCs w:val="21"/>
    </w:rPr>
  </w:style>
  <w:style w:type="character" w:customStyle="1" w:styleId="289">
    <w:name w:val="Char Char211"/>
    <w:qFormat/>
    <w:uiPriority w:val="0"/>
    <w:rPr>
      <w:rFonts w:eastAsia="宋体"/>
      <w:b/>
      <w:bCs/>
      <w:kern w:val="2"/>
      <w:sz w:val="21"/>
      <w:szCs w:val="24"/>
      <w:lang w:val="en-US" w:eastAsia="zh-CN" w:bidi="ar-SA"/>
    </w:rPr>
  </w:style>
  <w:style w:type="character" w:customStyle="1" w:styleId="290">
    <w:name w:val="正文文本 Char"/>
    <w:qFormat/>
    <w:uiPriority w:val="0"/>
    <w:rPr>
      <w:rFonts w:eastAsia="宋体"/>
      <w:kern w:val="2"/>
      <w:sz w:val="24"/>
      <w:szCs w:val="24"/>
      <w:lang w:val="en-US" w:eastAsia="zh-CN" w:bidi="ar-SA"/>
    </w:rPr>
  </w:style>
  <w:style w:type="character" w:customStyle="1" w:styleId="291">
    <w:name w:val="标题 1 Char Char"/>
    <w:qFormat/>
    <w:uiPriority w:val="0"/>
    <w:rPr>
      <w:rFonts w:hint="eastAsia" w:ascii="宋体" w:hAnsi="宋体" w:eastAsia="宋体"/>
      <w:b/>
      <w:spacing w:val="-2"/>
      <w:sz w:val="24"/>
      <w:lang w:val="en-US" w:eastAsia="zh-CN" w:bidi="ar-SA"/>
    </w:rPr>
  </w:style>
  <w:style w:type="character" w:customStyle="1" w:styleId="292">
    <w:name w:val="myp11"/>
    <w:qFormat/>
    <w:uiPriority w:val="0"/>
    <w:rPr>
      <w:rFonts w:ascii="仿宋_GB2312" w:eastAsia="微软雅黑"/>
      <w:b/>
      <w:kern w:val="2"/>
      <w:sz w:val="32"/>
      <w:szCs w:val="32"/>
      <w:lang w:val="en-US" w:eastAsia="zh-CN" w:bidi="ar-SA"/>
    </w:rPr>
  </w:style>
  <w:style w:type="character" w:customStyle="1" w:styleId="293">
    <w:name w:val="普通文字 Char1 Char"/>
    <w:qFormat/>
    <w:uiPriority w:val="0"/>
    <w:rPr>
      <w:rFonts w:ascii="宋体" w:hAnsi="Courier New" w:eastAsia="宋体"/>
      <w:kern w:val="2"/>
      <w:sz w:val="21"/>
      <w:szCs w:val="24"/>
      <w:lang w:val="en-US" w:eastAsia="zh-CN" w:bidi="ar-SA"/>
    </w:rPr>
  </w:style>
  <w:style w:type="character" w:customStyle="1" w:styleId="294">
    <w:name w:val="哈哈正文 Char Char"/>
    <w:qFormat/>
    <w:uiPriority w:val="0"/>
    <w:rPr>
      <w:rFonts w:ascii="宋体" w:hAnsi="宋体" w:eastAsia="宋体" w:cs="宋体"/>
      <w:kern w:val="2"/>
      <w:sz w:val="24"/>
      <w:lang w:val="en-US" w:eastAsia="zh-CN" w:bidi="ar-SA"/>
    </w:rPr>
  </w:style>
  <w:style w:type="character" w:customStyle="1" w:styleId="295">
    <w:name w:val="Char Char19"/>
    <w:qFormat/>
    <w:uiPriority w:val="6"/>
    <w:rPr>
      <w:rFonts w:ascii="宋体" w:hAnsi="宋体"/>
      <w:i/>
      <w:sz w:val="24"/>
      <w:szCs w:val="24"/>
    </w:rPr>
  </w:style>
  <w:style w:type="character" w:customStyle="1" w:styleId="296">
    <w:name w:val="正文文本 Char2"/>
    <w:semiHidden/>
    <w:qFormat/>
    <w:uiPriority w:val="99"/>
    <w:rPr>
      <w:rFonts w:ascii="Times New Roman" w:hAnsi="Times New Roman" w:eastAsia="宋体" w:cs="Times New Roman"/>
      <w:snapToGrid w:val="0"/>
      <w:kern w:val="0"/>
      <w:szCs w:val="24"/>
    </w:rPr>
  </w:style>
  <w:style w:type="character" w:customStyle="1" w:styleId="297">
    <w:name w:val="正文首行缩进 Char1"/>
    <w:qFormat/>
    <w:uiPriority w:val="0"/>
    <w:rPr>
      <w:rFonts w:ascii="宋体" w:hAnsi="Times New Roman" w:eastAsia="宋体" w:cs="Times New Roman"/>
      <w:snapToGrid w:val="0"/>
      <w:kern w:val="2"/>
      <w:sz w:val="24"/>
      <w:szCs w:val="21"/>
      <w:lang w:val="zh-CN"/>
    </w:rPr>
  </w:style>
  <w:style w:type="character" w:customStyle="1" w:styleId="298">
    <w:name w:val="Char Char101"/>
    <w:qFormat/>
    <w:uiPriority w:val="6"/>
    <w:rPr>
      <w:rFonts w:ascii="宋体" w:hAnsi="宋体"/>
      <w:kern w:val="2"/>
      <w:sz w:val="21"/>
      <w:szCs w:val="24"/>
      <w:lang w:val="en-US" w:eastAsia="zh-CN"/>
    </w:rPr>
  </w:style>
  <w:style w:type="character" w:customStyle="1" w:styleId="299">
    <w:name w:val="批注框文本 字符"/>
    <w:qFormat/>
    <w:uiPriority w:val="0"/>
    <w:rPr>
      <w:rFonts w:ascii="Arial" w:hAnsi="Arial" w:eastAsia="黑体" w:cs="Arial"/>
      <w:snapToGrid w:val="0"/>
      <w:kern w:val="0"/>
      <w:sz w:val="18"/>
      <w:szCs w:val="18"/>
    </w:rPr>
  </w:style>
  <w:style w:type="character" w:customStyle="1" w:styleId="300">
    <w:name w:val="h Char Char"/>
    <w:qFormat/>
    <w:uiPriority w:val="0"/>
    <w:rPr>
      <w:rFonts w:eastAsia="宋体"/>
      <w:kern w:val="2"/>
      <w:sz w:val="18"/>
      <w:lang w:val="en-US" w:eastAsia="zh-CN" w:bidi="ar-SA"/>
    </w:rPr>
  </w:style>
  <w:style w:type="character" w:customStyle="1" w:styleId="301">
    <w:name w:val="hui3"/>
    <w:qFormat/>
    <w:uiPriority w:val="0"/>
    <w:rPr>
      <w:color w:val="333333"/>
    </w:rPr>
  </w:style>
  <w:style w:type="character" w:customStyle="1" w:styleId="302">
    <w:name w:val="Item List Char"/>
    <w:link w:val="303"/>
    <w:qFormat/>
    <w:uiPriority w:val="0"/>
    <w:rPr>
      <w:rFonts w:ascii="Arial"/>
      <w:bCs/>
      <w:sz w:val="21"/>
      <w:szCs w:val="21"/>
      <w:lang w:val="en-US" w:eastAsia="zh-CN" w:bidi="ar-SA"/>
    </w:rPr>
  </w:style>
  <w:style w:type="paragraph" w:customStyle="1" w:styleId="303">
    <w:name w:val="Item List"/>
    <w:link w:val="30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04">
    <w:name w:val="Char Char411"/>
    <w:qFormat/>
    <w:uiPriority w:val="0"/>
    <w:rPr>
      <w:rFonts w:eastAsia="宋体"/>
      <w:b/>
      <w:sz w:val="24"/>
      <w:lang w:eastAsia="zh-CN" w:bidi="ar-SA"/>
    </w:rPr>
  </w:style>
  <w:style w:type="character" w:customStyle="1" w:styleId="305">
    <w:name w:val="Char Char17"/>
    <w:qFormat/>
    <w:uiPriority w:val="6"/>
    <w:rPr>
      <w:rFonts w:eastAsia="仿宋_GB2312"/>
      <w:sz w:val="24"/>
    </w:rPr>
  </w:style>
  <w:style w:type="character" w:customStyle="1" w:styleId="306">
    <w:name w:val="maywed421"/>
    <w:qFormat/>
    <w:uiPriority w:val="0"/>
    <w:rPr>
      <w:color w:val="366FB6"/>
      <w:u w:val="none"/>
    </w:rPr>
  </w:style>
  <w:style w:type="character" w:customStyle="1" w:styleId="307">
    <w:name w:val="标题 2 Char"/>
    <w:qFormat/>
    <w:uiPriority w:val="0"/>
    <w:rPr>
      <w:rFonts w:ascii="Arial" w:hAnsi="Arial" w:eastAsia="黑体"/>
      <w:b/>
      <w:kern w:val="2"/>
      <w:sz w:val="32"/>
      <w:lang w:val="en-US" w:eastAsia="zh-CN"/>
    </w:rPr>
  </w:style>
  <w:style w:type="character" w:customStyle="1" w:styleId="308">
    <w:name w:val="solutionfonts"/>
    <w:qFormat/>
    <w:uiPriority w:val="0"/>
  </w:style>
  <w:style w:type="character" w:customStyle="1" w:styleId="309">
    <w:name w:val="正文文本缩进 Char2"/>
    <w:qFormat/>
    <w:uiPriority w:val="0"/>
    <w:rPr>
      <w:rFonts w:ascii="Times New Roman" w:hAnsi="Times New Roman" w:eastAsia="宋体" w:cs="Times New Roman"/>
      <w:snapToGrid w:val="0"/>
      <w:kern w:val="0"/>
      <w:szCs w:val="24"/>
    </w:rPr>
  </w:style>
  <w:style w:type="character" w:customStyle="1" w:styleId="310">
    <w:name w:val="Char Char312"/>
    <w:qFormat/>
    <w:uiPriority w:val="0"/>
    <w:rPr>
      <w:rFonts w:ascii="Times New Roman" w:hAnsi="Times New Roman" w:eastAsia="宋体" w:cs="Times New Roman"/>
      <w:b/>
      <w:kern w:val="2"/>
      <w:sz w:val="32"/>
      <w:szCs w:val="24"/>
      <w:lang w:val="en-US" w:eastAsia="zh-CN" w:bidi="ar-SA"/>
    </w:rPr>
  </w:style>
  <w:style w:type="character" w:customStyle="1" w:styleId="311">
    <w:name w:val="highlight1"/>
    <w:qFormat/>
    <w:uiPriority w:val="0"/>
    <w:rPr>
      <w:rFonts w:ascii="仿宋_GB2312" w:eastAsia="微软雅黑"/>
      <w:b/>
      <w:kern w:val="2"/>
      <w:sz w:val="23"/>
      <w:szCs w:val="23"/>
      <w:lang w:val="en-US" w:eastAsia="zh-CN" w:bidi="ar-SA"/>
    </w:rPr>
  </w:style>
  <w:style w:type="character" w:customStyle="1" w:styleId="312">
    <w:name w:val="Char Char82"/>
    <w:qFormat/>
    <w:uiPriority w:val="0"/>
    <w:rPr>
      <w:rFonts w:eastAsia="宋体"/>
      <w:b/>
      <w:sz w:val="24"/>
      <w:lang w:eastAsia="zh-CN"/>
    </w:rPr>
  </w:style>
  <w:style w:type="character" w:customStyle="1" w:styleId="313">
    <w:name w:val="标题 2 字符"/>
    <w:qFormat/>
    <w:uiPriority w:val="1"/>
    <w:rPr>
      <w:rFonts w:ascii="仿宋_GB2312" w:hAnsi="Times New Roman" w:eastAsia="仿宋_GB2312" w:cs="Times New Roman"/>
      <w:b/>
      <w:kern w:val="2"/>
      <w:sz w:val="24"/>
      <w:lang w:val="zh-CN"/>
    </w:rPr>
  </w:style>
  <w:style w:type="character" w:customStyle="1" w:styleId="314">
    <w:name w:val="正文非缩进 Char3"/>
    <w:qFormat/>
    <w:uiPriority w:val="0"/>
    <w:rPr>
      <w:rFonts w:ascii="宋体" w:eastAsia="宋体"/>
      <w:snapToGrid w:val="0"/>
      <w:color w:val="000000"/>
      <w:kern w:val="28"/>
      <w:sz w:val="28"/>
      <w:lang w:val="en-US" w:eastAsia="zh-CN" w:bidi="ar-SA"/>
    </w:rPr>
  </w:style>
  <w:style w:type="character" w:customStyle="1" w:styleId="315">
    <w:name w:val="b11_01b Char"/>
    <w:link w:val="316"/>
    <w:qFormat/>
    <w:uiPriority w:val="0"/>
    <w:rPr>
      <w:rFonts w:ascii="Verdana" w:hAnsi="Verdana"/>
      <w:b/>
      <w:bCs/>
      <w:color w:val="4A82CA"/>
      <w:sz w:val="17"/>
      <w:szCs w:val="17"/>
    </w:rPr>
  </w:style>
  <w:style w:type="paragraph" w:customStyle="1" w:styleId="316">
    <w:name w:val="b11_01b"/>
    <w:basedOn w:val="1"/>
    <w:next w:val="1"/>
    <w:link w:val="31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17">
    <w:name w:val="H6 Char"/>
    <w:qFormat/>
    <w:uiPriority w:val="0"/>
    <w:rPr>
      <w:rFonts w:ascii="Arial" w:hAnsi="Arial" w:eastAsia="黑体"/>
      <w:b/>
      <w:bCs/>
      <w:kern w:val="2"/>
      <w:sz w:val="24"/>
      <w:szCs w:val="24"/>
    </w:rPr>
  </w:style>
  <w:style w:type="character" w:customStyle="1" w:styleId="318">
    <w:name w:val="Footer Char"/>
    <w:qFormat/>
    <w:locked/>
    <w:uiPriority w:val="0"/>
    <w:rPr>
      <w:rFonts w:eastAsia="宋体"/>
      <w:kern w:val="2"/>
      <w:sz w:val="18"/>
      <w:lang w:val="en-US" w:eastAsia="zh-CN" w:bidi="ar-SA"/>
    </w:rPr>
  </w:style>
  <w:style w:type="character" w:customStyle="1" w:styleId="319">
    <w:name w:val="标题 3 Char2"/>
    <w:qFormat/>
    <w:uiPriority w:val="0"/>
    <w:rPr>
      <w:rFonts w:eastAsia="宋体"/>
      <w:b/>
      <w:bCs/>
      <w:kern w:val="2"/>
      <w:sz w:val="32"/>
      <w:szCs w:val="32"/>
      <w:lang w:val="en-US" w:eastAsia="zh-CN" w:bidi="ar-SA"/>
    </w:rPr>
  </w:style>
  <w:style w:type="character" w:customStyle="1" w:styleId="320">
    <w:name w:val="Heading 2 Hidden Char"/>
    <w:qFormat/>
    <w:uiPriority w:val="0"/>
    <w:rPr>
      <w:rFonts w:ascii="仿宋_GB2312" w:eastAsia="仿宋_GB2312"/>
      <w:b/>
      <w:bCs/>
      <w:kern w:val="2"/>
      <w:sz w:val="24"/>
      <w:szCs w:val="24"/>
      <w:lang w:val="zh-CN" w:eastAsia="zh-CN" w:bidi="ar-SA"/>
    </w:rPr>
  </w:style>
  <w:style w:type="character" w:customStyle="1" w:styleId="321">
    <w:name w:val="Table Text Char1"/>
    <w:qFormat/>
    <w:uiPriority w:val="0"/>
    <w:rPr>
      <w:rFonts w:eastAsia="宋体"/>
      <w:sz w:val="24"/>
      <w:szCs w:val="24"/>
      <w:lang w:val="en-US" w:eastAsia="zh-CN" w:bidi="ar-SA"/>
    </w:rPr>
  </w:style>
  <w:style w:type="character" w:customStyle="1" w:styleId="322">
    <w:name w:val="tw4winPopup"/>
    <w:qFormat/>
    <w:uiPriority w:val="0"/>
    <w:rPr>
      <w:rFonts w:ascii="Courier New" w:hAnsi="Courier New" w:cs="Courier New"/>
      <w:color w:val="008000"/>
      <w:lang w:val="en-US" w:eastAsia="zh-CN"/>
    </w:rPr>
  </w:style>
  <w:style w:type="character" w:customStyle="1" w:styleId="323">
    <w:name w:val="h4 Char"/>
    <w:qFormat/>
    <w:uiPriority w:val="0"/>
    <w:rPr>
      <w:rFonts w:ascii="Arial" w:hAnsi="Arial" w:eastAsia="黑体"/>
      <w:b/>
      <w:bCs/>
      <w:kern w:val="2"/>
      <w:sz w:val="28"/>
      <w:szCs w:val="28"/>
      <w:lang w:val="zh-CN" w:eastAsia="zh-CN" w:bidi="ar-SA"/>
    </w:rPr>
  </w:style>
  <w:style w:type="character" w:customStyle="1" w:styleId="324">
    <w:name w:val="列出段落 Char2"/>
    <w:qFormat/>
    <w:uiPriority w:val="34"/>
    <w:rPr>
      <w:rFonts w:ascii="Calibri" w:hAnsi="Calibri"/>
      <w:kern w:val="2"/>
      <w:sz w:val="28"/>
    </w:rPr>
  </w:style>
  <w:style w:type="character" w:customStyle="1" w:styleId="325">
    <w:name w:val="正文2 Char Char"/>
    <w:link w:val="326"/>
    <w:qFormat/>
    <w:uiPriority w:val="0"/>
    <w:rPr>
      <w:rFonts w:eastAsia="宋体"/>
      <w:kern w:val="2"/>
      <w:sz w:val="24"/>
      <w:lang w:val="en-US" w:eastAsia="zh-CN" w:bidi="ar-SA"/>
    </w:rPr>
  </w:style>
  <w:style w:type="paragraph" w:customStyle="1" w:styleId="326">
    <w:name w:val="正文2"/>
    <w:basedOn w:val="1"/>
    <w:link w:val="325"/>
    <w:qFormat/>
    <w:uiPriority w:val="0"/>
    <w:pPr>
      <w:spacing w:before="156" w:line="360" w:lineRule="auto"/>
      <w:ind w:firstLine="510" w:firstLineChars="200"/>
    </w:pPr>
    <w:rPr>
      <w:sz w:val="24"/>
      <w:szCs w:val="20"/>
    </w:rPr>
  </w:style>
  <w:style w:type="character" w:customStyle="1" w:styleId="327">
    <w:name w:val="批注文字 Char2"/>
    <w:qFormat/>
    <w:uiPriority w:val="99"/>
    <w:rPr>
      <w:rFonts w:ascii="Times New Roman" w:hAnsi="Times New Roman" w:eastAsia="宋体" w:cs="Times New Roman"/>
      <w:snapToGrid w:val="0"/>
      <w:kern w:val="0"/>
      <w:szCs w:val="24"/>
    </w:rPr>
  </w:style>
  <w:style w:type="character" w:customStyle="1" w:styleId="328">
    <w:name w:val="unnamed11"/>
    <w:qFormat/>
    <w:uiPriority w:val="0"/>
    <w:rPr>
      <w:sz w:val="20"/>
      <w:szCs w:val="20"/>
    </w:rPr>
  </w:style>
  <w:style w:type="character" w:customStyle="1" w:styleId="329">
    <w:name w:val="Char Char27"/>
    <w:qFormat/>
    <w:uiPriority w:val="6"/>
    <w:rPr>
      <w:rFonts w:ascii="宋体" w:hAnsi="宋体" w:eastAsia="宋体"/>
      <w:color w:val="000000"/>
      <w:kern w:val="1"/>
      <w:sz w:val="28"/>
      <w:lang w:val="en-US" w:eastAsia="zh-CN" w:bidi="ar-SA"/>
    </w:rPr>
  </w:style>
  <w:style w:type="character" w:customStyle="1" w:styleId="330">
    <w:name w:val="纯文本 Char_0"/>
    <w:link w:val="331"/>
    <w:qFormat/>
    <w:uiPriority w:val="0"/>
    <w:rPr>
      <w:rFonts w:ascii="宋体" w:hAnsi="Courier New"/>
      <w:kern w:val="2"/>
      <w:sz w:val="21"/>
      <w:szCs w:val="21"/>
      <w:lang w:val="en-US" w:eastAsia="zh-CN"/>
    </w:rPr>
  </w:style>
  <w:style w:type="paragraph" w:customStyle="1" w:styleId="331">
    <w:name w:val="纯文本_0_0"/>
    <w:basedOn w:val="332"/>
    <w:link w:val="330"/>
    <w:qFormat/>
    <w:uiPriority w:val="0"/>
    <w:rPr>
      <w:rFonts w:ascii="宋体" w:hAnsi="Courier New"/>
      <w:szCs w:val="21"/>
    </w:rPr>
  </w:style>
  <w:style w:type="paragraph" w:customStyle="1" w:styleId="33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3">
    <w:name w:val="font12gray1"/>
    <w:qFormat/>
    <w:uiPriority w:val="0"/>
    <w:rPr>
      <w:rFonts w:ascii="仿宋_GB2312" w:eastAsia="微软雅黑"/>
      <w:b/>
      <w:spacing w:val="300"/>
      <w:kern w:val="2"/>
      <w:sz w:val="18"/>
      <w:szCs w:val="18"/>
      <w:lang w:val="en-US" w:eastAsia="zh-CN" w:bidi="ar-SA"/>
    </w:rPr>
  </w:style>
  <w:style w:type="character" w:customStyle="1" w:styleId="334">
    <w:name w:val="px14"/>
    <w:qFormat/>
    <w:uiPriority w:val="0"/>
    <w:rPr>
      <w:rFonts w:ascii="仿宋_GB2312" w:eastAsia="微软雅黑" w:cs="Times New Roman"/>
      <w:b/>
      <w:kern w:val="2"/>
      <w:sz w:val="32"/>
      <w:szCs w:val="32"/>
      <w:lang w:val="en-US" w:eastAsia="zh-CN" w:bidi="ar-SA"/>
    </w:rPr>
  </w:style>
  <w:style w:type="character" w:customStyle="1" w:styleId="335">
    <w:name w:val="Char Char7"/>
    <w:semiHidden/>
    <w:qFormat/>
    <w:uiPriority w:val="0"/>
    <w:rPr>
      <w:rFonts w:eastAsia="宋体"/>
      <w:kern w:val="2"/>
      <w:sz w:val="21"/>
      <w:szCs w:val="24"/>
      <w:lang w:val="en-US" w:eastAsia="zh-CN" w:bidi="ar-SA"/>
    </w:rPr>
  </w:style>
  <w:style w:type="character" w:customStyle="1" w:styleId="336">
    <w:name w:val="称呼 Char1"/>
    <w:qFormat/>
    <w:uiPriority w:val="0"/>
    <w:rPr>
      <w:rFonts w:ascii="Times New Roman" w:hAnsi="Times New Roman" w:eastAsia="宋体" w:cs="Times New Roman"/>
      <w:szCs w:val="24"/>
    </w:rPr>
  </w:style>
  <w:style w:type="character" w:customStyle="1" w:styleId="337">
    <w:name w:val="style36"/>
    <w:basedOn w:val="69"/>
    <w:qFormat/>
    <w:uiPriority w:val="0"/>
    <w:rPr>
      <w:rFonts w:ascii="Arial" w:hAnsi="Arial" w:eastAsia="黑体" w:cs="Arial"/>
      <w:snapToGrid w:val="0"/>
      <w:kern w:val="0"/>
      <w:szCs w:val="21"/>
    </w:rPr>
  </w:style>
  <w:style w:type="character" w:customStyle="1" w:styleId="338">
    <w:name w:val="文档结构图 字符1"/>
    <w:qFormat/>
    <w:uiPriority w:val="0"/>
    <w:rPr>
      <w:rFonts w:ascii="宋体" w:hAnsi="Calibri" w:eastAsia="黑体" w:cs="Arial"/>
      <w:snapToGrid w:val="0"/>
      <w:kern w:val="2"/>
      <w:sz w:val="18"/>
      <w:szCs w:val="18"/>
    </w:rPr>
  </w:style>
  <w:style w:type="character" w:customStyle="1" w:styleId="339">
    <w:name w:val="Char Char18"/>
    <w:qFormat/>
    <w:uiPriority w:val="6"/>
    <w:rPr>
      <w:rFonts w:ascii="宋体" w:hAnsi="宋体"/>
      <w:sz w:val="28"/>
    </w:rPr>
  </w:style>
  <w:style w:type="character" w:customStyle="1" w:styleId="340">
    <w:name w:val="样式 宋体"/>
    <w:qFormat/>
    <w:uiPriority w:val="0"/>
    <w:rPr>
      <w:rFonts w:ascii="宋体" w:hAnsi="宋体"/>
      <w:sz w:val="24"/>
    </w:rPr>
  </w:style>
  <w:style w:type="character" w:customStyle="1" w:styleId="341">
    <w:name w:val="c7 style3"/>
    <w:qFormat/>
    <w:uiPriority w:val="0"/>
  </w:style>
  <w:style w:type="character" w:customStyle="1" w:styleId="342">
    <w:name w:val="pt141"/>
    <w:qFormat/>
    <w:uiPriority w:val="0"/>
    <w:rPr>
      <w:color w:val="330066"/>
      <w:sz w:val="22"/>
      <w:szCs w:val="22"/>
    </w:rPr>
  </w:style>
  <w:style w:type="character" w:customStyle="1" w:styleId="343">
    <w:name w:val="htd0"/>
    <w:qFormat/>
    <w:uiPriority w:val="0"/>
  </w:style>
  <w:style w:type="character" w:customStyle="1" w:styleId="344">
    <w:name w:val="txt"/>
    <w:qFormat/>
    <w:uiPriority w:val="0"/>
    <w:rPr>
      <w:rFonts w:ascii="仿宋_GB2312" w:eastAsia="微软雅黑"/>
      <w:b/>
      <w:kern w:val="2"/>
      <w:sz w:val="32"/>
      <w:szCs w:val="32"/>
      <w:lang w:val="en-US" w:eastAsia="zh-CN" w:bidi="ar-SA"/>
    </w:rPr>
  </w:style>
  <w:style w:type="character" w:customStyle="1" w:styleId="34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46">
    <w:name w:val="Char Char3"/>
    <w:qFormat/>
    <w:uiPriority w:val="0"/>
    <w:rPr>
      <w:rFonts w:eastAsia="宋体"/>
      <w:kern w:val="2"/>
      <w:sz w:val="21"/>
      <w:szCs w:val="24"/>
      <w:lang w:val="en-US" w:eastAsia="zh-CN" w:bidi="ar-SA"/>
    </w:rPr>
  </w:style>
  <w:style w:type="character" w:customStyle="1" w:styleId="347">
    <w:name w:val="标准正文格式 Char"/>
    <w:qFormat/>
    <w:uiPriority w:val="0"/>
    <w:rPr>
      <w:rFonts w:ascii="宋体" w:eastAsia="仿宋_GB2312" w:cs="宋体"/>
      <w:color w:val="000000"/>
      <w:sz w:val="24"/>
      <w:lang w:val="en-US" w:eastAsia="zh-CN" w:bidi="ar-SA"/>
    </w:rPr>
  </w:style>
  <w:style w:type="character" w:customStyle="1" w:styleId="348">
    <w:name w:val="文本正文 Char Char"/>
    <w:qFormat/>
    <w:locked/>
    <w:uiPriority w:val="0"/>
    <w:rPr>
      <w:sz w:val="24"/>
      <w:lang w:bidi="ar-SA"/>
    </w:rPr>
  </w:style>
  <w:style w:type="character" w:customStyle="1" w:styleId="349">
    <w:name w:val="脚注文本 Char1"/>
    <w:qFormat/>
    <w:uiPriority w:val="0"/>
    <w:rPr>
      <w:rFonts w:ascii="Times New Roman" w:hAnsi="Times New Roman" w:eastAsia="宋体" w:cs="Times New Roman"/>
      <w:sz w:val="18"/>
      <w:szCs w:val="18"/>
    </w:rPr>
  </w:style>
  <w:style w:type="character" w:customStyle="1" w:styleId="350">
    <w:name w:val="my正文 Char"/>
    <w:link w:val="351"/>
    <w:qFormat/>
    <w:locked/>
    <w:uiPriority w:val="0"/>
    <w:rPr>
      <w:rFonts w:ascii="Tahoma" w:hAnsi="Tahoma"/>
      <w:sz w:val="24"/>
      <w:szCs w:val="24"/>
    </w:rPr>
  </w:style>
  <w:style w:type="paragraph" w:customStyle="1" w:styleId="351">
    <w:name w:val="my正文"/>
    <w:basedOn w:val="1"/>
    <w:link w:val="350"/>
    <w:qFormat/>
    <w:uiPriority w:val="0"/>
    <w:pPr>
      <w:adjustRightInd/>
      <w:spacing w:line="360" w:lineRule="auto"/>
      <w:ind w:firstLine="480" w:firstLineChars="200"/>
    </w:pPr>
    <w:rPr>
      <w:rFonts w:ascii="Tahoma" w:hAnsi="Tahoma"/>
      <w:kern w:val="0"/>
      <w:sz w:val="24"/>
    </w:rPr>
  </w:style>
  <w:style w:type="character" w:customStyle="1" w:styleId="352">
    <w:name w:val="批注框文本 Char1"/>
    <w:qFormat/>
    <w:uiPriority w:val="0"/>
    <w:rPr>
      <w:rFonts w:ascii="Times New Roman" w:hAnsi="Times New Roman" w:eastAsia="宋体" w:cs="Times New Roman"/>
      <w:sz w:val="18"/>
      <w:szCs w:val="18"/>
    </w:rPr>
  </w:style>
  <w:style w:type="character" w:customStyle="1" w:styleId="353">
    <w:name w:val="表格 Char Char"/>
    <w:qFormat/>
    <w:uiPriority w:val="0"/>
    <w:rPr>
      <w:rFonts w:ascii="宋体" w:hAnsi="宋体" w:eastAsia="宋体"/>
      <w:lang w:bidi="ar-SA"/>
    </w:rPr>
  </w:style>
  <w:style w:type="character" w:customStyle="1" w:styleId="354">
    <w:name w:val="apple-converted-space"/>
    <w:qFormat/>
    <w:uiPriority w:val="0"/>
  </w:style>
  <w:style w:type="character" w:customStyle="1" w:styleId="355">
    <w:name w:val="Char Char213"/>
    <w:qFormat/>
    <w:uiPriority w:val="0"/>
    <w:rPr>
      <w:rFonts w:eastAsia="Century Gothic"/>
      <w:b/>
      <w:bCs/>
      <w:kern w:val="44"/>
      <w:sz w:val="32"/>
      <w:szCs w:val="44"/>
      <w:lang w:val="en-US" w:eastAsia="zh-CN" w:bidi="ar-SA"/>
    </w:rPr>
  </w:style>
  <w:style w:type="character" w:customStyle="1" w:styleId="356">
    <w:name w:val="批注主题 Char"/>
    <w:qFormat/>
    <w:uiPriority w:val="0"/>
    <w:rPr>
      <w:rFonts w:eastAsia="宋体"/>
      <w:b/>
      <w:bCs/>
      <w:kern w:val="2"/>
      <w:sz w:val="21"/>
      <w:szCs w:val="24"/>
      <w:lang w:val="en-US" w:eastAsia="zh-CN" w:bidi="ar-SA"/>
    </w:rPr>
  </w:style>
  <w:style w:type="character" w:customStyle="1" w:styleId="357">
    <w:name w:val="正文首行缩进两字 Char"/>
    <w:qFormat/>
    <w:uiPriority w:val="0"/>
    <w:rPr>
      <w:sz w:val="24"/>
      <w:szCs w:val="24"/>
      <w:lang w:val="en-US" w:eastAsia="zh-CN" w:bidi="ar-SA"/>
    </w:rPr>
  </w:style>
  <w:style w:type="character" w:customStyle="1" w:styleId="358">
    <w:name w:val="列出段落 Char1"/>
    <w:link w:val="359"/>
    <w:qFormat/>
    <w:uiPriority w:val="0"/>
    <w:rPr>
      <w:rFonts w:ascii="Calibri" w:hAnsi="Calibri"/>
      <w:sz w:val="24"/>
      <w:lang w:eastAsia="en-US"/>
    </w:rPr>
  </w:style>
  <w:style w:type="paragraph" w:customStyle="1" w:styleId="359">
    <w:name w:val="列表1"/>
    <w:basedOn w:val="1"/>
    <w:next w:val="360"/>
    <w:link w:val="3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360">
    <w:name w:val="List Paragraph"/>
    <w:basedOn w:val="1"/>
    <w:qFormat/>
    <w:uiPriority w:val="34"/>
    <w:pPr>
      <w:spacing w:line="360" w:lineRule="auto"/>
      <w:ind w:firstLine="200" w:firstLineChars="200"/>
    </w:pPr>
    <w:rPr>
      <w:rFonts w:eastAsia="楷体_GB2312" w:cs="Lucida Sans"/>
      <w:sz w:val="24"/>
    </w:rPr>
  </w:style>
  <w:style w:type="character" w:customStyle="1" w:styleId="361">
    <w:name w:val="Char Char12"/>
    <w:qFormat/>
    <w:uiPriority w:val="0"/>
    <w:rPr>
      <w:rFonts w:ascii="仿宋_GB2312" w:eastAsia="仿宋_GB2312"/>
      <w:b/>
      <w:bCs/>
      <w:kern w:val="2"/>
      <w:sz w:val="24"/>
      <w:szCs w:val="24"/>
      <w:lang w:val="zh-CN" w:eastAsia="zh-CN" w:bidi="ar-SA"/>
    </w:rPr>
  </w:style>
  <w:style w:type="character" w:customStyle="1" w:styleId="362">
    <w:name w:val="Char Char121"/>
    <w:qFormat/>
    <w:uiPriority w:val="6"/>
    <w:rPr>
      <w:rFonts w:ascii="仿宋_GB2312" w:eastAsia="仿宋_GB2312"/>
      <w:b/>
      <w:bCs/>
      <w:kern w:val="2"/>
      <w:sz w:val="24"/>
      <w:szCs w:val="24"/>
      <w:lang w:val="zh-CN" w:eastAsia="zh-CN" w:bidi="ar-SA"/>
    </w:rPr>
  </w:style>
  <w:style w:type="character" w:customStyle="1" w:styleId="363">
    <w:name w:val="edui-unclickable"/>
    <w:qFormat/>
    <w:uiPriority w:val="0"/>
    <w:rPr>
      <w:color w:val="808080"/>
    </w:rPr>
  </w:style>
  <w:style w:type="character" w:customStyle="1" w:styleId="364">
    <w:name w:val="正文（绿盟科技） Char"/>
    <w:link w:val="365"/>
    <w:qFormat/>
    <w:uiPriority w:val="0"/>
    <w:rPr>
      <w:rFonts w:ascii="Arial" w:hAnsi="Arial"/>
      <w:sz w:val="21"/>
      <w:szCs w:val="21"/>
    </w:rPr>
  </w:style>
  <w:style w:type="paragraph" w:customStyle="1" w:styleId="365">
    <w:name w:val="正文（绿盟科技）"/>
    <w:link w:val="364"/>
    <w:qFormat/>
    <w:uiPriority w:val="0"/>
    <w:pPr>
      <w:spacing w:line="300" w:lineRule="auto"/>
    </w:pPr>
    <w:rPr>
      <w:rFonts w:ascii="Arial" w:hAnsi="Arial" w:eastAsia="宋体" w:cs="Times New Roman"/>
      <w:sz w:val="21"/>
      <w:szCs w:val="21"/>
      <w:lang w:val="en-US" w:eastAsia="zh-CN" w:bidi="ar-SA"/>
    </w:rPr>
  </w:style>
  <w:style w:type="character" w:customStyle="1" w:styleId="366">
    <w:name w:val="DO_NOT_TRANSLATE"/>
    <w:qFormat/>
    <w:uiPriority w:val="0"/>
    <w:rPr>
      <w:rFonts w:ascii="Courier New" w:hAnsi="Courier New" w:cs="Courier New"/>
      <w:color w:val="800000"/>
      <w:lang w:val="en-US" w:eastAsia="zh-CN"/>
    </w:rPr>
  </w:style>
  <w:style w:type="character" w:customStyle="1" w:styleId="367">
    <w:name w:val="Char Char10"/>
    <w:semiHidden/>
    <w:qFormat/>
    <w:uiPriority w:val="0"/>
    <w:rPr>
      <w:rFonts w:ascii="宋体" w:hAnsi="宋体"/>
      <w:kern w:val="2"/>
      <w:sz w:val="21"/>
      <w:szCs w:val="24"/>
      <w:lang w:val="en-US" w:eastAsia="zh-CN"/>
    </w:rPr>
  </w:style>
  <w:style w:type="character" w:customStyle="1" w:styleId="368">
    <w:name w:val="tw4winInternal"/>
    <w:qFormat/>
    <w:uiPriority w:val="0"/>
    <w:rPr>
      <w:rFonts w:ascii="Courier New" w:hAnsi="Courier New" w:cs="Courier New"/>
      <w:color w:val="FF0000"/>
      <w:lang w:val="en-US" w:eastAsia="zh-CN"/>
    </w:rPr>
  </w:style>
  <w:style w:type="character" w:customStyle="1" w:styleId="369">
    <w:name w:val="apple-style-span"/>
    <w:qFormat/>
    <w:uiPriority w:val="0"/>
    <w:rPr>
      <w:rFonts w:ascii="Arial" w:hAnsi="Arial" w:eastAsia="黑体" w:cs="Arial"/>
      <w:snapToGrid w:val="0"/>
      <w:kern w:val="0"/>
      <w:szCs w:val="21"/>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Char Char72"/>
    <w:qFormat/>
    <w:uiPriority w:val="0"/>
    <w:rPr>
      <w:rFonts w:eastAsia="宋体"/>
      <w:kern w:val="2"/>
      <w:sz w:val="21"/>
      <w:szCs w:val="24"/>
      <w:lang w:val="en-US" w:eastAsia="zh-CN" w:bidi="ar-SA"/>
    </w:rPr>
  </w:style>
  <w:style w:type="character" w:customStyle="1" w:styleId="372">
    <w:name w:val="仿宋正文 Char"/>
    <w:link w:val="373"/>
    <w:qFormat/>
    <w:uiPriority w:val="0"/>
    <w:rPr>
      <w:rFonts w:ascii="仿宋_GB2312" w:eastAsia="仿宋_GB2312"/>
      <w:kern w:val="2"/>
      <w:sz w:val="24"/>
      <w:lang w:val="en-US" w:eastAsia="zh-CN" w:bidi="ar-SA"/>
    </w:rPr>
  </w:style>
  <w:style w:type="paragraph" w:customStyle="1" w:styleId="373">
    <w:name w:val="仿宋正文"/>
    <w:basedOn w:val="1"/>
    <w:link w:val="372"/>
    <w:qFormat/>
    <w:uiPriority w:val="0"/>
    <w:pPr>
      <w:adjustRightInd/>
      <w:spacing w:line="360" w:lineRule="auto"/>
      <w:ind w:firstLine="480" w:firstLineChars="200"/>
    </w:pPr>
    <w:rPr>
      <w:rFonts w:ascii="仿宋_GB2312" w:eastAsia="仿宋_GB2312"/>
      <w:sz w:val="24"/>
      <w:szCs w:val="20"/>
    </w:rPr>
  </w:style>
  <w:style w:type="character" w:customStyle="1" w:styleId="374">
    <w:name w:val="dectext1"/>
    <w:qFormat/>
    <w:uiPriority w:val="0"/>
    <w:rPr>
      <w:rFonts w:ascii="宋体" w:hAnsi="宋体" w:eastAsia="宋体"/>
      <w:color w:val="333333"/>
      <w:sz w:val="21"/>
      <w:szCs w:val="21"/>
      <w:u w:val="none"/>
    </w:rPr>
  </w:style>
  <w:style w:type="character" w:customStyle="1" w:styleId="375">
    <w:name w:val="页眉 Char1"/>
    <w:qFormat/>
    <w:uiPriority w:val="0"/>
    <w:rPr>
      <w:rFonts w:eastAsia="宋体"/>
      <w:kern w:val="2"/>
      <w:sz w:val="18"/>
      <w:szCs w:val="18"/>
      <w:lang w:val="en-US" w:eastAsia="zh-CN" w:bidi="ar-SA"/>
    </w:rPr>
  </w:style>
  <w:style w:type="character" w:customStyle="1" w:styleId="376">
    <w:name w:val="首行缩进 Char"/>
    <w:qFormat/>
    <w:uiPriority w:val="0"/>
    <w:rPr>
      <w:rFonts w:ascii="宋体" w:eastAsia="宋体"/>
      <w:kern w:val="2"/>
      <w:sz w:val="24"/>
      <w:lang w:val="en-US" w:eastAsia="zh-CN" w:bidi="ar-SA"/>
    </w:rPr>
  </w:style>
  <w:style w:type="character" w:customStyle="1" w:styleId="377">
    <w:name w:val="标书正文格式 Char"/>
    <w:qFormat/>
    <w:uiPriority w:val="0"/>
    <w:rPr>
      <w:rFonts w:eastAsia="楷体_GB2312"/>
      <w:kern w:val="2"/>
      <w:sz w:val="24"/>
      <w:szCs w:val="24"/>
      <w:lang w:bidi="ar-SA"/>
    </w:rPr>
  </w:style>
  <w:style w:type="character" w:customStyle="1" w:styleId="378">
    <w:name w:val="图名 Char"/>
    <w:qFormat/>
    <w:uiPriority w:val="0"/>
    <w:rPr>
      <w:rFonts w:ascii="Arial" w:hAnsi="Arial" w:eastAsia="黑体"/>
      <w:kern w:val="2"/>
      <w:sz w:val="24"/>
      <w:szCs w:val="24"/>
      <w:lang w:val="en-US" w:eastAsia="zh-CN" w:bidi="ar-SA"/>
    </w:rPr>
  </w:style>
  <w:style w:type="character" w:customStyle="1" w:styleId="379">
    <w:name w:val="Char Char31"/>
    <w:qFormat/>
    <w:uiPriority w:val="6"/>
    <w:rPr>
      <w:rFonts w:ascii="Arial" w:hAnsi="Arial" w:eastAsia="黑体"/>
      <w:kern w:val="1"/>
      <w:sz w:val="24"/>
      <w:szCs w:val="24"/>
    </w:rPr>
  </w:style>
  <w:style w:type="character" w:customStyle="1" w:styleId="380">
    <w:name w:val="Char Char51"/>
    <w:qFormat/>
    <w:uiPriority w:val="0"/>
    <w:rPr>
      <w:rFonts w:ascii="宋体" w:hAnsi="Courier New" w:eastAsia="宋体"/>
      <w:kern w:val="2"/>
      <w:sz w:val="21"/>
      <w:lang w:val="en-US" w:eastAsia="zh-CN"/>
    </w:rPr>
  </w:style>
  <w:style w:type="character" w:customStyle="1" w:styleId="381">
    <w:name w:val="Char Char30"/>
    <w:qFormat/>
    <w:uiPriority w:val="6"/>
    <w:rPr>
      <w:rFonts w:ascii="Arial" w:hAnsi="Arial" w:eastAsia="黑体"/>
      <w:kern w:val="1"/>
      <w:sz w:val="21"/>
      <w:szCs w:val="21"/>
    </w:rPr>
  </w:style>
  <w:style w:type="character" w:customStyle="1" w:styleId="382">
    <w:name w:val="PI Char1"/>
    <w:qFormat/>
    <w:uiPriority w:val="0"/>
    <w:rPr>
      <w:rFonts w:ascii="宋体" w:hAnsi="宋体"/>
      <w:kern w:val="2"/>
      <w:sz w:val="24"/>
      <w:szCs w:val="24"/>
    </w:rPr>
  </w:style>
  <w:style w:type="character" w:customStyle="1" w:styleId="383">
    <w:name w:val="无间隔 Char"/>
    <w:link w:val="384"/>
    <w:qFormat/>
    <w:uiPriority w:val="99"/>
    <w:rPr>
      <w:kern w:val="2"/>
      <w:sz w:val="21"/>
      <w:szCs w:val="22"/>
    </w:rPr>
  </w:style>
  <w:style w:type="paragraph" w:customStyle="1" w:styleId="384">
    <w:name w:val="No Spacing"/>
    <w:basedOn w:val="1"/>
    <w:link w:val="383"/>
    <w:qFormat/>
    <w:uiPriority w:val="99"/>
    <w:rPr>
      <w:szCs w:val="22"/>
    </w:rPr>
  </w:style>
  <w:style w:type="character" w:customStyle="1" w:styleId="38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86">
    <w:name w:val="edui-clickable2"/>
    <w:qFormat/>
    <w:uiPriority w:val="0"/>
    <w:rPr>
      <w:color w:val="0000FF"/>
      <w:u w:val="single"/>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书1 Char"/>
    <w:qFormat/>
    <w:uiPriority w:val="0"/>
    <w:rPr>
      <w:rFonts w:eastAsia="宋体"/>
      <w:b/>
      <w:bCs/>
      <w:kern w:val="44"/>
      <w:sz w:val="44"/>
      <w:szCs w:val="44"/>
      <w:lang w:val="en-US" w:eastAsia="zh-CN" w:bidi="ar-SA"/>
    </w:rPr>
  </w:style>
  <w:style w:type="character" w:customStyle="1" w:styleId="390">
    <w:name w:val="Char Char81"/>
    <w:qFormat/>
    <w:uiPriority w:val="6"/>
    <w:rPr>
      <w:rFonts w:eastAsia="宋体"/>
      <w:b/>
      <w:sz w:val="24"/>
      <w:lang w:eastAsia="zh-CN"/>
    </w:rPr>
  </w:style>
  <w:style w:type="character" w:customStyle="1" w:styleId="391">
    <w:name w:val="Header Char"/>
    <w:qFormat/>
    <w:locked/>
    <w:uiPriority w:val="0"/>
    <w:rPr>
      <w:rFonts w:eastAsia="宋体"/>
      <w:kern w:val="2"/>
      <w:sz w:val="18"/>
      <w:szCs w:val="18"/>
      <w:lang w:val="en-US" w:eastAsia="zh-CN" w:bidi="ar-SA"/>
    </w:rPr>
  </w:style>
  <w:style w:type="character" w:customStyle="1" w:styleId="392">
    <w:name w:val="Char Char8"/>
    <w:qFormat/>
    <w:uiPriority w:val="0"/>
    <w:rPr>
      <w:rFonts w:eastAsia="宋体"/>
      <w:b/>
      <w:sz w:val="24"/>
      <w:lang w:eastAsia="zh-CN"/>
    </w:rPr>
  </w:style>
  <w:style w:type="character" w:customStyle="1" w:styleId="393">
    <w:name w:val="FA正文 Char Char"/>
    <w:qFormat/>
    <w:uiPriority w:val="0"/>
    <w:rPr>
      <w:rFonts w:hAnsi="宋体"/>
      <w:kern w:val="2"/>
      <w:sz w:val="24"/>
      <w:lang w:bidi="ar-SA"/>
    </w:rPr>
  </w:style>
  <w:style w:type="character" w:customStyle="1" w:styleId="394">
    <w:name w:val="style1"/>
    <w:qFormat/>
    <w:uiPriority w:val="0"/>
    <w:rPr>
      <w:rFonts w:ascii="Arial" w:hAnsi="Arial" w:eastAsia="黑体" w:cs="Arial"/>
      <w:snapToGrid w:val="0"/>
      <w:kern w:val="0"/>
      <w:szCs w:val="21"/>
    </w:rPr>
  </w:style>
  <w:style w:type="character" w:customStyle="1" w:styleId="395">
    <w:name w:val="纯文本 字符"/>
    <w:qFormat/>
    <w:uiPriority w:val="0"/>
    <w:rPr>
      <w:rFonts w:ascii="宋体" w:hAnsi="Courier New" w:eastAsia="宋体" w:cs="Arial"/>
      <w:snapToGrid w:val="0"/>
      <w:kern w:val="2"/>
      <w:sz w:val="21"/>
      <w:szCs w:val="21"/>
      <w:lang w:val="en-US" w:eastAsia="zh-CN" w:bidi="ar-SA"/>
    </w:rPr>
  </w:style>
  <w:style w:type="character" w:customStyle="1" w:styleId="396">
    <w:name w:val="日期 Char1"/>
    <w:semiHidden/>
    <w:qFormat/>
    <w:uiPriority w:val="99"/>
    <w:rPr>
      <w:rFonts w:ascii="Times New Roman" w:hAnsi="Times New Roman" w:eastAsia="宋体" w:cs="Times New Roman"/>
      <w:szCs w:val="24"/>
    </w:rPr>
  </w:style>
  <w:style w:type="character" w:customStyle="1" w:styleId="397">
    <w:name w:val="3级 Char"/>
    <w:link w:val="398"/>
    <w:qFormat/>
    <w:uiPriority w:val="0"/>
    <w:rPr>
      <w:rFonts w:ascii="宋体" w:hAnsi="宋体"/>
      <w:b/>
      <w:bCs/>
      <w:snapToGrid/>
      <w:sz w:val="28"/>
    </w:rPr>
  </w:style>
  <w:style w:type="paragraph" w:customStyle="1" w:styleId="398">
    <w:name w:val="3级"/>
    <w:basedOn w:val="399"/>
    <w:link w:val="397"/>
    <w:qFormat/>
    <w:uiPriority w:val="0"/>
    <w:pPr>
      <w:ind w:left="0" w:right="466" w:firstLine="288"/>
    </w:pPr>
    <w:rPr>
      <w:rFonts w:hAnsi="宋体"/>
      <w:snapToGrid/>
    </w:rPr>
  </w:style>
  <w:style w:type="paragraph" w:customStyle="1" w:styleId="399">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400">
    <w:name w:val="标书1 Char1"/>
    <w:qFormat/>
    <w:uiPriority w:val="0"/>
    <w:rPr>
      <w:rFonts w:eastAsia="宋体"/>
      <w:b/>
      <w:bCs/>
      <w:kern w:val="44"/>
      <w:sz w:val="44"/>
      <w:szCs w:val="44"/>
      <w:lang w:val="en-US" w:eastAsia="zh-CN" w:bidi="ar-SA"/>
    </w:rPr>
  </w:style>
  <w:style w:type="character" w:customStyle="1" w:styleId="401">
    <w:name w:val="PI Char"/>
    <w:qFormat/>
    <w:uiPriority w:val="0"/>
    <w:rPr>
      <w:rFonts w:ascii="宋体" w:hAnsi="宋体" w:eastAsia="宋体"/>
      <w:kern w:val="2"/>
      <w:sz w:val="24"/>
      <w:szCs w:val="24"/>
      <w:lang w:val="en-US" w:eastAsia="zh-CN" w:bidi="ar-SA"/>
    </w:rPr>
  </w:style>
  <w:style w:type="character" w:customStyle="1" w:styleId="402">
    <w:name w:val="正文文本缩进 Char"/>
    <w:qFormat/>
    <w:uiPriority w:val="0"/>
    <w:rPr>
      <w:rFonts w:ascii="宋体" w:hAnsi="宋体"/>
      <w:kern w:val="2"/>
      <w:sz w:val="24"/>
      <w:szCs w:val="24"/>
    </w:rPr>
  </w:style>
  <w:style w:type="character" w:customStyle="1" w:styleId="403">
    <w:name w:val="带编号样式 Char"/>
    <w:qFormat/>
    <w:uiPriority w:val="0"/>
    <w:rPr>
      <w:rFonts w:ascii="仿宋_GB2312" w:eastAsia="仿宋_GB2312"/>
      <w:color w:val="000000"/>
      <w:sz w:val="24"/>
      <w:lang w:bidi="ar-SA"/>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tw4winMark"/>
    <w:qFormat/>
    <w:uiPriority w:val="0"/>
    <w:rPr>
      <w:rFonts w:ascii="Courier New" w:hAnsi="Courier New" w:cs="Courier New"/>
      <w:vanish/>
      <w:color w:val="800080"/>
      <w:sz w:val="24"/>
      <w:szCs w:val="24"/>
      <w:vertAlign w:val="subscript"/>
    </w:rPr>
  </w:style>
  <w:style w:type="character" w:customStyle="1" w:styleId="407">
    <w:name w:val="文档结构图 Char"/>
    <w:qFormat/>
    <w:uiPriority w:val="0"/>
    <w:rPr>
      <w:rFonts w:eastAsia="宋体"/>
      <w:kern w:val="2"/>
      <w:sz w:val="21"/>
      <w:szCs w:val="24"/>
      <w:lang w:val="en-US" w:eastAsia="zh-CN" w:bidi="ar-SA"/>
    </w:rPr>
  </w:style>
  <w:style w:type="character" w:customStyle="1" w:styleId="408">
    <w:name w:val="页眉 字符1"/>
    <w:qFormat/>
    <w:uiPriority w:val="99"/>
    <w:rPr>
      <w:kern w:val="2"/>
      <w:sz w:val="18"/>
      <w:szCs w:val="18"/>
    </w:rPr>
  </w:style>
  <w:style w:type="character" w:customStyle="1" w:styleId="409">
    <w:name w:val="Default Char"/>
    <w:link w:val="410"/>
    <w:qFormat/>
    <w:uiPriority w:val="0"/>
    <w:rPr>
      <w:rFonts w:ascii="仿宋_GB2312" w:eastAsia="仿宋_GB2312" w:cs="仿宋_GB2312"/>
      <w:color w:val="000000"/>
      <w:sz w:val="24"/>
      <w:szCs w:val="24"/>
      <w:lang w:val="en-US" w:eastAsia="zh-CN" w:bidi="ar-SA"/>
    </w:rPr>
  </w:style>
  <w:style w:type="paragraph" w:customStyle="1" w:styleId="410">
    <w:name w:val="Default"/>
    <w:link w:val="40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411">
    <w:name w:val="big1"/>
    <w:qFormat/>
    <w:uiPriority w:val="0"/>
    <w:rPr>
      <w:rFonts w:hint="eastAsia" w:ascii="宋体" w:hAnsi="宋体" w:eastAsia="宋体"/>
      <w:color w:val="333333"/>
      <w:sz w:val="22"/>
      <w:szCs w:val="22"/>
    </w:rPr>
  </w:style>
  <w:style w:type="character" w:customStyle="1" w:styleId="412">
    <w:name w:val="H5 Char"/>
    <w:qFormat/>
    <w:uiPriority w:val="0"/>
    <w:rPr>
      <w:b/>
      <w:bCs/>
      <w:kern w:val="2"/>
      <w:sz w:val="28"/>
      <w:szCs w:val="28"/>
    </w:rPr>
  </w:style>
  <w:style w:type="character" w:customStyle="1" w:styleId="413">
    <w:name w:val="Table Text Char"/>
    <w:link w:val="414"/>
    <w:qFormat/>
    <w:uiPriority w:val="0"/>
    <w:rPr>
      <w:sz w:val="24"/>
      <w:szCs w:val="24"/>
    </w:rPr>
  </w:style>
  <w:style w:type="paragraph" w:customStyle="1" w:styleId="414">
    <w:name w:val="Table Text"/>
    <w:basedOn w:val="1"/>
    <w:link w:val="413"/>
    <w:qFormat/>
    <w:uiPriority w:val="0"/>
    <w:pPr>
      <w:widowControl/>
      <w:spacing w:before="60" w:after="60"/>
      <w:jc w:val="left"/>
    </w:pPr>
    <w:rPr>
      <w:kern w:val="0"/>
      <w:sz w:val="24"/>
    </w:rPr>
  </w:style>
  <w:style w:type="character" w:customStyle="1" w:styleId="415">
    <w:name w:val="Char Char15"/>
    <w:qFormat/>
    <w:uiPriority w:val="6"/>
    <w:rPr>
      <w:rFonts w:ascii="宋体" w:hAnsi="宋体"/>
      <w:kern w:val="1"/>
      <w:sz w:val="21"/>
    </w:rPr>
  </w:style>
  <w:style w:type="character" w:customStyle="1" w:styleId="416">
    <w:name w:val="Char Char37"/>
    <w:qFormat/>
    <w:uiPriority w:val="6"/>
    <w:rPr>
      <w:b/>
      <w:kern w:val="1"/>
      <w:sz w:val="44"/>
      <w:szCs w:val="44"/>
    </w:rPr>
  </w:style>
  <w:style w:type="character" w:customStyle="1" w:styleId="417">
    <w:name w:val="message1"/>
    <w:qFormat/>
    <w:uiPriority w:val="0"/>
    <w:rPr>
      <w:rFonts w:hint="default" w:ascii="Tahoma" w:hAnsi="Tahoma" w:cs="Tahoma"/>
      <w:sz w:val="18"/>
      <w:szCs w:val="18"/>
    </w:rPr>
  </w:style>
  <w:style w:type="character" w:customStyle="1" w:styleId="418">
    <w:name w:val="content"/>
    <w:qFormat/>
    <w:uiPriority w:val="0"/>
  </w:style>
  <w:style w:type="character" w:customStyle="1" w:styleId="419">
    <w:name w:val="font51"/>
    <w:qFormat/>
    <w:uiPriority w:val="0"/>
    <w:rPr>
      <w:rFonts w:hint="eastAsia" w:ascii="仿宋" w:hAnsi="仿宋" w:eastAsia="仿宋" w:cs="仿宋"/>
      <w:color w:val="000000"/>
      <w:sz w:val="20"/>
      <w:szCs w:val="20"/>
      <w:u w:val="none"/>
    </w:rPr>
  </w:style>
  <w:style w:type="character" w:customStyle="1" w:styleId="420">
    <w:name w:val="Char Char11"/>
    <w:qFormat/>
    <w:locked/>
    <w:uiPriority w:val="0"/>
    <w:rPr>
      <w:rFonts w:ascii="宋体" w:hAnsi="宋体" w:eastAsia="宋体"/>
      <w:b/>
      <w:kern w:val="2"/>
      <w:sz w:val="24"/>
      <w:szCs w:val="24"/>
      <w:lang w:val="en-US" w:eastAsia="zh-CN" w:bidi="ar-SA"/>
    </w:rPr>
  </w:style>
  <w:style w:type="character" w:customStyle="1" w:styleId="421">
    <w:name w:val="批注文字 字符"/>
    <w:qFormat/>
    <w:uiPriority w:val="0"/>
    <w:rPr>
      <w:rFonts w:ascii="Arial" w:hAnsi="Arial" w:eastAsia="黑体" w:cs="Arial"/>
      <w:snapToGrid w:val="0"/>
      <w:kern w:val="0"/>
      <w:szCs w:val="21"/>
    </w:rPr>
  </w:style>
  <w:style w:type="character" w:customStyle="1" w:styleId="422">
    <w:name w:val="question-title2"/>
    <w:qFormat/>
    <w:uiPriority w:val="6"/>
    <w:rPr>
      <w:rFonts w:ascii="Arial" w:hAnsi="Arial" w:eastAsia="黑体" w:cs="Arial"/>
      <w:snapToGrid w:val="0"/>
      <w:kern w:val="0"/>
      <w:szCs w:val="21"/>
    </w:rPr>
  </w:style>
  <w:style w:type="character" w:customStyle="1" w:styleId="423">
    <w:name w:val="Char Char36"/>
    <w:qFormat/>
    <w:uiPriority w:val="6"/>
    <w:rPr>
      <w:rFonts w:ascii="仿宋_GB2312" w:hAnsi="仿宋_GB2312" w:eastAsia="仿宋_GB2312" w:cs="Arial"/>
      <w:b/>
      <w:kern w:val="1"/>
      <w:sz w:val="32"/>
      <w:szCs w:val="32"/>
      <w:lang w:val="zh-CN" w:eastAsia="zh-CN" w:bidi="ar-SA"/>
    </w:rPr>
  </w:style>
  <w:style w:type="character" w:customStyle="1" w:styleId="424">
    <w:name w:val="U_正文 Char"/>
    <w:link w:val="425"/>
    <w:qFormat/>
    <w:uiPriority w:val="0"/>
    <w:rPr>
      <w:sz w:val="24"/>
      <w:szCs w:val="24"/>
    </w:rPr>
  </w:style>
  <w:style w:type="paragraph" w:customStyle="1" w:styleId="425">
    <w:name w:val="U_正文"/>
    <w:basedOn w:val="1"/>
    <w:link w:val="424"/>
    <w:qFormat/>
    <w:uiPriority w:val="0"/>
    <w:pPr>
      <w:adjustRightInd/>
      <w:spacing w:beforeLines="20" w:afterLines="20" w:line="300" w:lineRule="auto"/>
      <w:ind w:firstLine="200" w:firstLineChars="200"/>
    </w:pPr>
    <w:rPr>
      <w:kern w:val="0"/>
      <w:sz w:val="24"/>
    </w:rPr>
  </w:style>
  <w:style w:type="character" w:customStyle="1" w:styleId="426">
    <w:name w:val="标题 4 Char"/>
    <w:qFormat/>
    <w:uiPriority w:val="0"/>
    <w:rPr>
      <w:rFonts w:ascii="Arial" w:hAnsi="Arial" w:eastAsia="黑体"/>
      <w:b/>
      <w:kern w:val="2"/>
      <w:sz w:val="28"/>
    </w:rPr>
  </w:style>
  <w:style w:type="character" w:customStyle="1" w:styleId="427">
    <w:name w:val="Char Char20"/>
    <w:qFormat/>
    <w:uiPriority w:val="6"/>
    <w:rPr>
      <w:kern w:val="1"/>
      <w:sz w:val="24"/>
    </w:rPr>
  </w:style>
  <w:style w:type="character" w:customStyle="1" w:styleId="428">
    <w:name w:val="blue1"/>
    <w:basedOn w:val="69"/>
    <w:qFormat/>
    <w:uiPriority w:val="0"/>
    <w:rPr>
      <w:rFonts w:ascii="Arial" w:hAnsi="Arial" w:eastAsia="黑体" w:cs="Arial"/>
      <w:snapToGrid w:val="0"/>
      <w:kern w:val="0"/>
      <w:szCs w:val="21"/>
    </w:rPr>
  </w:style>
  <w:style w:type="character" w:customStyle="1" w:styleId="429">
    <w:name w:val="Document Map Char"/>
    <w:qFormat/>
    <w:locked/>
    <w:uiPriority w:val="0"/>
    <w:rPr>
      <w:rFonts w:eastAsia="宋体"/>
      <w:kern w:val="2"/>
      <w:sz w:val="21"/>
      <w:szCs w:val="24"/>
      <w:lang w:val="en-US" w:eastAsia="zh-CN" w:bidi="ar-SA"/>
    </w:rPr>
  </w:style>
  <w:style w:type="character" w:customStyle="1" w:styleId="430">
    <w:name w:val="font41"/>
    <w:qFormat/>
    <w:uiPriority w:val="0"/>
    <w:rPr>
      <w:rFonts w:hint="eastAsia" w:ascii="仿宋_GB2312" w:eastAsia="仿宋_GB2312" w:cs="仿宋_GB2312"/>
      <w:color w:val="000000"/>
      <w:sz w:val="22"/>
      <w:szCs w:val="22"/>
      <w:u w:val="none"/>
    </w:rPr>
  </w:style>
  <w:style w:type="character" w:customStyle="1" w:styleId="431">
    <w:name w:val="Balloon Text Char"/>
    <w:qFormat/>
    <w:locked/>
    <w:uiPriority w:val="0"/>
    <w:rPr>
      <w:rFonts w:eastAsia="宋体"/>
      <w:kern w:val="2"/>
      <w:sz w:val="18"/>
      <w:szCs w:val="18"/>
      <w:lang w:val="en-US" w:eastAsia="zh-CN" w:bidi="ar-SA"/>
    </w:rPr>
  </w:style>
  <w:style w:type="character" w:customStyle="1" w:styleId="432">
    <w:name w:val="h Char Char1"/>
    <w:qFormat/>
    <w:uiPriority w:val="0"/>
    <w:rPr>
      <w:rFonts w:eastAsia="宋体"/>
      <w:kern w:val="2"/>
      <w:sz w:val="18"/>
      <w:szCs w:val="18"/>
      <w:lang w:val="en-US" w:eastAsia="zh-CN" w:bidi="ar-SA"/>
    </w:rPr>
  </w:style>
  <w:style w:type="character" w:customStyle="1" w:styleId="433">
    <w:name w:val="未用 Char"/>
    <w:qFormat/>
    <w:uiPriority w:val="0"/>
    <w:rPr>
      <w:rFonts w:ascii="Arial" w:hAnsi="Arial" w:eastAsia="黑体"/>
      <w:kern w:val="2"/>
      <w:sz w:val="21"/>
      <w:szCs w:val="21"/>
      <w:lang w:val="en-US" w:eastAsia="zh-CN" w:bidi="ar-SA"/>
    </w:rPr>
  </w:style>
  <w:style w:type="character" w:customStyle="1" w:styleId="434">
    <w:name w:val="普通文字 Char1"/>
    <w:qFormat/>
    <w:uiPriority w:val="0"/>
    <w:rPr>
      <w:rFonts w:ascii="宋体" w:hAnsi="Courier New" w:eastAsia="宋体"/>
      <w:kern w:val="2"/>
      <w:sz w:val="21"/>
      <w:lang w:val="en-US" w:eastAsia="zh-CN"/>
    </w:rPr>
  </w:style>
  <w:style w:type="character" w:customStyle="1" w:styleId="435">
    <w:name w:val="标书表格字体格式 Char"/>
    <w:qFormat/>
    <w:uiPriority w:val="0"/>
    <w:rPr>
      <w:kern w:val="2"/>
      <w:sz w:val="21"/>
      <w:szCs w:val="24"/>
      <w:lang w:bidi="ar-SA"/>
    </w:rPr>
  </w:style>
  <w:style w:type="character" w:customStyle="1" w:styleId="436">
    <w:name w:val="页脚 Char"/>
    <w:qFormat/>
    <w:uiPriority w:val="0"/>
    <w:rPr>
      <w:rFonts w:eastAsia="仿宋_GB2312"/>
      <w:kern w:val="2"/>
      <w:sz w:val="18"/>
      <w:lang w:val="en-US" w:eastAsia="zh-CN"/>
    </w:rPr>
  </w:style>
  <w:style w:type="character" w:customStyle="1" w:styleId="437">
    <w:name w:val="Char Char4"/>
    <w:qFormat/>
    <w:uiPriority w:val="0"/>
    <w:rPr>
      <w:rFonts w:eastAsia="宋体"/>
      <w:b/>
      <w:sz w:val="24"/>
      <w:lang w:eastAsia="zh-CN" w:bidi="ar-SA"/>
    </w:rPr>
  </w:style>
  <w:style w:type="character" w:customStyle="1" w:styleId="438">
    <w:name w:val="正文文本 3 Char1"/>
    <w:semiHidden/>
    <w:qFormat/>
    <w:uiPriority w:val="99"/>
    <w:rPr>
      <w:rFonts w:ascii="Times New Roman" w:hAnsi="Times New Roman" w:eastAsia="宋体" w:cs="Times New Roman"/>
      <w:sz w:val="16"/>
      <w:szCs w:val="16"/>
    </w:rPr>
  </w:style>
  <w:style w:type="character" w:customStyle="1" w:styleId="439">
    <w:name w:val="Body Text(ch) Char Char"/>
    <w:qFormat/>
    <w:uiPriority w:val="0"/>
    <w:rPr>
      <w:rFonts w:ascii="宋体"/>
      <w:kern w:val="2"/>
      <w:sz w:val="24"/>
      <w:szCs w:val="21"/>
      <w:lang w:val="zh-CN"/>
    </w:rPr>
  </w:style>
  <w:style w:type="character" w:customStyle="1" w:styleId="440">
    <w:name w:val="Char Char"/>
    <w:qFormat/>
    <w:uiPriority w:val="0"/>
    <w:rPr>
      <w:rFonts w:ascii="宋体" w:hAnsi="Courier New" w:eastAsia="宋体"/>
      <w:kern w:val="2"/>
      <w:sz w:val="21"/>
      <w:lang w:val="en-US" w:eastAsia="zh-CN" w:bidi="ar-SA"/>
    </w:rPr>
  </w:style>
  <w:style w:type="character" w:customStyle="1" w:styleId="441">
    <w:name w:val="签名 Char1"/>
    <w:qFormat/>
    <w:uiPriority w:val="0"/>
    <w:rPr>
      <w:rFonts w:ascii="Times New Roman" w:hAnsi="Times New Roman" w:eastAsia="宋体" w:cs="Times New Roman"/>
      <w:szCs w:val="24"/>
    </w:rPr>
  </w:style>
  <w:style w:type="character" w:customStyle="1" w:styleId="442">
    <w:name w:val="Char Char22"/>
    <w:qFormat/>
    <w:uiPriority w:val="6"/>
    <w:rPr>
      <w:rFonts w:ascii="宋体" w:hAnsi="宋体"/>
      <w:kern w:val="1"/>
      <w:sz w:val="24"/>
      <w:szCs w:val="24"/>
    </w:rPr>
  </w:style>
  <w:style w:type="character" w:customStyle="1" w:styleId="443">
    <w:name w:val="正文文本缩进 2 Char1"/>
    <w:semiHidden/>
    <w:qFormat/>
    <w:uiPriority w:val="99"/>
    <w:rPr>
      <w:rFonts w:ascii="Times New Roman" w:hAnsi="Times New Roman" w:eastAsia="宋体" w:cs="Times New Roman"/>
      <w:szCs w:val="24"/>
    </w:rPr>
  </w:style>
  <w:style w:type="character" w:customStyle="1" w:styleId="444">
    <w:name w:val="zbggtop11 style5"/>
    <w:qFormat/>
    <w:uiPriority w:val="0"/>
    <w:rPr>
      <w:rFonts w:ascii="Arial" w:hAnsi="Arial" w:eastAsia="黑体" w:cs="Arial"/>
      <w:snapToGrid w:val="0"/>
      <w:kern w:val="0"/>
      <w:szCs w:val="21"/>
    </w:rPr>
  </w:style>
  <w:style w:type="character" w:customStyle="1" w:styleId="445">
    <w:name w:val="页眉 Char"/>
    <w:qFormat/>
    <w:uiPriority w:val="0"/>
    <w:rPr>
      <w:rFonts w:eastAsia="仿宋_GB2312"/>
      <w:kern w:val="2"/>
      <w:sz w:val="18"/>
      <w:lang w:val="en-US" w:eastAsia="zh-CN"/>
    </w:rPr>
  </w:style>
  <w:style w:type="character" w:customStyle="1" w:styleId="446">
    <w:name w:val="纯文本 Char2"/>
    <w:semiHidden/>
    <w:qFormat/>
    <w:uiPriority w:val="99"/>
    <w:rPr>
      <w:rFonts w:ascii="宋体" w:hAnsi="Courier New" w:eastAsia="宋体" w:cs="Courier New"/>
    </w:rPr>
  </w:style>
  <w:style w:type="character" w:customStyle="1" w:styleId="447">
    <w:name w:val="Char Char25"/>
    <w:qFormat/>
    <w:uiPriority w:val="6"/>
    <w:rPr>
      <w:rFonts w:ascii="宋体" w:hAnsi="宋体"/>
      <w:kern w:val="1"/>
      <w:sz w:val="24"/>
      <w:lang w:val="zh-CN"/>
    </w:rPr>
  </w:style>
  <w:style w:type="character" w:customStyle="1" w:styleId="448">
    <w:name w:val="此正文 Char"/>
    <w:link w:val="449"/>
    <w:qFormat/>
    <w:uiPriority w:val="0"/>
    <w:rPr>
      <w:kern w:val="2"/>
      <w:sz w:val="24"/>
      <w:szCs w:val="24"/>
    </w:rPr>
  </w:style>
  <w:style w:type="paragraph" w:customStyle="1" w:styleId="449">
    <w:name w:val="此正文"/>
    <w:basedOn w:val="1"/>
    <w:link w:val="448"/>
    <w:qFormat/>
    <w:uiPriority w:val="0"/>
    <w:pPr>
      <w:adjustRightInd/>
      <w:spacing w:line="360" w:lineRule="auto"/>
      <w:ind w:firstLine="200" w:firstLineChars="200"/>
    </w:pPr>
    <w:rPr>
      <w:sz w:val="24"/>
    </w:rPr>
  </w:style>
  <w:style w:type="character" w:customStyle="1" w:styleId="450">
    <w:name w:val="t21"/>
    <w:qFormat/>
    <w:uiPriority w:val="0"/>
    <w:rPr>
      <w:rFonts w:ascii="仿宋_GB2312" w:eastAsia="微软雅黑"/>
      <w:b/>
      <w:kern w:val="2"/>
      <w:sz w:val="23"/>
      <w:szCs w:val="23"/>
      <w:lang w:val="en-US" w:eastAsia="zh-CN" w:bidi="ar-SA"/>
    </w:rPr>
  </w:style>
  <w:style w:type="character" w:customStyle="1" w:styleId="451">
    <w:name w:val="样式 样式 标题 4h4H4Fab-4T5Ref Heading 1rh1Heading sqlsect 1.2.3.... +... Char"/>
    <w:link w:val="452"/>
    <w:qFormat/>
    <w:uiPriority w:val="0"/>
    <w:rPr>
      <w:rFonts w:ascii="微软雅黑" w:hAnsi="微软雅黑" w:eastAsia="微软雅黑"/>
      <w:b/>
      <w:bCs/>
      <w:kern w:val="2"/>
      <w:sz w:val="24"/>
      <w:szCs w:val="28"/>
    </w:rPr>
  </w:style>
  <w:style w:type="paragraph" w:customStyle="1" w:styleId="452">
    <w:name w:val="样式 样式 标题 4h4H4Fab-4T5Ref Heading 1rh1Heading sqlsect 1.2.3.... +..."/>
    <w:basedOn w:val="117"/>
    <w:link w:val="451"/>
    <w:qFormat/>
    <w:uiPriority w:val="0"/>
  </w:style>
  <w:style w:type="character" w:customStyle="1" w:styleId="453">
    <w:name w:val="正文缩进 Char1"/>
    <w:qFormat/>
    <w:uiPriority w:val="0"/>
    <w:rPr>
      <w:rFonts w:ascii="宋体" w:eastAsia="宋体"/>
      <w:snapToGrid w:val="0"/>
      <w:color w:val="000000"/>
      <w:kern w:val="28"/>
      <w:sz w:val="28"/>
      <w:lang w:val="en-US" w:eastAsia="zh-CN" w:bidi="ar-SA"/>
    </w:rPr>
  </w:style>
  <w:style w:type="character" w:customStyle="1" w:styleId="454">
    <w:name w:val="h Char1"/>
    <w:qFormat/>
    <w:uiPriority w:val="0"/>
    <w:rPr>
      <w:sz w:val="18"/>
      <w:szCs w:val="18"/>
    </w:rPr>
  </w:style>
  <w:style w:type="character" w:customStyle="1" w:styleId="455">
    <w:name w:val="纯文本 Char Char Char"/>
    <w:qFormat/>
    <w:uiPriority w:val="0"/>
    <w:rPr>
      <w:rFonts w:ascii="宋体" w:hAnsi="Courier New" w:eastAsia="宋体"/>
      <w:kern w:val="2"/>
      <w:sz w:val="21"/>
      <w:lang w:val="en-US" w:eastAsia="zh-CN" w:bidi="ar-SA"/>
    </w:rPr>
  </w:style>
  <w:style w:type="character" w:customStyle="1" w:styleId="456">
    <w:name w:val="Char Char21"/>
    <w:qFormat/>
    <w:uiPriority w:val="6"/>
    <w:rPr>
      <w:rFonts w:ascii="宋体" w:hAnsi="宋体"/>
      <w:kern w:val="1"/>
      <w:sz w:val="24"/>
      <w:szCs w:val="21"/>
      <w:lang w:val="zh-CN"/>
    </w:rPr>
  </w:style>
  <w:style w:type="character" w:customStyle="1" w:styleId="457">
    <w:name w:val="font71"/>
    <w:qFormat/>
    <w:uiPriority w:val="0"/>
    <w:rPr>
      <w:rFonts w:hint="eastAsia" w:ascii="宋体" w:hAnsi="宋体" w:eastAsia="宋体" w:cs="宋体"/>
      <w:color w:val="000000"/>
      <w:sz w:val="22"/>
      <w:szCs w:val="22"/>
      <w:u w:val="none"/>
    </w:rPr>
  </w:style>
  <w:style w:type="paragraph" w:customStyle="1" w:styleId="458">
    <w:name w:val="样式 正文文本缩进 + 段前: 2 字符"/>
    <w:basedOn w:val="1"/>
    <w:qFormat/>
    <w:uiPriority w:val="0"/>
    <w:pPr>
      <w:adjustRightInd/>
      <w:ind w:left="420" w:leftChars="200"/>
      <w:jc w:val="left"/>
    </w:pPr>
    <w:rPr>
      <w:sz w:val="28"/>
      <w:szCs w:val="20"/>
      <w:lang w:eastAsia="zh-TW"/>
    </w:rPr>
  </w:style>
  <w:style w:type="paragraph" w:customStyle="1" w:styleId="45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6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61">
    <w:name w:val="Char19"/>
    <w:basedOn w:val="1"/>
    <w:qFormat/>
    <w:uiPriority w:val="0"/>
    <w:pPr>
      <w:adjustRightInd/>
    </w:pPr>
    <w:rPr>
      <w:szCs w:val="20"/>
    </w:rPr>
  </w:style>
  <w:style w:type="paragraph" w:customStyle="1" w:styleId="462">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63">
    <w:name w:val="文本正文 Char"/>
    <w:basedOn w:val="1"/>
    <w:qFormat/>
    <w:uiPriority w:val="0"/>
    <w:pPr>
      <w:spacing w:line="360" w:lineRule="auto"/>
      <w:ind w:firstLine="200" w:firstLineChars="200"/>
    </w:pPr>
    <w:rPr>
      <w:kern w:val="0"/>
      <w:sz w:val="24"/>
      <w:szCs w:val="20"/>
    </w:rPr>
  </w:style>
  <w:style w:type="paragraph" w:customStyle="1" w:styleId="464">
    <w:name w:val="Char2 Char Char Char"/>
    <w:basedOn w:val="1"/>
    <w:qFormat/>
    <w:uiPriority w:val="0"/>
    <w:rPr>
      <w:rFonts w:ascii="仿宋_GB2312" w:eastAsia="仿宋_GB2312"/>
      <w:b/>
      <w:sz w:val="32"/>
      <w:szCs w:val="32"/>
    </w:rPr>
  </w:style>
  <w:style w:type="paragraph" w:customStyle="1" w:styleId="46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66">
    <w:name w:val="Char Char Char Char Char Char Char Char Char Char"/>
    <w:basedOn w:val="1"/>
    <w:qFormat/>
    <w:uiPriority w:val="0"/>
    <w:rPr>
      <w:rFonts w:ascii="仿宋_GB2312" w:eastAsia="仿宋_GB2312"/>
      <w:b/>
      <w:sz w:val="32"/>
      <w:szCs w:val="32"/>
    </w:rPr>
  </w:style>
  <w:style w:type="paragraph" w:customStyle="1" w:styleId="46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69">
    <w:name w:val="标题2"/>
    <w:basedOn w:val="6"/>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470">
    <w:name w:val="Plain Text1"/>
    <w:basedOn w:val="1"/>
    <w:qFormat/>
    <w:uiPriority w:val="7"/>
    <w:pPr>
      <w:adjustRightInd/>
    </w:pPr>
    <w:rPr>
      <w:rFonts w:ascii="宋体" w:hAnsi="Courier New"/>
    </w:rPr>
  </w:style>
  <w:style w:type="paragraph" w:customStyle="1" w:styleId="471">
    <w:name w:val="_Style 11"/>
    <w:basedOn w:val="1"/>
    <w:qFormat/>
    <w:uiPriority w:val="34"/>
    <w:pPr>
      <w:adjustRightInd/>
      <w:ind w:firstLine="420" w:firstLineChars="200"/>
    </w:pPr>
    <w:rPr>
      <w:rFonts w:eastAsia="仿宋_GB2312"/>
      <w:sz w:val="28"/>
    </w:rPr>
  </w:style>
  <w:style w:type="paragraph" w:customStyle="1" w:styleId="472">
    <w:name w:val="带编号样式"/>
    <w:basedOn w:val="463"/>
    <w:qFormat/>
    <w:uiPriority w:val="0"/>
    <w:pPr>
      <w:tabs>
        <w:tab w:val="left" w:pos="840"/>
      </w:tabs>
      <w:snapToGrid w:val="0"/>
      <w:ind w:left="840" w:hanging="420" w:firstLineChars="0"/>
    </w:pPr>
    <w:rPr>
      <w:rFonts w:ascii="仿宋_GB2312" w:eastAsia="仿宋_GB2312"/>
      <w:color w:val="000000"/>
    </w:rPr>
  </w:style>
  <w:style w:type="paragraph" w:customStyle="1" w:styleId="47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474">
    <w:name w:val="Char Char1"/>
    <w:basedOn w:val="1"/>
    <w:qFormat/>
    <w:uiPriority w:val="0"/>
    <w:pPr>
      <w:widowControl/>
      <w:spacing w:after="160" w:line="240" w:lineRule="exact"/>
      <w:jc w:val="left"/>
    </w:pPr>
    <w:rPr>
      <w:rFonts w:eastAsia="仿宋_GB2312"/>
      <w:sz w:val="28"/>
    </w:rPr>
  </w:style>
  <w:style w:type="paragraph" w:customStyle="1" w:styleId="475">
    <w:name w:val="MM Topic 4"/>
    <w:basedOn w:val="9"/>
    <w:qFormat/>
    <w:uiPriority w:val="0"/>
    <w:pPr>
      <w:tabs>
        <w:tab w:val="left" w:pos="2100"/>
        <w:tab w:val="clear" w:pos="864"/>
      </w:tabs>
      <w:adjustRightInd/>
      <w:ind w:left="2100" w:hanging="420"/>
    </w:pPr>
    <w:rPr>
      <w:lang w:val="en-US"/>
    </w:rPr>
  </w:style>
  <w:style w:type="paragraph" w:customStyle="1" w:styleId="476">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77">
    <w:name w:val="Char Char11 Char Char Char Char Char Char Char Char Char1"/>
    <w:basedOn w:val="1"/>
    <w:qFormat/>
    <w:uiPriority w:val="6"/>
    <w:pPr>
      <w:spacing w:line="360" w:lineRule="auto"/>
    </w:pPr>
    <w:rPr>
      <w:szCs w:val="20"/>
    </w:rPr>
  </w:style>
  <w:style w:type="paragraph" w:customStyle="1" w:styleId="4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479">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48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4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48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48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5">
    <w:name w:val="正文21"/>
    <w:basedOn w:val="1"/>
    <w:qFormat/>
    <w:uiPriority w:val="0"/>
    <w:pPr>
      <w:adjustRightInd/>
      <w:spacing w:before="156" w:line="360" w:lineRule="auto"/>
      <w:ind w:firstLine="510" w:firstLineChars="200"/>
    </w:pPr>
    <w:rPr>
      <w:sz w:val="24"/>
      <w:szCs w:val="20"/>
    </w:rPr>
  </w:style>
  <w:style w:type="paragraph" w:customStyle="1" w:styleId="486">
    <w:name w:val="样式 标题 3H3 + 两端对齐"/>
    <w:basedOn w:val="8"/>
    <w:qFormat/>
    <w:uiPriority w:val="0"/>
    <w:pPr>
      <w:keepLines w:val="0"/>
      <w:spacing w:before="0" w:after="0" w:line="240" w:lineRule="auto"/>
      <w:jc w:val="left"/>
    </w:pPr>
    <w:rPr>
      <w:rFonts w:cs="宋体"/>
      <w:sz w:val="21"/>
      <w:szCs w:val="20"/>
    </w:rPr>
  </w:style>
  <w:style w:type="paragraph" w:customStyle="1" w:styleId="48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8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89">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490">
    <w:name w:val="彩色列表 - 强调文字颜色 11"/>
    <w:basedOn w:val="1"/>
    <w:qFormat/>
    <w:uiPriority w:val="0"/>
    <w:pPr>
      <w:adjustRightInd/>
      <w:ind w:firstLine="420" w:firstLineChars="200"/>
    </w:pPr>
    <w:rPr>
      <w:rFonts w:ascii="Calibri" w:hAnsi="Calibri"/>
      <w:szCs w:val="22"/>
    </w:rPr>
  </w:style>
  <w:style w:type="paragraph" w:customStyle="1" w:styleId="4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9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9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9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9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9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49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49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50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50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502">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503">
    <w:name w:val="4级标题"/>
    <w:basedOn w:val="3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50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5">
    <w:name w:val="数字标题1"/>
    <w:basedOn w:val="5"/>
    <w:next w:val="1"/>
    <w:qFormat/>
    <w:uiPriority w:val="0"/>
    <w:pPr>
      <w:tabs>
        <w:tab w:val="left" w:pos="480"/>
        <w:tab w:val="clear" w:pos="432"/>
      </w:tabs>
      <w:ind w:left="480" w:hanging="480"/>
    </w:pPr>
  </w:style>
  <w:style w:type="paragraph" w:customStyle="1" w:styleId="50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50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0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5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10">
    <w:name w:val="Char Char Char Char11"/>
    <w:basedOn w:val="1"/>
    <w:qFormat/>
    <w:uiPriority w:val="0"/>
    <w:rPr>
      <w:rFonts w:ascii="Tahoma" w:hAnsi="Tahoma"/>
      <w:sz w:val="24"/>
      <w:szCs w:val="20"/>
    </w:rPr>
  </w:style>
  <w:style w:type="paragraph" w:customStyle="1" w:styleId="511">
    <w:name w:val="Char5"/>
    <w:basedOn w:val="1"/>
    <w:qFormat/>
    <w:uiPriority w:val="0"/>
    <w:rPr>
      <w:rFonts w:ascii="仿宋_GB2312" w:eastAsia="仿宋_GB2312"/>
      <w:b/>
      <w:sz w:val="32"/>
      <w:szCs w:val="32"/>
    </w:rPr>
  </w:style>
  <w:style w:type="paragraph" w:customStyle="1" w:styleId="51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513">
    <w:name w:val="Char Char Char Char Char Char Char Char Char Char2"/>
    <w:basedOn w:val="1"/>
    <w:qFormat/>
    <w:uiPriority w:val="0"/>
    <w:rPr>
      <w:rFonts w:ascii="仿宋_GB2312" w:eastAsia="仿宋_GB2312"/>
      <w:b/>
      <w:sz w:val="32"/>
      <w:szCs w:val="32"/>
    </w:rPr>
  </w:style>
  <w:style w:type="paragraph" w:customStyle="1" w:styleId="514">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5">
    <w:name w:val="一级条标题"/>
    <w:basedOn w:val="516"/>
    <w:next w:val="517"/>
    <w:qFormat/>
    <w:uiPriority w:val="0"/>
    <w:pPr>
      <w:tabs>
        <w:tab w:val="left" w:pos="1680"/>
      </w:tabs>
      <w:spacing w:before="0" w:beforeLines="0" w:after="0" w:afterLines="0"/>
      <w:ind w:left="1680"/>
      <w:outlineLvl w:val="2"/>
    </w:pPr>
  </w:style>
  <w:style w:type="paragraph" w:customStyle="1" w:styleId="516">
    <w:name w:val="章标题"/>
    <w:next w:val="51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51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1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519">
    <w:name w:val="列表段落1"/>
    <w:basedOn w:val="1"/>
    <w:qFormat/>
    <w:uiPriority w:val="34"/>
    <w:pPr>
      <w:adjustRightInd/>
      <w:ind w:right="238" w:firstLine="420"/>
    </w:pPr>
    <w:rPr>
      <w:rFonts w:ascii="Calibri" w:hAnsi="Calibri"/>
      <w:sz w:val="24"/>
    </w:rPr>
  </w:style>
  <w:style w:type="paragraph" w:customStyle="1" w:styleId="52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21">
    <w:name w:val="索引 11"/>
    <w:basedOn w:val="1"/>
    <w:next w:val="1"/>
    <w:qFormat/>
    <w:uiPriority w:val="99"/>
    <w:pPr>
      <w:adjustRightInd/>
      <w:spacing w:line="360" w:lineRule="auto"/>
    </w:pPr>
    <w:rPr>
      <w:rFonts w:ascii="仿宋_GB2312" w:eastAsia="仿宋_GB2312"/>
      <w:sz w:val="24"/>
      <w:szCs w:val="20"/>
    </w:rPr>
  </w:style>
  <w:style w:type="paragraph" w:customStyle="1" w:styleId="522">
    <w:name w:val="正文文本 21"/>
    <w:basedOn w:val="1"/>
    <w:qFormat/>
    <w:uiPriority w:val="0"/>
    <w:pPr>
      <w:widowControl/>
      <w:overflowPunct w:val="0"/>
      <w:autoSpaceDE w:val="0"/>
      <w:autoSpaceDN w:val="0"/>
      <w:ind w:left="720" w:hanging="720"/>
      <w:textAlignment w:val="baseline"/>
    </w:pPr>
    <w:rPr>
      <w:kern w:val="0"/>
      <w:sz w:val="24"/>
      <w:szCs w:val="20"/>
      <w:lang/>
    </w:rPr>
  </w:style>
  <w:style w:type="paragraph" w:customStyle="1" w:styleId="523">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52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525">
    <w:name w:val="四级条标题"/>
    <w:basedOn w:val="526"/>
    <w:next w:val="517"/>
    <w:qFormat/>
    <w:uiPriority w:val="0"/>
    <w:pPr>
      <w:tabs>
        <w:tab w:val="left" w:pos="2940"/>
      </w:tabs>
      <w:ind w:left="2940"/>
      <w:outlineLvl w:val="5"/>
    </w:pPr>
  </w:style>
  <w:style w:type="paragraph" w:customStyle="1" w:styleId="526">
    <w:name w:val="三级条标题"/>
    <w:basedOn w:val="527"/>
    <w:next w:val="517"/>
    <w:qFormat/>
    <w:uiPriority w:val="0"/>
    <w:pPr>
      <w:tabs>
        <w:tab w:val="left" w:pos="2520"/>
      </w:tabs>
      <w:ind w:left="2520"/>
      <w:outlineLvl w:val="4"/>
    </w:pPr>
  </w:style>
  <w:style w:type="paragraph" w:customStyle="1" w:styleId="527">
    <w:name w:val="二级条标题"/>
    <w:basedOn w:val="515"/>
    <w:next w:val="517"/>
    <w:qFormat/>
    <w:uiPriority w:val="0"/>
    <w:pPr>
      <w:tabs>
        <w:tab w:val="left" w:pos="2100"/>
        <w:tab w:val="clear" w:pos="1680"/>
      </w:tabs>
      <w:ind w:left="0"/>
      <w:outlineLvl w:val="3"/>
    </w:pPr>
  </w:style>
  <w:style w:type="paragraph" w:customStyle="1" w:styleId="52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2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30">
    <w:name w:val="列出段落5"/>
    <w:basedOn w:val="1"/>
    <w:qFormat/>
    <w:uiPriority w:val="0"/>
    <w:pPr>
      <w:spacing w:line="360" w:lineRule="auto"/>
      <w:ind w:firstLine="200" w:firstLineChars="200"/>
    </w:pPr>
    <w:rPr>
      <w:rFonts w:eastAsia="楷体_GB2312" w:cs="Lucida Sans"/>
      <w:sz w:val="24"/>
    </w:rPr>
  </w:style>
  <w:style w:type="paragraph" w:customStyle="1" w:styleId="53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534">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53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3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37">
    <w:name w:val="默认段落字体 Para Char Char Char Char Char Char Char"/>
    <w:basedOn w:val="1"/>
    <w:qFormat/>
    <w:uiPriority w:val="0"/>
    <w:rPr>
      <w:rFonts w:eastAsia="仿宋_GB2312"/>
      <w:sz w:val="28"/>
      <w:szCs w:val="20"/>
    </w:rPr>
  </w:style>
  <w:style w:type="paragraph" w:customStyle="1" w:styleId="538">
    <w:name w:val="5级标题"/>
    <w:basedOn w:val="50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539">
    <w:name w:val="正文文字表格居中"/>
    <w:basedOn w:val="1"/>
    <w:next w:val="56"/>
    <w:qFormat/>
    <w:uiPriority w:val="0"/>
    <w:pPr>
      <w:snapToGrid w:val="0"/>
      <w:spacing w:line="360" w:lineRule="auto"/>
    </w:pPr>
    <w:rPr>
      <w:rFonts w:ascii="宋体"/>
      <w:b/>
      <w:sz w:val="24"/>
      <w:szCs w:val="20"/>
    </w:rPr>
  </w:style>
  <w:style w:type="paragraph" w:customStyle="1" w:styleId="54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54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54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543">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544">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45">
    <w:name w:val="Body Text 2*"/>
    <w:basedOn w:val="1"/>
    <w:qFormat/>
    <w:uiPriority w:val="6"/>
    <w:pPr>
      <w:widowControl/>
      <w:adjustRightInd/>
      <w:ind w:left="720" w:hanging="720"/>
    </w:pPr>
    <w:rPr>
      <w:color w:val="000000"/>
      <w:kern w:val="0"/>
      <w:sz w:val="24"/>
      <w:szCs w:val="20"/>
      <w:lang/>
    </w:rPr>
  </w:style>
  <w:style w:type="paragraph" w:customStyle="1" w:styleId="546">
    <w:name w:val="样式 标题 22h2L1 Heading 2H2sect 1.2H21sect 1.21H22sect 1.2..."/>
    <w:basedOn w:val="6"/>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47">
    <w:name w:val="Char6"/>
    <w:basedOn w:val="1"/>
    <w:qFormat/>
    <w:uiPriority w:val="0"/>
    <w:rPr>
      <w:rFonts w:ascii="仿宋_GB2312" w:eastAsia="仿宋_GB2312"/>
      <w:b/>
      <w:sz w:val="32"/>
      <w:szCs w:val="32"/>
    </w:rPr>
  </w:style>
  <w:style w:type="paragraph" w:customStyle="1" w:styleId="548">
    <w:name w:val="EB_表格"/>
    <w:basedOn w:val="1"/>
    <w:qFormat/>
    <w:uiPriority w:val="0"/>
    <w:pPr>
      <w:adjustRightInd/>
      <w:spacing w:line="300" w:lineRule="auto"/>
      <w:jc w:val="center"/>
    </w:pPr>
  </w:style>
  <w:style w:type="paragraph" w:customStyle="1" w:styleId="549">
    <w:name w:val="_Style 8"/>
    <w:basedOn w:val="1"/>
    <w:qFormat/>
    <w:uiPriority w:val="34"/>
    <w:pPr>
      <w:adjustRightInd/>
      <w:ind w:firstLine="420" w:firstLineChars="200"/>
    </w:pPr>
    <w:rPr>
      <w:rFonts w:eastAsia="仿宋_GB2312"/>
      <w:sz w:val="28"/>
    </w:rPr>
  </w:style>
  <w:style w:type="paragraph" w:customStyle="1" w:styleId="550">
    <w:name w:val="正文 图"/>
    <w:basedOn w:val="551"/>
    <w:qFormat/>
    <w:uiPriority w:val="0"/>
    <w:pPr>
      <w:adjustRightInd/>
      <w:spacing w:before="0"/>
      <w:ind w:firstLine="0"/>
      <w:jc w:val="center"/>
    </w:pPr>
    <w:rPr>
      <w:rFonts w:ascii="微软雅黑" w:hAnsi="微软雅黑"/>
    </w:rPr>
  </w:style>
  <w:style w:type="paragraph" w:customStyle="1" w:styleId="551">
    <w:name w:val="My正文"/>
    <w:basedOn w:val="1"/>
    <w:qFormat/>
    <w:uiPriority w:val="0"/>
    <w:pPr>
      <w:spacing w:before="120" w:line="360" w:lineRule="auto"/>
      <w:ind w:firstLine="567"/>
    </w:pPr>
    <w:rPr>
      <w:rFonts w:ascii="Arial" w:hAnsi="Arial"/>
      <w:sz w:val="20"/>
      <w:szCs w:val="20"/>
    </w:rPr>
  </w:style>
  <w:style w:type="paragraph" w:customStyle="1" w:styleId="552">
    <w:name w:val="正文文本 22"/>
    <w:basedOn w:val="1"/>
    <w:qFormat/>
    <w:uiPriority w:val="0"/>
    <w:pPr>
      <w:widowControl/>
      <w:overflowPunct w:val="0"/>
      <w:autoSpaceDE w:val="0"/>
      <w:autoSpaceDN w:val="0"/>
      <w:ind w:left="720" w:hanging="720"/>
      <w:textAlignment w:val="baseline"/>
    </w:pPr>
    <w:rPr>
      <w:kern w:val="0"/>
      <w:sz w:val="24"/>
      <w:szCs w:val="20"/>
      <w:lang/>
    </w:rPr>
  </w:style>
  <w:style w:type="paragraph" w:customStyle="1" w:styleId="55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4">
    <w:name w:val="Char Char11 Char Char Char"/>
    <w:basedOn w:val="1"/>
    <w:qFormat/>
    <w:uiPriority w:val="0"/>
    <w:pPr>
      <w:spacing w:line="360" w:lineRule="auto"/>
    </w:pPr>
    <w:rPr>
      <w:szCs w:val="20"/>
    </w:rPr>
  </w:style>
  <w:style w:type="paragraph" w:customStyle="1" w:styleId="555">
    <w:name w:val="样式6"/>
    <w:basedOn w:val="7"/>
    <w:qFormat/>
    <w:uiPriority w:val="0"/>
    <w:pPr>
      <w:spacing w:line="460" w:lineRule="exact"/>
      <w:outlineLvl w:val="2"/>
    </w:pPr>
    <w:rPr>
      <w:rFonts w:ascii="仿宋_GB2312" w:hAnsi="宋体" w:eastAsia="仿宋_GB2312"/>
      <w:b/>
      <w:bCs/>
      <w:sz w:val="24"/>
      <w:szCs w:val="24"/>
    </w:rPr>
  </w:style>
  <w:style w:type="paragraph" w:customStyle="1" w:styleId="556">
    <w:name w:val="标题4_自定义"/>
    <w:basedOn w:val="9"/>
    <w:qFormat/>
    <w:uiPriority w:val="0"/>
    <w:pPr>
      <w:adjustRightInd/>
      <w:spacing w:before="0" w:after="0" w:line="360" w:lineRule="auto"/>
    </w:pPr>
    <w:rPr>
      <w:rFonts w:ascii="Verdana" w:eastAsia="Verdana"/>
      <w:sz w:val="21"/>
      <w:lang w:val="en-US"/>
    </w:rPr>
  </w:style>
  <w:style w:type="paragraph" w:customStyle="1" w:styleId="55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5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59">
    <w:name w:val="样式 标题 4PIM 4H4h4bulletblbbH41H42H43H44H45H46H47H48...1"/>
    <w:basedOn w:val="9"/>
    <w:qFormat/>
    <w:uiPriority w:val="0"/>
    <w:pPr>
      <w:widowControl/>
      <w:jc w:val="left"/>
    </w:pPr>
    <w:rPr>
      <w:rFonts w:cs="宋体"/>
      <w:sz w:val="24"/>
      <w:szCs w:val="20"/>
    </w:rPr>
  </w:style>
  <w:style w:type="paragraph" w:customStyle="1" w:styleId="56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56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62">
    <w:name w:val="注释"/>
    <w:basedOn w:val="1"/>
    <w:qFormat/>
    <w:uiPriority w:val="0"/>
    <w:pPr>
      <w:adjustRightInd/>
      <w:spacing w:line="360" w:lineRule="auto"/>
      <w:ind w:firstLine="480"/>
    </w:pPr>
    <w:rPr>
      <w:sz w:val="24"/>
    </w:rPr>
  </w:style>
  <w:style w:type="paragraph" w:customStyle="1" w:styleId="56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6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66">
    <w:name w:val="彩色列表 - 强调文字颜色 12"/>
    <w:basedOn w:val="1"/>
    <w:qFormat/>
    <w:uiPriority w:val="0"/>
    <w:pPr>
      <w:adjustRightInd/>
      <w:ind w:firstLine="420" w:firstLineChars="200"/>
    </w:pPr>
    <w:rPr>
      <w:rFonts w:ascii="Calibri" w:hAnsi="Calibri"/>
      <w:szCs w:val="22"/>
    </w:rPr>
  </w:style>
  <w:style w:type="paragraph" w:customStyle="1" w:styleId="56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56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569">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70">
    <w:name w:val="首行缩进"/>
    <w:basedOn w:val="1"/>
    <w:qFormat/>
    <w:uiPriority w:val="0"/>
    <w:pPr>
      <w:spacing w:line="360" w:lineRule="auto"/>
      <w:ind w:firstLine="480" w:firstLineChars="200"/>
    </w:pPr>
    <w:rPr>
      <w:rFonts w:ascii="宋体"/>
      <w:sz w:val="24"/>
      <w:szCs w:val="20"/>
    </w:rPr>
  </w:style>
  <w:style w:type="paragraph" w:customStyle="1" w:styleId="571">
    <w:name w:val="标准小四"/>
    <w:basedOn w:val="1"/>
    <w:qFormat/>
    <w:uiPriority w:val="0"/>
    <w:pPr>
      <w:spacing w:line="360" w:lineRule="auto"/>
      <w:ind w:firstLine="480" w:firstLineChars="200"/>
    </w:pPr>
    <w:rPr>
      <w:rFonts w:ascii="Arial" w:hAnsi="Arial"/>
      <w:sz w:val="24"/>
      <w:szCs w:val="21"/>
    </w:rPr>
  </w:style>
  <w:style w:type="paragraph" w:customStyle="1" w:styleId="57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73">
    <w:name w:val="默认段落字体 Para Char Char Char Char"/>
    <w:basedOn w:val="1"/>
    <w:qFormat/>
    <w:uiPriority w:val="0"/>
    <w:pPr>
      <w:spacing w:line="360" w:lineRule="auto"/>
    </w:pPr>
    <w:rPr>
      <w:szCs w:val="20"/>
    </w:rPr>
  </w:style>
  <w:style w:type="paragraph" w:customStyle="1" w:styleId="57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75">
    <w:name w:val="Char Char1 Char"/>
    <w:basedOn w:val="1"/>
    <w:qFormat/>
    <w:uiPriority w:val="0"/>
    <w:rPr>
      <w:rFonts w:ascii="仿宋_GB2312" w:eastAsia="仿宋_GB2312"/>
      <w:b/>
      <w:sz w:val="32"/>
      <w:szCs w:val="32"/>
    </w:rPr>
  </w:style>
  <w:style w:type="paragraph" w:customStyle="1" w:styleId="57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7">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78">
    <w:name w:val="Char3 Char Char Char1"/>
    <w:basedOn w:val="1"/>
    <w:qFormat/>
    <w:uiPriority w:val="6"/>
    <w:pPr>
      <w:widowControl/>
      <w:adjustRightInd/>
      <w:spacing w:after="160" w:line="240" w:lineRule="exact"/>
      <w:jc w:val="left"/>
    </w:pPr>
    <w:rPr>
      <w:szCs w:val="20"/>
    </w:rPr>
  </w:style>
  <w:style w:type="paragraph" w:customStyle="1" w:styleId="57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580">
    <w:name w:val="Char1 Char Char Char1"/>
    <w:basedOn w:val="1"/>
    <w:qFormat/>
    <w:uiPriority w:val="0"/>
    <w:pPr>
      <w:adjustRightInd/>
      <w:ind w:firstLine="200" w:firstLineChars="200"/>
    </w:pPr>
    <w:rPr>
      <w:rFonts w:ascii="Tahoma" w:hAnsi="Tahoma"/>
      <w:sz w:val="24"/>
      <w:szCs w:val="20"/>
    </w:rPr>
  </w:style>
  <w:style w:type="paragraph" w:customStyle="1" w:styleId="58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5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583">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58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585">
    <w:name w:val="Char3 Char Char Char"/>
    <w:basedOn w:val="1"/>
    <w:qFormat/>
    <w:uiPriority w:val="0"/>
    <w:pPr>
      <w:widowControl/>
      <w:adjustRightInd/>
      <w:spacing w:after="160" w:line="240" w:lineRule="exact"/>
      <w:jc w:val="left"/>
    </w:pPr>
    <w:rPr>
      <w:szCs w:val="20"/>
    </w:rPr>
  </w:style>
  <w:style w:type="paragraph" w:customStyle="1" w:styleId="586">
    <w:name w:val="WW-正文文字缩进 2"/>
    <w:basedOn w:val="1"/>
    <w:qFormat/>
    <w:uiPriority w:val="0"/>
    <w:pPr>
      <w:suppressAutoHyphens/>
      <w:adjustRightInd/>
      <w:ind w:firstLine="420"/>
    </w:pPr>
    <w:rPr>
      <w:kern w:val="1"/>
      <w:szCs w:val="20"/>
    </w:rPr>
  </w:style>
  <w:style w:type="paragraph" w:customStyle="1" w:styleId="587">
    <w:name w:val="Char Char11 Char Char Char Char Char Char Char Char Char11"/>
    <w:basedOn w:val="1"/>
    <w:qFormat/>
    <w:uiPriority w:val="0"/>
    <w:pPr>
      <w:spacing w:line="360" w:lineRule="auto"/>
    </w:pPr>
    <w:rPr>
      <w:szCs w:val="20"/>
    </w:rPr>
  </w:style>
  <w:style w:type="paragraph" w:customStyle="1" w:styleId="588">
    <w:name w:val="Char Char113"/>
    <w:basedOn w:val="1"/>
    <w:qFormat/>
    <w:uiPriority w:val="0"/>
    <w:pPr>
      <w:widowControl/>
      <w:spacing w:after="160" w:line="240" w:lineRule="exact"/>
      <w:jc w:val="left"/>
    </w:pPr>
    <w:rPr>
      <w:rFonts w:eastAsia="仿宋_GB2312"/>
      <w:sz w:val="28"/>
    </w:rPr>
  </w:style>
  <w:style w:type="paragraph" w:customStyle="1" w:styleId="589">
    <w:name w:val="Char1 Char Char Char3"/>
    <w:basedOn w:val="1"/>
    <w:qFormat/>
    <w:uiPriority w:val="0"/>
    <w:pPr>
      <w:adjustRightInd/>
      <w:ind w:firstLine="200" w:firstLineChars="200"/>
    </w:pPr>
    <w:rPr>
      <w:rFonts w:ascii="Tahoma" w:hAnsi="Tahoma"/>
      <w:sz w:val="24"/>
      <w:szCs w:val="20"/>
    </w:rPr>
  </w:style>
  <w:style w:type="paragraph" w:customStyle="1" w:styleId="59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9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9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595">
    <w:name w:val="标准有序列表（L1）"/>
    <w:basedOn w:val="1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96">
    <w:name w:val="列表内容"/>
    <w:basedOn w:val="1"/>
    <w:next w:val="1"/>
    <w:qFormat/>
    <w:uiPriority w:val="0"/>
    <w:pPr>
      <w:widowControl/>
      <w:tabs>
        <w:tab w:val="left" w:pos="840"/>
      </w:tabs>
      <w:ind w:left="840" w:hanging="420"/>
      <w:jc w:val="left"/>
    </w:pPr>
    <w:rPr>
      <w:kern w:val="0"/>
      <w:sz w:val="18"/>
    </w:rPr>
  </w:style>
  <w:style w:type="paragraph" w:customStyle="1" w:styleId="597">
    <w:name w:val="Char111"/>
    <w:basedOn w:val="1"/>
    <w:qFormat/>
    <w:uiPriority w:val="0"/>
    <w:rPr>
      <w:rFonts w:ascii="仿宋_GB2312" w:eastAsia="仿宋_GB2312"/>
      <w:b/>
      <w:sz w:val="32"/>
      <w:szCs w:val="32"/>
    </w:rPr>
  </w:style>
  <w:style w:type="paragraph" w:customStyle="1" w:styleId="5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99">
    <w:name w:val="Char1"/>
    <w:basedOn w:val="1"/>
    <w:qFormat/>
    <w:uiPriority w:val="0"/>
    <w:rPr>
      <w:rFonts w:ascii="仿宋_GB2312" w:eastAsia="仿宋_GB2312"/>
      <w:b/>
      <w:sz w:val="32"/>
      <w:szCs w:val="32"/>
    </w:rPr>
  </w:style>
  <w:style w:type="paragraph" w:customStyle="1" w:styleId="60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01">
    <w:name w:val="0"/>
    <w:basedOn w:val="1"/>
    <w:qFormat/>
    <w:uiPriority w:val="0"/>
    <w:pPr>
      <w:widowControl/>
    </w:pPr>
    <w:rPr>
      <w:kern w:val="0"/>
      <w:sz w:val="24"/>
      <w:szCs w:val="20"/>
    </w:rPr>
  </w:style>
  <w:style w:type="paragraph" w:customStyle="1" w:styleId="602">
    <w:name w:val="TOC 标题111"/>
    <w:basedOn w:val="5"/>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603">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0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605">
    <w:name w:val="Char23"/>
    <w:basedOn w:val="1"/>
    <w:qFormat/>
    <w:uiPriority w:val="0"/>
    <w:rPr>
      <w:rFonts w:ascii="仿宋_GB2312" w:eastAsia="仿宋_GB2312"/>
      <w:b/>
      <w:sz w:val="32"/>
      <w:szCs w:val="32"/>
    </w:rPr>
  </w:style>
  <w:style w:type="paragraph" w:customStyle="1" w:styleId="60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07">
    <w:name w:val="表格"/>
    <w:basedOn w:val="1"/>
    <w:qFormat/>
    <w:uiPriority w:val="0"/>
    <w:pPr>
      <w:snapToGrid w:val="0"/>
      <w:ind w:firstLine="42" w:firstLineChars="21"/>
    </w:pPr>
    <w:rPr>
      <w:rFonts w:ascii="宋体" w:hAnsi="宋体"/>
      <w:kern w:val="0"/>
      <w:sz w:val="20"/>
      <w:szCs w:val="20"/>
    </w:rPr>
  </w:style>
  <w:style w:type="paragraph" w:customStyle="1" w:styleId="6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09">
    <w:name w:val="有符号正文"/>
    <w:basedOn w:val="1"/>
    <w:qFormat/>
    <w:uiPriority w:val="0"/>
    <w:pPr>
      <w:adjustRightInd/>
      <w:spacing w:line="400" w:lineRule="exact"/>
      <w:ind w:firstLine="200" w:firstLineChars="200"/>
    </w:pPr>
    <w:rPr>
      <w:rFonts w:ascii="Arial" w:hAnsi="Arial"/>
    </w:rPr>
  </w:style>
  <w:style w:type="paragraph" w:customStyle="1" w:styleId="610">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61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1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613">
    <w:name w:val="表格 内容"/>
    <w:basedOn w:val="614"/>
    <w:qFormat/>
    <w:uiPriority w:val="0"/>
    <w:rPr>
      <w:b w:val="0"/>
      <w:sz w:val="20"/>
    </w:rPr>
  </w:style>
  <w:style w:type="paragraph" w:customStyle="1" w:styleId="614">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615">
    <w:name w:val="Char Char1101"/>
    <w:basedOn w:val="1"/>
    <w:qFormat/>
    <w:uiPriority w:val="0"/>
    <w:pPr>
      <w:spacing w:line="360" w:lineRule="auto"/>
    </w:pPr>
    <w:rPr>
      <w:rFonts w:ascii="Tahoma" w:hAnsi="Tahoma"/>
      <w:sz w:val="24"/>
      <w:szCs w:val="20"/>
    </w:rPr>
  </w:style>
  <w:style w:type="paragraph" w:customStyle="1" w:styleId="61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617">
    <w:name w:val="3级标题"/>
    <w:basedOn w:val="618"/>
    <w:qFormat/>
    <w:uiPriority w:val="0"/>
    <w:pPr>
      <w:outlineLvl w:val="2"/>
    </w:pPr>
  </w:style>
  <w:style w:type="paragraph" w:customStyle="1" w:styleId="618">
    <w:name w:val="2级标题"/>
    <w:basedOn w:val="619"/>
    <w:qFormat/>
    <w:uiPriority w:val="0"/>
    <w:pPr>
      <w:jc w:val="left"/>
      <w:outlineLvl w:val="1"/>
    </w:pPr>
    <w:rPr>
      <w:rFonts w:ascii="Times New Roman" w:hAnsi="Times New Roman" w:eastAsia="仿宋"/>
      <w:sz w:val="30"/>
    </w:rPr>
  </w:style>
  <w:style w:type="paragraph" w:customStyle="1" w:styleId="619">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20">
    <w:name w:val="正文（首行缩进2字符）"/>
    <w:basedOn w:val="1"/>
    <w:qFormat/>
    <w:uiPriority w:val="0"/>
    <w:pPr>
      <w:adjustRightInd/>
      <w:spacing w:line="360" w:lineRule="auto"/>
      <w:ind w:firstLine="480" w:firstLineChars="200"/>
    </w:pPr>
    <w:rPr>
      <w:sz w:val="24"/>
      <w:szCs w:val="20"/>
    </w:rPr>
  </w:style>
  <w:style w:type="paragraph" w:customStyle="1" w:styleId="621">
    <w:name w:val="Char2 Char Char Char1"/>
    <w:basedOn w:val="1"/>
    <w:qFormat/>
    <w:uiPriority w:val="6"/>
    <w:rPr>
      <w:rFonts w:ascii="仿宋_GB2312" w:eastAsia="仿宋_GB2312"/>
      <w:b/>
      <w:sz w:val="32"/>
      <w:szCs w:val="32"/>
    </w:rPr>
  </w:style>
  <w:style w:type="paragraph" w:customStyle="1" w:styleId="62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623">
    <w:name w:val="_Style 5"/>
    <w:basedOn w:val="1"/>
    <w:qFormat/>
    <w:uiPriority w:val="34"/>
    <w:pPr>
      <w:adjustRightInd/>
      <w:ind w:firstLine="420" w:firstLineChars="200"/>
    </w:pPr>
    <w:rPr>
      <w:rFonts w:eastAsia="仿宋_GB2312"/>
      <w:sz w:val="28"/>
    </w:rPr>
  </w:style>
  <w:style w:type="paragraph" w:customStyle="1" w:styleId="62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62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2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627">
    <w:name w:val="表1"/>
    <w:basedOn w:val="1"/>
    <w:qFormat/>
    <w:uiPriority w:val="0"/>
    <w:pPr>
      <w:tabs>
        <w:tab w:val="left" w:pos="703"/>
      </w:tabs>
      <w:adjustRightInd/>
      <w:spacing w:line="360" w:lineRule="auto"/>
      <w:ind w:left="703"/>
      <w:jc w:val="center"/>
    </w:pPr>
  </w:style>
  <w:style w:type="paragraph" w:customStyle="1" w:styleId="62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62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30">
    <w:name w:val="表格（小）"/>
    <w:basedOn w:val="1"/>
    <w:qFormat/>
    <w:uiPriority w:val="0"/>
    <w:pPr>
      <w:adjustRightInd/>
      <w:snapToGrid w:val="0"/>
      <w:spacing w:line="300" w:lineRule="auto"/>
    </w:pPr>
    <w:rPr>
      <w:rFonts w:eastAsia="仿宋"/>
      <w:szCs w:val="21"/>
    </w:rPr>
  </w:style>
  <w:style w:type="paragraph" w:customStyle="1" w:styleId="631">
    <w:name w:val="Char"/>
    <w:basedOn w:val="1"/>
    <w:qFormat/>
    <w:uiPriority w:val="0"/>
    <w:rPr>
      <w:rFonts w:ascii="仿宋_GB2312" w:eastAsia="仿宋_GB2312"/>
      <w:b/>
      <w:sz w:val="32"/>
      <w:szCs w:val="32"/>
    </w:rPr>
  </w:style>
  <w:style w:type="paragraph" w:customStyle="1" w:styleId="632">
    <w:name w:val="_正文段落"/>
    <w:basedOn w:val="1"/>
    <w:qFormat/>
    <w:uiPriority w:val="0"/>
    <w:pPr>
      <w:adjustRightInd/>
      <w:ind w:firstLine="560"/>
    </w:pPr>
    <w:rPr>
      <w:rFonts w:ascii="仿宋_GB2312" w:hAnsi="仿宋" w:eastAsia="仿宋_GB2312"/>
      <w:kern w:val="0"/>
      <w:sz w:val="28"/>
      <w:szCs w:val="28"/>
    </w:rPr>
  </w:style>
  <w:style w:type="paragraph" w:customStyle="1" w:styleId="63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3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63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636">
    <w:name w:val="封面公司名"/>
    <w:qFormat/>
    <w:uiPriority w:val="0"/>
    <w:pPr>
      <w:jc w:val="center"/>
    </w:pPr>
    <w:rPr>
      <w:rFonts w:ascii="Arial" w:hAnsi="Arial" w:eastAsia="楷体_GB2312" w:cs="宋体"/>
      <w:bCs/>
      <w:kern w:val="2"/>
      <w:sz w:val="28"/>
      <w:lang w:val="en-US" w:eastAsia="zh-CN" w:bidi="ar-SA"/>
    </w:rPr>
  </w:style>
  <w:style w:type="paragraph" w:customStyle="1" w:styleId="63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638">
    <w:name w:val="Char Char Char1 Char"/>
    <w:basedOn w:val="1"/>
    <w:qFormat/>
    <w:uiPriority w:val="0"/>
    <w:rPr>
      <w:szCs w:val="20"/>
    </w:rPr>
  </w:style>
  <w:style w:type="paragraph" w:customStyle="1" w:styleId="63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0">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64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642">
    <w:name w:val="正文箭头"/>
    <w:basedOn w:val="643"/>
    <w:qFormat/>
    <w:uiPriority w:val="0"/>
    <w:pPr>
      <w:tabs>
        <w:tab w:val="left" w:pos="0"/>
        <w:tab w:val="left" w:pos="703"/>
      </w:tabs>
    </w:pPr>
  </w:style>
  <w:style w:type="paragraph" w:customStyle="1" w:styleId="643">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64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4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4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647">
    <w:name w:val="标题五"/>
    <w:basedOn w:val="1"/>
    <w:qFormat/>
    <w:uiPriority w:val="0"/>
    <w:pPr>
      <w:adjustRightInd/>
      <w:spacing w:before="156" w:beforeLines="50" w:line="360" w:lineRule="auto"/>
    </w:pPr>
    <w:rPr>
      <w:b/>
      <w:sz w:val="24"/>
    </w:rPr>
  </w:style>
  <w:style w:type="paragraph" w:customStyle="1" w:styleId="648">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6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650">
    <w:name w:val="bullet"/>
    <w:basedOn w:val="1"/>
    <w:qFormat/>
    <w:uiPriority w:val="0"/>
    <w:pPr>
      <w:tabs>
        <w:tab w:val="left" w:pos="840"/>
      </w:tabs>
      <w:adjustRightInd/>
      <w:ind w:left="840" w:hanging="420"/>
    </w:pPr>
  </w:style>
  <w:style w:type="paragraph" w:customStyle="1" w:styleId="65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65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53">
    <w:name w:val="表文字"/>
    <w:qFormat/>
    <w:uiPriority w:val="0"/>
    <w:rPr>
      <w:rFonts w:ascii="宋体" w:hAnsi="Times New Roman" w:eastAsia="宋体" w:cs="Times New Roman"/>
      <w:kern w:val="2"/>
      <w:lang w:val="en-US" w:eastAsia="zh-CN" w:bidi="ar-SA"/>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656">
    <w:name w:val="_Style 1"/>
    <w:basedOn w:val="1"/>
    <w:qFormat/>
    <w:uiPriority w:val="34"/>
    <w:pPr>
      <w:adjustRightInd/>
      <w:ind w:firstLine="420" w:firstLineChars="200"/>
    </w:pPr>
    <w:rPr>
      <w:rFonts w:eastAsia="仿宋_GB2312"/>
      <w:sz w:val="28"/>
    </w:rPr>
  </w:style>
  <w:style w:type="paragraph" w:customStyle="1" w:styleId="65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5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59">
    <w:name w:val="文档正文"/>
    <w:basedOn w:val="1"/>
    <w:qFormat/>
    <w:uiPriority w:val="0"/>
    <w:pPr>
      <w:spacing w:line="480" w:lineRule="atLeast"/>
      <w:ind w:firstLine="567"/>
      <w:textAlignment w:val="baseline"/>
    </w:pPr>
    <w:rPr>
      <w:kern w:val="0"/>
      <w:sz w:val="24"/>
      <w:szCs w:val="20"/>
    </w:rPr>
  </w:style>
  <w:style w:type="paragraph" w:customStyle="1" w:styleId="660">
    <w:name w:val="正文1.25"/>
    <w:basedOn w:val="1"/>
    <w:qFormat/>
    <w:uiPriority w:val="0"/>
    <w:pPr>
      <w:adjustRightInd/>
      <w:spacing w:line="300" w:lineRule="auto"/>
      <w:ind w:firstLine="480" w:firstLineChars="200"/>
    </w:pPr>
    <w:rPr>
      <w:sz w:val="24"/>
      <w:szCs w:val="20"/>
    </w:rPr>
  </w:style>
  <w:style w:type="paragraph" w:customStyle="1" w:styleId="661">
    <w:name w:val="表格内文"/>
    <w:basedOn w:val="1"/>
    <w:qFormat/>
    <w:uiPriority w:val="0"/>
    <w:pPr>
      <w:adjustRightInd/>
      <w:spacing w:line="360" w:lineRule="auto"/>
    </w:pPr>
    <w:rPr>
      <w:rFonts w:ascii="宋体" w:hAnsi="宋体" w:cs="宋体"/>
      <w:color w:val="000000"/>
      <w:szCs w:val="20"/>
    </w:rPr>
  </w:style>
  <w:style w:type="paragraph" w:customStyle="1" w:styleId="662">
    <w:name w:val="Char2"/>
    <w:basedOn w:val="1"/>
    <w:qFormat/>
    <w:uiPriority w:val="0"/>
    <w:rPr>
      <w:rFonts w:ascii="仿宋_GB2312" w:eastAsia="仿宋_GB2312"/>
      <w:b/>
      <w:sz w:val="32"/>
      <w:szCs w:val="32"/>
    </w:rPr>
  </w:style>
  <w:style w:type="paragraph" w:customStyle="1" w:styleId="6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66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66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66">
    <w:name w:val="默认段落字体 Para Char"/>
    <w:basedOn w:val="1"/>
    <w:qFormat/>
    <w:uiPriority w:val="0"/>
    <w:rPr>
      <w:rFonts w:ascii="Tahoma" w:hAnsi="Tahoma"/>
      <w:sz w:val="24"/>
      <w:szCs w:val="20"/>
    </w:rPr>
  </w:style>
  <w:style w:type="paragraph" w:customStyle="1" w:styleId="667">
    <w:name w:val="样式 左侧:  0.85 厘米"/>
    <w:basedOn w:val="1"/>
    <w:qFormat/>
    <w:uiPriority w:val="2"/>
    <w:pPr>
      <w:adjustRightInd/>
      <w:spacing w:line="360" w:lineRule="auto"/>
    </w:pPr>
    <w:rPr>
      <w:rFonts w:cs="宋体"/>
      <w:sz w:val="24"/>
      <w:szCs w:val="20"/>
    </w:rPr>
  </w:style>
  <w:style w:type="paragraph" w:customStyle="1" w:styleId="66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6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70">
    <w:name w:val="Char Char Char Char Char Char Char Char1"/>
    <w:basedOn w:val="1"/>
    <w:qFormat/>
    <w:uiPriority w:val="0"/>
    <w:pPr>
      <w:tabs>
        <w:tab w:val="left" w:pos="360"/>
      </w:tabs>
    </w:pPr>
    <w:rPr>
      <w:sz w:val="24"/>
      <w:szCs w:val="20"/>
    </w:rPr>
  </w:style>
  <w:style w:type="paragraph" w:customStyle="1" w:styleId="67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672">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7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674">
    <w:name w:val="Char Char Char Char Char Char Char Char Char Char Char Char1 Char1"/>
    <w:basedOn w:val="1"/>
    <w:qFormat/>
    <w:uiPriority w:val="6"/>
    <w:rPr>
      <w:rFonts w:ascii="Tahoma" w:hAnsi="Tahoma" w:cs="仿宋_GB2312"/>
      <w:sz w:val="24"/>
      <w:szCs w:val="20"/>
    </w:rPr>
  </w:style>
  <w:style w:type="paragraph" w:customStyle="1" w:styleId="675">
    <w:name w:val="Normal0"/>
    <w:qFormat/>
    <w:uiPriority w:val="0"/>
    <w:rPr>
      <w:rFonts w:ascii="Times New Roman" w:hAnsi="Times New Roman" w:eastAsia="宋体" w:cs="Times New Roman"/>
      <w:lang w:val="en-US" w:eastAsia="en-US" w:bidi="ar-SA"/>
    </w:rPr>
  </w:style>
  <w:style w:type="paragraph" w:customStyle="1" w:styleId="676">
    <w:name w:val="_Style 94"/>
    <w:basedOn w:val="1"/>
    <w:next w:val="360"/>
    <w:qFormat/>
    <w:uiPriority w:val="34"/>
    <w:pPr>
      <w:adjustRightInd/>
      <w:spacing w:line="360" w:lineRule="auto"/>
      <w:ind w:firstLine="200" w:firstLineChars="200"/>
    </w:pPr>
    <w:rPr>
      <w:rFonts w:ascii="Calibri" w:hAnsi="Calibri"/>
      <w:sz w:val="28"/>
      <w:szCs w:val="20"/>
    </w:rPr>
  </w:style>
  <w:style w:type="paragraph" w:customStyle="1" w:styleId="67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78">
    <w:name w:val="默认段落样式"/>
    <w:basedOn w:val="326"/>
    <w:qFormat/>
    <w:uiPriority w:val="0"/>
    <w:pPr>
      <w:spacing w:before="0"/>
      <w:ind w:firstLine="480"/>
      <w:outlineLvl w:val="2"/>
    </w:pPr>
    <w:rPr>
      <w:rFonts w:ascii="仿宋_GB2312" w:hAnsi="宋体" w:eastAsia="仿宋_GB2312"/>
      <w:color w:val="000000"/>
      <w:szCs w:val="24"/>
    </w:rPr>
  </w:style>
  <w:style w:type="paragraph" w:customStyle="1" w:styleId="67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680">
    <w:name w:val="Char Char Char Char Char Char Char Char2"/>
    <w:basedOn w:val="1"/>
    <w:qFormat/>
    <w:uiPriority w:val="0"/>
    <w:pPr>
      <w:tabs>
        <w:tab w:val="left" w:pos="360"/>
      </w:tabs>
    </w:pPr>
    <w:rPr>
      <w:sz w:val="24"/>
      <w:szCs w:val="20"/>
    </w:rPr>
  </w:style>
  <w:style w:type="paragraph" w:customStyle="1" w:styleId="68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682">
    <w:name w:val="标题3"/>
    <w:basedOn w:val="8"/>
    <w:next w:val="53"/>
    <w:qFormat/>
    <w:uiPriority w:val="0"/>
    <w:pPr>
      <w:tabs>
        <w:tab w:val="clear" w:pos="900"/>
      </w:tabs>
      <w:spacing w:after="0" w:line="360" w:lineRule="auto"/>
    </w:pPr>
    <w:rPr>
      <w:rFonts w:ascii="仿宋" w:hAnsi="仿宋" w:eastAsia="仿宋" w:cs="仿宋"/>
    </w:rPr>
  </w:style>
  <w:style w:type="paragraph" w:customStyle="1" w:styleId="68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68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685">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686">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687">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88">
    <w:name w:val="List Paragraph1"/>
    <w:basedOn w:val="1"/>
    <w:qFormat/>
    <w:uiPriority w:val="0"/>
    <w:pPr>
      <w:spacing w:line="360" w:lineRule="auto"/>
      <w:ind w:firstLine="200" w:firstLineChars="200"/>
    </w:pPr>
    <w:rPr>
      <w:rFonts w:eastAsia="楷体_GB2312" w:cs="Lucida Sans"/>
      <w:sz w:val="24"/>
    </w:rPr>
  </w:style>
  <w:style w:type="paragraph" w:customStyle="1" w:styleId="689">
    <w:name w:val="Char3"/>
    <w:basedOn w:val="1"/>
    <w:qFormat/>
    <w:uiPriority w:val="0"/>
    <w:pPr>
      <w:adjustRightInd/>
    </w:pPr>
    <w:rPr>
      <w:rFonts w:ascii="仿宋_GB2312" w:eastAsia="仿宋_GB2312"/>
      <w:b/>
      <w:sz w:val="32"/>
      <w:szCs w:val="32"/>
    </w:rPr>
  </w:style>
  <w:style w:type="paragraph" w:customStyle="1" w:styleId="690">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9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92">
    <w:name w:val="Char Char Char Char Char Char Char2"/>
    <w:basedOn w:val="1"/>
    <w:qFormat/>
    <w:uiPriority w:val="0"/>
    <w:rPr>
      <w:rFonts w:ascii="仿宋_GB2312" w:eastAsia="仿宋_GB2312"/>
      <w:b/>
      <w:sz w:val="32"/>
      <w:szCs w:val="32"/>
    </w:rPr>
  </w:style>
  <w:style w:type="paragraph" w:customStyle="1" w:styleId="69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69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95">
    <w:name w:val="Char Char1 Char Char Char1"/>
    <w:basedOn w:val="1"/>
    <w:qFormat/>
    <w:uiPriority w:val="6"/>
    <w:rPr>
      <w:rFonts w:ascii="仿宋_GB2312" w:eastAsia="仿宋_GB2312"/>
      <w:b/>
      <w:sz w:val="32"/>
      <w:szCs w:val="20"/>
    </w:rPr>
  </w:style>
  <w:style w:type="paragraph" w:customStyle="1" w:styleId="696">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69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69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69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700">
    <w:name w:val="MM Topic 2"/>
    <w:basedOn w:val="6"/>
    <w:qFormat/>
    <w:uiPriority w:val="0"/>
    <w:pPr>
      <w:tabs>
        <w:tab w:val="left" w:pos="1260"/>
        <w:tab w:val="clear" w:pos="432"/>
      </w:tabs>
      <w:ind w:left="1260" w:hanging="420"/>
    </w:pPr>
    <w:rPr>
      <w:rFonts w:ascii="Arial" w:hAnsi="Arial" w:eastAsia="黑体"/>
      <w:lang w:val="en-US"/>
    </w:rPr>
  </w:style>
  <w:style w:type="paragraph" w:customStyle="1" w:styleId="701">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70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703">
    <w:name w:val="Char1 Char Char Char2"/>
    <w:basedOn w:val="1"/>
    <w:qFormat/>
    <w:uiPriority w:val="0"/>
    <w:pPr>
      <w:adjustRightInd/>
      <w:ind w:firstLine="200" w:firstLineChars="200"/>
    </w:pPr>
    <w:rPr>
      <w:rFonts w:ascii="Tahoma" w:hAnsi="Tahoma"/>
      <w:sz w:val="24"/>
      <w:szCs w:val="20"/>
    </w:rPr>
  </w:style>
  <w:style w:type="paragraph" w:customStyle="1" w:styleId="704">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705">
    <w:name w:val="文章标题"/>
    <w:next w:val="636"/>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08">
    <w:name w:val="正文表标题"/>
    <w:next w:val="51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0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710">
    <w:name w:val="修订2"/>
    <w:qFormat/>
    <w:uiPriority w:val="0"/>
    <w:rPr>
      <w:rFonts w:ascii="Times New Roman" w:hAnsi="Times New Roman" w:eastAsia="宋体" w:cs="Times New Roman"/>
      <w:kern w:val="2"/>
      <w:sz w:val="21"/>
      <w:lang w:val="en-US" w:eastAsia="zh-CN" w:bidi="ar-SA"/>
    </w:rPr>
  </w:style>
  <w:style w:type="paragraph" w:customStyle="1" w:styleId="71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12">
    <w:name w:val="Char Char1121"/>
    <w:basedOn w:val="1"/>
    <w:qFormat/>
    <w:uiPriority w:val="0"/>
    <w:pPr>
      <w:spacing w:line="360" w:lineRule="auto"/>
    </w:pPr>
    <w:rPr>
      <w:szCs w:val="20"/>
    </w:rPr>
  </w:style>
  <w:style w:type="paragraph" w:customStyle="1" w:styleId="71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71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715">
    <w:name w:val="MM Topic 5"/>
    <w:basedOn w:val="10"/>
    <w:qFormat/>
    <w:uiPriority w:val="0"/>
    <w:pPr>
      <w:tabs>
        <w:tab w:val="left" w:pos="2520"/>
        <w:tab w:val="clear" w:pos="1008"/>
      </w:tabs>
      <w:adjustRightInd/>
      <w:ind w:left="2520" w:hanging="420"/>
    </w:pPr>
  </w:style>
  <w:style w:type="paragraph" w:customStyle="1" w:styleId="71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7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18">
    <w:name w:val="样式7"/>
    <w:basedOn w:val="639"/>
    <w:next w:val="1"/>
    <w:qFormat/>
    <w:uiPriority w:val="0"/>
    <w:pPr>
      <w:spacing w:after="156" w:afterLines="50"/>
      <w:jc w:val="left"/>
      <w:outlineLvl w:val="3"/>
    </w:pPr>
    <w:rPr>
      <w:sz w:val="24"/>
      <w:szCs w:val="24"/>
    </w:rPr>
  </w:style>
  <w:style w:type="paragraph" w:customStyle="1" w:styleId="71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72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2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722">
    <w:name w:val="Char Char Char 字元 字元"/>
    <w:basedOn w:val="1"/>
    <w:qFormat/>
    <w:uiPriority w:val="0"/>
    <w:pPr>
      <w:adjustRightInd/>
      <w:spacing w:line="360" w:lineRule="auto"/>
      <w:ind w:firstLine="200" w:firstLineChars="200"/>
    </w:pPr>
    <w:rPr>
      <w:szCs w:val="20"/>
    </w:rPr>
  </w:style>
  <w:style w:type="paragraph" w:customStyle="1" w:styleId="72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72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72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726">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72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2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729">
    <w:name w:val="Char3 Char Char Char11"/>
    <w:basedOn w:val="1"/>
    <w:qFormat/>
    <w:uiPriority w:val="0"/>
    <w:pPr>
      <w:widowControl/>
      <w:adjustRightInd/>
      <w:spacing w:after="160" w:line="240" w:lineRule="exact"/>
      <w:jc w:val="left"/>
    </w:pPr>
    <w:rPr>
      <w:szCs w:val="20"/>
    </w:rPr>
  </w:style>
  <w:style w:type="paragraph" w:customStyle="1" w:styleId="73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31">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73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3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34">
    <w:name w:val="_标题2"/>
    <w:basedOn w:val="730"/>
    <w:next w:val="73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35">
    <w:name w:val="Char Char Char Char"/>
    <w:basedOn w:val="1"/>
    <w:qFormat/>
    <w:uiPriority w:val="0"/>
    <w:rPr>
      <w:rFonts w:ascii="Tahoma" w:hAnsi="Tahoma"/>
      <w:sz w:val="24"/>
      <w:szCs w:val="20"/>
    </w:rPr>
  </w:style>
  <w:style w:type="paragraph" w:customStyle="1" w:styleId="73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7">
    <w:name w:val="Char Char111"/>
    <w:basedOn w:val="1"/>
    <w:qFormat/>
    <w:uiPriority w:val="0"/>
    <w:pPr>
      <w:spacing w:line="360" w:lineRule="auto"/>
    </w:pPr>
    <w:rPr>
      <w:szCs w:val="20"/>
    </w:rPr>
  </w:style>
  <w:style w:type="paragraph" w:customStyle="1" w:styleId="738">
    <w:name w:val="p0"/>
    <w:basedOn w:val="1"/>
    <w:qFormat/>
    <w:uiPriority w:val="0"/>
    <w:pPr>
      <w:widowControl/>
      <w:adjustRightInd/>
    </w:pPr>
    <w:rPr>
      <w:kern w:val="0"/>
      <w:szCs w:val="21"/>
    </w:rPr>
  </w:style>
  <w:style w:type="paragraph" w:customStyle="1" w:styleId="739">
    <w:name w:val="Char Char Char Char Char Char Char Char Char Char1"/>
    <w:basedOn w:val="1"/>
    <w:qFormat/>
    <w:uiPriority w:val="0"/>
    <w:rPr>
      <w:rFonts w:ascii="仿宋_GB2312" w:eastAsia="仿宋_GB2312"/>
      <w:b/>
      <w:sz w:val="32"/>
      <w:szCs w:val="32"/>
    </w:rPr>
  </w:style>
  <w:style w:type="paragraph" w:customStyle="1" w:styleId="740">
    <w:name w:val="样式 样式2 + 左侧:  1 字符 右侧:  1 字符"/>
    <w:basedOn w:val="50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4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42">
    <w:name w:val="!大节"/>
    <w:basedOn w:val="6"/>
    <w:qFormat/>
    <w:uiPriority w:val="0"/>
    <w:pPr>
      <w:spacing w:before="260" w:after="260" w:line="415" w:lineRule="auto"/>
      <w:ind w:left="420" w:hanging="420"/>
    </w:pPr>
    <w:rPr>
      <w:rFonts w:ascii="Arial" w:hAnsi="Arial" w:eastAsia="微软雅黑"/>
      <w:lang w:val="en-US"/>
    </w:rPr>
  </w:style>
  <w:style w:type="paragraph" w:customStyle="1" w:styleId="7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744">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45">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6">
    <w:name w:val="单元格左对齐"/>
    <w:basedOn w:val="1"/>
    <w:qFormat/>
    <w:uiPriority w:val="0"/>
    <w:pPr>
      <w:adjustRightInd/>
      <w:spacing w:line="360" w:lineRule="auto"/>
    </w:pPr>
    <w:rPr>
      <w:sz w:val="24"/>
    </w:rPr>
  </w:style>
  <w:style w:type="paragraph" w:customStyle="1" w:styleId="74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7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749">
    <w:name w:val="正文标准"/>
    <w:basedOn w:val="1"/>
    <w:qFormat/>
    <w:uiPriority w:val="0"/>
    <w:pPr>
      <w:adjustRightInd/>
      <w:spacing w:line="360" w:lineRule="auto"/>
      <w:ind w:firstLine="200" w:firstLineChars="200"/>
    </w:pPr>
    <w:rPr>
      <w:rFonts w:ascii="宋体" w:hAnsi="Calibri"/>
      <w:sz w:val="24"/>
    </w:rPr>
  </w:style>
  <w:style w:type="paragraph" w:customStyle="1" w:styleId="750">
    <w:name w:val="Char Char1 Char Char Char2"/>
    <w:basedOn w:val="1"/>
    <w:qFormat/>
    <w:uiPriority w:val="0"/>
    <w:rPr>
      <w:rFonts w:ascii="仿宋_GB2312" w:eastAsia="仿宋_GB2312"/>
      <w:b/>
      <w:sz w:val="32"/>
      <w:szCs w:val="32"/>
    </w:rPr>
  </w:style>
  <w:style w:type="paragraph" w:customStyle="1" w:styleId="751">
    <w:name w:val="样式 标题 2 + 宋体 左侧:  1.76 厘米 首行缩进:  0 厘米"/>
    <w:basedOn w:val="6"/>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75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753">
    <w:name w:val="_Style 947"/>
    <w:basedOn w:val="1"/>
    <w:next w:val="360"/>
    <w:qFormat/>
    <w:uiPriority w:val="34"/>
    <w:pPr>
      <w:adjustRightInd/>
      <w:ind w:firstLine="420" w:firstLineChars="200"/>
    </w:pPr>
  </w:style>
  <w:style w:type="paragraph" w:customStyle="1" w:styleId="754">
    <w:name w:val="Char Char Char Char Char Char Char"/>
    <w:basedOn w:val="1"/>
    <w:qFormat/>
    <w:uiPriority w:val="0"/>
    <w:rPr>
      <w:rFonts w:ascii="仿宋_GB2312" w:eastAsia="仿宋_GB2312"/>
      <w:b/>
      <w:sz w:val="32"/>
      <w:szCs w:val="32"/>
    </w:rPr>
  </w:style>
  <w:style w:type="paragraph" w:customStyle="1" w:styleId="7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756">
    <w:name w:val="Char Char Char"/>
    <w:basedOn w:val="1"/>
    <w:qFormat/>
    <w:uiPriority w:val="0"/>
    <w:rPr>
      <w:rFonts w:ascii="Tahoma" w:hAnsi="Tahoma"/>
      <w:sz w:val="24"/>
      <w:szCs w:val="20"/>
    </w:rPr>
  </w:style>
  <w:style w:type="paragraph" w:customStyle="1" w:styleId="75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758">
    <w:name w:val="Char2 Char Char Char2"/>
    <w:basedOn w:val="1"/>
    <w:qFormat/>
    <w:uiPriority w:val="0"/>
    <w:rPr>
      <w:rFonts w:ascii="仿宋_GB2312" w:eastAsia="仿宋_GB2312"/>
      <w:b/>
      <w:sz w:val="32"/>
      <w:szCs w:val="32"/>
    </w:rPr>
  </w:style>
  <w:style w:type="paragraph" w:customStyle="1" w:styleId="7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760">
    <w:name w:val="标书表格字体格式"/>
    <w:next w:val="487"/>
    <w:qFormat/>
    <w:uiPriority w:val="0"/>
    <w:rPr>
      <w:rFonts w:ascii="Times New Roman" w:hAnsi="Times New Roman" w:eastAsia="宋体" w:cs="Times New Roman"/>
      <w:kern w:val="2"/>
      <w:sz w:val="21"/>
      <w:szCs w:val="24"/>
      <w:lang w:val="en-US" w:eastAsia="zh-CN" w:bidi="ar-SA"/>
    </w:rPr>
  </w:style>
  <w:style w:type="paragraph" w:customStyle="1" w:styleId="76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762">
    <w:name w:val="6级标题"/>
    <w:basedOn w:val="538"/>
    <w:qFormat/>
    <w:uiPriority w:val="0"/>
    <w:pPr>
      <w:keepNext/>
      <w:spacing w:before="0" w:after="0"/>
      <w:outlineLvl w:val="5"/>
    </w:pPr>
  </w:style>
  <w:style w:type="paragraph" w:customStyle="1" w:styleId="763">
    <w:name w:val="Char2 Char Char1"/>
    <w:basedOn w:val="1"/>
    <w:qFormat/>
    <w:uiPriority w:val="6"/>
    <w:pPr>
      <w:adjustRightInd/>
    </w:pPr>
    <w:rPr>
      <w:rFonts w:ascii="Tahoma" w:hAnsi="Tahoma"/>
      <w:sz w:val="24"/>
      <w:szCs w:val="20"/>
    </w:rPr>
  </w:style>
  <w:style w:type="paragraph" w:customStyle="1" w:styleId="764">
    <w:name w:val="正文主体"/>
    <w:basedOn w:val="765"/>
    <w:qFormat/>
    <w:uiPriority w:val="0"/>
  </w:style>
  <w:style w:type="paragraph" w:customStyle="1" w:styleId="76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766">
    <w:name w:val="Char Char Char1 Char1"/>
    <w:basedOn w:val="1"/>
    <w:qFormat/>
    <w:uiPriority w:val="6"/>
    <w:rPr>
      <w:szCs w:val="20"/>
    </w:rPr>
  </w:style>
  <w:style w:type="paragraph" w:customStyle="1" w:styleId="767">
    <w:name w:val="正文 首行缩进:  2 字符 Char"/>
    <w:basedOn w:val="1"/>
    <w:qFormat/>
    <w:uiPriority w:val="0"/>
    <w:pPr>
      <w:adjustRightInd/>
      <w:spacing w:line="360" w:lineRule="auto"/>
      <w:ind w:firstLine="480"/>
    </w:pPr>
    <w:rPr>
      <w:rFonts w:cs="宋体"/>
      <w:sz w:val="24"/>
      <w:szCs w:val="20"/>
    </w:rPr>
  </w:style>
  <w:style w:type="paragraph" w:customStyle="1" w:styleId="76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6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77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73">
    <w:name w:val="左对齐表格文字"/>
    <w:basedOn w:val="1"/>
    <w:qFormat/>
    <w:uiPriority w:val="0"/>
    <w:pPr>
      <w:adjustRightInd/>
      <w:ind w:firstLine="200" w:firstLineChars="200"/>
      <w:jc w:val="right"/>
    </w:pPr>
  </w:style>
  <w:style w:type="paragraph" w:customStyle="1" w:styleId="77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775">
    <w:name w:val="Char Char Char Char Char Char Char Char Char Char Char Char1 Char2"/>
    <w:basedOn w:val="1"/>
    <w:qFormat/>
    <w:uiPriority w:val="0"/>
    <w:rPr>
      <w:rFonts w:ascii="Tahoma" w:hAnsi="Tahoma" w:cs="仿宋_GB2312"/>
      <w:sz w:val="24"/>
      <w:szCs w:val="20"/>
    </w:rPr>
  </w:style>
  <w:style w:type="paragraph" w:customStyle="1" w:styleId="77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777">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7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7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 Char11 Char Char Char1"/>
    <w:basedOn w:val="1"/>
    <w:qFormat/>
    <w:uiPriority w:val="6"/>
    <w:pPr>
      <w:spacing w:line="360" w:lineRule="auto"/>
    </w:pPr>
    <w:rPr>
      <w:szCs w:val="20"/>
    </w:rPr>
  </w:style>
  <w:style w:type="paragraph" w:customStyle="1" w:styleId="781">
    <w:name w:val="_Style 3"/>
    <w:basedOn w:val="1"/>
    <w:qFormat/>
    <w:uiPriority w:val="0"/>
    <w:pPr>
      <w:adjustRightInd/>
      <w:ind w:firstLine="420" w:firstLineChars="200"/>
    </w:pPr>
    <w:rPr>
      <w:rFonts w:eastAsia="仿宋_GB2312"/>
      <w:sz w:val="28"/>
    </w:rPr>
  </w:style>
  <w:style w:type="paragraph" w:customStyle="1" w:styleId="782">
    <w:name w:val="Char Char Char Char Char Char Char Char"/>
    <w:basedOn w:val="1"/>
    <w:qFormat/>
    <w:uiPriority w:val="0"/>
    <w:pPr>
      <w:tabs>
        <w:tab w:val="left" w:pos="360"/>
      </w:tabs>
    </w:pPr>
    <w:rPr>
      <w:sz w:val="24"/>
      <w:szCs w:val="20"/>
    </w:rPr>
  </w:style>
  <w:style w:type="paragraph" w:customStyle="1" w:styleId="783">
    <w:name w:val="数字标题2"/>
    <w:basedOn w:val="6"/>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78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8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786">
    <w:name w:val="数字标题5"/>
    <w:basedOn w:val="10"/>
    <w:next w:val="1"/>
    <w:qFormat/>
    <w:uiPriority w:val="0"/>
    <w:pPr>
      <w:tabs>
        <w:tab w:val="left" w:pos="1080"/>
        <w:tab w:val="clear" w:pos="1008"/>
      </w:tabs>
      <w:ind w:left="1080" w:hanging="1080"/>
    </w:pPr>
  </w:style>
  <w:style w:type="paragraph" w:customStyle="1" w:styleId="787">
    <w:name w:val="正文 内标 序号标"/>
    <w:basedOn w:val="551"/>
    <w:qFormat/>
    <w:uiPriority w:val="0"/>
    <w:pPr>
      <w:tabs>
        <w:tab w:val="left" w:pos="0"/>
      </w:tabs>
      <w:adjustRightInd/>
      <w:spacing w:before="0"/>
      <w:ind w:firstLine="482"/>
    </w:pPr>
    <w:rPr>
      <w:rFonts w:ascii="微软雅黑" w:hAnsi="微软雅黑"/>
      <w:sz w:val="24"/>
      <w:szCs w:val="24"/>
    </w:rPr>
  </w:style>
  <w:style w:type="paragraph" w:customStyle="1" w:styleId="78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78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791">
    <w:name w:val="正文 项目2"/>
    <w:basedOn w:val="644"/>
    <w:qFormat/>
    <w:uiPriority w:val="0"/>
    <w:pPr>
      <w:spacing w:after="0"/>
      <w:ind w:left="900"/>
    </w:pPr>
  </w:style>
  <w:style w:type="paragraph" w:customStyle="1" w:styleId="79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793">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794">
    <w:name w:val="Char1 Char Char Char21"/>
    <w:basedOn w:val="1"/>
    <w:qFormat/>
    <w:uiPriority w:val="0"/>
    <w:rPr>
      <w:rFonts w:ascii="Tahoma" w:hAnsi="Tahoma"/>
      <w:sz w:val="24"/>
      <w:szCs w:val="20"/>
    </w:rPr>
  </w:style>
  <w:style w:type="paragraph" w:customStyle="1" w:styleId="79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79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797">
    <w:name w:val="BodyTextIndent"/>
    <w:basedOn w:val="1"/>
    <w:qFormat/>
    <w:uiPriority w:val="0"/>
    <w:pPr>
      <w:spacing w:line="520" w:lineRule="exact"/>
      <w:ind w:left="570"/>
      <w:jc w:val="both"/>
      <w:textAlignment w:val="baseline"/>
    </w:pPr>
    <w:rPr>
      <w:rFonts w:ascii="方正仿宋简体" w:hAnsi="创艺简仿宋" w:eastAsia="方正仿宋简体"/>
      <w:sz w:val="24"/>
      <w:lang w:val="en-US" w:eastAsia="zh-CN" w:bidi="ar-SA"/>
    </w:rPr>
  </w:style>
  <w:style w:type="paragraph" w:customStyle="1" w:styleId="798">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79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0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802">
    <w:name w:val="Char311"/>
    <w:basedOn w:val="1"/>
    <w:qFormat/>
    <w:uiPriority w:val="0"/>
    <w:pPr>
      <w:adjustRightInd/>
      <w:ind w:firstLine="200" w:firstLineChars="200"/>
    </w:pPr>
    <w:rPr>
      <w:rFonts w:ascii="Tahoma" w:hAnsi="Tahoma"/>
      <w:sz w:val="24"/>
      <w:szCs w:val="20"/>
    </w:rPr>
  </w:style>
  <w:style w:type="paragraph" w:customStyle="1" w:styleId="80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804">
    <w:name w:val="_Style 12"/>
    <w:basedOn w:val="22"/>
    <w:qFormat/>
    <w:uiPriority w:val="0"/>
    <w:pPr>
      <w:snapToGrid w:val="0"/>
      <w:spacing w:line="360" w:lineRule="auto"/>
    </w:pPr>
  </w:style>
  <w:style w:type="paragraph" w:customStyle="1" w:styleId="80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80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80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08">
    <w:name w:val="Char Char Char Char Char Char Char Char Char Char Char1 Char"/>
    <w:basedOn w:val="1"/>
    <w:qFormat/>
    <w:uiPriority w:val="0"/>
    <w:pPr>
      <w:adjustRightInd/>
    </w:pPr>
    <w:rPr>
      <w:rFonts w:ascii="Tahoma" w:hAnsi="Tahoma"/>
      <w:sz w:val="24"/>
    </w:rPr>
  </w:style>
  <w:style w:type="paragraph" w:customStyle="1" w:styleId="80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810">
    <w:name w:val="CM14"/>
    <w:basedOn w:val="410"/>
    <w:next w:val="410"/>
    <w:qFormat/>
    <w:uiPriority w:val="0"/>
    <w:pPr>
      <w:spacing w:after="68"/>
    </w:pPr>
    <w:rPr>
      <w:rFonts w:ascii="FHLHE E+ Futura Bk" w:eastAsia="FHLHE E+ Futura Bk" w:cs="Times New Roman"/>
      <w:color w:val="auto"/>
    </w:rPr>
  </w:style>
  <w:style w:type="paragraph" w:customStyle="1" w:styleId="811">
    <w:name w:val="Char Char1 Char Char Char Char Char Char1"/>
    <w:basedOn w:val="1"/>
    <w:qFormat/>
    <w:uiPriority w:val="0"/>
    <w:rPr>
      <w:rFonts w:ascii="仿宋_GB2312" w:eastAsia="仿宋_GB2312"/>
      <w:b/>
      <w:sz w:val="32"/>
      <w:szCs w:val="20"/>
    </w:rPr>
  </w:style>
  <w:style w:type="paragraph" w:customStyle="1" w:styleId="81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13">
    <w:name w:val="列出段落2"/>
    <w:basedOn w:val="1"/>
    <w:qFormat/>
    <w:uiPriority w:val="0"/>
    <w:pPr>
      <w:adjustRightInd/>
      <w:ind w:firstLine="420" w:firstLineChars="200"/>
    </w:pPr>
    <w:rPr>
      <w:rFonts w:ascii="宋体" w:hAnsi="宋体"/>
      <w:sz w:val="24"/>
    </w:rPr>
  </w:style>
  <w:style w:type="paragraph" w:customStyle="1" w:styleId="814">
    <w:name w:val="Char1 Char Char Char4"/>
    <w:basedOn w:val="1"/>
    <w:qFormat/>
    <w:uiPriority w:val="0"/>
    <w:pPr>
      <w:adjustRightInd/>
      <w:ind w:firstLine="200" w:firstLineChars="200"/>
    </w:pPr>
    <w:rPr>
      <w:rFonts w:ascii="Tahoma" w:hAnsi="Tahoma"/>
      <w:sz w:val="24"/>
      <w:szCs w:val="20"/>
    </w:rPr>
  </w:style>
  <w:style w:type="paragraph" w:customStyle="1" w:styleId="815">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81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81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81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2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正文文本 221"/>
    <w:basedOn w:val="1"/>
    <w:qFormat/>
    <w:uiPriority w:val="0"/>
    <w:pPr>
      <w:widowControl/>
      <w:overflowPunct w:val="0"/>
      <w:autoSpaceDE w:val="0"/>
      <w:autoSpaceDN w:val="0"/>
      <w:ind w:left="720" w:hanging="720"/>
      <w:textAlignment w:val="baseline"/>
    </w:pPr>
    <w:rPr>
      <w:kern w:val="0"/>
      <w:sz w:val="24"/>
      <w:szCs w:val="20"/>
      <w:lang/>
    </w:rPr>
  </w:style>
  <w:style w:type="paragraph" w:customStyle="1" w:styleId="82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823">
    <w:name w:val="Char21"/>
    <w:basedOn w:val="1"/>
    <w:qFormat/>
    <w:uiPriority w:val="0"/>
    <w:pPr>
      <w:adjustRightInd/>
      <w:ind w:firstLine="200" w:firstLineChars="200"/>
    </w:pPr>
    <w:rPr>
      <w:rFonts w:ascii="仿宋_GB2312" w:eastAsia="仿宋_GB2312"/>
      <w:b/>
      <w:sz w:val="32"/>
      <w:szCs w:val="32"/>
    </w:rPr>
  </w:style>
  <w:style w:type="paragraph" w:customStyle="1" w:styleId="82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825">
    <w:name w:val="表格标题2"/>
    <w:basedOn w:val="661"/>
    <w:qFormat/>
    <w:uiPriority w:val="0"/>
    <w:rPr>
      <w:b/>
    </w:rPr>
  </w:style>
  <w:style w:type="paragraph" w:customStyle="1" w:styleId="826">
    <w:name w:val="图中文字"/>
    <w:basedOn w:val="1"/>
    <w:qFormat/>
    <w:uiPriority w:val="0"/>
    <w:pPr>
      <w:snapToGrid w:val="0"/>
      <w:spacing w:line="0" w:lineRule="atLeast"/>
      <w:ind w:firstLine="200" w:firstLineChars="200"/>
      <w:jc w:val="center"/>
    </w:pPr>
    <w:rPr>
      <w:sz w:val="24"/>
      <w:szCs w:val="20"/>
    </w:rPr>
  </w:style>
  <w:style w:type="paragraph" w:customStyle="1" w:styleId="82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828">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829">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83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832">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83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834">
    <w:name w:val="Char Char1 Char Char Char Char Char Char"/>
    <w:basedOn w:val="1"/>
    <w:qFormat/>
    <w:uiPriority w:val="0"/>
    <w:rPr>
      <w:rFonts w:ascii="仿宋_GB2312" w:eastAsia="仿宋_GB2312"/>
      <w:b/>
      <w:sz w:val="32"/>
      <w:szCs w:val="20"/>
    </w:rPr>
  </w:style>
  <w:style w:type="paragraph" w:customStyle="1" w:styleId="835">
    <w:name w:val="Char2 Char Char"/>
    <w:basedOn w:val="1"/>
    <w:qFormat/>
    <w:uiPriority w:val="0"/>
    <w:pPr>
      <w:adjustRightInd/>
    </w:pPr>
    <w:rPr>
      <w:rFonts w:ascii="Tahoma" w:hAnsi="Tahoma"/>
      <w:sz w:val="24"/>
      <w:szCs w:val="20"/>
    </w:rPr>
  </w:style>
  <w:style w:type="paragraph" w:customStyle="1" w:styleId="83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83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838">
    <w:name w:val="4"/>
    <w:basedOn w:val="1"/>
    <w:next w:val="38"/>
    <w:qFormat/>
    <w:uiPriority w:val="0"/>
    <w:pPr>
      <w:spacing w:after="120" w:line="480" w:lineRule="auto"/>
      <w:ind w:left="420" w:leftChars="200"/>
    </w:pPr>
    <w:rPr>
      <w:sz w:val="24"/>
      <w:szCs w:val="20"/>
    </w:rPr>
  </w:style>
  <w:style w:type="paragraph" w:customStyle="1" w:styleId="83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840">
    <w:name w:val="_Style 6"/>
    <w:basedOn w:val="1"/>
    <w:qFormat/>
    <w:uiPriority w:val="34"/>
    <w:pPr>
      <w:adjustRightInd/>
      <w:ind w:firstLine="420" w:firstLineChars="200"/>
    </w:pPr>
    <w:rPr>
      <w:rFonts w:eastAsia="仿宋_GB2312"/>
      <w:sz w:val="28"/>
    </w:rPr>
  </w:style>
  <w:style w:type="paragraph" w:customStyle="1" w:styleId="841">
    <w:name w:val="正文－恩普"/>
    <w:basedOn w:val="1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842">
    <w:name w:val="修订1"/>
    <w:qFormat/>
    <w:uiPriority w:val="3"/>
    <w:rPr>
      <w:rFonts w:ascii="Times New Roman" w:hAnsi="Times New Roman" w:eastAsia="宋体" w:cs="Times New Roman"/>
      <w:color w:val="000000"/>
      <w:kern w:val="1"/>
      <w:sz w:val="21"/>
      <w:lang w:val="en-US" w:eastAsia="zh-CN" w:bidi="ar-SA"/>
    </w:rPr>
  </w:style>
  <w:style w:type="paragraph" w:customStyle="1" w:styleId="843">
    <w:name w:val="数字标题3"/>
    <w:basedOn w:val="8"/>
    <w:next w:val="1"/>
    <w:qFormat/>
    <w:uiPriority w:val="0"/>
    <w:pPr>
      <w:spacing w:line="240" w:lineRule="auto"/>
    </w:pPr>
    <w:rPr>
      <w:sz w:val="28"/>
      <w:szCs w:val="28"/>
    </w:rPr>
  </w:style>
  <w:style w:type="paragraph" w:customStyle="1" w:styleId="84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845">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a1"/>
    <w:basedOn w:val="1"/>
    <w:qFormat/>
    <w:uiPriority w:val="0"/>
    <w:pPr>
      <w:widowControl/>
      <w:spacing w:line="300" w:lineRule="atLeast"/>
      <w:jc w:val="left"/>
    </w:pPr>
    <w:rPr>
      <w:rFonts w:ascii="宋体" w:hAnsi="宋体"/>
      <w:kern w:val="0"/>
      <w:sz w:val="18"/>
      <w:szCs w:val="20"/>
    </w:rPr>
  </w:style>
  <w:style w:type="paragraph" w:customStyle="1" w:styleId="8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84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50">
    <w:name w:val="FA正文"/>
    <w:basedOn w:val="1"/>
    <w:qFormat/>
    <w:uiPriority w:val="0"/>
    <w:pPr>
      <w:spacing w:line="360" w:lineRule="auto"/>
      <w:ind w:firstLine="480" w:firstLineChars="200"/>
    </w:pPr>
    <w:rPr>
      <w:rFonts w:hAnsi="宋体"/>
      <w:sz w:val="24"/>
      <w:szCs w:val="20"/>
    </w:rPr>
  </w:style>
  <w:style w:type="paragraph" w:customStyle="1" w:styleId="851">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852">
    <w:name w:val="修订3"/>
    <w:qFormat/>
    <w:uiPriority w:val="0"/>
    <w:rPr>
      <w:rFonts w:ascii="Times New Roman" w:hAnsi="Times New Roman" w:eastAsia="宋体" w:cs="Times New Roman"/>
      <w:kern w:val="2"/>
      <w:sz w:val="21"/>
      <w:lang w:val="en-US" w:eastAsia="zh-CN" w:bidi="ar-SA"/>
    </w:rPr>
  </w:style>
  <w:style w:type="paragraph" w:customStyle="1" w:styleId="85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85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855">
    <w:name w:val="表格文字"/>
    <w:basedOn w:val="1"/>
    <w:next w:val="19"/>
    <w:qFormat/>
    <w:uiPriority w:val="0"/>
    <w:pPr>
      <w:adjustRightInd/>
      <w:ind w:firstLine="200" w:firstLineChars="200"/>
    </w:pPr>
    <w:rPr>
      <w:rFonts w:ascii="Arial" w:hAnsi="Arial"/>
      <w:spacing w:val="-5"/>
      <w:kern w:val="0"/>
      <w:sz w:val="24"/>
      <w:szCs w:val="20"/>
    </w:rPr>
  </w:style>
  <w:style w:type="paragraph" w:customStyle="1" w:styleId="856">
    <w:name w:val="P1"/>
    <w:basedOn w:val="1"/>
    <w:qFormat/>
    <w:uiPriority w:val="0"/>
    <w:pPr>
      <w:adjustRightInd/>
      <w:spacing w:line="288" w:lineRule="auto"/>
      <w:ind w:firstLine="425" w:firstLineChars="200"/>
    </w:pPr>
  </w:style>
  <w:style w:type="paragraph" w:customStyle="1" w:styleId="85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85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860">
    <w:name w:val="MM Topic 3"/>
    <w:basedOn w:val="8"/>
    <w:qFormat/>
    <w:uiPriority w:val="0"/>
    <w:pPr>
      <w:tabs>
        <w:tab w:val="left" w:pos="1680"/>
        <w:tab w:val="clear" w:pos="900"/>
      </w:tabs>
      <w:adjustRightInd/>
      <w:ind w:left="1680" w:hanging="420"/>
    </w:pPr>
  </w:style>
  <w:style w:type="paragraph" w:customStyle="1" w:styleId="86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862">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86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864">
    <w:name w:val="Char Char11 Char Char Char Char Char Char Char Char Char"/>
    <w:basedOn w:val="1"/>
    <w:qFormat/>
    <w:uiPriority w:val="0"/>
    <w:pPr>
      <w:spacing w:line="360" w:lineRule="auto"/>
    </w:pPr>
    <w:rPr>
      <w:szCs w:val="20"/>
    </w:rPr>
  </w:style>
  <w:style w:type="paragraph" w:customStyle="1" w:styleId="8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866">
    <w:name w:val="Char31"/>
    <w:basedOn w:val="1"/>
    <w:qFormat/>
    <w:uiPriority w:val="0"/>
    <w:pPr>
      <w:adjustRightInd/>
    </w:pPr>
    <w:rPr>
      <w:rFonts w:ascii="仿宋_GB2312" w:eastAsia="仿宋_GB2312"/>
      <w:b/>
      <w:sz w:val="32"/>
      <w:szCs w:val="32"/>
    </w:rPr>
  </w:style>
  <w:style w:type="paragraph" w:customStyle="1" w:styleId="86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70">
    <w:name w:val="Bulleted List"/>
    <w:basedOn w:val="1"/>
    <w:qFormat/>
    <w:uiPriority w:val="0"/>
    <w:pPr>
      <w:tabs>
        <w:tab w:val="left" w:pos="1260"/>
      </w:tabs>
      <w:adjustRightInd/>
      <w:ind w:left="1260" w:hanging="420"/>
    </w:pPr>
  </w:style>
  <w:style w:type="paragraph" w:customStyle="1" w:styleId="871">
    <w:name w:val="默认段落字体 Para Char Char Char1 Char"/>
    <w:basedOn w:val="1"/>
    <w:qFormat/>
    <w:uiPriority w:val="0"/>
    <w:pPr>
      <w:spacing w:line="240" w:lineRule="atLeast"/>
      <w:ind w:left="420" w:firstLine="420"/>
    </w:pPr>
    <w:rPr>
      <w:sz w:val="24"/>
    </w:rPr>
  </w:style>
  <w:style w:type="paragraph" w:customStyle="1" w:styleId="87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874">
    <w:name w:val="四号　首行缩进"/>
    <w:basedOn w:val="1"/>
    <w:qFormat/>
    <w:uiPriority w:val="0"/>
    <w:pPr>
      <w:adjustRightInd/>
      <w:spacing w:line="360" w:lineRule="auto"/>
    </w:pPr>
    <w:rPr>
      <w:rFonts w:ascii="宋体" w:hAnsi="宋体"/>
      <w:szCs w:val="20"/>
    </w:rPr>
  </w:style>
  <w:style w:type="paragraph" w:customStyle="1" w:styleId="875">
    <w:name w:val="样式1 + (中宋体"/>
    <w:basedOn w:val="48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87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877">
    <w:name w:val="Char Char110"/>
    <w:basedOn w:val="1"/>
    <w:qFormat/>
    <w:uiPriority w:val="6"/>
    <w:pPr>
      <w:spacing w:line="360" w:lineRule="auto"/>
    </w:pPr>
    <w:rPr>
      <w:rFonts w:ascii="Tahoma" w:hAnsi="Tahoma"/>
      <w:sz w:val="24"/>
      <w:szCs w:val="20"/>
    </w:rPr>
  </w:style>
  <w:style w:type="paragraph" w:customStyle="1" w:styleId="878">
    <w:name w:val="Char Char Char1 Char2"/>
    <w:basedOn w:val="1"/>
    <w:qFormat/>
    <w:uiPriority w:val="0"/>
    <w:rPr>
      <w:szCs w:val="20"/>
    </w:rPr>
  </w:style>
  <w:style w:type="paragraph" w:customStyle="1" w:styleId="87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2">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883">
    <w:name w:val="Char24"/>
    <w:basedOn w:val="1"/>
    <w:qFormat/>
    <w:uiPriority w:val="0"/>
    <w:rPr>
      <w:rFonts w:ascii="仿宋_GB2312" w:eastAsia="仿宋_GB2312"/>
      <w:b/>
      <w:sz w:val="32"/>
      <w:szCs w:val="32"/>
    </w:rPr>
  </w:style>
  <w:style w:type="paragraph" w:customStyle="1" w:styleId="884">
    <w:name w:val="五级条标题"/>
    <w:basedOn w:val="525"/>
    <w:next w:val="517"/>
    <w:qFormat/>
    <w:uiPriority w:val="0"/>
    <w:pPr>
      <w:tabs>
        <w:tab w:val="left" w:pos="3360"/>
        <w:tab w:val="clear" w:pos="2940"/>
      </w:tabs>
      <w:ind w:left="3360"/>
      <w:outlineLvl w:val="6"/>
    </w:pPr>
  </w:style>
  <w:style w:type="paragraph" w:customStyle="1" w:styleId="885">
    <w:name w:val="正文 内标"/>
    <w:basedOn w:val="581"/>
    <w:qFormat/>
    <w:uiPriority w:val="0"/>
    <w:pPr>
      <w:tabs>
        <w:tab w:val="left" w:pos="0"/>
      </w:tabs>
      <w:ind w:left="900" w:firstLine="0" w:firstLineChars="0"/>
    </w:pPr>
  </w:style>
  <w:style w:type="paragraph" w:customStyle="1" w:styleId="886">
    <w:name w:val="Char Char Char Char Char Char Char1"/>
    <w:basedOn w:val="1"/>
    <w:qFormat/>
    <w:uiPriority w:val="6"/>
    <w:rPr>
      <w:rFonts w:ascii="仿宋_GB2312" w:eastAsia="仿宋_GB2312"/>
      <w:b/>
      <w:sz w:val="32"/>
      <w:szCs w:val="32"/>
    </w:rPr>
  </w:style>
  <w:style w:type="paragraph" w:customStyle="1" w:styleId="887">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8">
    <w:name w:val="trademark"/>
    <w:qFormat/>
    <w:uiPriority w:val="0"/>
    <w:pPr>
      <w:spacing w:after="60"/>
    </w:pPr>
    <w:rPr>
      <w:rFonts w:ascii="Futura Bk" w:hAnsi="Futura Bk" w:eastAsia="宋体" w:cs="Times New Roman"/>
      <w:sz w:val="15"/>
      <w:lang w:val="en-US" w:eastAsia="en-US" w:bidi="ar-SA"/>
    </w:rPr>
  </w:style>
  <w:style w:type="paragraph" w:customStyle="1" w:styleId="889">
    <w:name w:val="正文文字 2"/>
    <w:basedOn w:val="410"/>
    <w:next w:val="410"/>
    <w:qFormat/>
    <w:uiPriority w:val="0"/>
    <w:rPr>
      <w:rFonts w:ascii="宋体" w:eastAsia="宋体" w:cs="Times New Roman"/>
      <w:color w:val="auto"/>
    </w:rPr>
  </w:style>
  <w:style w:type="paragraph" w:customStyle="1" w:styleId="890">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891">
    <w:name w:val="单元格居中"/>
    <w:basedOn w:val="1"/>
    <w:qFormat/>
    <w:uiPriority w:val="0"/>
    <w:pPr>
      <w:adjustRightInd/>
      <w:spacing w:line="360" w:lineRule="auto"/>
      <w:jc w:val="center"/>
    </w:pPr>
    <w:rPr>
      <w:sz w:val="24"/>
    </w:rPr>
  </w:style>
  <w:style w:type="paragraph" w:customStyle="1" w:styleId="89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89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89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895">
    <w:name w:val="Char Char1 Char Char1 Char Char1"/>
    <w:basedOn w:val="1"/>
    <w:qFormat/>
    <w:uiPriority w:val="0"/>
    <w:pPr>
      <w:tabs>
        <w:tab w:val="left" w:pos="840"/>
      </w:tabs>
      <w:ind w:left="840" w:hanging="420"/>
    </w:pPr>
    <w:rPr>
      <w:rFonts w:ascii="Tahoma" w:hAnsi="Tahoma"/>
      <w:sz w:val="24"/>
    </w:rPr>
  </w:style>
  <w:style w:type="paragraph" w:customStyle="1" w:styleId="896">
    <w:name w:val="封面"/>
    <w:basedOn w:val="1"/>
    <w:qFormat/>
    <w:uiPriority w:val="0"/>
    <w:pPr>
      <w:spacing w:line="360" w:lineRule="atLeast"/>
      <w:jc w:val="right"/>
      <w:textAlignment w:val="baseline"/>
    </w:pPr>
    <w:rPr>
      <w:rFonts w:ascii="Symbol" w:hAnsi="Symbol"/>
      <w:kern w:val="0"/>
      <w:szCs w:val="20"/>
    </w:rPr>
  </w:style>
  <w:style w:type="paragraph" w:customStyle="1" w:styleId="89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898">
    <w:name w:val="MM Topic 1"/>
    <w:basedOn w:val="5"/>
    <w:qFormat/>
    <w:uiPriority w:val="0"/>
    <w:pPr>
      <w:tabs>
        <w:tab w:val="left" w:pos="840"/>
        <w:tab w:val="clear" w:pos="432"/>
      </w:tabs>
      <w:adjustRightInd/>
      <w:ind w:left="840" w:hanging="420"/>
    </w:pPr>
  </w:style>
  <w:style w:type="paragraph" w:customStyle="1" w:styleId="899">
    <w:name w:val="五级无标题条"/>
    <w:basedOn w:val="1"/>
    <w:qFormat/>
    <w:uiPriority w:val="0"/>
    <w:pPr>
      <w:adjustRightInd/>
    </w:pPr>
  </w:style>
  <w:style w:type="paragraph" w:customStyle="1" w:styleId="900">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90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902">
    <w:name w:val="Char Char1 Char Char Char"/>
    <w:basedOn w:val="1"/>
    <w:qFormat/>
    <w:uiPriority w:val="0"/>
    <w:rPr>
      <w:rFonts w:ascii="仿宋_GB2312" w:eastAsia="仿宋_GB2312"/>
      <w:b/>
      <w:sz w:val="32"/>
      <w:szCs w:val="20"/>
    </w:rPr>
  </w:style>
  <w:style w:type="paragraph" w:customStyle="1" w:styleId="90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04">
    <w:name w:val="正文（标题三）"/>
    <w:basedOn w:val="1"/>
    <w:qFormat/>
    <w:uiPriority w:val="0"/>
    <w:pPr>
      <w:spacing w:line="360" w:lineRule="auto"/>
      <w:ind w:firstLine="200" w:firstLineChars="200"/>
    </w:pPr>
    <w:rPr>
      <w:sz w:val="24"/>
    </w:rPr>
  </w:style>
  <w:style w:type="paragraph" w:customStyle="1" w:styleId="90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906">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90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0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90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910">
    <w:name w:val="标书标题2"/>
    <w:basedOn w:val="6"/>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911">
    <w:name w:val="Char1 Char Char Char5"/>
    <w:basedOn w:val="1"/>
    <w:qFormat/>
    <w:uiPriority w:val="0"/>
    <w:pPr>
      <w:adjustRightInd/>
      <w:ind w:firstLine="200" w:firstLineChars="200"/>
    </w:pPr>
    <w:rPr>
      <w:rFonts w:ascii="Tahoma" w:hAnsi="Tahoma"/>
      <w:sz w:val="24"/>
      <w:szCs w:val="20"/>
    </w:rPr>
  </w:style>
  <w:style w:type="paragraph" w:customStyle="1" w:styleId="912">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91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9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91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91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917">
    <w:name w:val="样式3"/>
    <w:basedOn w:val="501"/>
    <w:qFormat/>
    <w:uiPriority w:val="0"/>
    <w:pPr>
      <w:spacing w:before="312" w:beforeLines="100"/>
      <w:jc w:val="left"/>
    </w:pPr>
  </w:style>
  <w:style w:type="paragraph" w:customStyle="1" w:styleId="918">
    <w:name w:val="批注框文本 Char Char"/>
    <w:basedOn w:val="1"/>
    <w:qFormat/>
    <w:uiPriority w:val="0"/>
    <w:pPr>
      <w:adjustRightInd/>
    </w:pPr>
    <w:rPr>
      <w:sz w:val="18"/>
      <w:szCs w:val="20"/>
    </w:rPr>
  </w:style>
  <w:style w:type="paragraph" w:customStyle="1" w:styleId="919">
    <w:name w:val="数字标题6"/>
    <w:basedOn w:val="11"/>
    <w:next w:val="1"/>
    <w:qFormat/>
    <w:uiPriority w:val="0"/>
    <w:pPr>
      <w:tabs>
        <w:tab w:val="left" w:pos="1080"/>
        <w:tab w:val="clear" w:pos="1152"/>
      </w:tabs>
      <w:ind w:left="1080" w:hanging="1080"/>
    </w:pPr>
    <w:rPr>
      <w:rFonts w:ascii="Times New Roman" w:hAnsi="Times New Roman" w:eastAsia="宋体"/>
      <w:i/>
    </w:rPr>
  </w:style>
  <w:style w:type="paragraph" w:customStyle="1" w:styleId="920">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92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922">
    <w:name w:val="Char Char4 Char Char"/>
    <w:basedOn w:val="1"/>
    <w:qFormat/>
    <w:uiPriority w:val="0"/>
    <w:pPr>
      <w:widowControl/>
      <w:adjustRightInd/>
      <w:spacing w:after="160" w:line="240" w:lineRule="exact"/>
      <w:jc w:val="left"/>
    </w:pPr>
  </w:style>
  <w:style w:type="paragraph" w:customStyle="1" w:styleId="9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924">
    <w:name w:val="Char Char1 Char Char Char Char Char Char2"/>
    <w:basedOn w:val="1"/>
    <w:qFormat/>
    <w:uiPriority w:val="0"/>
    <w:rPr>
      <w:rFonts w:ascii="仿宋_GB2312" w:eastAsia="仿宋_GB2312"/>
      <w:b/>
      <w:sz w:val="32"/>
      <w:szCs w:val="20"/>
    </w:rPr>
  </w:style>
  <w:style w:type="paragraph" w:customStyle="1" w:styleId="925">
    <w:name w:val="Char Char11 Char Char Char2"/>
    <w:basedOn w:val="1"/>
    <w:qFormat/>
    <w:uiPriority w:val="0"/>
    <w:pPr>
      <w:spacing w:line="360" w:lineRule="auto"/>
    </w:pPr>
    <w:rPr>
      <w:szCs w:val="20"/>
    </w:rPr>
  </w:style>
  <w:style w:type="paragraph" w:customStyle="1" w:styleId="9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928">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929">
    <w:name w:val="正文文本 23"/>
    <w:basedOn w:val="1"/>
    <w:qFormat/>
    <w:uiPriority w:val="0"/>
    <w:pPr>
      <w:widowControl/>
      <w:overflowPunct w:val="0"/>
      <w:autoSpaceDE w:val="0"/>
      <w:autoSpaceDN w:val="0"/>
      <w:ind w:left="720" w:hanging="720"/>
      <w:textAlignment w:val="baseline"/>
    </w:pPr>
    <w:rPr>
      <w:kern w:val="0"/>
      <w:sz w:val="24"/>
      <w:szCs w:val="20"/>
      <w:lang/>
    </w:rPr>
  </w:style>
  <w:style w:type="paragraph" w:customStyle="1" w:styleId="930">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1">
    <w:name w:val="Char Char Char Char Char Char Char Char Char Char Char Char1 Char"/>
    <w:basedOn w:val="1"/>
    <w:qFormat/>
    <w:uiPriority w:val="0"/>
    <w:rPr>
      <w:rFonts w:ascii="Tahoma" w:hAnsi="Tahoma" w:cs="仿宋_GB2312"/>
      <w:sz w:val="24"/>
      <w:szCs w:val="20"/>
    </w:rPr>
  </w:style>
  <w:style w:type="paragraph" w:customStyle="1" w:styleId="93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933">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93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93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93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93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93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93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940">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941">
    <w:name w:val="U_编号2"/>
    <w:basedOn w:val="1"/>
    <w:qFormat/>
    <w:uiPriority w:val="0"/>
    <w:pPr>
      <w:tabs>
        <w:tab w:val="left" w:pos="785"/>
      </w:tabs>
      <w:adjustRightInd/>
      <w:spacing w:beforeLines="10" w:afterLines="10" w:line="300" w:lineRule="auto"/>
    </w:pPr>
    <w:rPr>
      <w:sz w:val="24"/>
    </w:rPr>
  </w:style>
  <w:style w:type="paragraph" w:customStyle="1" w:styleId="942">
    <w:name w:val="MM Empty"/>
    <w:basedOn w:val="1"/>
    <w:qFormat/>
    <w:uiPriority w:val="0"/>
    <w:pPr>
      <w:adjustRightInd/>
    </w:pPr>
  </w:style>
  <w:style w:type="paragraph" w:customStyle="1" w:styleId="94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4">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45">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46">
    <w:name w:val="Char Char112"/>
    <w:basedOn w:val="1"/>
    <w:qFormat/>
    <w:uiPriority w:val="6"/>
    <w:pPr>
      <w:widowControl/>
      <w:spacing w:after="160" w:line="240" w:lineRule="exact"/>
      <w:jc w:val="left"/>
    </w:pPr>
    <w:rPr>
      <w:rFonts w:eastAsia="仿宋_GB2312"/>
      <w:sz w:val="28"/>
    </w:rPr>
  </w:style>
  <w:style w:type="paragraph" w:customStyle="1" w:styleId="94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48">
    <w:name w:val="Thf"/>
    <w:basedOn w:val="590"/>
    <w:qFormat/>
    <w:uiPriority w:val="0"/>
    <w:pPr>
      <w:ind w:left="0"/>
    </w:pPr>
  </w:style>
  <w:style w:type="paragraph" w:customStyle="1" w:styleId="949">
    <w:name w:val="列出段落111"/>
    <w:basedOn w:val="1"/>
    <w:qFormat/>
    <w:uiPriority w:val="34"/>
    <w:pPr>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投标正文"/>
    <w:basedOn w:val="1"/>
    <w:qFormat/>
    <w:uiPriority w:val="0"/>
    <w:pPr>
      <w:spacing w:line="360" w:lineRule="auto"/>
      <w:ind w:firstLine="200" w:firstLineChars="200"/>
    </w:pPr>
    <w:rPr>
      <w:rFonts w:ascii="宋体" w:hAnsi="Calibri"/>
      <w:sz w:val="24"/>
    </w:rPr>
  </w:style>
  <w:style w:type="paragraph" w:customStyle="1" w:styleId="959">
    <w:name w:val="BodyText1I2"/>
    <w:basedOn w:val="797"/>
    <w:qFormat/>
    <w:uiPriority w:val="0"/>
    <w:pPr>
      <w:spacing w:line="520" w:lineRule="exact"/>
      <w:ind w:left="570" w:firstLine="420"/>
      <w:jc w:val="both"/>
      <w:textAlignment w:val="baseline"/>
    </w:pPr>
  </w:style>
  <w:style w:type="paragraph" w:customStyle="1" w:styleId="960">
    <w:name w:val="BZ_正文"/>
    <w:basedOn w:val="1"/>
    <w:qFormat/>
    <w:uiPriority w:val="0"/>
    <w:pPr>
      <w:ind w:firstLine="200" w:firstLineChars="200"/>
    </w:pPr>
    <w:rPr>
      <w:rFonts w:ascii="Times New Roman" w:hAnsi="Times New Roman" w:cs="Times New Roman"/>
      <w:sz w:val="24"/>
    </w:rPr>
  </w:style>
  <w:style w:type="paragraph" w:customStyle="1" w:styleId="961">
    <w:name w:val="正文（缩进）"/>
    <w:basedOn w:val="1"/>
    <w:qFormat/>
    <w:uiPriority w:val="0"/>
    <w:pPr>
      <w:ind w:firstLine="480"/>
    </w:pPr>
    <w:rPr>
      <w:lang w:val="zh-CN"/>
    </w:rPr>
  </w:style>
  <w:style w:type="table" w:customStyle="1" w:styleId="962">
    <w:name w:val="网格型4"/>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1"/>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4">
    <w:name w:val="网格型5"/>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5">
    <w:name w:val="网格型2"/>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6">
    <w:name w:val="网格型6"/>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7">
    <w:name w:val="网格型3"/>
    <w:basedOn w:val="62"/>
    <w:qFormat/>
    <w:uiPriority w:val="39"/>
    <w:rPr>
      <w:rFonts w:ascii="等线" w:hAnsi="等线" w:eastAsia="等线"/>
    </w:rPr>
    <w:tblPr>
      <w:tblStyle w:val="6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68">
    <w:name w:val="NormalCharacter"/>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51113</Words>
  <Characters>54513</Characters>
  <Lines>287</Lines>
  <Paragraphs>80</Paragraphs>
  <TotalTime>14</TotalTime>
  <ScaleCrop>false</ScaleCrop>
  <LinksUpToDate>false</LinksUpToDate>
  <CharactersWithSpaces>61366</CharactersWithSpaces>
  <Application>WPS Office_11.1.0.12012_F1E327BC-269C-435d-A152-05C5408002CA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WUJIEJUN</cp:lastModifiedBy>
  <cp:lastPrinted>2022-06-22T02:04:54Z</cp:lastPrinted>
  <dcterms:modified xsi:type="dcterms:W3CDTF">2022-08-04T07:26:53Z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97BEBB6B7CE443BF8800CC10D3CAE8BC</vt:lpwstr>
  </property>
  <property fmtid="{D5CDD505-2E9C-101B-9397-08002B2CF9AE}" pid="5" name="commondata">
    <vt:lpwstr>eyJoZGlkIjoiZTA3YTkzMTU2MDE2OTBmYTk1ZmE0NTY1ZTczZjNhNjkifQ==</vt:lpwstr>
  </property>
</Properties>
</file>