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sz w:val="48"/>
          <w:szCs w:val="48"/>
        </w:rPr>
      </w:pPr>
      <w:r>
        <w:rPr>
          <w:rFonts w:hint="eastAsia" w:ascii="宋体" w:hAnsi="宋体" w:cs="宋体"/>
          <w:b/>
          <w:bCs/>
          <w:sz w:val="48"/>
          <w:szCs w:val="48"/>
          <w:lang w:eastAsia="zh-CN"/>
        </w:rPr>
        <w:t>温州市公安局龙湾区分局2024年物业服务管理项目</w:t>
      </w:r>
      <w:r>
        <w:rPr>
          <w:rFonts w:hint="eastAsia" w:ascii="宋体" w:hAnsi="宋体" w:cs="宋体"/>
          <w:b/>
          <w:bCs/>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编号:</w:t>
      </w:r>
      <w:r>
        <w:rPr>
          <w:rFonts w:hint="eastAsia" w:ascii="宋体" w:hAnsi="宋体" w:cs="宋体"/>
          <w:b/>
          <w:bCs/>
          <w:color w:val="000000" w:themeColor="text1"/>
          <w:sz w:val="30"/>
          <w:szCs w:val="30"/>
          <w:lang w:eastAsia="zh-CN"/>
          <w14:textFill>
            <w14:solidFill>
              <w14:schemeClr w14:val="tx1"/>
            </w14:solidFill>
          </w14:textFill>
        </w:rPr>
        <w:t>LWJC20240208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eastAsia="宋体" w:cs="Times New Roman"/>
          <w:b/>
          <w:bCs/>
          <w:color w:val="000000" w:themeColor="text1"/>
          <w:sz w:val="30"/>
          <w:szCs w:val="30"/>
          <w:lang w:eastAsia="zh-CN"/>
          <w14:textFill>
            <w14:solidFill>
              <w14:schemeClr w14:val="tx1"/>
            </w14:solidFill>
          </w14:textFill>
        </w:rPr>
      </w:pPr>
      <w:r>
        <w:rPr>
          <w:rFonts w:hint="eastAsia" w:ascii="宋体" w:hAnsi="宋体" w:eastAsia="宋体" w:cs="Times New Roman"/>
          <w:b/>
          <w:bCs/>
          <w:color w:val="000000" w:themeColor="text1"/>
          <w:sz w:val="30"/>
          <w:szCs w:val="30"/>
          <w:lang w:eastAsia="zh-CN"/>
          <w14:textFill>
            <w14:solidFill>
              <w14:schemeClr w14:val="tx1"/>
            </w14:solidFill>
          </w14:textFill>
        </w:rPr>
        <w:t>温州市公安局龙湾区分局</w:t>
      </w: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温州市公共资源交易中心龙湾分中心</w:t>
      </w:r>
    </w:p>
    <w:p>
      <w:pPr>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二〇二</w:t>
      </w:r>
      <w:r>
        <w:rPr>
          <w:rFonts w:hint="eastAsia" w:ascii="宋体" w:hAnsi="宋体" w:cs="宋体"/>
          <w:b/>
          <w:bCs/>
          <w:color w:val="000000" w:themeColor="text1"/>
          <w:sz w:val="32"/>
          <w:szCs w:val="32"/>
          <w:lang w:eastAsia="zh-CN"/>
          <w14:textFill>
            <w14:solidFill>
              <w14:schemeClr w14:val="tx1"/>
            </w14:solidFill>
          </w14:textFill>
        </w:rPr>
        <w:t>四</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eastAsia="zh-CN"/>
          <w14:textFill>
            <w14:solidFill>
              <w14:schemeClr w14:val="tx1"/>
            </w14:solidFill>
          </w14:textFill>
        </w:rPr>
        <w:t>二</w:t>
      </w:r>
      <w:r>
        <w:rPr>
          <w:rFonts w:hint="eastAsia" w:ascii="宋体" w:hAnsi="宋体" w:cs="宋体"/>
          <w:b/>
          <w:bCs/>
          <w:color w:val="000000" w:themeColor="text1"/>
          <w:sz w:val="32"/>
          <w:szCs w:val="32"/>
          <w14:textFill>
            <w14:solidFill>
              <w14:schemeClr w14:val="tx1"/>
            </w14:solidFill>
          </w14:textFill>
        </w:rPr>
        <w:t>月</w:t>
      </w:r>
      <w:r>
        <w:rPr>
          <w:rFonts w:hint="eastAsia" w:ascii="宋体" w:hAnsi="宋体" w:cs="宋体"/>
          <w:b/>
          <w:bCs/>
          <w:color w:val="000000" w:themeColor="text1"/>
          <w:sz w:val="32"/>
          <w:szCs w:val="32"/>
          <w:lang w:eastAsia="zh-CN"/>
          <w14:textFill>
            <w14:solidFill>
              <w14:schemeClr w14:val="tx1"/>
            </w14:solidFill>
          </w14:textFill>
        </w:rPr>
        <w:t>八</w:t>
      </w:r>
      <w:r>
        <w:rPr>
          <w:rFonts w:hint="eastAsia" w:ascii="宋体" w:hAnsi="宋体" w:cs="宋体"/>
          <w:b/>
          <w:bCs/>
          <w:color w:val="000000" w:themeColor="text1"/>
          <w:sz w:val="32"/>
          <w:szCs w:val="32"/>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温州市公安局龙湾区分局2024年物业服务管理项目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kern w:val="2"/>
          <w:sz w:val="24"/>
          <w:szCs w:val="24"/>
        </w:rPr>
        <w:t>https://www.zcygov.cn/）获取（下载）招标文件，并于202</w:t>
      </w:r>
      <w:r>
        <w:rPr>
          <w:rStyle w:val="78"/>
          <w:rFonts w:hint="eastAsia" w:ascii="宋体" w:hAnsi="宋体" w:cs="宋体"/>
          <w:snapToGrid/>
          <w:kern w:val="2"/>
          <w:sz w:val="24"/>
          <w:szCs w:val="24"/>
          <w:lang w:val="en-US" w:eastAsia="zh-CN"/>
        </w:rPr>
        <w:t>4</w:t>
      </w:r>
      <w:r>
        <w:rPr>
          <w:rStyle w:val="78"/>
          <w:rFonts w:hint="eastAsia" w:ascii="宋体" w:hAnsi="宋体" w:eastAsia="宋体" w:cs="宋体"/>
          <w:snapToGrid/>
          <w:kern w:val="2"/>
          <w:sz w:val="24"/>
          <w:szCs w:val="24"/>
        </w:rPr>
        <w:t xml:space="preserve">年 </w:t>
      </w:r>
      <w:r>
        <w:rPr>
          <w:rStyle w:val="78"/>
          <w:rFonts w:hint="eastAsia" w:ascii="宋体" w:hAnsi="宋体" w:cs="宋体"/>
          <w:snapToGrid/>
          <w:kern w:val="2"/>
          <w:sz w:val="24"/>
          <w:szCs w:val="24"/>
          <w:lang w:val="en-US" w:eastAsia="zh-CN"/>
        </w:rPr>
        <w:t>2</w:t>
      </w:r>
      <w:r>
        <w:rPr>
          <w:rStyle w:val="78"/>
          <w:rFonts w:hint="eastAsia" w:ascii="宋体" w:hAnsi="宋体" w:eastAsia="宋体" w:cs="宋体"/>
          <w:snapToGrid/>
          <w:kern w:val="2"/>
          <w:sz w:val="24"/>
          <w:szCs w:val="24"/>
        </w:rPr>
        <w:t xml:space="preserve">月 </w:t>
      </w:r>
      <w:r>
        <w:rPr>
          <w:rStyle w:val="78"/>
          <w:rFonts w:hint="eastAsia" w:ascii="宋体" w:hAnsi="宋体" w:cs="宋体"/>
          <w:snapToGrid/>
          <w:kern w:val="2"/>
          <w:sz w:val="24"/>
          <w:szCs w:val="24"/>
          <w:lang w:val="en-US" w:eastAsia="zh-CN"/>
        </w:rPr>
        <w:t>29</w:t>
      </w:r>
      <w:r>
        <w:rPr>
          <w:rStyle w:val="78"/>
          <w:rFonts w:hint="eastAsia" w:ascii="宋体" w:hAnsi="宋体" w:eastAsia="宋体" w:cs="宋体"/>
          <w:snapToGrid/>
          <w:kern w:val="2"/>
          <w:sz w:val="24"/>
          <w:szCs w:val="24"/>
        </w:rPr>
        <w:t xml:space="preserve">日 </w:t>
      </w:r>
      <w:r>
        <w:rPr>
          <w:rStyle w:val="78"/>
          <w:rFonts w:hint="eastAsia" w:ascii="宋体" w:hAnsi="宋体" w:cs="宋体"/>
          <w:snapToGrid/>
          <w:kern w:val="2"/>
          <w:sz w:val="24"/>
          <w:szCs w:val="24"/>
          <w:lang w:val="en-US" w:eastAsia="zh-CN"/>
        </w:rPr>
        <w:t>9</w:t>
      </w:r>
      <w:r>
        <w:rPr>
          <w:rStyle w:val="78"/>
          <w:rFonts w:hint="eastAsia" w:ascii="宋体" w:hAnsi="宋体" w:eastAsia="宋体" w:cs="宋体"/>
          <w:snapToGrid/>
          <w:kern w:val="2"/>
          <w:sz w:val="24"/>
          <w:szCs w:val="24"/>
        </w:rPr>
        <w:t xml:space="preserve">点 </w:t>
      </w:r>
      <w:r>
        <w:rPr>
          <w:rStyle w:val="78"/>
          <w:rFonts w:hint="eastAsia" w:ascii="宋体" w:hAnsi="宋体" w:cs="宋体"/>
          <w:snapToGrid/>
          <w:kern w:val="2"/>
          <w:sz w:val="24"/>
          <w:szCs w:val="24"/>
          <w:lang w:val="en-US" w:eastAsia="zh-CN"/>
        </w:rPr>
        <w:t>00</w:t>
      </w:r>
      <w:r>
        <w:rPr>
          <w:rStyle w:val="78"/>
          <w:rFonts w:hint="eastAsia" w:ascii="宋体" w:hAnsi="宋体" w:eastAsia="宋体" w:cs="宋体"/>
          <w:snapToGrid/>
          <w:kern w:val="2"/>
          <w:sz w:val="24"/>
          <w:szCs w:val="24"/>
        </w:rPr>
        <w:t>分</w:t>
      </w:r>
      <w:r>
        <w:rPr>
          <w:rStyle w:val="78"/>
          <w:rFonts w:hint="eastAsia" w:ascii="宋体" w:hAnsi="宋体" w:eastAsia="宋体" w:cs="宋体"/>
          <w:bCs/>
          <w:snapToGrid/>
          <w:kern w:val="2"/>
          <w:sz w:val="24"/>
          <w:szCs w:val="24"/>
        </w:rPr>
        <w:t>00秒</w:t>
      </w:r>
      <w:r>
        <w:rPr>
          <w:rStyle w:val="78"/>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lang w:eastAsia="zh-CN"/>
          <w14:textFill>
            <w14:solidFill>
              <w14:schemeClr w14:val="tx1"/>
            </w14:solidFill>
          </w14:textFill>
        </w:rPr>
        <w:t>LWJC20240208</w:t>
      </w:r>
    </w:p>
    <w:p>
      <w:pPr>
        <w:spacing w:line="360" w:lineRule="auto"/>
        <w:ind w:firstLine="480"/>
        <w:rPr>
          <w:rFonts w:hint="eastAsia" w:ascii="宋体" w:hAnsi="宋体" w:cs="宋体"/>
          <w:sz w:val="24"/>
        </w:rPr>
      </w:pPr>
      <w:r>
        <w:rPr>
          <w:rFonts w:hint="eastAsia" w:ascii="宋体" w:hAnsi="宋体" w:cs="宋体"/>
          <w:b/>
          <w:sz w:val="24"/>
        </w:rPr>
        <w:t>项目名称：</w:t>
      </w:r>
      <w:r>
        <w:rPr>
          <w:rFonts w:hint="eastAsia" w:ascii="宋体" w:hAnsi="宋体" w:cs="宋体"/>
          <w:sz w:val="24"/>
          <w:lang w:eastAsia="zh-CN"/>
        </w:rPr>
        <w:t>温州市公安局龙湾区分局2024年物业服务管理项目</w:t>
      </w:r>
      <w:r>
        <w:rPr>
          <w:rFonts w:hint="eastAsia" w:ascii="宋体" w:hAnsi="宋体" w:cs="宋体"/>
          <w:sz w:val="24"/>
        </w:rPr>
        <w:t xml:space="preserve"> </w:t>
      </w:r>
    </w:p>
    <w:p>
      <w:pPr>
        <w:spacing w:line="360" w:lineRule="auto"/>
        <w:ind w:firstLine="480"/>
        <w:rPr>
          <w:rFonts w:ascii="宋体" w:hAnsi="宋体" w:cs="宋体"/>
          <w:b w:val="0"/>
          <w:bCs/>
          <w:color w:val="000000" w:themeColor="text1"/>
          <w:sz w:val="24"/>
          <w14:textFill>
            <w14:solidFill>
              <w14:schemeClr w14:val="tx1"/>
            </w14:solidFill>
          </w14:textFill>
        </w:rPr>
      </w:pPr>
      <w:r>
        <w:rPr>
          <w:rFonts w:hint="eastAsia" w:ascii="宋体" w:hAnsi="宋体" w:cs="宋体"/>
          <w:b/>
          <w:sz w:val="24"/>
        </w:rPr>
        <w:t>预算金额（元）：</w:t>
      </w:r>
      <w:r>
        <w:rPr>
          <w:rFonts w:hint="eastAsia" w:ascii="宋体" w:hAnsi="宋体" w:cs="宋体"/>
          <w:b w:val="0"/>
          <w:bCs/>
          <w:color w:val="000000" w:themeColor="text1"/>
          <w:sz w:val="24"/>
          <w:lang w:val="en-US" w:eastAsia="zh-CN"/>
          <w14:textFill>
            <w14:solidFill>
              <w14:schemeClr w14:val="tx1"/>
            </w14:solidFill>
          </w14:textFill>
        </w:rPr>
        <w:t>522</w:t>
      </w:r>
      <w:r>
        <w:rPr>
          <w:rFonts w:ascii="宋体" w:hAnsi="宋体" w:cs="宋体"/>
          <w:b w:val="0"/>
          <w:bCs/>
          <w:color w:val="000000" w:themeColor="text1"/>
          <w:sz w:val="24"/>
          <w14:textFill>
            <w14:solidFill>
              <w14:schemeClr w14:val="tx1"/>
            </w14:solidFill>
          </w14:textFill>
        </w:rPr>
        <w:t xml:space="preserve"> </w:t>
      </w:r>
      <w:r>
        <w:rPr>
          <w:rFonts w:hint="eastAsia" w:ascii="宋体" w:hAnsi="宋体" w:eastAsia="宋体" w:cs="宋体"/>
          <w:b w:val="0"/>
          <w:bCs/>
          <w:i w:val="0"/>
          <w:iCs w:val="0"/>
          <w:caps w:val="0"/>
          <w:color w:val="000000" w:themeColor="text1"/>
          <w:spacing w:val="0"/>
          <w:sz w:val="22"/>
          <w:szCs w:val="22"/>
          <w:lang w:val="en-US" w:eastAsia="zh-CN"/>
          <w14:textFill>
            <w14:solidFill>
              <w14:schemeClr w14:val="tx1"/>
            </w14:solidFill>
          </w14:textFill>
        </w:rPr>
        <w:t>万元</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val="0"/>
          <w:bCs/>
          <w:color w:val="000000" w:themeColor="text1"/>
          <w:sz w:val="24"/>
          <w:lang w:val="en-US" w:eastAsia="zh-CN"/>
          <w14:textFill>
            <w14:solidFill>
              <w14:schemeClr w14:val="tx1"/>
            </w14:solidFill>
          </w14:textFill>
        </w:rPr>
        <w:t>52</w:t>
      </w:r>
      <w:bookmarkStart w:id="527" w:name="_GoBack"/>
      <w:bookmarkEnd w:id="527"/>
      <w:r>
        <w:rPr>
          <w:rFonts w:hint="eastAsia" w:ascii="宋体" w:hAnsi="宋体" w:cs="宋体"/>
          <w:b w:val="0"/>
          <w:bCs/>
          <w:color w:val="000000" w:themeColor="text1"/>
          <w:sz w:val="24"/>
          <w:lang w:val="en-US" w:eastAsia="zh-CN"/>
          <w14:textFill>
            <w14:solidFill>
              <w14:schemeClr w14:val="tx1"/>
            </w14:solidFill>
          </w14:textFill>
        </w:rPr>
        <w:t>2</w:t>
      </w:r>
      <w:r>
        <w:rPr>
          <w:rFonts w:ascii="宋体" w:hAnsi="宋体" w:cs="宋体"/>
          <w:b w:val="0"/>
          <w:bCs/>
          <w:color w:val="000000" w:themeColor="text1"/>
          <w:sz w:val="24"/>
          <w14:textFill>
            <w14:solidFill>
              <w14:schemeClr w14:val="tx1"/>
            </w14:solidFill>
          </w14:textFill>
        </w:rPr>
        <w:t xml:space="preserve"> </w:t>
      </w:r>
      <w:r>
        <w:rPr>
          <w:rFonts w:hint="eastAsia" w:ascii="宋体" w:hAnsi="宋体" w:eastAsia="宋体" w:cs="宋体"/>
          <w:b w:val="0"/>
          <w:bCs/>
          <w:i w:val="0"/>
          <w:iCs w:val="0"/>
          <w:caps w:val="0"/>
          <w:color w:val="000000" w:themeColor="text1"/>
          <w:spacing w:val="0"/>
          <w:sz w:val="22"/>
          <w:szCs w:val="22"/>
          <w:lang w:val="en-US" w:eastAsia="zh-CN"/>
          <w14:textFill>
            <w14:solidFill>
              <w14:schemeClr w14:val="tx1"/>
            </w14:solidFill>
          </w14:textFill>
        </w:rPr>
        <w:t>万元</w:t>
      </w:r>
    </w:p>
    <w:p>
      <w:pPr>
        <w:pStyle w:val="514"/>
        <w:spacing w:line="360" w:lineRule="auto"/>
        <w:ind w:firstLine="461"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sz w:val="24"/>
          <w:lang w:eastAsia="zh-CN"/>
        </w:rPr>
        <w:t>温州市公安局龙湾区分局2024年物业服务管理项目</w:t>
      </w:r>
      <w:r>
        <w:rPr>
          <w:rFonts w:hint="eastAsia" w:hAnsi="宋体" w:cs="宋体"/>
          <w:bCs/>
          <w:snapToGrid/>
          <w:color w:val="auto"/>
          <w:kern w:val="2"/>
          <w:sz w:val="24"/>
          <w:szCs w:val="24"/>
        </w:rPr>
        <w:t>主要内容：</w:t>
      </w:r>
      <w:r>
        <w:rPr>
          <w:rFonts w:hint="eastAsia" w:ascii="宋体" w:hAnsi="宋体" w:eastAsia="宋体" w:cs="宋体"/>
          <w:b w:val="0"/>
          <w:bCs/>
          <w:color w:val="000000"/>
          <w:sz w:val="24"/>
          <w:szCs w:val="24"/>
        </w:rPr>
        <w:t>环境卫生管理、安保服务管理、设施设备的操作及维护、房屋设施日常养护维修、会务服务、餐饮服务管理等其他甲方交办的内容。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 一年</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00" w:themeColor="text1"/>
          <w:sz w:val="24"/>
          <w14:textFill>
            <w14:solidFill>
              <w14:schemeClr w14:val="tx1"/>
            </w14:solidFill>
          </w14:textFill>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1"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1"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1"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1"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1"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 年 </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 xml:space="preserve"> 日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1"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1"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年 </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1"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sz w:val="24"/>
          <w:lang w:eastAsia="zh-CN"/>
        </w:rPr>
        <w:t>集采机构</w:t>
      </w:r>
      <w:r>
        <w:rPr>
          <w:rFonts w:hint="eastAsia" w:ascii="宋体" w:hAnsi="宋体" w:cs="宋体"/>
          <w:sz w:val="24"/>
        </w:rPr>
        <w:t>提出质疑。质疑供应商对采购人、</w:t>
      </w:r>
      <w:r>
        <w:rPr>
          <w:rFonts w:hint="eastAsia" w:ascii="宋体" w:hAnsi="宋体" w:cs="宋体"/>
          <w:sz w:val="24"/>
          <w:lang w:eastAsia="zh-CN"/>
        </w:rPr>
        <w:t>集采机构</w:t>
      </w:r>
      <w:r>
        <w:rPr>
          <w:rFonts w:hint="eastAsia" w:ascii="宋体" w:hAnsi="宋体" w:cs="宋体"/>
          <w:sz w:val="24"/>
        </w:rPr>
        <w:t>的答复不满意或者采购人、</w:t>
      </w:r>
      <w:r>
        <w:rPr>
          <w:rFonts w:hint="eastAsia" w:ascii="宋体" w:hAnsi="宋体" w:cs="宋体"/>
          <w:sz w:val="24"/>
          <w:lang w:eastAsia="zh-CN"/>
        </w:rPr>
        <w:t>集采机构</w:t>
      </w:r>
      <w:r>
        <w:rPr>
          <w:rFonts w:hint="eastAsia" w:ascii="宋体" w:hAnsi="宋体" w:cs="宋体"/>
          <w:sz w:val="24"/>
        </w:rPr>
        <w:t>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集采机构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sz w:val="24"/>
          <w:lang w:eastAsia="zh-CN"/>
        </w:rPr>
        <w:t>集采机构</w:t>
      </w:r>
      <w:r>
        <w:rPr>
          <w:rFonts w:hint="eastAsia" w:ascii="宋体" w:hAnsi="宋体" w:cs="宋体"/>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eastAsia="宋体" w:cs="宋体"/>
          <w:color w:val="000000" w:themeColor="text1"/>
          <w:szCs w:val="21"/>
          <w:lang w:eastAsia="zh-CN"/>
          <w14:textFill>
            <w14:solidFill>
              <w14:schemeClr w14:val="tx1"/>
            </w14:solidFill>
          </w14:textFill>
        </w:rPr>
        <w:t>温州市公安局龙湾区分局</w:t>
      </w:r>
      <w:r>
        <w:rPr>
          <w:rFonts w:hint="eastAsia" w:ascii="宋体" w:hAnsi="宋体" w:cs="宋体"/>
          <w:color w:val="000000" w:themeColor="text1"/>
          <w:sz w:val="24"/>
          <w14:textFill>
            <w14:solidFill>
              <w14:schemeClr w14:val="tx1"/>
            </w14:solidFill>
          </w14:textFill>
        </w:rPr>
        <w:t xml:space="preserve"> </w:t>
      </w:r>
    </w:p>
    <w:p>
      <w:pPr>
        <w:spacing w:line="360" w:lineRule="auto"/>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 </w:t>
      </w:r>
      <w:r>
        <w:rPr>
          <w:rFonts w:hint="eastAsia" w:ascii="宋体" w:hAnsi="宋体" w:eastAsia="宋体" w:cs="宋体"/>
          <w:i w:val="0"/>
          <w:iCs w:val="0"/>
          <w:caps w:val="0"/>
          <w:color w:val="000000" w:themeColor="text1"/>
          <w:spacing w:val="0"/>
          <w:sz w:val="22"/>
          <w:szCs w:val="22"/>
          <w:lang w:val="en-US" w:eastAsia="zh-CN"/>
          <w14:textFill>
            <w14:solidFill>
              <w14:schemeClr w14:val="tx1"/>
            </w14:solidFill>
          </w14:textFill>
        </w:rPr>
        <w:t>龙湾区永宁西路518号</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  </w:t>
      </w:r>
      <w:r>
        <w:rPr>
          <w:rFonts w:hint="eastAsia" w:ascii="宋体" w:hAnsi="宋体" w:cs="宋体"/>
          <w:color w:val="000000" w:themeColor="text1"/>
          <w:sz w:val="24"/>
          <w:lang w:val="en-US" w:eastAsia="zh-CN"/>
          <w14:textFill>
            <w14:solidFill>
              <w14:schemeClr w14:val="tx1"/>
            </w14:solidFill>
          </w14:textFill>
        </w:rPr>
        <w:t>白警官</w:t>
      </w:r>
    </w:p>
    <w:p>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0577-85880005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白警官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 xml:space="preserve">0577-85880082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sz w:val="24"/>
        </w:rPr>
      </w:pPr>
      <w:r>
        <w:rPr>
          <w:rFonts w:hint="eastAsia" w:ascii="宋体" w:hAnsi="宋体" w:cs="宋体"/>
          <w:sz w:val="24"/>
        </w:rPr>
        <w:t xml:space="preserve">    2.</w:t>
      </w:r>
      <w:r>
        <w:rPr>
          <w:rFonts w:hint="eastAsia" w:ascii="宋体" w:hAnsi="宋体" w:cs="宋体"/>
          <w:sz w:val="24"/>
          <w:lang w:eastAsia="zh-CN"/>
        </w:rPr>
        <w:t>集采</w:t>
      </w:r>
      <w:r>
        <w:rPr>
          <w:rFonts w:hint="eastAsia" w:ascii="宋体" w:hAnsi="宋体" w:cs="宋体"/>
          <w:sz w:val="24"/>
        </w:rPr>
        <w:t xml:space="preserve">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color w:val="auto"/>
          <w:sz w:val="24"/>
          <w:highlight w:val="none"/>
        </w:rPr>
        <w:t>温州市</w:t>
      </w:r>
      <w:r>
        <w:rPr>
          <w:rFonts w:hint="eastAsia" w:ascii="宋体" w:hAnsi="宋体" w:cs="宋体"/>
          <w:color w:val="auto"/>
          <w:sz w:val="24"/>
          <w:highlight w:val="none"/>
          <w:lang w:eastAsia="zh-CN"/>
        </w:rPr>
        <w:t>公共资源交易中心龙湾分中心</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color w:val="auto"/>
          <w:sz w:val="24"/>
          <w:highlight w:val="none"/>
        </w:rPr>
        <w:t>温州市龙湾区永中街道升平路77号行政服务中心主楼四楼</w:t>
      </w:r>
    </w:p>
    <w:p>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王女士</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86966075</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刘女士</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color w:val="auto"/>
          <w:sz w:val="24"/>
          <w:highlight w:val="none"/>
          <w:lang w:val="en-US" w:eastAsia="zh-CN"/>
        </w:rPr>
        <w:t>0577-</w:t>
      </w:r>
      <w:r>
        <w:rPr>
          <w:rFonts w:hint="eastAsia" w:ascii="宋体" w:hAnsi="宋体" w:cs="宋体"/>
          <w:color w:val="auto"/>
          <w:sz w:val="24"/>
          <w:highlight w:val="none"/>
          <w:lang w:val="en-US" w:eastAsia="zh-CN"/>
        </w:rPr>
        <w:t>86966015</w:t>
      </w:r>
    </w:p>
    <w:p>
      <w:pPr>
        <w:spacing w:line="360" w:lineRule="auto"/>
        <w:rPr>
          <w:rFonts w:hint="eastAsia"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    称：温州湾新区（高新区、经开区）财政局</w:t>
      </w:r>
    </w:p>
    <w:p>
      <w:pPr>
        <w:spacing w:line="360" w:lineRule="auto"/>
        <w:rPr>
          <w:rFonts w:hint="eastAsia" w:ascii="宋体" w:hAnsi="宋体" w:cs="宋体"/>
          <w:sz w:val="24"/>
        </w:rPr>
      </w:pPr>
      <w:r>
        <w:rPr>
          <w:rFonts w:hint="eastAsia" w:ascii="宋体" w:hAnsi="宋体" w:cs="宋体"/>
          <w:sz w:val="24"/>
        </w:rPr>
        <w:t xml:space="preserve">    地    址：温州市龙湾区永宁西路565号温州银行大楼16楼 </w:t>
      </w:r>
    </w:p>
    <w:p>
      <w:pPr>
        <w:spacing w:line="360" w:lineRule="auto"/>
        <w:rPr>
          <w:rFonts w:hint="eastAsia" w:ascii="宋体" w:hAnsi="宋体" w:cs="宋体"/>
          <w:sz w:val="24"/>
        </w:rPr>
      </w:pPr>
      <w:r>
        <w:rPr>
          <w:rFonts w:hint="eastAsia" w:ascii="宋体" w:hAnsi="宋体" w:cs="宋体"/>
          <w:sz w:val="24"/>
        </w:rPr>
        <w:t xml:space="preserve">    联系人 ：陈先生</w:t>
      </w:r>
    </w:p>
    <w:p>
      <w:pPr>
        <w:spacing w:line="360" w:lineRule="auto"/>
        <w:ind w:firstLine="480" w:firstLineChars="200"/>
        <w:rPr>
          <w:rFonts w:hint="eastAsia" w:ascii="宋体" w:hAnsi="宋体" w:cs="宋体"/>
          <w:sz w:val="24"/>
        </w:rPr>
      </w:pPr>
      <w:r>
        <w:rPr>
          <w:rFonts w:hint="eastAsia" w:ascii="宋体" w:hAnsi="宋体" w:cs="宋体"/>
          <w:sz w:val="24"/>
        </w:rPr>
        <w:t xml:space="preserve">监督投诉电话：电话：0577-85600839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w:t>
            </w:r>
            <w:r>
              <w:rPr>
                <w:rFonts w:hint="eastAsia" w:ascii="宋体" w:hAnsi="宋体" w:eastAsia="宋体" w:cs="宋体"/>
                <w:i w:val="0"/>
                <w:iCs w:val="0"/>
                <w:caps w:val="0"/>
                <w:color w:val="000000"/>
                <w:spacing w:val="0"/>
                <w:sz w:val="22"/>
                <w:szCs w:val="22"/>
                <w:u w:val="single"/>
                <w:lang w:val="en-US" w:eastAsia="zh-CN"/>
              </w:rPr>
              <w:t>温州市公安局龙湾区分局2024年物业服务管理项目</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eastAsia="zh-CN"/>
              </w:rPr>
              <w:t>物业管理</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p>
            <w:pPr>
              <w:pStyle w:val="5"/>
              <w:numPr>
                <w:ilvl w:val="0"/>
                <w:numId w:val="0"/>
              </w:numPr>
              <w:jc w:val="both"/>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中小企业的划分标准</w:t>
            </w:r>
          </w:p>
          <w:tbl>
            <w:tblPr>
              <w:tblStyle w:val="65"/>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1"/>
              <w:gridCol w:w="702"/>
              <w:gridCol w:w="690"/>
              <w:gridCol w:w="1162"/>
              <w:gridCol w:w="113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行业名称</w:t>
                  </w:r>
                </w:p>
              </w:tc>
              <w:tc>
                <w:tcPr>
                  <w:tcW w:w="811"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指标名称</w:t>
                  </w:r>
                </w:p>
              </w:tc>
              <w:tc>
                <w:tcPr>
                  <w:tcW w:w="702"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计量</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单位</w:t>
                  </w:r>
                </w:p>
              </w:tc>
              <w:tc>
                <w:tcPr>
                  <w:tcW w:w="690"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大型</w:t>
                  </w:r>
                </w:p>
              </w:tc>
              <w:tc>
                <w:tcPr>
                  <w:tcW w:w="1162"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中型</w:t>
                  </w:r>
                </w:p>
              </w:tc>
              <w:tc>
                <w:tcPr>
                  <w:tcW w:w="1138"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小型</w:t>
                  </w:r>
                </w:p>
              </w:tc>
              <w:tc>
                <w:tcPr>
                  <w:tcW w:w="863" w:type="dxa"/>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widowControl/>
                    <w:spacing w:line="300" w:lineRule="exact"/>
                    <w:jc w:val="left"/>
                    <w:rPr>
                      <w:sz w:val="21"/>
                      <w:szCs w:val="21"/>
                      <w:vertAlign w:val="baseline"/>
                      <w:lang w:val="en-US"/>
                    </w:rPr>
                  </w:pPr>
                  <w:r>
                    <w:rPr>
                      <w:rFonts w:hint="eastAsia" w:ascii="宋体" w:hAnsi="宋体" w:eastAsia="宋体" w:cs="宋体"/>
                      <w:color w:val="000000"/>
                      <w:kern w:val="0"/>
                      <w:sz w:val="21"/>
                      <w:szCs w:val="21"/>
                    </w:rPr>
                    <w:t>物业管理</w:t>
                  </w:r>
                </w:p>
              </w:tc>
              <w:tc>
                <w:tcPr>
                  <w:tcW w:w="811"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从业人员(X)</w:t>
                  </w:r>
                </w:p>
              </w:tc>
              <w:tc>
                <w:tcPr>
                  <w:tcW w:w="702"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人</w:t>
                  </w:r>
                </w:p>
              </w:tc>
              <w:tc>
                <w:tcPr>
                  <w:tcW w:w="690"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X≥1000</w:t>
                  </w:r>
                </w:p>
              </w:tc>
              <w:tc>
                <w:tcPr>
                  <w:tcW w:w="1162"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300≤X＜1000</w:t>
                  </w:r>
                </w:p>
              </w:tc>
              <w:tc>
                <w:tcPr>
                  <w:tcW w:w="1138"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 xml:space="preserve">100≤X＜300 </w:t>
                  </w:r>
                </w:p>
              </w:tc>
              <w:tc>
                <w:tcPr>
                  <w:tcW w:w="863"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widowControl/>
                    <w:spacing w:line="300" w:lineRule="exact"/>
                    <w:jc w:val="left"/>
                    <w:rPr>
                      <w:sz w:val="21"/>
                      <w:szCs w:val="21"/>
                      <w:vertAlign w:val="baseline"/>
                      <w:lang w:val="en-US"/>
                    </w:rPr>
                  </w:pPr>
                </w:p>
              </w:tc>
              <w:tc>
                <w:tcPr>
                  <w:tcW w:w="811"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营业收入(Y)</w:t>
                  </w:r>
                </w:p>
              </w:tc>
              <w:tc>
                <w:tcPr>
                  <w:tcW w:w="702"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万元</w:t>
                  </w:r>
                </w:p>
              </w:tc>
              <w:tc>
                <w:tcPr>
                  <w:tcW w:w="690"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Y≥5000</w:t>
                  </w:r>
                </w:p>
              </w:tc>
              <w:tc>
                <w:tcPr>
                  <w:tcW w:w="1162" w:type="dxa"/>
                  <w:vAlign w:val="center"/>
                </w:tcPr>
                <w:p>
                  <w:pPr>
                    <w:widowControl/>
                    <w:spacing w:line="300" w:lineRule="exact"/>
                    <w:ind w:left="19" w:leftChars="-51" w:hanging="126" w:hangingChars="60"/>
                    <w:jc w:val="center"/>
                    <w:rPr>
                      <w:sz w:val="21"/>
                      <w:szCs w:val="21"/>
                      <w:vertAlign w:val="baseline"/>
                      <w:lang w:val="en-US"/>
                    </w:rPr>
                  </w:pPr>
                  <w:r>
                    <w:rPr>
                      <w:rFonts w:hint="eastAsia" w:ascii="宋体" w:hAnsi="宋体" w:eastAsia="宋体" w:cs="宋体"/>
                      <w:color w:val="000000"/>
                      <w:kern w:val="0"/>
                      <w:sz w:val="21"/>
                      <w:szCs w:val="21"/>
                    </w:rPr>
                    <w:t xml:space="preserve">1000≤Y＜5000 </w:t>
                  </w:r>
                </w:p>
              </w:tc>
              <w:tc>
                <w:tcPr>
                  <w:tcW w:w="1138"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 xml:space="preserve"> 500≤Y＜1000</w:t>
                  </w:r>
                </w:p>
              </w:tc>
              <w:tc>
                <w:tcPr>
                  <w:tcW w:w="863" w:type="dxa"/>
                  <w:vAlign w:val="center"/>
                </w:tcPr>
                <w:p>
                  <w:pPr>
                    <w:widowControl/>
                    <w:spacing w:line="300" w:lineRule="exact"/>
                    <w:jc w:val="center"/>
                    <w:rPr>
                      <w:sz w:val="21"/>
                      <w:szCs w:val="21"/>
                      <w:vertAlign w:val="baseline"/>
                      <w:lang w:val="en-US"/>
                    </w:rPr>
                  </w:pPr>
                  <w:r>
                    <w:rPr>
                      <w:rFonts w:hint="eastAsia" w:ascii="宋体" w:hAnsi="宋体" w:eastAsia="宋体" w:cs="宋体"/>
                      <w:color w:val="000000"/>
                      <w:kern w:val="0"/>
                      <w:sz w:val="21"/>
                      <w:szCs w:val="21"/>
                    </w:rPr>
                    <w:t>Y＜500</w:t>
                  </w:r>
                </w:p>
              </w:tc>
            </w:tr>
          </w:tbl>
          <w:p>
            <w:pPr>
              <w:pStyle w:val="5"/>
              <w:numPr>
                <w:ilvl w:val="0"/>
                <w:numId w:val="0"/>
              </w:numPr>
              <w:ind w:left="0" w:leftChars="0" w:firstLine="0" w:firstLineChars="0"/>
              <w:jc w:val="both"/>
              <w:rPr>
                <w:rFonts w:cs="宋体" w:asciiTheme="minorEastAsia" w:hAnsiTheme="minorEastAsia" w:eastAsiaTheme="minorEastAsia"/>
                <w:b w:val="0"/>
                <w:bCs w:val="0"/>
                <w:kern w:val="0"/>
                <w:sz w:val="24"/>
                <w:szCs w:val="24"/>
                <w:lang w:val="en-US" w:eastAsia="zh-CN" w:bidi="ar-SA"/>
              </w:rPr>
            </w:pPr>
            <w:r>
              <w:rPr>
                <w:rFonts w:hint="eastAsia" w:cs="宋体" w:asciiTheme="minorEastAsia" w:hAnsiTheme="minorEastAsia" w:eastAsiaTheme="minorEastAsia"/>
                <w:b w:val="0"/>
                <w:bCs w:val="0"/>
                <w:kern w:val="0"/>
                <w:sz w:val="24"/>
                <w:szCs w:val="24"/>
                <w:lang w:val="en-US" w:eastAsia="zh-CN" w:bidi="ar-SA"/>
              </w:rPr>
              <w:t>说明：大型、中型和小型企业须同时满足所列指标的下限，否则下划一档；微型企业只须满足所列指标中的一项即可。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00" w:themeColor="text1"/>
                <w:sz w:val="24"/>
                <w14:textFill>
                  <w14:solidFill>
                    <w14:schemeClr w14:val="tx1"/>
                  </w14:solidFill>
                </w14:textFill>
              </w:rPr>
              <w:t>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kern w:val="0"/>
                <w:sz w:val="24"/>
                <w:lang w:val="zh-CN"/>
              </w:rPr>
            </w:pPr>
            <w:r>
              <w:rPr>
                <w:rFonts w:hint="eastAsia" w:ascii="宋体" w:hAnsi="宋体" w:cs="宋体"/>
                <w:sz w:val="24"/>
              </w:rPr>
              <w:t>（1）资格证明文件：见</w:t>
            </w:r>
            <w:r>
              <w:rPr>
                <w:rFonts w:hint="eastAsia" w:ascii="宋体" w:hAnsi="宋体" w:cs="宋体"/>
                <w:kern w:val="0"/>
                <w:sz w:val="24"/>
                <w:lang w:val="zh-CN"/>
              </w:rPr>
              <w:t>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w:t>
            </w:r>
            <w:r>
              <w:rPr>
                <w:rFonts w:hint="eastAsia" w:ascii="宋体" w:hAnsi="宋体" w:cs="宋体"/>
                <w:kern w:val="0"/>
                <w:sz w:val="24"/>
                <w:lang w:val="zh-CN"/>
              </w:rPr>
              <w:t>第四部分评标标准提</w:t>
            </w:r>
            <w:r>
              <w:rPr>
                <w:rFonts w:hint="eastAsia" w:ascii="宋体" w:hAnsi="宋体" w:cs="宋体"/>
                <w:sz w:val="24"/>
              </w:rPr>
              <w:t>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w:t>
            </w:r>
            <w:r>
              <w:rPr>
                <w:rFonts w:hint="eastAsia" w:ascii="宋体" w:hAnsi="宋体" w:cs="宋体"/>
                <w:kern w:val="0"/>
                <w:sz w:val="24"/>
                <w:lang w:eastAsia="zh-CN"/>
              </w:rPr>
              <w:t>集采机构</w:t>
            </w:r>
            <w:r>
              <w:rPr>
                <w:rFonts w:hint="eastAsia" w:ascii="宋体" w:hAnsi="宋体" w:cs="宋体"/>
                <w:kern w:val="0"/>
                <w:sz w:val="24"/>
              </w:rPr>
              <w:t>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0"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0"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0"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0"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温州市龙湾区永中街道升平路77号行政服务中心主楼</w:t>
            </w:r>
            <w:r>
              <w:rPr>
                <w:rFonts w:hint="eastAsia" w:ascii="宋体" w:hAnsi="宋体" w:eastAsia="宋体" w:cs="宋体"/>
                <w:i w:val="0"/>
                <w:iCs w:val="0"/>
                <w:caps w:val="0"/>
                <w:color w:val="000000"/>
                <w:spacing w:val="0"/>
                <w:sz w:val="22"/>
                <w:szCs w:val="22"/>
                <w:u w:val="single"/>
                <w:lang w:val="en-US" w:eastAsia="zh-CN"/>
              </w:rPr>
              <w:t>410</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ascii="宋体" w:eastAsia="宋体" w:cs="宋体"/>
                <w:color w:val="auto"/>
                <w:highlight w:val="none"/>
                <w:u w:val="single"/>
                <w:lang w:val="en-US" w:eastAsia="zh-CN"/>
              </w:rPr>
              <w:t>0577-86966075</w:t>
            </w:r>
            <w:r>
              <w:rPr>
                <w:rFonts w:hint="eastAsia" w:cs="宋体" w:asciiTheme="minorEastAsia" w:hAnsiTheme="minorEastAsia" w:eastAsiaTheme="minorEastAsia"/>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集采机构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Theme="minorEastAsia" w:hAnsiTheme="minorEastAsia" w:eastAsiaTheme="minorEastAsia"/>
          <w:sz w:val="24"/>
          <w:lang w:eastAsia="zh-CN"/>
        </w:rPr>
        <w:t>集采机构</w:t>
      </w:r>
      <w:r>
        <w:rPr>
          <w:rFonts w:hint="eastAsia" w:ascii="宋体" w:hAnsi="宋体" w:cs="宋体"/>
          <w:sz w:val="24"/>
        </w:rPr>
        <w:t>”系指招标公告中载明的本项目的</w:t>
      </w:r>
      <w:r>
        <w:rPr>
          <w:rFonts w:hint="eastAsia" w:ascii="宋体" w:hAnsi="宋体" w:cs="宋体"/>
          <w:sz w:val="24"/>
          <w:lang w:eastAsia="zh-CN"/>
        </w:rPr>
        <w:t>集采机构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0"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集采机构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w:t>
      </w:r>
      <w:r>
        <w:rPr>
          <w:rFonts w:hint="eastAsia" w:ascii="宋体" w:hAnsi="宋体" w:cs="宋体"/>
          <w:sz w:val="24"/>
          <w:lang w:eastAsia="zh-CN"/>
        </w:rPr>
        <w:t>集采机构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集采机构应当在3个工作日内对供应商依法提出的询问作出答复，但答复的内容不得涉及商业秘密。供应商提出的询问超出采购人对集采机构委托授权范围的，集采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集采机构</w:t>
      </w:r>
      <w:r>
        <w:rPr>
          <w:rFonts w:hint="eastAsia" w:hAnsi="宋体" w:cs="宋体"/>
          <w:sz w:val="24"/>
        </w:rPr>
        <w:t>提出质疑，否则，采购人或者</w:t>
      </w:r>
      <w:r>
        <w:rPr>
          <w:rFonts w:hint="eastAsia" w:hAnsi="宋体" w:cs="宋体"/>
          <w:sz w:val="24"/>
          <w:lang w:eastAsia="zh-CN"/>
        </w:rPr>
        <w:t>集采机构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pPr>
        <w:pStyle w:val="36"/>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4.4质疑答复</w:t>
      </w:r>
    </w:p>
    <w:p>
      <w:pPr>
        <w:pStyle w:val="36"/>
        <w:spacing w:line="360" w:lineRule="auto"/>
        <w:ind w:firstLine="480" w:firstLineChars="200"/>
        <w:rPr>
          <w:rFonts w:asciiTheme="minorEastAsia" w:hAnsiTheme="minorEastAsia" w:eastAsiaTheme="minorEastAsia"/>
          <w:sz w:val="24"/>
        </w:rPr>
      </w:pPr>
      <w:r>
        <w:rPr>
          <w:rFonts w:hint="eastAsia" w:hAnsi="宋体" w:cs="宋体"/>
          <w:snapToGrid/>
          <w:kern w:val="0"/>
          <w:sz w:val="24"/>
          <w:szCs w:val="24"/>
          <w:lang w:val="en-US" w:eastAsia="zh-CN" w:bidi="ar-SA"/>
        </w:rPr>
        <w:t>4.4.1</w:t>
      </w:r>
      <w:r>
        <w:rPr>
          <w:rFonts w:hint="eastAsia" w:asciiTheme="minorEastAsia" w:hAnsiTheme="minorEastAsia" w:eastAsiaTheme="minorEastAsia"/>
          <w:sz w:val="24"/>
        </w:rPr>
        <w:t>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6"/>
              <w:spacing w:line="360" w:lineRule="auto"/>
              <w:jc w:val="center"/>
              <w:rPr>
                <w:rFonts w:asciiTheme="minorEastAsia" w:hAnsiTheme="minorEastAsia" w:eastAsiaTheme="minorEastAsia"/>
                <w:sz w:val="24"/>
              </w:rPr>
            </w:pP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6"/>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集采机构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Merge w:val="restart"/>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6"/>
              <w:spacing w:line="360" w:lineRule="auto"/>
              <w:jc w:val="center"/>
              <w:rPr>
                <w:rFonts w:asciiTheme="minorEastAsia" w:hAnsiTheme="minorEastAsia" w:eastAsiaTheme="minorEastAsia"/>
                <w:sz w:val="24"/>
              </w:rPr>
            </w:pP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6"/>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集采机构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6"/>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集采机构</w:t>
            </w:r>
          </w:p>
        </w:tc>
      </w:tr>
    </w:tbl>
    <w:p>
      <w:pPr>
        <w:pStyle w:val="888"/>
        <w:shd w:val="clear" w:color="auto" w:fill="FFFFFF"/>
        <w:snapToGrid w:val="0"/>
        <w:spacing w:after="240" w:afterAutospacing="0" w:line="360" w:lineRule="auto"/>
        <w:ind w:firstLine="480" w:firstLineChars="200"/>
        <w:contextualSpacing/>
      </w:pPr>
      <w:r>
        <w:rPr>
          <w:rFonts w:hint="eastAsia"/>
          <w:lang w:val="zh-CN"/>
        </w:rPr>
        <w:t>4.</w:t>
      </w:r>
      <w:r>
        <w:rPr>
          <w:rFonts w:hint="eastAsia"/>
          <w:lang w:val="en-US" w:eastAsia="zh-CN"/>
        </w:rPr>
        <w:t>4.2</w:t>
      </w:r>
      <w:r>
        <w:rPr>
          <w:rFonts w:hint="eastAsia"/>
        </w:rPr>
        <w:t>采购人或者</w:t>
      </w:r>
      <w:r>
        <w:rPr>
          <w:rFonts w:hint="eastAsia"/>
          <w:lang w:eastAsia="zh-CN"/>
        </w:rPr>
        <w:t>集采机构</w:t>
      </w:r>
      <w:r>
        <w:rPr>
          <w:rFonts w:hint="eastAsia"/>
        </w:rPr>
        <w:t>应当在收到供应商的书面</w:t>
      </w:r>
      <w:r>
        <w:rPr>
          <w:rFonts w:hint="eastAsia"/>
          <w:lang w:eastAsia="zh-CN"/>
        </w:rPr>
        <w:t>或在线</w:t>
      </w:r>
      <w:r>
        <w:rPr>
          <w:rFonts w:hint="eastAsia"/>
        </w:rPr>
        <w:t>质疑后七个工作日内作出答复，并以书面形式</w:t>
      </w:r>
      <w:r>
        <w:rPr>
          <w:rFonts w:hint="eastAsia"/>
          <w:lang w:eastAsia="zh-CN"/>
        </w:rPr>
        <w:t>或在线形式</w:t>
      </w:r>
      <w:r>
        <w:rPr>
          <w:rFonts w:hint="eastAsia"/>
        </w:rPr>
        <w:t>通知质疑供应商和其他与质疑处理结果有利害关系的政府采购当事人，但答复的内容不得涉及商业秘密。采购人或</w:t>
      </w:r>
      <w:r>
        <w:rPr>
          <w:rFonts w:hint="eastAsia"/>
          <w:lang w:eastAsia="zh-CN"/>
        </w:rPr>
        <w:t>集采机构</w:t>
      </w:r>
      <w:r>
        <w:rPr>
          <w:rFonts w:hint="eastAsia"/>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w:t>
      </w:r>
      <w:r>
        <w:rPr>
          <w:rFonts w:hint="eastAsia"/>
          <w:lang w:val="en-US" w:eastAsia="zh-CN"/>
        </w:rPr>
        <w:t>4.3</w:t>
      </w:r>
      <w:r>
        <w:rPr>
          <w:rFonts w:hint="eastAsia"/>
        </w:rPr>
        <w:t>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w:t>
      </w:r>
      <w:r>
        <w:rPr>
          <w:rFonts w:hint="eastAsia"/>
          <w:lang w:val="en-US" w:eastAsia="zh-CN"/>
        </w:rPr>
        <w:t>5</w:t>
      </w:r>
      <w:r>
        <w:rPr>
          <w:rFonts w:hint="eastAsia"/>
          <w:lang w:val="zh-CN"/>
        </w:rPr>
        <w:t>供应商投诉</w:t>
      </w:r>
    </w:p>
    <w:p>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.1质疑供应商对采购人、</w:t>
      </w:r>
      <w:r>
        <w:rPr>
          <w:rFonts w:hint="eastAsia"/>
          <w:lang w:eastAsia="zh-CN"/>
        </w:rPr>
        <w:t>集采机构</w:t>
      </w:r>
      <w:r>
        <w:rPr>
          <w:rFonts w:hint="eastAsia"/>
        </w:rPr>
        <w:t>的答复不满意或者采购人、</w:t>
      </w:r>
      <w:r>
        <w:rPr>
          <w:rFonts w:hint="eastAsia"/>
          <w:lang w:eastAsia="zh-CN"/>
        </w:rPr>
        <w:t>集采机构</w:t>
      </w:r>
      <w:r>
        <w:rPr>
          <w:rFonts w:hint="eastAsia"/>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集采机构</w:t>
      </w:r>
      <w:r>
        <w:rPr>
          <w:rFonts w:hint="eastAsia" w:ascii="宋体" w:hAnsi="宋体" w:cs="宋体"/>
        </w:rPr>
        <w:t>提出。</w:t>
      </w:r>
    </w:p>
    <w:p>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集采机构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中小企业声明函</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5"/>
        <w:adjustRightInd w:val="0"/>
        <w:ind w:left="479" w:leftChars="228"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11.3.2 报价情况说明（如供应商报价低于项目预算50%的，应当提交本文档，详细阐述不影响产品质量或者诚信履约的具体原因）；</w:t>
      </w:r>
    </w:p>
    <w:p>
      <w:pPr>
        <w:snapToGrid w:val="0"/>
        <w:spacing w:line="360" w:lineRule="auto"/>
        <w:ind w:firstLine="960" w:firstLineChars="4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11.3.</w:t>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中小企业声明函。</w:t>
      </w:r>
    </w:p>
    <w:p>
      <w:pPr>
        <w:spacing w:line="360" w:lineRule="auto"/>
        <w:ind w:firstLine="722"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2"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集采机构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集采机构</w:t>
      </w:r>
      <w:r>
        <w:rPr>
          <w:rFonts w:hint="eastAsia" w:ascii="宋体" w:hAnsi="宋体" w:cs="宋体"/>
          <w:szCs w:val="24"/>
        </w:rPr>
        <w:t>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集采机构</w:t>
      </w:r>
      <w:r>
        <w:rPr>
          <w:rFonts w:hint="eastAsia" w:hAnsi="宋体" w:cs="宋体"/>
          <w:b/>
          <w:sz w:val="24"/>
          <w:szCs w:val="24"/>
        </w:rPr>
        <w:t>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集采机构</w:t>
      </w:r>
      <w:r>
        <w:rPr>
          <w:rFonts w:hint="eastAsia" w:hAnsi="宋体" w:cs="宋体"/>
          <w:sz w:val="24"/>
          <w:szCs w:val="24"/>
        </w:rPr>
        <w:t>，</w:t>
      </w:r>
      <w:r>
        <w:rPr>
          <w:rFonts w:hint="eastAsia" w:hAnsi="宋体" w:cs="宋体"/>
          <w:sz w:val="24"/>
          <w:szCs w:val="24"/>
          <w:lang w:eastAsia="zh-CN"/>
        </w:rPr>
        <w:t>集采机构</w:t>
      </w:r>
      <w:r>
        <w:rPr>
          <w:rFonts w:hint="eastAsia" w:hAnsi="宋体" w:cs="宋体"/>
          <w:sz w:val="24"/>
          <w:szCs w:val="24"/>
        </w:rPr>
        <w:t>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集采机构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6"/>
        <w:spacing w:line="360" w:lineRule="auto"/>
        <w:ind w:firstLine="477" w:firstLineChars="199"/>
        <w:rPr>
          <w:rFonts w:hAnsi="宋体" w:cs="宋体"/>
          <w:b/>
          <w:sz w:val="24"/>
          <w:szCs w:val="24"/>
        </w:rPr>
      </w:pPr>
      <w:r>
        <w:rPr>
          <w:rFonts w:hint="eastAsia" w:ascii="宋体" w:hAnsi="宋体" w:cs="宋体"/>
          <w:sz w:val="24"/>
          <w:szCs w:val="20"/>
        </w:rPr>
        <w:t>▲</w:t>
      </w: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u w:val="single"/>
        </w:rPr>
        <w:t>投标人的投标文件中承</w:t>
      </w:r>
      <w:r>
        <w:rPr>
          <w:rFonts w:hint="eastAsia" w:ascii="宋体" w:hAnsi="宋体" w:cs="宋体"/>
          <w:b/>
          <w:sz w:val="24"/>
          <w:szCs w:val="21"/>
          <w:u w:val="single"/>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集采机构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7"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0"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集采机构</w:t>
      </w:r>
      <w:r>
        <w:rPr>
          <w:rFonts w:hint="eastAsia" w:ascii="宋体" w:hAnsi="宋体" w:cs="宋体"/>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集采机构</w:t>
      </w:r>
      <w:r>
        <w:rPr>
          <w:rFonts w:hint="eastAsia" w:ascii="宋体" w:hAnsi="宋体" w:cs="宋体"/>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集采机构</w:t>
      </w:r>
      <w:r>
        <w:rPr>
          <w:rFonts w:hint="eastAsia" w:ascii="宋体" w:hAnsi="宋体" w:cs="宋体"/>
          <w:sz w:val="24"/>
        </w:rPr>
        <w:t>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集采机构</w:t>
      </w:r>
      <w:r>
        <w:rPr>
          <w:rFonts w:hint="eastAsia" w:ascii="宋体" w:hAnsi="宋体" w:cs="宋体"/>
        </w:rPr>
        <w:t>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集采机构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8"/>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szCs w:val="24"/>
          <w:lang w:eastAsia="zh-CN"/>
        </w:rPr>
        <w:t>集采机构</w:t>
      </w:r>
      <w:r>
        <w:rPr>
          <w:rFonts w:hint="eastAsia" w:ascii="宋体" w:hAnsi="宋体" w:cs="宋体"/>
          <w:szCs w:val="24"/>
        </w:rPr>
        <w:t>应当依法及时将评审报告在线送交采购人。</w:t>
      </w:r>
      <w:r>
        <w:rPr>
          <w:rFonts w:hint="eastAsia" w:ascii="宋体" w:hAnsi="宋体" w:cs="宋体"/>
          <w:b/>
          <w:bCs/>
          <w:szCs w:val="24"/>
        </w:rPr>
        <w:t>采购单位应当自收到评审报告之日起2个工作日内对中标供应商的中小企业声明函、相关证书、检测报告、业绩等</w:t>
      </w:r>
      <w:r>
        <w:rPr>
          <w:rFonts w:hint="eastAsia" w:ascii="宋体" w:hAnsi="宋体" w:cs="宋体"/>
          <w:b/>
          <w:bCs/>
          <w:szCs w:val="24"/>
          <w:lang w:eastAsia="zh-CN"/>
        </w:rPr>
        <w:t>材料的真实性进行核查</w:t>
      </w:r>
      <w:r>
        <w:rPr>
          <w:rFonts w:hint="eastAsia" w:ascii="宋体" w:hAnsi="宋体" w:cs="宋体"/>
          <w:b/>
          <w:bCs/>
          <w:szCs w:val="24"/>
        </w:rPr>
        <w:t>，</w:t>
      </w:r>
      <w:r>
        <w:rPr>
          <w:rFonts w:hint="eastAsia" w:ascii="宋体" w:hAnsi="宋体" w:cs="宋体"/>
          <w:b/>
          <w:bCs/>
          <w:szCs w:val="24"/>
          <w:lang w:eastAsia="zh-CN"/>
        </w:rPr>
        <w:t>并</w:t>
      </w:r>
      <w:r>
        <w:rPr>
          <w:rFonts w:hint="eastAsia" w:ascii="宋体" w:hAnsi="宋体" w:cs="宋体"/>
          <w:b/>
          <w:bCs/>
          <w:szCs w:val="24"/>
        </w:rPr>
        <w:t>在线确定中标或者成交供应商。</w:t>
      </w:r>
      <w:r>
        <w:rPr>
          <w:rFonts w:hint="eastAsia" w:ascii="宋体" w:hAnsi="宋体" w:cs="宋体"/>
          <w:szCs w:val="24"/>
        </w:rPr>
        <w:t>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集采机构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集采机构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集采机构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1" w:firstLineChars="150"/>
        <w:jc w:val="center"/>
        <w:rPr>
          <w:rFonts w:ascii="宋体" w:hAnsi="宋体" w:cs="宋体"/>
          <w:b/>
          <w:sz w:val="32"/>
        </w:rPr>
      </w:pPr>
    </w:p>
    <w:p>
      <w:pPr>
        <w:snapToGrid w:val="0"/>
        <w:spacing w:line="360" w:lineRule="auto"/>
        <w:ind w:left="120" w:leftChars="57" w:firstLine="481"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集采机构</w:t>
      </w:r>
      <w:r>
        <w:rPr>
          <w:rFonts w:hint="eastAsia" w:ascii="宋体" w:hAnsi="宋体" w:cs="宋体"/>
        </w:rPr>
        <w:t>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1"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0"/>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30.5</w:t>
      </w:r>
      <w:r>
        <w:rPr>
          <w:rFonts w:hint="eastAsia" w:asciiTheme="minorEastAsia" w:hAnsiTheme="minorEastAsia" w:eastAsiaTheme="minorEastAsia"/>
          <w:szCs w:val="24"/>
          <w:lang w:val="en-US" w:eastAsia="zh-CN"/>
        </w:rPr>
        <w:t>采购人完成线下履约验收后，应在2个工作日内，在政采云上公布履约验收结果。</w:t>
      </w:r>
    </w:p>
    <w:p>
      <w:pPr>
        <w:pStyle w:val="2"/>
      </w:pP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75236011"/>
      <w:bookmarkEnd w:id="17"/>
      <w:bookmarkStart w:id="18" w:name="_Hlt74730295"/>
      <w:bookmarkEnd w:id="18"/>
      <w:bookmarkStart w:id="19" w:name="_Hlt68072990"/>
      <w:bookmarkEnd w:id="19"/>
      <w:bookmarkStart w:id="20" w:name="_Hlt68403820"/>
      <w:bookmarkEnd w:id="20"/>
      <w:bookmarkStart w:id="21" w:name="_Hlt75236101"/>
      <w:bookmarkEnd w:id="21"/>
      <w:bookmarkStart w:id="22" w:name="_Hlt74729768"/>
      <w:bookmarkEnd w:id="22"/>
      <w:bookmarkStart w:id="23" w:name="_Hlt68073093"/>
      <w:bookmarkEnd w:id="23"/>
      <w:bookmarkStart w:id="24" w:name="_Hlt68057669"/>
      <w:bookmarkEnd w:id="24"/>
      <w:bookmarkStart w:id="25" w:name="_Hlt74707468"/>
      <w:bookmarkEnd w:id="25"/>
      <w:bookmarkStart w:id="26" w:name="_Hlt68072998"/>
      <w:bookmarkEnd w:id="26"/>
    </w:p>
    <w:bookmarkEnd w:id="11"/>
    <w:bookmarkEnd w:id="12"/>
    <w:p>
      <w:pPr>
        <w:spacing w:line="360" w:lineRule="auto"/>
        <w:jc w:val="center"/>
        <w:outlineLvl w:val="0"/>
        <w:rPr>
          <w:rFonts w:ascii="宋体" w:hAnsi="宋体" w:cs="宋体"/>
          <w:b/>
          <w:sz w:val="24"/>
          <w:szCs w:val="24"/>
        </w:rPr>
      </w:pPr>
      <w:bookmarkStart w:id="27" w:name="第四部分"/>
      <w:r>
        <w:rPr>
          <w:rFonts w:hint="eastAsia" w:ascii="宋体" w:hAnsi="宋体" w:cs="宋体"/>
          <w:b/>
          <w:sz w:val="36"/>
          <w:szCs w:val="36"/>
        </w:rPr>
        <w:t>第三部分   采购需求</w:t>
      </w:r>
    </w:p>
    <w:p>
      <w:pPr>
        <w:adjustRightInd w:val="0"/>
        <w:snapToGrid w:val="0"/>
        <w:spacing w:line="360" w:lineRule="auto"/>
        <w:outlineLvl w:val="0"/>
        <w:rPr>
          <w:rFonts w:hint="eastAsia" w:ascii="宋体" w:hAnsi="宋体" w:eastAsia="宋体" w:cs="宋体"/>
          <w:sz w:val="24"/>
          <w:szCs w:val="24"/>
        </w:rPr>
      </w:pPr>
      <w:bookmarkStart w:id="28" w:name="_Toc31107"/>
      <w:bookmarkStart w:id="29" w:name="_Toc8665"/>
      <w:r>
        <w:rPr>
          <w:rFonts w:hint="eastAsia" w:ascii="宋体" w:hAnsi="宋体" w:eastAsia="宋体" w:cs="宋体"/>
          <w:b/>
          <w:bCs/>
          <w:color w:val="000000"/>
          <w:sz w:val="24"/>
          <w:szCs w:val="24"/>
        </w:rPr>
        <w:t>一、</w:t>
      </w:r>
      <w:bookmarkEnd w:id="28"/>
      <w:bookmarkEnd w:id="29"/>
      <w:bookmarkStart w:id="30" w:name="_Toc2263"/>
      <w:r>
        <w:rPr>
          <w:rFonts w:hint="eastAsia" w:ascii="宋体" w:hAnsi="宋体" w:eastAsia="宋体" w:cs="宋体"/>
          <w:b/>
          <w:bCs/>
          <w:color w:val="000000"/>
          <w:sz w:val="24"/>
          <w:szCs w:val="24"/>
        </w:rPr>
        <w:t>项目概要</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物业名称：物业管理服务采购项目 </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物业类型：办公大楼</w:t>
      </w:r>
    </w:p>
    <w:p>
      <w:pPr>
        <w:widowControl/>
        <w:autoSpaceDE w:val="0"/>
        <w:autoSpaceDN w:val="0"/>
        <w:adjustRightInd w:val="0"/>
        <w:spacing w:line="360" w:lineRule="auto"/>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坐落：龙湾公安分局大楼（永中街道永宁西路518号）、龙湾分局2号院（温州经济开发区滨海园区明珠路850号）、星海***、沙城***、天河***、海城***</w:t>
      </w:r>
    </w:p>
    <w:p>
      <w:pPr>
        <w:widowControl/>
        <w:autoSpaceDE w:val="0"/>
        <w:autoSpaceDN w:val="0"/>
        <w:adjustRightInd w:val="0"/>
        <w:spacing w:line="360" w:lineRule="auto"/>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建筑面积：（1）龙湾公安局公安局大楼：30300㎡（其中地上部分19938㎡，架空层2648㎡，地下部分7468㎡）；（2）龙湾分局2号院：总服务面积8300㎡，主楼建筑面积5000㎡</w:t>
      </w:r>
    </w:p>
    <w:p>
      <w:pPr>
        <w:pStyle w:val="514"/>
        <w:spacing w:line="360" w:lineRule="auto"/>
        <w:ind w:firstLine="46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列入本次招标的管理</w:t>
      </w:r>
      <w:r>
        <w:rPr>
          <w:rFonts w:hint="eastAsia" w:ascii="宋体" w:hAnsi="宋体" w:eastAsia="宋体" w:cs="宋体"/>
          <w:bCs/>
          <w:color w:val="000000"/>
          <w:sz w:val="24"/>
          <w:szCs w:val="24"/>
        </w:rPr>
        <w:t>服务内容为</w:t>
      </w:r>
      <w:r>
        <w:rPr>
          <w:rFonts w:hint="eastAsia" w:ascii="宋体" w:hAnsi="宋体" w:eastAsia="宋体" w:cs="宋体"/>
          <w:b/>
          <w:bCs w:val="0"/>
          <w:color w:val="000000"/>
          <w:sz w:val="24"/>
          <w:szCs w:val="24"/>
        </w:rPr>
        <w:t>：环境卫生管理、安保服务管理、设施设备的操作及维护、房屋设施日常养护维修、会务服务、餐饮服务管理等其他甲方交办的内容</w:t>
      </w:r>
      <w:r>
        <w:rPr>
          <w:rFonts w:hint="eastAsia" w:ascii="宋体" w:hAnsi="宋体" w:eastAsia="宋体" w:cs="宋体"/>
          <w:color w:val="000000"/>
          <w:sz w:val="24"/>
          <w:szCs w:val="24"/>
        </w:rPr>
        <w:t>。</w:t>
      </w:r>
    </w:p>
    <w:p>
      <w:pPr>
        <w:pStyle w:val="25"/>
        <w:spacing w:line="360" w:lineRule="auto"/>
        <w:outlineLvl w:val="0"/>
        <w:rPr>
          <w:rFonts w:hint="eastAsia" w:ascii="宋体" w:hAnsi="宋体" w:eastAsia="宋体" w:cs="宋体"/>
          <w:b/>
          <w:color w:val="000000"/>
          <w:sz w:val="24"/>
          <w:szCs w:val="24"/>
        </w:rPr>
      </w:pPr>
      <w:r>
        <w:rPr>
          <w:rFonts w:hint="eastAsia" w:ascii="宋体" w:hAnsi="宋体" w:eastAsia="宋体" w:cs="宋体"/>
          <w:b/>
          <w:bCs/>
          <w:color w:val="000000"/>
          <w:kern w:val="0"/>
          <w:sz w:val="24"/>
          <w:szCs w:val="24"/>
          <w:lang w:val="en-US" w:eastAsia="zh-CN" w:bidi="ar-SA"/>
        </w:rPr>
        <w:t>二、人员数量及要求</w:t>
      </w:r>
    </w:p>
    <w:bookmarkEnd w:id="30"/>
    <w:p>
      <w:pPr>
        <w:spacing w:line="480" w:lineRule="auto"/>
        <w:ind w:firstLine="481" w:firstLineChars="20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（一）人员配置要求</w:t>
      </w:r>
    </w:p>
    <w:p>
      <w:pPr>
        <w:spacing w:line="480" w:lineRule="auto"/>
        <w:ind w:firstLine="421" w:firstLineChars="200"/>
        <w:jc w:val="both"/>
        <w:rPr>
          <w:rFonts w:hint="default" w:ascii="宋体" w:hAnsi="宋体" w:eastAsia="宋体" w:cs="宋体"/>
          <w:b/>
          <w:bCs/>
          <w:color w:val="000000"/>
          <w:kern w:val="0"/>
          <w:sz w:val="24"/>
          <w:szCs w:val="24"/>
          <w:u w:val="single"/>
          <w:lang w:val="en-US" w:eastAsia="zh-CN" w:bidi="ar-SA"/>
        </w:rPr>
      </w:pPr>
      <w:r>
        <w:rPr>
          <w:rFonts w:hint="eastAsia" w:ascii="宋体" w:hAnsi="宋体"/>
          <w:b/>
          <w:bCs/>
          <w:szCs w:val="21"/>
          <w:u w:val="single"/>
        </w:rPr>
        <w:t>▲</w:t>
      </w:r>
      <w:r>
        <w:rPr>
          <w:rFonts w:hint="eastAsia" w:ascii="宋体" w:hAnsi="宋体" w:eastAsia="宋体" w:cs="宋体"/>
          <w:b/>
          <w:bCs/>
          <w:color w:val="000000"/>
          <w:kern w:val="0"/>
          <w:sz w:val="24"/>
          <w:szCs w:val="24"/>
          <w:u w:val="single"/>
          <w:lang w:val="en-US" w:eastAsia="zh-CN" w:bidi="ar-SA"/>
        </w:rPr>
        <w:t>本项目人员总数不少于86人，具体见人员配置表。</w:t>
      </w:r>
    </w:p>
    <w:p>
      <w:pPr>
        <w:pStyle w:val="514"/>
        <w:spacing w:line="48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cs="宋体"/>
          <w:b/>
          <w:color w:val="000000"/>
          <w:sz w:val="24"/>
          <w:szCs w:val="24"/>
          <w:lang w:val="en-US" w:eastAsia="zh-CN"/>
        </w:rPr>
        <w:t>.</w:t>
      </w:r>
      <w:r>
        <w:rPr>
          <w:rFonts w:hint="eastAsia" w:ascii="宋体" w:hAnsi="宋体" w:eastAsia="宋体" w:cs="宋体"/>
          <w:b/>
          <w:color w:val="000000"/>
          <w:sz w:val="24"/>
          <w:szCs w:val="24"/>
        </w:rPr>
        <w:t>龙湾公安分局办公大楼人员配置</w:t>
      </w:r>
    </w:p>
    <w:tbl>
      <w:tblPr>
        <w:tblStyle w:val="6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55"/>
        <w:gridCol w:w="1065"/>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color w:val="000000"/>
              </w:rPr>
            </w:pPr>
            <w:r>
              <w:rPr>
                <w:rFonts w:hint="eastAsia"/>
                <w:color w:val="000000"/>
              </w:rPr>
              <w:t>序号</w:t>
            </w:r>
          </w:p>
        </w:tc>
        <w:tc>
          <w:tcPr>
            <w:tcW w:w="1455" w:type="dxa"/>
            <w:noWrap w:val="0"/>
            <w:vAlign w:val="center"/>
          </w:tcPr>
          <w:p>
            <w:pPr>
              <w:jc w:val="center"/>
              <w:rPr>
                <w:color w:val="000000"/>
              </w:rPr>
            </w:pPr>
            <w:r>
              <w:rPr>
                <w:rFonts w:hint="eastAsia"/>
                <w:color w:val="000000"/>
              </w:rPr>
              <w:t>岗位名称</w:t>
            </w:r>
          </w:p>
        </w:tc>
        <w:tc>
          <w:tcPr>
            <w:tcW w:w="1065" w:type="dxa"/>
            <w:noWrap w:val="0"/>
            <w:vAlign w:val="center"/>
          </w:tcPr>
          <w:p>
            <w:pPr>
              <w:jc w:val="center"/>
              <w:rPr>
                <w:color w:val="000000"/>
              </w:rPr>
            </w:pPr>
            <w:r>
              <w:rPr>
                <w:rFonts w:hint="eastAsia"/>
                <w:color w:val="000000"/>
              </w:rPr>
              <w:t>数量</w:t>
            </w:r>
          </w:p>
        </w:tc>
        <w:tc>
          <w:tcPr>
            <w:tcW w:w="4802" w:type="dxa"/>
            <w:noWrap w:val="0"/>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color w:val="000000"/>
              </w:rPr>
            </w:pPr>
            <w:r>
              <w:rPr>
                <w:rFonts w:hint="eastAsia"/>
                <w:color w:val="000000"/>
              </w:rPr>
              <w:t>1</w:t>
            </w:r>
          </w:p>
        </w:tc>
        <w:tc>
          <w:tcPr>
            <w:tcW w:w="1455" w:type="dxa"/>
            <w:noWrap w:val="0"/>
            <w:vAlign w:val="center"/>
          </w:tcPr>
          <w:p>
            <w:pPr>
              <w:jc w:val="center"/>
              <w:rPr>
                <w:color w:val="000000"/>
              </w:rPr>
            </w:pPr>
            <w:r>
              <w:rPr>
                <w:rFonts w:hint="eastAsia"/>
                <w:color w:val="000000"/>
              </w:rPr>
              <w:t>项目经理</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2</w:t>
            </w:r>
          </w:p>
        </w:tc>
        <w:tc>
          <w:tcPr>
            <w:tcW w:w="1455" w:type="dxa"/>
            <w:noWrap w:val="0"/>
            <w:vAlign w:val="center"/>
          </w:tcPr>
          <w:p>
            <w:pPr>
              <w:jc w:val="center"/>
              <w:rPr>
                <w:color w:val="000000"/>
              </w:rPr>
            </w:pPr>
            <w:r>
              <w:rPr>
                <w:rFonts w:hint="eastAsia"/>
                <w:color w:val="000000"/>
              </w:rPr>
              <w:t>会务领班</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3</w:t>
            </w:r>
          </w:p>
        </w:tc>
        <w:tc>
          <w:tcPr>
            <w:tcW w:w="1455" w:type="dxa"/>
            <w:noWrap w:val="0"/>
            <w:vAlign w:val="center"/>
          </w:tcPr>
          <w:p>
            <w:pPr>
              <w:jc w:val="center"/>
              <w:rPr>
                <w:color w:val="000000"/>
              </w:rPr>
            </w:pPr>
            <w:r>
              <w:rPr>
                <w:rFonts w:hint="eastAsia"/>
                <w:color w:val="000000"/>
              </w:rPr>
              <w:t>会务员</w:t>
            </w:r>
          </w:p>
        </w:tc>
        <w:tc>
          <w:tcPr>
            <w:tcW w:w="1065" w:type="dxa"/>
            <w:noWrap w:val="0"/>
            <w:vAlign w:val="center"/>
          </w:tcPr>
          <w:p>
            <w:pPr>
              <w:jc w:val="center"/>
              <w:rPr>
                <w:color w:val="000000"/>
              </w:rPr>
            </w:pPr>
            <w:r>
              <w:rPr>
                <w:rFonts w:hint="eastAsia"/>
                <w:color w:val="000000"/>
              </w:rPr>
              <w:t>3</w:t>
            </w:r>
          </w:p>
        </w:tc>
        <w:tc>
          <w:tcPr>
            <w:tcW w:w="4802" w:type="dxa"/>
            <w:noWrap w:val="0"/>
            <w:vAlign w:val="center"/>
          </w:tcPr>
          <w:p>
            <w:pPr>
              <w:jc w:val="left"/>
              <w:rPr>
                <w:color w:val="000000"/>
              </w:rPr>
            </w:pPr>
            <w:r>
              <w:rPr>
                <w:color w:val="000000"/>
              </w:rPr>
              <w:t>35</w:t>
            </w:r>
            <w:r>
              <w:rPr>
                <w:rFonts w:hint="eastAsia"/>
                <w:color w:val="000000"/>
              </w:rPr>
              <w:t>周岁以下，专科及以上学历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4</w:t>
            </w:r>
          </w:p>
        </w:tc>
        <w:tc>
          <w:tcPr>
            <w:tcW w:w="1455" w:type="dxa"/>
            <w:noWrap w:val="0"/>
            <w:vAlign w:val="center"/>
          </w:tcPr>
          <w:p>
            <w:pPr>
              <w:jc w:val="center"/>
              <w:rPr>
                <w:color w:val="000000"/>
              </w:rPr>
            </w:pPr>
            <w:r>
              <w:rPr>
                <w:rFonts w:hint="eastAsia"/>
                <w:color w:val="000000"/>
              </w:rPr>
              <w:t>洗衣服务员</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r>
              <w:rPr>
                <w:rFonts w:hint="default" w:ascii="Calibri" w:hAnsi="Calibri" w:eastAsia="宋体" w:cs="Times New Roman"/>
                <w:color w:val="000000"/>
                <w:kern w:val="0"/>
                <w:sz w:val="20"/>
                <w:szCs w:val="21"/>
                <w:lang w:val="en-US" w:eastAsia="zh-CN" w:bidi="ar"/>
              </w:rPr>
              <w:t>55</w:t>
            </w:r>
            <w:r>
              <w:rPr>
                <w:rFonts w:hint="eastAsia" w:ascii="宋体" w:hAnsi="宋体" w:eastAsia="宋体" w:cs="Times New Roman"/>
                <w:color w:val="000000"/>
                <w:kern w:val="0"/>
                <w:sz w:val="20"/>
                <w:szCs w:val="21"/>
                <w:lang w:val="en-US" w:eastAsia="zh-CN" w:bidi="ar"/>
              </w:rPr>
              <w:t>岁周岁以下</w:t>
            </w:r>
            <w:r>
              <w:rPr>
                <w:rFonts w:hint="eastAsia" w:ascii="宋体" w:hAnsi="宋体" w:eastAsia="宋体" w:cs="Times New Roman"/>
                <w:color w:val="000000"/>
                <w:sz w:val="21"/>
                <w:szCs w:val="21"/>
                <w:lang w:val="en-US" w:eastAsia="zh-CN" w:bidi="ar"/>
              </w:rPr>
              <w:t>，会简单计算机操作，（熟练使用洗衣设备）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5</w:t>
            </w:r>
          </w:p>
        </w:tc>
        <w:tc>
          <w:tcPr>
            <w:tcW w:w="1455" w:type="dxa"/>
            <w:noWrap w:val="0"/>
            <w:vAlign w:val="center"/>
          </w:tcPr>
          <w:p>
            <w:pPr>
              <w:jc w:val="center"/>
              <w:rPr>
                <w:color w:val="000000"/>
              </w:rPr>
            </w:pPr>
            <w:r>
              <w:rPr>
                <w:rFonts w:hint="eastAsia"/>
                <w:color w:val="000000"/>
              </w:rPr>
              <w:t>服务员</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r>
              <w:rPr>
                <w:rFonts w:hint="eastAsia" w:ascii="宋体" w:hAnsi="宋体"/>
                <w:color w:val="000000"/>
                <w:kern w:val="0"/>
                <w:sz w:val="22"/>
                <w:lang w:val="en-US" w:eastAsia="zh-CN"/>
              </w:rPr>
              <w:t>50</w:t>
            </w:r>
            <w:r>
              <w:rPr>
                <w:rFonts w:hint="eastAsia" w:ascii="宋体" w:hAnsi="宋体"/>
                <w:color w:val="000000"/>
                <w:kern w:val="0"/>
                <w:sz w:val="22"/>
              </w:rPr>
              <w:t>周岁以下，负责局领导办公</w:t>
            </w:r>
            <w:r>
              <w:rPr>
                <w:rFonts w:hint="eastAsia" w:ascii="宋体" w:hAnsi="宋体"/>
                <w:color w:val="000000"/>
                <w:kern w:val="0"/>
                <w:sz w:val="22"/>
                <w:lang w:eastAsia="zh-CN"/>
              </w:rPr>
              <w:t>室</w:t>
            </w:r>
            <w:r>
              <w:rPr>
                <w:rFonts w:hint="eastAsia" w:ascii="宋体" w:hAnsi="宋体"/>
                <w:color w:val="000000"/>
                <w:kern w:val="0"/>
                <w:sz w:val="22"/>
              </w:rPr>
              <w:t>和住宿客房服务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6</w:t>
            </w:r>
          </w:p>
        </w:tc>
        <w:tc>
          <w:tcPr>
            <w:tcW w:w="1455" w:type="dxa"/>
            <w:noWrap w:val="0"/>
            <w:vAlign w:val="center"/>
          </w:tcPr>
          <w:p>
            <w:pPr>
              <w:jc w:val="center"/>
              <w:rPr>
                <w:color w:val="000000"/>
              </w:rPr>
            </w:pPr>
            <w:r>
              <w:rPr>
                <w:rFonts w:hint="eastAsia"/>
                <w:color w:val="000000"/>
              </w:rPr>
              <w:t>工程领班</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7</w:t>
            </w:r>
          </w:p>
        </w:tc>
        <w:tc>
          <w:tcPr>
            <w:tcW w:w="1455" w:type="dxa"/>
            <w:noWrap w:val="0"/>
            <w:vAlign w:val="center"/>
          </w:tcPr>
          <w:p>
            <w:pPr>
              <w:jc w:val="center"/>
              <w:rPr>
                <w:color w:val="000000"/>
              </w:rPr>
            </w:pPr>
            <w:r>
              <w:rPr>
                <w:rFonts w:hint="eastAsia"/>
                <w:color w:val="000000"/>
              </w:rPr>
              <w:t>电工</w:t>
            </w:r>
          </w:p>
        </w:tc>
        <w:tc>
          <w:tcPr>
            <w:tcW w:w="1065" w:type="dxa"/>
            <w:noWrap w:val="0"/>
            <w:vAlign w:val="center"/>
          </w:tcPr>
          <w:p>
            <w:pPr>
              <w:jc w:val="center"/>
              <w:rPr>
                <w:rFonts w:hint="eastAsia" w:eastAsia="宋体"/>
                <w:color w:val="000000"/>
                <w:lang w:eastAsia="zh-CN"/>
              </w:rPr>
            </w:pPr>
            <w:r>
              <w:rPr>
                <w:rFonts w:hint="eastAsia"/>
                <w:color w:val="000000"/>
                <w:lang w:val="en-US" w:eastAsia="zh-CN"/>
              </w:rPr>
              <w:t>3</w:t>
            </w:r>
          </w:p>
        </w:tc>
        <w:tc>
          <w:tcPr>
            <w:tcW w:w="4802" w:type="dxa"/>
            <w:noWrap w:val="0"/>
            <w:vAlign w:val="center"/>
          </w:tcPr>
          <w:p>
            <w:pPr>
              <w:jc w:val="left"/>
              <w:rPr>
                <w:rFonts w:hint="default" w:eastAsia="宋体"/>
                <w:color w:val="000000"/>
                <w:lang w:val="en-US" w:eastAsia="zh-CN"/>
              </w:rPr>
            </w:pPr>
            <w:r>
              <w:rPr>
                <w:rFonts w:hint="eastAsia"/>
                <w:color w:val="000000"/>
              </w:rPr>
              <w:t>5</w:t>
            </w:r>
            <w:r>
              <w:rPr>
                <w:color w:val="000000"/>
              </w:rPr>
              <w:t>5</w:t>
            </w:r>
            <w:r>
              <w:rPr>
                <w:rFonts w:hint="eastAsia"/>
                <w:color w:val="000000"/>
              </w:rPr>
              <w:t>周岁以下，需持有高压或低压操作证书</w:t>
            </w:r>
            <w:r>
              <w:rPr>
                <w:rFonts w:hint="eastAsia"/>
                <w:color w:val="000000"/>
                <w:lang w:eastAsia="zh-CN"/>
              </w:rPr>
              <w:t>，</w:t>
            </w:r>
            <w:r>
              <w:rPr>
                <w:rFonts w:hint="eastAsia"/>
                <w:color w:val="000000"/>
                <w:lang w:val="en-US" w:eastAsia="zh-CN"/>
              </w:rPr>
              <w:t>(兼顾2号院电工服务）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8</w:t>
            </w:r>
          </w:p>
        </w:tc>
        <w:tc>
          <w:tcPr>
            <w:tcW w:w="1455" w:type="dxa"/>
            <w:noWrap w:val="0"/>
            <w:vAlign w:val="center"/>
          </w:tcPr>
          <w:p>
            <w:pPr>
              <w:jc w:val="center"/>
              <w:rPr>
                <w:color w:val="000000"/>
              </w:rPr>
            </w:pPr>
            <w:r>
              <w:rPr>
                <w:rFonts w:hint="eastAsia"/>
                <w:color w:val="000000"/>
              </w:rPr>
              <w:t>洗车服务员</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rFonts w:hint="eastAsia" w:eastAsia="宋体"/>
                <w:color w:val="000000"/>
                <w:lang w:eastAsia="zh-CN"/>
              </w:rPr>
            </w:pPr>
            <w:r>
              <w:rPr>
                <w:color w:val="000000"/>
              </w:rPr>
              <w:t>55</w:t>
            </w:r>
            <w:r>
              <w:rPr>
                <w:rFonts w:hint="eastAsia"/>
                <w:color w:val="000000"/>
              </w:rPr>
              <w:t>周岁以下</w:t>
            </w:r>
            <w:r>
              <w:rPr>
                <w:rFonts w:hint="eastAsia"/>
                <w:color w:val="000000"/>
                <w:lang w:eastAsia="zh-CN"/>
              </w:rPr>
              <w:t>，洗车兼职技工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9</w:t>
            </w:r>
          </w:p>
        </w:tc>
        <w:tc>
          <w:tcPr>
            <w:tcW w:w="1455" w:type="dxa"/>
            <w:noWrap w:val="0"/>
            <w:vAlign w:val="center"/>
          </w:tcPr>
          <w:p>
            <w:pPr>
              <w:jc w:val="center"/>
              <w:rPr>
                <w:color w:val="000000"/>
              </w:rPr>
            </w:pPr>
            <w:r>
              <w:rPr>
                <w:rFonts w:hint="eastAsia"/>
                <w:color w:val="000000"/>
              </w:rPr>
              <w:t>保洁领班</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0</w:t>
            </w:r>
          </w:p>
        </w:tc>
        <w:tc>
          <w:tcPr>
            <w:tcW w:w="1455" w:type="dxa"/>
            <w:noWrap w:val="0"/>
            <w:vAlign w:val="center"/>
          </w:tcPr>
          <w:p>
            <w:pPr>
              <w:jc w:val="center"/>
              <w:rPr>
                <w:color w:val="000000"/>
              </w:rPr>
            </w:pPr>
            <w:r>
              <w:rPr>
                <w:rFonts w:hint="eastAsia"/>
                <w:color w:val="000000"/>
              </w:rPr>
              <w:t>保洁员</w:t>
            </w:r>
          </w:p>
        </w:tc>
        <w:tc>
          <w:tcPr>
            <w:tcW w:w="1065" w:type="dxa"/>
            <w:noWrap w:val="0"/>
            <w:vAlign w:val="center"/>
          </w:tcPr>
          <w:p>
            <w:pPr>
              <w:jc w:val="center"/>
              <w:rPr>
                <w:color w:val="000000"/>
              </w:rPr>
            </w:pPr>
            <w:r>
              <w:rPr>
                <w:rFonts w:hint="eastAsia"/>
                <w:color w:val="000000"/>
              </w:rPr>
              <w:t>1</w:t>
            </w:r>
            <w:r>
              <w:rPr>
                <w:color w:val="000000"/>
              </w:rPr>
              <w:t>1</w:t>
            </w:r>
          </w:p>
        </w:tc>
        <w:tc>
          <w:tcPr>
            <w:tcW w:w="4802" w:type="dxa"/>
            <w:noWrap w:val="0"/>
            <w:vAlign w:val="center"/>
          </w:tcPr>
          <w:p>
            <w:pPr>
              <w:jc w:val="left"/>
              <w:rPr>
                <w:color w:val="000000"/>
              </w:rPr>
            </w:pPr>
            <w:r>
              <w:rPr>
                <w:rFonts w:hint="eastAsia"/>
                <w:color w:val="000000"/>
              </w:rPr>
              <w:t>男6</w:t>
            </w:r>
            <w:r>
              <w:rPr>
                <w:color w:val="000000"/>
              </w:rPr>
              <w:t>0</w:t>
            </w:r>
            <w:r>
              <w:rPr>
                <w:rFonts w:hint="eastAsia"/>
                <w:color w:val="000000"/>
              </w:rPr>
              <w:t>周岁以下，女5</w:t>
            </w:r>
            <w:r>
              <w:rPr>
                <w:color w:val="000000"/>
              </w:rPr>
              <w:t>5</w:t>
            </w:r>
            <w:r>
              <w:rPr>
                <w:rFonts w:hint="eastAsia"/>
                <w:color w:val="000000"/>
              </w:rPr>
              <w:t>周岁以下，身体健康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1</w:t>
            </w:r>
          </w:p>
        </w:tc>
        <w:tc>
          <w:tcPr>
            <w:tcW w:w="1455" w:type="dxa"/>
            <w:noWrap w:val="0"/>
            <w:vAlign w:val="center"/>
          </w:tcPr>
          <w:p>
            <w:pPr>
              <w:jc w:val="center"/>
              <w:rPr>
                <w:color w:val="000000"/>
              </w:rPr>
            </w:pPr>
            <w:r>
              <w:rPr>
                <w:rFonts w:hint="eastAsia"/>
                <w:color w:val="000000"/>
              </w:rPr>
              <w:t>保安队长</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default" w:eastAsia="宋体"/>
                <w:color w:val="000000"/>
                <w:lang w:val="en-US" w:eastAsia="zh-CN"/>
              </w:rPr>
            </w:pPr>
            <w:r>
              <w:rPr>
                <w:rFonts w:hint="eastAsia"/>
                <w:color w:val="000000"/>
                <w:lang w:val="en-US" w:eastAsia="zh-CN"/>
              </w:rPr>
              <w:t>12</w:t>
            </w:r>
          </w:p>
        </w:tc>
        <w:tc>
          <w:tcPr>
            <w:tcW w:w="1455" w:type="dxa"/>
            <w:noWrap w:val="0"/>
            <w:vAlign w:val="center"/>
          </w:tcPr>
          <w:p>
            <w:pPr>
              <w:jc w:val="center"/>
              <w:rPr>
                <w:color w:val="000000"/>
              </w:rPr>
            </w:pPr>
            <w:r>
              <w:rPr>
                <w:rFonts w:hint="eastAsia"/>
                <w:color w:val="000000"/>
              </w:rPr>
              <w:t>保安员</w:t>
            </w:r>
          </w:p>
        </w:tc>
        <w:tc>
          <w:tcPr>
            <w:tcW w:w="1065" w:type="dxa"/>
            <w:noWrap w:val="0"/>
            <w:vAlign w:val="center"/>
          </w:tcPr>
          <w:p>
            <w:pPr>
              <w:jc w:val="center"/>
              <w:rPr>
                <w:rFonts w:hint="default" w:eastAsia="宋体"/>
                <w:color w:val="000000"/>
                <w:lang w:val="en-US" w:eastAsia="zh-CN"/>
              </w:rPr>
            </w:pPr>
            <w:r>
              <w:rPr>
                <w:rFonts w:hint="eastAsia"/>
                <w:color w:val="000000"/>
                <w:lang w:val="en-US" w:eastAsia="zh-CN"/>
              </w:rPr>
              <w:t>13</w:t>
            </w:r>
          </w:p>
        </w:tc>
        <w:tc>
          <w:tcPr>
            <w:tcW w:w="4802" w:type="dxa"/>
            <w:noWrap w:val="0"/>
            <w:vAlign w:val="center"/>
          </w:tcPr>
          <w:p>
            <w:pPr>
              <w:jc w:val="left"/>
              <w:rPr>
                <w:color w:val="000000"/>
              </w:rPr>
            </w:pPr>
            <w:r>
              <w:rPr>
                <w:rFonts w:hint="eastAsia" w:ascii="宋体" w:hAnsi="宋体"/>
                <w:bCs/>
                <w:color w:val="000000"/>
                <w:sz w:val="22"/>
              </w:rPr>
              <w:t>年龄要求2</w:t>
            </w:r>
            <w:r>
              <w:rPr>
                <w:rFonts w:ascii="宋体" w:hAnsi="宋体"/>
                <w:bCs/>
                <w:color w:val="000000"/>
                <w:sz w:val="22"/>
              </w:rPr>
              <w:t>5</w:t>
            </w:r>
            <w:r>
              <w:rPr>
                <w:rFonts w:hint="eastAsia" w:ascii="宋体" w:hAnsi="宋体"/>
                <w:bCs/>
                <w:color w:val="000000"/>
                <w:sz w:val="22"/>
              </w:rPr>
              <w:t>-</w:t>
            </w:r>
            <w:r>
              <w:rPr>
                <w:rFonts w:ascii="宋体"/>
                <w:bCs/>
                <w:color w:val="000000"/>
                <w:sz w:val="22"/>
              </w:rPr>
              <w:t>55</w:t>
            </w:r>
            <w:r>
              <w:rPr>
                <w:rFonts w:hint="eastAsia" w:ascii="宋体" w:hAnsi="宋体"/>
                <w:bCs/>
                <w:color w:val="000000"/>
                <w:sz w:val="22"/>
              </w:rPr>
              <w:t>周岁，</w:t>
            </w:r>
            <w:r>
              <w:rPr>
                <w:rFonts w:hint="eastAsia" w:ascii="宋体" w:hAnsi="宋体"/>
                <w:snapToGrid w:val="0"/>
                <w:color w:val="000000"/>
                <w:kern w:val="0"/>
                <w:sz w:val="22"/>
                <w:u w:val="single" w:color="FFFFFF"/>
              </w:rPr>
              <w:t>持有保安员证书，</w:t>
            </w:r>
            <w:r>
              <w:rPr>
                <w:rFonts w:hint="eastAsia" w:ascii="宋体" w:hAnsi="宋体"/>
                <w:snapToGrid w:val="0"/>
                <w:color w:val="000000"/>
                <w:kern w:val="0"/>
                <w:sz w:val="22"/>
                <w:u w:val="single" w:color="FFFFFF"/>
                <w:lang w:eastAsia="zh-CN"/>
              </w:rPr>
              <w:t>南门形象岗要求至少</w:t>
            </w:r>
            <w:r>
              <w:rPr>
                <w:rFonts w:hint="eastAsia" w:ascii="宋体" w:hAnsi="宋体"/>
                <w:snapToGrid w:val="0"/>
                <w:color w:val="000000"/>
                <w:kern w:val="0"/>
                <w:sz w:val="22"/>
                <w:u w:val="single" w:color="FFFFFF"/>
                <w:lang w:val="en-US" w:eastAsia="zh-CN"/>
              </w:rPr>
              <w:t>3人年龄40周岁以下，身高170cm以上。</w:t>
            </w:r>
            <w:r>
              <w:rPr>
                <w:rFonts w:hint="eastAsia" w:ascii="宋体" w:hAnsi="宋体"/>
                <w:bCs/>
                <w:color w:val="000000"/>
                <w:sz w:val="22"/>
              </w:rPr>
              <w:t>个别特殊岗位视情况放宽年龄要求（需双方协商同意，比例不得超过总人数的20%）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3</w:t>
            </w:r>
          </w:p>
        </w:tc>
        <w:tc>
          <w:tcPr>
            <w:tcW w:w="1455" w:type="dxa"/>
            <w:noWrap w:val="0"/>
            <w:vAlign w:val="center"/>
          </w:tcPr>
          <w:p>
            <w:pPr>
              <w:jc w:val="center"/>
              <w:rPr>
                <w:color w:val="000000"/>
              </w:rPr>
            </w:pPr>
            <w:r>
              <w:rPr>
                <w:rFonts w:hint="eastAsia"/>
                <w:color w:val="000000"/>
              </w:rPr>
              <w:t>餐厅主管</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4</w:t>
            </w:r>
          </w:p>
        </w:tc>
        <w:tc>
          <w:tcPr>
            <w:tcW w:w="1455" w:type="dxa"/>
            <w:noWrap w:val="0"/>
            <w:vAlign w:val="center"/>
          </w:tcPr>
          <w:p>
            <w:pPr>
              <w:jc w:val="center"/>
              <w:rPr>
                <w:color w:val="000000"/>
              </w:rPr>
            </w:pPr>
            <w:r>
              <w:rPr>
                <w:rFonts w:hint="eastAsia"/>
                <w:color w:val="000000"/>
              </w:rPr>
              <w:t>厨师长</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5</w:t>
            </w:r>
          </w:p>
        </w:tc>
        <w:tc>
          <w:tcPr>
            <w:tcW w:w="1455" w:type="dxa"/>
            <w:noWrap w:val="0"/>
            <w:vAlign w:val="center"/>
          </w:tcPr>
          <w:p>
            <w:pPr>
              <w:jc w:val="center"/>
              <w:rPr>
                <w:color w:val="000000"/>
              </w:rPr>
            </w:pPr>
            <w:r>
              <w:rPr>
                <w:rFonts w:hint="eastAsia"/>
                <w:color w:val="000000"/>
              </w:rPr>
              <w:t>炉台厨师</w:t>
            </w:r>
          </w:p>
        </w:tc>
        <w:tc>
          <w:tcPr>
            <w:tcW w:w="1065" w:type="dxa"/>
            <w:noWrap w:val="0"/>
            <w:vAlign w:val="center"/>
          </w:tcPr>
          <w:p>
            <w:pPr>
              <w:jc w:val="center"/>
              <w:rPr>
                <w:color w:val="000000"/>
              </w:rPr>
            </w:pPr>
            <w:r>
              <w:rPr>
                <w:rFonts w:hint="eastAsia"/>
                <w:color w:val="000000"/>
              </w:rPr>
              <w:t>2</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6</w:t>
            </w:r>
          </w:p>
        </w:tc>
        <w:tc>
          <w:tcPr>
            <w:tcW w:w="1455" w:type="dxa"/>
            <w:noWrap w:val="0"/>
            <w:vAlign w:val="center"/>
          </w:tcPr>
          <w:p>
            <w:pPr>
              <w:jc w:val="center"/>
              <w:rPr>
                <w:color w:val="000000"/>
              </w:rPr>
            </w:pPr>
            <w:r>
              <w:rPr>
                <w:rFonts w:hint="eastAsia"/>
                <w:color w:val="000000"/>
              </w:rPr>
              <w:t>改刀</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r>
              <w:rPr>
                <w:rFonts w:hint="eastAsia"/>
                <w:color w:val="000000"/>
              </w:rPr>
              <w:t>5</w:t>
            </w:r>
            <w:r>
              <w:rPr>
                <w:color w:val="000000"/>
              </w:rPr>
              <w:t>5</w:t>
            </w:r>
            <w:r>
              <w:rPr>
                <w:rFonts w:hint="eastAsia"/>
                <w:color w:val="000000"/>
              </w:rPr>
              <w:t>周岁以下，从事相关行业两年以上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7</w:t>
            </w:r>
          </w:p>
        </w:tc>
        <w:tc>
          <w:tcPr>
            <w:tcW w:w="1455" w:type="dxa"/>
            <w:noWrap w:val="0"/>
            <w:vAlign w:val="center"/>
          </w:tcPr>
          <w:p>
            <w:pPr>
              <w:jc w:val="center"/>
              <w:rPr>
                <w:color w:val="000000"/>
              </w:rPr>
            </w:pPr>
            <w:r>
              <w:rPr>
                <w:rFonts w:hint="eastAsia"/>
                <w:color w:val="000000"/>
              </w:rPr>
              <w:t>面店师</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8</w:t>
            </w:r>
          </w:p>
        </w:tc>
        <w:tc>
          <w:tcPr>
            <w:tcW w:w="1455" w:type="dxa"/>
            <w:noWrap w:val="0"/>
            <w:vAlign w:val="center"/>
          </w:tcPr>
          <w:p>
            <w:pPr>
              <w:jc w:val="center"/>
              <w:rPr>
                <w:color w:val="000000"/>
              </w:rPr>
            </w:pPr>
            <w:r>
              <w:rPr>
                <w:rFonts w:hint="eastAsia"/>
                <w:color w:val="000000"/>
              </w:rPr>
              <w:t>仓管兼刷卡</w:t>
            </w:r>
          </w:p>
        </w:tc>
        <w:tc>
          <w:tcPr>
            <w:tcW w:w="1065" w:type="dxa"/>
            <w:noWrap w:val="0"/>
            <w:vAlign w:val="center"/>
          </w:tcPr>
          <w:p>
            <w:pPr>
              <w:jc w:val="center"/>
              <w:rPr>
                <w:color w:val="000000"/>
              </w:rPr>
            </w:pPr>
            <w:r>
              <w:rPr>
                <w:rFonts w:hint="eastAsia"/>
                <w:color w:val="000000"/>
              </w:rPr>
              <w:t>1</w:t>
            </w:r>
          </w:p>
        </w:tc>
        <w:tc>
          <w:tcPr>
            <w:tcW w:w="4802" w:type="dxa"/>
            <w:noWrap w:val="0"/>
            <w:vAlign w:val="center"/>
          </w:tcPr>
          <w:p>
            <w:pPr>
              <w:jc w:val="left"/>
              <w:rPr>
                <w:color w:val="000000"/>
              </w:rPr>
            </w:pPr>
            <w:r>
              <w:rPr>
                <w:rFonts w:hint="eastAsia"/>
                <w:color w:val="000000"/>
              </w:rPr>
              <w:t>5</w:t>
            </w:r>
            <w:r>
              <w:rPr>
                <w:color w:val="000000"/>
              </w:rPr>
              <w:t>5</w:t>
            </w:r>
            <w:r>
              <w:rPr>
                <w:rFonts w:hint="eastAsia"/>
                <w:color w:val="000000"/>
              </w:rPr>
              <w:t>周岁以下，具备相关工作经验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eastAsia" w:eastAsia="宋体"/>
                <w:color w:val="000000"/>
                <w:lang w:eastAsia="zh-CN"/>
              </w:rPr>
            </w:pPr>
            <w:r>
              <w:rPr>
                <w:rFonts w:hint="eastAsia"/>
                <w:color w:val="000000"/>
                <w:lang w:val="en-US" w:eastAsia="zh-CN"/>
              </w:rPr>
              <w:t>19</w:t>
            </w:r>
          </w:p>
        </w:tc>
        <w:tc>
          <w:tcPr>
            <w:tcW w:w="1455" w:type="dxa"/>
            <w:noWrap w:val="0"/>
            <w:vAlign w:val="center"/>
          </w:tcPr>
          <w:p>
            <w:pPr>
              <w:jc w:val="center"/>
              <w:rPr>
                <w:color w:val="000000"/>
              </w:rPr>
            </w:pPr>
            <w:r>
              <w:rPr>
                <w:rFonts w:hint="eastAsia"/>
                <w:color w:val="000000"/>
              </w:rPr>
              <w:t>帮厨及保洁</w:t>
            </w:r>
          </w:p>
        </w:tc>
        <w:tc>
          <w:tcPr>
            <w:tcW w:w="1065" w:type="dxa"/>
            <w:noWrap w:val="0"/>
            <w:vAlign w:val="center"/>
          </w:tcPr>
          <w:p>
            <w:pPr>
              <w:jc w:val="center"/>
              <w:rPr>
                <w:color w:val="000000"/>
              </w:rPr>
            </w:pPr>
            <w:r>
              <w:rPr>
                <w:rFonts w:hint="eastAsia"/>
                <w:color w:val="000000"/>
              </w:rPr>
              <w:t>8</w:t>
            </w:r>
          </w:p>
        </w:tc>
        <w:tc>
          <w:tcPr>
            <w:tcW w:w="4802" w:type="dxa"/>
            <w:noWrap w:val="0"/>
            <w:vAlign w:val="center"/>
          </w:tcPr>
          <w:p>
            <w:pPr>
              <w:jc w:val="left"/>
              <w:rPr>
                <w:color w:val="000000"/>
              </w:rPr>
            </w:pPr>
            <w:r>
              <w:rPr>
                <w:rFonts w:hint="eastAsia"/>
                <w:color w:val="000000"/>
              </w:rPr>
              <w:t>5</w:t>
            </w:r>
            <w:r>
              <w:rPr>
                <w:color w:val="000000"/>
              </w:rPr>
              <w:t>5</w:t>
            </w:r>
            <w:r>
              <w:rPr>
                <w:rFonts w:hint="eastAsia"/>
                <w:color w:val="000000"/>
              </w:rPr>
              <w:t>周岁以下，需持有健康证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rFonts w:hint="default" w:eastAsia="宋体"/>
                <w:color w:val="000000"/>
                <w:lang w:val="en-US" w:eastAsia="zh-CN"/>
              </w:rPr>
            </w:pPr>
            <w:r>
              <w:rPr>
                <w:rFonts w:hint="eastAsia"/>
                <w:color w:val="000000"/>
                <w:lang w:val="en-US" w:eastAsia="zh-CN"/>
              </w:rPr>
              <w:t>20</w:t>
            </w:r>
          </w:p>
        </w:tc>
        <w:tc>
          <w:tcPr>
            <w:tcW w:w="1455" w:type="dxa"/>
            <w:noWrap w:val="0"/>
            <w:vAlign w:val="center"/>
          </w:tcPr>
          <w:p>
            <w:pPr>
              <w:jc w:val="center"/>
              <w:rPr>
                <w:rFonts w:hint="eastAsia" w:eastAsia="宋体"/>
                <w:color w:val="000000"/>
                <w:lang w:eastAsia="zh-CN"/>
              </w:rPr>
            </w:pPr>
            <w:r>
              <w:rPr>
                <w:rFonts w:hint="eastAsia"/>
                <w:color w:val="000000"/>
                <w:lang w:eastAsia="zh-CN"/>
              </w:rPr>
              <w:t>机动</w:t>
            </w:r>
          </w:p>
        </w:tc>
        <w:tc>
          <w:tcPr>
            <w:tcW w:w="1065" w:type="dxa"/>
            <w:noWrap w:val="0"/>
            <w:vAlign w:val="center"/>
          </w:tcPr>
          <w:p>
            <w:pPr>
              <w:jc w:val="center"/>
              <w:rPr>
                <w:rFonts w:hint="eastAsia" w:eastAsia="宋体"/>
                <w:color w:val="000000"/>
                <w:lang w:val="en-US" w:eastAsia="zh-CN"/>
              </w:rPr>
            </w:pPr>
            <w:r>
              <w:rPr>
                <w:rFonts w:hint="eastAsia"/>
                <w:color w:val="000000"/>
                <w:lang w:val="en-US" w:eastAsia="zh-CN"/>
              </w:rPr>
              <w:t>1</w:t>
            </w:r>
          </w:p>
        </w:tc>
        <w:tc>
          <w:tcPr>
            <w:tcW w:w="4802" w:type="dxa"/>
            <w:noWrap w:val="0"/>
            <w:vAlign w:val="center"/>
          </w:tcPr>
          <w:p>
            <w:pPr>
              <w:jc w:val="left"/>
              <w:rPr>
                <w:rFonts w:hint="eastAsia" w:eastAsia="宋体"/>
                <w:color w:val="000000"/>
                <w:lang w:eastAsia="zh-CN"/>
              </w:rPr>
            </w:pPr>
            <w:r>
              <w:rPr>
                <w:rFonts w:hint="eastAsia"/>
                <w:color w:val="000000"/>
                <w:lang w:eastAsia="zh-CN"/>
              </w:rPr>
              <w:t>临时事务，按实际到岗支付。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noWrap w:val="0"/>
            <w:vAlign w:val="center"/>
          </w:tcPr>
          <w:p>
            <w:pPr>
              <w:jc w:val="center"/>
              <w:rPr>
                <w:color w:val="000000"/>
              </w:rPr>
            </w:pPr>
          </w:p>
        </w:tc>
        <w:tc>
          <w:tcPr>
            <w:tcW w:w="1455" w:type="dxa"/>
            <w:noWrap w:val="0"/>
            <w:vAlign w:val="center"/>
          </w:tcPr>
          <w:p>
            <w:pPr>
              <w:jc w:val="center"/>
              <w:rPr>
                <w:color w:val="000000"/>
              </w:rPr>
            </w:pPr>
            <w:r>
              <w:rPr>
                <w:rFonts w:hint="eastAsia"/>
                <w:color w:val="000000"/>
              </w:rPr>
              <w:t>合计</w:t>
            </w:r>
          </w:p>
        </w:tc>
        <w:tc>
          <w:tcPr>
            <w:tcW w:w="1065" w:type="dxa"/>
            <w:noWrap w:val="0"/>
            <w:vAlign w:val="center"/>
          </w:tcPr>
          <w:p>
            <w:pPr>
              <w:jc w:val="center"/>
              <w:rPr>
                <w:color w:val="000000"/>
              </w:rPr>
            </w:pPr>
            <w:r>
              <w:rPr>
                <w:rFonts w:hint="eastAsia"/>
                <w:color w:val="000000"/>
              </w:rPr>
              <w:t>5</w:t>
            </w:r>
            <w:r>
              <w:rPr>
                <w:rFonts w:hint="eastAsia"/>
                <w:color w:val="000000"/>
                <w:lang w:val="en-US" w:eastAsia="zh-CN"/>
              </w:rPr>
              <w:t>4</w:t>
            </w:r>
            <w:r>
              <w:rPr>
                <w:rFonts w:hint="eastAsia"/>
                <w:color w:val="000000"/>
              </w:rPr>
              <w:t>人</w:t>
            </w:r>
          </w:p>
        </w:tc>
        <w:tc>
          <w:tcPr>
            <w:tcW w:w="4802" w:type="dxa"/>
            <w:noWrap w:val="0"/>
            <w:vAlign w:val="center"/>
          </w:tcPr>
          <w:p>
            <w:pPr>
              <w:jc w:val="left"/>
              <w:rPr>
                <w:color w:val="000000"/>
              </w:rPr>
            </w:pPr>
          </w:p>
        </w:tc>
      </w:tr>
    </w:tbl>
    <w:p>
      <w:pPr>
        <w:pStyle w:val="514"/>
        <w:rPr>
          <w:color w:val="000000"/>
        </w:rPr>
      </w:pPr>
    </w:p>
    <w:p>
      <w:pPr>
        <w:pStyle w:val="25"/>
        <w:ind w:firstLine="481" w:firstLineChars="200"/>
        <w:rPr>
          <w:b/>
          <w:color w:val="000000"/>
          <w:sz w:val="24"/>
        </w:rPr>
      </w:pPr>
      <w:r>
        <w:rPr>
          <w:rFonts w:hint="eastAsia"/>
          <w:b/>
          <w:color w:val="000000"/>
          <w:sz w:val="24"/>
        </w:rPr>
        <w:t>2</w:t>
      </w:r>
      <w:r>
        <w:rPr>
          <w:rFonts w:hint="eastAsia"/>
          <w:b/>
          <w:color w:val="000000"/>
          <w:sz w:val="24"/>
          <w:lang w:val="en-US" w:eastAsia="zh-CN"/>
        </w:rPr>
        <w:t>.</w:t>
      </w:r>
      <w:r>
        <w:rPr>
          <w:rFonts w:hint="eastAsia"/>
          <w:b/>
          <w:color w:val="000000"/>
          <w:sz w:val="24"/>
        </w:rPr>
        <w:t>龙湾分局2号院及</w:t>
      </w:r>
      <w:r>
        <w:rPr>
          <w:rFonts w:hint="eastAsia"/>
          <w:b/>
          <w:color w:val="000000"/>
          <w:sz w:val="24"/>
          <w:lang w:eastAsia="zh-CN"/>
        </w:rPr>
        <w:t>南部</w:t>
      </w:r>
      <w:r>
        <w:rPr>
          <w:rFonts w:hint="eastAsia"/>
          <w:b/>
          <w:color w:val="000000"/>
          <w:sz w:val="24"/>
          <w:lang w:val="en-US" w:eastAsia="zh-CN"/>
        </w:rPr>
        <w:t>5个</w:t>
      </w:r>
      <w:r>
        <w:rPr>
          <w:rFonts w:hint="eastAsia"/>
          <w:b/>
          <w:color w:val="000000"/>
          <w:sz w:val="24"/>
        </w:rPr>
        <w:t>***人员配置</w:t>
      </w:r>
    </w:p>
    <w:tbl>
      <w:tblPr>
        <w:tblStyle w:val="65"/>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095"/>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序号</w:t>
            </w:r>
          </w:p>
        </w:tc>
        <w:tc>
          <w:tcPr>
            <w:tcW w:w="1440" w:type="dxa"/>
            <w:noWrap w:val="0"/>
            <w:vAlign w:val="center"/>
          </w:tcPr>
          <w:p>
            <w:pPr>
              <w:jc w:val="center"/>
              <w:rPr>
                <w:color w:val="000000"/>
              </w:rPr>
            </w:pPr>
            <w:r>
              <w:rPr>
                <w:rFonts w:hint="eastAsia"/>
                <w:color w:val="000000"/>
              </w:rPr>
              <w:t>岗位名称</w:t>
            </w:r>
          </w:p>
        </w:tc>
        <w:tc>
          <w:tcPr>
            <w:tcW w:w="1095" w:type="dxa"/>
            <w:noWrap w:val="0"/>
            <w:vAlign w:val="center"/>
          </w:tcPr>
          <w:p>
            <w:pPr>
              <w:jc w:val="center"/>
              <w:rPr>
                <w:color w:val="000000"/>
              </w:rPr>
            </w:pPr>
            <w:r>
              <w:rPr>
                <w:rFonts w:hint="eastAsia"/>
                <w:color w:val="000000"/>
              </w:rPr>
              <w:t>数量</w:t>
            </w:r>
          </w:p>
        </w:tc>
        <w:tc>
          <w:tcPr>
            <w:tcW w:w="4787" w:type="dxa"/>
            <w:noWrap w:val="0"/>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1</w:t>
            </w:r>
          </w:p>
        </w:tc>
        <w:tc>
          <w:tcPr>
            <w:tcW w:w="1440" w:type="dxa"/>
            <w:noWrap w:val="0"/>
            <w:vAlign w:val="center"/>
          </w:tcPr>
          <w:p>
            <w:pPr>
              <w:jc w:val="center"/>
              <w:rPr>
                <w:rFonts w:hint="eastAsia" w:eastAsia="宋体"/>
                <w:color w:val="000000"/>
                <w:lang w:eastAsia="zh-CN"/>
              </w:rPr>
            </w:pPr>
            <w:r>
              <w:rPr>
                <w:rFonts w:hint="eastAsia"/>
                <w:color w:val="000000"/>
              </w:rPr>
              <w:t>项目负责人兼食堂</w:t>
            </w:r>
            <w:r>
              <w:rPr>
                <w:rFonts w:hint="eastAsia"/>
                <w:color w:val="000000"/>
                <w:lang w:eastAsia="zh-CN"/>
              </w:rPr>
              <w:t>管理</w:t>
            </w:r>
          </w:p>
        </w:tc>
        <w:tc>
          <w:tcPr>
            <w:tcW w:w="1095" w:type="dxa"/>
            <w:noWrap w:val="0"/>
            <w:vAlign w:val="center"/>
          </w:tcPr>
          <w:p>
            <w:pPr>
              <w:jc w:val="center"/>
              <w:rPr>
                <w:color w:val="000000"/>
              </w:rPr>
            </w:pPr>
            <w:r>
              <w:rPr>
                <w:rFonts w:hint="eastAsia"/>
                <w:color w:val="000000"/>
              </w:rPr>
              <w:t>1</w:t>
            </w:r>
          </w:p>
        </w:tc>
        <w:tc>
          <w:tcPr>
            <w:tcW w:w="4787"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2</w:t>
            </w:r>
          </w:p>
        </w:tc>
        <w:tc>
          <w:tcPr>
            <w:tcW w:w="1440" w:type="dxa"/>
            <w:noWrap w:val="0"/>
            <w:vAlign w:val="center"/>
          </w:tcPr>
          <w:p>
            <w:pPr>
              <w:jc w:val="center"/>
              <w:rPr>
                <w:color w:val="000000"/>
              </w:rPr>
            </w:pPr>
            <w:r>
              <w:rPr>
                <w:rFonts w:hint="eastAsia"/>
                <w:color w:val="000000"/>
              </w:rPr>
              <w:t>保洁员</w:t>
            </w:r>
          </w:p>
        </w:tc>
        <w:tc>
          <w:tcPr>
            <w:tcW w:w="1095" w:type="dxa"/>
            <w:noWrap w:val="0"/>
            <w:vAlign w:val="center"/>
          </w:tcPr>
          <w:p>
            <w:pPr>
              <w:jc w:val="center"/>
              <w:rPr>
                <w:color w:val="000000"/>
              </w:rPr>
            </w:pPr>
            <w:r>
              <w:rPr>
                <w:color w:val="000000"/>
              </w:rPr>
              <w:t>3</w:t>
            </w:r>
          </w:p>
        </w:tc>
        <w:tc>
          <w:tcPr>
            <w:tcW w:w="4787" w:type="dxa"/>
            <w:noWrap w:val="0"/>
            <w:vAlign w:val="center"/>
          </w:tcPr>
          <w:p>
            <w:pPr>
              <w:jc w:val="left"/>
              <w:rPr>
                <w:color w:val="000000"/>
              </w:rPr>
            </w:pPr>
            <w:r>
              <w:rPr>
                <w:rFonts w:hint="eastAsia"/>
                <w:color w:val="000000"/>
              </w:rPr>
              <w:t>男6</w:t>
            </w:r>
            <w:r>
              <w:rPr>
                <w:color w:val="000000"/>
              </w:rPr>
              <w:t>0</w:t>
            </w:r>
            <w:r>
              <w:rPr>
                <w:rFonts w:hint="eastAsia"/>
                <w:color w:val="000000"/>
              </w:rPr>
              <w:t>周岁以下，女5</w:t>
            </w:r>
            <w:r>
              <w:rPr>
                <w:color w:val="000000"/>
              </w:rPr>
              <w:t>5</w:t>
            </w:r>
            <w:r>
              <w:rPr>
                <w:rFonts w:hint="eastAsia"/>
                <w:color w:val="000000"/>
              </w:rPr>
              <w:t>周岁以下，身体健康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3</w:t>
            </w:r>
          </w:p>
        </w:tc>
        <w:tc>
          <w:tcPr>
            <w:tcW w:w="1440" w:type="dxa"/>
            <w:noWrap w:val="0"/>
            <w:vAlign w:val="center"/>
          </w:tcPr>
          <w:p>
            <w:pPr>
              <w:jc w:val="center"/>
              <w:rPr>
                <w:color w:val="000000"/>
              </w:rPr>
            </w:pPr>
            <w:r>
              <w:rPr>
                <w:rFonts w:hint="eastAsia"/>
                <w:color w:val="000000"/>
              </w:rPr>
              <w:t>保安员</w:t>
            </w:r>
          </w:p>
        </w:tc>
        <w:tc>
          <w:tcPr>
            <w:tcW w:w="1095" w:type="dxa"/>
            <w:noWrap w:val="0"/>
            <w:vAlign w:val="center"/>
          </w:tcPr>
          <w:p>
            <w:pPr>
              <w:jc w:val="center"/>
              <w:rPr>
                <w:rFonts w:hint="eastAsia" w:eastAsia="宋体"/>
                <w:color w:val="000000"/>
                <w:lang w:eastAsia="zh-CN"/>
              </w:rPr>
            </w:pPr>
            <w:r>
              <w:rPr>
                <w:rFonts w:hint="eastAsia"/>
                <w:color w:val="000000"/>
                <w:lang w:val="en-US" w:eastAsia="zh-CN"/>
              </w:rPr>
              <w:t>3</w:t>
            </w:r>
          </w:p>
        </w:tc>
        <w:tc>
          <w:tcPr>
            <w:tcW w:w="4787" w:type="dxa"/>
            <w:noWrap w:val="0"/>
            <w:vAlign w:val="center"/>
          </w:tcPr>
          <w:p>
            <w:pPr>
              <w:jc w:val="left"/>
              <w:rPr>
                <w:color w:val="000000"/>
              </w:rPr>
            </w:pPr>
            <w:r>
              <w:rPr>
                <w:rFonts w:hint="eastAsia" w:ascii="宋体" w:hAnsi="宋体"/>
                <w:bCs/>
                <w:color w:val="000000"/>
                <w:sz w:val="22"/>
              </w:rPr>
              <w:t>年龄要求2</w:t>
            </w:r>
            <w:r>
              <w:rPr>
                <w:rFonts w:ascii="宋体" w:hAnsi="宋体"/>
                <w:bCs/>
                <w:color w:val="000000"/>
                <w:sz w:val="22"/>
              </w:rPr>
              <w:t>5</w:t>
            </w:r>
            <w:r>
              <w:rPr>
                <w:rFonts w:hint="eastAsia" w:ascii="宋体" w:hAnsi="宋体"/>
                <w:bCs/>
                <w:color w:val="000000"/>
                <w:sz w:val="22"/>
              </w:rPr>
              <w:t>-</w:t>
            </w:r>
            <w:r>
              <w:rPr>
                <w:rFonts w:ascii="宋体"/>
                <w:bCs/>
                <w:color w:val="000000"/>
                <w:sz w:val="22"/>
              </w:rPr>
              <w:t>55</w:t>
            </w:r>
            <w:r>
              <w:rPr>
                <w:rFonts w:hint="eastAsia" w:ascii="宋体" w:hAnsi="宋体"/>
                <w:bCs/>
                <w:color w:val="000000"/>
                <w:sz w:val="22"/>
              </w:rPr>
              <w:t>周岁，</w:t>
            </w:r>
            <w:r>
              <w:rPr>
                <w:rFonts w:hint="eastAsia" w:ascii="宋体" w:hAnsi="宋体"/>
                <w:snapToGrid w:val="0"/>
                <w:color w:val="000000"/>
                <w:kern w:val="0"/>
                <w:sz w:val="22"/>
                <w:u w:val="single" w:color="FFFFFF"/>
              </w:rPr>
              <w:t>持有保安员证书，</w:t>
            </w:r>
            <w:r>
              <w:rPr>
                <w:rFonts w:hint="eastAsia" w:ascii="宋体" w:hAnsi="宋体"/>
                <w:bCs/>
                <w:color w:val="000000"/>
                <w:sz w:val="22"/>
              </w:rPr>
              <w:t>个别特殊岗位视情况放宽年龄要求（需双方协商同意，比例不得超过总人数的20%）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4</w:t>
            </w:r>
          </w:p>
        </w:tc>
        <w:tc>
          <w:tcPr>
            <w:tcW w:w="1440" w:type="dxa"/>
            <w:noWrap w:val="0"/>
            <w:vAlign w:val="center"/>
          </w:tcPr>
          <w:p>
            <w:pPr>
              <w:jc w:val="center"/>
              <w:rPr>
                <w:color w:val="000000"/>
              </w:rPr>
            </w:pPr>
            <w:r>
              <w:rPr>
                <w:rFonts w:hint="eastAsia"/>
                <w:color w:val="000000"/>
              </w:rPr>
              <w:t>厨师长</w:t>
            </w:r>
          </w:p>
        </w:tc>
        <w:tc>
          <w:tcPr>
            <w:tcW w:w="1095" w:type="dxa"/>
            <w:noWrap w:val="0"/>
            <w:vAlign w:val="center"/>
          </w:tcPr>
          <w:p>
            <w:pPr>
              <w:jc w:val="center"/>
              <w:rPr>
                <w:color w:val="000000"/>
              </w:rPr>
            </w:pPr>
            <w:r>
              <w:rPr>
                <w:rFonts w:hint="eastAsia"/>
                <w:color w:val="000000"/>
              </w:rPr>
              <w:t>1</w:t>
            </w:r>
          </w:p>
        </w:tc>
        <w:tc>
          <w:tcPr>
            <w:tcW w:w="4787"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5</w:t>
            </w:r>
          </w:p>
        </w:tc>
        <w:tc>
          <w:tcPr>
            <w:tcW w:w="1440" w:type="dxa"/>
            <w:noWrap w:val="0"/>
            <w:vAlign w:val="center"/>
          </w:tcPr>
          <w:p>
            <w:pPr>
              <w:jc w:val="center"/>
              <w:rPr>
                <w:color w:val="000000"/>
              </w:rPr>
            </w:pPr>
            <w:r>
              <w:rPr>
                <w:rFonts w:hint="eastAsia"/>
                <w:color w:val="000000"/>
              </w:rPr>
              <w:t>厨师</w:t>
            </w:r>
          </w:p>
        </w:tc>
        <w:tc>
          <w:tcPr>
            <w:tcW w:w="1095" w:type="dxa"/>
            <w:noWrap w:val="0"/>
            <w:vAlign w:val="center"/>
          </w:tcPr>
          <w:p>
            <w:pPr>
              <w:jc w:val="center"/>
              <w:rPr>
                <w:color w:val="000000"/>
              </w:rPr>
            </w:pPr>
            <w:r>
              <w:rPr>
                <w:color w:val="000000"/>
              </w:rPr>
              <w:t>1</w:t>
            </w:r>
          </w:p>
        </w:tc>
        <w:tc>
          <w:tcPr>
            <w:tcW w:w="4787"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6</w:t>
            </w:r>
          </w:p>
        </w:tc>
        <w:tc>
          <w:tcPr>
            <w:tcW w:w="1440"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仓库保管</w:t>
            </w:r>
          </w:p>
        </w:tc>
        <w:tc>
          <w:tcPr>
            <w:tcW w:w="1095"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1</w:t>
            </w:r>
          </w:p>
        </w:tc>
        <w:tc>
          <w:tcPr>
            <w:tcW w:w="4787" w:type="dxa"/>
            <w:noWrap w:val="0"/>
            <w:vAlign w:val="center"/>
          </w:tcPr>
          <w:p>
            <w:pPr>
              <w:jc w:val="left"/>
              <w:rPr>
                <w:rFonts w:ascii="Calibri" w:hAnsi="Calibri" w:eastAsia="宋体" w:cs="Times New Roman"/>
                <w:color w:val="000000"/>
                <w:kern w:val="2"/>
                <w:sz w:val="21"/>
                <w:szCs w:val="24"/>
                <w:lang w:val="en-US" w:eastAsia="zh-CN" w:bidi="ar-SA"/>
              </w:rPr>
            </w:pPr>
            <w:r>
              <w:rPr>
                <w:rFonts w:hint="eastAsia"/>
                <w:color w:val="000000"/>
              </w:rPr>
              <w:t>5</w:t>
            </w:r>
            <w:r>
              <w:rPr>
                <w:color w:val="000000"/>
              </w:rPr>
              <w:t>5</w:t>
            </w:r>
            <w:r>
              <w:rPr>
                <w:rFonts w:hint="eastAsia"/>
                <w:color w:val="000000"/>
              </w:rPr>
              <w:t>周岁以下，具备相关工作经验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7</w:t>
            </w:r>
          </w:p>
        </w:tc>
        <w:tc>
          <w:tcPr>
            <w:tcW w:w="1440" w:type="dxa"/>
            <w:noWrap w:val="0"/>
            <w:vAlign w:val="center"/>
          </w:tcPr>
          <w:p>
            <w:pPr>
              <w:jc w:val="center"/>
              <w:rPr>
                <w:color w:val="000000"/>
              </w:rPr>
            </w:pPr>
            <w:r>
              <w:rPr>
                <w:rFonts w:hint="eastAsia"/>
                <w:color w:val="000000"/>
              </w:rPr>
              <w:t>面店师</w:t>
            </w:r>
          </w:p>
        </w:tc>
        <w:tc>
          <w:tcPr>
            <w:tcW w:w="1095" w:type="dxa"/>
            <w:noWrap w:val="0"/>
            <w:vAlign w:val="center"/>
          </w:tcPr>
          <w:p>
            <w:pPr>
              <w:jc w:val="center"/>
              <w:rPr>
                <w:color w:val="000000"/>
              </w:rPr>
            </w:pPr>
            <w:r>
              <w:rPr>
                <w:rFonts w:hint="eastAsia"/>
                <w:color w:val="000000"/>
              </w:rPr>
              <w:t>1</w:t>
            </w:r>
          </w:p>
        </w:tc>
        <w:tc>
          <w:tcPr>
            <w:tcW w:w="4787" w:type="dxa"/>
            <w:noWrap w:val="0"/>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8</w:t>
            </w:r>
          </w:p>
        </w:tc>
        <w:tc>
          <w:tcPr>
            <w:tcW w:w="1440"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帮厨</w:t>
            </w:r>
          </w:p>
        </w:tc>
        <w:tc>
          <w:tcPr>
            <w:tcW w:w="1095" w:type="dxa"/>
            <w:noWrap w:val="0"/>
            <w:vAlign w:val="center"/>
          </w:tcPr>
          <w:p>
            <w:pPr>
              <w:jc w:val="center"/>
              <w:rPr>
                <w:rFonts w:ascii="Calibri" w:hAnsi="Calibri" w:eastAsia="宋体" w:cs="Times New Roman"/>
                <w:color w:val="000000"/>
                <w:kern w:val="2"/>
                <w:sz w:val="21"/>
                <w:szCs w:val="24"/>
                <w:lang w:val="en-US" w:eastAsia="zh-CN" w:bidi="ar-SA"/>
              </w:rPr>
            </w:pPr>
            <w:r>
              <w:rPr>
                <w:color w:val="000000"/>
              </w:rPr>
              <w:t>6</w:t>
            </w:r>
          </w:p>
        </w:tc>
        <w:tc>
          <w:tcPr>
            <w:tcW w:w="4787" w:type="dxa"/>
            <w:noWrap w:val="0"/>
            <w:vAlign w:val="center"/>
          </w:tcPr>
          <w:p>
            <w:pPr>
              <w:jc w:val="left"/>
              <w:rPr>
                <w:rFonts w:ascii="Calibri" w:hAnsi="Calibri" w:eastAsia="宋体" w:cs="Times New Roman"/>
                <w:color w:val="000000"/>
                <w:kern w:val="2"/>
                <w:sz w:val="21"/>
                <w:szCs w:val="24"/>
                <w:lang w:val="en-US" w:eastAsia="zh-CN" w:bidi="ar-SA"/>
              </w:rPr>
            </w:pPr>
            <w:r>
              <w:rPr>
                <w:rFonts w:hint="eastAsia"/>
                <w:color w:val="000000"/>
              </w:rPr>
              <w:t>5</w:t>
            </w:r>
            <w:r>
              <w:rPr>
                <w:color w:val="000000"/>
              </w:rPr>
              <w:t>5</w:t>
            </w:r>
            <w:r>
              <w:rPr>
                <w:rFonts w:hint="eastAsia"/>
                <w:color w:val="000000"/>
              </w:rPr>
              <w:t>周岁以下，需持有健康证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9</w:t>
            </w:r>
          </w:p>
        </w:tc>
        <w:tc>
          <w:tcPr>
            <w:tcW w:w="1440"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洗衣工</w:t>
            </w:r>
          </w:p>
        </w:tc>
        <w:tc>
          <w:tcPr>
            <w:tcW w:w="1095" w:type="dxa"/>
            <w:noWrap w:val="0"/>
            <w:vAlign w:val="center"/>
          </w:tcPr>
          <w:p>
            <w:pPr>
              <w:jc w:val="center"/>
              <w:rPr>
                <w:rFonts w:ascii="Calibri" w:hAnsi="Calibri" w:eastAsia="宋体" w:cs="Times New Roman"/>
                <w:color w:val="000000"/>
                <w:kern w:val="2"/>
                <w:sz w:val="21"/>
                <w:szCs w:val="24"/>
                <w:lang w:val="en-US" w:eastAsia="zh-CN" w:bidi="ar-SA"/>
              </w:rPr>
            </w:pPr>
            <w:r>
              <w:rPr>
                <w:color w:val="000000"/>
              </w:rPr>
              <w:t>1</w:t>
            </w:r>
          </w:p>
        </w:tc>
        <w:tc>
          <w:tcPr>
            <w:tcW w:w="4787" w:type="dxa"/>
            <w:noWrap w:val="0"/>
            <w:vAlign w:val="center"/>
          </w:tcPr>
          <w:p>
            <w:pPr>
              <w:jc w:val="left"/>
              <w:rPr>
                <w:rFonts w:ascii="Calibri" w:hAnsi="Calibri" w:eastAsia="宋体" w:cs="Times New Roman"/>
                <w:color w:val="000000"/>
                <w:kern w:val="2"/>
                <w:sz w:val="21"/>
                <w:szCs w:val="24"/>
                <w:lang w:val="en-US" w:eastAsia="zh-CN" w:bidi="ar-SA"/>
              </w:rPr>
            </w:pPr>
            <w:r>
              <w:rPr>
                <w:rFonts w:hint="eastAsia"/>
                <w:color w:val="000000"/>
              </w:rPr>
              <w:t>5</w:t>
            </w:r>
            <w:r>
              <w:rPr>
                <w:color w:val="000000"/>
              </w:rPr>
              <w:t>5</w:t>
            </w:r>
            <w:r>
              <w:rPr>
                <w:rFonts w:hint="eastAsia"/>
                <w:color w:val="000000"/>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1</w:t>
            </w:r>
            <w:r>
              <w:rPr>
                <w:color w:val="000000"/>
              </w:rPr>
              <w:t>0</w:t>
            </w:r>
          </w:p>
        </w:tc>
        <w:tc>
          <w:tcPr>
            <w:tcW w:w="1440"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洗车工</w:t>
            </w:r>
          </w:p>
        </w:tc>
        <w:tc>
          <w:tcPr>
            <w:tcW w:w="1095"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1</w:t>
            </w:r>
          </w:p>
        </w:tc>
        <w:tc>
          <w:tcPr>
            <w:tcW w:w="4787" w:type="dxa"/>
            <w:noWrap w:val="0"/>
            <w:vAlign w:val="center"/>
          </w:tcPr>
          <w:p>
            <w:pPr>
              <w:jc w:val="left"/>
              <w:rPr>
                <w:rFonts w:hint="eastAsia" w:ascii="Calibri" w:hAnsi="Calibri" w:eastAsia="宋体" w:cs="Times New Roman"/>
                <w:color w:val="000000"/>
                <w:kern w:val="2"/>
                <w:sz w:val="21"/>
                <w:szCs w:val="24"/>
                <w:lang w:val="en-US" w:eastAsia="zh-CN" w:bidi="ar-SA"/>
              </w:rPr>
            </w:pPr>
            <w:r>
              <w:rPr>
                <w:rFonts w:hint="eastAsia"/>
                <w:color w:val="000000"/>
              </w:rPr>
              <w:t>5</w:t>
            </w:r>
            <w:r>
              <w:rPr>
                <w:color w:val="000000"/>
              </w:rPr>
              <w:t>5</w:t>
            </w:r>
            <w:r>
              <w:rPr>
                <w:rFonts w:hint="eastAsia"/>
                <w:color w:val="000000"/>
              </w:rPr>
              <w:t>周岁以下</w:t>
            </w:r>
            <w:r>
              <w:rPr>
                <w:rFonts w:hint="eastAsia"/>
                <w:color w:val="000000"/>
                <w:lang w:eastAsia="zh-CN"/>
              </w:rPr>
              <w:t>，兼职大院保洁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color w:val="000000"/>
              </w:rPr>
            </w:pPr>
            <w:r>
              <w:rPr>
                <w:rFonts w:hint="eastAsia"/>
                <w:color w:val="000000"/>
              </w:rPr>
              <w:t>1</w:t>
            </w:r>
            <w:r>
              <w:rPr>
                <w:color w:val="000000"/>
              </w:rPr>
              <w:t>1</w:t>
            </w:r>
          </w:p>
        </w:tc>
        <w:tc>
          <w:tcPr>
            <w:tcW w:w="1440"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lang w:val="en-US" w:eastAsia="zh-CN"/>
              </w:rPr>
              <w:t>4</w:t>
            </w:r>
            <w:r>
              <w:rPr>
                <w:rFonts w:hint="eastAsia"/>
                <w:color w:val="000000"/>
              </w:rPr>
              <w:t>个***</w:t>
            </w:r>
          </w:p>
        </w:tc>
        <w:tc>
          <w:tcPr>
            <w:tcW w:w="1095" w:type="dxa"/>
            <w:noWrap w:val="0"/>
            <w:vAlign w:val="center"/>
          </w:tcPr>
          <w:p>
            <w:pPr>
              <w:jc w:val="center"/>
              <w:rPr>
                <w:rFonts w:ascii="Calibri" w:hAnsi="Calibri" w:eastAsia="宋体" w:cs="Times New Roman"/>
                <w:color w:val="000000"/>
                <w:kern w:val="2"/>
                <w:sz w:val="21"/>
                <w:szCs w:val="24"/>
                <w:lang w:val="en-US" w:eastAsia="zh-CN" w:bidi="ar-SA"/>
              </w:rPr>
            </w:pPr>
            <w:r>
              <w:rPr>
                <w:rFonts w:hint="eastAsia"/>
                <w:color w:val="000000"/>
              </w:rPr>
              <w:t>1</w:t>
            </w:r>
            <w:r>
              <w:rPr>
                <w:color w:val="000000"/>
              </w:rPr>
              <w:t>3</w:t>
            </w:r>
          </w:p>
        </w:tc>
        <w:tc>
          <w:tcPr>
            <w:tcW w:w="4787" w:type="dxa"/>
            <w:noWrap w:val="0"/>
            <w:vAlign w:val="center"/>
          </w:tcPr>
          <w:p>
            <w:pPr>
              <w:jc w:val="left"/>
              <w:rPr>
                <w:rFonts w:ascii="Calibri" w:hAnsi="Calibri" w:eastAsia="宋体" w:cs="Times New Roman"/>
                <w:color w:val="000000"/>
                <w:kern w:val="2"/>
                <w:sz w:val="21"/>
                <w:szCs w:val="24"/>
                <w:lang w:val="en-US" w:eastAsia="zh-CN" w:bidi="ar-SA"/>
              </w:rPr>
            </w:pPr>
            <w:r>
              <w:rPr>
                <w:rFonts w:hint="eastAsia"/>
                <w:color w:val="000000"/>
              </w:rPr>
              <w:t>每个***厨师1人，帮厨1人，保洁1人，其中星海***</w:t>
            </w:r>
            <w:r>
              <w:rPr>
                <w:color w:val="000000"/>
              </w:rPr>
              <w:t>3</w:t>
            </w:r>
            <w:r>
              <w:rPr>
                <w:rFonts w:hint="eastAsia"/>
                <w:color w:val="000000"/>
              </w:rPr>
              <w:t>人工作在金海**站，***保洁1人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jc w:val="center"/>
              <w:rPr>
                <w:rFonts w:hint="eastAsia" w:eastAsia="宋体"/>
                <w:color w:val="000000"/>
                <w:lang w:eastAsia="zh-CN"/>
              </w:rPr>
            </w:pPr>
            <w:r>
              <w:rPr>
                <w:rFonts w:hint="eastAsia"/>
                <w:color w:val="000000"/>
              </w:rPr>
              <w:t>1</w:t>
            </w:r>
            <w:r>
              <w:rPr>
                <w:rFonts w:hint="eastAsia"/>
                <w:color w:val="000000"/>
                <w:lang w:val="en-US" w:eastAsia="zh-CN"/>
              </w:rPr>
              <w:t>2</w:t>
            </w:r>
          </w:p>
        </w:tc>
        <w:tc>
          <w:tcPr>
            <w:tcW w:w="1440" w:type="dxa"/>
            <w:noWrap w:val="0"/>
            <w:vAlign w:val="center"/>
          </w:tcPr>
          <w:p>
            <w:pPr>
              <w:jc w:val="center"/>
              <w:rPr>
                <w:color w:val="000000"/>
              </w:rPr>
            </w:pPr>
            <w:r>
              <w:rPr>
                <w:rFonts w:hint="eastAsia"/>
                <w:color w:val="000000"/>
              </w:rPr>
              <w:t>合计</w:t>
            </w:r>
          </w:p>
        </w:tc>
        <w:tc>
          <w:tcPr>
            <w:tcW w:w="1095" w:type="dxa"/>
            <w:noWrap w:val="0"/>
            <w:vAlign w:val="center"/>
          </w:tcPr>
          <w:p>
            <w:pPr>
              <w:jc w:val="center"/>
              <w:rPr>
                <w:color w:val="000000"/>
              </w:rPr>
            </w:pPr>
            <w:r>
              <w:rPr>
                <w:rFonts w:hint="eastAsia"/>
                <w:color w:val="000000"/>
                <w:lang w:val="en-US" w:eastAsia="zh-CN"/>
              </w:rPr>
              <w:t>32</w:t>
            </w:r>
            <w:r>
              <w:rPr>
                <w:rFonts w:hint="eastAsia"/>
                <w:color w:val="000000"/>
              </w:rPr>
              <w:t>人</w:t>
            </w:r>
          </w:p>
        </w:tc>
        <w:tc>
          <w:tcPr>
            <w:tcW w:w="4787" w:type="dxa"/>
            <w:noWrap w:val="0"/>
            <w:vAlign w:val="center"/>
          </w:tcPr>
          <w:p>
            <w:pPr>
              <w:jc w:val="left"/>
              <w:rPr>
                <w:color w:val="000000"/>
              </w:rPr>
            </w:pPr>
          </w:p>
        </w:tc>
      </w:tr>
    </w:tbl>
    <w:p>
      <w:pPr>
        <w:rPr>
          <w:color w:val="000000"/>
        </w:rPr>
      </w:pPr>
    </w:p>
    <w:p>
      <w:pPr>
        <w:spacing w:line="360" w:lineRule="auto"/>
        <w:ind w:firstLine="481" w:firstLineChars="200"/>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其他相关要求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所有相关人员的配备如需经相关主管部门认证发证才能上岗的，必须持证上岗。所有上岗人员要求政治上可靠、无不良行为记录，身体素质好，须承诺中标进场前统一安排体检并获得健康证（费用由成交人负责））。重要岗位人员配备必须业主审核，政治审查通过方可录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（2）相关人员应持有相关上岗证书，不得有违法犯罪记录。特种作业人员应持有政府相关专业部门颁发的有效上岗证书。服务人员应每年一次体检，体检合格方可上岗。</w:t>
      </w:r>
    </w:p>
    <w:p>
      <w:pPr>
        <w:spacing w:line="460" w:lineRule="exact"/>
        <w:ind w:firstLine="480" w:firstLineChars="20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（3）服务人员的国家法定社会保险费用必须含有（含养老保险、失业保险、工伤保险、生育保险、医疗保险等5项险金）。</w:t>
      </w:r>
    </w:p>
    <w:p>
      <w:pPr>
        <w:spacing w:line="460" w:lineRule="exact"/>
        <w:ind w:firstLine="480" w:firstLineChars="20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（4）本次竞价要求的服务人员必须按照《劳动合同法》规定全部参加社会保险。</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5）要求：人员结构合理，分工明确。特别是设备维运、维保人员配备要合理，即强电、弱电、给排水、等配置得当，一般员工有相关专业所需的上岗证。礼宾、会议人员须满足礼仪标准，所有人员要求政治上可靠，身体素质好，无不良行为记录，重要岗位人员必须经考核、政治审查通过方可录用。</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（6）工作时间为一周七个工作日，餐饮服务的根据实际情况而定，每天上班时间为行政班提前一小时，下班为行政班后移一小时。</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7）在承包区域的各项服务，其工作时间必须满足采购人的工作要求，包括休息日及公众假期，无论成交人有什么理由，都不可以停止服务工作。采购人认为应提供方便或提高服务质量时，可要求成交人调整工作时间直至全天二十四小时工作。</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8）为承包区域的服务工作配备足够的人员，且聘用的工作人员必须符合劳动部门有关用工规定，并经成交人相关专业考核合格后持证上岗，采购人有权进行审核。成交人须接受采购人安排的各类培训，培训费用开支由成交人负担。</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9）保持员工队伍稳定性,成交人响应时提供的人员一般不得更换。如员工离职或需要更换员工,在5天之内同等学历、职称职格及以上的人员接替。在规定的时间内没有人接替，或接替的人非同等学历、职称职格及以上人员接替，将扣除该月5%服务费，并及时纠正；如不纠正，将扣除下个月5%服务费；以此类推。离职或更换员工需提供5天通知采购人。</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（10）物业管理公司应无条件按采购人的应急要求，随时调配应急需要的其他人员，此项风险应考虑在总价中，今后不予增加。</w:t>
      </w:r>
    </w:p>
    <w:p>
      <w:pPr>
        <w:rPr>
          <w:rFonts w:hint="eastAsia" w:ascii="宋体" w:hAnsi="宋体" w:eastAsia="宋体" w:cs="宋体"/>
          <w:sz w:val="24"/>
          <w:szCs w:val="24"/>
        </w:rPr>
      </w:pPr>
    </w:p>
    <w:p>
      <w:pPr>
        <w:spacing w:line="440" w:lineRule="exact"/>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三、物业要求</w:t>
      </w:r>
    </w:p>
    <w:p>
      <w:pPr>
        <w:spacing w:line="440" w:lineRule="exact"/>
        <w:jc w:val="both"/>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一</w:t>
      </w:r>
      <w:r>
        <w:rPr>
          <w:rFonts w:hint="eastAsia" w:ascii="宋体" w:hAnsi="宋体" w:eastAsia="宋体" w:cs="宋体"/>
          <w:b/>
          <w:bCs/>
          <w:sz w:val="24"/>
          <w:szCs w:val="24"/>
        </w:rPr>
        <w:t>）物业管理要求</w:t>
      </w:r>
    </w:p>
    <w:p>
      <w:pPr>
        <w:snapToGrid w:val="0"/>
        <w:spacing w:line="360" w:lineRule="auto"/>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1.物业管理内容及要求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以安全管理为主要服务管理内容，制定安全管理服务细则。卫生保洁、会议服务的服务标准质量要求按三星级宾馆和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温州市公安局龙湾区分局后勤社会化提供全方位、一体化的专业服务保障。确保各服务区域处于正常、有序、高效的状态，运转正常，各项活动顺利完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建立并完善各种管理制度和工作流程，明确分工职责和工作质量标准，强化工作的计划性、可操作性和实效性，确保安全有序，确保设备维运的及时性和准确性，确保设备安全和维保质量，确保环境舒适、有序，确保会议正常、圆满，让服务对象舒心，为各服务区域提供优良的后勤保障。卫生保洁及生活服务的工作质量按国家卫生城市管理条例及温州市“六城联创”管理要求有关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1.3建立各类应急预案（如大型活动、临时性紧急会议、上级重要领导来考察调研、抗台等），并培训相关人员达到相关要求。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1.4加强节能管理，做好节能降耗工作，每月编制并上交书面能耗分析报告。</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1.5人员结构合理，分工明确。一般员工有相关专业所需的上岗证。礼宾人员（包括会议服务人员）须满足礼仪标准，要求形象佳，通过培训后方可上岗。所有人员要求政治上可靠，身体素质好，懂礼貌，善服务，无不良行为记录，重要岗位人员必须经管理局考核、政治审查通过方可录用。</w:t>
      </w:r>
    </w:p>
    <w:p>
      <w:pPr>
        <w:adjustRightIn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1.6执行《劳动法》、《劳动合同法》有关员工保障的其他规定，由劳动部门查实的，根据查实情况处罚。</w:t>
      </w:r>
    </w:p>
    <w:p>
      <w:pPr>
        <w:adjustRightIn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1.7根据不同的功能定位和需求提供三星级以上酒店优质会议服务，建立会议服务全程跟踪制度，规范会议室使用登记流程，细化会前、会中、会后服务的各个环节，大型会议会前制定详细周密的会议保障方案，会中提供优质服务，把握会议情况，会后做好跟踪了解记录工作。</w:t>
      </w:r>
    </w:p>
    <w:p>
      <w:pPr>
        <w:adjustRightIn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1.8严格执行保密管理制度，特别是领导办公室、会议室等服务工作必须严格按照保密管理要求，严格把关人员素质，做到相关内容不外传、相关资料不外带。</w:t>
      </w:r>
    </w:p>
    <w:p>
      <w:pPr>
        <w:adjustRightIn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1.9实行百分倒扣分考核奖罚制，在承包经费中留取履约保证金作为奖罚金，建立考核小组，通过定期检查和不定期抽查，对达到考核要求的奖励相应奖罚金，不符合考核要求的扣除相应奖罚金，通过激励机制促进服务单位管理服务质量的提升。</w:t>
      </w:r>
    </w:p>
    <w:p>
      <w:pPr>
        <w:widowControl/>
        <w:spacing w:line="360" w:lineRule="auto"/>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2.各项服务的要求</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2.1房屋日常养护维修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标准：按有关法规政策规定对房屋及配套设施进行管理服务；严格公用设施和各类设备的使用、维修、养护和管理。幕墙一年清洗一次（费用由业主单位承担），石材保养地面二个月做一次，晶面处理、墙石材每两个月打腊一次；及时完成各项零星维修任务，零星维修合格率100%，急修任务不超过24小时。</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给排水设备运行维护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标准：加强日常检查巡视，保证给排水系统正常运行使用。建立正常供水管理制度，防止跑、冒、滴、漏，对供水系统管路、水泵、水箱、阀门等进行日常维护和定期检修，水箱保持清洁卫生并每季度消毒一次。定期对水泵及机电设备进行检查、保养、维护、清洁；定期对水管进行清通、养护及清除污垢，保证室内外排水系统通畅；及时发现并解决故障，零星维修合格率100%，故障排除不过夜。</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供电设备管理维护</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标准：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设备出现故障时，维修人员应在接到报修后10分钟内到达现场，及时排除故障，加强日常维护检修，各办公区域及公共照明、指示灯具线路、开关要保证完好；发电机组随时处于良好状态，确保用电安全，在接到相关部门停电通知后，按规定时间提前通知业主，备用应急发电机应及时启用；管理和维护好避雷设施，保证避雷设备完好、有效、安全。</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电梯运行维护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标准：建立电梯运行管理、设备管理、安全管理制度，确保电梯按规定时间运行，安全设施齐全有效，通风、照明及其它附属设施完好；严格执行国家有关电梯管理规定和安全规程，电梯准用证、年检合格证、维修保养合同完备，定期进行日常维护；轿厢保持清洁；按业主外包合同规定对承包方的维保工作进行严格监管，接到报修后及时通知电梯外包维修人员到达现场抢修，及时排除故障。</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空调系统运行维护</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标准：建立空调运行管理制度和安全操作规程，保证空调系统安全运行和正常使用，运行中无超标噪音和严重滴漏水现象；定期检查空调设备和管道，按业主外包合同规定对承包方的维保工作进行严格监管，保证空调设备、设施处于良好状态；空调系统出现运行故障后，对一般故障及时排除，较大故障及时通知空调外包维修人员进行维修，并做好记录。</w:t>
      </w:r>
    </w:p>
    <w:p>
      <w:pPr>
        <w:widowControl/>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  环境卫生管理</w:t>
      </w:r>
    </w:p>
    <w:p>
      <w:pPr>
        <w:widowControl/>
        <w:spacing w:line="360" w:lineRule="auto"/>
        <w:ind w:firstLine="480" w:firstLineChars="200"/>
        <w:rPr>
          <w:rFonts w:hint="eastAsia" w:ascii="宋体" w:hAnsi="宋体" w:eastAsia="宋体" w:cs="宋体"/>
          <w:i w:val="0"/>
          <w:iCs w:val="0"/>
          <w:sz w:val="24"/>
          <w:szCs w:val="24"/>
          <w:u w:val="none"/>
        </w:rPr>
      </w:pPr>
      <w:r>
        <w:rPr>
          <w:rFonts w:hint="eastAsia" w:ascii="宋体" w:hAnsi="宋体" w:eastAsia="宋体" w:cs="宋体"/>
          <w:sz w:val="24"/>
          <w:szCs w:val="24"/>
        </w:rPr>
        <w:t>服务标准：建立环境卫生管理制度并认真落实，环卫设施齐备；实行标准化清扫保洁，由专人负责检查、监督，楼梯、扶手、大厅、走廊、领导办公室、电梯间、地下室、阴台、天花板内墙面、停车场（库）、道路等所有公共区域保持清洁。定期进行环境消杀除“四害”。无随意堆放杂物和占用，不见废物、污渍，卫生间清净无异味，及时清扫积水，清运垃圾，定期清运化粪池。保洁完成后，做到无垃圾、杂物、异味，外观整洁、明亮，无乱悬挂、乱丢弃、乱堆放、乱贴乱画，确保办公区和卫生责任区容貌整洁。</w:t>
      </w:r>
      <w:r>
        <w:rPr>
          <w:rFonts w:hint="eastAsia" w:ascii="宋体" w:hAnsi="宋体" w:eastAsia="宋体" w:cs="宋体"/>
          <w:i w:val="0"/>
          <w:iCs w:val="0"/>
          <w:sz w:val="24"/>
          <w:szCs w:val="24"/>
          <w:u w:val="none"/>
        </w:rPr>
        <w:t>（大厅除大楼公共大厅外还包括</w:t>
      </w:r>
      <w:r>
        <w:rPr>
          <w:rFonts w:hint="eastAsia" w:ascii="宋体" w:hAnsi="宋体" w:eastAsia="宋体" w:cs="宋体"/>
          <w:i w:val="0"/>
          <w:iCs w:val="0"/>
          <w:sz w:val="24"/>
          <w:szCs w:val="24"/>
          <w:u w:val="none"/>
          <w:lang w:eastAsia="zh-CN"/>
        </w:rPr>
        <w:t>一楼民警之家、</w:t>
      </w:r>
      <w:r>
        <w:rPr>
          <w:rFonts w:hint="eastAsia" w:ascii="宋体" w:hAnsi="宋体" w:eastAsia="宋体" w:cs="宋体"/>
          <w:i w:val="0"/>
          <w:iCs w:val="0"/>
          <w:sz w:val="24"/>
          <w:szCs w:val="24"/>
          <w:u w:val="none"/>
        </w:rPr>
        <w:t>二楼</w:t>
      </w:r>
      <w:r>
        <w:rPr>
          <w:rFonts w:hint="eastAsia" w:ascii="宋体" w:hAnsi="宋体" w:eastAsia="宋体" w:cs="宋体"/>
          <w:i w:val="0"/>
          <w:iCs w:val="0"/>
          <w:sz w:val="24"/>
          <w:szCs w:val="24"/>
          <w:u w:val="none"/>
          <w:lang w:eastAsia="zh-CN"/>
        </w:rPr>
        <w:t>勤</w:t>
      </w:r>
      <w:r>
        <w:rPr>
          <w:rFonts w:hint="eastAsia" w:ascii="宋体" w:hAnsi="宋体" w:eastAsia="宋体" w:cs="宋体"/>
          <w:i w:val="0"/>
          <w:iCs w:val="0"/>
          <w:sz w:val="24"/>
          <w:szCs w:val="24"/>
          <w:u w:val="none"/>
        </w:rPr>
        <w:t>指</w:t>
      </w:r>
      <w:r>
        <w:rPr>
          <w:rFonts w:hint="eastAsia" w:ascii="宋体" w:hAnsi="宋体" w:eastAsia="宋体" w:cs="宋体"/>
          <w:i w:val="0"/>
          <w:iCs w:val="0"/>
          <w:sz w:val="24"/>
          <w:szCs w:val="24"/>
          <w:u w:val="none"/>
          <w:lang w:eastAsia="zh-CN"/>
        </w:rPr>
        <w:t>行</w:t>
      </w:r>
      <w:r>
        <w:rPr>
          <w:rFonts w:hint="eastAsia" w:ascii="宋体" w:hAnsi="宋体" w:eastAsia="宋体" w:cs="宋体"/>
          <w:i w:val="0"/>
          <w:iCs w:val="0"/>
          <w:sz w:val="24"/>
          <w:szCs w:val="24"/>
          <w:u w:val="none"/>
        </w:rPr>
        <w:t>中心大厅、六楼案件管理中心大厅、一楼执法办案中心、</w:t>
      </w:r>
      <w:r>
        <w:rPr>
          <w:rFonts w:hint="eastAsia" w:ascii="宋体" w:hAnsi="宋体" w:eastAsia="宋体" w:cs="宋体"/>
          <w:i w:val="0"/>
          <w:iCs w:val="0"/>
          <w:sz w:val="24"/>
          <w:szCs w:val="24"/>
          <w:u w:val="none"/>
          <w:lang w:eastAsia="zh-CN"/>
        </w:rPr>
        <w:t>三楼防控治理中心</w:t>
      </w:r>
      <w:r>
        <w:rPr>
          <w:rFonts w:hint="eastAsia" w:ascii="宋体" w:hAnsi="宋体" w:eastAsia="宋体" w:cs="宋体"/>
          <w:i w:val="0"/>
          <w:iCs w:val="0"/>
          <w:sz w:val="24"/>
          <w:szCs w:val="24"/>
          <w:u w:val="none"/>
        </w:rPr>
        <w:t>，以及今后新调整的办事大厅）</w:t>
      </w:r>
    </w:p>
    <w:p>
      <w:pPr>
        <w:rPr>
          <w:rFonts w:hint="eastAsia"/>
          <w:lang w:eastAsia="zh-CN"/>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  会议服务</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服务标准: 负责会议室的布置工作，根据会议的人数多少和开会形式摆放桌椅,保证会议室设备能正常使用、负责各会议室、接待室等卫生保洁及会议优质服务。接到采购人会议服务通知必须随时做好会议服务准备工作，负责在开会期间，给开会人员倒茶服务，注意倒茶时礼仪。应对各楼的会议室根据不同的功能定位和需要,提供三星级以上酒店优质会议服务。会务服务人员在上班时间不得穿高跟或硬底鞋，会务服务期间手机调整成震动或关闭。</w:t>
      </w:r>
    </w:p>
    <w:p>
      <w:pPr>
        <w:rPr>
          <w:rFonts w:hint="eastAsia" w:ascii="宋体" w:hAnsi="宋体" w:eastAsia="宋体" w:cs="宋体"/>
          <w:sz w:val="24"/>
          <w:szCs w:val="24"/>
        </w:rPr>
      </w:pPr>
    </w:p>
    <w:p>
      <w:pPr>
        <w:spacing w:line="440" w:lineRule="exact"/>
        <w:ind w:firstLine="481" w:firstLineChars="200"/>
        <w:jc w:val="both"/>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 餐饮服务要求</w:t>
      </w:r>
    </w:p>
    <w:p>
      <w:pPr>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负责温州市公安局龙湾分局大楼餐厅</w:t>
      </w:r>
      <w:r>
        <w:rPr>
          <w:rFonts w:hint="eastAsia" w:ascii="宋体" w:hAnsi="宋体" w:eastAsia="宋体" w:cs="宋体"/>
          <w:sz w:val="24"/>
          <w:szCs w:val="24"/>
          <w:lang w:eastAsia="zh-CN"/>
        </w:rPr>
        <w:t>及下属单位</w:t>
      </w:r>
      <w:r>
        <w:rPr>
          <w:rFonts w:hint="eastAsia" w:ascii="宋体" w:hAnsi="宋体" w:eastAsia="宋体" w:cs="宋体"/>
          <w:sz w:val="24"/>
          <w:szCs w:val="24"/>
        </w:rPr>
        <w:t>的日常餐饮、包厢、宴会服务与管理。</w:t>
      </w:r>
    </w:p>
    <w:p>
      <w:pPr>
        <w:spacing w:line="460" w:lineRule="exact"/>
        <w:ind w:firstLine="481" w:firstLineChars="200"/>
        <w:rPr>
          <w:rFonts w:hint="eastAsia" w:ascii="宋体" w:hAnsi="宋体" w:eastAsia="宋体" w:cs="宋体"/>
          <w:b/>
          <w:bCs w:val="0"/>
          <w:sz w:val="24"/>
          <w:szCs w:val="24"/>
        </w:rPr>
      </w:pPr>
      <w:r>
        <w:rPr>
          <w:rFonts w:hint="eastAsia" w:ascii="宋体" w:hAnsi="宋体" w:eastAsia="宋体" w:cs="宋体"/>
          <w:b/>
          <w:bCs w:val="0"/>
          <w:sz w:val="24"/>
          <w:szCs w:val="24"/>
        </w:rPr>
        <w:t>1.工作内容</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（1）成交人负责温州市公安局龙湾分局大楼</w:t>
      </w:r>
      <w:r>
        <w:rPr>
          <w:rFonts w:hint="eastAsia" w:ascii="宋体" w:hAnsi="宋体" w:eastAsia="宋体" w:cs="宋体"/>
          <w:sz w:val="24"/>
          <w:szCs w:val="24"/>
          <w:lang w:eastAsia="zh-CN"/>
        </w:rPr>
        <w:t>及下属</w:t>
      </w:r>
      <w:r>
        <w:rPr>
          <w:rFonts w:hint="eastAsia" w:ascii="宋体" w:hAnsi="宋体" w:eastAsia="宋体" w:cs="宋体"/>
          <w:sz w:val="24"/>
          <w:szCs w:val="24"/>
        </w:rPr>
        <w:t>食堂每日用餐所需菜谱的配制，采购的食品、蔬菜、调料、日常用品等原材料的清点验收、保管、存储、制作加工、配售、管理等所有食堂后勤服务工作（食堂日常的食品、蔬菜、调料等原材料的采购由采购人负责）；食堂范围内的卫生保洁工作；食堂人员卫生监督；确定菜品的合理售价，并做好每日收支统计工作，保证食堂收支基本平衡，上下浮动控制在</w:t>
      </w:r>
      <w:r>
        <w:rPr>
          <w:rFonts w:hint="eastAsia" w:ascii="宋体" w:hAnsi="宋体" w:eastAsia="宋体" w:cs="宋体"/>
          <w:b/>
          <w:bCs/>
          <w:sz w:val="24"/>
          <w:szCs w:val="24"/>
        </w:rPr>
        <w:t>5%</w:t>
      </w:r>
      <w:r>
        <w:rPr>
          <w:rFonts w:hint="eastAsia" w:ascii="宋体" w:hAnsi="宋体" w:eastAsia="宋体" w:cs="宋体"/>
          <w:sz w:val="24"/>
          <w:szCs w:val="24"/>
        </w:rPr>
        <w:t>以内；做好物品的管理，定期进行库存物品的盘存，避免原材料过期、变质；成交人必须每月月底向采购人上报一次餐饮收支台帐。</w:t>
      </w:r>
    </w:p>
    <w:p>
      <w:pPr>
        <w:spacing w:line="460" w:lineRule="exact"/>
        <w:ind w:firstLine="480" w:firstLineChars="200"/>
        <w:rPr>
          <w:rFonts w:hint="eastAsia" w:ascii="宋体" w:hAnsi="宋体" w:eastAsia="宋体" w:cs="宋体"/>
          <w:b/>
          <w:sz w:val="24"/>
          <w:szCs w:val="24"/>
        </w:rPr>
      </w:pPr>
      <w:r>
        <w:rPr>
          <w:rFonts w:hint="eastAsia" w:ascii="宋体" w:hAnsi="宋体" w:eastAsia="宋体" w:cs="宋体"/>
          <w:b w:val="0"/>
          <w:bCs/>
          <w:sz w:val="24"/>
          <w:szCs w:val="24"/>
        </w:rPr>
        <w:t>（采购人提供食堂设施和餐饮用具，承担食堂水电、燃料的费用）</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供应商成交并在合同签订后，必须在采购人规定的15天时间内取得国家主管部门颁发的《餐饮服务许可证》或《卫生服务许可证》，否则采购人有权单方终止合同并保留追究赔偿的责任。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成交人更换重要岗位人员需报请采购人同意；采购人有权对不符合要求的服务工作人员提出更换要求；成交人以高标准、严要求的服务态度为采购人提供优质的人员保障及就餐服务；在特殊情况下，采购人有权调派成交人的管理人员和工作人员；就餐人员使用采购人统一制作的就餐卡刷卡用餐，成交人不得擅自制作饭菜票或收取现金，不得对外经营。</w:t>
      </w:r>
    </w:p>
    <w:p>
      <w:pPr>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（4）用餐时间及服务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龙湾区公安局大楼后勤服务包括食堂餐厅及包厢服务，一天提供三餐（早、中、晚餐及不定时提供外来客人工作餐包含下午茶），每次用餐人数其中早、中晚餐大约为300人，晚餐约80-100人下午茶约为30-60人。分局食堂要提供365天无休服务，正常节假日70-90人用餐，重大安保活动另外加强（例如每年的世界互联网大会安保1周左右，重大赛事及活动安保，国庆安保等30天左右）成交人必须每天拟定菜单（每天要储备1-2桌的菜，以应临时来客就餐），提供采购人采购。成交人必须科学安排菜谱，做到一周菜谱不重复，每周的菜肴品种不少于60个。成交人提供早餐、中餐、晚餐、服务，刷卡消费。早餐服务时间为7:00-8:20，设稀饭、豆浆、糯米饭、包子、馒头、煮粉干、面条、大饼、油条等服务；午餐服务时间为11:30-13:00；下午茶时间15:30-16:00；晚餐服务时间为17:30-18:30.（具体就餐时间根据作息时间作相应调整，双休日、节假日、抗台等特殊情况另作调整）</w:t>
      </w:r>
      <w:r>
        <w:rPr>
          <w:rFonts w:hint="eastAsia" w:ascii="宋体" w:hAnsi="宋体" w:eastAsia="宋体" w:cs="宋体"/>
          <w:i w:val="0"/>
          <w:iCs w:val="0"/>
          <w:sz w:val="24"/>
          <w:szCs w:val="24"/>
          <w:u w:val="none"/>
        </w:rPr>
        <w:t>（特殊情况需提供餐饮应无条件提供）</w:t>
      </w:r>
    </w:p>
    <w:p>
      <w:pPr>
        <w:spacing w:line="460" w:lineRule="exact"/>
        <w:ind w:firstLine="481" w:firstLineChars="200"/>
        <w:rPr>
          <w:rFonts w:hint="eastAsia" w:ascii="宋体" w:hAnsi="宋体" w:eastAsia="宋体" w:cs="宋体"/>
          <w:b/>
          <w:sz w:val="24"/>
          <w:szCs w:val="24"/>
        </w:rPr>
      </w:pPr>
      <w:r>
        <w:rPr>
          <w:rFonts w:hint="eastAsia" w:ascii="宋体" w:hAnsi="宋体" w:eastAsia="宋体" w:cs="宋体"/>
          <w:b/>
          <w:sz w:val="24"/>
          <w:szCs w:val="24"/>
        </w:rPr>
        <w:t>2.设备维护</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龙湾区公安局大楼</w:t>
      </w:r>
      <w:r>
        <w:rPr>
          <w:rFonts w:hint="eastAsia" w:ascii="宋体" w:hAnsi="宋体" w:eastAsia="宋体" w:cs="宋体"/>
          <w:b w:val="0"/>
          <w:bCs w:val="0"/>
          <w:sz w:val="24"/>
          <w:szCs w:val="24"/>
          <w:lang w:eastAsia="zh-CN"/>
        </w:rPr>
        <w:t>及下属单位</w:t>
      </w:r>
      <w:r>
        <w:rPr>
          <w:rFonts w:hint="eastAsia" w:ascii="宋体" w:hAnsi="宋体" w:eastAsia="宋体" w:cs="宋体"/>
          <w:b w:val="0"/>
          <w:bCs w:val="0"/>
          <w:sz w:val="24"/>
          <w:szCs w:val="24"/>
        </w:rPr>
        <w:t>食堂室内外均已装修，</w:t>
      </w:r>
      <w:r>
        <w:rPr>
          <w:rFonts w:hint="eastAsia" w:ascii="宋体" w:hAnsi="宋体" w:eastAsia="宋体" w:cs="宋体"/>
          <w:sz w:val="24"/>
          <w:szCs w:val="24"/>
        </w:rPr>
        <w:t>成交人不应改变。如确需改动的，必须经采购人同意，方可改动。</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2）龙湾区公安局大楼</w:t>
      </w:r>
      <w:r>
        <w:rPr>
          <w:rFonts w:hint="eastAsia" w:ascii="宋体" w:hAnsi="宋体" w:eastAsia="宋体" w:cs="宋体"/>
          <w:sz w:val="24"/>
          <w:szCs w:val="24"/>
          <w:lang w:eastAsia="zh-CN"/>
        </w:rPr>
        <w:t>及附下属单位</w:t>
      </w:r>
      <w:r>
        <w:rPr>
          <w:rFonts w:hint="eastAsia" w:ascii="宋体" w:hAnsi="宋体" w:eastAsia="宋体" w:cs="宋体"/>
          <w:sz w:val="24"/>
          <w:szCs w:val="24"/>
        </w:rPr>
        <w:t>食堂的桌椅、厨房设备，提供给成交人免费使用，成交人应爱惜财物保持其完好性。日常维护由采购人负责。如发现属人工操作不当或故意损坏由成交人负责维修和赔偿。</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碗、勺、筷、盘、酒杯等日常餐具由采购人统一调配，按需登记造册领用，每周清点一次，每月统计一次，年损耗率不超过10%，超过部分由成交人承担，在承包费里扣除。如由就餐人员引起的损耗应及时报采购人管理人员核销。</w:t>
      </w:r>
    </w:p>
    <w:p>
      <w:pPr>
        <w:spacing w:line="460" w:lineRule="exact"/>
        <w:ind w:firstLine="481" w:firstLineChars="200"/>
        <w:rPr>
          <w:rFonts w:hint="eastAsia" w:ascii="宋体" w:hAnsi="宋体" w:eastAsia="宋体" w:cs="宋体"/>
          <w:b/>
          <w:sz w:val="24"/>
          <w:szCs w:val="24"/>
        </w:rPr>
      </w:pPr>
      <w:r>
        <w:rPr>
          <w:rFonts w:hint="eastAsia" w:ascii="宋体" w:hAnsi="宋体" w:eastAsia="宋体" w:cs="宋体"/>
          <w:b/>
          <w:sz w:val="24"/>
          <w:szCs w:val="24"/>
        </w:rPr>
        <w:t>3.服务质量要求</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1）要结合公安食堂的特点，从食品质量、花色品种、口感味道、服务方式、饮食卫生等方面制定服务规范或质量标准，不断提高食堂的服务水平。</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2）对食堂工作的全过程，即对食品及原材料、调料的清点验收、保管、储存、制作加工、配售等工作进行全面质量管理，对食堂职工进行质量管理教育，解全面质量管理的基本知识和方法，树立质量意识。</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3）加强内部质量自查和自我监督，建立内部质量检查小组，定期实施质量检查工作，记录检查结果，建立质量检查档案，组织职工在日常工作中开展质量自查、互查活动。</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4）服务区内垃圾用袋装收集，存放在指定地点，清扫、保洁及生活服务的工作质量按国家卫生城市管理的有关标准严格验收。</w:t>
      </w:r>
    </w:p>
    <w:p>
      <w:pPr>
        <w:spacing w:line="460" w:lineRule="exact"/>
        <w:ind w:firstLine="481" w:firstLineChars="200"/>
        <w:rPr>
          <w:rFonts w:hint="eastAsia" w:ascii="宋体" w:hAnsi="宋体" w:eastAsia="宋体" w:cs="宋体"/>
          <w:b/>
          <w:sz w:val="24"/>
          <w:szCs w:val="24"/>
        </w:rPr>
      </w:pPr>
      <w:r>
        <w:rPr>
          <w:rFonts w:hint="eastAsia" w:ascii="宋体" w:hAnsi="宋体" w:eastAsia="宋体" w:cs="宋体"/>
          <w:b/>
          <w:sz w:val="24"/>
          <w:szCs w:val="24"/>
        </w:rPr>
        <w:t>4.节能措施要求</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1）严格执行《中华人民共和国食品安全法》、《餐饮业食品卫生管理办法》、GB16153《饭馆（餐厅）卫生标准》、GB14934《食（饮）具消毒卫生标准》等卫生安全法律法规及标准。</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2）认真执行《食品加工、销售、饮食业卫生“五、四”制》，并结合采购人单位的具体情况，建立健全卫生制度，保证食品卫生，保障就餐人员的身体健康，并按采购人要求对食堂所需有关蔬菜、食品卫生实行最优质的保证。</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3）食品的卫生质量按《全国救灾防病预案》的规定，不用来源不明的原料；不加工、不发售来源不明的食品，防止疾病传染和食物中毒。</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4）食堂工作人员必须持有健康合格证上岗，定期复查，严禁患病上岗。负责餐饮加工和冷拼人员须戴口罩、手套上岗。出售直接入口食品时，必须使用售餐用具。食堂工作人员讲究个人卫生，统一着装，规范操作。</w:t>
      </w:r>
    </w:p>
    <w:p>
      <w:pPr>
        <w:spacing w:line="460" w:lineRule="exact"/>
        <w:ind w:firstLine="590" w:firstLineChars="245"/>
        <w:rPr>
          <w:rFonts w:hint="eastAsia" w:ascii="宋体" w:hAnsi="宋体" w:eastAsia="宋体" w:cs="宋体"/>
          <w:b/>
          <w:sz w:val="24"/>
          <w:szCs w:val="24"/>
        </w:rPr>
      </w:pPr>
      <w:r>
        <w:rPr>
          <w:rFonts w:hint="eastAsia" w:ascii="宋体" w:hAnsi="宋体" w:eastAsia="宋体" w:cs="宋体"/>
          <w:b/>
          <w:sz w:val="24"/>
          <w:szCs w:val="24"/>
        </w:rPr>
        <w:t>5.食品原料的采购</w:t>
      </w:r>
    </w:p>
    <w:p>
      <w:pPr>
        <w:spacing w:line="460" w:lineRule="exact"/>
        <w:ind w:firstLine="588" w:firstLineChars="245"/>
        <w:rPr>
          <w:rFonts w:hint="eastAsia" w:ascii="宋体" w:hAnsi="宋体" w:eastAsia="宋体" w:cs="宋体"/>
          <w:b/>
          <w:sz w:val="24"/>
          <w:szCs w:val="24"/>
        </w:rPr>
      </w:pPr>
      <w:r>
        <w:rPr>
          <w:rFonts w:hint="eastAsia" w:ascii="宋体" w:hAnsi="宋体" w:eastAsia="宋体" w:cs="宋体"/>
          <w:sz w:val="24"/>
          <w:szCs w:val="24"/>
        </w:rPr>
        <w:t>①食品的主料、辅料、调料等原材料的采购，由采购人负责进行采购，采购的食品及原料在移交成交人时成交人应专人负责做好清点验收工作。</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②采购的食品及原料每天都要有登记，记录品名、采购点、价格、数量和金额等。成交人厨师长、采购人委派管理人员共同负责验收和入库，妥善保管。</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③食品采购验收人员对清点验收的加工食品及原料，必须检查其商标、出产地（厂家）、检验合格证等是否齐全，并整理归档，严禁接收加工无证产品。</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⑤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采购人处理。</w:t>
      </w:r>
    </w:p>
    <w:p>
      <w:pPr>
        <w:spacing w:line="460" w:lineRule="exact"/>
        <w:ind w:firstLine="590" w:firstLineChars="245"/>
        <w:rPr>
          <w:rFonts w:hint="eastAsia" w:ascii="宋体" w:hAnsi="宋体" w:eastAsia="宋体" w:cs="宋体"/>
          <w:b/>
          <w:sz w:val="24"/>
          <w:szCs w:val="24"/>
        </w:rPr>
      </w:pPr>
      <w:r>
        <w:rPr>
          <w:rFonts w:hint="eastAsia" w:ascii="宋体" w:hAnsi="宋体" w:eastAsia="宋体" w:cs="宋体"/>
          <w:b/>
          <w:sz w:val="24"/>
          <w:szCs w:val="24"/>
        </w:rPr>
        <w:t>6.食品加工</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①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②食品加工人员必须认真检查待加工的食品及其他食品原料，发现有腐败变质或其他感官性状异常的，不得加工或使用。</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③各种食品原料在使用前必须洗净，蔬菜应当与肉类、水产品类分池清洗；禽蛋在使用前应当对外壳进行清洗，必要时进行消毒处理；对怀疑带有农药的蔬菜，不得投入加工制作或使用。</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④用于原料、半成品、成品的刀、墩、板、桶、盆、筐、抹布以及其他工具或容器必须标志明显，并做到分开使用，尤其是生、熟工具要分开，定位存放，用后洗净，保持清洁。</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⑤需要热制加工的食品必须烧熟煮透，其中心温度不得低于70度；加工后的热制品应当与食品原料或半成品分开存放；半成品应当与食品原料分开存放。</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⑥在烹饪后至食用前需要较长时间(超过2小时)存放的食品，应当在高于6 0度或低于1 0度的条件下存放。需要冷藏的熟制品，应当放凉后再冷藏。凡隔餐、隔夜的熟制品必须经充分再加热后方可食用。</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⑦不允许使用食品添加剂和来源不明的调味品，若确需使用食品添加剂的应严格按照国家卫生标准和有关规定使用。</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⑧加工出售食品时要做好防蝇、防虫、防尘、防霉变、保洁及秋冬季节的食品保温工作。出售食品必须坚持使用清洁的专用工具，严禁用手直接接触食物。</w:t>
      </w:r>
    </w:p>
    <w:p>
      <w:pPr>
        <w:spacing w:line="460" w:lineRule="exact"/>
        <w:ind w:firstLine="590" w:firstLineChars="245"/>
        <w:rPr>
          <w:rFonts w:hint="eastAsia" w:ascii="宋体" w:hAnsi="宋体" w:eastAsia="宋体" w:cs="宋体"/>
          <w:b/>
          <w:sz w:val="24"/>
          <w:szCs w:val="24"/>
        </w:rPr>
      </w:pPr>
      <w:r>
        <w:rPr>
          <w:rFonts w:hint="eastAsia" w:ascii="宋体" w:hAnsi="宋体" w:eastAsia="宋体" w:cs="宋体"/>
          <w:b/>
          <w:sz w:val="24"/>
          <w:szCs w:val="24"/>
        </w:rPr>
        <w:t>7.食品储存</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①储存食品场所、设备应当保持清洁，无霉斑、鼠迹、苍蝇、蟑螂；仓库应当通风良好。禁止存放有毒、有害物品及个人生活物品。</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②库房食品应当分类、分架、隔墙、离地(30公分以上)存放，并贴上标签：定期检查处理变质或超过保质期限的食品。</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③库房必须安排专人负责保管。凡新购食物必须经专人检查合格后，才允许入库；需冷冻食品应及时放入规定冰柜存放。</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④每次、每批食品入库、领用都必须做好登记。</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⑤当餐未出售完的食品，应按卫生规定要求放入冰箱、冰柜。</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⑥保管人离开库房时，应立即将门锁好。</w:t>
      </w:r>
    </w:p>
    <w:p>
      <w:pPr>
        <w:spacing w:line="460" w:lineRule="exact"/>
        <w:ind w:firstLine="590" w:firstLineChars="245"/>
        <w:rPr>
          <w:rFonts w:hint="eastAsia" w:ascii="宋体" w:hAnsi="宋体" w:eastAsia="宋体" w:cs="宋体"/>
          <w:b/>
          <w:sz w:val="24"/>
          <w:szCs w:val="24"/>
        </w:rPr>
      </w:pPr>
      <w:r>
        <w:rPr>
          <w:rFonts w:hint="eastAsia" w:ascii="宋体" w:hAnsi="宋体" w:eastAsia="宋体" w:cs="宋体"/>
          <w:b/>
          <w:sz w:val="24"/>
          <w:szCs w:val="24"/>
        </w:rPr>
        <w:t>8.餐饮具消毒卫生</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①餐饮具使用前必须做到一清、二洗、三消毒、四保洁，符合国家有关卫生标准。未经消毒的餐饮均不得使用，禁止重复使用—次性餐具。</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②洗刷餐饮具必须在专用水池，不得与清洗蔬菜、肉类及其他水池混用。</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③洗涤消毒餐饮具使用的洗涤剂、消毒剂必须符合食品卫生标准要求。</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④餐饮具，尤其是配餐餐饮具，每餐洗净后必须放入电子消毒柜中消毒或高温消毒；若用消毒剂消毒必须按正确的使用剂量和规定时间程序消毒清洗。</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⑤消毒后的餐饮具必须贮存在餐饮具专用保洁柜内备用；已经消毒与末消毒的餐饮具应分开存放，并在餐饮具贮存柜上有明显标志。</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⑥餐饮具保洁柜应当定期清洗，保持洁净。</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⑦要保持餐厅内餐桌、餐椅、墙面、地面等环境设施的消毒清洁。每次售餐完毕后，应按卫生管理规范收放好食品，清洗餐具、柜台，清扫场地。保持室内空气流通，严防各种污染。</w:t>
      </w:r>
    </w:p>
    <w:p>
      <w:pPr>
        <w:spacing w:line="46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⑧洗碗间、冷菜间、烹调制作间保持清洁卫生，厨房用具应及时清洗、消毒，严格做到生熟分开。</w:t>
      </w:r>
    </w:p>
    <w:p>
      <w:pPr>
        <w:pStyle w:val="26"/>
        <w:ind w:firstLine="220"/>
        <w:rPr>
          <w:rFonts w:hint="eastAsia" w:ascii="宋体" w:hAnsi="宋体" w:eastAsia="宋体" w:cs="宋体"/>
          <w:sz w:val="24"/>
          <w:szCs w:val="24"/>
        </w:rPr>
      </w:pPr>
    </w:p>
    <w:p>
      <w:pPr>
        <w:spacing w:line="440" w:lineRule="exact"/>
        <w:ind w:firstLine="481" w:firstLineChars="200"/>
        <w:jc w:val="both"/>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）保安服务要求</w:t>
      </w:r>
    </w:p>
    <w:p>
      <w:pPr>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1.工作内容为负责相应区域的正常秩序、安全保卫、信访劝导、监控、消防、停车库（场）秩序等采购人要求的管理工作。</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2.保安人员的服务质量和言行是代表区机关工作的形象。为全力维护区公安的正常工作秩序，要确保值勤区安全保卫措施有力，工作任务责任到人，处事学公安、服务学宾馆的工作思想理念。</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3.日常管理：</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3.1保安、消控监控人员要求政治上绝对可靠，身体素质好，无不良行为记录，具备一定的相应专业知识，必须按要求持证上岗。</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3.2、实行24小时、全天候安全保卫、监控、消防工作制度。受委托方要求，采用半军事化训练管理方式，维护龙湾公安的秩序，确保龙湾公安的安全。</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3.3、制定并落实防、防爆、防盗、防破坏、防治安灾害事故等五防措施。强化对易燃、易爆、化学品及其它危险物品的管理。</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3.4安全保卫设备、设施齐全。</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3.5响应人按照管理内容编制检查表，每日进行检查，发现问题及时整改。</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3.6响应人对竞价项目区域内的消防设施（包括消防栓、防火卷帘、消防通道等）按照消防法规定进行日常检查，并做好记录、留档，确保消防设施完整有效。</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3.7采购人对响应人各工作岗位的服务质量随时进行抽查。发现问题，及时提出书面或口头通知整改。采购人对响应人在实际工作过程中，达不到标准要求的人员，提出调整或更换，响应人必须执行。</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3.8除响应人对服务人员的培训外，需接受采购人对服务人员的集中进行培训，费用由响应人负责。</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3.9所有岗位建立岗位责任制与运作程序、工作质量标准。</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3.10响应人建立各类应急预案（如消防、抗台、安全、信访闹事、特殊事件、应急事件等），有处理突发事件工作预案，并按照预案实施。</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3.11重大接待任务必须事先制订周密的接待工作计划与预算，并严格按照计划实施。</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3.12负责龙湾公安岗亭登记、停车管理。</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3.13响应人必须在服务区域内成立保安大队.</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4.服务质量要求</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4.1各响应人需本着对企业品牌的延伸，以社会化效益为重的原则进行竞价。</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4.2各响应人须在对现场、周边环境全面了解的情况下编制科学合理、切实可行的组织实施计划以及具体的保障措施、工作程序。</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4.3响应人应制订具体的质量保证措施及质量保证和相关服务承诺。如因质量未达到目标，响应人应因此承担责任和经济赔偿。</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4.4响应人须按现代企业制度运行，发挥自身优势，以热心、爱心、专心、贴心的服务，为区公安后勤社会化提供全方位、一体化的专业服务保障。确保行龙湾公安正常运转，各项重大活动顺利完成。</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4.5响应人达不到采购人要求及承包商各项服务承诺，采购人有权要求其整改，直至扣款或终止合同。</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4.6响应人所有的工作除应按承包商的内部流程实施外还应接受采购人或第三方的检查。</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4.7响应人需制定消防、抗台、安全、信访、特殊事件、应急事件等紧急预案，并切实地培训到每个岗位人员。</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4.8响应人需积极完成政府接待过程中的礼仪（外交、政府级的接待）工作；区公安重大活动的保安工作。</w:t>
      </w:r>
    </w:p>
    <w:p>
      <w:pPr>
        <w:spacing w:line="360" w:lineRule="auto"/>
        <w:jc w:val="both"/>
        <w:rPr>
          <w:rFonts w:hint="eastAsia" w:ascii="宋体" w:hAnsi="宋体" w:eastAsia="宋体" w:cs="宋体"/>
          <w:b/>
          <w:bCs/>
          <w:sz w:val="24"/>
          <w:szCs w:val="24"/>
        </w:rPr>
      </w:pPr>
      <w:bookmarkStart w:id="31" w:name="_Toc187051759"/>
      <w:bookmarkStart w:id="32" w:name="_Toc184281684"/>
    </w:p>
    <w:p>
      <w:pPr>
        <w:spacing w:line="360" w:lineRule="auto"/>
        <w:ind w:firstLine="481"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易耗品、备品备件、物业装备的采购、管理、使用</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1.日常及保洁服务管理所需的清洁工具、设备、低值易耗品与一次性用品由成交人自行提供。</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2.日常服务管理所需的工程（包括设备设施）维修、保养所需材料、备件由成交人采购提供。</w:t>
      </w:r>
    </w:p>
    <w:p>
      <w:pPr>
        <w:spacing w:line="460" w:lineRule="exact"/>
        <w:ind w:firstLine="588" w:firstLineChars="245"/>
        <w:rPr>
          <w:rFonts w:hint="eastAsia" w:ascii="宋体" w:hAnsi="宋体" w:eastAsia="宋体" w:cs="宋体"/>
          <w:b w:val="0"/>
          <w:bCs/>
          <w:sz w:val="24"/>
          <w:szCs w:val="24"/>
          <w:u w:val="none"/>
        </w:rPr>
      </w:pPr>
      <w:r>
        <w:rPr>
          <w:rFonts w:hint="eastAsia" w:ascii="宋体" w:hAnsi="宋体" w:eastAsia="宋体" w:cs="宋体"/>
          <w:b w:val="0"/>
          <w:bCs/>
          <w:sz w:val="24"/>
          <w:szCs w:val="24"/>
          <w:u w:val="none"/>
        </w:rPr>
        <w:t>3.服务管理必须的仓库、办公等用房由采购人无偿提供。采购人为服务管理工作人员提供伙食场所。</w:t>
      </w:r>
    </w:p>
    <w:p>
      <w:pPr>
        <w:spacing w:line="360" w:lineRule="auto"/>
        <w:ind w:firstLine="480" w:firstLineChars="200"/>
        <w:jc w:val="both"/>
        <w:rPr>
          <w:rFonts w:hint="eastAsia" w:ascii="宋体" w:hAnsi="宋体" w:eastAsia="宋体" w:cs="宋体"/>
          <w:b w:val="0"/>
          <w:bCs/>
          <w:sz w:val="24"/>
          <w:szCs w:val="24"/>
          <w:u w:val="none"/>
        </w:rPr>
      </w:pPr>
      <w:r>
        <w:rPr>
          <w:rFonts w:hint="eastAsia" w:ascii="宋体" w:hAnsi="宋体" w:eastAsia="宋体" w:cs="宋体"/>
          <w:b w:val="0"/>
          <w:bCs/>
          <w:sz w:val="24"/>
          <w:szCs w:val="24"/>
          <w:u w:val="none"/>
        </w:rPr>
        <w:t>4.成交人工作所需的物业装备（各种设备、设施、工具等）由采购人提供给成交人使用，除正常使用造成的损耗、折旧外，成交人应保证物业装备的完好性。如物业装备须维修或报废的，成交人应向采购人出具书面报告，说明导致维修或报废的原因。经采购人核定，如维修或报废系正常使用造成的，维修或更新费用由采购人承担，如维修或报废系成交人不当使用造成的，维修或更新费用由成交人承担。</w:t>
      </w:r>
    </w:p>
    <w:p>
      <w:pPr>
        <w:spacing w:line="460" w:lineRule="exact"/>
        <w:rPr>
          <w:rFonts w:ascii="新宋体" w:hAnsi="新宋体" w:eastAsia="新宋体"/>
          <w:b w:val="0"/>
          <w:bCs/>
          <w:sz w:val="22"/>
          <w:u w:val="none"/>
        </w:rPr>
      </w:pPr>
    </w:p>
    <w:bookmarkEnd w:id="31"/>
    <w:bookmarkEnd w:id="32"/>
    <w:p>
      <w:pPr>
        <w:adjustRightInd w:val="0"/>
        <w:spacing w:line="360" w:lineRule="auto"/>
        <w:ind w:firstLine="481" w:firstLineChars="200"/>
        <w:outlineLvl w:val="0"/>
        <w:rPr>
          <w:rFonts w:hint="eastAsia" w:ascii="宋体" w:hAnsi="宋体" w:eastAsia="宋体" w:cs="宋体"/>
          <w:b/>
          <w:bCs/>
          <w:sz w:val="24"/>
          <w:szCs w:val="24"/>
        </w:rPr>
      </w:pPr>
      <w:bookmarkStart w:id="33" w:name="_Toc16383"/>
      <w:bookmarkStart w:id="34" w:name="_Toc406395758"/>
      <w:bookmarkStart w:id="35" w:name="_Toc23217"/>
      <w:r>
        <w:rPr>
          <w:rFonts w:hint="eastAsia" w:ascii="宋体" w:hAnsi="宋体" w:eastAsia="宋体" w:cs="宋体"/>
          <w:b/>
          <w:bCs/>
          <w:sz w:val="24"/>
          <w:szCs w:val="24"/>
          <w:lang w:eastAsia="zh-CN"/>
        </w:rPr>
        <w:t>四</w:t>
      </w:r>
      <w:r>
        <w:rPr>
          <w:rFonts w:hint="eastAsia" w:ascii="宋体" w:hAnsi="宋体" w:eastAsia="宋体" w:cs="宋体"/>
          <w:b/>
          <w:bCs/>
          <w:sz w:val="24"/>
          <w:szCs w:val="24"/>
        </w:rPr>
        <w:t>、商务条款</w:t>
      </w:r>
      <w:bookmarkEnd w:id="33"/>
      <w:bookmarkEnd w:id="34"/>
      <w:bookmarkEnd w:id="35"/>
    </w:p>
    <w:p>
      <w:pPr>
        <w:widowControl/>
        <w:autoSpaceDE w:val="0"/>
        <w:autoSpaceDN w:val="0"/>
        <w:adjustRightIn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1.承包期限：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▲本次物业服务管理服务期为一年。</w:t>
      </w:r>
    </w:p>
    <w:p>
      <w:pPr>
        <w:widowControl/>
        <w:autoSpaceDE w:val="0"/>
        <w:autoSpaceDN w:val="0"/>
        <w:adjustRightIn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2.结算方式：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中标人在收到中标通知书后7个工作日内，需向采购人提供合同总价1％的履约保证金或者由银行或者保险公司出具的履约期内持续有效的保函。履约保证金在中标人与采购人签订经济合同前递交。</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付款方式为先做后结,由采购单位根据前一个月的考核结果支付承包经费（扣除考核费用）（不包含加班费1</w:t>
      </w: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14:textFill>
            <w14:solidFill>
              <w14:schemeClr w14:val="tx1"/>
            </w14:solidFill>
          </w14:textFill>
        </w:rPr>
        <w:t>万元）的月平均数，每月的15日结前一个月的承包经费（遇节假日顺延）,每月15日为支付日，每月考核奖惩在年度奖罚金款项中体现。乙方需凭开具正式发票。加班费按照实际情况结算。</w:t>
      </w: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合同履约完成后7个工作日内无息退还履约保证金。</w:t>
      </w:r>
    </w:p>
    <w:p>
      <w:pPr>
        <w:spacing w:line="360" w:lineRule="auto"/>
        <w:ind w:firstLine="480" w:firstLineChars="200"/>
        <w:rPr>
          <w:rFonts w:hint="eastAsia" w:ascii="宋体" w:hAnsi="宋体" w:eastAsia="宋体" w:cs="宋体"/>
          <w:sz w:val="24"/>
          <w:szCs w:val="24"/>
          <w:u w:val="none"/>
        </w:rPr>
      </w:pPr>
    </w:p>
    <w:p>
      <w:pPr>
        <w:widowControl/>
        <w:autoSpaceDE w:val="0"/>
        <w:autoSpaceDN w:val="0"/>
        <w:adjustRightIn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3.报价要求：</w:t>
      </w:r>
    </w:p>
    <w:p>
      <w:pPr>
        <w:autoSpaceDE w:val="0"/>
        <w:autoSpaceDN w:val="0"/>
        <w:adjustRightIn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供应商应考虑企业自身实力、经验及项目实施过程中的各种因素，根据采购要求，详细说明所能提供的各项具体服务内容，自主确定报价，实行总价包干，并按服务的内容按包括人员工资福利、各种社会保险、人员食宿与交通、人员培训、办公费、利润及应缴纳的税金、其他不可预见费用、咨询服务费等报响应总价。</w:t>
      </w:r>
      <w:r>
        <w:rPr>
          <w:rFonts w:hint="eastAsia" w:ascii="宋体" w:hAnsi="宋体" w:eastAsia="宋体" w:cs="宋体"/>
          <w:sz w:val="24"/>
          <w:szCs w:val="24"/>
          <w:lang w:val="zh-CN"/>
        </w:rPr>
        <w:t>凡未列入的将被认为均已包含在响应总价中，今后不得以任何理由追加或调整。</w:t>
      </w:r>
    </w:p>
    <w:p>
      <w:pPr>
        <w:adjustRightInd w:val="0"/>
        <w:snapToGrid w:val="0"/>
        <w:spacing w:line="440" w:lineRule="exact"/>
        <w:ind w:firstLine="480"/>
        <w:rPr>
          <w:rFonts w:hint="eastAsia" w:ascii="宋体" w:hAnsi="宋体" w:eastAsia="宋体" w:cs="宋体"/>
          <w:sz w:val="24"/>
          <w:szCs w:val="24"/>
          <w:u w:val="single"/>
        </w:rPr>
      </w:pPr>
      <w:r>
        <w:rPr>
          <w:rFonts w:hint="eastAsia" w:ascii="宋体" w:hAnsi="宋体" w:eastAsia="宋体" w:cs="宋体"/>
          <w:sz w:val="24"/>
          <w:szCs w:val="24"/>
          <w:u w:val="none"/>
        </w:rPr>
        <w:t>2）结合本项目具体情况，要求本次响应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会保险（含工伤、生育、失业、医疗门诊、养老）的或员工工资低于温州市市区本年最低工资标准的，响应文件作无效标处理。</w:t>
      </w:r>
    </w:p>
    <w:p>
      <w:pPr>
        <w:adjustRightInd w:val="0"/>
        <w:snapToGrid w:val="0"/>
        <w:spacing w:line="440" w:lineRule="exact"/>
        <w:ind w:firstLine="480"/>
        <w:rPr>
          <w:rFonts w:hint="eastAsia" w:ascii="宋体" w:hAnsi="宋体" w:eastAsia="宋体" w:cs="宋体"/>
          <w:sz w:val="24"/>
          <w:szCs w:val="24"/>
          <w:u w:val="single"/>
        </w:rPr>
      </w:pPr>
      <w:r>
        <w:rPr>
          <w:rFonts w:hint="eastAsia" w:ascii="宋体" w:hAnsi="宋体" w:eastAsia="宋体" w:cs="宋体"/>
          <w:b/>
          <w:bCs/>
          <w:sz w:val="24"/>
          <w:szCs w:val="24"/>
          <w:u w:val="single"/>
        </w:rPr>
        <w:t>▲3）本项目加班费用1</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u w:val="single"/>
        </w:rPr>
        <w:t>万元须包含在响应总价中，做为不可竞争的费用，成交后，1</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u w:val="single"/>
        </w:rPr>
        <w:t>万元根据每月加班考核的实际情况，由采购人计算支付。</w:t>
      </w:r>
    </w:p>
    <w:p>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4）本次采购，在服务期内如因政策性因素调整导致相关人员的工资、社保、节假日、高温补贴出现变化的，该部分费用由成交人自行承担，采购人不予以调整该部分费用，各供应商在报价时须综合考虑风险。</w:t>
      </w:r>
    </w:p>
    <w:p>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5）所有人员的服装费用由成交人自行负责配备，但服装材料和样式需经采购人核准。</w:t>
      </w:r>
    </w:p>
    <w:p>
      <w:pPr>
        <w:adjustRightInd w:val="0"/>
        <w:snapToGri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供应商须负责对员工的职责范围进行安全文明操作进行培训，确保安全合理高效服务。合同承包期内，供应商的工作人员出现意外事故导致人员伤亡的情况，均由成交人自负责任。各供应商须在报价中考虑风险。</w:t>
      </w:r>
    </w:p>
    <w:p>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节假日补贴最少按年度11天计取，要求按发放工资标准的三倍发放节假日补贴。</w:t>
      </w:r>
    </w:p>
    <w:p>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8）高温补贴共4个月（六、七、八、九共四月），一线工人按相关规定发放。</w:t>
      </w:r>
    </w:p>
    <w:p>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9）伙食补贴，提供每人每月225元伙食费，由成交人一次付给采购人。</w:t>
      </w:r>
    </w:p>
    <w:p>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10）本项目各部门领班、队长、主管协助物业经理管理各部门事务、每月工资至少比同部门普通员工多300元以上。</w:t>
      </w:r>
    </w:p>
    <w:p>
      <w:pPr>
        <w:spacing w:line="360" w:lineRule="auto"/>
        <w:ind w:firstLine="481" w:firstLineChars="200"/>
        <w:jc w:val="both"/>
        <w:rPr>
          <w:rFonts w:hint="eastAsia" w:ascii="宋体" w:hAnsi="宋体" w:eastAsia="宋体" w:cs="宋体"/>
          <w:b/>
          <w:bCs/>
          <w:sz w:val="24"/>
          <w:szCs w:val="24"/>
          <w:lang w:eastAsia="zh-CN"/>
        </w:rPr>
      </w:pPr>
    </w:p>
    <w:p>
      <w:pPr>
        <w:spacing w:line="360" w:lineRule="auto"/>
        <w:ind w:firstLine="481"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考核</w:t>
      </w:r>
    </w:p>
    <w:p>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hint="eastAsia" w:ascii="Arial" w:hAnsi="Arial" w:cs="Arial"/>
          <w:sz w:val="24"/>
          <w:szCs w:val="24"/>
        </w:rPr>
      </w:pPr>
      <w:r>
        <w:rPr>
          <w:rFonts w:hint="eastAsia" w:ascii="宋体" w:hAnsi="宋体" w:eastAsia="宋体" w:cs="宋体"/>
          <w:sz w:val="24"/>
          <w:szCs w:val="24"/>
        </w:rPr>
        <w:t>采购人按照考核评分细则进行考核，根据考核结果进行综合评分，并严格执</w:t>
      </w:r>
      <w:r>
        <w:rPr>
          <w:rFonts w:hint="eastAsia" w:ascii="Arial" w:hAnsi="Arial" w:cs="Arial"/>
          <w:sz w:val="24"/>
          <w:szCs w:val="24"/>
        </w:rPr>
        <w:t>行奖惩</w:t>
      </w:r>
      <w:r>
        <w:rPr>
          <w:rFonts w:hint="eastAsia" w:ascii="Arial" w:hAnsi="Arial" w:cs="Arial"/>
          <w:sz w:val="24"/>
          <w:szCs w:val="24"/>
          <w:lang w:eastAsia="zh-CN"/>
        </w:rPr>
        <w:t>。</w:t>
      </w:r>
      <w:r>
        <w:rPr>
          <w:rFonts w:hint="eastAsia" w:ascii="Arial" w:hAnsi="Arial" w:cs="Arial"/>
          <w:sz w:val="24"/>
          <w:szCs w:val="24"/>
        </w:rPr>
        <w:t>考核小组每月采取定时或抽查形式进行考核，如发现下列情况,对物业公司进行相应的扣分, 起评分为100分，达标分为90（含）分， 低于90分为不达标。</w:t>
      </w:r>
    </w:p>
    <w:p>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hint="eastAsia"/>
          <w:sz w:val="24"/>
          <w:szCs w:val="24"/>
          <w:lang w:eastAsia="zh-CN"/>
        </w:rPr>
      </w:pPr>
      <w:r>
        <w:rPr>
          <w:rFonts w:hint="eastAsia" w:ascii="Arial" w:hAnsi="Arial" w:cs="Arial"/>
          <w:sz w:val="24"/>
          <w:szCs w:val="24"/>
        </w:rPr>
        <w:t>从承包经费中留取8万元，设立年度考核奖罚金。年度考核达到90分或90分以上的，不扣考核金；年度考核为</w:t>
      </w:r>
      <w:r>
        <w:rPr>
          <w:rFonts w:ascii="Arial" w:hAnsi="Arial" w:cs="Arial"/>
          <w:sz w:val="24"/>
          <w:szCs w:val="24"/>
        </w:rPr>
        <w:t>85</w:t>
      </w:r>
      <w:r>
        <w:rPr>
          <w:rFonts w:hint="eastAsia" w:ascii="Arial" w:hAnsi="Arial" w:cs="Arial"/>
          <w:sz w:val="24"/>
          <w:szCs w:val="24"/>
        </w:rPr>
        <w:t>以上（包括</w:t>
      </w:r>
      <w:r>
        <w:rPr>
          <w:rFonts w:ascii="Arial" w:hAnsi="Arial" w:cs="Arial"/>
          <w:sz w:val="24"/>
          <w:szCs w:val="24"/>
        </w:rPr>
        <w:t>85</w:t>
      </w:r>
      <w:r>
        <w:rPr>
          <w:rFonts w:hint="eastAsia" w:ascii="Arial" w:hAnsi="Arial" w:cs="Arial"/>
          <w:sz w:val="24"/>
          <w:szCs w:val="24"/>
        </w:rPr>
        <w:t>分）、</w:t>
      </w:r>
      <w:r>
        <w:rPr>
          <w:rFonts w:ascii="Arial" w:hAnsi="Arial" w:cs="Arial"/>
          <w:sz w:val="24"/>
          <w:szCs w:val="24"/>
        </w:rPr>
        <w:t>90</w:t>
      </w:r>
      <w:r>
        <w:rPr>
          <w:rFonts w:hint="eastAsia" w:ascii="Arial" w:hAnsi="Arial" w:cs="Arial"/>
          <w:sz w:val="24"/>
          <w:szCs w:val="24"/>
        </w:rPr>
        <w:t>以下扣</w:t>
      </w:r>
      <w:r>
        <w:rPr>
          <w:rFonts w:ascii="Arial" w:hAnsi="Arial" w:cs="Arial"/>
          <w:sz w:val="24"/>
          <w:szCs w:val="24"/>
        </w:rPr>
        <w:t>20%</w:t>
      </w:r>
      <w:r>
        <w:rPr>
          <w:rFonts w:hint="eastAsia" w:ascii="Arial" w:hAnsi="Arial" w:cs="Arial"/>
          <w:sz w:val="24"/>
          <w:szCs w:val="24"/>
        </w:rPr>
        <w:t>考核金；年度考核为</w:t>
      </w:r>
      <w:r>
        <w:rPr>
          <w:rFonts w:ascii="Arial" w:hAnsi="Arial" w:cs="Arial"/>
          <w:sz w:val="24"/>
          <w:szCs w:val="24"/>
        </w:rPr>
        <w:t>80</w:t>
      </w:r>
      <w:r>
        <w:rPr>
          <w:rFonts w:hint="eastAsia" w:ascii="Arial" w:hAnsi="Arial" w:cs="Arial"/>
          <w:sz w:val="24"/>
          <w:szCs w:val="24"/>
        </w:rPr>
        <w:t>以上（包括</w:t>
      </w:r>
      <w:r>
        <w:rPr>
          <w:rFonts w:ascii="Arial" w:hAnsi="Arial" w:cs="Arial"/>
          <w:sz w:val="24"/>
          <w:szCs w:val="24"/>
        </w:rPr>
        <w:t>80</w:t>
      </w:r>
      <w:r>
        <w:rPr>
          <w:rFonts w:hint="eastAsia" w:ascii="Arial" w:hAnsi="Arial" w:cs="Arial"/>
          <w:sz w:val="24"/>
          <w:szCs w:val="24"/>
        </w:rPr>
        <w:t>分）、</w:t>
      </w:r>
      <w:r>
        <w:rPr>
          <w:rFonts w:ascii="Arial" w:hAnsi="Arial" w:cs="Arial"/>
          <w:sz w:val="24"/>
          <w:szCs w:val="24"/>
        </w:rPr>
        <w:t>85</w:t>
      </w:r>
      <w:r>
        <w:rPr>
          <w:rFonts w:hint="eastAsia" w:ascii="Arial" w:hAnsi="Arial" w:cs="Arial"/>
          <w:sz w:val="24"/>
          <w:szCs w:val="24"/>
        </w:rPr>
        <w:t>以下的，扣</w:t>
      </w:r>
      <w:r>
        <w:rPr>
          <w:rFonts w:ascii="Arial" w:hAnsi="Arial" w:cs="Arial"/>
          <w:sz w:val="24"/>
          <w:szCs w:val="24"/>
        </w:rPr>
        <w:t>40%</w:t>
      </w:r>
      <w:r>
        <w:rPr>
          <w:rFonts w:hint="eastAsia" w:ascii="Arial" w:hAnsi="Arial" w:cs="Arial"/>
          <w:sz w:val="24"/>
          <w:szCs w:val="24"/>
        </w:rPr>
        <w:t>考核金；</w:t>
      </w:r>
      <w:r>
        <w:rPr>
          <w:rFonts w:ascii="Arial" w:hAnsi="Arial" w:cs="Arial"/>
          <w:sz w:val="24"/>
          <w:szCs w:val="24"/>
        </w:rPr>
        <w:t>80</w:t>
      </w:r>
      <w:r>
        <w:rPr>
          <w:rFonts w:hint="eastAsia" w:ascii="Arial" w:hAnsi="Arial" w:cs="Arial"/>
          <w:sz w:val="24"/>
          <w:szCs w:val="24"/>
        </w:rPr>
        <w:t>分以下，考核金全部扣除。服务单位因工作失误造成安全事故，除追究相关法律责任外，还将扣除全年考核金。</w:t>
      </w:r>
    </w:p>
    <w:p>
      <w:pPr>
        <w:spacing w:line="440" w:lineRule="exact"/>
        <w:ind w:firstLine="480" w:firstLineChars="200"/>
        <w:rPr>
          <w:rFonts w:ascii="Arial" w:hAnsi="Arial" w:cs="Arial"/>
          <w:sz w:val="24"/>
          <w:szCs w:val="24"/>
        </w:rPr>
      </w:pPr>
      <w:r>
        <w:rPr>
          <w:rFonts w:hint="eastAsia" w:ascii="Arial" w:hAnsi="Arial" w:cs="Arial"/>
          <w:sz w:val="24"/>
          <w:szCs w:val="24"/>
        </w:rPr>
        <w:t>连续</w:t>
      </w:r>
      <w:r>
        <w:rPr>
          <w:rFonts w:ascii="Arial" w:hAnsi="Arial" w:cs="Arial"/>
          <w:sz w:val="24"/>
          <w:szCs w:val="24"/>
        </w:rPr>
        <w:t>2</w:t>
      </w:r>
      <w:r>
        <w:rPr>
          <w:rFonts w:hint="eastAsia" w:ascii="Arial" w:hAnsi="Arial" w:cs="Arial"/>
          <w:sz w:val="24"/>
          <w:szCs w:val="24"/>
        </w:rPr>
        <w:t>个月低于</w:t>
      </w:r>
      <w:r>
        <w:rPr>
          <w:rFonts w:ascii="Arial" w:hAnsi="Arial" w:cs="Arial"/>
          <w:sz w:val="24"/>
          <w:szCs w:val="24"/>
        </w:rPr>
        <w:t>80</w:t>
      </w:r>
      <w:r>
        <w:rPr>
          <w:rFonts w:hint="eastAsia" w:ascii="Arial" w:hAnsi="Arial" w:cs="Arial"/>
          <w:sz w:val="24"/>
          <w:szCs w:val="24"/>
        </w:rPr>
        <w:t>分或年度累计</w:t>
      </w:r>
      <w:r>
        <w:rPr>
          <w:rFonts w:ascii="Arial" w:hAnsi="Arial" w:cs="Arial"/>
          <w:sz w:val="24"/>
          <w:szCs w:val="24"/>
        </w:rPr>
        <w:t>3</w:t>
      </w:r>
      <w:r>
        <w:rPr>
          <w:rFonts w:hint="eastAsia" w:ascii="Arial" w:hAnsi="Arial" w:cs="Arial"/>
          <w:sz w:val="24"/>
          <w:szCs w:val="24"/>
        </w:rPr>
        <w:t>个月低于</w:t>
      </w:r>
      <w:r>
        <w:rPr>
          <w:rFonts w:ascii="Arial" w:hAnsi="Arial" w:cs="Arial"/>
          <w:sz w:val="24"/>
          <w:szCs w:val="24"/>
        </w:rPr>
        <w:t>80</w:t>
      </w:r>
      <w:r>
        <w:rPr>
          <w:rFonts w:hint="eastAsia" w:ascii="Arial" w:hAnsi="Arial" w:cs="Arial"/>
          <w:sz w:val="24"/>
          <w:szCs w:val="24"/>
        </w:rPr>
        <w:t>分，采购人有权单方面与服务单位终止承包合同。</w:t>
      </w:r>
    </w:p>
    <w:p>
      <w:pPr>
        <w:spacing w:line="440" w:lineRule="exact"/>
        <w:ind w:firstLine="481" w:firstLineChars="200"/>
        <w:rPr>
          <w:rFonts w:ascii="Arial" w:hAnsi="Arial" w:cs="Arial"/>
          <w:b/>
          <w:bCs/>
          <w:sz w:val="24"/>
          <w:szCs w:val="24"/>
        </w:rPr>
      </w:pPr>
      <w:r>
        <w:rPr>
          <w:rFonts w:hint="eastAsia" w:ascii="Arial" w:hAnsi="Arial" w:cs="Arial"/>
          <w:b/>
          <w:bCs/>
          <w:sz w:val="24"/>
          <w:szCs w:val="24"/>
        </w:rPr>
        <w:t>（一）对员工考核</w:t>
      </w:r>
    </w:p>
    <w:p>
      <w:pPr>
        <w:spacing w:line="440" w:lineRule="exact"/>
        <w:ind w:firstLine="480" w:firstLineChars="200"/>
        <w:rPr>
          <w:rFonts w:ascii="Arial" w:hAnsi="Arial" w:cs="Arial"/>
          <w:sz w:val="24"/>
          <w:szCs w:val="24"/>
        </w:rPr>
      </w:pPr>
      <w:r>
        <w:rPr>
          <w:rFonts w:ascii="Arial" w:hAnsi="Arial" w:cs="Arial"/>
          <w:sz w:val="24"/>
          <w:szCs w:val="24"/>
        </w:rPr>
        <w:t>1</w:t>
      </w:r>
      <w:r>
        <w:rPr>
          <w:rFonts w:hint="eastAsia" w:ascii="Arial" w:hAnsi="Arial" w:cs="Arial"/>
          <w:sz w:val="24"/>
          <w:szCs w:val="24"/>
          <w:lang w:val="en-US" w:eastAsia="zh-CN"/>
        </w:rPr>
        <w:t>.</w:t>
      </w:r>
      <w:r>
        <w:rPr>
          <w:rFonts w:hint="eastAsia" w:ascii="Arial" w:hAnsi="Arial" w:cs="Arial"/>
          <w:sz w:val="24"/>
          <w:szCs w:val="24"/>
        </w:rPr>
        <w:t>每发现一条</w:t>
      </w:r>
      <w:r>
        <w:rPr>
          <w:rFonts w:ascii="Arial" w:hAnsi="Arial" w:cs="Arial"/>
          <w:sz w:val="24"/>
          <w:szCs w:val="24"/>
        </w:rPr>
        <w:t>,</w:t>
      </w:r>
      <w:r>
        <w:rPr>
          <w:rFonts w:hint="eastAsia" w:ascii="Arial" w:hAnsi="Arial" w:cs="Arial"/>
          <w:sz w:val="24"/>
          <w:szCs w:val="24"/>
        </w:rPr>
        <w:t>对物业公司扣</w:t>
      </w:r>
      <w:r>
        <w:rPr>
          <w:rFonts w:ascii="Arial" w:hAnsi="Arial" w:cs="Arial"/>
          <w:sz w:val="24"/>
          <w:szCs w:val="24"/>
        </w:rPr>
        <w:t>0.5</w:t>
      </w:r>
      <w:r>
        <w:rPr>
          <w:rFonts w:hint="eastAsia" w:ascii="Arial" w:hAnsi="Arial" w:cs="Arial"/>
          <w:sz w:val="24"/>
          <w:szCs w:val="24"/>
        </w:rPr>
        <w:t>分</w:t>
      </w:r>
    </w:p>
    <w:p>
      <w:pPr>
        <w:spacing w:line="440" w:lineRule="exact"/>
        <w:ind w:firstLine="360" w:firstLineChars="150"/>
        <w:rPr>
          <w:rFonts w:ascii="Arial" w:hAnsi="Arial" w:cs="Arial"/>
          <w:sz w:val="24"/>
          <w:szCs w:val="24"/>
        </w:rPr>
      </w:pPr>
      <w:r>
        <w:rPr>
          <w:rFonts w:ascii="Arial" w:hAnsi="Arial" w:cs="Arial"/>
          <w:sz w:val="24"/>
          <w:szCs w:val="24"/>
        </w:rPr>
        <w:t>1.1</w:t>
      </w:r>
      <w:r>
        <w:rPr>
          <w:rFonts w:hint="eastAsia" w:ascii="Arial" w:hAnsi="Arial" w:cs="Arial"/>
          <w:sz w:val="24"/>
          <w:szCs w:val="24"/>
        </w:rPr>
        <w:t>不按规定佩带胸牌</w:t>
      </w:r>
      <w:r>
        <w:rPr>
          <w:rFonts w:ascii="Arial" w:hAnsi="Arial" w:cs="Arial"/>
          <w:sz w:val="24"/>
          <w:szCs w:val="24"/>
        </w:rPr>
        <w:t>;</w:t>
      </w:r>
    </w:p>
    <w:p>
      <w:pPr>
        <w:spacing w:line="440" w:lineRule="exact"/>
        <w:ind w:firstLine="360" w:firstLineChars="150"/>
        <w:rPr>
          <w:rFonts w:ascii="Arial" w:hAnsi="Arial" w:cs="Arial"/>
          <w:sz w:val="24"/>
          <w:szCs w:val="24"/>
        </w:rPr>
      </w:pPr>
      <w:r>
        <w:rPr>
          <w:rFonts w:ascii="Arial" w:hAnsi="Arial" w:cs="Arial"/>
          <w:sz w:val="24"/>
          <w:szCs w:val="24"/>
        </w:rPr>
        <w:t>1.2</w:t>
      </w:r>
      <w:r>
        <w:rPr>
          <w:rFonts w:hint="eastAsia" w:ascii="Arial" w:hAnsi="Arial" w:cs="Arial"/>
          <w:sz w:val="24"/>
          <w:szCs w:val="24"/>
        </w:rPr>
        <w:t>上班时未穿工作服或服饰不整</w:t>
      </w:r>
      <w:r>
        <w:rPr>
          <w:rFonts w:ascii="Arial" w:hAnsi="Arial" w:cs="Arial"/>
          <w:sz w:val="24"/>
          <w:szCs w:val="24"/>
        </w:rPr>
        <w:t>;</w:t>
      </w:r>
    </w:p>
    <w:p>
      <w:pPr>
        <w:spacing w:line="440" w:lineRule="exact"/>
        <w:ind w:firstLine="240" w:firstLineChars="100"/>
        <w:rPr>
          <w:rFonts w:ascii="Arial" w:hAnsi="Arial" w:cs="Arial"/>
          <w:sz w:val="24"/>
          <w:szCs w:val="24"/>
        </w:rPr>
      </w:pPr>
      <w:r>
        <w:rPr>
          <w:rFonts w:ascii="Arial" w:hAnsi="Arial" w:cs="Arial"/>
          <w:sz w:val="24"/>
          <w:szCs w:val="24"/>
        </w:rPr>
        <w:t xml:space="preserve"> 1.3</w:t>
      </w:r>
      <w:r>
        <w:rPr>
          <w:rFonts w:hint="eastAsia" w:ascii="Arial" w:hAnsi="Arial" w:cs="Arial"/>
          <w:sz w:val="24"/>
          <w:szCs w:val="24"/>
        </w:rPr>
        <w:t>在大楼内乱扔杂物</w:t>
      </w:r>
      <w:r>
        <w:rPr>
          <w:rFonts w:ascii="Arial" w:hAnsi="Arial" w:cs="Arial"/>
          <w:sz w:val="24"/>
          <w:szCs w:val="24"/>
        </w:rPr>
        <w:t>;</w:t>
      </w:r>
    </w:p>
    <w:p>
      <w:pPr>
        <w:spacing w:line="440" w:lineRule="exact"/>
        <w:ind w:firstLine="360" w:firstLineChars="150"/>
        <w:rPr>
          <w:rFonts w:ascii="Arial" w:hAnsi="Arial" w:cs="Arial"/>
          <w:sz w:val="24"/>
          <w:szCs w:val="24"/>
        </w:rPr>
      </w:pPr>
      <w:r>
        <w:rPr>
          <w:rFonts w:ascii="Arial" w:hAnsi="Arial" w:cs="Arial"/>
          <w:sz w:val="24"/>
          <w:szCs w:val="24"/>
        </w:rPr>
        <w:t>1.4</w:t>
      </w:r>
      <w:r>
        <w:rPr>
          <w:rFonts w:hint="eastAsia" w:ascii="Arial" w:hAnsi="Arial" w:cs="Arial"/>
          <w:sz w:val="24"/>
          <w:szCs w:val="24"/>
        </w:rPr>
        <w:t>未经同意擅自带人进入大楼和有关区域参观</w:t>
      </w:r>
      <w:r>
        <w:rPr>
          <w:rFonts w:ascii="Arial" w:hAnsi="Arial" w:cs="Arial"/>
          <w:sz w:val="24"/>
          <w:szCs w:val="24"/>
        </w:rPr>
        <w:t>;</w:t>
      </w:r>
    </w:p>
    <w:p>
      <w:pPr>
        <w:spacing w:line="440" w:lineRule="exact"/>
        <w:ind w:firstLine="240" w:firstLineChars="100"/>
        <w:rPr>
          <w:rFonts w:ascii="Arial" w:hAnsi="Arial" w:cs="Arial"/>
          <w:sz w:val="24"/>
          <w:szCs w:val="24"/>
        </w:rPr>
      </w:pPr>
      <w:r>
        <w:rPr>
          <w:rFonts w:ascii="Arial" w:hAnsi="Arial" w:cs="Arial"/>
          <w:sz w:val="24"/>
          <w:szCs w:val="24"/>
        </w:rPr>
        <w:t xml:space="preserve"> 1.5</w:t>
      </w:r>
      <w:r>
        <w:rPr>
          <w:rFonts w:hint="eastAsia" w:ascii="Arial" w:hAnsi="Arial" w:cs="Arial"/>
          <w:sz w:val="24"/>
          <w:szCs w:val="24"/>
        </w:rPr>
        <w:t>当班时行为不检点，如嘻皮笑脸，大声喧哗，追逐打闹，勾肩搭背等</w:t>
      </w:r>
      <w:r>
        <w:rPr>
          <w:rFonts w:ascii="Arial" w:hAnsi="Arial" w:cs="Arial"/>
          <w:sz w:val="24"/>
          <w:szCs w:val="24"/>
        </w:rPr>
        <w:t>;</w:t>
      </w:r>
    </w:p>
    <w:p>
      <w:pPr>
        <w:spacing w:line="440" w:lineRule="exact"/>
        <w:ind w:firstLine="360" w:firstLineChars="150"/>
        <w:rPr>
          <w:rFonts w:ascii="Arial" w:hAnsi="Arial" w:cs="Arial"/>
          <w:sz w:val="24"/>
          <w:szCs w:val="24"/>
        </w:rPr>
      </w:pPr>
      <w:r>
        <w:rPr>
          <w:rFonts w:ascii="Arial" w:hAnsi="Arial" w:cs="Arial"/>
          <w:sz w:val="24"/>
          <w:szCs w:val="24"/>
        </w:rPr>
        <w:t>1.6</w:t>
      </w:r>
      <w:r>
        <w:rPr>
          <w:rFonts w:hint="eastAsia" w:ascii="Arial" w:hAnsi="Arial" w:cs="Arial"/>
          <w:sz w:val="24"/>
          <w:szCs w:val="24"/>
        </w:rPr>
        <w:t>上班无故迟到，早退，串岗或擅离岗位</w:t>
      </w:r>
      <w:r>
        <w:rPr>
          <w:rFonts w:ascii="Arial" w:hAnsi="Arial" w:cs="Arial"/>
          <w:sz w:val="24"/>
          <w:szCs w:val="24"/>
        </w:rPr>
        <w:t>10</w:t>
      </w:r>
      <w:r>
        <w:rPr>
          <w:rFonts w:hint="eastAsia" w:ascii="Arial" w:hAnsi="Arial" w:cs="Arial"/>
          <w:sz w:val="24"/>
          <w:szCs w:val="24"/>
        </w:rPr>
        <w:t>分钟以内，</w:t>
      </w:r>
    </w:p>
    <w:p>
      <w:pPr>
        <w:spacing w:line="440" w:lineRule="exact"/>
        <w:ind w:firstLine="360" w:firstLineChars="150"/>
        <w:rPr>
          <w:rFonts w:ascii="Arial" w:hAnsi="Arial" w:cs="Arial"/>
          <w:sz w:val="24"/>
          <w:szCs w:val="24"/>
        </w:rPr>
      </w:pPr>
      <w:r>
        <w:rPr>
          <w:rFonts w:ascii="Arial" w:hAnsi="Arial" w:cs="Arial"/>
          <w:sz w:val="24"/>
          <w:szCs w:val="24"/>
        </w:rPr>
        <w:t>1.7</w:t>
      </w:r>
      <w:r>
        <w:rPr>
          <w:rFonts w:hint="eastAsia" w:ascii="Arial" w:hAnsi="Arial" w:cs="Arial"/>
          <w:sz w:val="24"/>
          <w:szCs w:val="24"/>
        </w:rPr>
        <w:t>不按规定填写操作记录、交接班记录；</w:t>
      </w:r>
    </w:p>
    <w:p>
      <w:pPr>
        <w:spacing w:line="440" w:lineRule="exact"/>
        <w:ind w:firstLine="360" w:firstLineChars="150"/>
        <w:rPr>
          <w:rFonts w:ascii="Arial" w:hAnsi="Arial" w:cs="Arial"/>
          <w:sz w:val="24"/>
          <w:szCs w:val="24"/>
        </w:rPr>
      </w:pPr>
      <w:r>
        <w:rPr>
          <w:rFonts w:ascii="Arial" w:hAnsi="Arial" w:cs="Arial"/>
          <w:sz w:val="24"/>
          <w:szCs w:val="24"/>
        </w:rPr>
        <w:t>1.8</w:t>
      </w:r>
      <w:r>
        <w:rPr>
          <w:rFonts w:hint="eastAsia" w:ascii="Arial" w:hAnsi="Arial" w:cs="Arial"/>
          <w:sz w:val="24"/>
          <w:szCs w:val="24"/>
        </w:rPr>
        <w:t>违反电话使用规定，打私人电话聊天；</w:t>
      </w:r>
    </w:p>
    <w:p>
      <w:pPr>
        <w:spacing w:line="440" w:lineRule="exact"/>
        <w:ind w:firstLine="360" w:firstLineChars="150"/>
        <w:rPr>
          <w:rFonts w:ascii="Arial" w:hAnsi="Arial" w:cs="Arial"/>
          <w:sz w:val="24"/>
          <w:szCs w:val="24"/>
        </w:rPr>
      </w:pPr>
      <w:r>
        <w:rPr>
          <w:rFonts w:ascii="Arial" w:hAnsi="Arial" w:cs="Arial"/>
          <w:sz w:val="24"/>
          <w:szCs w:val="24"/>
        </w:rPr>
        <w:t>1.9</w:t>
      </w:r>
      <w:r>
        <w:rPr>
          <w:rFonts w:hint="eastAsia" w:ascii="Arial" w:hAnsi="Arial" w:cs="Arial"/>
          <w:sz w:val="24"/>
          <w:szCs w:val="24"/>
        </w:rPr>
        <w:t>工作时间看书籍，擅自换班、调班；</w:t>
      </w:r>
    </w:p>
    <w:p>
      <w:pPr>
        <w:spacing w:line="440" w:lineRule="exact"/>
        <w:ind w:firstLine="360" w:firstLineChars="150"/>
        <w:rPr>
          <w:rFonts w:ascii="Arial" w:hAnsi="Arial" w:cs="Arial"/>
          <w:sz w:val="24"/>
          <w:szCs w:val="24"/>
        </w:rPr>
      </w:pPr>
      <w:r>
        <w:rPr>
          <w:rFonts w:ascii="Arial" w:hAnsi="Arial" w:cs="Arial"/>
          <w:sz w:val="24"/>
          <w:szCs w:val="24"/>
        </w:rPr>
        <w:t>1.10</w:t>
      </w:r>
      <w:r>
        <w:rPr>
          <w:rFonts w:hint="eastAsia" w:ascii="Arial" w:hAnsi="Arial" w:cs="Arial"/>
          <w:sz w:val="24"/>
          <w:szCs w:val="24"/>
        </w:rPr>
        <w:t>每个小时各个楼层有巡逻记录，未记录扣</w:t>
      </w:r>
      <w:r>
        <w:rPr>
          <w:rFonts w:ascii="Arial" w:hAnsi="Arial" w:cs="Arial"/>
          <w:sz w:val="24"/>
          <w:szCs w:val="24"/>
        </w:rPr>
        <w:t>0.5</w:t>
      </w:r>
      <w:r>
        <w:rPr>
          <w:rFonts w:hint="eastAsia" w:ascii="Arial" w:hAnsi="Arial" w:cs="Arial"/>
          <w:sz w:val="24"/>
          <w:szCs w:val="24"/>
        </w:rPr>
        <w:t>分。</w:t>
      </w:r>
    </w:p>
    <w:p>
      <w:pPr>
        <w:spacing w:line="440" w:lineRule="exact"/>
        <w:ind w:firstLine="240" w:firstLineChars="100"/>
        <w:rPr>
          <w:rFonts w:ascii="Arial" w:hAnsi="Arial" w:cs="Arial"/>
          <w:sz w:val="24"/>
          <w:szCs w:val="24"/>
        </w:rPr>
      </w:pPr>
      <w:r>
        <w:rPr>
          <w:rFonts w:ascii="Arial" w:hAnsi="Arial" w:cs="Arial"/>
          <w:sz w:val="24"/>
          <w:szCs w:val="24"/>
        </w:rPr>
        <w:t>2</w:t>
      </w:r>
      <w:r>
        <w:rPr>
          <w:rFonts w:hint="eastAsia" w:ascii="Arial" w:hAnsi="Arial" w:cs="Arial"/>
          <w:sz w:val="24"/>
          <w:szCs w:val="24"/>
          <w:lang w:val="en-US" w:eastAsia="zh-CN"/>
        </w:rPr>
        <w:t>.</w:t>
      </w:r>
      <w:r>
        <w:rPr>
          <w:rFonts w:hint="eastAsia" w:ascii="Arial" w:hAnsi="Arial" w:cs="Arial"/>
          <w:sz w:val="24"/>
          <w:szCs w:val="24"/>
        </w:rPr>
        <w:t>每发现一条</w:t>
      </w:r>
      <w:r>
        <w:rPr>
          <w:rFonts w:ascii="Arial" w:hAnsi="Arial" w:cs="Arial"/>
          <w:sz w:val="24"/>
          <w:szCs w:val="24"/>
        </w:rPr>
        <w:t>,</w:t>
      </w:r>
      <w:r>
        <w:rPr>
          <w:rFonts w:hint="eastAsia" w:ascii="Arial" w:hAnsi="Arial" w:cs="Arial"/>
          <w:sz w:val="24"/>
          <w:szCs w:val="24"/>
        </w:rPr>
        <w:t>对物业公司扣</w:t>
      </w:r>
      <w:r>
        <w:rPr>
          <w:rFonts w:ascii="Arial" w:hAnsi="Arial" w:cs="Arial"/>
          <w:sz w:val="24"/>
          <w:szCs w:val="24"/>
        </w:rPr>
        <w:t>1</w:t>
      </w:r>
      <w:r>
        <w:rPr>
          <w:rFonts w:hint="eastAsia" w:ascii="Arial" w:hAnsi="Arial" w:cs="Arial"/>
          <w:sz w:val="24"/>
          <w:szCs w:val="24"/>
        </w:rPr>
        <w:t>分</w:t>
      </w:r>
    </w:p>
    <w:p>
      <w:pPr>
        <w:spacing w:line="440" w:lineRule="exact"/>
        <w:ind w:left="1575" w:hanging="1800" w:hangingChars="750"/>
        <w:rPr>
          <w:rFonts w:ascii="Arial" w:hAnsi="Arial" w:cs="Arial"/>
          <w:sz w:val="24"/>
          <w:szCs w:val="24"/>
        </w:rPr>
      </w:pPr>
      <w:r>
        <w:rPr>
          <w:rFonts w:ascii="Arial" w:hAnsi="Arial" w:cs="Arial"/>
          <w:sz w:val="24"/>
          <w:szCs w:val="24"/>
        </w:rPr>
        <w:t xml:space="preserve">   2.1</w:t>
      </w:r>
      <w:r>
        <w:rPr>
          <w:rFonts w:hint="eastAsia" w:ascii="Arial" w:hAnsi="Arial" w:cs="Arial"/>
          <w:sz w:val="24"/>
          <w:szCs w:val="24"/>
        </w:rPr>
        <w:t>没有正当理由或未经部门领导同意而擅自离开工作岗位</w:t>
      </w:r>
      <w:r>
        <w:rPr>
          <w:rFonts w:ascii="Arial" w:hAnsi="Arial" w:cs="Arial"/>
          <w:sz w:val="24"/>
          <w:szCs w:val="24"/>
        </w:rPr>
        <w:t>10</w:t>
      </w:r>
      <w:r>
        <w:rPr>
          <w:rFonts w:hint="eastAsia" w:ascii="Arial" w:hAnsi="Arial" w:cs="Arial"/>
          <w:sz w:val="24"/>
          <w:szCs w:val="24"/>
        </w:rPr>
        <w:t>分钟以上</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2.2</w:t>
      </w:r>
      <w:r>
        <w:rPr>
          <w:rFonts w:hint="eastAsia" w:ascii="Arial" w:hAnsi="Arial" w:cs="Arial"/>
          <w:sz w:val="24"/>
          <w:szCs w:val="24"/>
        </w:rPr>
        <w:t>在禁止吸烟区域吸烟或使用明火</w:t>
      </w:r>
      <w:r>
        <w:rPr>
          <w:rFonts w:ascii="Arial" w:hAnsi="Arial" w:cs="Arial"/>
          <w:sz w:val="24"/>
          <w:szCs w:val="24"/>
        </w:rPr>
        <w:t>;</w:t>
      </w:r>
    </w:p>
    <w:p>
      <w:pPr>
        <w:spacing w:line="440" w:lineRule="exact"/>
        <w:ind w:left="1785" w:hanging="2040" w:hangingChars="850"/>
        <w:rPr>
          <w:rFonts w:ascii="Arial" w:hAnsi="Arial" w:cs="Arial"/>
          <w:sz w:val="24"/>
          <w:szCs w:val="24"/>
        </w:rPr>
      </w:pPr>
      <w:r>
        <w:rPr>
          <w:rFonts w:ascii="Arial" w:hAnsi="Arial" w:cs="Arial"/>
          <w:sz w:val="24"/>
          <w:szCs w:val="24"/>
        </w:rPr>
        <w:t xml:space="preserve">   2.3</w:t>
      </w:r>
      <w:r>
        <w:rPr>
          <w:rFonts w:hint="eastAsia" w:ascii="Arial" w:hAnsi="Arial" w:cs="Arial"/>
          <w:sz w:val="24"/>
          <w:szCs w:val="24"/>
        </w:rPr>
        <w:t>未经许可而使用公司或大楼内设施、设备、仪表、仪器或其他财物</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2.4</w:t>
      </w:r>
      <w:r>
        <w:rPr>
          <w:rFonts w:hint="eastAsia" w:ascii="Arial" w:hAnsi="Arial" w:cs="Arial"/>
          <w:sz w:val="24"/>
          <w:szCs w:val="24"/>
        </w:rPr>
        <w:t>使用不文明的语言对待同事和客人</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2.5</w:t>
      </w:r>
      <w:r>
        <w:rPr>
          <w:rFonts w:hint="eastAsia" w:ascii="Arial" w:hAnsi="Arial" w:cs="Arial"/>
          <w:sz w:val="24"/>
          <w:szCs w:val="24"/>
        </w:rPr>
        <w:t>故意消极怠工；</w:t>
      </w:r>
    </w:p>
    <w:p>
      <w:pPr>
        <w:spacing w:line="440" w:lineRule="exact"/>
        <w:ind w:firstLine="240" w:firstLineChars="100"/>
        <w:rPr>
          <w:rFonts w:ascii="Arial" w:hAnsi="Arial" w:cs="Arial"/>
          <w:sz w:val="24"/>
          <w:szCs w:val="24"/>
        </w:rPr>
      </w:pPr>
      <w:r>
        <w:rPr>
          <w:rFonts w:ascii="Arial" w:hAnsi="Arial" w:cs="Arial"/>
          <w:sz w:val="24"/>
          <w:szCs w:val="24"/>
        </w:rPr>
        <w:t xml:space="preserve"> 2.6</w:t>
      </w:r>
      <w:r>
        <w:rPr>
          <w:rFonts w:hint="eastAsia" w:ascii="Arial" w:hAnsi="Arial" w:cs="Arial"/>
          <w:sz w:val="24"/>
          <w:szCs w:val="24"/>
        </w:rPr>
        <w:t>发现公司财物丢失、损坏时，置若罔闻，无动于衷，在被调查时提供假情况</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2.7</w:t>
      </w:r>
      <w:r>
        <w:rPr>
          <w:rFonts w:hint="eastAsia" w:ascii="Arial" w:hAnsi="Arial" w:cs="Arial"/>
          <w:sz w:val="24"/>
          <w:szCs w:val="24"/>
        </w:rPr>
        <w:t>工作中经常拖拖拉拉，出工不出力，屡教不改</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2.8</w:t>
      </w:r>
      <w:r>
        <w:rPr>
          <w:rFonts w:hint="eastAsia" w:ascii="Arial" w:hAnsi="Arial" w:cs="Arial"/>
          <w:sz w:val="24"/>
          <w:szCs w:val="24"/>
        </w:rPr>
        <w:t>当班时睡觉、下棋、打扑克、听收录机或干私事等</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2.9</w:t>
      </w:r>
      <w:r>
        <w:rPr>
          <w:rFonts w:hint="eastAsia" w:ascii="Arial" w:hAnsi="Arial" w:cs="Arial"/>
          <w:sz w:val="24"/>
          <w:szCs w:val="24"/>
        </w:rPr>
        <w:t>违反操作规程，造成轻微损失；</w:t>
      </w:r>
      <w:r>
        <w:rPr>
          <w:rFonts w:ascii="Arial" w:hAnsi="Arial" w:cs="Arial"/>
          <w:sz w:val="24"/>
          <w:szCs w:val="24"/>
        </w:rPr>
        <w:t xml:space="preserve"> </w:t>
      </w:r>
    </w:p>
    <w:p>
      <w:pPr>
        <w:spacing w:line="440" w:lineRule="exact"/>
        <w:ind w:firstLine="240" w:firstLineChars="100"/>
        <w:rPr>
          <w:rFonts w:ascii="Arial" w:hAnsi="Arial" w:cs="Arial"/>
          <w:sz w:val="24"/>
          <w:szCs w:val="24"/>
        </w:rPr>
      </w:pPr>
      <w:r>
        <w:rPr>
          <w:rFonts w:ascii="Arial" w:hAnsi="Arial" w:cs="Arial"/>
          <w:sz w:val="24"/>
          <w:szCs w:val="24"/>
        </w:rPr>
        <w:t>3</w:t>
      </w:r>
      <w:r>
        <w:rPr>
          <w:rFonts w:hint="eastAsia" w:ascii="Arial" w:hAnsi="Arial" w:cs="Arial"/>
          <w:sz w:val="24"/>
          <w:szCs w:val="24"/>
          <w:lang w:val="en-US" w:eastAsia="zh-CN"/>
        </w:rPr>
        <w:t>.</w:t>
      </w:r>
      <w:r>
        <w:rPr>
          <w:rFonts w:hint="eastAsia" w:ascii="Arial" w:hAnsi="Arial" w:cs="Arial"/>
          <w:sz w:val="24"/>
          <w:szCs w:val="24"/>
        </w:rPr>
        <w:t>每发现一条</w:t>
      </w:r>
      <w:r>
        <w:rPr>
          <w:rFonts w:ascii="Arial" w:hAnsi="Arial" w:cs="Arial"/>
          <w:sz w:val="24"/>
          <w:szCs w:val="24"/>
        </w:rPr>
        <w:t>,</w:t>
      </w:r>
      <w:r>
        <w:rPr>
          <w:rFonts w:hint="eastAsia" w:ascii="Arial" w:hAnsi="Arial" w:cs="Arial"/>
          <w:sz w:val="24"/>
          <w:szCs w:val="24"/>
        </w:rPr>
        <w:t>对物业公司扣</w:t>
      </w:r>
      <w:r>
        <w:rPr>
          <w:rFonts w:ascii="Arial" w:hAnsi="Arial" w:cs="Arial"/>
          <w:sz w:val="24"/>
          <w:szCs w:val="24"/>
        </w:rPr>
        <w:t>3</w:t>
      </w:r>
      <w:r>
        <w:rPr>
          <w:rFonts w:hint="eastAsia" w:ascii="Arial" w:hAnsi="Arial" w:cs="Arial"/>
          <w:sz w:val="24"/>
          <w:szCs w:val="24"/>
        </w:rPr>
        <w:t>分</w:t>
      </w:r>
    </w:p>
    <w:p>
      <w:pPr>
        <w:spacing w:line="440" w:lineRule="exact"/>
        <w:ind w:left="675" w:leftChars="150" w:hanging="360" w:hangingChars="150"/>
        <w:rPr>
          <w:rFonts w:ascii="Arial" w:hAnsi="Arial" w:cs="Arial"/>
          <w:sz w:val="24"/>
          <w:szCs w:val="24"/>
        </w:rPr>
      </w:pPr>
      <w:r>
        <w:rPr>
          <w:rFonts w:ascii="Arial" w:hAnsi="Arial" w:cs="Arial"/>
          <w:sz w:val="24"/>
          <w:szCs w:val="24"/>
        </w:rPr>
        <w:t>3.l</w:t>
      </w:r>
      <w:r>
        <w:rPr>
          <w:rFonts w:hint="eastAsia" w:ascii="Arial" w:hAnsi="Arial" w:cs="Arial"/>
          <w:sz w:val="24"/>
          <w:szCs w:val="24"/>
        </w:rPr>
        <w:t>不服从上级指令，甚至拒绝或有意不完成指派给其的工作，紧急情况下不完成指定的工作</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3.2</w:t>
      </w:r>
      <w:r>
        <w:rPr>
          <w:rFonts w:hint="eastAsia" w:ascii="Arial" w:hAnsi="Arial" w:cs="Arial"/>
          <w:sz w:val="24"/>
          <w:szCs w:val="24"/>
        </w:rPr>
        <w:t>故意损坏公共财物</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3.3</w:t>
      </w:r>
      <w:r>
        <w:rPr>
          <w:rFonts w:hint="eastAsia" w:ascii="Arial" w:hAnsi="Arial" w:cs="Arial"/>
          <w:sz w:val="24"/>
          <w:szCs w:val="24"/>
        </w:rPr>
        <w:t>在大楼内进行任何形式的赌博</w:t>
      </w:r>
      <w:r>
        <w:rPr>
          <w:rFonts w:ascii="Arial" w:hAnsi="Arial" w:cs="Arial"/>
          <w:sz w:val="24"/>
          <w:szCs w:val="24"/>
        </w:rPr>
        <w:t>;</w:t>
      </w:r>
    </w:p>
    <w:p>
      <w:pPr>
        <w:spacing w:line="440" w:lineRule="exact"/>
        <w:ind w:left="675" w:leftChars="150" w:hanging="360" w:hangingChars="150"/>
        <w:rPr>
          <w:rFonts w:ascii="Arial" w:hAnsi="Arial" w:cs="Arial"/>
          <w:sz w:val="24"/>
          <w:szCs w:val="24"/>
        </w:rPr>
      </w:pPr>
      <w:r>
        <w:rPr>
          <w:rFonts w:ascii="Arial" w:hAnsi="Arial" w:cs="Arial"/>
          <w:sz w:val="24"/>
          <w:szCs w:val="24"/>
        </w:rPr>
        <w:t>3.4</w:t>
      </w:r>
      <w:r>
        <w:rPr>
          <w:rFonts w:hint="eastAsia" w:ascii="Arial" w:hAnsi="Arial" w:cs="Arial"/>
          <w:sz w:val="24"/>
          <w:szCs w:val="24"/>
        </w:rPr>
        <w:t>玩忽职守，违反技术操作规程和安全规程，违章指挥或隐瞒工作过失造成事故或损失的</w:t>
      </w:r>
      <w:r>
        <w:rPr>
          <w:rFonts w:ascii="Arial" w:hAnsi="Arial" w:cs="Arial"/>
          <w:sz w:val="24"/>
          <w:szCs w:val="24"/>
        </w:rPr>
        <w:t xml:space="preserve">;    </w:t>
      </w:r>
    </w:p>
    <w:p>
      <w:pPr>
        <w:spacing w:line="440" w:lineRule="exact"/>
        <w:rPr>
          <w:rFonts w:ascii="Arial" w:hAnsi="Arial" w:cs="Arial"/>
          <w:sz w:val="24"/>
          <w:szCs w:val="24"/>
        </w:rPr>
      </w:pPr>
      <w:r>
        <w:rPr>
          <w:rFonts w:ascii="Arial" w:hAnsi="Arial" w:cs="Arial"/>
          <w:sz w:val="24"/>
          <w:szCs w:val="24"/>
        </w:rPr>
        <w:t xml:space="preserve">   3.5</w:t>
      </w:r>
      <w:r>
        <w:rPr>
          <w:rFonts w:hint="eastAsia" w:ascii="Arial" w:hAnsi="Arial" w:cs="Arial"/>
          <w:sz w:val="24"/>
          <w:szCs w:val="24"/>
        </w:rPr>
        <w:t>损坏设备，工具造成经济损失的</w:t>
      </w:r>
      <w:r>
        <w:rPr>
          <w:rFonts w:ascii="Arial" w:hAnsi="Arial" w:cs="Arial"/>
          <w:sz w:val="24"/>
          <w:szCs w:val="24"/>
        </w:rPr>
        <w:t>;</w:t>
      </w:r>
    </w:p>
    <w:p>
      <w:pPr>
        <w:spacing w:line="440" w:lineRule="exact"/>
        <w:rPr>
          <w:rFonts w:ascii="Arial" w:hAnsi="Arial" w:cs="Arial"/>
          <w:sz w:val="24"/>
          <w:szCs w:val="24"/>
        </w:rPr>
      </w:pPr>
      <w:r>
        <w:rPr>
          <w:rFonts w:ascii="Arial" w:hAnsi="Arial" w:cs="Arial"/>
          <w:sz w:val="24"/>
          <w:szCs w:val="24"/>
        </w:rPr>
        <w:t xml:space="preserve">   3.6</w:t>
      </w:r>
      <w:r>
        <w:rPr>
          <w:rFonts w:hint="eastAsia" w:ascii="Arial" w:hAnsi="Arial" w:cs="Arial"/>
          <w:sz w:val="24"/>
          <w:szCs w:val="24"/>
        </w:rPr>
        <w:t>服务态度差，造成客户投诉，经核实后，确为事实的</w:t>
      </w:r>
      <w:r>
        <w:rPr>
          <w:rFonts w:ascii="Arial" w:hAnsi="Arial" w:cs="Arial"/>
          <w:sz w:val="24"/>
          <w:szCs w:val="24"/>
        </w:rPr>
        <w:t>;</w:t>
      </w:r>
    </w:p>
    <w:p>
      <w:pPr>
        <w:spacing w:line="440" w:lineRule="exact"/>
        <w:ind w:firstLine="240" w:firstLineChars="100"/>
        <w:rPr>
          <w:rFonts w:ascii="Arial" w:hAnsi="Arial" w:cs="Arial"/>
          <w:sz w:val="24"/>
          <w:szCs w:val="24"/>
        </w:rPr>
      </w:pPr>
      <w:r>
        <w:rPr>
          <w:rFonts w:ascii="Arial" w:hAnsi="Arial" w:cs="Arial"/>
          <w:sz w:val="24"/>
          <w:szCs w:val="24"/>
        </w:rPr>
        <w:t>4</w:t>
      </w:r>
      <w:r>
        <w:rPr>
          <w:rFonts w:hint="eastAsia" w:ascii="Arial" w:hAnsi="Arial" w:cs="Arial"/>
          <w:sz w:val="24"/>
          <w:szCs w:val="24"/>
          <w:lang w:val="en-US" w:eastAsia="zh-CN"/>
        </w:rPr>
        <w:t>.</w:t>
      </w:r>
      <w:r>
        <w:rPr>
          <w:rFonts w:hint="eastAsia" w:ascii="Arial" w:hAnsi="Arial" w:cs="Arial"/>
          <w:sz w:val="24"/>
          <w:szCs w:val="24"/>
        </w:rPr>
        <w:t>每发现一条</w:t>
      </w:r>
      <w:r>
        <w:rPr>
          <w:rFonts w:ascii="Arial" w:hAnsi="Arial" w:cs="Arial"/>
          <w:sz w:val="24"/>
          <w:szCs w:val="24"/>
        </w:rPr>
        <w:t>,</w:t>
      </w:r>
      <w:r>
        <w:rPr>
          <w:rFonts w:hint="eastAsia" w:ascii="Arial" w:hAnsi="Arial" w:cs="Arial"/>
          <w:sz w:val="24"/>
          <w:szCs w:val="24"/>
        </w:rPr>
        <w:t>对物业公司扣</w:t>
      </w:r>
      <w:r>
        <w:rPr>
          <w:rFonts w:ascii="Arial" w:hAnsi="Arial" w:cs="Arial"/>
          <w:sz w:val="24"/>
          <w:szCs w:val="24"/>
        </w:rPr>
        <w:t>10</w:t>
      </w:r>
      <w:r>
        <w:rPr>
          <w:rFonts w:hint="eastAsia" w:ascii="Arial" w:hAnsi="Arial" w:cs="Arial"/>
          <w:sz w:val="24"/>
          <w:szCs w:val="24"/>
        </w:rPr>
        <w:t>分</w:t>
      </w:r>
    </w:p>
    <w:p>
      <w:pPr>
        <w:spacing w:line="440" w:lineRule="exact"/>
        <w:ind w:firstLine="240" w:firstLineChars="100"/>
        <w:rPr>
          <w:rFonts w:ascii="Arial" w:hAnsi="Arial" w:cs="Arial"/>
          <w:sz w:val="24"/>
          <w:szCs w:val="24"/>
        </w:rPr>
      </w:pPr>
      <w:r>
        <w:rPr>
          <w:rFonts w:ascii="Arial" w:hAnsi="Arial" w:cs="Arial"/>
          <w:sz w:val="24"/>
          <w:szCs w:val="24"/>
        </w:rPr>
        <w:t xml:space="preserve"> 4.1</w:t>
      </w:r>
      <w:r>
        <w:rPr>
          <w:rFonts w:hint="eastAsia" w:ascii="Arial" w:hAnsi="Arial" w:cs="Arial"/>
          <w:sz w:val="24"/>
          <w:szCs w:val="24"/>
        </w:rPr>
        <w:t>用非法手段偷窃或涂改原始记录，帐单及单据，造成后果</w:t>
      </w:r>
      <w:r>
        <w:rPr>
          <w:rFonts w:ascii="Arial" w:hAnsi="Arial" w:cs="Arial"/>
          <w:sz w:val="24"/>
          <w:szCs w:val="24"/>
        </w:rPr>
        <w:t>;</w:t>
      </w:r>
    </w:p>
    <w:p>
      <w:pPr>
        <w:spacing w:line="440" w:lineRule="exact"/>
        <w:ind w:firstLine="240" w:firstLineChars="100"/>
        <w:rPr>
          <w:rFonts w:ascii="Arial" w:hAnsi="Arial" w:cs="Arial"/>
          <w:sz w:val="24"/>
          <w:szCs w:val="24"/>
        </w:rPr>
      </w:pPr>
      <w:r>
        <w:rPr>
          <w:rFonts w:ascii="Arial" w:hAnsi="Arial" w:cs="Arial"/>
          <w:sz w:val="24"/>
          <w:szCs w:val="24"/>
        </w:rPr>
        <w:t xml:space="preserve"> 4.2</w:t>
      </w:r>
      <w:r>
        <w:rPr>
          <w:rFonts w:hint="eastAsia" w:ascii="Arial" w:hAnsi="Arial" w:cs="Arial"/>
          <w:sz w:val="24"/>
          <w:szCs w:val="24"/>
        </w:rPr>
        <w:t>用威胁手段当众侮辱客人及上级管理人员和同事等</w:t>
      </w:r>
      <w:r>
        <w:rPr>
          <w:rFonts w:ascii="Arial" w:hAnsi="Arial" w:cs="Arial"/>
          <w:sz w:val="24"/>
          <w:szCs w:val="24"/>
        </w:rPr>
        <w:t>;</w:t>
      </w:r>
    </w:p>
    <w:p>
      <w:pPr>
        <w:spacing w:line="440" w:lineRule="exact"/>
        <w:ind w:firstLine="360" w:firstLineChars="150"/>
        <w:rPr>
          <w:rFonts w:ascii="Arial" w:hAnsi="Arial" w:cs="Arial"/>
          <w:sz w:val="24"/>
          <w:szCs w:val="24"/>
        </w:rPr>
      </w:pPr>
      <w:r>
        <w:rPr>
          <w:rFonts w:ascii="Arial" w:hAnsi="Arial" w:cs="Arial"/>
          <w:sz w:val="24"/>
          <w:szCs w:val="24"/>
        </w:rPr>
        <w:t>4.3</w:t>
      </w:r>
      <w:r>
        <w:rPr>
          <w:rFonts w:hint="eastAsia" w:ascii="Arial" w:hAnsi="Arial" w:cs="Arial"/>
          <w:sz w:val="24"/>
          <w:szCs w:val="24"/>
        </w:rPr>
        <w:t>严重玩忽职守，人为造成设备损坏，导致公共利益损失</w:t>
      </w:r>
      <w:r>
        <w:rPr>
          <w:rFonts w:ascii="Arial" w:hAnsi="Arial" w:cs="Arial"/>
          <w:sz w:val="24"/>
          <w:szCs w:val="24"/>
        </w:rPr>
        <w:t>;</w:t>
      </w:r>
    </w:p>
    <w:p>
      <w:pPr>
        <w:spacing w:line="440" w:lineRule="exact"/>
        <w:ind w:firstLine="120" w:firstLineChars="50"/>
        <w:rPr>
          <w:rFonts w:ascii="Arial" w:hAnsi="Arial" w:cs="Arial"/>
          <w:sz w:val="24"/>
          <w:szCs w:val="24"/>
        </w:rPr>
      </w:pPr>
      <w:r>
        <w:rPr>
          <w:rFonts w:ascii="Arial" w:hAnsi="Arial" w:cs="Arial"/>
          <w:sz w:val="24"/>
          <w:szCs w:val="24"/>
        </w:rPr>
        <w:t xml:space="preserve">  4.4</w:t>
      </w:r>
      <w:r>
        <w:rPr>
          <w:rFonts w:hint="eastAsia" w:ascii="Arial" w:hAnsi="Arial" w:cs="Arial"/>
          <w:sz w:val="24"/>
          <w:szCs w:val="24"/>
        </w:rPr>
        <w:t>因违反国家法律被公安机关拘留或处以拘留以上处罚；</w:t>
      </w:r>
    </w:p>
    <w:p>
      <w:pPr>
        <w:spacing w:line="440" w:lineRule="exact"/>
        <w:ind w:firstLine="360" w:firstLineChars="150"/>
        <w:rPr>
          <w:rFonts w:ascii="Arial" w:hAnsi="Arial" w:cs="Arial"/>
          <w:sz w:val="24"/>
          <w:szCs w:val="24"/>
        </w:rPr>
      </w:pPr>
      <w:r>
        <w:rPr>
          <w:rFonts w:ascii="Arial" w:hAnsi="Arial" w:cs="Arial"/>
          <w:sz w:val="24"/>
          <w:szCs w:val="24"/>
        </w:rPr>
        <w:t>4.5</w:t>
      </w:r>
      <w:r>
        <w:rPr>
          <w:rFonts w:hint="eastAsia" w:ascii="Arial" w:hAnsi="Arial" w:cs="Arial"/>
          <w:sz w:val="24"/>
          <w:szCs w:val="24"/>
        </w:rPr>
        <w:t>未设置工作人员岗位一览表。</w:t>
      </w:r>
    </w:p>
    <w:p>
      <w:pPr>
        <w:spacing w:line="440" w:lineRule="exact"/>
        <w:ind w:firstLine="361" w:firstLineChars="150"/>
        <w:rPr>
          <w:rFonts w:ascii="Arial" w:hAnsi="Arial" w:cs="Arial"/>
          <w:b/>
          <w:bCs/>
          <w:sz w:val="24"/>
          <w:szCs w:val="24"/>
        </w:rPr>
      </w:pPr>
      <w:r>
        <w:rPr>
          <w:rFonts w:hint="eastAsia" w:ascii="Arial" w:hAnsi="Arial" w:cs="Arial"/>
          <w:b/>
          <w:bCs/>
          <w:sz w:val="24"/>
          <w:szCs w:val="24"/>
        </w:rPr>
        <w:t>（二）保洁的考核</w:t>
      </w:r>
    </w:p>
    <w:p>
      <w:pPr>
        <w:spacing w:line="440" w:lineRule="exact"/>
        <w:ind w:left="1319" w:leftChars="228" w:hanging="840" w:hangingChars="350"/>
        <w:rPr>
          <w:rFonts w:ascii="Arial" w:hAnsi="Arial" w:cs="Arial"/>
          <w:sz w:val="24"/>
          <w:szCs w:val="24"/>
        </w:rPr>
      </w:pPr>
      <w:r>
        <w:rPr>
          <w:rFonts w:ascii="Arial" w:hAnsi="Arial" w:cs="Arial"/>
          <w:sz w:val="24"/>
          <w:szCs w:val="24"/>
        </w:rPr>
        <w:t>1</w:t>
      </w:r>
      <w:r>
        <w:rPr>
          <w:rFonts w:hint="eastAsia" w:ascii="Arial" w:hAnsi="Arial" w:cs="Arial"/>
          <w:sz w:val="24"/>
          <w:szCs w:val="24"/>
          <w:lang w:val="en-US" w:eastAsia="zh-CN"/>
        </w:rPr>
        <w:t>.</w:t>
      </w:r>
      <w:r>
        <w:rPr>
          <w:rFonts w:hint="eastAsia" w:ascii="Arial" w:hAnsi="Arial" w:cs="Arial"/>
          <w:sz w:val="24"/>
          <w:szCs w:val="24"/>
        </w:rPr>
        <w:t>大堂清洁</w:t>
      </w:r>
    </w:p>
    <w:p>
      <w:pPr>
        <w:spacing w:line="440" w:lineRule="exact"/>
        <w:ind w:left="919" w:leftChars="209" w:hanging="480" w:hangingChars="200"/>
        <w:rPr>
          <w:rFonts w:ascii="Arial" w:hAnsi="Arial" w:cs="Arial"/>
          <w:sz w:val="24"/>
          <w:szCs w:val="24"/>
        </w:rPr>
      </w:pPr>
      <w:r>
        <w:rPr>
          <w:rFonts w:ascii="Arial" w:hAnsi="Arial" w:cs="Arial"/>
          <w:sz w:val="24"/>
          <w:szCs w:val="24"/>
        </w:rPr>
        <w:t>1.1</w:t>
      </w:r>
      <w:r>
        <w:rPr>
          <w:rFonts w:hint="eastAsia" w:ascii="Arial" w:hAnsi="Arial" w:cs="Arial"/>
          <w:sz w:val="24"/>
          <w:szCs w:val="24"/>
        </w:rPr>
        <w:t>地面有烟蒂，纸屑、果皮等杂物、有污迹，花岗岩地面、墙面无光泽扣</w:t>
      </w:r>
      <w:r>
        <w:rPr>
          <w:rFonts w:ascii="Arial" w:hAnsi="Arial" w:cs="Arial"/>
          <w:sz w:val="24"/>
          <w:szCs w:val="24"/>
        </w:rPr>
        <w:t>0.5</w:t>
      </w:r>
      <w:r>
        <w:rPr>
          <w:rFonts w:hint="eastAsia" w:ascii="Arial" w:hAnsi="Arial" w:cs="Arial"/>
          <w:sz w:val="24"/>
          <w:szCs w:val="24"/>
        </w:rPr>
        <w:t>分。</w:t>
      </w:r>
    </w:p>
    <w:p>
      <w:pPr>
        <w:spacing w:line="440" w:lineRule="exact"/>
        <w:ind w:firstLine="480" w:firstLineChars="200"/>
        <w:rPr>
          <w:rFonts w:ascii="Arial" w:hAnsi="Arial" w:cs="Arial"/>
          <w:sz w:val="24"/>
          <w:szCs w:val="24"/>
        </w:rPr>
      </w:pPr>
      <w:r>
        <w:rPr>
          <w:rFonts w:ascii="Arial" w:hAnsi="Arial" w:cs="Arial"/>
          <w:sz w:val="24"/>
          <w:szCs w:val="24"/>
        </w:rPr>
        <w:t>1.2</w:t>
      </w:r>
      <w:r>
        <w:rPr>
          <w:rFonts w:hint="eastAsia" w:ascii="Arial" w:hAnsi="Arial" w:cs="Arial"/>
          <w:sz w:val="24"/>
          <w:szCs w:val="24"/>
        </w:rPr>
        <w:t>公共设施表面用纸巾擦拭有明显灰尘扣</w:t>
      </w:r>
      <w:r>
        <w:rPr>
          <w:rFonts w:ascii="Arial" w:hAnsi="Arial" w:cs="Arial"/>
          <w:sz w:val="24"/>
          <w:szCs w:val="24"/>
        </w:rPr>
        <w:t>1</w:t>
      </w:r>
      <w:r>
        <w:rPr>
          <w:rFonts w:hint="eastAsia" w:ascii="Arial" w:hAnsi="Arial" w:cs="Arial"/>
          <w:sz w:val="24"/>
          <w:szCs w:val="24"/>
        </w:rPr>
        <w:t>分。</w:t>
      </w:r>
    </w:p>
    <w:p>
      <w:pPr>
        <w:spacing w:line="440" w:lineRule="exact"/>
        <w:ind w:firstLine="480" w:firstLineChars="200"/>
        <w:rPr>
          <w:rFonts w:ascii="Arial" w:hAnsi="Arial" w:cs="Arial"/>
          <w:sz w:val="24"/>
          <w:szCs w:val="24"/>
        </w:rPr>
      </w:pPr>
      <w:r>
        <w:rPr>
          <w:rFonts w:ascii="Arial" w:hAnsi="Arial" w:cs="Arial"/>
          <w:sz w:val="24"/>
          <w:szCs w:val="24"/>
        </w:rPr>
        <w:t>1.3</w:t>
      </w:r>
      <w:r>
        <w:rPr>
          <w:rFonts w:hint="eastAsia" w:ascii="Arial" w:hAnsi="Arial" w:cs="Arial"/>
          <w:sz w:val="24"/>
          <w:szCs w:val="24"/>
        </w:rPr>
        <w:t>不锈钢表面不光亮</w:t>
      </w:r>
      <w:r>
        <w:rPr>
          <w:rFonts w:ascii="Arial" w:hAnsi="Arial" w:cs="Arial"/>
          <w:sz w:val="24"/>
          <w:szCs w:val="24"/>
        </w:rPr>
        <w:t>,</w:t>
      </w:r>
      <w:r>
        <w:rPr>
          <w:rFonts w:hint="eastAsia" w:ascii="Arial" w:hAnsi="Arial" w:cs="Arial"/>
          <w:sz w:val="24"/>
          <w:szCs w:val="24"/>
        </w:rPr>
        <w:t>表面有污迹</w:t>
      </w:r>
      <w:r>
        <w:rPr>
          <w:rFonts w:ascii="Arial" w:hAnsi="Arial" w:cs="Arial"/>
          <w:sz w:val="24"/>
          <w:szCs w:val="24"/>
        </w:rPr>
        <w:t>;</w:t>
      </w:r>
      <w:r>
        <w:rPr>
          <w:rFonts w:hint="eastAsia" w:ascii="Arial" w:hAnsi="Arial" w:cs="Arial"/>
          <w:sz w:val="24"/>
          <w:szCs w:val="24"/>
        </w:rPr>
        <w:t>扣</w:t>
      </w:r>
      <w:r>
        <w:rPr>
          <w:rFonts w:ascii="Arial" w:hAnsi="Arial" w:cs="Arial"/>
          <w:sz w:val="24"/>
          <w:szCs w:val="24"/>
        </w:rPr>
        <w:t>1</w:t>
      </w:r>
      <w:r>
        <w:rPr>
          <w:rFonts w:hint="eastAsia" w:ascii="Arial" w:hAnsi="Arial" w:cs="Arial"/>
          <w:sz w:val="24"/>
          <w:szCs w:val="24"/>
        </w:rPr>
        <w:t>分。</w:t>
      </w:r>
    </w:p>
    <w:p>
      <w:pPr>
        <w:spacing w:line="440" w:lineRule="exact"/>
        <w:ind w:firstLine="480" w:firstLineChars="200"/>
        <w:rPr>
          <w:rFonts w:ascii="Arial" w:hAnsi="Arial" w:cs="Arial"/>
          <w:sz w:val="24"/>
          <w:szCs w:val="24"/>
        </w:rPr>
      </w:pPr>
      <w:r>
        <w:rPr>
          <w:rFonts w:ascii="Arial" w:hAnsi="Arial" w:cs="Arial"/>
          <w:sz w:val="24"/>
          <w:szCs w:val="24"/>
        </w:rPr>
        <w:t>1.4</w:t>
      </w:r>
      <w:r>
        <w:rPr>
          <w:rFonts w:hint="eastAsia" w:ascii="Arial" w:hAnsi="Arial" w:cs="Arial"/>
          <w:sz w:val="24"/>
          <w:szCs w:val="24"/>
        </w:rPr>
        <w:t>玻璃门有水迹、手印、灰尘</w:t>
      </w:r>
      <w:r>
        <w:rPr>
          <w:rFonts w:ascii="Arial" w:hAnsi="Arial" w:cs="Arial"/>
          <w:sz w:val="24"/>
          <w:szCs w:val="24"/>
        </w:rPr>
        <w:t>;</w:t>
      </w:r>
      <w:r>
        <w:rPr>
          <w:rFonts w:hint="eastAsia" w:ascii="Arial" w:hAnsi="Arial" w:cs="Arial"/>
          <w:sz w:val="24"/>
          <w:szCs w:val="24"/>
        </w:rPr>
        <w:t>扣</w:t>
      </w:r>
      <w:r>
        <w:rPr>
          <w:rFonts w:ascii="Arial" w:hAnsi="Arial" w:cs="Arial"/>
          <w:sz w:val="24"/>
          <w:szCs w:val="24"/>
        </w:rPr>
        <w:t>0.5</w:t>
      </w:r>
      <w:r>
        <w:rPr>
          <w:rFonts w:hint="eastAsia" w:ascii="Arial" w:hAnsi="Arial" w:cs="Arial"/>
          <w:sz w:val="24"/>
          <w:szCs w:val="24"/>
        </w:rPr>
        <w:t>分。</w:t>
      </w:r>
    </w:p>
    <w:p>
      <w:pPr>
        <w:spacing w:line="440" w:lineRule="exact"/>
        <w:ind w:firstLine="480" w:firstLineChars="200"/>
        <w:rPr>
          <w:rFonts w:ascii="Arial" w:hAnsi="Arial" w:cs="Arial"/>
          <w:sz w:val="24"/>
          <w:szCs w:val="24"/>
        </w:rPr>
      </w:pPr>
      <w:r>
        <w:rPr>
          <w:rFonts w:ascii="Arial" w:hAnsi="Arial" w:cs="Arial"/>
          <w:sz w:val="24"/>
          <w:szCs w:val="24"/>
        </w:rPr>
        <w:t>1.5</w:t>
      </w:r>
      <w:r>
        <w:rPr>
          <w:rFonts w:hint="eastAsia" w:ascii="Arial" w:hAnsi="Arial" w:cs="Arial"/>
          <w:sz w:val="24"/>
          <w:szCs w:val="24"/>
        </w:rPr>
        <w:t>顶面、风口目视有污迹、灰尘</w:t>
      </w:r>
      <w:r>
        <w:rPr>
          <w:rFonts w:ascii="Arial" w:hAnsi="Arial" w:cs="Arial"/>
          <w:sz w:val="24"/>
          <w:szCs w:val="24"/>
        </w:rPr>
        <w:t>;</w:t>
      </w:r>
      <w:r>
        <w:rPr>
          <w:rFonts w:hint="eastAsia" w:ascii="Arial" w:hAnsi="Arial" w:cs="Arial"/>
          <w:sz w:val="24"/>
          <w:szCs w:val="24"/>
        </w:rPr>
        <w:t>扣</w:t>
      </w:r>
      <w:r>
        <w:rPr>
          <w:rFonts w:ascii="Arial" w:hAnsi="Arial" w:cs="Arial"/>
          <w:sz w:val="24"/>
          <w:szCs w:val="24"/>
        </w:rPr>
        <w:t>0.5</w:t>
      </w:r>
      <w:r>
        <w:rPr>
          <w:rFonts w:hint="eastAsia" w:ascii="Arial" w:hAnsi="Arial" w:cs="Arial"/>
          <w:sz w:val="24"/>
          <w:szCs w:val="24"/>
        </w:rPr>
        <w:t>分。</w:t>
      </w:r>
    </w:p>
    <w:p>
      <w:pPr>
        <w:spacing w:line="440" w:lineRule="exact"/>
        <w:ind w:firstLine="240" w:firstLineChars="100"/>
        <w:rPr>
          <w:rFonts w:ascii="Arial" w:hAnsi="Arial" w:cs="Arial"/>
          <w:sz w:val="24"/>
          <w:szCs w:val="24"/>
        </w:rPr>
      </w:pPr>
      <w:r>
        <w:rPr>
          <w:rFonts w:hint="eastAsia" w:ascii="Arial" w:hAnsi="Arial" w:cs="Arial"/>
          <w:sz w:val="24"/>
          <w:szCs w:val="24"/>
          <w:lang w:val="en-US" w:eastAsia="zh-CN"/>
        </w:rPr>
        <w:t>2.</w:t>
      </w:r>
      <w:r>
        <w:rPr>
          <w:rFonts w:hint="eastAsia" w:ascii="Arial" w:hAnsi="Arial" w:cs="Arial"/>
          <w:sz w:val="24"/>
          <w:szCs w:val="24"/>
        </w:rPr>
        <w:t>楼层通道地面清洁</w:t>
      </w:r>
    </w:p>
    <w:p>
      <w:pPr>
        <w:spacing w:line="440" w:lineRule="exact"/>
        <w:ind w:firstLine="480" w:firstLineChars="200"/>
        <w:rPr>
          <w:rFonts w:ascii="Arial" w:hAnsi="Arial" w:cs="Arial"/>
          <w:sz w:val="24"/>
          <w:szCs w:val="24"/>
        </w:rPr>
      </w:pPr>
      <w:r>
        <w:rPr>
          <w:rFonts w:ascii="Arial" w:hAnsi="Arial" w:cs="Arial"/>
          <w:sz w:val="24"/>
          <w:szCs w:val="24"/>
        </w:rPr>
        <w:t>2.1</w:t>
      </w:r>
      <w:r>
        <w:rPr>
          <w:rFonts w:hint="eastAsia" w:ascii="Arial" w:hAnsi="Arial" w:cs="Arial"/>
          <w:sz w:val="24"/>
          <w:szCs w:val="24"/>
        </w:rPr>
        <w:t>地面目视不干净，有污迹，无光泽</w:t>
      </w:r>
      <w:r>
        <w:rPr>
          <w:rFonts w:ascii="Arial" w:hAnsi="Arial" w:cs="Arial"/>
          <w:sz w:val="24"/>
          <w:szCs w:val="24"/>
        </w:rPr>
        <w:t>;</w:t>
      </w:r>
      <w:r>
        <w:rPr>
          <w:rFonts w:hint="eastAsia" w:ascii="Arial" w:hAnsi="Arial" w:cs="Arial"/>
          <w:sz w:val="24"/>
          <w:szCs w:val="24"/>
        </w:rPr>
        <w:t>扣</w:t>
      </w:r>
      <w:r>
        <w:rPr>
          <w:rFonts w:ascii="Arial" w:hAnsi="Arial" w:cs="Arial"/>
          <w:sz w:val="24"/>
          <w:szCs w:val="24"/>
        </w:rPr>
        <w:t>1</w:t>
      </w:r>
      <w:r>
        <w:rPr>
          <w:rFonts w:hint="eastAsia" w:ascii="Arial" w:hAnsi="Arial" w:cs="Arial"/>
          <w:sz w:val="24"/>
          <w:szCs w:val="24"/>
        </w:rPr>
        <w:t>分。</w:t>
      </w:r>
    </w:p>
    <w:p>
      <w:pPr>
        <w:spacing w:line="440" w:lineRule="exact"/>
        <w:ind w:firstLine="240" w:firstLineChars="100"/>
        <w:rPr>
          <w:rFonts w:ascii="Arial" w:hAnsi="Arial" w:cs="Arial"/>
          <w:sz w:val="24"/>
          <w:szCs w:val="24"/>
        </w:rPr>
      </w:pPr>
      <w:r>
        <w:rPr>
          <w:rFonts w:ascii="Arial" w:hAnsi="Arial" w:cs="Arial"/>
          <w:sz w:val="24"/>
          <w:szCs w:val="24"/>
        </w:rPr>
        <w:t>3</w:t>
      </w:r>
      <w:r>
        <w:rPr>
          <w:rFonts w:hint="eastAsia" w:ascii="Arial" w:hAnsi="Arial" w:cs="Arial"/>
          <w:sz w:val="24"/>
          <w:szCs w:val="24"/>
          <w:lang w:val="en-US" w:eastAsia="zh-CN"/>
        </w:rPr>
        <w:t>.</w:t>
      </w:r>
      <w:r>
        <w:rPr>
          <w:rFonts w:hint="eastAsia" w:ascii="Arial" w:hAnsi="Arial" w:cs="Arial"/>
          <w:sz w:val="24"/>
          <w:szCs w:val="24"/>
        </w:rPr>
        <w:t>公共卫生间清洗</w:t>
      </w:r>
    </w:p>
    <w:p>
      <w:pPr>
        <w:spacing w:line="440" w:lineRule="exact"/>
        <w:ind w:firstLine="480" w:firstLineChars="200"/>
        <w:rPr>
          <w:rFonts w:ascii="Arial" w:hAnsi="Arial" w:cs="Arial"/>
          <w:sz w:val="24"/>
          <w:szCs w:val="24"/>
        </w:rPr>
      </w:pPr>
      <w:r>
        <w:rPr>
          <w:rFonts w:ascii="Arial" w:hAnsi="Arial" w:cs="Arial"/>
          <w:sz w:val="24"/>
          <w:szCs w:val="24"/>
        </w:rPr>
        <w:t>3.1</w:t>
      </w:r>
      <w:r>
        <w:rPr>
          <w:rFonts w:hint="eastAsia" w:ascii="Arial" w:hAnsi="Arial" w:cs="Arial"/>
          <w:sz w:val="24"/>
          <w:szCs w:val="24"/>
        </w:rPr>
        <w:t>花、墙角、灯具目视有灰尘、蜘蛛网扣</w:t>
      </w:r>
      <w:r>
        <w:rPr>
          <w:rFonts w:ascii="Arial" w:hAnsi="Arial" w:cs="Arial"/>
          <w:sz w:val="24"/>
          <w:szCs w:val="24"/>
        </w:rPr>
        <w:t>1</w:t>
      </w:r>
      <w:r>
        <w:rPr>
          <w:rFonts w:hint="eastAsia" w:ascii="Arial" w:hAnsi="Arial" w:cs="Arial"/>
          <w:sz w:val="24"/>
          <w:szCs w:val="24"/>
        </w:rPr>
        <w:t>分。</w:t>
      </w:r>
    </w:p>
    <w:p>
      <w:pPr>
        <w:spacing w:line="440" w:lineRule="exact"/>
        <w:ind w:firstLine="480" w:firstLineChars="200"/>
        <w:rPr>
          <w:rFonts w:ascii="Arial" w:hAnsi="Arial" w:cs="Arial"/>
          <w:sz w:val="24"/>
          <w:szCs w:val="24"/>
        </w:rPr>
      </w:pPr>
      <w:r>
        <w:rPr>
          <w:rFonts w:ascii="Arial" w:hAnsi="Arial" w:cs="Arial"/>
          <w:sz w:val="24"/>
          <w:szCs w:val="24"/>
        </w:rPr>
        <w:t>3.2</w:t>
      </w:r>
      <w:r>
        <w:rPr>
          <w:rFonts w:hint="eastAsia" w:ascii="Arial" w:hAnsi="Arial" w:cs="Arial"/>
          <w:sz w:val="24"/>
          <w:szCs w:val="24"/>
        </w:rPr>
        <w:t>目视便器不洁净有黄迹；厕位有异味、臭味扣</w:t>
      </w:r>
      <w:r>
        <w:rPr>
          <w:rFonts w:ascii="Arial" w:hAnsi="Arial" w:cs="Arial"/>
          <w:sz w:val="24"/>
          <w:szCs w:val="24"/>
        </w:rPr>
        <w:t>1</w:t>
      </w:r>
      <w:r>
        <w:rPr>
          <w:rFonts w:hint="eastAsia" w:ascii="Arial" w:hAnsi="Arial" w:cs="Arial"/>
          <w:sz w:val="24"/>
          <w:szCs w:val="24"/>
        </w:rPr>
        <w:t>分。</w:t>
      </w:r>
    </w:p>
    <w:p>
      <w:pPr>
        <w:spacing w:line="440" w:lineRule="exact"/>
        <w:ind w:firstLine="480" w:firstLineChars="200"/>
        <w:rPr>
          <w:rFonts w:ascii="Arial" w:hAnsi="Arial" w:cs="Arial"/>
          <w:sz w:val="24"/>
          <w:szCs w:val="24"/>
        </w:rPr>
      </w:pPr>
      <w:r>
        <w:rPr>
          <w:rFonts w:ascii="Arial" w:hAnsi="Arial" w:cs="Arial"/>
          <w:sz w:val="24"/>
          <w:szCs w:val="24"/>
        </w:rPr>
        <w:t>3.3</w:t>
      </w:r>
      <w:r>
        <w:rPr>
          <w:rFonts w:hint="eastAsia" w:ascii="Arial" w:hAnsi="Arial" w:cs="Arial"/>
          <w:sz w:val="24"/>
          <w:szCs w:val="24"/>
        </w:rPr>
        <w:t>地面有烟蒂，纸屑、果皮等杂物扣</w:t>
      </w:r>
      <w:r>
        <w:rPr>
          <w:rFonts w:ascii="Arial" w:hAnsi="Arial" w:cs="Arial"/>
          <w:sz w:val="24"/>
          <w:szCs w:val="24"/>
        </w:rPr>
        <w:t>1</w:t>
      </w:r>
      <w:r>
        <w:rPr>
          <w:rFonts w:hint="eastAsia" w:ascii="Arial" w:hAnsi="Arial" w:cs="Arial"/>
          <w:sz w:val="24"/>
          <w:szCs w:val="24"/>
        </w:rPr>
        <w:t>分。</w:t>
      </w:r>
    </w:p>
    <w:p>
      <w:pPr>
        <w:spacing w:line="440" w:lineRule="exact"/>
        <w:ind w:firstLine="240" w:firstLineChars="100"/>
        <w:rPr>
          <w:rFonts w:ascii="Arial" w:hAnsi="Arial" w:cs="Arial"/>
          <w:sz w:val="24"/>
          <w:szCs w:val="24"/>
        </w:rPr>
      </w:pPr>
      <w:r>
        <w:rPr>
          <w:rFonts w:ascii="Arial" w:hAnsi="Arial" w:cs="Arial"/>
          <w:sz w:val="24"/>
          <w:szCs w:val="24"/>
        </w:rPr>
        <w:t>4</w:t>
      </w:r>
      <w:r>
        <w:rPr>
          <w:rFonts w:hint="eastAsia" w:ascii="Arial" w:hAnsi="Arial" w:cs="Arial"/>
          <w:sz w:val="24"/>
          <w:szCs w:val="24"/>
          <w:lang w:val="en-US" w:eastAsia="zh-CN"/>
        </w:rPr>
        <w:t>.</w:t>
      </w:r>
      <w:r>
        <w:rPr>
          <w:rFonts w:hint="eastAsia" w:ascii="Arial" w:hAnsi="Arial" w:cs="Arial"/>
          <w:sz w:val="24"/>
          <w:szCs w:val="24"/>
        </w:rPr>
        <w:t>灯具清洁</w:t>
      </w:r>
    </w:p>
    <w:p>
      <w:pPr>
        <w:spacing w:line="440" w:lineRule="exact"/>
        <w:ind w:left="1260" w:hanging="1440" w:hangingChars="600"/>
        <w:rPr>
          <w:rFonts w:ascii="Arial" w:hAnsi="Arial" w:cs="Arial"/>
          <w:sz w:val="24"/>
          <w:szCs w:val="24"/>
        </w:rPr>
      </w:pPr>
      <w:r>
        <w:rPr>
          <w:rFonts w:ascii="Arial" w:hAnsi="Arial" w:cs="Arial"/>
          <w:sz w:val="24"/>
          <w:szCs w:val="24"/>
        </w:rPr>
        <w:t xml:space="preserve">    4.1</w:t>
      </w:r>
      <w:r>
        <w:rPr>
          <w:rFonts w:hint="eastAsia" w:ascii="Arial" w:hAnsi="Arial" w:cs="Arial"/>
          <w:sz w:val="24"/>
          <w:szCs w:val="24"/>
        </w:rPr>
        <w:t>灯具、灯管有灰尘，灯具内有蚊虫，灯盖、灯罩不明亮扣</w:t>
      </w:r>
      <w:r>
        <w:rPr>
          <w:rFonts w:ascii="Arial" w:hAnsi="Arial" w:cs="Arial"/>
          <w:sz w:val="24"/>
          <w:szCs w:val="24"/>
        </w:rPr>
        <w:t>1</w:t>
      </w:r>
      <w:r>
        <w:rPr>
          <w:rFonts w:hint="eastAsia" w:ascii="Arial" w:hAnsi="Arial" w:cs="Arial"/>
          <w:sz w:val="24"/>
          <w:szCs w:val="24"/>
        </w:rPr>
        <w:t>分。</w:t>
      </w:r>
    </w:p>
    <w:p>
      <w:pPr>
        <w:spacing w:line="440" w:lineRule="exact"/>
        <w:ind w:firstLine="240" w:firstLineChars="100"/>
        <w:rPr>
          <w:rFonts w:ascii="Arial" w:hAnsi="Arial" w:cs="Arial"/>
          <w:sz w:val="24"/>
          <w:szCs w:val="24"/>
        </w:rPr>
      </w:pPr>
      <w:r>
        <w:rPr>
          <w:rFonts w:ascii="Arial" w:hAnsi="Arial" w:cs="Arial"/>
          <w:sz w:val="24"/>
          <w:szCs w:val="24"/>
        </w:rPr>
        <w:t>5</w:t>
      </w:r>
      <w:r>
        <w:rPr>
          <w:rFonts w:hint="eastAsia" w:ascii="Arial" w:hAnsi="Arial" w:cs="Arial"/>
          <w:sz w:val="24"/>
          <w:szCs w:val="24"/>
          <w:lang w:val="en-US" w:eastAsia="zh-CN"/>
        </w:rPr>
        <w:t>.</w:t>
      </w:r>
      <w:r>
        <w:rPr>
          <w:rFonts w:hint="eastAsia" w:ascii="Arial" w:hAnsi="Arial" w:cs="Arial"/>
          <w:sz w:val="24"/>
          <w:szCs w:val="24"/>
        </w:rPr>
        <w:t>室外地面清洁</w:t>
      </w:r>
    </w:p>
    <w:p>
      <w:pPr>
        <w:spacing w:line="440" w:lineRule="exact"/>
        <w:rPr>
          <w:rFonts w:ascii="Arial" w:hAnsi="Arial" w:cs="Arial"/>
          <w:sz w:val="24"/>
          <w:szCs w:val="24"/>
        </w:rPr>
      </w:pPr>
      <w:r>
        <w:rPr>
          <w:rFonts w:ascii="Arial" w:hAnsi="Arial" w:cs="Arial"/>
          <w:sz w:val="24"/>
          <w:szCs w:val="24"/>
        </w:rPr>
        <w:t xml:space="preserve">    5.1</w:t>
      </w:r>
      <w:r>
        <w:rPr>
          <w:rFonts w:hint="eastAsia" w:ascii="Arial" w:hAnsi="Arial" w:cs="Arial"/>
          <w:sz w:val="24"/>
          <w:szCs w:val="24"/>
        </w:rPr>
        <w:t>地面有杂物、积水、明显污迹、泥沙扣</w:t>
      </w:r>
      <w:r>
        <w:rPr>
          <w:rFonts w:ascii="Arial" w:hAnsi="Arial" w:cs="Arial"/>
          <w:sz w:val="24"/>
          <w:szCs w:val="24"/>
        </w:rPr>
        <w:t>1</w:t>
      </w:r>
      <w:r>
        <w:rPr>
          <w:rFonts w:hint="eastAsia" w:ascii="Arial" w:hAnsi="Arial" w:cs="Arial"/>
          <w:sz w:val="24"/>
          <w:szCs w:val="24"/>
        </w:rPr>
        <w:t>分。</w:t>
      </w:r>
    </w:p>
    <w:p>
      <w:pPr>
        <w:spacing w:line="440" w:lineRule="exact"/>
        <w:rPr>
          <w:rFonts w:ascii="Arial" w:hAnsi="Arial" w:cs="Arial"/>
          <w:sz w:val="24"/>
          <w:szCs w:val="24"/>
        </w:rPr>
      </w:pPr>
      <w:r>
        <w:rPr>
          <w:rFonts w:ascii="Arial" w:hAnsi="Arial" w:cs="Arial"/>
          <w:sz w:val="24"/>
          <w:szCs w:val="24"/>
        </w:rPr>
        <w:t xml:space="preserve">    5.2</w:t>
      </w:r>
      <w:r>
        <w:rPr>
          <w:rFonts w:hint="eastAsia" w:ascii="Arial" w:hAnsi="Arial" w:cs="Arial"/>
          <w:sz w:val="24"/>
          <w:szCs w:val="24"/>
        </w:rPr>
        <w:t>垃圾桶外表有明显污迹、垃圾粘附物扣</w:t>
      </w:r>
      <w:r>
        <w:rPr>
          <w:rFonts w:ascii="Arial" w:hAnsi="Arial" w:cs="Arial"/>
          <w:sz w:val="24"/>
          <w:szCs w:val="24"/>
        </w:rPr>
        <w:t>1</w:t>
      </w:r>
      <w:r>
        <w:rPr>
          <w:rFonts w:hint="eastAsia" w:ascii="Arial" w:hAnsi="Arial" w:cs="Arial"/>
          <w:sz w:val="24"/>
          <w:szCs w:val="24"/>
        </w:rPr>
        <w:t>分。</w:t>
      </w:r>
    </w:p>
    <w:p>
      <w:pPr>
        <w:spacing w:line="440" w:lineRule="exact"/>
        <w:rPr>
          <w:rFonts w:ascii="Arial" w:hAnsi="Arial" w:cs="Arial"/>
          <w:sz w:val="24"/>
          <w:szCs w:val="24"/>
        </w:rPr>
      </w:pPr>
      <w:r>
        <w:rPr>
          <w:rFonts w:ascii="Arial" w:hAnsi="Arial" w:cs="Arial"/>
          <w:sz w:val="24"/>
          <w:szCs w:val="24"/>
        </w:rPr>
        <w:t xml:space="preserve">    5.3</w:t>
      </w:r>
      <w:r>
        <w:rPr>
          <w:rFonts w:hint="eastAsia" w:ascii="Arial" w:hAnsi="Arial" w:cs="Arial"/>
          <w:sz w:val="24"/>
          <w:szCs w:val="24"/>
        </w:rPr>
        <w:t>沙井、明沟内有积水、杂物扣</w:t>
      </w:r>
      <w:r>
        <w:rPr>
          <w:rFonts w:ascii="Arial" w:hAnsi="Arial" w:cs="Arial"/>
          <w:sz w:val="24"/>
          <w:szCs w:val="24"/>
        </w:rPr>
        <w:t>1</w:t>
      </w:r>
      <w:r>
        <w:rPr>
          <w:rFonts w:hint="eastAsia" w:ascii="Arial" w:hAnsi="Arial" w:cs="Arial"/>
          <w:sz w:val="24"/>
          <w:szCs w:val="24"/>
        </w:rPr>
        <w:t>分。</w:t>
      </w:r>
    </w:p>
    <w:p>
      <w:pPr>
        <w:spacing w:line="440" w:lineRule="exact"/>
        <w:rPr>
          <w:rFonts w:ascii="Arial" w:hAnsi="Arial" w:cs="Arial"/>
          <w:sz w:val="24"/>
          <w:szCs w:val="24"/>
        </w:rPr>
      </w:pPr>
      <w:r>
        <w:rPr>
          <w:rFonts w:ascii="Arial" w:hAnsi="Arial" w:cs="Arial"/>
          <w:sz w:val="24"/>
          <w:szCs w:val="24"/>
        </w:rPr>
        <w:t xml:space="preserve">    5.4</w:t>
      </w:r>
      <w:r>
        <w:rPr>
          <w:rFonts w:hint="eastAsia" w:ascii="Arial" w:hAnsi="Arial" w:cs="Arial"/>
          <w:sz w:val="24"/>
          <w:szCs w:val="24"/>
        </w:rPr>
        <w:t>污水溢出地面扣</w:t>
      </w:r>
      <w:r>
        <w:rPr>
          <w:rFonts w:ascii="Arial" w:hAnsi="Arial" w:cs="Arial"/>
          <w:sz w:val="24"/>
          <w:szCs w:val="24"/>
        </w:rPr>
        <w:t>1</w:t>
      </w:r>
      <w:r>
        <w:rPr>
          <w:rFonts w:hint="eastAsia" w:ascii="Arial" w:hAnsi="Arial" w:cs="Arial"/>
          <w:sz w:val="24"/>
          <w:szCs w:val="24"/>
        </w:rPr>
        <w:t>分。</w:t>
      </w:r>
    </w:p>
    <w:p>
      <w:pPr>
        <w:pStyle w:val="26"/>
        <w:rPr>
          <w:rFonts w:hint="eastAsia"/>
          <w:lang w:eastAsia="zh-CN"/>
        </w:rPr>
        <w:sectPr>
          <w:headerReference r:id="rId8" w:type="default"/>
          <w:footerReference r:id="rId9" w:type="default"/>
          <w:pgSz w:w="11906" w:h="16838"/>
          <w:pgMar w:top="1417" w:right="1701" w:bottom="1417" w:left="1701" w:header="851" w:footer="992" w:gutter="0"/>
          <w:cols w:space="720" w:num="1"/>
          <w:docGrid w:linePitch="312" w:charSpace="0"/>
        </w:sectPr>
      </w:pPr>
      <w:r>
        <w:rPr>
          <w:rFonts w:ascii="Arial" w:hAnsi="Arial" w:cs="Arial"/>
          <w:sz w:val="24"/>
          <w:szCs w:val="24"/>
        </w:rPr>
        <w:t xml:space="preserve">  5.5</w:t>
      </w:r>
      <w:r>
        <w:rPr>
          <w:rFonts w:hint="eastAsia" w:ascii="Arial" w:hAnsi="Arial" w:cs="Arial"/>
          <w:sz w:val="24"/>
          <w:szCs w:val="24"/>
        </w:rPr>
        <w:t>地下雨、污水管井井底有沉淀物、水流不畅通，井盖上有污物扣</w:t>
      </w:r>
      <w:r>
        <w:rPr>
          <w:rFonts w:ascii="Arial" w:hAnsi="Arial" w:cs="Arial"/>
          <w:sz w:val="24"/>
          <w:szCs w:val="24"/>
        </w:rPr>
        <w:t>1</w:t>
      </w:r>
      <w:r>
        <w:rPr>
          <w:rFonts w:hint="eastAsia" w:ascii="Arial" w:hAnsi="Arial" w:cs="Arial"/>
          <w:sz w:val="24"/>
          <w:szCs w:val="24"/>
        </w:rPr>
        <w:t>分</w:t>
      </w:r>
    </w:p>
    <w:p>
      <w:pPr>
        <w:spacing w:line="440" w:lineRule="exact"/>
        <w:ind w:left="1365" w:hanging="1560" w:hangingChars="650"/>
        <w:rPr>
          <w:rFonts w:ascii="Arial" w:hAnsi="Arial" w:cs="Arial"/>
          <w:sz w:val="24"/>
          <w:szCs w:val="24"/>
        </w:rPr>
      </w:pPr>
      <w:r>
        <w:rPr>
          <w:rFonts w:ascii="Arial" w:hAnsi="Arial" w:cs="Arial"/>
          <w:sz w:val="24"/>
          <w:szCs w:val="24"/>
        </w:rPr>
        <w:t xml:space="preserve"> </w:t>
      </w:r>
    </w:p>
    <w:p>
      <w:pPr>
        <w:numPr>
          <w:ilvl w:val="0"/>
          <w:numId w:val="1"/>
        </w:numPr>
        <w:spacing w:line="440" w:lineRule="exact"/>
        <w:rPr>
          <w:rFonts w:hint="eastAsia" w:ascii="Arial" w:hAnsi="Arial" w:cs="Arial"/>
          <w:b/>
          <w:bCs/>
          <w:sz w:val="24"/>
          <w:szCs w:val="24"/>
        </w:rPr>
      </w:pPr>
      <w:r>
        <w:rPr>
          <w:rFonts w:hint="eastAsia" w:ascii="Arial" w:hAnsi="Arial" w:cs="Arial"/>
          <w:b/>
          <w:bCs/>
          <w:sz w:val="24"/>
          <w:szCs w:val="24"/>
        </w:rPr>
        <w:t>工程部考核</w:t>
      </w:r>
    </w:p>
    <w:tbl>
      <w:tblPr>
        <w:tblStyle w:val="64"/>
        <w:tblW w:w="0" w:type="auto"/>
        <w:jc w:val="center"/>
        <w:tblLayout w:type="fixed"/>
        <w:tblCellMar>
          <w:top w:w="0" w:type="dxa"/>
          <w:left w:w="108" w:type="dxa"/>
          <w:bottom w:w="0" w:type="dxa"/>
          <w:right w:w="108" w:type="dxa"/>
        </w:tblCellMar>
      </w:tblPr>
      <w:tblGrid>
        <w:gridCol w:w="414"/>
        <w:gridCol w:w="760"/>
        <w:gridCol w:w="600"/>
        <w:gridCol w:w="9307"/>
        <w:gridCol w:w="434"/>
        <w:gridCol w:w="1588"/>
        <w:gridCol w:w="113"/>
        <w:gridCol w:w="283"/>
        <w:gridCol w:w="359"/>
        <w:gridCol w:w="492"/>
        <w:gridCol w:w="141"/>
      </w:tblGrid>
      <w:tr>
        <w:tblPrEx>
          <w:tblCellMar>
            <w:top w:w="0" w:type="dxa"/>
            <w:left w:w="108" w:type="dxa"/>
            <w:bottom w:w="0" w:type="dxa"/>
            <w:right w:w="108" w:type="dxa"/>
          </w:tblCellMar>
        </w:tblPrEx>
        <w:trPr>
          <w:gridAfter w:val="2"/>
          <w:wAfter w:w="633" w:type="dxa"/>
          <w:trHeight w:val="390" w:hRule="atLeast"/>
          <w:jc w:val="center"/>
        </w:trPr>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760"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内 容</w:t>
            </w:r>
          </w:p>
        </w:tc>
        <w:tc>
          <w:tcPr>
            <w:tcW w:w="9907"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sz w:val="21"/>
                <w:szCs w:val="21"/>
                <w:lang w:eastAsia="zh-CN"/>
              </w:rPr>
            </w:pPr>
            <w:r>
              <w:rPr>
                <w:rFonts w:hint="eastAsia" w:ascii="宋体" w:hAnsi="宋体" w:eastAsia="宋体" w:cs="宋体"/>
                <w:sz w:val="21"/>
                <w:szCs w:val="21"/>
              </w:rPr>
              <w:t>目   标   要   求</w:t>
            </w:r>
            <w:r>
              <w:rPr>
                <w:rFonts w:hint="eastAsia" w:ascii="宋体" w:hAnsi="宋体" w:eastAsia="宋体" w:cs="宋体"/>
                <w:sz w:val="21"/>
                <w:szCs w:val="21"/>
                <w:lang w:eastAsia="zh-CN"/>
              </w:rPr>
              <w:t>（暖通）</w:t>
            </w:r>
          </w:p>
        </w:tc>
        <w:tc>
          <w:tcPr>
            <w:tcW w:w="202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考  评  标  准</w:t>
            </w:r>
          </w:p>
        </w:tc>
        <w:tc>
          <w:tcPr>
            <w:tcW w:w="7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基本分</w:t>
            </w:r>
          </w:p>
        </w:tc>
      </w:tr>
      <w:tr>
        <w:tblPrEx>
          <w:tblCellMar>
            <w:top w:w="0" w:type="dxa"/>
            <w:left w:w="108" w:type="dxa"/>
            <w:bottom w:w="0" w:type="dxa"/>
            <w:right w:w="108" w:type="dxa"/>
          </w:tblCellMar>
        </w:tblPrEx>
        <w:trPr>
          <w:gridAfter w:val="2"/>
          <w:wAfter w:w="633" w:type="dxa"/>
          <w:trHeight w:val="480" w:hRule="atLeast"/>
          <w:jc w:val="center"/>
        </w:trPr>
        <w:tc>
          <w:tcPr>
            <w:tcW w:w="4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暖  通  系  统  设  备  维  运</w:t>
            </w: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rPr>
              <w:br w:type="textWrapping"/>
            </w:r>
            <w:r>
              <w:rPr>
                <w:rFonts w:hint="eastAsia" w:ascii="宋体" w:hAnsi="宋体" w:eastAsia="宋体" w:cs="宋体"/>
                <w:sz w:val="21"/>
                <w:szCs w:val="21"/>
              </w:rPr>
              <w:t>中</w:t>
            </w:r>
            <w:r>
              <w:rPr>
                <w:rFonts w:hint="eastAsia" w:ascii="宋体" w:hAnsi="宋体" w:eastAsia="宋体" w:cs="宋体"/>
                <w:sz w:val="21"/>
                <w:szCs w:val="21"/>
              </w:rPr>
              <w:br w:type="textWrapping"/>
            </w:r>
            <w:r>
              <w:rPr>
                <w:rFonts w:hint="eastAsia" w:ascii="宋体" w:hAnsi="宋体" w:eastAsia="宋体" w:cs="宋体"/>
                <w:sz w:val="21"/>
                <w:szCs w:val="21"/>
              </w:rPr>
              <w:t>央</w:t>
            </w:r>
            <w:r>
              <w:rPr>
                <w:rFonts w:hint="eastAsia" w:ascii="宋体" w:hAnsi="宋体" w:eastAsia="宋体" w:cs="宋体"/>
                <w:sz w:val="21"/>
                <w:szCs w:val="21"/>
              </w:rPr>
              <w:br w:type="textWrapping"/>
            </w:r>
            <w:r>
              <w:rPr>
                <w:rFonts w:hint="eastAsia" w:ascii="宋体" w:hAnsi="宋体" w:eastAsia="宋体" w:cs="宋体"/>
                <w:sz w:val="21"/>
                <w:szCs w:val="21"/>
              </w:rPr>
              <w:t>空</w:t>
            </w:r>
            <w:r>
              <w:rPr>
                <w:rFonts w:hint="eastAsia" w:ascii="宋体" w:hAnsi="宋体" w:eastAsia="宋体" w:cs="宋体"/>
                <w:sz w:val="21"/>
                <w:szCs w:val="21"/>
              </w:rPr>
              <w:br w:type="textWrapping"/>
            </w:r>
            <w:r>
              <w:rPr>
                <w:rFonts w:hint="eastAsia" w:ascii="宋体" w:hAnsi="宋体" w:eastAsia="宋体" w:cs="宋体"/>
                <w:sz w:val="21"/>
                <w:szCs w:val="21"/>
              </w:rPr>
              <w:t>调</w:t>
            </w: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1、制定空调使用管理规定，根据季节变换按规定开启冷热空调或新风。按设备操作规程（规范）及开关顺序开启/关闭冷热空调主机、末端设备。</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gridAfter w:val="2"/>
          <w:wAfter w:w="633" w:type="dxa"/>
          <w:trHeight w:val="117"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2、设备主机运行期间落实专人值班、巡查，按时抄表，作好记录，发现问题及时解决并报告上级。</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gridAfter w:val="2"/>
          <w:wAfter w:w="633" w:type="dxa"/>
          <w:trHeight w:val="7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3、由BA控制的空调末端设备，在运行期间落实专人巡检，检查开/闭及运行状态，听取使用方反映意见，作好巡查记录。发现问题或隐患及时处理或报告上级，并根据使用方反映意见及时调整末端运行状态。</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gridAfter w:val="2"/>
          <w:wAfter w:w="633" w:type="dxa"/>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4、制定专门的设备维保计划，除部分由专业厂家负责外，按时做好整个暖通系统的维护保养，换季期间做好过滤网清洗。</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2"/>
          <w:wAfter w:w="633" w:type="dxa"/>
          <w:trHeight w:val="714"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rPr>
              <w:br w:type="textWrapping"/>
            </w:r>
            <w:r>
              <w:rPr>
                <w:rFonts w:hint="eastAsia" w:ascii="宋体" w:hAnsi="宋体" w:eastAsia="宋体" w:cs="宋体"/>
                <w:sz w:val="21"/>
                <w:szCs w:val="21"/>
              </w:rPr>
              <w:t>VRV</w:t>
            </w:r>
            <w:r>
              <w:rPr>
                <w:rFonts w:hint="eastAsia" w:ascii="宋体" w:hAnsi="宋体" w:eastAsia="宋体" w:cs="宋体"/>
                <w:sz w:val="21"/>
                <w:szCs w:val="21"/>
              </w:rPr>
              <w:br w:type="textWrapping"/>
            </w:r>
            <w:r>
              <w:rPr>
                <w:rFonts w:hint="eastAsia" w:ascii="宋体" w:hAnsi="宋体" w:eastAsia="宋体" w:cs="宋体"/>
                <w:sz w:val="21"/>
                <w:szCs w:val="21"/>
              </w:rPr>
              <w:t>空</w:t>
            </w:r>
            <w:r>
              <w:rPr>
                <w:rFonts w:hint="eastAsia" w:ascii="宋体" w:hAnsi="宋体" w:eastAsia="宋体" w:cs="宋体"/>
                <w:sz w:val="21"/>
                <w:szCs w:val="21"/>
              </w:rPr>
              <w:br w:type="textWrapping"/>
            </w:r>
            <w:r>
              <w:rPr>
                <w:rFonts w:hint="eastAsia" w:ascii="宋体" w:hAnsi="宋体" w:eastAsia="宋体" w:cs="宋体"/>
                <w:sz w:val="21"/>
                <w:szCs w:val="21"/>
              </w:rPr>
              <w:t>调</w:t>
            </w:r>
          </w:p>
        </w:tc>
        <w:tc>
          <w:tcPr>
            <w:tcW w:w="9307" w:type="dxa"/>
            <w:tcBorders>
              <w:top w:val="nil"/>
              <w:left w:val="nil"/>
              <w:bottom w:val="single" w:color="auto" w:sz="4" w:space="0"/>
              <w:right w:val="single" w:color="auto" w:sz="4" w:space="0"/>
            </w:tcBorders>
            <w:noWrap w:val="0"/>
            <w:vAlign w:val="center"/>
          </w:tcPr>
          <w:p>
            <w:pPr>
              <w:widowControl/>
              <w:snapToGrid w:val="0"/>
              <w:spacing w:line="180" w:lineRule="auto"/>
              <w:jc w:val="left"/>
              <w:rPr>
                <w:rFonts w:hint="eastAsia" w:ascii="宋体" w:hAnsi="宋体" w:eastAsia="宋体" w:cs="宋体"/>
                <w:sz w:val="21"/>
                <w:szCs w:val="21"/>
              </w:rPr>
            </w:pPr>
            <w:r>
              <w:rPr>
                <w:rFonts w:hint="eastAsia" w:ascii="宋体" w:hAnsi="宋体" w:eastAsia="宋体" w:cs="宋体"/>
                <w:sz w:val="21"/>
                <w:szCs w:val="21"/>
              </w:rPr>
              <w:t>1、制定VRV空调使用管理规定，根据季节变换通过总控室统一变换制冷/制热工况,优化总控程序设置，对公共区域VRV空调统一由总控室操控，适当加强对办公室内VRV空调机的控制，通过管理手段尽量减少公共区域及办公室内VRV空调的电能浪费。</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12</w:t>
            </w:r>
          </w:p>
        </w:tc>
      </w:tr>
      <w:tr>
        <w:tblPrEx>
          <w:tblCellMar>
            <w:top w:w="0" w:type="dxa"/>
            <w:left w:w="108" w:type="dxa"/>
            <w:bottom w:w="0" w:type="dxa"/>
            <w:right w:w="108" w:type="dxa"/>
          </w:tblCellMar>
        </w:tblPrEx>
        <w:trPr>
          <w:gridAfter w:val="2"/>
          <w:wAfter w:w="633" w:type="dxa"/>
          <w:trHeight w:val="551"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s="宋体"/>
                <w:sz w:val="21"/>
                <w:szCs w:val="21"/>
              </w:rPr>
            </w:pPr>
            <w:r>
              <w:rPr>
                <w:rFonts w:hint="eastAsia" w:ascii="宋体" w:hAnsi="宋体" w:eastAsia="宋体" w:cs="宋体"/>
                <w:sz w:val="21"/>
                <w:szCs w:val="21"/>
              </w:rPr>
              <w:t>2、VRV空调使用季节，运行期间落实专人巡检，掌握室外机、室内机运行状态，做好记录，发现问题及时解决并报告上级。做好对VRV空调使用者投诉或报修的服务，做到快速反应，高效服务，如遇机组重大故障或调试缺陷，及时通知厂家维保队伍维修解决。</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12</w:t>
            </w:r>
          </w:p>
        </w:tc>
      </w:tr>
      <w:tr>
        <w:tblPrEx>
          <w:tblCellMar>
            <w:top w:w="0" w:type="dxa"/>
            <w:left w:w="108" w:type="dxa"/>
            <w:bottom w:w="0" w:type="dxa"/>
            <w:right w:w="108" w:type="dxa"/>
          </w:tblCellMar>
        </w:tblPrEx>
        <w:trPr>
          <w:gridAfter w:val="2"/>
          <w:wAfter w:w="633" w:type="dxa"/>
          <w:trHeight w:val="7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3、制定一般性维保计划，除由厂家委托维保内容外，做好一般性系统维保，换季期间做好过滤网清洗。</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2"/>
          <w:wAfter w:w="633" w:type="dxa"/>
          <w:trHeight w:val="212"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xml:space="preserve">三  </w:t>
            </w:r>
            <w:r>
              <w:rPr>
                <w:rFonts w:hint="eastAsia" w:ascii="宋体" w:hAnsi="宋体" w:eastAsia="宋体" w:cs="宋体"/>
                <w:sz w:val="21"/>
                <w:szCs w:val="21"/>
              </w:rPr>
              <w:br w:type="textWrapping"/>
            </w:r>
            <w:r>
              <w:rPr>
                <w:rFonts w:hint="eastAsia" w:ascii="宋体" w:hAnsi="宋体" w:eastAsia="宋体" w:cs="宋体"/>
                <w:sz w:val="21"/>
                <w:szCs w:val="21"/>
              </w:rPr>
              <w:t>通</w:t>
            </w:r>
            <w:r>
              <w:rPr>
                <w:rFonts w:hint="eastAsia" w:ascii="宋体" w:hAnsi="宋体" w:eastAsia="宋体" w:cs="宋体"/>
                <w:sz w:val="21"/>
                <w:szCs w:val="21"/>
              </w:rPr>
              <w:br w:type="textWrapping"/>
            </w:r>
            <w:r>
              <w:rPr>
                <w:rFonts w:hint="eastAsia" w:ascii="宋体" w:hAnsi="宋体" w:eastAsia="宋体" w:cs="宋体"/>
                <w:sz w:val="21"/>
                <w:szCs w:val="21"/>
              </w:rPr>
              <w:t>风</w:t>
            </w: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1、制定车库、卫生间等日常排风使用管理规定，由BA系统每日按时启动排风。</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89"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2、通风设备运行期间，落实专人巡检，检查设备运行状态，发现问题及时解决或报告上级。</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525"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3、制定会议室相应通风使用规定，根据季节、气候及会议室内现场空气品质，做好会议前的通风准备，尤其要做好大型会议场所的空气品质保障。</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285"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4、在春、秋季节，结合空调新风，尽量多使用通风设备来改善空气品质。</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snapToGrid w:val="0"/>
              <w:spacing w:line="180" w:lineRule="auto"/>
              <w:jc w:val="left"/>
              <w:rPr>
                <w:rFonts w:hint="eastAsia" w:ascii="宋体" w:hAnsi="宋体" w:eastAsia="宋体" w:cs="宋体"/>
                <w:sz w:val="21"/>
                <w:szCs w:val="21"/>
              </w:rPr>
            </w:pPr>
            <w:r>
              <w:rPr>
                <w:rFonts w:hint="eastAsia" w:ascii="宋体" w:hAnsi="宋体" w:eastAsia="宋体" w:cs="宋体"/>
                <w:sz w:val="21"/>
                <w:szCs w:val="21"/>
              </w:rPr>
              <w:t>5、消防排烟通风设备应制定专门使用规定，及时做好维保，不定期手动试运转，保证联动可靠性，确保消防排烟系统的正常状态。</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127"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snapToGrid w:val="0"/>
              <w:spacing w:line="180" w:lineRule="auto"/>
              <w:jc w:val="center"/>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sz w:val="21"/>
                <w:szCs w:val="21"/>
              </w:rPr>
              <w:br w:type="textWrapping"/>
            </w:r>
            <w:r>
              <w:rPr>
                <w:rFonts w:hint="eastAsia" w:ascii="宋体" w:hAnsi="宋体" w:eastAsia="宋体" w:cs="宋体"/>
                <w:sz w:val="21"/>
                <w:szCs w:val="21"/>
              </w:rPr>
              <w:t>管</w:t>
            </w:r>
            <w:r>
              <w:rPr>
                <w:rFonts w:hint="eastAsia" w:ascii="宋体" w:hAnsi="宋体" w:eastAsia="宋体" w:cs="宋体"/>
                <w:sz w:val="21"/>
                <w:szCs w:val="21"/>
              </w:rPr>
              <w:br w:type="textWrapping"/>
            </w:r>
            <w:r>
              <w:rPr>
                <w:rFonts w:hint="eastAsia" w:ascii="宋体" w:hAnsi="宋体" w:eastAsia="宋体" w:cs="宋体"/>
                <w:sz w:val="21"/>
                <w:szCs w:val="21"/>
              </w:rPr>
              <w:t>理</w:t>
            </w:r>
            <w:r>
              <w:rPr>
                <w:rFonts w:hint="eastAsia" w:ascii="宋体" w:hAnsi="宋体" w:eastAsia="宋体" w:cs="宋体"/>
                <w:sz w:val="21"/>
                <w:szCs w:val="21"/>
              </w:rPr>
              <w:br w:type="textWrapping"/>
            </w:r>
            <w:r>
              <w:rPr>
                <w:rFonts w:hint="eastAsia" w:ascii="宋体" w:hAnsi="宋体" w:eastAsia="宋体" w:cs="宋体"/>
                <w:sz w:val="21"/>
                <w:szCs w:val="21"/>
              </w:rPr>
              <w:t>方</w:t>
            </w:r>
            <w:r>
              <w:rPr>
                <w:rFonts w:hint="eastAsia" w:ascii="宋体" w:hAnsi="宋体" w:eastAsia="宋体" w:cs="宋体"/>
                <w:sz w:val="21"/>
                <w:szCs w:val="21"/>
              </w:rPr>
              <w:br w:type="textWrapping"/>
            </w:r>
            <w:r>
              <w:rPr>
                <w:rFonts w:hint="eastAsia" w:ascii="宋体" w:hAnsi="宋体" w:eastAsia="宋体" w:cs="宋体"/>
                <w:sz w:val="21"/>
                <w:szCs w:val="21"/>
              </w:rPr>
              <w:t>面</w:t>
            </w: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1、制定各种操作规程、使用管理规定、岗位责任制、安全责任制及应急预案，做到制度上墙、落实到人。</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525"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2、空调机房做到整洁有序，不得有他物占用，各种设备责任到人，挂牌明示，阀门开/闭状态应挂牌标明。设备使用情况有现场记录。</w:t>
            </w:r>
          </w:p>
        </w:tc>
        <w:tc>
          <w:tcPr>
            <w:tcW w:w="202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323"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307" w:type="dxa"/>
            <w:tcBorders>
              <w:top w:val="nil"/>
              <w:left w:val="nil"/>
              <w:bottom w:val="nil"/>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3、树立节能意识，深入每位员工人心，做到随手节能，随时节能，并从管理制度上保证节能措施的落实。</w:t>
            </w:r>
          </w:p>
        </w:tc>
        <w:tc>
          <w:tcPr>
            <w:tcW w:w="2022" w:type="dxa"/>
            <w:gridSpan w:val="2"/>
            <w:tcBorders>
              <w:top w:val="nil"/>
              <w:left w:val="nil"/>
              <w:bottom w:val="nil"/>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755" w:type="dxa"/>
            <w:gridSpan w:val="3"/>
            <w:tcBorders>
              <w:top w:val="nil"/>
              <w:left w:val="nil"/>
              <w:bottom w:val="nil"/>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2"/>
          <w:wAfter w:w="633" w:type="dxa"/>
          <w:trHeight w:val="270" w:hRule="atLeast"/>
          <w:jc w:val="center"/>
        </w:trPr>
        <w:tc>
          <w:tcPr>
            <w:tcW w:w="13103"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合        计</w:t>
            </w:r>
          </w:p>
        </w:tc>
        <w:tc>
          <w:tcPr>
            <w:tcW w:w="7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100</w:t>
            </w:r>
          </w:p>
        </w:tc>
      </w:tr>
      <w:tr>
        <w:tblPrEx>
          <w:tblCellMar>
            <w:top w:w="0" w:type="dxa"/>
            <w:left w:w="108" w:type="dxa"/>
            <w:bottom w:w="0" w:type="dxa"/>
            <w:right w:w="108" w:type="dxa"/>
          </w:tblCellMar>
        </w:tblPrEx>
        <w:trPr>
          <w:gridAfter w:val="1"/>
          <w:wAfter w:w="141" w:type="dxa"/>
          <w:trHeight w:val="423" w:hRule="atLeast"/>
          <w:jc w:val="center"/>
        </w:trPr>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03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sz w:val="21"/>
                <w:szCs w:val="21"/>
                <w:lang w:eastAsia="zh-CN"/>
              </w:rPr>
            </w:pPr>
            <w:r>
              <w:rPr>
                <w:rFonts w:hint="eastAsia" w:ascii="宋体" w:hAnsi="宋体" w:eastAsia="宋体" w:cs="宋体"/>
                <w:sz w:val="21"/>
                <w:szCs w:val="21"/>
              </w:rPr>
              <w:t>目   标   要   求</w:t>
            </w:r>
            <w:r>
              <w:rPr>
                <w:rFonts w:hint="eastAsia" w:ascii="宋体" w:hAnsi="宋体" w:eastAsia="宋体" w:cs="宋体"/>
                <w:sz w:val="21"/>
                <w:szCs w:val="21"/>
                <w:lang w:eastAsia="zh-CN"/>
              </w:rPr>
              <w:t>（电梯）</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考  评  标  准</w:t>
            </w:r>
          </w:p>
        </w:tc>
        <w:tc>
          <w:tcPr>
            <w:tcW w:w="113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基本分</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电</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梯</w:t>
            </w:r>
          </w:p>
        </w:tc>
        <w:tc>
          <w:tcPr>
            <w:tcW w:w="600" w:type="dxa"/>
            <w:vMerge w:val="restart"/>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制</w:t>
            </w:r>
            <w:r>
              <w:rPr>
                <w:rFonts w:hint="eastAsia" w:ascii="宋体" w:hAnsi="宋体" w:eastAsia="宋体" w:cs="宋体"/>
                <w:sz w:val="21"/>
                <w:szCs w:val="21"/>
              </w:rPr>
              <w:br w:type="textWrapping"/>
            </w:r>
            <w:r>
              <w:rPr>
                <w:rFonts w:hint="eastAsia" w:ascii="宋体" w:hAnsi="宋体" w:eastAsia="宋体" w:cs="宋体"/>
                <w:sz w:val="21"/>
                <w:szCs w:val="21"/>
              </w:rPr>
              <w:t>度</w:t>
            </w:r>
            <w:r>
              <w:rPr>
                <w:rFonts w:hint="eastAsia" w:ascii="宋体" w:hAnsi="宋体" w:eastAsia="宋体" w:cs="宋体"/>
                <w:sz w:val="21"/>
                <w:szCs w:val="21"/>
              </w:rPr>
              <w:br w:type="textWrapping"/>
            </w:r>
            <w:r>
              <w:rPr>
                <w:rFonts w:hint="eastAsia" w:ascii="宋体" w:hAnsi="宋体" w:eastAsia="宋体" w:cs="宋体"/>
                <w:sz w:val="21"/>
                <w:szCs w:val="21"/>
              </w:rPr>
              <w:t>建</w:t>
            </w:r>
            <w:r>
              <w:rPr>
                <w:rFonts w:hint="eastAsia" w:ascii="宋体" w:hAnsi="宋体" w:eastAsia="宋体" w:cs="宋体"/>
                <w:sz w:val="21"/>
                <w:szCs w:val="21"/>
              </w:rPr>
              <w:br w:type="textWrapping"/>
            </w:r>
            <w:r>
              <w:rPr>
                <w:rFonts w:hint="eastAsia" w:ascii="宋体" w:hAnsi="宋体" w:eastAsia="宋体" w:cs="宋体"/>
                <w:sz w:val="21"/>
                <w:szCs w:val="21"/>
              </w:rPr>
              <w:t>设</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1、电梯安全管理制度。</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2、电梯安全操作规程,电梯使用注意事项。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3、电梯保养制度。</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4、电梯故障申报修理程序。</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5、岗位责任制，分工明确。</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6、事故处理程序,电梯紧急救援预案。</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line="180" w:lineRule="auto"/>
              <w:jc w:val="center"/>
              <w:rPr>
                <w:rFonts w:hint="eastAsia" w:ascii="宋体" w:hAnsi="宋体" w:eastAsia="宋体" w:cs="宋体"/>
                <w:sz w:val="21"/>
                <w:szCs w:val="21"/>
              </w:rPr>
            </w:pPr>
            <w:r>
              <w:rPr>
                <w:rFonts w:hint="eastAsia" w:ascii="宋体" w:hAnsi="宋体" w:eastAsia="宋体" w:cs="宋体"/>
                <w:sz w:val="21"/>
                <w:szCs w:val="21"/>
              </w:rPr>
              <w:t>工</w:t>
            </w:r>
            <w:r>
              <w:rPr>
                <w:rFonts w:hint="eastAsia" w:ascii="宋体" w:hAnsi="宋体" w:eastAsia="宋体" w:cs="宋体"/>
                <w:sz w:val="21"/>
                <w:szCs w:val="21"/>
              </w:rPr>
              <w:br w:type="textWrapping"/>
            </w:r>
            <w:r>
              <w:rPr>
                <w:rFonts w:hint="eastAsia" w:ascii="宋体" w:hAnsi="宋体" w:eastAsia="宋体" w:cs="宋体"/>
                <w:sz w:val="21"/>
                <w:szCs w:val="21"/>
              </w:rPr>
              <w:t>作</w:t>
            </w:r>
            <w:r>
              <w:rPr>
                <w:rFonts w:hint="eastAsia" w:ascii="宋体" w:hAnsi="宋体" w:eastAsia="宋体" w:cs="宋体"/>
                <w:sz w:val="21"/>
                <w:szCs w:val="21"/>
              </w:rPr>
              <w:br w:type="textWrapping"/>
            </w:r>
            <w:r>
              <w:rPr>
                <w:rFonts w:hint="eastAsia" w:ascii="宋体" w:hAnsi="宋体" w:eastAsia="宋体" w:cs="宋体"/>
                <w:sz w:val="21"/>
                <w:szCs w:val="21"/>
              </w:rPr>
              <w:t>计</w:t>
            </w:r>
            <w:r>
              <w:rPr>
                <w:rFonts w:hint="eastAsia" w:ascii="宋体" w:hAnsi="宋体" w:eastAsia="宋体" w:cs="宋体"/>
                <w:sz w:val="21"/>
                <w:szCs w:val="21"/>
              </w:rPr>
              <w:br w:type="textWrapping"/>
            </w:r>
            <w:r>
              <w:rPr>
                <w:rFonts w:hint="eastAsia" w:ascii="宋体" w:hAnsi="宋体" w:eastAsia="宋体" w:cs="宋体"/>
                <w:sz w:val="21"/>
                <w:szCs w:val="21"/>
              </w:rPr>
              <w:t>划</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记</w:t>
            </w:r>
            <w:r>
              <w:rPr>
                <w:rFonts w:hint="eastAsia" w:ascii="宋体" w:hAnsi="宋体" w:eastAsia="宋体" w:cs="宋体"/>
                <w:sz w:val="21"/>
                <w:szCs w:val="21"/>
              </w:rPr>
              <w:br w:type="textWrapping"/>
            </w:r>
            <w:r>
              <w:rPr>
                <w:rFonts w:hint="eastAsia" w:ascii="宋体" w:hAnsi="宋体" w:eastAsia="宋体" w:cs="宋体"/>
                <w:sz w:val="21"/>
                <w:szCs w:val="21"/>
              </w:rPr>
              <w:t>录</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1、年度检查、维护计划。</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2、人员变更记录。</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3、检修记录，故障及处理的全过程记录。</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4、备件、物料、工具的管理记录。</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5、月度工作计划，工作情况月报表。</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6、学习、培训记录。</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gridAfter w:val="1"/>
          <w:wAfter w:w="141" w:type="dxa"/>
          <w:trHeight w:val="426"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工</w:t>
            </w:r>
            <w:r>
              <w:rPr>
                <w:rFonts w:hint="eastAsia" w:ascii="宋体" w:hAnsi="宋体" w:eastAsia="宋体" w:cs="宋体"/>
                <w:sz w:val="21"/>
                <w:szCs w:val="21"/>
              </w:rPr>
              <w:br w:type="textWrapping"/>
            </w:r>
            <w:r>
              <w:rPr>
                <w:rFonts w:hint="eastAsia" w:ascii="宋体" w:hAnsi="宋体" w:eastAsia="宋体" w:cs="宋体"/>
                <w:sz w:val="21"/>
                <w:szCs w:val="21"/>
              </w:rPr>
              <w:t>作</w:t>
            </w:r>
            <w:r>
              <w:rPr>
                <w:rFonts w:hint="eastAsia" w:ascii="宋体" w:hAnsi="宋体" w:eastAsia="宋体" w:cs="宋体"/>
                <w:sz w:val="21"/>
                <w:szCs w:val="21"/>
              </w:rPr>
              <w:br w:type="textWrapping"/>
            </w:r>
            <w:r>
              <w:rPr>
                <w:rFonts w:hint="eastAsia" w:ascii="宋体" w:hAnsi="宋体" w:eastAsia="宋体" w:cs="宋体"/>
                <w:sz w:val="21"/>
                <w:szCs w:val="21"/>
              </w:rPr>
              <w:t>质</w:t>
            </w:r>
            <w:r>
              <w:rPr>
                <w:rFonts w:hint="eastAsia" w:ascii="宋体" w:hAnsi="宋体" w:eastAsia="宋体" w:cs="宋体"/>
                <w:sz w:val="21"/>
                <w:szCs w:val="21"/>
              </w:rPr>
              <w:br w:type="textWrapping"/>
            </w:r>
            <w:r>
              <w:rPr>
                <w:rFonts w:hint="eastAsia" w:ascii="宋体" w:hAnsi="宋体" w:eastAsia="宋体" w:cs="宋体"/>
                <w:sz w:val="21"/>
                <w:szCs w:val="21"/>
              </w:rPr>
              <w:t>量</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1、机房上锁，通道无阻；内部整洁，物品摆放有序；无漏水、漏油现象；照明、通风良好；专用工具齐全；应急照明正常、消防器材齐全；机房不作他用。</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7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2、轿厢整洁无损，照明及应急照明正常，指示、警铃、通讯设施正常，风扇正常，按纽、开关正常灵活。</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3、层门、厅门清洁无变形，按纽灵活显示正常，开门灵活无碰撞声音。</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4、底坑干净、无积水、照明正常。</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5、电梯运行时各部分无异常声音，舒适感强。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6、故障处理及时有效。</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7、设备标识齐全、清晰、显眼。</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其</w:t>
            </w:r>
            <w:r>
              <w:rPr>
                <w:rFonts w:hint="eastAsia" w:ascii="宋体" w:hAnsi="宋体" w:eastAsia="宋体" w:cs="宋体"/>
                <w:sz w:val="21"/>
                <w:szCs w:val="21"/>
              </w:rPr>
              <w:br w:type="textWrapping"/>
            </w:r>
            <w:r>
              <w:rPr>
                <w:rFonts w:hint="eastAsia" w:ascii="宋体" w:hAnsi="宋体" w:eastAsia="宋体" w:cs="宋体"/>
                <w:sz w:val="21"/>
                <w:szCs w:val="21"/>
              </w:rPr>
              <w:t>它</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1、岗位责任人持证率达100%。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2、制度明确、齐全的年度工作目标。</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1"/>
          <w:wAfter w:w="141" w:type="dxa"/>
          <w:trHeight w:val="300" w:hRule="atLeast"/>
          <w:jc w:val="center"/>
        </w:trPr>
        <w:tc>
          <w:tcPr>
            <w:tcW w:w="13216"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合            计</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100</w:t>
            </w:r>
          </w:p>
        </w:tc>
      </w:tr>
      <w:tr>
        <w:tblPrEx>
          <w:tblCellMar>
            <w:top w:w="0" w:type="dxa"/>
            <w:left w:w="108" w:type="dxa"/>
            <w:bottom w:w="0" w:type="dxa"/>
            <w:right w:w="108" w:type="dxa"/>
          </w:tblCellMar>
        </w:tblPrEx>
        <w:trPr>
          <w:trHeight w:val="390" w:hRule="atLeast"/>
          <w:jc w:val="center"/>
        </w:trPr>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03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sz w:val="21"/>
                <w:szCs w:val="21"/>
                <w:lang w:eastAsia="zh-CN"/>
              </w:rPr>
            </w:pPr>
            <w:r>
              <w:rPr>
                <w:rFonts w:hint="eastAsia" w:ascii="宋体" w:hAnsi="宋体" w:eastAsia="宋体" w:cs="宋体"/>
                <w:sz w:val="21"/>
                <w:szCs w:val="21"/>
              </w:rPr>
              <w:t>目   标   要   求</w:t>
            </w:r>
            <w:r>
              <w:rPr>
                <w:rFonts w:hint="eastAsia" w:ascii="宋体" w:hAnsi="宋体" w:eastAsia="宋体" w:cs="宋体"/>
                <w:sz w:val="21"/>
                <w:szCs w:val="21"/>
                <w:lang w:eastAsia="zh-CN"/>
              </w:rPr>
              <w:t>（给排水）</w:t>
            </w:r>
          </w:p>
        </w:tc>
        <w:tc>
          <w:tcPr>
            <w:tcW w:w="198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考  评  标  准</w:t>
            </w:r>
          </w:p>
        </w:tc>
        <w:tc>
          <w:tcPr>
            <w:tcW w:w="9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基本分</w:t>
            </w:r>
          </w:p>
        </w:tc>
      </w:tr>
      <w:tr>
        <w:tblPrEx>
          <w:tblCellMar>
            <w:top w:w="0" w:type="dxa"/>
            <w:left w:w="108" w:type="dxa"/>
            <w:bottom w:w="0" w:type="dxa"/>
            <w:right w:w="108" w:type="dxa"/>
          </w:tblCellMar>
        </w:tblPrEx>
        <w:trPr>
          <w:trHeight w:val="660" w:hRule="atLeast"/>
          <w:jc w:val="center"/>
        </w:trPr>
        <w:tc>
          <w:tcPr>
            <w:tcW w:w="4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给 水 系 统 设 备 设 施 维 运</w:t>
            </w: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给水</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1、市政给水系统：按规定进行抄表，定期检查生活水泵运行、保养，定期检查高层水箱水位控制系统是否正常、管网系统是否漏水。</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36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2、热水系统：定期检查热水设备、管网系统是否漏水及保养情况。</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3、直饮水：定期检查机房设备是否卫生可靠，是否记录，是否按年计划进行保养（例定期清洗或更换过滤器），定期对末端设备的保养与卫生保养。</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排水</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1、排污系统：定期对各排污口进行检查，定期检查各排污隐井水位标高。</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525"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2、雨水系统：定期对各屋面雨水入口进行检查、清理入水口周围异物，定期检查各雨水隐井水位标高。</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消防</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1、喷淋系统：定期检查与保养喷淋系统设备是否正常，按消防规定进行末端放水测试，以检测系统联动的可靠性。</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15</w:t>
            </w:r>
          </w:p>
        </w:tc>
      </w:tr>
      <w:tr>
        <w:tblPrEx>
          <w:tblCellMar>
            <w:top w:w="0" w:type="dxa"/>
            <w:left w:w="108" w:type="dxa"/>
            <w:bottom w:w="0" w:type="dxa"/>
            <w:right w:w="108" w:type="dxa"/>
          </w:tblCellMar>
        </w:tblPrEx>
        <w:trPr>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2、消防栓系统：定期检查与保养消防栓系统设备是否正常，按消防规定进行运行测试，以检测系统联动的可靠性。</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15</w:t>
            </w:r>
          </w:p>
        </w:tc>
      </w:tr>
      <w:tr>
        <w:tblPrEx>
          <w:tblCellMar>
            <w:top w:w="0" w:type="dxa"/>
            <w:left w:w="108" w:type="dxa"/>
            <w:bottom w:w="0" w:type="dxa"/>
            <w:right w:w="108" w:type="dxa"/>
          </w:tblCellMar>
        </w:tblPrEx>
        <w:trPr>
          <w:trHeight w:val="51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管理方面</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1、制定各种操作规程、使用管理制度、岗位责任制、安全责任制及应急预案的实施情况，制度上墙、落实到人。</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2、根据卫生安全要求，相关人员须持证上岗。</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3、按照工作需要人员定岗。</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6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4、机房管理做到整洁有序，不得有他物占用，各种设备责任到人，设备的运行状态挂牌明示。</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300" w:hRule="atLeast"/>
          <w:jc w:val="center"/>
        </w:trPr>
        <w:tc>
          <w:tcPr>
            <w:tcW w:w="13499"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合            计</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100</w:t>
            </w:r>
          </w:p>
        </w:tc>
      </w:tr>
      <w:tr>
        <w:tblPrEx>
          <w:tblCellMar>
            <w:top w:w="0" w:type="dxa"/>
            <w:left w:w="108" w:type="dxa"/>
            <w:bottom w:w="0" w:type="dxa"/>
            <w:right w:w="108" w:type="dxa"/>
          </w:tblCellMar>
        </w:tblPrEx>
        <w:trPr>
          <w:trHeight w:val="390" w:hRule="atLeast"/>
          <w:jc w:val="center"/>
        </w:trPr>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03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sz w:val="21"/>
                <w:szCs w:val="21"/>
                <w:lang w:eastAsia="zh-CN"/>
              </w:rPr>
            </w:pPr>
            <w:r>
              <w:rPr>
                <w:rFonts w:hint="eastAsia" w:ascii="宋体" w:hAnsi="宋体" w:eastAsia="宋体" w:cs="宋体"/>
                <w:sz w:val="21"/>
                <w:szCs w:val="21"/>
              </w:rPr>
              <w:t>目   标   要   求</w:t>
            </w:r>
            <w:r>
              <w:rPr>
                <w:rFonts w:hint="eastAsia" w:ascii="宋体" w:hAnsi="宋体" w:eastAsia="宋体" w:cs="宋体"/>
                <w:sz w:val="21"/>
                <w:szCs w:val="21"/>
                <w:lang w:eastAsia="zh-CN"/>
              </w:rPr>
              <w:t>（弱电）</w:t>
            </w:r>
          </w:p>
        </w:tc>
        <w:tc>
          <w:tcPr>
            <w:tcW w:w="198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考  评  标  准</w:t>
            </w:r>
          </w:p>
        </w:tc>
        <w:tc>
          <w:tcPr>
            <w:tcW w:w="9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基本分</w:t>
            </w:r>
          </w:p>
        </w:tc>
      </w:tr>
      <w:tr>
        <w:tblPrEx>
          <w:tblCellMar>
            <w:top w:w="0" w:type="dxa"/>
            <w:left w:w="108" w:type="dxa"/>
            <w:bottom w:w="0" w:type="dxa"/>
            <w:right w:w="108" w:type="dxa"/>
          </w:tblCellMar>
        </w:tblPrEx>
        <w:trPr>
          <w:trHeight w:val="330" w:hRule="atLeast"/>
          <w:jc w:val="center"/>
        </w:trPr>
        <w:tc>
          <w:tcPr>
            <w:tcW w:w="4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弱   电</w:t>
            </w: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　</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1、完备的年度工作计划和工和目标。</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napToGrid w:val="0"/>
                <w:spacing w:val="-8"/>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454"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2、管理人员和专业技术人员设置到位、分工明确，员工工作规范，作风严谨，操作者应经培训合格，持证上岗。</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66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3、建立24小时值班制度，设立服务电话，对各类报修、求助、建议、问询、质疑、投诉等各类信息进行收集和反馈，并及时处理，有记录，定期研究总结 。</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4、对各类人员进行教育培训，合格后持证上岗。</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5、制订各类设备安全运行、操作、巡查、维护保养、检修规程并严格执行。</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7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6、对设备进行经常性维护、保养，并定期检测、调整，维护、保养和检测有记录，记录真实、准确、完整。</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51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7、设备台帐、卡、设备档案（包括各类图纸、图表、软件等）及各类记录齐全。</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8、现场标志完好，各种图表齐全正确，机房布置合理、整洁有序。</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675"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9、各系统运行正常，满足使用要求，工艺、编程合理，使设备经济有效运行，达到节能目的。操作正确，故障处理准确、及时并有记录。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15</w:t>
            </w:r>
          </w:p>
        </w:tc>
      </w:tr>
      <w:tr>
        <w:tblPrEx>
          <w:tblCellMar>
            <w:top w:w="0" w:type="dxa"/>
            <w:left w:w="108" w:type="dxa"/>
            <w:bottom w:w="0" w:type="dxa"/>
            <w:right w:w="108" w:type="dxa"/>
          </w:tblCellMar>
        </w:tblPrEx>
        <w:trPr>
          <w:trHeight w:val="675"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10、重视清洁、保养、检查和调整工作，设备及机房环境整洁，无杂物，灰尘、无鼠、虫害发生，机房环境符合设备要求。</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8</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11、编制备品备件计划、系统检测计划和设备更新计划并实施。</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12、制定事故应急处理方案并有演练。</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33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13、对合理的建议及时整改，满意率达95％以上，有合理化建议并实施。</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66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14、 发生设备事故，应当认真分析原因，确定事故性质与类别，确定责任者，并做出妥善处理和完善防范措施。</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r>
      <w:tr>
        <w:tblPrEx>
          <w:tblCellMar>
            <w:top w:w="0" w:type="dxa"/>
            <w:left w:w="108" w:type="dxa"/>
            <w:bottom w:w="0" w:type="dxa"/>
            <w:right w:w="108" w:type="dxa"/>
          </w:tblCellMar>
        </w:tblPrEx>
        <w:trPr>
          <w:trHeight w:val="330" w:hRule="atLeast"/>
          <w:jc w:val="center"/>
        </w:trPr>
        <w:tc>
          <w:tcPr>
            <w:tcW w:w="13499"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合            计</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100</w:t>
            </w:r>
          </w:p>
        </w:tc>
      </w:tr>
      <w:tr>
        <w:tblPrEx>
          <w:tblCellMar>
            <w:top w:w="0" w:type="dxa"/>
            <w:left w:w="108" w:type="dxa"/>
            <w:bottom w:w="0" w:type="dxa"/>
            <w:right w:w="108" w:type="dxa"/>
          </w:tblCellMar>
        </w:tblPrEx>
        <w:trPr>
          <w:trHeight w:val="451" w:hRule="atLeast"/>
          <w:jc w:val="center"/>
        </w:trPr>
        <w:tc>
          <w:tcPr>
            <w:tcW w:w="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03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目   标   要   求（强电）</w:t>
            </w:r>
          </w:p>
        </w:tc>
        <w:tc>
          <w:tcPr>
            <w:tcW w:w="198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考  评  标  准</w:t>
            </w:r>
          </w:p>
        </w:tc>
        <w:tc>
          <w:tcPr>
            <w:tcW w:w="9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基本分</w:t>
            </w:r>
          </w:p>
        </w:tc>
      </w:tr>
      <w:tr>
        <w:tblPrEx>
          <w:tblCellMar>
            <w:top w:w="0" w:type="dxa"/>
            <w:left w:w="108" w:type="dxa"/>
            <w:bottom w:w="0" w:type="dxa"/>
            <w:right w:w="108" w:type="dxa"/>
          </w:tblCellMar>
        </w:tblPrEx>
        <w:trPr>
          <w:trHeight w:val="364" w:hRule="atLeast"/>
          <w:jc w:val="center"/>
        </w:trPr>
        <w:tc>
          <w:tcPr>
            <w:tcW w:w="4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电  气  强  电</w:t>
            </w: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基础管理</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规程：应具备并执行的规程，电业安全规程，电气设备现场一、二次运行规程和典型操作票，电气设备预防性试验规程，变压器运行规程，电气事故调查规程，电气事故处理规程，典型操作票正确完整，已在实际中使用。</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4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2、制度：六种制度上墙，岗位责任制度，交接班制度，巡回检查制度，设备定期试验和缺陷管理制度，现场培训制度，保卫工作制度，执行情况良好。</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8"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3、图表：四图、三表、一牌上墙，高、低压模拟图，开关跳闸次数图，巡视路线图，继电保护及整定值配置表，熔丝配置表，设备定级表，安全日标示牌，高低压模拟图完整并与现场运行相符。</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628"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记录：十种记录簿完备，值班（交接班）记录，运行记录，操作票和工作票记录，检修、试验记录，设备缺陷记录，开关、保护动作记录，避雷器动作记录，电池测量记录，安全活动和培训记录，安全工器具试验和消防设备检查记录，不漏记、不撕页、字迹清楚。</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5、技术资料：竣工图保存完整并与实际相符，设备台账齐全，各类电试报告齐全，负荷记录齐全，设备改造及大、小修竣工有记录，设备事故、障碍及运行分析有专题报告。</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54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6、建立24小时值班制度，设立服务电话，接受用户报修、求助、建议、问询、质疑、投诉等各类信息的收集和反馈，并及时处理，有回访制度和记录。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158"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7、定期向用户发放物业管理服务工作征求意见单，对合理的建议及时整改，满意率达95%以上。</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7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8、建立并落实维修服务承诺制，零修急修及时率达100%、返修率不高于1%，并有回访记录。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安全运行</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1、设备良好，运行正常。</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2、操作票、工作票两票齐全，票面合格率达90%以上。</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3、保证正常供电，限电、停电有明确的审批权限并按规定时间通知住用。</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4、制订临时用电管理措施与停电应急处理措施并严格执行，备用应急发电机可随时起用。</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5、电气设备标牌、标识正确、齐全、清晰，遮栏及各种标志符合要求，线路、设备巡视项目全面、巡视项目牌齐全、挂置得当。</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6、工作照明和事故照明处于完好状态，安全工具齐全，按期试验合格，消防器材放置合理，定期检查有记录。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7、防小动物有措施，电缆沟定期检查、盖板齐全、不积水、室内无食物剩渣并常设灭鼠器具和药物、户内外场地整洁、环境美。</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nil"/>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8、双电源联锁可靠使用正常。</w:t>
            </w:r>
          </w:p>
        </w:tc>
        <w:tc>
          <w:tcPr>
            <w:tcW w:w="1984" w:type="dxa"/>
            <w:gridSpan w:val="3"/>
            <w:tcBorders>
              <w:top w:val="nil"/>
              <w:left w:val="nil"/>
              <w:bottom w:val="nil"/>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nil"/>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9、防雷接地设施符合规程要求，予试不超周期。</w:t>
            </w:r>
          </w:p>
        </w:tc>
        <w:tc>
          <w:tcPr>
            <w:tcW w:w="198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10、合理安排负荷，电容器投切合理节约用电。</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6</w:t>
            </w:r>
          </w:p>
        </w:tc>
        <w:tc>
          <w:tcPr>
            <w:tcW w:w="7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电  气  强  电</w:t>
            </w:r>
          </w:p>
        </w:tc>
        <w:tc>
          <w:tcPr>
            <w:tcW w:w="6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设备维护</w:t>
            </w:r>
          </w:p>
        </w:tc>
        <w:tc>
          <w:tcPr>
            <w:tcW w:w="9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1、制订年度工作目标、电气设备维保计划及实施方案。</w:t>
            </w:r>
          </w:p>
        </w:tc>
        <w:tc>
          <w:tcPr>
            <w:tcW w:w="198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6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2、制订设备安全运行、岗位责任制、定期巡回检查、维护保养、运行记录管理、维修档案等管理制度及内容，并严格执行。</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136"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3、设备及机房环境整洁，无杂物，灰尘、无鼠、虫害发生，机房环境符合设备要求。</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4、配备所需专业技术人员，持证上岗、严格执行操作规程。</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117"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5、设备运行正常、无淘汰设备、无三类设备，修试不超周期、项目齐全、合格。</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6、保护和自动装置投切符合要求，开关接触良好、状态与模拟图一致。</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7、各类表计指示及计量正确。</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8、接地装置完整可靠，符合规定。</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9、熔丝配置得当，有备品。</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10、每年一次开关保护传动试验有记录。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11、设备挂牌落实责任人，管理落实到人。</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12、一、二次设备保持清洁，定期清扫，每年不少于2次，有记录。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13、设备按季定级，完好率达100%，其中一类设备达80%以上。</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30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14、直流操作电源维护好，电池测量有记录。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r>
      <w:tr>
        <w:tblPrEx>
          <w:tblCellMar>
            <w:top w:w="0" w:type="dxa"/>
            <w:left w:w="108" w:type="dxa"/>
            <w:bottom w:w="0" w:type="dxa"/>
            <w:right w:w="108" w:type="dxa"/>
          </w:tblCellMar>
        </w:tblPrEx>
        <w:trPr>
          <w:trHeight w:val="7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人员配置培训</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1、岗位设备合理，人员配备齐全，责任明确，管理人员和专业技术（值班、维修、操作）人员持证上岗，员工统一着装，佩戴明显标志，工作规范，作风严谨。</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7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2、值班台上应有：值班人员及相关人员的名单，主要设备技术参数及其他必要数据，正常工作的通讯设备。</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7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3、技术培训：《安规》及其他有关规程考试，每年不少于一次、有试卷，业务技术考试每年不少于一次，有试卷。反事故及应急预案演习每年不少于一次。安全活动每月不少于一次，有记录。</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42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4、现场应知应会考问：包括安规、业务技术抽考。</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不满足一项扣0.3分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7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照明</w:t>
            </w: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1、室外、道路、楼道、厅堂、卫生间等公共照明完好。</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7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2、根据时间、地点、气候等因素变化制定各种公共部位照明方案，及时调整、严格执行，节约用电。</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420" w:hRule="atLeast"/>
          <w:jc w:val="center"/>
        </w:trPr>
        <w:tc>
          <w:tcPr>
            <w:tcW w:w="41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9741" w:type="dxa"/>
            <w:gridSpan w:val="2"/>
            <w:tcBorders>
              <w:top w:val="nil"/>
              <w:left w:val="nil"/>
              <w:bottom w:val="nil"/>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3、督促用户随手关灯，杜绝浪费。</w:t>
            </w:r>
          </w:p>
        </w:tc>
        <w:tc>
          <w:tcPr>
            <w:tcW w:w="198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不满足一项扣1分</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trHeight w:val="300" w:hRule="atLeast"/>
          <w:jc w:val="center"/>
        </w:trPr>
        <w:tc>
          <w:tcPr>
            <w:tcW w:w="13499"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合           计</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100</w:t>
            </w:r>
          </w:p>
        </w:tc>
      </w:tr>
    </w:tbl>
    <w:p>
      <w:pPr>
        <w:pStyle w:val="514"/>
        <w:numPr>
          <w:ilvl w:val="0"/>
          <w:numId w:val="0"/>
        </w:numPr>
      </w:pPr>
    </w:p>
    <w:p>
      <w:pPr>
        <w:numPr>
          <w:ilvl w:val="0"/>
          <w:numId w:val="1"/>
        </w:numPr>
        <w:spacing w:line="440" w:lineRule="exact"/>
        <w:ind w:left="0" w:leftChars="0" w:firstLine="0" w:firstLineChars="0"/>
        <w:rPr>
          <w:rFonts w:hint="eastAsia" w:ascii="Arial" w:hAnsi="Arial" w:cs="Arial"/>
          <w:b/>
          <w:bCs/>
          <w:sz w:val="24"/>
          <w:szCs w:val="24"/>
        </w:rPr>
      </w:pPr>
      <w:r>
        <w:rPr>
          <w:rFonts w:hint="eastAsia" w:ascii="Arial" w:hAnsi="Arial" w:cs="Arial"/>
          <w:b/>
          <w:bCs/>
          <w:sz w:val="24"/>
          <w:szCs w:val="24"/>
        </w:rPr>
        <w:t>会务部考核</w:t>
      </w:r>
    </w:p>
    <w:tbl>
      <w:tblPr>
        <w:tblStyle w:val="64"/>
        <w:tblW w:w="0" w:type="auto"/>
        <w:tblInd w:w="93" w:type="dxa"/>
        <w:tblLayout w:type="fixed"/>
        <w:tblCellMar>
          <w:top w:w="0" w:type="dxa"/>
          <w:left w:w="108" w:type="dxa"/>
          <w:bottom w:w="0" w:type="dxa"/>
          <w:right w:w="108" w:type="dxa"/>
        </w:tblCellMar>
      </w:tblPr>
      <w:tblGrid>
        <w:gridCol w:w="680"/>
        <w:gridCol w:w="760"/>
        <w:gridCol w:w="600"/>
        <w:gridCol w:w="8748"/>
        <w:gridCol w:w="2127"/>
        <w:gridCol w:w="1417"/>
        <w:gridCol w:w="1843"/>
        <w:gridCol w:w="1843"/>
        <w:gridCol w:w="1843"/>
      </w:tblGrid>
      <w:tr>
        <w:tblPrEx>
          <w:tblCellMar>
            <w:top w:w="0" w:type="dxa"/>
            <w:left w:w="108" w:type="dxa"/>
            <w:bottom w:w="0" w:type="dxa"/>
            <w:right w:w="108" w:type="dxa"/>
          </w:tblCellMar>
        </w:tblPrEx>
        <w:trPr>
          <w:gridAfter w:val="3"/>
          <w:wAfter w:w="5529" w:type="dxa"/>
          <w:trHeight w:val="33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内 容</w:t>
            </w:r>
          </w:p>
        </w:tc>
        <w:tc>
          <w:tcPr>
            <w:tcW w:w="934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目   标   要   求</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考  评  标  准</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基本分</w:t>
            </w:r>
          </w:p>
        </w:tc>
      </w:tr>
      <w:tr>
        <w:tblPrEx>
          <w:tblCellMar>
            <w:top w:w="0" w:type="dxa"/>
            <w:left w:w="108" w:type="dxa"/>
            <w:bottom w:w="0" w:type="dxa"/>
            <w:right w:w="108" w:type="dxa"/>
          </w:tblCellMar>
        </w:tblPrEx>
        <w:trPr>
          <w:gridAfter w:val="3"/>
          <w:wAfter w:w="5529" w:type="dxa"/>
          <w:trHeight w:val="300" w:hRule="atLeast"/>
        </w:trPr>
        <w:tc>
          <w:tcPr>
            <w:tcW w:w="6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会  议  服  务</w:t>
            </w: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会前准备</w:t>
            </w: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1、会场布置到位情况（桌子、台布、椅子、水杯等）</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napToGrid w:val="0"/>
                <w:spacing w:val="-8"/>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2、总体布置规范性</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3、会前15分钟放好毛巾，会前10分钟斟上茶水</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4、会议举行所需文具用品等齐备</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5、调音设备、空调、灯光准备妥当</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4</w:t>
            </w:r>
          </w:p>
        </w:tc>
      </w:tr>
      <w:tr>
        <w:tblPrEx>
          <w:tblCellMar>
            <w:top w:w="0" w:type="dxa"/>
            <w:left w:w="108" w:type="dxa"/>
            <w:bottom w:w="0" w:type="dxa"/>
            <w:right w:w="108" w:type="dxa"/>
          </w:tblCellMar>
        </w:tblPrEx>
        <w:trPr>
          <w:gridAfter w:val="3"/>
          <w:wAfter w:w="5529" w:type="dxa"/>
          <w:trHeight w:val="7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6、根据不同规格的会议，确定相应的服务人数，定岗定位（会前、会中、会后调整情况）</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7、根据会议要求，不同地点、气候条件，备好相应的服务用品。</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8、应急预案上墙，所有服务人员应熟知预案内容。</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9、会前准备工作要在会前 4小时完成，报请相关人员检查。</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10、会前检查记录以表格形式，各责任人签字。</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11、协助相关人员提前做好会场屏蔽工作。</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会议中服务</w:t>
            </w: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1、及时将会场门关闭，休息区清洁、卫生、整齐</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2、会议中25分钟—30分钟为与会人员补斟茶水</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3、保持会场卫生、整齐，及时提供临时性服务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napToGrid w:val="0"/>
                <w:spacing w:val="-8"/>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4、维持会场秩序，</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5、会议进行过程中不允许脱岗</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6、服务操作符合规范要求</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7、积极配合临时发生相关会议工作</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会议结束工作</w:t>
            </w: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1、引领主席台人员至门口或电梯口</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2、及时检查与会人员遗留物品及时归还或上交</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3、将垃圾分为回收和不回收两类送至指定地点</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4、按要求收拾茶杯、水壶、毛巾、毛巾框及其他会议用品</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5、将桌、椅、地面清理干净</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6、关闭所有音响及相关设备、收妥话筒及话筒线、丈架</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7、按规范要求吸尘、关灯、锁门</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其它</w:t>
            </w: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1、保持工作间、储藏室的清洁，整齐有序。</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2、培训记录真实、规范。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napToGrid w:val="0"/>
                <w:spacing w:val="-8"/>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3、各种制度齐全、完善，上墙部份整齐、规范。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4、制度的执行情况。</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5、职责的熟悉情况。</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gridAfter w:val="3"/>
          <w:wAfter w:w="5529" w:type="dxa"/>
          <w:trHeight w:val="300" w:hRule="atLeast"/>
        </w:trPr>
        <w:tc>
          <w:tcPr>
            <w:tcW w:w="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sz w:val="21"/>
                <w:szCs w:val="21"/>
              </w:rPr>
            </w:pPr>
          </w:p>
        </w:tc>
        <w:tc>
          <w:tcPr>
            <w:tcW w:w="87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6、会议用品每月盘点，注明增耗情况，报分管部门备案。</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3</w:t>
            </w:r>
          </w:p>
        </w:tc>
      </w:tr>
      <w:tr>
        <w:tblPrEx>
          <w:tblCellMar>
            <w:top w:w="0" w:type="dxa"/>
            <w:left w:w="108" w:type="dxa"/>
            <w:bottom w:w="0" w:type="dxa"/>
            <w:right w:w="108" w:type="dxa"/>
          </w:tblCellMar>
        </w:tblPrEx>
        <w:trPr>
          <w:trHeight w:val="300" w:hRule="atLeast"/>
        </w:trPr>
        <w:tc>
          <w:tcPr>
            <w:tcW w:w="12915"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合           计</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100</w:t>
            </w:r>
          </w:p>
        </w:tc>
        <w:tc>
          <w:tcPr>
            <w:tcW w:w="1843" w:type="dxa"/>
            <w:noWrap w:val="0"/>
            <w:vAlign w:val="top"/>
          </w:tcPr>
          <w:p>
            <w:pPr>
              <w:widowControl/>
              <w:jc w:val="left"/>
              <w:rPr>
                <w:rFonts w:hint="eastAsia" w:ascii="宋体" w:hAnsi="宋体" w:eastAsia="宋体" w:cs="宋体"/>
                <w:sz w:val="21"/>
                <w:szCs w:val="21"/>
              </w:rPr>
            </w:pPr>
          </w:p>
        </w:tc>
        <w:tc>
          <w:tcPr>
            <w:tcW w:w="1843" w:type="dxa"/>
            <w:noWrap w:val="0"/>
            <w:vAlign w:val="top"/>
          </w:tcPr>
          <w:p>
            <w:pPr>
              <w:widowControl/>
              <w:jc w:val="left"/>
              <w:rPr>
                <w:rFonts w:hint="eastAsia" w:ascii="宋体" w:hAnsi="宋体" w:eastAsia="宋体" w:cs="宋体"/>
                <w:sz w:val="21"/>
                <w:szCs w:val="21"/>
              </w:rPr>
            </w:pPr>
          </w:p>
        </w:tc>
        <w:tc>
          <w:tcPr>
            <w:tcW w:w="1843" w:type="dxa"/>
            <w:noWrap w:val="0"/>
            <w:vAlign w:val="center"/>
          </w:tcPr>
          <w:p>
            <w:pPr>
              <w:widowControl/>
              <w:jc w:val="center"/>
              <w:rPr>
                <w:rFonts w:hint="eastAsia" w:ascii="宋体" w:hAnsi="宋体" w:eastAsia="宋体" w:cs="宋体"/>
                <w:sz w:val="21"/>
                <w:szCs w:val="21"/>
              </w:rPr>
            </w:pPr>
            <w:r>
              <w:rPr>
                <w:rFonts w:hint="eastAsia" w:ascii="宋体" w:hAnsi="宋体" w:eastAsia="宋体" w:cs="宋体"/>
                <w:snapToGrid w:val="0"/>
                <w:spacing w:val="-8"/>
                <w:sz w:val="21"/>
                <w:szCs w:val="21"/>
              </w:rPr>
              <w:t>不满足一项扣0.5分</w:t>
            </w:r>
          </w:p>
        </w:tc>
      </w:tr>
    </w:tbl>
    <w:p>
      <w:pPr>
        <w:pStyle w:val="514"/>
        <w:numPr>
          <w:ilvl w:val="0"/>
          <w:numId w:val="0"/>
        </w:numPr>
        <w:ind w:leftChars="0"/>
        <w:rPr>
          <w:rFonts w:hint="eastAsia"/>
        </w:rPr>
      </w:pPr>
    </w:p>
    <w:p>
      <w:pPr>
        <w:numPr>
          <w:ilvl w:val="0"/>
          <w:numId w:val="1"/>
        </w:numPr>
        <w:spacing w:line="440" w:lineRule="exact"/>
        <w:ind w:left="0" w:leftChars="0" w:firstLine="0" w:firstLineChars="0"/>
        <w:rPr>
          <w:rFonts w:hint="eastAsia" w:ascii="Arial" w:hAnsi="Arial" w:cs="Arial"/>
          <w:b/>
          <w:bCs/>
          <w:sz w:val="24"/>
          <w:szCs w:val="24"/>
        </w:rPr>
      </w:pPr>
      <w:r>
        <w:rPr>
          <w:rFonts w:hint="eastAsia" w:ascii="Arial" w:hAnsi="Arial" w:cs="Arial"/>
          <w:b/>
          <w:bCs/>
          <w:sz w:val="24"/>
          <w:szCs w:val="24"/>
        </w:rPr>
        <w:t>餐饮部考核</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9661"/>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0188" w:type="dxa"/>
            <w:gridSpan w:val="2"/>
            <w:noWrap w:val="0"/>
            <w:vAlign w:val="center"/>
          </w:tcPr>
          <w:p>
            <w:pPr>
              <w:spacing w:line="160" w:lineRule="atLeast"/>
              <w:jc w:val="center"/>
              <w:rPr>
                <w:rFonts w:ascii="Arial" w:hAnsi="Arial" w:cs="Arial"/>
                <w:sz w:val="21"/>
                <w:szCs w:val="21"/>
              </w:rPr>
            </w:pPr>
            <w:r>
              <w:rPr>
                <w:rFonts w:hint="eastAsia" w:ascii="Arial" w:hAnsi="Arial" w:cs="Arial"/>
                <w:sz w:val="21"/>
                <w:szCs w:val="21"/>
              </w:rPr>
              <w:t>检</w:t>
            </w:r>
            <w:r>
              <w:rPr>
                <w:rFonts w:ascii="Arial" w:hAnsi="Arial" w:cs="Arial"/>
                <w:sz w:val="21"/>
                <w:szCs w:val="21"/>
              </w:rPr>
              <w:t xml:space="preserve"> </w:t>
            </w:r>
            <w:r>
              <w:rPr>
                <w:rFonts w:hint="eastAsia" w:ascii="Arial" w:hAnsi="Arial" w:cs="Arial"/>
                <w:sz w:val="21"/>
                <w:szCs w:val="21"/>
              </w:rPr>
              <w:t>查</w:t>
            </w:r>
            <w:r>
              <w:rPr>
                <w:rFonts w:ascii="Arial" w:hAnsi="Arial" w:cs="Arial"/>
                <w:sz w:val="21"/>
                <w:szCs w:val="21"/>
              </w:rPr>
              <w:t xml:space="preserve"> </w:t>
            </w:r>
            <w:r>
              <w:rPr>
                <w:rFonts w:hint="eastAsia" w:ascii="Arial" w:hAnsi="Arial" w:cs="Arial"/>
                <w:sz w:val="21"/>
                <w:szCs w:val="21"/>
              </w:rPr>
              <w:t>考</w:t>
            </w:r>
            <w:r>
              <w:rPr>
                <w:rFonts w:ascii="Arial" w:hAnsi="Arial" w:cs="Arial"/>
                <w:sz w:val="21"/>
                <w:szCs w:val="21"/>
              </w:rPr>
              <w:t xml:space="preserve"> </w:t>
            </w:r>
            <w:r>
              <w:rPr>
                <w:rFonts w:hint="eastAsia" w:ascii="Arial" w:hAnsi="Arial" w:cs="Arial"/>
                <w:sz w:val="21"/>
                <w:szCs w:val="21"/>
              </w:rPr>
              <w:t>核</w:t>
            </w:r>
            <w:r>
              <w:rPr>
                <w:rFonts w:ascii="Arial" w:hAnsi="Arial" w:cs="Arial"/>
                <w:sz w:val="21"/>
                <w:szCs w:val="21"/>
              </w:rPr>
              <w:t xml:space="preserve"> </w:t>
            </w:r>
            <w:r>
              <w:rPr>
                <w:rFonts w:hint="eastAsia" w:ascii="Arial" w:hAnsi="Arial" w:cs="Arial"/>
                <w:sz w:val="21"/>
                <w:szCs w:val="21"/>
              </w:rPr>
              <w:t>项</w:t>
            </w:r>
            <w:r>
              <w:rPr>
                <w:rFonts w:ascii="Arial" w:hAnsi="Arial" w:cs="Arial"/>
                <w:sz w:val="21"/>
                <w:szCs w:val="21"/>
              </w:rPr>
              <w:t xml:space="preserve"> </w:t>
            </w:r>
            <w:r>
              <w:rPr>
                <w:rFonts w:hint="eastAsia" w:ascii="Arial" w:hAnsi="Arial" w:cs="Arial"/>
                <w:sz w:val="21"/>
                <w:szCs w:val="21"/>
              </w:rPr>
              <w:t>目</w:t>
            </w:r>
          </w:p>
        </w:tc>
        <w:tc>
          <w:tcPr>
            <w:tcW w:w="2520" w:type="dxa"/>
            <w:noWrap w:val="0"/>
            <w:vAlign w:val="center"/>
          </w:tcPr>
          <w:p>
            <w:pPr>
              <w:spacing w:line="160" w:lineRule="atLeast"/>
              <w:jc w:val="center"/>
              <w:rPr>
                <w:rFonts w:ascii="Arial" w:hAnsi="Arial" w:cs="Arial"/>
                <w:sz w:val="21"/>
                <w:szCs w:val="21"/>
              </w:rPr>
            </w:pPr>
            <w:r>
              <w:rPr>
                <w:rFonts w:hint="eastAsia" w:ascii="Arial" w:hAnsi="Arial" w:cs="Arial"/>
                <w:sz w:val="21"/>
                <w:szCs w:val="21"/>
              </w:rPr>
              <w:t>评分标准</w:t>
            </w:r>
          </w:p>
        </w:tc>
        <w:tc>
          <w:tcPr>
            <w:tcW w:w="1260" w:type="dxa"/>
            <w:noWrap w:val="0"/>
            <w:vAlign w:val="top"/>
          </w:tcPr>
          <w:p>
            <w:pPr>
              <w:spacing w:line="160" w:lineRule="atLeast"/>
              <w:jc w:val="center"/>
              <w:rPr>
                <w:rFonts w:ascii="Arial" w:hAnsi="Arial" w:cs="Arial"/>
                <w:sz w:val="21"/>
                <w:szCs w:val="21"/>
              </w:rPr>
            </w:pPr>
            <w:r>
              <w:rPr>
                <w:rFonts w:hint="eastAsia" w:ascii="Arial" w:hAnsi="Arial" w:cs="Arial"/>
                <w:sz w:val="21"/>
                <w:szCs w:val="21"/>
              </w:rPr>
              <w:t>基本分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restart"/>
            <w:noWrap w:val="0"/>
            <w:vAlign w:val="center"/>
          </w:tcPr>
          <w:p>
            <w:pPr>
              <w:spacing w:line="320" w:lineRule="exact"/>
              <w:jc w:val="center"/>
              <w:rPr>
                <w:rFonts w:ascii="Arial" w:hAnsi="Arial" w:cs="Arial"/>
                <w:sz w:val="21"/>
                <w:szCs w:val="21"/>
              </w:rPr>
            </w:pPr>
            <w:r>
              <w:rPr>
                <w:rFonts w:hint="eastAsia" w:ascii="Arial" w:hAnsi="Arial" w:cs="Arial"/>
                <w:sz w:val="21"/>
                <w:szCs w:val="21"/>
              </w:rPr>
              <w:t>厨房间环境卫生</w:t>
            </w: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w:t>
            </w:r>
            <w:r>
              <w:rPr>
                <w:rFonts w:hint="eastAsia" w:ascii="Arial" w:hAnsi="Arial" w:cs="Arial"/>
                <w:sz w:val="21"/>
                <w:szCs w:val="21"/>
              </w:rPr>
              <w:t>、地面、下水道、明沟积有污水、污物视情节</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2</w:t>
            </w:r>
            <w:r>
              <w:rPr>
                <w:rFonts w:hint="eastAsia" w:ascii="Arial" w:hAnsi="Arial" w:cs="Arial"/>
                <w:sz w:val="21"/>
                <w:szCs w:val="21"/>
              </w:rPr>
              <w:t>、墙壁、门窗、天花板有积尘、油污、蜘蛛网和涂层脱落；</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3</w:t>
            </w:r>
            <w:r>
              <w:rPr>
                <w:rFonts w:hint="eastAsia" w:ascii="Arial" w:hAnsi="Arial" w:cs="Arial"/>
                <w:sz w:val="21"/>
                <w:szCs w:val="21"/>
              </w:rPr>
              <w:t>、有关设备、设施、用具没有保持卫生清洁，有污渍视情节</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4</w:t>
            </w:r>
            <w:r>
              <w:rPr>
                <w:rFonts w:hint="eastAsia" w:ascii="Arial" w:hAnsi="Arial" w:cs="Arial"/>
                <w:sz w:val="21"/>
                <w:szCs w:val="21"/>
              </w:rPr>
              <w:t>、垃圾桶没有及时加盖</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5</w:t>
            </w:r>
            <w:r>
              <w:rPr>
                <w:rFonts w:hint="eastAsia" w:ascii="Arial" w:hAnsi="Arial" w:cs="Arial"/>
                <w:sz w:val="21"/>
                <w:szCs w:val="21"/>
              </w:rPr>
              <w:t>、地面、灶台、厨具卫生保洁没有按规定每天定时清洗；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6</w:t>
            </w:r>
            <w:r>
              <w:rPr>
                <w:rFonts w:hint="eastAsia" w:ascii="Arial" w:hAnsi="Arial" w:cs="Arial"/>
                <w:sz w:val="21"/>
                <w:szCs w:val="21"/>
              </w:rPr>
              <w:t>、冷库没有按要求做到专人负责保管、使用及定时清洗；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7</w:t>
            </w:r>
            <w:r>
              <w:rPr>
                <w:rFonts w:hint="eastAsia" w:ascii="Arial" w:hAnsi="Arial" w:cs="Arial"/>
                <w:sz w:val="21"/>
                <w:szCs w:val="21"/>
              </w:rPr>
              <w:t>、禁止无关人员进入厨房间，如发现属于本工作人员带入视情节轻重</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restart"/>
            <w:noWrap w:val="0"/>
            <w:vAlign w:val="center"/>
          </w:tcPr>
          <w:p>
            <w:pPr>
              <w:spacing w:line="320" w:lineRule="exact"/>
              <w:jc w:val="center"/>
              <w:rPr>
                <w:rFonts w:ascii="Arial" w:hAnsi="Arial" w:cs="Arial"/>
                <w:sz w:val="21"/>
                <w:szCs w:val="21"/>
              </w:rPr>
            </w:pPr>
            <w:r>
              <w:rPr>
                <w:rFonts w:hint="eastAsia" w:ascii="Arial" w:hAnsi="Arial" w:cs="Arial"/>
                <w:sz w:val="21"/>
                <w:szCs w:val="21"/>
              </w:rPr>
              <w:t>粗加工、配菜、烹调卫生</w:t>
            </w: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w:t>
            </w:r>
            <w:r>
              <w:rPr>
                <w:rFonts w:hint="eastAsia" w:ascii="Arial" w:hAnsi="Arial" w:cs="Arial"/>
                <w:sz w:val="21"/>
                <w:szCs w:val="21"/>
              </w:rPr>
              <w:t>、荤、素食品没有按要求做到分池（定位）清洗视情节</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2</w:t>
            </w:r>
            <w:r>
              <w:rPr>
                <w:rFonts w:hint="eastAsia" w:ascii="Arial" w:hAnsi="Arial" w:cs="Arial"/>
                <w:sz w:val="21"/>
                <w:szCs w:val="21"/>
              </w:rPr>
              <w:t>、清洗后的食品不能接触地面如发现视情节</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3</w:t>
            </w:r>
            <w:r>
              <w:rPr>
                <w:rFonts w:hint="eastAsia" w:ascii="Arial" w:hAnsi="Arial" w:cs="Arial"/>
                <w:sz w:val="21"/>
                <w:szCs w:val="21"/>
              </w:rPr>
              <w:t>、鸡蛋在使用前必须清洗后方可使用，发现不经清洗直接使用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4</w:t>
            </w:r>
            <w:r>
              <w:rPr>
                <w:rFonts w:hint="eastAsia" w:ascii="Arial" w:hAnsi="Arial" w:cs="Arial"/>
                <w:sz w:val="21"/>
                <w:szCs w:val="21"/>
              </w:rPr>
              <w:t>、加工生、熟食品的刀、砧板及盛器要分开，如发现混用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5</w:t>
            </w:r>
            <w:r>
              <w:rPr>
                <w:rFonts w:hint="eastAsia" w:ascii="Arial" w:hAnsi="Arial" w:cs="Arial"/>
                <w:sz w:val="21"/>
                <w:szCs w:val="21"/>
              </w:rPr>
              <w:t>、配菜没有做到科学合理（要求做到色、香、味俱全）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6</w:t>
            </w:r>
            <w:r>
              <w:rPr>
                <w:rFonts w:hint="eastAsia" w:ascii="Arial" w:hAnsi="Arial" w:cs="Arial"/>
                <w:sz w:val="21"/>
                <w:szCs w:val="21"/>
              </w:rPr>
              <w:t>、食物加工半生不熟的</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7</w:t>
            </w:r>
            <w:r>
              <w:rPr>
                <w:rFonts w:hint="eastAsia" w:ascii="Arial" w:hAnsi="Arial" w:cs="Arial"/>
                <w:sz w:val="21"/>
                <w:szCs w:val="21"/>
              </w:rPr>
              <w:t>、菜肴里或汤里、米饭里发现有杂物，按问题严重程度扣分</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0.5</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3</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8</w:t>
            </w:r>
            <w:r>
              <w:rPr>
                <w:rFonts w:hint="eastAsia" w:ascii="Arial" w:hAnsi="Arial" w:cs="Arial"/>
                <w:sz w:val="21"/>
                <w:szCs w:val="21"/>
              </w:rPr>
              <w:t>、各种盛调味品的容器没有按要求做到及时定期清洗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9</w:t>
            </w:r>
            <w:r>
              <w:rPr>
                <w:rFonts w:hint="eastAsia" w:ascii="Arial" w:hAnsi="Arial" w:cs="Arial"/>
                <w:sz w:val="21"/>
                <w:szCs w:val="21"/>
              </w:rPr>
              <w:t>、每天配菜的数量要求在提供用餐人数的基础上上下浮动</w:t>
            </w:r>
            <w:r>
              <w:rPr>
                <w:rFonts w:ascii="Arial" w:hAnsi="Arial" w:cs="Arial"/>
                <w:sz w:val="21"/>
                <w:szCs w:val="21"/>
              </w:rPr>
              <w:t>10%</w:t>
            </w:r>
            <w:r>
              <w:rPr>
                <w:rFonts w:hint="eastAsia" w:ascii="Arial" w:hAnsi="Arial" w:cs="Arial"/>
                <w:sz w:val="21"/>
                <w:szCs w:val="21"/>
              </w:rPr>
              <w:t>，如出现失误视情节轻重</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0.5</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3</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10</w:t>
            </w:r>
            <w:r>
              <w:rPr>
                <w:rFonts w:hint="eastAsia" w:ascii="Arial" w:hAnsi="Arial" w:cs="Arial"/>
                <w:sz w:val="21"/>
                <w:szCs w:val="21"/>
              </w:rPr>
              <w:t>、要提倡节约不浪费，发现无故浪费现象视情节轻重</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320" w:lineRule="exact"/>
              <w:rPr>
                <w:rFonts w:ascii="Arial" w:hAnsi="Arial" w:cs="Arial"/>
                <w:sz w:val="21"/>
                <w:szCs w:val="21"/>
              </w:rPr>
            </w:pPr>
            <w:r>
              <w:rPr>
                <w:rFonts w:ascii="Arial" w:hAnsi="Arial" w:cs="Arial"/>
                <w:sz w:val="21"/>
                <w:szCs w:val="21"/>
              </w:rPr>
              <w:t>11</w:t>
            </w:r>
            <w:r>
              <w:rPr>
                <w:rFonts w:hint="eastAsia" w:ascii="Arial" w:hAnsi="Arial" w:cs="Arial"/>
                <w:sz w:val="21"/>
                <w:szCs w:val="21"/>
              </w:rPr>
              <w:t>、食堂没有按规定要求建立卫生台帐</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restart"/>
            <w:noWrap w:val="0"/>
            <w:vAlign w:val="center"/>
          </w:tcPr>
          <w:p>
            <w:pPr>
              <w:spacing w:line="320" w:lineRule="exact"/>
              <w:jc w:val="center"/>
              <w:rPr>
                <w:rFonts w:ascii="Arial" w:hAnsi="Arial" w:cs="Arial"/>
                <w:sz w:val="21"/>
                <w:szCs w:val="21"/>
              </w:rPr>
            </w:pPr>
            <w:r>
              <w:rPr>
                <w:rFonts w:hint="eastAsia" w:ascii="Arial" w:hAnsi="Arial" w:cs="Arial"/>
                <w:sz w:val="21"/>
                <w:szCs w:val="21"/>
              </w:rPr>
              <w:t>个人卫生及要求</w:t>
            </w:r>
            <w:r>
              <w:rPr>
                <w:rFonts w:ascii="Arial" w:hAnsi="Arial" w:cs="Arial"/>
                <w:sz w:val="21"/>
                <w:szCs w:val="21"/>
              </w:rPr>
              <w:t xml:space="preserve"> </w:t>
            </w: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w:t>
            </w:r>
            <w:r>
              <w:rPr>
                <w:rFonts w:hint="eastAsia" w:ascii="Arial" w:hAnsi="Arial" w:cs="Arial"/>
                <w:sz w:val="21"/>
                <w:szCs w:val="21"/>
              </w:rPr>
              <w:t>、员工的健康证和卫生知识培训合格证是否在有效期内，如发现过期还在使用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0.5</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2</w:t>
            </w:r>
            <w:r>
              <w:rPr>
                <w:rFonts w:hint="eastAsia" w:ascii="Arial" w:hAnsi="Arial" w:cs="Arial"/>
                <w:sz w:val="21"/>
                <w:szCs w:val="21"/>
              </w:rPr>
              <w:t>、要求定期对员工进行培训，新上岗的员工要求做到先培训后上岗，发现未经培训直接上岗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3</w:t>
            </w:r>
            <w:r>
              <w:rPr>
                <w:rFonts w:hint="eastAsia" w:ascii="Arial" w:hAnsi="Arial" w:cs="Arial"/>
                <w:sz w:val="21"/>
                <w:szCs w:val="21"/>
              </w:rPr>
              <w:t>、员工上班时间不能留长指甲、涂指甲油、戴戒指及化生活装，经检查发现存在问题</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4</w:t>
            </w:r>
            <w:r>
              <w:rPr>
                <w:rFonts w:hint="eastAsia" w:ascii="Arial" w:hAnsi="Arial" w:cs="Arial"/>
                <w:sz w:val="21"/>
                <w:szCs w:val="21"/>
              </w:rPr>
              <w:t>、员工上班时间没有按要求穿戴工作服、衣帽、穿戴不整洁或穿拖鞋上班</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5</w:t>
            </w:r>
            <w:r>
              <w:rPr>
                <w:rFonts w:hint="eastAsia" w:ascii="Arial" w:hAnsi="Arial" w:cs="Arial"/>
                <w:sz w:val="21"/>
                <w:szCs w:val="21"/>
              </w:rPr>
              <w:t>、员工戴的工作帽要求遮盖全部头发，发现不整齐</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6</w:t>
            </w:r>
            <w:r>
              <w:rPr>
                <w:rFonts w:hint="eastAsia" w:ascii="Arial" w:hAnsi="Arial" w:cs="Arial"/>
                <w:sz w:val="21"/>
                <w:szCs w:val="21"/>
              </w:rPr>
              <w:t>、发现上班时间工作人员在工作区内吸烟、吃零食</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7</w:t>
            </w:r>
            <w:r>
              <w:rPr>
                <w:rFonts w:hint="eastAsia" w:ascii="Arial" w:hAnsi="Arial" w:cs="Arial"/>
                <w:sz w:val="21"/>
                <w:szCs w:val="21"/>
              </w:rPr>
              <w:t>、员工上班时间没有按规定佩带健康证上岗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8</w:t>
            </w:r>
            <w:r>
              <w:rPr>
                <w:rFonts w:hint="eastAsia" w:ascii="Arial" w:hAnsi="Arial" w:cs="Arial"/>
                <w:sz w:val="21"/>
                <w:szCs w:val="21"/>
              </w:rPr>
              <w:t>、售饭菜时员工一律要求带一次性手套及一次性口罩，擅自不戴</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9</w:t>
            </w:r>
            <w:r>
              <w:rPr>
                <w:rFonts w:hint="eastAsia" w:ascii="Arial" w:hAnsi="Arial" w:cs="Arial"/>
                <w:sz w:val="21"/>
                <w:szCs w:val="21"/>
              </w:rPr>
              <w:t>、当班时行为不检点，如嘻皮笑脸，大声喧哗，追逐打闹，勾肩搭背，串岗或擅自离岗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10</w:t>
            </w:r>
            <w:r>
              <w:rPr>
                <w:rFonts w:hint="eastAsia" w:ascii="Arial" w:hAnsi="Arial" w:cs="Arial"/>
                <w:sz w:val="21"/>
                <w:szCs w:val="21"/>
              </w:rPr>
              <w:t>、工作时间看小说、杂志、打电话聊天，擅自换班、调班</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11</w:t>
            </w:r>
            <w:r>
              <w:rPr>
                <w:rFonts w:hint="eastAsia" w:ascii="Arial" w:hAnsi="Arial" w:cs="Arial"/>
                <w:sz w:val="21"/>
                <w:szCs w:val="21"/>
              </w:rPr>
              <w:t>、员工自行车要在指定地方入库、有序停放，发现乱停放、不入库，影响周围环境</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12</w:t>
            </w:r>
            <w:r>
              <w:rPr>
                <w:rFonts w:hint="eastAsia" w:ascii="Arial" w:hAnsi="Arial" w:cs="Arial"/>
                <w:sz w:val="21"/>
                <w:szCs w:val="21"/>
              </w:rPr>
              <w:t>、检查发现人数未按合同要求到岗</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13</w:t>
            </w:r>
            <w:r>
              <w:rPr>
                <w:rFonts w:hint="eastAsia" w:ascii="Arial" w:hAnsi="Arial" w:cs="Arial"/>
                <w:sz w:val="21"/>
                <w:szCs w:val="21"/>
              </w:rPr>
              <w:t>、就餐人员遗失在餐厅的物品，应妥善保管经核实后归还，如发现食堂工作人员占为己有</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14</w:t>
            </w:r>
            <w:r>
              <w:rPr>
                <w:rFonts w:hint="eastAsia" w:ascii="Arial" w:hAnsi="Arial" w:cs="Arial"/>
                <w:sz w:val="21"/>
                <w:szCs w:val="21"/>
              </w:rPr>
              <w:t>、主管及员工的职责、制度要上墙，严格按照职责、制度规定办事，如发现制度不上墙，职责不分明</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0.3</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15</w:t>
            </w:r>
            <w:r>
              <w:rPr>
                <w:rFonts w:hint="eastAsia" w:ascii="Arial" w:hAnsi="Arial" w:cs="Arial"/>
                <w:sz w:val="21"/>
                <w:szCs w:val="21"/>
              </w:rPr>
              <w:t>、违反操作规程，故意损坏公共财物设备、工具造成经济损失的；</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restart"/>
            <w:noWrap w:val="0"/>
            <w:vAlign w:val="center"/>
          </w:tcPr>
          <w:p>
            <w:pPr>
              <w:spacing w:line="320" w:lineRule="exact"/>
              <w:jc w:val="center"/>
              <w:rPr>
                <w:rFonts w:ascii="Arial" w:hAnsi="Arial" w:cs="Arial"/>
                <w:sz w:val="21"/>
                <w:szCs w:val="21"/>
              </w:rPr>
            </w:pPr>
            <w:r>
              <w:rPr>
                <w:rFonts w:hint="eastAsia" w:ascii="Arial" w:hAnsi="Arial" w:cs="Arial"/>
                <w:sz w:val="21"/>
                <w:szCs w:val="21"/>
              </w:rPr>
              <w:t>专间卫生</w:t>
            </w: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1</w:t>
            </w:r>
            <w:r>
              <w:rPr>
                <w:rFonts w:hint="eastAsia" w:ascii="Arial" w:hAnsi="Arial" w:cs="Arial"/>
                <w:sz w:val="21"/>
                <w:szCs w:val="21"/>
              </w:rPr>
              <w:t>、有非专间人员进入专用加工间</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2</w:t>
            </w:r>
            <w:r>
              <w:rPr>
                <w:rFonts w:hint="eastAsia" w:ascii="Arial" w:hAnsi="Arial" w:cs="Arial"/>
                <w:sz w:val="21"/>
                <w:szCs w:val="21"/>
              </w:rPr>
              <w:t>、专间内紫外线灯、空调、冰箱、冰柜不在正常使用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3</w:t>
            </w:r>
            <w:r>
              <w:rPr>
                <w:rFonts w:hint="eastAsia" w:ascii="Arial" w:hAnsi="Arial" w:cs="Arial"/>
                <w:sz w:val="21"/>
                <w:szCs w:val="21"/>
              </w:rPr>
              <w:t>、供加工凉菜用的蔬菜、水果有未经清洗带入凉菜间</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4</w:t>
            </w:r>
            <w:r>
              <w:rPr>
                <w:rFonts w:hint="eastAsia" w:ascii="Arial" w:hAnsi="Arial" w:cs="Arial"/>
                <w:sz w:val="21"/>
                <w:szCs w:val="21"/>
              </w:rPr>
              <w:t>、用于加工直接入口食品的工用具（如刀、砧板、抹布）没有做到专用的</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5</w:t>
            </w:r>
            <w:r>
              <w:rPr>
                <w:rFonts w:hint="eastAsia" w:ascii="Arial" w:hAnsi="Arial" w:cs="Arial"/>
                <w:sz w:val="21"/>
                <w:szCs w:val="21"/>
              </w:rPr>
              <w:t>、专间内刀、砧板、抹布等工用具使用前没有经过消毒直接使用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60" w:lineRule="atLeast"/>
              <w:rPr>
                <w:rFonts w:ascii="Arial" w:hAnsi="Arial" w:cs="Arial"/>
                <w:sz w:val="21"/>
                <w:szCs w:val="21"/>
              </w:rPr>
            </w:pPr>
            <w:r>
              <w:rPr>
                <w:rFonts w:ascii="Arial" w:hAnsi="Arial" w:cs="Arial"/>
                <w:sz w:val="21"/>
                <w:szCs w:val="21"/>
              </w:rPr>
              <w:t>6</w:t>
            </w:r>
            <w:r>
              <w:rPr>
                <w:rFonts w:hint="eastAsia" w:ascii="Arial" w:hAnsi="Arial" w:cs="Arial"/>
                <w:sz w:val="21"/>
                <w:szCs w:val="21"/>
              </w:rPr>
              <w:t>、凉菜间内的食物必须是可直接使用，发现生、熟混用</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7</w:t>
            </w:r>
            <w:r>
              <w:rPr>
                <w:rFonts w:hint="eastAsia" w:ascii="Arial" w:hAnsi="Arial" w:cs="Arial"/>
                <w:sz w:val="21"/>
                <w:szCs w:val="21"/>
              </w:rPr>
              <w:t>、专间内不准堆放拖把、书报、个人用品等物品，如发现杂物</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8</w:t>
            </w:r>
            <w:r>
              <w:rPr>
                <w:rFonts w:hint="eastAsia" w:ascii="Arial" w:hAnsi="Arial" w:cs="Arial"/>
                <w:sz w:val="21"/>
                <w:szCs w:val="21"/>
              </w:rPr>
              <w:t>、专间操作人员没有按规定穿戴专用工作衣帽、口罩、一次性手套，手部没有清洗消毒</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restart"/>
            <w:noWrap w:val="0"/>
            <w:vAlign w:val="center"/>
          </w:tcPr>
          <w:p>
            <w:pPr>
              <w:spacing w:line="280" w:lineRule="exact"/>
              <w:jc w:val="center"/>
              <w:rPr>
                <w:rFonts w:ascii="Arial" w:hAnsi="Arial" w:cs="Arial"/>
                <w:sz w:val="21"/>
                <w:szCs w:val="21"/>
              </w:rPr>
            </w:pPr>
            <w:r>
              <w:rPr>
                <w:rFonts w:hint="eastAsia" w:ascii="Arial" w:hAnsi="Arial" w:cs="Arial"/>
                <w:sz w:val="21"/>
                <w:szCs w:val="21"/>
              </w:rPr>
              <w:t>食品采购与贮存</w:t>
            </w: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1</w:t>
            </w:r>
            <w:r>
              <w:rPr>
                <w:rFonts w:hint="eastAsia" w:ascii="Arial" w:hAnsi="Arial" w:cs="Arial"/>
                <w:sz w:val="21"/>
                <w:szCs w:val="21"/>
              </w:rPr>
              <w:t>、食品采购和出入库要求专人负责验收、登记，发现不经验收，直接领用</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2</w:t>
            </w:r>
            <w:r>
              <w:rPr>
                <w:rFonts w:hint="eastAsia" w:ascii="Arial" w:hAnsi="Arial" w:cs="Arial"/>
                <w:sz w:val="21"/>
                <w:szCs w:val="21"/>
              </w:rPr>
              <w:t>、如验收时发现食品质量有问题或超过保质期，没有及时反映或隐瞒，视情节轻重</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3</w:t>
            </w:r>
            <w:r>
              <w:rPr>
                <w:rFonts w:hint="eastAsia" w:ascii="Arial" w:hAnsi="Arial" w:cs="Arial"/>
                <w:sz w:val="21"/>
                <w:szCs w:val="21"/>
              </w:rPr>
              <w:t>、使用超过保质期的食品，造成事故，视情节轻重</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4</w:t>
            </w:r>
            <w:r>
              <w:rPr>
                <w:rFonts w:hint="eastAsia" w:ascii="Arial" w:hAnsi="Arial" w:cs="Arial"/>
                <w:sz w:val="21"/>
                <w:szCs w:val="21"/>
              </w:rPr>
              <w:t>、库房内食品没有做到分类、分架、离地、离墙整齐堆放</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5</w:t>
            </w:r>
            <w:r>
              <w:rPr>
                <w:rFonts w:hint="eastAsia" w:ascii="Arial" w:hAnsi="Arial" w:cs="Arial"/>
                <w:sz w:val="21"/>
                <w:szCs w:val="21"/>
              </w:rPr>
              <w:t>、不准将食品与有毒有害物品（如老鼠药、杀虫剂）存放在同一场所，经检查发现存在隐患</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6</w:t>
            </w:r>
            <w:r>
              <w:rPr>
                <w:rFonts w:hint="eastAsia" w:ascii="Arial" w:hAnsi="Arial" w:cs="Arial"/>
                <w:sz w:val="21"/>
                <w:szCs w:val="21"/>
              </w:rPr>
              <w:t>、冰箱、冰柜内食品生熟混放</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7</w:t>
            </w:r>
            <w:r>
              <w:rPr>
                <w:rFonts w:hint="eastAsia" w:ascii="Arial" w:hAnsi="Arial" w:cs="Arial"/>
                <w:sz w:val="21"/>
                <w:szCs w:val="21"/>
              </w:rPr>
              <w:t>、冰箱、冰柜没有正常运转，造成食品腐烂，造成损失</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8</w:t>
            </w:r>
            <w:r>
              <w:rPr>
                <w:rFonts w:hint="eastAsia" w:ascii="Arial" w:hAnsi="Arial" w:cs="Arial"/>
                <w:sz w:val="21"/>
                <w:szCs w:val="21"/>
              </w:rPr>
              <w:t>、仓库要按规定专人负责保管，建立台帐，月底出报表，如发现管理混乱</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2</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restart"/>
            <w:noWrap w:val="0"/>
            <w:vAlign w:val="center"/>
          </w:tcPr>
          <w:p>
            <w:pPr>
              <w:spacing w:line="320" w:lineRule="exact"/>
              <w:jc w:val="center"/>
              <w:rPr>
                <w:rFonts w:ascii="Arial" w:hAnsi="Arial" w:cs="Arial"/>
                <w:sz w:val="21"/>
                <w:szCs w:val="21"/>
              </w:rPr>
            </w:pPr>
            <w:r>
              <w:rPr>
                <w:rFonts w:hint="eastAsia" w:ascii="Arial" w:hAnsi="Arial" w:cs="Arial"/>
                <w:sz w:val="21"/>
                <w:szCs w:val="21"/>
              </w:rPr>
              <w:t>餐具、餐厅卫生</w:t>
            </w: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1</w:t>
            </w:r>
            <w:r>
              <w:rPr>
                <w:rFonts w:hint="eastAsia" w:ascii="Arial" w:hAnsi="Arial" w:cs="Arial"/>
                <w:sz w:val="21"/>
                <w:szCs w:val="21"/>
              </w:rPr>
              <w:t>、餐具使用前没有做好清洗、消毒工作，直接使用</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2</w:t>
            </w:r>
            <w:r>
              <w:rPr>
                <w:rFonts w:hint="eastAsia" w:ascii="Arial" w:hAnsi="Arial" w:cs="Arial"/>
                <w:sz w:val="21"/>
                <w:szCs w:val="21"/>
              </w:rPr>
              <w:t>、清洗、消毒餐具的水及水池不能与其它混用，如发现混用</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3</w:t>
            </w:r>
            <w:r>
              <w:rPr>
                <w:rFonts w:hint="eastAsia" w:ascii="Arial" w:hAnsi="Arial" w:cs="Arial"/>
                <w:sz w:val="21"/>
                <w:szCs w:val="21"/>
              </w:rPr>
              <w:t>、消毒后的餐饮具要求存放在保洁柜里，发现乱放</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4</w:t>
            </w:r>
            <w:r>
              <w:rPr>
                <w:rFonts w:hint="eastAsia" w:ascii="Arial" w:hAnsi="Arial" w:cs="Arial"/>
                <w:sz w:val="21"/>
                <w:szCs w:val="21"/>
              </w:rPr>
              <w:t>、保洁柜没有保持清洁，或堆放其它杂物</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5</w:t>
            </w:r>
            <w:r>
              <w:rPr>
                <w:rFonts w:hint="eastAsia" w:ascii="Arial" w:hAnsi="Arial" w:cs="Arial"/>
                <w:sz w:val="21"/>
                <w:szCs w:val="21"/>
              </w:rPr>
              <w:t>、放餐饮具的保洁柜没有及时关门</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6</w:t>
            </w:r>
            <w:r>
              <w:rPr>
                <w:rFonts w:hint="eastAsia" w:ascii="Arial" w:hAnsi="Arial" w:cs="Arial"/>
                <w:sz w:val="21"/>
                <w:szCs w:val="21"/>
              </w:rPr>
              <w:t>、用餐环境保持清洁、卫生，没有异味、苍蝇、蚊虫，天花板没有蜘蛛网，发现卫生不到位</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7</w:t>
            </w:r>
            <w:r>
              <w:rPr>
                <w:rFonts w:hint="eastAsia" w:ascii="Arial" w:hAnsi="Arial" w:cs="Arial"/>
                <w:sz w:val="21"/>
                <w:szCs w:val="21"/>
              </w:rPr>
              <w:t>、餐桌上摆放的餐饮用具不清洁光亮，有污迹</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8</w:t>
            </w:r>
            <w:r>
              <w:rPr>
                <w:rFonts w:hint="eastAsia" w:ascii="Arial" w:hAnsi="Arial" w:cs="Arial"/>
                <w:sz w:val="21"/>
                <w:szCs w:val="21"/>
              </w:rPr>
              <w:t>、用餐桌没有随时打扫、清理</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9</w:t>
            </w:r>
            <w:r>
              <w:rPr>
                <w:rFonts w:hint="eastAsia" w:ascii="Arial" w:hAnsi="Arial" w:cs="Arial"/>
                <w:sz w:val="21"/>
                <w:szCs w:val="21"/>
              </w:rPr>
              <w:t>、备餐柜内要求清洁卫生，没有异味，柜内没有杂物，如发现不卫生，有异味、有杂物</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10</w:t>
            </w:r>
            <w:r>
              <w:rPr>
                <w:rFonts w:hint="eastAsia" w:ascii="Arial" w:hAnsi="Arial" w:cs="Arial"/>
                <w:sz w:val="21"/>
                <w:szCs w:val="21"/>
              </w:rPr>
              <w:t>、餐桌上摆放的调味品没有根据用量要求定期更换、清理</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11</w:t>
            </w:r>
            <w:r>
              <w:rPr>
                <w:rFonts w:hint="eastAsia" w:ascii="Arial" w:hAnsi="Arial" w:cs="Arial"/>
                <w:sz w:val="21"/>
                <w:szCs w:val="21"/>
              </w:rPr>
              <w:t>、盛放筷子、汤勺的容器不清洁卫生，有油污</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120" w:lineRule="atLeast"/>
              <w:rPr>
                <w:rFonts w:ascii="Arial" w:hAnsi="Arial" w:cs="Arial"/>
                <w:sz w:val="21"/>
                <w:szCs w:val="21"/>
              </w:rPr>
            </w:pPr>
            <w:r>
              <w:rPr>
                <w:rFonts w:ascii="Arial" w:hAnsi="Arial" w:cs="Arial"/>
                <w:sz w:val="21"/>
                <w:szCs w:val="21"/>
              </w:rPr>
              <w:t>12</w:t>
            </w:r>
            <w:r>
              <w:rPr>
                <w:rFonts w:hint="eastAsia" w:ascii="Arial" w:hAnsi="Arial" w:cs="Arial"/>
                <w:sz w:val="21"/>
                <w:szCs w:val="21"/>
              </w:rPr>
              <w:t>、发现快餐盘、碗、筷子、汤勺等上面有油污、杂物，视情节轻重</w:t>
            </w:r>
          </w:p>
        </w:tc>
        <w:tc>
          <w:tcPr>
            <w:tcW w:w="2520" w:type="dxa"/>
            <w:noWrap w:val="0"/>
            <w:vAlign w:val="top"/>
          </w:tcPr>
          <w:p>
            <w:pPr>
              <w:spacing w:line="12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2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noWrap w:val="0"/>
            <w:vAlign w:val="center"/>
          </w:tcPr>
          <w:p>
            <w:pPr>
              <w:widowControl/>
              <w:jc w:val="left"/>
              <w:rPr>
                <w:rFonts w:ascii="Arial" w:hAnsi="Arial" w:cs="Arial"/>
                <w:sz w:val="21"/>
                <w:szCs w:val="21"/>
              </w:rPr>
            </w:pPr>
          </w:p>
        </w:tc>
        <w:tc>
          <w:tcPr>
            <w:tcW w:w="9661" w:type="dxa"/>
            <w:noWrap w:val="0"/>
            <w:vAlign w:val="center"/>
          </w:tcPr>
          <w:p>
            <w:pPr>
              <w:spacing w:line="320" w:lineRule="exact"/>
              <w:rPr>
                <w:rFonts w:ascii="Arial" w:hAnsi="Arial" w:cs="Arial"/>
                <w:sz w:val="21"/>
                <w:szCs w:val="21"/>
              </w:rPr>
            </w:pPr>
            <w:r>
              <w:rPr>
                <w:rFonts w:ascii="Arial" w:hAnsi="Arial" w:cs="Arial"/>
                <w:sz w:val="21"/>
                <w:szCs w:val="21"/>
              </w:rPr>
              <w:t>13</w:t>
            </w:r>
            <w:r>
              <w:rPr>
                <w:rFonts w:hint="eastAsia" w:ascii="Arial" w:hAnsi="Arial" w:cs="Arial"/>
                <w:sz w:val="21"/>
                <w:szCs w:val="21"/>
              </w:rPr>
              <w:t>、没有按规定每天提供菜单内容给管理员，造成餐厅电子显示屏无法公示菜谱</w:t>
            </w:r>
          </w:p>
        </w:tc>
        <w:tc>
          <w:tcPr>
            <w:tcW w:w="2520" w:type="dxa"/>
            <w:noWrap w:val="0"/>
            <w:vAlign w:val="top"/>
          </w:tcPr>
          <w:p>
            <w:pPr>
              <w:spacing w:line="160" w:lineRule="atLeast"/>
              <w:ind w:right="-466" w:rightChars="-222"/>
              <w:rPr>
                <w:rFonts w:ascii="Arial" w:hAnsi="Arial" w:cs="Arial"/>
                <w:sz w:val="21"/>
                <w:szCs w:val="21"/>
              </w:rPr>
            </w:pPr>
            <w:r>
              <w:rPr>
                <w:rFonts w:hint="eastAsia" w:ascii="Arial" w:hAnsi="Arial" w:cs="Arial"/>
                <w:sz w:val="21"/>
                <w:szCs w:val="21"/>
              </w:rPr>
              <w:t>发现一次扣</w:t>
            </w:r>
            <w:r>
              <w:rPr>
                <w:rFonts w:ascii="Arial" w:hAnsi="Arial" w:cs="Arial"/>
                <w:sz w:val="21"/>
                <w:szCs w:val="21"/>
              </w:rPr>
              <w:t>0.2</w:t>
            </w:r>
            <w:r>
              <w:rPr>
                <w:rFonts w:hint="eastAsia" w:ascii="Arial" w:hAnsi="Arial" w:cs="Arial"/>
                <w:sz w:val="21"/>
                <w:szCs w:val="21"/>
              </w:rPr>
              <w:t>分</w:t>
            </w:r>
          </w:p>
        </w:tc>
        <w:tc>
          <w:tcPr>
            <w:tcW w:w="1260" w:type="dxa"/>
            <w:noWrap w:val="0"/>
            <w:vAlign w:val="center"/>
          </w:tcPr>
          <w:p>
            <w:pPr>
              <w:spacing w:line="160" w:lineRule="atLeast"/>
              <w:ind w:right="-466" w:rightChars="-222"/>
              <w:rPr>
                <w:rFonts w:ascii="Arial" w:hAnsi="Arial" w:cs="Arial"/>
                <w:sz w:val="21"/>
                <w:szCs w:val="21"/>
              </w:rPr>
            </w:pPr>
            <w:r>
              <w:rPr>
                <w:rFonts w:ascii="Arial" w:hAnsi="Arial" w:cs="Arial"/>
                <w:sz w:val="21"/>
                <w:szCs w:val="21"/>
              </w:rPr>
              <w:t>1</w:t>
            </w:r>
            <w:r>
              <w:rPr>
                <w:rFonts w:hint="eastAsia" w:ascii="Arial" w:hAnsi="Arial" w:cs="Arial"/>
                <w:sz w:val="21"/>
                <w:szCs w:val="21"/>
              </w:rPr>
              <w:t>分</w:t>
            </w:r>
          </w:p>
        </w:tc>
      </w:tr>
    </w:tbl>
    <w:p>
      <w:pPr>
        <w:widowControl/>
        <w:jc w:val="left"/>
        <w:rPr>
          <w:rFonts w:ascii="Arial" w:hAnsi="Arial" w:cs="Arial"/>
          <w:b/>
          <w:bCs/>
          <w:sz w:val="24"/>
          <w:szCs w:val="24"/>
        </w:rPr>
      </w:pPr>
    </w:p>
    <w:p>
      <w:pPr>
        <w:tabs>
          <w:tab w:val="left" w:pos="5778"/>
        </w:tabs>
        <w:bidi w:val="0"/>
        <w:jc w:val="left"/>
        <w:rPr>
          <w:rFonts w:hint="eastAsia" w:ascii="Arial" w:hAnsi="Arial" w:eastAsia="宋体" w:cs="Arial"/>
          <w:b/>
          <w:bCs/>
          <w:sz w:val="24"/>
          <w:szCs w:val="24"/>
          <w:lang w:eastAsia="zh-CN"/>
        </w:rPr>
        <w:sectPr>
          <w:headerReference r:id="rId10" w:type="default"/>
          <w:footerReference r:id="rId11" w:type="default"/>
          <w:pgSz w:w="16838" w:h="11906" w:orient="landscape"/>
          <w:pgMar w:top="1134" w:right="1417" w:bottom="1417" w:left="1134" w:header="851" w:footer="476" w:gutter="0"/>
          <w:cols w:space="720" w:num="1"/>
          <w:docGrid w:linePitch="312" w:charSpace="0"/>
        </w:sectPr>
      </w:pPr>
      <w:r>
        <w:rPr>
          <w:rFonts w:hint="eastAsia" w:ascii="Arial" w:hAnsi="Arial" w:cs="Arial"/>
          <w:b/>
          <w:bCs/>
          <w:sz w:val="24"/>
          <w:szCs w:val="24"/>
        </w:rPr>
        <w:t>（六）保安服务考核由采购人后期再行制定</w:t>
      </w:r>
      <w:r>
        <w:rPr>
          <w:rFonts w:hint="eastAsia" w:ascii="Arial" w:hAnsi="Arial" w:cs="Arial"/>
          <w:b/>
          <w:bCs/>
          <w:sz w:val="24"/>
          <w:szCs w:val="24"/>
          <w:lang w:eastAsia="zh-CN"/>
        </w:rPr>
        <w:t>。</w:t>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6" w:name="_Toc184310329"/>
      <w:bookmarkEnd w:id="36"/>
      <w:bookmarkStart w:id="37" w:name="_Toc184313263"/>
      <w:bookmarkEnd w:id="37"/>
      <w:bookmarkStart w:id="38" w:name="_Toc184312067"/>
      <w:bookmarkEnd w:id="38"/>
      <w:bookmarkStart w:id="39" w:name="_Toc184313272"/>
      <w:bookmarkEnd w:id="39"/>
      <w:bookmarkStart w:id="40" w:name="_Toc184310279"/>
      <w:bookmarkEnd w:id="40"/>
      <w:bookmarkStart w:id="41" w:name="_Toc184310294"/>
      <w:bookmarkEnd w:id="41"/>
      <w:bookmarkStart w:id="42" w:name="_Toc184313247"/>
      <w:bookmarkEnd w:id="42"/>
      <w:bookmarkStart w:id="43" w:name="_Toc184310340"/>
      <w:bookmarkEnd w:id="43"/>
      <w:bookmarkStart w:id="44" w:name="_Toc184313277"/>
      <w:bookmarkEnd w:id="44"/>
      <w:bookmarkStart w:id="45" w:name="_Toc184312095"/>
      <w:bookmarkEnd w:id="45"/>
      <w:bookmarkStart w:id="46" w:name="_Toc184313279"/>
      <w:bookmarkEnd w:id="46"/>
      <w:bookmarkStart w:id="47" w:name="_Toc184310314"/>
      <w:bookmarkEnd w:id="47"/>
      <w:bookmarkStart w:id="48" w:name="_Toc184308052"/>
      <w:bookmarkEnd w:id="48"/>
      <w:bookmarkStart w:id="49" w:name="_Toc184314414"/>
      <w:bookmarkEnd w:id="49"/>
      <w:bookmarkStart w:id="50" w:name="_Toc184308076"/>
      <w:bookmarkEnd w:id="50"/>
      <w:bookmarkStart w:id="51" w:name="_Toc184314436"/>
      <w:bookmarkEnd w:id="51"/>
      <w:bookmarkStart w:id="52" w:name="_Toc184310301"/>
      <w:bookmarkEnd w:id="52"/>
      <w:bookmarkStart w:id="53" w:name="_Toc184312114"/>
      <w:bookmarkEnd w:id="53"/>
      <w:bookmarkStart w:id="54" w:name="_Toc184312090"/>
      <w:bookmarkEnd w:id="54"/>
      <w:bookmarkStart w:id="55" w:name="_Toc184308046"/>
      <w:bookmarkEnd w:id="55"/>
      <w:bookmarkStart w:id="56" w:name="_Toc184313305"/>
      <w:bookmarkEnd w:id="56"/>
      <w:bookmarkStart w:id="57" w:name="_Toc184314412"/>
      <w:bookmarkEnd w:id="57"/>
      <w:bookmarkStart w:id="58" w:name="_Toc184310321"/>
      <w:bookmarkEnd w:id="58"/>
      <w:bookmarkStart w:id="59" w:name="_Toc184314458"/>
      <w:bookmarkEnd w:id="59"/>
      <w:bookmarkStart w:id="60" w:name="_Toc184308051"/>
      <w:bookmarkEnd w:id="60"/>
      <w:bookmarkStart w:id="61" w:name="_Toc184314437"/>
      <w:bookmarkEnd w:id="61"/>
      <w:bookmarkStart w:id="62" w:name="_Toc184313299"/>
      <w:bookmarkEnd w:id="62"/>
      <w:bookmarkStart w:id="63" w:name="_Toc184313310"/>
      <w:bookmarkEnd w:id="63"/>
      <w:bookmarkStart w:id="64" w:name="_Toc184308103"/>
      <w:bookmarkEnd w:id="64"/>
      <w:bookmarkStart w:id="65" w:name="_Toc184313307"/>
      <w:bookmarkEnd w:id="65"/>
      <w:bookmarkStart w:id="66" w:name="_Toc184314424"/>
      <w:bookmarkEnd w:id="66"/>
      <w:bookmarkStart w:id="67" w:name="_Toc184312125"/>
      <w:bookmarkEnd w:id="67"/>
      <w:bookmarkStart w:id="68" w:name="_Toc184308040"/>
      <w:bookmarkEnd w:id="68"/>
      <w:bookmarkStart w:id="69" w:name="_Toc184312106"/>
      <w:bookmarkEnd w:id="69"/>
      <w:bookmarkStart w:id="70" w:name="_Toc184313289"/>
      <w:bookmarkEnd w:id="70"/>
      <w:bookmarkStart w:id="71" w:name="_Toc184313251"/>
      <w:bookmarkEnd w:id="71"/>
      <w:bookmarkStart w:id="72" w:name="_Toc184312111"/>
      <w:bookmarkEnd w:id="72"/>
      <w:bookmarkStart w:id="73" w:name="_Toc184313293"/>
      <w:bookmarkEnd w:id="73"/>
      <w:bookmarkStart w:id="74" w:name="_Toc184312134"/>
      <w:bookmarkEnd w:id="74"/>
      <w:bookmarkStart w:id="75" w:name="_Toc184308054"/>
      <w:bookmarkEnd w:id="75"/>
      <w:bookmarkStart w:id="76" w:name="_Toc184312074"/>
      <w:bookmarkEnd w:id="76"/>
      <w:bookmarkStart w:id="77" w:name="_Toc184313245"/>
      <w:bookmarkEnd w:id="77"/>
      <w:bookmarkStart w:id="78" w:name="_Toc184308078"/>
      <w:bookmarkEnd w:id="78"/>
      <w:bookmarkStart w:id="79" w:name="_Toc184308063"/>
      <w:bookmarkEnd w:id="79"/>
      <w:bookmarkStart w:id="80" w:name="_Toc184308056"/>
      <w:bookmarkEnd w:id="80"/>
      <w:bookmarkStart w:id="81" w:name="_Toc184310278"/>
      <w:bookmarkEnd w:id="81"/>
      <w:bookmarkStart w:id="82" w:name="_Toc184308050"/>
      <w:bookmarkEnd w:id="82"/>
      <w:bookmarkStart w:id="83" w:name="_Toc184310341"/>
      <w:bookmarkEnd w:id="83"/>
      <w:bookmarkStart w:id="84" w:name="_Toc184312070"/>
      <w:bookmarkEnd w:id="84"/>
      <w:bookmarkStart w:id="85" w:name="_Toc184314430"/>
      <w:bookmarkEnd w:id="85"/>
      <w:bookmarkStart w:id="86" w:name="_Toc184313291"/>
      <w:bookmarkEnd w:id="86"/>
      <w:bookmarkStart w:id="87" w:name="_Toc184314455"/>
      <w:bookmarkEnd w:id="87"/>
      <w:bookmarkStart w:id="88" w:name="_Toc184308073"/>
      <w:bookmarkEnd w:id="88"/>
      <w:bookmarkStart w:id="89" w:name="_Toc184313296"/>
      <w:bookmarkEnd w:id="89"/>
      <w:bookmarkStart w:id="90" w:name="_Toc184312076"/>
      <w:bookmarkEnd w:id="90"/>
      <w:bookmarkStart w:id="91" w:name="_Toc184314449"/>
      <w:bookmarkEnd w:id="91"/>
      <w:bookmarkStart w:id="92" w:name="_Toc184312107"/>
      <w:bookmarkEnd w:id="92"/>
      <w:bookmarkStart w:id="93" w:name="_Toc184310281"/>
      <w:bookmarkEnd w:id="93"/>
      <w:bookmarkStart w:id="94" w:name="_Toc184310315"/>
      <w:bookmarkEnd w:id="94"/>
      <w:bookmarkStart w:id="95" w:name="_Toc184313301"/>
      <w:bookmarkEnd w:id="95"/>
      <w:bookmarkStart w:id="96" w:name="_Toc184312082"/>
      <w:bookmarkEnd w:id="96"/>
      <w:bookmarkStart w:id="97" w:name="_Toc184310332"/>
      <w:bookmarkEnd w:id="97"/>
      <w:bookmarkStart w:id="98" w:name="_Toc184313259"/>
      <w:bookmarkEnd w:id="98"/>
      <w:bookmarkStart w:id="99" w:name="_Toc184312083"/>
      <w:bookmarkEnd w:id="99"/>
      <w:bookmarkStart w:id="100" w:name="_Toc184314418"/>
      <w:bookmarkEnd w:id="100"/>
      <w:bookmarkStart w:id="101" w:name="_Toc184308045"/>
      <w:bookmarkEnd w:id="101"/>
      <w:bookmarkStart w:id="102" w:name="_Toc184310319"/>
      <w:bookmarkEnd w:id="102"/>
      <w:bookmarkStart w:id="103" w:name="_Toc184313255"/>
      <w:bookmarkEnd w:id="103"/>
      <w:bookmarkStart w:id="104" w:name="_Toc184313281"/>
      <w:bookmarkEnd w:id="104"/>
      <w:bookmarkStart w:id="105" w:name="_Toc184312119"/>
      <w:bookmarkEnd w:id="105"/>
      <w:bookmarkStart w:id="106" w:name="_Toc184313275"/>
      <w:bookmarkEnd w:id="106"/>
      <w:bookmarkStart w:id="107" w:name="_Toc184308060"/>
      <w:bookmarkEnd w:id="107"/>
      <w:bookmarkStart w:id="108" w:name="_Toc184313239"/>
      <w:bookmarkEnd w:id="108"/>
      <w:bookmarkStart w:id="109" w:name="_Toc184313297"/>
      <w:bookmarkEnd w:id="109"/>
      <w:bookmarkStart w:id="110" w:name="_Toc184313288"/>
      <w:bookmarkEnd w:id="110"/>
      <w:bookmarkStart w:id="111" w:name="_Toc184314422"/>
      <w:bookmarkEnd w:id="111"/>
      <w:bookmarkStart w:id="112" w:name="_Toc184313276"/>
      <w:bookmarkEnd w:id="112"/>
      <w:bookmarkStart w:id="113" w:name="_Toc184314447"/>
      <w:bookmarkEnd w:id="113"/>
      <w:bookmarkStart w:id="114" w:name="_Toc184313300"/>
      <w:bookmarkEnd w:id="114"/>
      <w:bookmarkStart w:id="115" w:name="_Toc184314482"/>
      <w:bookmarkEnd w:id="115"/>
      <w:bookmarkStart w:id="116" w:name="_Toc184313303"/>
      <w:bookmarkEnd w:id="116"/>
      <w:bookmarkStart w:id="117" w:name="_Toc184313283"/>
      <w:bookmarkEnd w:id="117"/>
      <w:bookmarkStart w:id="118" w:name="_Toc184310302"/>
      <w:bookmarkEnd w:id="118"/>
      <w:bookmarkStart w:id="119" w:name="_Toc184313252"/>
      <w:bookmarkEnd w:id="119"/>
      <w:bookmarkStart w:id="120" w:name="_Toc184314413"/>
      <w:bookmarkEnd w:id="120"/>
      <w:bookmarkStart w:id="121" w:name="_Toc184308068"/>
      <w:bookmarkEnd w:id="121"/>
      <w:bookmarkStart w:id="122" w:name="_Toc184310282"/>
      <w:bookmarkEnd w:id="122"/>
      <w:bookmarkStart w:id="123" w:name="_Toc184313294"/>
      <w:bookmarkEnd w:id="123"/>
      <w:bookmarkStart w:id="124" w:name="_Toc184310331"/>
      <w:bookmarkEnd w:id="124"/>
      <w:bookmarkStart w:id="125" w:name="_Toc184312123"/>
      <w:bookmarkEnd w:id="125"/>
      <w:bookmarkStart w:id="126" w:name="_Toc184310316"/>
      <w:bookmarkEnd w:id="126"/>
      <w:bookmarkStart w:id="127" w:name="_Toc184308043"/>
      <w:bookmarkEnd w:id="127"/>
      <w:bookmarkStart w:id="128" w:name="_Toc184314475"/>
      <w:bookmarkEnd w:id="128"/>
      <w:bookmarkStart w:id="129" w:name="_Toc184308082"/>
      <w:bookmarkEnd w:id="129"/>
      <w:bookmarkStart w:id="130" w:name="_Toc184313282"/>
      <w:bookmarkEnd w:id="130"/>
      <w:bookmarkStart w:id="131" w:name="_Toc184314451"/>
      <w:bookmarkEnd w:id="131"/>
      <w:bookmarkStart w:id="132" w:name="_Toc184310309"/>
      <w:bookmarkEnd w:id="132"/>
      <w:bookmarkStart w:id="133" w:name="_Toc184314431"/>
      <w:bookmarkEnd w:id="133"/>
      <w:bookmarkStart w:id="134" w:name="_Toc184313254"/>
      <w:bookmarkEnd w:id="134"/>
      <w:bookmarkStart w:id="135" w:name="_Toc184312087"/>
      <w:bookmarkEnd w:id="135"/>
      <w:bookmarkStart w:id="136" w:name="_Toc184314470"/>
      <w:bookmarkEnd w:id="136"/>
      <w:bookmarkStart w:id="137" w:name="_Toc184310299"/>
      <w:bookmarkEnd w:id="137"/>
      <w:bookmarkStart w:id="138" w:name="_Toc184314448"/>
      <w:bookmarkEnd w:id="138"/>
      <w:bookmarkStart w:id="139" w:name="_Toc184313253"/>
      <w:bookmarkEnd w:id="139"/>
      <w:bookmarkStart w:id="140" w:name="_Toc184313265"/>
      <w:bookmarkEnd w:id="140"/>
      <w:bookmarkStart w:id="141" w:name="_Toc184312096"/>
      <w:bookmarkEnd w:id="141"/>
      <w:bookmarkStart w:id="142" w:name="_Toc184314465"/>
      <w:bookmarkEnd w:id="142"/>
      <w:bookmarkStart w:id="143" w:name="_Toc184308086"/>
      <w:bookmarkEnd w:id="143"/>
      <w:bookmarkStart w:id="144" w:name="_Toc184312135"/>
      <w:bookmarkEnd w:id="144"/>
      <w:bookmarkStart w:id="145" w:name="_Toc184312108"/>
      <w:bookmarkEnd w:id="145"/>
      <w:bookmarkStart w:id="146" w:name="_Toc184312104"/>
      <w:bookmarkEnd w:id="146"/>
      <w:bookmarkStart w:id="147" w:name="_Toc184310339"/>
      <w:bookmarkEnd w:id="147"/>
      <w:bookmarkStart w:id="148" w:name="_Toc184308085"/>
      <w:bookmarkEnd w:id="148"/>
      <w:bookmarkStart w:id="149" w:name="_Toc184312120"/>
      <w:bookmarkEnd w:id="149"/>
      <w:bookmarkStart w:id="150" w:name="_Toc184313280"/>
      <w:bookmarkEnd w:id="150"/>
      <w:bookmarkStart w:id="151" w:name="_Toc184313257"/>
      <w:bookmarkEnd w:id="151"/>
      <w:bookmarkStart w:id="152" w:name="_Toc184308038"/>
      <w:bookmarkEnd w:id="152"/>
      <w:bookmarkStart w:id="153" w:name="_Toc184313270"/>
      <w:bookmarkEnd w:id="153"/>
      <w:bookmarkStart w:id="154" w:name="_Toc184308106"/>
      <w:bookmarkEnd w:id="154"/>
      <w:bookmarkStart w:id="155" w:name="_Toc184312129"/>
      <w:bookmarkEnd w:id="155"/>
      <w:bookmarkStart w:id="156" w:name="_Toc184308094"/>
      <w:bookmarkEnd w:id="156"/>
      <w:bookmarkStart w:id="157" w:name="_Toc184314472"/>
      <w:bookmarkEnd w:id="157"/>
      <w:bookmarkStart w:id="158" w:name="_Toc184313295"/>
      <w:bookmarkEnd w:id="158"/>
      <w:bookmarkStart w:id="159" w:name="_Toc184312069"/>
      <w:bookmarkEnd w:id="159"/>
      <w:bookmarkStart w:id="160" w:name="_Toc184312078"/>
      <w:bookmarkEnd w:id="160"/>
      <w:bookmarkStart w:id="161" w:name="_Toc184312071"/>
      <w:bookmarkEnd w:id="161"/>
      <w:bookmarkStart w:id="162" w:name="_Toc184312122"/>
      <w:bookmarkEnd w:id="162"/>
      <w:bookmarkStart w:id="163" w:name="_Toc184310303"/>
      <w:bookmarkEnd w:id="163"/>
      <w:bookmarkStart w:id="164" w:name="_Toc184308088"/>
      <w:bookmarkEnd w:id="164"/>
      <w:bookmarkStart w:id="165" w:name="_Toc184313262"/>
      <w:bookmarkEnd w:id="165"/>
      <w:bookmarkStart w:id="166" w:name="_Toc184308108"/>
      <w:bookmarkEnd w:id="166"/>
      <w:bookmarkStart w:id="167" w:name="_Toc184313304"/>
      <w:bookmarkEnd w:id="167"/>
      <w:bookmarkStart w:id="168" w:name="_Toc184314468"/>
      <w:bookmarkEnd w:id="168"/>
      <w:bookmarkStart w:id="169" w:name="_Toc184310290"/>
      <w:bookmarkEnd w:id="169"/>
      <w:bookmarkStart w:id="170" w:name="_Toc184308061"/>
      <w:bookmarkEnd w:id="170"/>
      <w:bookmarkStart w:id="171" w:name="_Toc184313286"/>
      <w:bookmarkEnd w:id="171"/>
      <w:bookmarkStart w:id="172" w:name="_Toc184310312"/>
      <w:bookmarkEnd w:id="172"/>
      <w:bookmarkStart w:id="173" w:name="_Toc184310320"/>
      <w:bookmarkEnd w:id="173"/>
      <w:bookmarkStart w:id="174" w:name="_Toc184314462"/>
      <w:bookmarkEnd w:id="174"/>
      <w:bookmarkStart w:id="175" w:name="_Toc184314428"/>
      <w:bookmarkEnd w:id="175"/>
      <w:bookmarkStart w:id="176" w:name="_Toc184314464"/>
      <w:bookmarkEnd w:id="176"/>
      <w:bookmarkStart w:id="177" w:name="_Toc184308083"/>
      <w:bookmarkEnd w:id="177"/>
      <w:bookmarkStart w:id="178" w:name="_Toc184308079"/>
      <w:bookmarkEnd w:id="178"/>
      <w:bookmarkStart w:id="179" w:name="_Toc184310273"/>
      <w:bookmarkEnd w:id="179"/>
      <w:bookmarkStart w:id="180" w:name="_Toc184314438"/>
      <w:bookmarkEnd w:id="180"/>
      <w:bookmarkStart w:id="181" w:name="_Toc184308057"/>
      <w:bookmarkEnd w:id="181"/>
      <w:bookmarkStart w:id="182" w:name="_Toc184308077"/>
      <w:bookmarkEnd w:id="182"/>
      <w:bookmarkStart w:id="183" w:name="_Toc184312101"/>
      <w:bookmarkEnd w:id="183"/>
      <w:bookmarkStart w:id="184" w:name="_Toc184308100"/>
      <w:bookmarkEnd w:id="184"/>
      <w:bookmarkStart w:id="185" w:name="_Toc184310338"/>
      <w:bookmarkEnd w:id="185"/>
      <w:bookmarkStart w:id="186" w:name="_Toc184312131"/>
      <w:bookmarkEnd w:id="186"/>
      <w:bookmarkStart w:id="187" w:name="_Toc184312130"/>
      <w:bookmarkEnd w:id="187"/>
      <w:bookmarkStart w:id="188" w:name="_Toc184308058"/>
      <w:bookmarkEnd w:id="188"/>
      <w:bookmarkStart w:id="189" w:name="_Toc184310283"/>
      <w:bookmarkEnd w:id="189"/>
      <w:bookmarkStart w:id="190" w:name="_Toc184312126"/>
      <w:bookmarkEnd w:id="190"/>
      <w:bookmarkStart w:id="191" w:name="_Toc184310272"/>
      <w:bookmarkEnd w:id="191"/>
      <w:bookmarkStart w:id="192" w:name="_Toc184314435"/>
      <w:bookmarkEnd w:id="192"/>
      <w:bookmarkStart w:id="193" w:name="_Toc184310324"/>
      <w:bookmarkEnd w:id="193"/>
      <w:bookmarkStart w:id="194" w:name="_Toc184314442"/>
      <w:bookmarkEnd w:id="194"/>
      <w:bookmarkStart w:id="195" w:name="_Toc184310296"/>
      <w:bookmarkEnd w:id="195"/>
      <w:bookmarkStart w:id="196" w:name="_Toc184314445"/>
      <w:bookmarkEnd w:id="196"/>
      <w:bookmarkStart w:id="197" w:name="_Toc184314476"/>
      <w:bookmarkEnd w:id="197"/>
      <w:bookmarkStart w:id="198" w:name="_Toc184314477"/>
      <w:bookmarkEnd w:id="198"/>
      <w:bookmarkStart w:id="199" w:name="_Toc184312117"/>
      <w:bookmarkEnd w:id="199"/>
      <w:bookmarkStart w:id="200" w:name="_Toc184312093"/>
      <w:bookmarkEnd w:id="200"/>
      <w:bookmarkStart w:id="201" w:name="_Toc184313246"/>
      <w:bookmarkEnd w:id="201"/>
      <w:bookmarkStart w:id="202" w:name="_Toc184312109"/>
      <w:bookmarkEnd w:id="202"/>
      <w:bookmarkStart w:id="203" w:name="_Toc184314480"/>
      <w:bookmarkEnd w:id="203"/>
      <w:bookmarkStart w:id="204" w:name="_Toc184308036"/>
      <w:bookmarkEnd w:id="204"/>
      <w:bookmarkStart w:id="205" w:name="_Toc184308095"/>
      <w:bookmarkEnd w:id="205"/>
      <w:bookmarkStart w:id="206" w:name="_Toc184313243"/>
      <w:bookmarkEnd w:id="206"/>
      <w:bookmarkStart w:id="207" w:name="_Toc184308098"/>
      <w:bookmarkEnd w:id="207"/>
      <w:bookmarkStart w:id="208" w:name="_Toc184313250"/>
      <w:bookmarkEnd w:id="208"/>
      <w:bookmarkStart w:id="209" w:name="_Toc184308099"/>
      <w:bookmarkEnd w:id="209"/>
      <w:bookmarkStart w:id="210" w:name="_Toc184308105"/>
      <w:bookmarkEnd w:id="210"/>
      <w:bookmarkStart w:id="211" w:name="_Toc184313298"/>
      <w:bookmarkEnd w:id="211"/>
      <w:bookmarkStart w:id="212" w:name="_Toc184312127"/>
      <w:bookmarkEnd w:id="212"/>
      <w:bookmarkStart w:id="213" w:name="_Toc184310293"/>
      <w:bookmarkEnd w:id="213"/>
      <w:bookmarkStart w:id="214" w:name="_Toc184308047"/>
      <w:bookmarkEnd w:id="214"/>
      <w:bookmarkStart w:id="215" w:name="_Toc184314456"/>
      <w:bookmarkEnd w:id="215"/>
      <w:bookmarkStart w:id="216" w:name="_Toc184314421"/>
      <w:bookmarkEnd w:id="216"/>
      <w:bookmarkStart w:id="217" w:name="_Toc184313302"/>
      <w:bookmarkEnd w:id="217"/>
      <w:bookmarkStart w:id="218" w:name="_Toc184310291"/>
      <w:bookmarkEnd w:id="218"/>
      <w:bookmarkStart w:id="219" w:name="_Toc184310311"/>
      <w:bookmarkEnd w:id="219"/>
      <w:bookmarkStart w:id="220" w:name="_Toc184314454"/>
      <w:bookmarkEnd w:id="220"/>
      <w:bookmarkStart w:id="221" w:name="_Toc184314452"/>
      <w:bookmarkEnd w:id="221"/>
      <w:bookmarkStart w:id="222" w:name="_Toc184310304"/>
      <w:bookmarkEnd w:id="222"/>
      <w:bookmarkStart w:id="223" w:name="_Toc184312088"/>
      <w:bookmarkEnd w:id="223"/>
      <w:bookmarkStart w:id="224" w:name="_Toc184308104"/>
      <w:bookmarkEnd w:id="224"/>
      <w:bookmarkStart w:id="225" w:name="_Toc184314427"/>
      <w:bookmarkEnd w:id="225"/>
      <w:bookmarkStart w:id="226" w:name="_Toc184314474"/>
      <w:bookmarkEnd w:id="226"/>
      <w:bookmarkStart w:id="227" w:name="_Toc184312112"/>
      <w:bookmarkEnd w:id="227"/>
      <w:bookmarkStart w:id="228" w:name="_Toc184312115"/>
      <w:bookmarkEnd w:id="228"/>
      <w:bookmarkStart w:id="229" w:name="_Toc184308066"/>
      <w:bookmarkEnd w:id="229"/>
      <w:bookmarkStart w:id="230" w:name="_Toc184312133"/>
      <w:bookmarkEnd w:id="230"/>
      <w:bookmarkStart w:id="231" w:name="_Toc184310344"/>
      <w:bookmarkEnd w:id="231"/>
      <w:bookmarkStart w:id="232" w:name="_Toc184314429"/>
      <w:bookmarkEnd w:id="232"/>
      <w:bookmarkStart w:id="233" w:name="_Toc184308065"/>
      <w:bookmarkEnd w:id="233"/>
      <w:bookmarkStart w:id="234" w:name="_Toc184312098"/>
      <w:bookmarkEnd w:id="234"/>
      <w:bookmarkStart w:id="235" w:name="_Toc184312132"/>
      <w:bookmarkEnd w:id="235"/>
      <w:bookmarkStart w:id="236" w:name="_Toc184308067"/>
      <w:bookmarkEnd w:id="236"/>
      <w:bookmarkStart w:id="237" w:name="_Toc184314471"/>
      <w:bookmarkEnd w:id="237"/>
      <w:bookmarkStart w:id="238" w:name="_Toc184313266"/>
      <w:bookmarkEnd w:id="238"/>
      <w:bookmarkStart w:id="239" w:name="_Toc184314469"/>
      <w:bookmarkEnd w:id="239"/>
      <w:bookmarkStart w:id="240" w:name="_Toc184314443"/>
      <w:bookmarkEnd w:id="240"/>
      <w:bookmarkStart w:id="241" w:name="_Toc184310308"/>
      <w:bookmarkEnd w:id="241"/>
      <w:bookmarkStart w:id="242" w:name="_Toc184310280"/>
      <w:bookmarkEnd w:id="242"/>
      <w:bookmarkStart w:id="243" w:name="_Toc184312137"/>
      <w:bookmarkEnd w:id="243"/>
      <w:bookmarkStart w:id="244" w:name="_Toc184312100"/>
      <w:bookmarkEnd w:id="244"/>
      <w:bookmarkStart w:id="245" w:name="_Toc184308069"/>
      <w:bookmarkEnd w:id="245"/>
      <w:bookmarkStart w:id="246" w:name="_Toc184312099"/>
      <w:bookmarkEnd w:id="246"/>
      <w:bookmarkStart w:id="247" w:name="_Toc184310317"/>
      <w:bookmarkEnd w:id="247"/>
      <w:bookmarkStart w:id="248" w:name="_Toc184310295"/>
      <w:bookmarkEnd w:id="248"/>
      <w:bookmarkStart w:id="249" w:name="_Toc184314444"/>
      <w:bookmarkEnd w:id="249"/>
      <w:bookmarkStart w:id="250" w:name="_Toc184313273"/>
      <w:bookmarkEnd w:id="250"/>
      <w:bookmarkStart w:id="251" w:name="_Toc184310287"/>
      <w:bookmarkEnd w:id="251"/>
      <w:bookmarkStart w:id="252" w:name="_Toc184310276"/>
      <w:bookmarkEnd w:id="252"/>
      <w:bookmarkStart w:id="253" w:name="_Toc184310298"/>
      <w:bookmarkEnd w:id="253"/>
      <w:bookmarkStart w:id="254" w:name="_Toc184313308"/>
      <w:bookmarkEnd w:id="254"/>
      <w:bookmarkStart w:id="255" w:name="_Toc184314434"/>
      <w:bookmarkEnd w:id="255"/>
      <w:bookmarkStart w:id="256" w:name="_Toc184314460"/>
      <w:bookmarkEnd w:id="256"/>
      <w:bookmarkStart w:id="257" w:name="_Toc184310286"/>
      <w:bookmarkEnd w:id="257"/>
      <w:bookmarkStart w:id="258" w:name="_Toc184310307"/>
      <w:bookmarkEnd w:id="258"/>
      <w:bookmarkStart w:id="259" w:name="_Toc184314426"/>
      <w:bookmarkEnd w:id="259"/>
      <w:bookmarkStart w:id="260" w:name="_Toc184312079"/>
      <w:bookmarkEnd w:id="260"/>
      <w:bookmarkStart w:id="261" w:name="_Toc184313261"/>
      <w:bookmarkEnd w:id="261"/>
      <w:bookmarkStart w:id="262" w:name="_Toc184308102"/>
      <w:bookmarkEnd w:id="262"/>
      <w:bookmarkStart w:id="263" w:name="_Toc184310343"/>
      <w:bookmarkEnd w:id="263"/>
      <w:bookmarkStart w:id="264" w:name="_Toc184310342"/>
      <w:bookmarkEnd w:id="264"/>
      <w:bookmarkStart w:id="265" w:name="_Toc184308093"/>
      <w:bookmarkEnd w:id="265"/>
      <w:bookmarkStart w:id="266" w:name="_Toc184310333"/>
      <w:bookmarkEnd w:id="266"/>
      <w:bookmarkStart w:id="267" w:name="_Toc184308096"/>
      <w:bookmarkEnd w:id="267"/>
      <w:bookmarkStart w:id="268" w:name="_Toc184312084"/>
      <w:bookmarkEnd w:id="268"/>
      <w:bookmarkStart w:id="269" w:name="_Toc184314457"/>
      <w:bookmarkEnd w:id="269"/>
      <w:bookmarkStart w:id="270" w:name="_Toc184312081"/>
      <w:bookmarkEnd w:id="270"/>
      <w:bookmarkStart w:id="271" w:name="_Toc184308074"/>
      <w:bookmarkEnd w:id="271"/>
      <w:bookmarkStart w:id="272" w:name="_Toc184314467"/>
      <w:bookmarkEnd w:id="272"/>
      <w:bookmarkStart w:id="273" w:name="_Toc184308084"/>
      <w:bookmarkEnd w:id="273"/>
      <w:bookmarkStart w:id="274" w:name="_Toc184308091"/>
      <w:bookmarkEnd w:id="274"/>
      <w:bookmarkStart w:id="275" w:name="_Toc184308041"/>
      <w:bookmarkEnd w:id="275"/>
      <w:bookmarkStart w:id="276" w:name="_Toc184313264"/>
      <w:bookmarkEnd w:id="276"/>
      <w:bookmarkStart w:id="277" w:name="_Toc184308101"/>
      <w:bookmarkEnd w:id="277"/>
      <w:bookmarkStart w:id="278" w:name="_Toc184312121"/>
      <w:bookmarkEnd w:id="278"/>
      <w:bookmarkStart w:id="279" w:name="_Toc184310289"/>
      <w:bookmarkEnd w:id="279"/>
      <w:bookmarkStart w:id="280" w:name="_Toc184314420"/>
      <w:bookmarkEnd w:id="280"/>
      <w:bookmarkStart w:id="281" w:name="_Toc184312116"/>
      <w:bookmarkEnd w:id="281"/>
      <w:bookmarkStart w:id="282" w:name="_Toc184308044"/>
      <w:bookmarkEnd w:id="282"/>
      <w:bookmarkStart w:id="283" w:name="_Toc184314419"/>
      <w:bookmarkEnd w:id="283"/>
      <w:bookmarkStart w:id="284" w:name="_Toc184312097"/>
      <w:bookmarkEnd w:id="284"/>
      <w:bookmarkStart w:id="285" w:name="_Toc184308081"/>
      <w:bookmarkEnd w:id="285"/>
      <w:bookmarkStart w:id="286" w:name="_Toc184314432"/>
      <w:bookmarkEnd w:id="286"/>
      <w:bookmarkStart w:id="287" w:name="_Toc184308107"/>
      <w:bookmarkEnd w:id="287"/>
      <w:bookmarkStart w:id="288" w:name="_Toc184314423"/>
      <w:bookmarkEnd w:id="288"/>
      <w:bookmarkStart w:id="289" w:name="_Toc184312075"/>
      <w:bookmarkEnd w:id="289"/>
      <w:bookmarkStart w:id="290" w:name="_Toc184310305"/>
      <w:bookmarkEnd w:id="290"/>
      <w:bookmarkStart w:id="291" w:name="_Toc184310277"/>
      <w:bookmarkEnd w:id="291"/>
      <w:bookmarkStart w:id="292" w:name="_Toc184313287"/>
      <w:bookmarkEnd w:id="292"/>
      <w:bookmarkStart w:id="293" w:name="_Toc184314433"/>
      <w:bookmarkEnd w:id="293"/>
      <w:bookmarkStart w:id="294" w:name="_Toc184314416"/>
      <w:bookmarkEnd w:id="294"/>
      <w:bookmarkStart w:id="295" w:name="_Toc184313269"/>
      <w:bookmarkEnd w:id="295"/>
      <w:bookmarkStart w:id="296" w:name="_Toc184312113"/>
      <w:bookmarkEnd w:id="296"/>
      <w:bookmarkStart w:id="297" w:name="_Toc184313260"/>
      <w:bookmarkEnd w:id="297"/>
      <w:bookmarkStart w:id="298" w:name="_Toc184310323"/>
      <w:bookmarkEnd w:id="298"/>
      <w:bookmarkStart w:id="299" w:name="_Toc184308089"/>
      <w:bookmarkEnd w:id="299"/>
      <w:bookmarkStart w:id="300" w:name="_Toc184314479"/>
      <w:bookmarkEnd w:id="300"/>
      <w:bookmarkStart w:id="301" w:name="_Toc184308075"/>
      <w:bookmarkEnd w:id="301"/>
      <w:bookmarkStart w:id="302" w:name="_Toc184308072"/>
      <w:bookmarkEnd w:id="302"/>
      <w:bookmarkStart w:id="303" w:name="_Toc184313271"/>
      <w:bookmarkEnd w:id="303"/>
      <w:bookmarkStart w:id="304" w:name="_Toc184314417"/>
      <w:bookmarkEnd w:id="304"/>
      <w:bookmarkStart w:id="305" w:name="_Toc184313278"/>
      <w:bookmarkEnd w:id="305"/>
      <w:bookmarkStart w:id="306" w:name="_Toc184314440"/>
      <w:bookmarkEnd w:id="306"/>
      <w:bookmarkStart w:id="307" w:name="_Toc184310336"/>
      <w:bookmarkEnd w:id="307"/>
      <w:bookmarkStart w:id="308" w:name="_Toc184310285"/>
      <w:bookmarkEnd w:id="308"/>
      <w:bookmarkStart w:id="309" w:name="_Toc184310330"/>
      <w:bookmarkEnd w:id="309"/>
      <w:bookmarkStart w:id="310" w:name="_Toc184308053"/>
      <w:bookmarkEnd w:id="310"/>
      <w:bookmarkStart w:id="311" w:name="_Toc184313292"/>
      <w:bookmarkEnd w:id="311"/>
      <w:bookmarkStart w:id="312" w:name="_Toc184310313"/>
      <w:bookmarkEnd w:id="312"/>
      <w:bookmarkStart w:id="313" w:name="_Toc184314411"/>
      <w:bookmarkEnd w:id="313"/>
      <w:bookmarkStart w:id="314" w:name="_Toc184308062"/>
      <w:bookmarkEnd w:id="314"/>
      <w:bookmarkStart w:id="315" w:name="_Toc184312136"/>
      <w:bookmarkEnd w:id="315"/>
      <w:bookmarkStart w:id="316" w:name="_Toc184313258"/>
      <w:bookmarkEnd w:id="316"/>
      <w:bookmarkStart w:id="317" w:name="_Toc184310322"/>
      <w:bookmarkEnd w:id="317"/>
      <w:bookmarkStart w:id="318" w:name="_Toc184313241"/>
      <w:bookmarkEnd w:id="318"/>
      <w:bookmarkStart w:id="319" w:name="_Toc184308097"/>
      <w:bookmarkEnd w:id="319"/>
      <w:bookmarkStart w:id="320" w:name="_Toc184308090"/>
      <w:bookmarkEnd w:id="320"/>
      <w:bookmarkStart w:id="321" w:name="_Toc184314441"/>
      <w:bookmarkEnd w:id="321"/>
      <w:bookmarkStart w:id="322" w:name="_Toc184312092"/>
      <w:bookmarkEnd w:id="322"/>
      <w:bookmarkStart w:id="323" w:name="_Toc184312089"/>
      <w:bookmarkEnd w:id="323"/>
      <w:bookmarkStart w:id="324" w:name="_Toc184314425"/>
      <w:bookmarkEnd w:id="324"/>
      <w:bookmarkStart w:id="325" w:name="_Toc184312139"/>
      <w:bookmarkEnd w:id="325"/>
      <w:bookmarkStart w:id="326" w:name="_Toc184312105"/>
      <w:bookmarkEnd w:id="326"/>
      <w:bookmarkStart w:id="327" w:name="_Toc184312124"/>
      <w:bookmarkEnd w:id="327"/>
      <w:bookmarkStart w:id="328" w:name="_Toc184308055"/>
      <w:bookmarkEnd w:id="328"/>
      <w:bookmarkStart w:id="329" w:name="_Toc184308080"/>
      <w:bookmarkEnd w:id="329"/>
      <w:bookmarkStart w:id="330" w:name="_Toc184310310"/>
      <w:bookmarkEnd w:id="330"/>
      <w:bookmarkStart w:id="331" w:name="_Toc184313249"/>
      <w:bookmarkEnd w:id="331"/>
      <w:bookmarkStart w:id="332" w:name="_Toc184312102"/>
      <w:bookmarkEnd w:id="332"/>
      <w:bookmarkStart w:id="333" w:name="_Toc184310292"/>
      <w:bookmarkEnd w:id="333"/>
      <w:bookmarkStart w:id="334" w:name="_Toc184313274"/>
      <w:bookmarkEnd w:id="334"/>
      <w:bookmarkStart w:id="335" w:name="_Toc184312073"/>
      <w:bookmarkEnd w:id="335"/>
      <w:bookmarkStart w:id="336" w:name="_Toc184312138"/>
      <w:bookmarkEnd w:id="336"/>
      <w:bookmarkStart w:id="337" w:name="_Toc184313284"/>
      <w:bookmarkEnd w:id="337"/>
      <w:bookmarkStart w:id="338" w:name="_Toc184312072"/>
      <w:bookmarkEnd w:id="338"/>
      <w:bookmarkStart w:id="339" w:name="_Toc184314410"/>
      <w:bookmarkEnd w:id="339"/>
      <w:bookmarkStart w:id="340" w:name="_Toc184310297"/>
      <w:bookmarkEnd w:id="340"/>
      <w:bookmarkStart w:id="341" w:name="_Toc184314481"/>
      <w:bookmarkEnd w:id="341"/>
      <w:bookmarkStart w:id="342" w:name="_Toc184308048"/>
      <w:bookmarkEnd w:id="342"/>
      <w:bookmarkStart w:id="343" w:name="_Toc184313309"/>
      <w:bookmarkEnd w:id="343"/>
      <w:bookmarkStart w:id="344" w:name="_Toc184310327"/>
      <w:bookmarkEnd w:id="344"/>
      <w:bookmarkStart w:id="345" w:name="_Toc184310275"/>
      <w:bookmarkEnd w:id="345"/>
      <w:bookmarkStart w:id="346" w:name="_Toc184308064"/>
      <w:bookmarkEnd w:id="346"/>
      <w:bookmarkStart w:id="347" w:name="_Toc184312118"/>
      <w:bookmarkEnd w:id="347"/>
      <w:bookmarkStart w:id="348" w:name="_Toc184314453"/>
      <w:bookmarkEnd w:id="348"/>
      <w:bookmarkStart w:id="349" w:name="_Toc184314439"/>
      <w:bookmarkEnd w:id="349"/>
      <w:bookmarkStart w:id="350" w:name="_Toc184313238"/>
      <w:bookmarkEnd w:id="350"/>
      <w:bookmarkStart w:id="351" w:name="_Toc184310300"/>
      <w:bookmarkEnd w:id="351"/>
      <w:bookmarkStart w:id="352" w:name="_Toc184310288"/>
      <w:bookmarkEnd w:id="352"/>
      <w:bookmarkStart w:id="353" w:name="_Toc184312068"/>
      <w:bookmarkEnd w:id="353"/>
      <w:bookmarkStart w:id="354" w:name="_Toc184312110"/>
      <w:bookmarkEnd w:id="354"/>
      <w:bookmarkStart w:id="355" w:name="_Toc184310335"/>
      <w:bookmarkEnd w:id="355"/>
      <w:bookmarkStart w:id="356" w:name="_Toc184310284"/>
      <w:bookmarkEnd w:id="356"/>
      <w:bookmarkStart w:id="357" w:name="_Toc184313244"/>
      <w:bookmarkEnd w:id="357"/>
      <w:bookmarkStart w:id="358" w:name="_Toc184308039"/>
      <w:bookmarkEnd w:id="358"/>
      <w:bookmarkStart w:id="359" w:name="_Toc184308037"/>
      <w:bookmarkEnd w:id="359"/>
      <w:bookmarkStart w:id="360" w:name="_Toc184308070"/>
      <w:bookmarkEnd w:id="360"/>
      <w:bookmarkStart w:id="361" w:name="_Toc184313290"/>
      <w:bookmarkEnd w:id="361"/>
      <w:bookmarkStart w:id="362" w:name="_Toc184310306"/>
      <w:bookmarkEnd w:id="362"/>
      <w:bookmarkStart w:id="363" w:name="_Toc184314463"/>
      <w:bookmarkEnd w:id="363"/>
      <w:bookmarkStart w:id="364" w:name="_Toc184314450"/>
      <w:bookmarkEnd w:id="364"/>
      <w:bookmarkStart w:id="365" w:name="_Toc184314415"/>
      <w:bookmarkEnd w:id="365"/>
      <w:bookmarkStart w:id="366" w:name="_Toc184313268"/>
      <w:bookmarkEnd w:id="366"/>
      <w:bookmarkStart w:id="367" w:name="_Toc184310326"/>
      <w:bookmarkEnd w:id="367"/>
      <w:bookmarkStart w:id="368" w:name="_Toc184310318"/>
      <w:bookmarkEnd w:id="368"/>
      <w:bookmarkStart w:id="369" w:name="_Toc184310337"/>
      <w:bookmarkEnd w:id="369"/>
      <w:bookmarkStart w:id="370" w:name="_Toc184314446"/>
      <w:bookmarkEnd w:id="370"/>
      <w:bookmarkStart w:id="371" w:name="_Toc184310334"/>
      <w:bookmarkEnd w:id="371"/>
      <w:bookmarkStart w:id="372" w:name="_Toc184312103"/>
      <w:bookmarkEnd w:id="372"/>
      <w:bookmarkStart w:id="373" w:name="_Toc184308049"/>
      <w:bookmarkEnd w:id="373"/>
      <w:bookmarkStart w:id="374" w:name="_Toc184314461"/>
      <w:bookmarkEnd w:id="374"/>
      <w:bookmarkStart w:id="375" w:name="_Toc184313285"/>
      <w:bookmarkEnd w:id="375"/>
      <w:bookmarkStart w:id="376" w:name="_Toc184308092"/>
      <w:bookmarkEnd w:id="376"/>
      <w:bookmarkStart w:id="377" w:name="_Toc184308087"/>
      <w:bookmarkEnd w:id="377"/>
      <w:bookmarkStart w:id="378" w:name="_Toc184310328"/>
      <w:bookmarkEnd w:id="378"/>
      <w:bookmarkStart w:id="379" w:name="_Toc184308059"/>
      <w:bookmarkEnd w:id="379"/>
      <w:bookmarkStart w:id="380" w:name="_Toc184313306"/>
      <w:bookmarkEnd w:id="380"/>
      <w:bookmarkStart w:id="381" w:name="_Toc184313267"/>
      <w:bookmarkEnd w:id="381"/>
      <w:bookmarkStart w:id="382" w:name="_Toc184312085"/>
      <w:bookmarkEnd w:id="382"/>
      <w:bookmarkStart w:id="383" w:name="_Toc184312091"/>
      <w:bookmarkEnd w:id="383"/>
      <w:bookmarkStart w:id="384" w:name="_Toc184314473"/>
      <w:bookmarkEnd w:id="384"/>
      <w:bookmarkStart w:id="385" w:name="_Toc184312128"/>
      <w:bookmarkEnd w:id="385"/>
      <w:bookmarkStart w:id="386" w:name="_Toc184313240"/>
      <w:bookmarkEnd w:id="386"/>
      <w:bookmarkStart w:id="387" w:name="_Toc184314478"/>
      <w:bookmarkEnd w:id="387"/>
      <w:bookmarkStart w:id="388" w:name="_Toc184310325"/>
      <w:bookmarkEnd w:id="388"/>
      <w:bookmarkStart w:id="389" w:name="_Toc184313248"/>
      <w:bookmarkEnd w:id="389"/>
      <w:bookmarkStart w:id="390" w:name="_Toc184314466"/>
      <w:bookmarkEnd w:id="390"/>
      <w:bookmarkStart w:id="391" w:name="_Toc184313242"/>
      <w:bookmarkEnd w:id="391"/>
      <w:bookmarkStart w:id="392" w:name="_Toc184312094"/>
      <w:bookmarkEnd w:id="392"/>
      <w:bookmarkStart w:id="393" w:name="_Toc184312080"/>
      <w:bookmarkEnd w:id="393"/>
      <w:bookmarkStart w:id="394" w:name="_Toc184308042"/>
      <w:bookmarkEnd w:id="394"/>
      <w:bookmarkStart w:id="395" w:name="_Toc184312086"/>
      <w:bookmarkEnd w:id="395"/>
      <w:bookmarkStart w:id="396" w:name="_Toc184310274"/>
      <w:bookmarkEnd w:id="396"/>
      <w:bookmarkStart w:id="397" w:name="_Toc184308071"/>
      <w:bookmarkEnd w:id="397"/>
      <w:bookmarkStart w:id="398" w:name="_Toc184313256"/>
      <w:bookmarkEnd w:id="398"/>
      <w:bookmarkStart w:id="399" w:name="_Toc184314459"/>
      <w:bookmarkEnd w:id="399"/>
      <w:bookmarkStart w:id="400" w:name="_Toc184312077"/>
      <w:bookmarkEnd w:id="400"/>
      <w:r>
        <w:rPr>
          <w:rFonts w:hint="eastAsia" w:ascii="宋体" w:hAnsi="宋体" w:cs="宋体"/>
          <w:b/>
          <w:sz w:val="36"/>
          <w:szCs w:val="36"/>
        </w:rPr>
        <w:t>评标办法</w:t>
      </w:r>
    </w:p>
    <w:p>
      <w:pPr>
        <w:snapToGrid w:val="0"/>
        <w:spacing w:line="360" w:lineRule="auto"/>
        <w:jc w:val="both"/>
        <w:rPr>
          <w:rFonts w:ascii="宋体" w:hAnsi="宋体" w:cs="宋体"/>
          <w:b/>
          <w:color w:val="000000" w:themeColor="text1"/>
          <w:sz w:val="32"/>
          <w:szCs w:val="20"/>
          <w14:textFill>
            <w14:solidFill>
              <w14:schemeClr w14:val="tx1"/>
            </w14:solidFill>
          </w14:textFill>
        </w:rPr>
      </w:pPr>
      <w:r>
        <w:rPr>
          <w:rFonts w:hint="eastAsia" w:ascii="宋体" w:hAnsi="宋体" w:cs="宋体"/>
          <w:b/>
          <w:sz w:val="32"/>
          <w:szCs w:val="20"/>
        </w:rPr>
        <w:t>评</w:t>
      </w:r>
      <w:r>
        <w:rPr>
          <w:rFonts w:hint="eastAsia" w:ascii="宋体" w:hAnsi="宋体" w:cs="宋体"/>
          <w:b/>
          <w:color w:val="000000" w:themeColor="text1"/>
          <w:sz w:val="32"/>
          <w:szCs w:val="20"/>
          <w14:textFill>
            <w14:solidFill>
              <w14:schemeClr w14:val="tx1"/>
            </w14:solidFill>
          </w14:textFill>
        </w:rPr>
        <w:t>标办法前附表</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897"/>
        <w:gridCol w:w="653"/>
        <w:gridCol w:w="794"/>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4897" w:type="dxa"/>
            <w:vAlign w:val="center"/>
          </w:tcPr>
          <w:p>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评标标准</w:t>
            </w:r>
          </w:p>
        </w:tc>
        <w:tc>
          <w:tcPr>
            <w:tcW w:w="653" w:type="dxa"/>
            <w:vAlign w:val="center"/>
          </w:tcPr>
          <w:p>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权重</w:t>
            </w:r>
          </w:p>
        </w:tc>
        <w:tc>
          <w:tcPr>
            <w:tcW w:w="794" w:type="dxa"/>
            <w:vAlign w:val="center"/>
          </w:tcPr>
          <w:p>
            <w:pPr>
              <w:snapToGrid w:val="0"/>
              <w:spacing w:line="360" w:lineRule="auto"/>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主观分/客观分属性</w:t>
            </w:r>
          </w:p>
        </w:tc>
        <w:tc>
          <w:tcPr>
            <w:tcW w:w="1617" w:type="dxa"/>
            <w:vAlign w:val="center"/>
          </w:tcPr>
          <w:p>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4897" w:type="dxa"/>
            <w:vAlign w:val="center"/>
          </w:tcPr>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具有</w:t>
            </w:r>
            <w:r>
              <w:rPr>
                <w:rFonts w:hint="eastAsia" w:ascii="宋体" w:hAnsi="宋体" w:eastAsia="宋体" w:cs="宋体"/>
                <w:color w:val="000000" w:themeColor="text1"/>
                <w:kern w:val="0"/>
                <w:sz w:val="21"/>
                <w:szCs w:val="21"/>
                <w:lang w:val="en-US" w:eastAsia="zh-CN"/>
                <w14:textFill>
                  <w14:solidFill>
                    <w14:schemeClr w14:val="tx1"/>
                  </w14:solidFill>
                </w14:textFill>
              </w:rPr>
              <w:t>有效的</w:t>
            </w:r>
            <w:r>
              <w:rPr>
                <w:rFonts w:hint="eastAsia" w:ascii="宋体" w:hAnsi="宋体" w:eastAsia="宋体" w:cs="宋体"/>
                <w:color w:val="000000" w:themeColor="text1"/>
                <w:kern w:val="0"/>
                <w:sz w:val="21"/>
                <w:szCs w:val="21"/>
                <w14:textFill>
                  <w14:solidFill>
                    <w14:schemeClr w14:val="tx1"/>
                  </w14:solidFill>
                </w14:textFill>
              </w:rPr>
              <w:t>ISO9001质量管理体系认证证书的得1分</w:t>
            </w:r>
          </w:p>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具有</w:t>
            </w:r>
            <w:r>
              <w:rPr>
                <w:rFonts w:hint="eastAsia" w:ascii="宋体" w:hAnsi="宋体" w:eastAsia="宋体" w:cs="宋体"/>
                <w:color w:val="000000" w:themeColor="text1"/>
                <w:kern w:val="0"/>
                <w:sz w:val="21"/>
                <w:szCs w:val="21"/>
                <w:lang w:val="en-US" w:eastAsia="zh-CN"/>
                <w14:textFill>
                  <w14:solidFill>
                    <w14:schemeClr w14:val="tx1"/>
                  </w14:solidFill>
                </w14:textFill>
              </w:rPr>
              <w:t>有效的</w:t>
            </w:r>
            <w:r>
              <w:rPr>
                <w:rFonts w:hint="eastAsia" w:ascii="宋体" w:hAnsi="宋体" w:eastAsia="宋体" w:cs="宋体"/>
                <w:color w:val="000000" w:themeColor="text1"/>
                <w:kern w:val="0"/>
                <w:sz w:val="21"/>
                <w:szCs w:val="21"/>
                <w14:textFill>
                  <w14:solidFill>
                    <w14:schemeClr w14:val="tx1"/>
                  </w14:solidFill>
                </w14:textFill>
              </w:rPr>
              <w:t>ISO14001环境管理体系认证证书的得1分</w:t>
            </w:r>
          </w:p>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具有</w:t>
            </w:r>
            <w:r>
              <w:rPr>
                <w:rFonts w:hint="eastAsia" w:ascii="宋体" w:hAnsi="宋体" w:eastAsia="宋体" w:cs="宋体"/>
                <w:color w:val="000000" w:themeColor="text1"/>
                <w:kern w:val="0"/>
                <w:sz w:val="21"/>
                <w:szCs w:val="21"/>
                <w:lang w:val="en-US" w:eastAsia="zh-CN"/>
                <w14:textFill>
                  <w14:solidFill>
                    <w14:schemeClr w14:val="tx1"/>
                  </w14:solidFill>
                </w14:textFill>
              </w:rPr>
              <w:t>有效的</w:t>
            </w:r>
            <w:r>
              <w:rPr>
                <w:rFonts w:hint="eastAsia" w:ascii="宋体" w:hAnsi="宋体" w:eastAsia="宋体" w:cs="宋体"/>
                <w:color w:val="000000" w:themeColor="text1"/>
                <w:kern w:val="0"/>
                <w:sz w:val="21"/>
                <w:szCs w:val="21"/>
                <w14:textFill>
                  <w14:solidFill>
                    <w14:schemeClr w14:val="tx1"/>
                  </w14:solidFill>
                </w14:textFill>
              </w:rPr>
              <w:t>OHSAS18001或ISO45001职业健康安全管理体系认证证书的得1分</w:t>
            </w:r>
          </w:p>
          <w:p>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注：证书需要在有效期内。</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4897" w:type="dxa"/>
            <w:vAlign w:val="center"/>
          </w:tcPr>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根据投标人202</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年1月1日至今（以合同签订时间为准）签订的,每具有一个综合物业管理项目业绩可得0.5分，最多可得1分。（提供合同及客户满意证明材料，缺一不可, 否则不得分）</w:t>
            </w:r>
          </w:p>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p>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①项目合同内容中至少包含设备运行维护、保洁、安保基本服务内容中，否则不得分； ②续签的合同按一份合同认定。</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w:t>
            </w:r>
            <w:r>
              <w:rPr>
                <w:rFonts w:hint="eastAsia" w:ascii="宋体" w:hAnsi="宋体" w:cs="宋体"/>
                <w:color w:val="000000" w:themeColor="text1"/>
                <w:kern w:val="0"/>
                <w:sz w:val="21"/>
                <w:szCs w:val="21"/>
                <w:lang w:eastAsia="zh-CN"/>
                <w14:textFill>
                  <w14:solidFill>
                    <w14:schemeClr w14:val="tx1"/>
                  </w14:solidFill>
                </w14:textFill>
              </w:rPr>
              <w:t>近三年</w:t>
            </w:r>
            <w:r>
              <w:rPr>
                <w:rFonts w:hint="eastAsia" w:ascii="宋体" w:hAnsi="宋体" w:eastAsia="宋体" w:cs="宋体"/>
                <w:color w:val="000000" w:themeColor="text1"/>
                <w:kern w:val="0"/>
                <w:sz w:val="21"/>
                <w:szCs w:val="21"/>
                <w14:textFill>
                  <w14:solidFill>
                    <w14:schemeClr w14:val="tx1"/>
                  </w14:solidFill>
                </w14:textFill>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4897" w:type="dxa"/>
            <w:vAlign w:val="center"/>
          </w:tcPr>
          <w:p>
            <w:pPr>
              <w:spacing w:line="273" w:lineRule="auto"/>
              <w:jc w:val="left"/>
              <w:rPr>
                <w:rFonts w:hint="default" w:ascii="宋体" w:hAnsi="宋体" w:eastAsia="宋体" w:cs="Times New Roman"/>
                <w:color w:val="000000" w:themeColor="text1"/>
                <w:sz w:val="22"/>
                <w:lang w:val="en-US" w:eastAsia="zh-CN"/>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1.</w:t>
            </w:r>
            <w:r>
              <w:rPr>
                <w:rFonts w:hint="eastAsia" w:ascii="宋体" w:hAnsi="宋体" w:eastAsia="宋体" w:cs="Times New Roman"/>
                <w:color w:val="000000" w:themeColor="text1"/>
                <w:sz w:val="22"/>
                <w14:textFill>
                  <w14:solidFill>
                    <w14:schemeClr w14:val="tx1"/>
                  </w14:solidFill>
                </w14:textFill>
              </w:rPr>
              <w:t>专科及以上学历</w:t>
            </w:r>
            <w:r>
              <w:rPr>
                <w:rFonts w:hint="eastAsia" w:ascii="宋体" w:hAnsi="宋体" w:eastAsia="宋体" w:cs="Times New Roman"/>
                <w:color w:val="000000" w:themeColor="text1"/>
                <w:sz w:val="22"/>
                <w:lang w:eastAsia="zh-CN"/>
                <w14:textFill>
                  <w14:solidFill>
                    <w14:schemeClr w14:val="tx1"/>
                  </w14:solidFill>
                </w14:textFill>
              </w:rPr>
              <w:t>得</w:t>
            </w:r>
            <w:r>
              <w:rPr>
                <w:rFonts w:hint="eastAsia" w:ascii="宋体" w:hAnsi="宋体" w:eastAsia="宋体" w:cs="Times New Roman"/>
                <w:color w:val="000000" w:themeColor="text1"/>
                <w:sz w:val="22"/>
                <w:lang w:val="en-US" w:eastAsia="zh-CN"/>
                <w14:textFill>
                  <w14:solidFill>
                    <w14:schemeClr w14:val="tx1"/>
                  </w14:solidFill>
                </w14:textFill>
              </w:rPr>
              <w:t>1分；</w:t>
            </w:r>
          </w:p>
          <w:p>
            <w:pPr>
              <w:spacing w:line="273" w:lineRule="auto"/>
              <w:jc w:val="left"/>
              <w:rPr>
                <w:rFonts w:hint="default" w:ascii="宋体" w:hAnsi="宋体" w:eastAsia="宋体" w:cs="Times New Roman"/>
                <w:color w:val="000000" w:themeColor="text1"/>
                <w:sz w:val="22"/>
                <w:lang w:val="en-US" w:eastAsia="zh-CN"/>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2.</w:t>
            </w:r>
            <w:r>
              <w:rPr>
                <w:rFonts w:hint="eastAsia" w:ascii="宋体" w:hAnsi="宋体" w:eastAsia="宋体" w:cs="Times New Roman"/>
                <w:color w:val="000000" w:themeColor="text1"/>
                <w:sz w:val="22"/>
                <w14:textFill>
                  <w14:solidFill>
                    <w14:schemeClr w14:val="tx1"/>
                  </w14:solidFill>
                </w14:textFill>
              </w:rPr>
              <w:t>具有物业经理上岗证</w:t>
            </w:r>
            <w:r>
              <w:rPr>
                <w:rFonts w:hint="eastAsia" w:ascii="宋体" w:hAnsi="宋体" w:eastAsia="宋体" w:cs="Times New Roman"/>
                <w:color w:val="000000" w:themeColor="text1"/>
                <w:sz w:val="22"/>
                <w:lang w:eastAsia="zh-CN"/>
                <w14:textFill>
                  <w14:solidFill>
                    <w14:schemeClr w14:val="tx1"/>
                  </w14:solidFill>
                </w14:textFill>
              </w:rPr>
              <w:t>得</w:t>
            </w:r>
            <w:r>
              <w:rPr>
                <w:rFonts w:hint="eastAsia" w:ascii="宋体" w:hAnsi="宋体" w:eastAsia="宋体" w:cs="Times New Roman"/>
                <w:color w:val="000000" w:themeColor="text1"/>
                <w:sz w:val="22"/>
                <w:lang w:val="en-US" w:eastAsia="zh-CN"/>
                <w14:textFill>
                  <w14:solidFill>
                    <w14:schemeClr w14:val="tx1"/>
                  </w14:solidFill>
                </w14:textFill>
              </w:rPr>
              <w:t>1分；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3.</w:t>
            </w:r>
            <w:r>
              <w:rPr>
                <w:rFonts w:hint="eastAsia" w:ascii="宋体" w:hAnsi="宋体" w:eastAsia="宋体" w:cs="Times New Roman"/>
                <w:color w:val="000000" w:themeColor="text1"/>
                <w:sz w:val="22"/>
                <w14:textFill>
                  <w14:solidFill>
                    <w14:schemeClr w14:val="tx1"/>
                  </w14:solidFill>
                </w14:textFill>
              </w:rPr>
              <w:t>具有五年</w:t>
            </w:r>
            <w:r>
              <w:rPr>
                <w:rFonts w:hint="eastAsia" w:hAnsi="宋体" w:cs="Times New Roman"/>
                <w:color w:val="000000" w:themeColor="text1"/>
                <w:sz w:val="22"/>
                <w:lang w:eastAsia="zh-CN"/>
                <w14:textFill>
                  <w14:solidFill>
                    <w14:schemeClr w14:val="tx1"/>
                  </w14:solidFill>
                </w14:textFill>
              </w:rPr>
              <w:t>及</w:t>
            </w:r>
            <w:r>
              <w:rPr>
                <w:rFonts w:hint="eastAsia" w:ascii="宋体" w:hAnsi="宋体" w:eastAsia="宋体" w:cs="Times New Roman"/>
                <w:color w:val="000000" w:themeColor="text1"/>
                <w:sz w:val="22"/>
                <w14:textFill>
                  <w14:solidFill>
                    <w14:schemeClr w14:val="tx1"/>
                  </w14:solidFill>
                </w14:textFill>
              </w:rPr>
              <w:t>以上物业管理相关经验</w:t>
            </w:r>
            <w:r>
              <w:rPr>
                <w:rFonts w:hint="eastAsia" w:ascii="宋体" w:hAnsi="宋体" w:eastAsia="宋体" w:cs="Times New Roman"/>
                <w:color w:val="000000" w:themeColor="text1"/>
                <w:sz w:val="22"/>
                <w:lang w:eastAsia="zh-CN"/>
                <w14:textFill>
                  <w14:solidFill>
                    <w14:schemeClr w14:val="tx1"/>
                  </w14:solidFill>
                </w14:textFill>
              </w:rPr>
              <w:t>得</w:t>
            </w:r>
            <w:r>
              <w:rPr>
                <w:rFonts w:hint="eastAsia" w:ascii="宋体" w:hAnsi="宋体" w:eastAsia="宋体" w:cs="Times New Roman"/>
                <w:color w:val="000000" w:themeColor="text1"/>
                <w:sz w:val="22"/>
                <w:lang w:val="en-US" w:eastAsia="zh-CN"/>
                <w14:textFill>
                  <w14:solidFill>
                    <w14:schemeClr w14:val="tx1"/>
                  </w14:solidFill>
                </w14:textFill>
              </w:rPr>
              <w:t>1分</w:t>
            </w:r>
            <w:r>
              <w:rPr>
                <w:rFonts w:hint="eastAsia" w:hAnsi="宋体" w:cs="Times New Roman"/>
                <w:color w:val="000000" w:themeColor="text1"/>
                <w:sz w:val="22"/>
                <w:lang w:val="en-US" w:eastAsia="zh-CN"/>
                <w14:textFill>
                  <w14:solidFill>
                    <w14:schemeClr w14:val="tx1"/>
                  </w14:solidFill>
                </w14:textFill>
              </w:rPr>
              <w:t>。</w:t>
            </w:r>
            <w:r>
              <w:rPr>
                <w:rFonts w:hint="eastAsia" w:ascii="宋体" w:hAnsi="宋体" w:eastAsia="宋体" w:cs="Times New Roman"/>
                <w:color w:val="000000" w:themeColor="text1"/>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备注：上述须提供相应证明材料，拟派项目负责人须提供在本单位近三个月中任意一月的社保证明，否则不得分。 </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拟派项目</w:t>
            </w:r>
            <w:r>
              <w:rPr>
                <w:rFonts w:hint="eastAsia" w:ascii="宋体" w:hAnsi="宋体" w:cs="宋体"/>
                <w:color w:val="000000" w:themeColor="text1"/>
                <w:kern w:val="2"/>
                <w:sz w:val="21"/>
                <w:szCs w:val="21"/>
                <w:lang w:eastAsia="zh-CN"/>
                <w14:textFill>
                  <w14:solidFill>
                    <w14:schemeClr w14:val="tx1"/>
                  </w14:solidFill>
                </w14:textFill>
              </w:rPr>
              <w:t>总</w:t>
            </w:r>
            <w:r>
              <w:rPr>
                <w:rFonts w:hint="eastAsia" w:ascii="宋体" w:hAnsi="宋体" w:eastAsia="宋体" w:cs="宋体"/>
                <w:color w:val="000000" w:themeColor="text1"/>
                <w:kern w:val="2"/>
                <w:sz w:val="21"/>
                <w:szCs w:val="21"/>
                <w14:textFill>
                  <w14:solidFill>
                    <w14:schemeClr w14:val="tx1"/>
                  </w14:solidFill>
                </w14:textFill>
              </w:rPr>
              <w:t>负责人相关情况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w:t>
            </w:r>
          </w:p>
        </w:tc>
        <w:tc>
          <w:tcPr>
            <w:tcW w:w="4897" w:type="dxa"/>
            <w:vAlign w:val="center"/>
          </w:tcPr>
          <w:p>
            <w:pPr>
              <w:spacing w:line="273" w:lineRule="auto"/>
              <w:jc w:val="left"/>
              <w:rPr>
                <w:rFonts w:hint="eastAsia" w:ascii="宋体" w:hAnsi="宋体" w:eastAsia="宋体" w:cs="Times New Roman"/>
                <w:color w:val="000000" w:themeColor="text1"/>
                <w:sz w:val="22"/>
                <w:lang w:eastAsia="zh-CN"/>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1.</w:t>
            </w:r>
            <w:r>
              <w:rPr>
                <w:rFonts w:hint="eastAsia" w:ascii="宋体" w:hAnsi="宋体" w:eastAsia="宋体" w:cs="Times New Roman"/>
                <w:color w:val="000000" w:themeColor="text1"/>
                <w:sz w:val="22"/>
                <w14:textFill>
                  <w14:solidFill>
                    <w14:schemeClr w14:val="tx1"/>
                  </w14:solidFill>
                </w14:textFill>
              </w:rPr>
              <w:t>专科及以上学历</w:t>
            </w:r>
            <w:r>
              <w:rPr>
                <w:rFonts w:hint="eastAsia" w:ascii="宋体" w:hAnsi="宋体" w:eastAsia="宋体" w:cs="Times New Roman"/>
                <w:color w:val="000000" w:themeColor="text1"/>
                <w:kern w:val="0"/>
                <w:sz w:val="22"/>
                <w14:textFill>
                  <w14:solidFill>
                    <w14:schemeClr w14:val="tx1"/>
                  </w14:solidFill>
                </w14:textFill>
              </w:rPr>
              <w:t>得</w:t>
            </w:r>
            <w:r>
              <w:rPr>
                <w:rFonts w:hint="eastAsia" w:ascii="宋体" w:hAnsi="宋体" w:cs="Times New Roman"/>
                <w:color w:val="000000" w:themeColor="text1"/>
                <w:kern w:val="0"/>
                <w:sz w:val="22"/>
                <w:lang w:val="en-US" w:eastAsia="zh-CN"/>
                <w14:textFill>
                  <w14:solidFill>
                    <w14:schemeClr w14:val="tx1"/>
                  </w14:solidFill>
                </w14:textFill>
              </w:rPr>
              <w:t>1</w:t>
            </w:r>
            <w:r>
              <w:rPr>
                <w:rFonts w:hint="eastAsia" w:ascii="宋体" w:hAnsi="宋体" w:cs="Times New Roman"/>
                <w:color w:val="000000" w:themeColor="text1"/>
                <w:kern w:val="0"/>
                <w:sz w:val="22"/>
                <w:lang w:eastAsia="zh-CN"/>
                <w14:textFill>
                  <w14:solidFill>
                    <w14:schemeClr w14:val="tx1"/>
                  </w14:solidFill>
                </w14:textFill>
              </w:rPr>
              <w:t>分</w:t>
            </w:r>
            <w:r>
              <w:rPr>
                <w:rFonts w:hint="eastAsia" w:ascii="宋体" w:hAnsi="宋体" w:eastAsia="宋体" w:cs="Times New Roman"/>
                <w:color w:val="000000" w:themeColor="text1"/>
                <w:sz w:val="22"/>
                <w:lang w:eastAsia="zh-CN"/>
                <w14:textFill>
                  <w14:solidFill>
                    <w14:schemeClr w14:val="tx1"/>
                  </w14:solidFill>
                </w14:textFill>
              </w:rPr>
              <w:t>；</w:t>
            </w:r>
          </w:p>
          <w:p>
            <w:pPr>
              <w:numPr>
                <w:ilvl w:val="0"/>
                <w:numId w:val="2"/>
              </w:numPr>
              <w:spacing w:line="273" w:lineRule="auto"/>
              <w:jc w:val="left"/>
              <w:rPr>
                <w:rFonts w:hint="eastAsia" w:ascii="宋体" w:hAnsi="宋体" w:eastAsia="宋体" w:cs="Times New Roman"/>
                <w:color w:val="000000" w:themeColor="text1"/>
                <w:sz w:val="22"/>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具有</w:t>
            </w:r>
            <w:r>
              <w:rPr>
                <w:rFonts w:hint="eastAsia" w:ascii="宋体" w:hAnsi="宋体" w:eastAsia="宋体" w:cs="Times New Roman"/>
                <w:color w:val="000000" w:themeColor="text1"/>
                <w:sz w:val="22"/>
                <w14:textFill>
                  <w14:solidFill>
                    <w14:schemeClr w14:val="tx1"/>
                  </w14:solidFill>
                </w14:textFill>
              </w:rPr>
              <w:t>三级及以上厨师证书</w:t>
            </w:r>
            <w:r>
              <w:rPr>
                <w:rFonts w:hint="eastAsia" w:ascii="宋体" w:hAnsi="宋体" w:eastAsia="宋体" w:cs="Times New Roman"/>
                <w:color w:val="000000" w:themeColor="text1"/>
                <w:kern w:val="0"/>
                <w:sz w:val="22"/>
                <w14:textFill>
                  <w14:solidFill>
                    <w14:schemeClr w14:val="tx1"/>
                  </w14:solidFill>
                </w14:textFill>
              </w:rPr>
              <w:t>得</w:t>
            </w:r>
            <w:r>
              <w:rPr>
                <w:rFonts w:hint="eastAsia" w:ascii="宋体" w:hAnsi="宋体" w:cs="Times New Roman"/>
                <w:color w:val="000000" w:themeColor="text1"/>
                <w:kern w:val="0"/>
                <w:sz w:val="22"/>
                <w:lang w:val="en-US" w:eastAsia="zh-CN"/>
                <w14:textFill>
                  <w14:solidFill>
                    <w14:schemeClr w14:val="tx1"/>
                  </w14:solidFill>
                </w14:textFill>
              </w:rPr>
              <w:t>1</w:t>
            </w:r>
            <w:r>
              <w:rPr>
                <w:rFonts w:hint="eastAsia" w:ascii="宋体" w:hAnsi="宋体" w:cs="Times New Roman"/>
                <w:color w:val="000000" w:themeColor="text1"/>
                <w:kern w:val="0"/>
                <w:sz w:val="22"/>
                <w:lang w:eastAsia="zh-CN"/>
                <w14:textFill>
                  <w14:solidFill>
                    <w14:schemeClr w14:val="tx1"/>
                  </w14:solidFill>
                </w14:textFill>
              </w:rPr>
              <w:t>分</w:t>
            </w:r>
            <w:r>
              <w:rPr>
                <w:rFonts w:hint="eastAsia" w:ascii="宋体" w:hAnsi="宋体" w:eastAsia="宋体" w:cs="Times New Roman"/>
                <w:color w:val="000000" w:themeColor="text1"/>
                <w:sz w:val="22"/>
                <w:lang w:eastAsia="zh-CN"/>
                <w14:textFill>
                  <w14:solidFill>
                    <w14:schemeClr w14:val="tx1"/>
                  </w14:solidFill>
                </w14:textFill>
              </w:rPr>
              <w:t>；</w:t>
            </w:r>
          </w:p>
          <w:p>
            <w:pPr>
              <w:pStyle w:val="964"/>
              <w:keepNext w:val="0"/>
              <w:keepLines w:val="0"/>
              <w:pageBreakBefore w:val="0"/>
              <w:numPr>
                <w:ilvl w:val="0"/>
                <w:numId w:val="2"/>
              </w:numPr>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2"/>
                <w14:textFill>
                  <w14:solidFill>
                    <w14:schemeClr w14:val="tx1"/>
                  </w14:solidFill>
                </w14:textFill>
              </w:rPr>
              <w:t>具有三年</w:t>
            </w:r>
            <w:r>
              <w:rPr>
                <w:rFonts w:hint="eastAsia" w:hAnsi="宋体" w:cs="Times New Roman"/>
                <w:color w:val="000000" w:themeColor="text1"/>
                <w:sz w:val="22"/>
                <w:lang w:eastAsia="zh-CN"/>
                <w14:textFill>
                  <w14:solidFill>
                    <w14:schemeClr w14:val="tx1"/>
                  </w14:solidFill>
                </w14:textFill>
              </w:rPr>
              <w:t>及</w:t>
            </w:r>
            <w:r>
              <w:rPr>
                <w:rFonts w:hint="eastAsia" w:ascii="宋体" w:hAnsi="宋体" w:eastAsia="宋体" w:cs="Times New Roman"/>
                <w:color w:val="000000" w:themeColor="text1"/>
                <w:sz w:val="22"/>
                <w14:textFill>
                  <w14:solidFill>
                    <w14:schemeClr w14:val="tx1"/>
                  </w14:solidFill>
                </w14:textFill>
              </w:rPr>
              <w:t>以上物业管理相关经验</w:t>
            </w:r>
            <w:r>
              <w:rPr>
                <w:rFonts w:hint="eastAsia" w:ascii="宋体" w:hAnsi="宋体" w:eastAsia="宋体" w:cs="Times New Roman"/>
                <w:color w:val="000000" w:themeColor="text1"/>
                <w:kern w:val="0"/>
                <w:sz w:val="22"/>
                <w14:textFill>
                  <w14:solidFill>
                    <w14:schemeClr w14:val="tx1"/>
                  </w14:solidFill>
                </w14:textFill>
              </w:rPr>
              <w:t>得</w:t>
            </w:r>
            <w:r>
              <w:rPr>
                <w:rFonts w:hint="eastAsia" w:hAnsi="宋体" w:cs="Times New Roman"/>
                <w:color w:val="000000" w:themeColor="text1"/>
                <w:kern w:val="0"/>
                <w:sz w:val="22"/>
                <w:lang w:val="en-US" w:eastAsia="zh-CN"/>
                <w14:textFill>
                  <w14:solidFill>
                    <w14:schemeClr w14:val="tx1"/>
                  </w14:solidFill>
                </w14:textFill>
              </w:rPr>
              <w:t>1</w:t>
            </w:r>
            <w:r>
              <w:rPr>
                <w:rFonts w:hint="eastAsia" w:ascii="宋体" w:hAnsi="宋体" w:cs="Times New Roman"/>
                <w:color w:val="000000" w:themeColor="text1"/>
                <w:kern w:val="0"/>
                <w:sz w:val="22"/>
                <w:lang w:eastAsia="zh-CN"/>
                <w14:textFill>
                  <w14:solidFill>
                    <w14:schemeClr w14:val="tx1"/>
                  </w14:solidFill>
                </w14:textFill>
              </w:rPr>
              <w:t>分</w:t>
            </w:r>
            <w:r>
              <w:rPr>
                <w:rFonts w:hint="eastAsia" w:ascii="宋体" w:hAnsi="宋体" w:eastAsia="宋体" w:cs="Times New Roman"/>
                <w:color w:val="000000" w:themeColor="text1"/>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pStyle w:val="964"/>
              <w:keepNext w:val="0"/>
              <w:keepLines w:val="0"/>
              <w:pageBreakBefore w:val="0"/>
              <w:numPr>
                <w:ilvl w:val="0"/>
                <w:numId w:val="0"/>
              </w:numPr>
              <w:kinsoku/>
              <w:wordWrap/>
              <w:overflowPunct/>
              <w:topLinePunct w:val="0"/>
              <w:autoSpaceDE/>
              <w:autoSpaceDN/>
              <w:bidi w:val="0"/>
              <w:adjustRightInd/>
              <w:spacing w:line="300" w:lineRule="auto"/>
              <w:ind w:left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上述须提供相应证明材料</w:t>
            </w:r>
            <w:r>
              <w:rPr>
                <w:rFonts w:hint="eastAsia" w:hAnsi="宋体"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在本单位近三个月中任意一月的社保证明，否则不得分。 </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龙湾2号院负责人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p>
        </w:tc>
        <w:tc>
          <w:tcPr>
            <w:tcW w:w="4897" w:type="dxa"/>
            <w:vAlign w:val="center"/>
          </w:tcPr>
          <w:p>
            <w:pPr>
              <w:numPr>
                <w:ilvl w:val="0"/>
                <w:numId w:val="3"/>
              </w:numPr>
              <w:spacing w:line="273" w:lineRule="auto"/>
              <w:jc w:val="left"/>
              <w:rPr>
                <w:rFonts w:hint="eastAsia" w:ascii="宋体" w:hAnsi="宋体" w:eastAsia="宋体" w:cs="Times New Roman"/>
                <w:b/>
                <w:bCs/>
                <w:color w:val="000000" w:themeColor="text1"/>
                <w:sz w:val="22"/>
                <w14:textFill>
                  <w14:solidFill>
                    <w14:schemeClr w14:val="tx1"/>
                  </w14:solidFill>
                </w14:textFill>
              </w:rPr>
            </w:pPr>
            <w:r>
              <w:rPr>
                <w:rFonts w:hint="eastAsia" w:ascii="宋体" w:hAnsi="宋体" w:eastAsia="宋体" w:cs="Times New Roman"/>
                <w:b/>
                <w:bCs/>
                <w:color w:val="000000" w:themeColor="text1"/>
                <w:sz w:val="22"/>
                <w14:textFill>
                  <w14:solidFill>
                    <w14:schemeClr w14:val="tx1"/>
                  </w14:solidFill>
                </w14:textFill>
              </w:rPr>
              <w:t>会务</w:t>
            </w:r>
            <w:r>
              <w:rPr>
                <w:rFonts w:hint="eastAsia" w:ascii="宋体" w:hAnsi="宋体" w:cs="Times New Roman"/>
                <w:b/>
                <w:bCs/>
                <w:color w:val="000000" w:themeColor="text1"/>
                <w:sz w:val="22"/>
                <w:lang w:eastAsia="zh-CN"/>
                <w14:textFill>
                  <w14:solidFill>
                    <w14:schemeClr w14:val="tx1"/>
                  </w14:solidFill>
                </w14:textFill>
              </w:rPr>
              <w:t>主管</w:t>
            </w:r>
            <w:r>
              <w:rPr>
                <w:rFonts w:hint="eastAsia" w:ascii="宋体" w:hAnsi="宋体" w:eastAsia="宋体" w:cs="Times New Roman"/>
                <w:b/>
                <w:bCs/>
                <w:color w:val="000000" w:themeColor="text1"/>
                <w:sz w:val="22"/>
                <w:lang w:eastAsia="zh-CN"/>
                <w14:textFill>
                  <w14:solidFill>
                    <w14:schemeClr w14:val="tx1"/>
                  </w14:solidFill>
                </w14:textFill>
              </w:rPr>
              <w:t>相关情况（</w:t>
            </w:r>
            <w:r>
              <w:rPr>
                <w:rFonts w:hint="eastAsia" w:ascii="宋体" w:hAnsi="宋体" w:eastAsia="宋体" w:cs="Times New Roman"/>
                <w:b/>
                <w:bCs/>
                <w:color w:val="000000" w:themeColor="text1"/>
                <w:sz w:val="22"/>
                <w:lang w:val="en-US" w:eastAsia="zh-CN"/>
                <w14:textFill>
                  <w14:solidFill>
                    <w14:schemeClr w14:val="tx1"/>
                  </w14:solidFill>
                </w14:textFill>
              </w:rPr>
              <w:t>2</w:t>
            </w:r>
            <w:r>
              <w:rPr>
                <w:rFonts w:hint="eastAsia" w:ascii="宋体" w:hAnsi="宋体" w:eastAsia="宋体" w:cs="Times New Roman"/>
                <w:b/>
                <w:bCs/>
                <w:color w:val="000000" w:themeColor="text1"/>
                <w:sz w:val="22"/>
                <w:lang w:eastAsia="zh-CN"/>
                <w14:textFill>
                  <w14:solidFill>
                    <w14:schemeClr w14:val="tx1"/>
                  </w14:solidFill>
                </w14:textFill>
              </w:rPr>
              <w:t>分）</w:t>
            </w:r>
            <w:r>
              <w:rPr>
                <w:rFonts w:hint="eastAsia" w:ascii="宋体" w:hAnsi="宋体" w:eastAsia="宋体" w:cs="Times New Roman"/>
                <w:b/>
                <w:bCs/>
                <w:color w:val="000000" w:themeColor="text1"/>
                <w:sz w:val="22"/>
                <w14:textFill>
                  <w14:solidFill>
                    <w14:schemeClr w14:val="tx1"/>
                  </w14:solidFill>
                </w14:textFill>
              </w:rPr>
              <w:t>：</w:t>
            </w:r>
          </w:p>
          <w:p>
            <w:pPr>
              <w:numPr>
                <w:ilvl w:val="0"/>
                <w:numId w:val="4"/>
              </w:numPr>
              <w:spacing w:line="273" w:lineRule="auto"/>
              <w:jc w:val="left"/>
              <w:rPr>
                <w:rFonts w:hint="eastAsia" w:ascii="宋体" w:hAnsi="宋体" w:eastAsia="宋体" w:cs="Times New Roman"/>
                <w:color w:val="000000" w:themeColor="text1"/>
                <w:sz w:val="22"/>
                <w14:textFill>
                  <w14:solidFill>
                    <w14:schemeClr w14:val="tx1"/>
                  </w14:solidFill>
                </w14:textFill>
              </w:rPr>
            </w:pPr>
            <w:r>
              <w:rPr>
                <w:rFonts w:hint="eastAsia" w:ascii="宋体" w:hAnsi="宋体" w:eastAsia="宋体" w:cs="Times New Roman"/>
                <w:color w:val="000000" w:themeColor="text1"/>
                <w:sz w:val="22"/>
                <w14:textFill>
                  <w14:solidFill>
                    <w14:schemeClr w14:val="tx1"/>
                  </w14:solidFill>
                </w14:textFill>
              </w:rPr>
              <w:t>专科及以上学历</w:t>
            </w:r>
            <w:r>
              <w:rPr>
                <w:rFonts w:hint="eastAsia" w:ascii="宋体" w:hAnsi="宋体" w:eastAsia="宋体" w:cs="Times New Roman"/>
                <w:color w:val="000000" w:themeColor="text1"/>
                <w:kern w:val="0"/>
                <w:sz w:val="22"/>
                <w14:textFill>
                  <w14:solidFill>
                    <w14:schemeClr w14:val="tx1"/>
                  </w14:solidFill>
                </w14:textFill>
              </w:rPr>
              <w:t>得</w:t>
            </w:r>
            <w:r>
              <w:rPr>
                <w:rFonts w:hint="eastAsia" w:ascii="宋体" w:hAnsi="宋体" w:cs="Times New Roman"/>
                <w:color w:val="000000" w:themeColor="text1"/>
                <w:kern w:val="0"/>
                <w:sz w:val="22"/>
                <w:lang w:val="en-US" w:eastAsia="zh-CN"/>
                <w14:textFill>
                  <w14:solidFill>
                    <w14:schemeClr w14:val="tx1"/>
                  </w14:solidFill>
                </w14:textFill>
              </w:rPr>
              <w:t>1</w:t>
            </w:r>
            <w:r>
              <w:rPr>
                <w:rFonts w:hint="eastAsia" w:ascii="宋体" w:hAnsi="宋体" w:cs="Times New Roman"/>
                <w:color w:val="000000" w:themeColor="text1"/>
                <w:kern w:val="0"/>
                <w:sz w:val="22"/>
                <w:lang w:eastAsia="zh-CN"/>
                <w14:textFill>
                  <w14:solidFill>
                    <w14:schemeClr w14:val="tx1"/>
                  </w14:solidFill>
                </w14:textFill>
              </w:rPr>
              <w:t>分</w:t>
            </w:r>
            <w:r>
              <w:rPr>
                <w:rFonts w:hint="eastAsia" w:ascii="宋体" w:hAnsi="宋体" w:eastAsia="宋体" w:cs="Times New Roman"/>
                <w:color w:val="000000" w:themeColor="text1"/>
                <w:sz w:val="22"/>
                <w:lang w:eastAsia="zh-CN"/>
                <w14:textFill>
                  <w14:solidFill>
                    <w14:schemeClr w14:val="tx1"/>
                  </w14:solidFill>
                </w14:textFill>
              </w:rPr>
              <w:t>；</w:t>
            </w:r>
          </w:p>
          <w:p>
            <w:pPr>
              <w:pStyle w:val="964"/>
              <w:keepNext w:val="0"/>
              <w:keepLines w:val="0"/>
              <w:pageBreakBefore w:val="0"/>
              <w:kinsoku/>
              <w:wordWrap/>
              <w:overflowPunct/>
              <w:topLinePunct w:val="0"/>
              <w:autoSpaceDE/>
              <w:autoSpaceDN/>
              <w:bidi w:val="0"/>
              <w:adjustRightInd/>
              <w:spacing w:line="300" w:lineRule="auto"/>
              <w:textAlignment w:val="auto"/>
              <w:rPr>
                <w:rFonts w:ascii="宋体" w:hAnsi="宋体" w:eastAsia="宋体" w:cs="Times New Roman"/>
                <w:color w:val="000000" w:themeColor="text1"/>
                <w:sz w:val="22"/>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2）</w:t>
            </w:r>
            <w:r>
              <w:rPr>
                <w:rFonts w:hint="eastAsia" w:ascii="宋体" w:hAnsi="宋体" w:eastAsia="宋体" w:cs="Times New Roman"/>
                <w:color w:val="000000" w:themeColor="text1"/>
                <w:sz w:val="22"/>
                <w14:textFill>
                  <w14:solidFill>
                    <w14:schemeClr w14:val="tx1"/>
                  </w14:solidFill>
                </w14:textFill>
              </w:rPr>
              <w:t>具备两年</w:t>
            </w:r>
            <w:r>
              <w:rPr>
                <w:rFonts w:hint="eastAsia" w:hAnsi="宋体" w:cs="Times New Roman"/>
                <w:color w:val="000000" w:themeColor="text1"/>
                <w:sz w:val="22"/>
                <w:lang w:eastAsia="zh-CN"/>
                <w14:textFill>
                  <w14:solidFill>
                    <w14:schemeClr w14:val="tx1"/>
                  </w14:solidFill>
                </w14:textFill>
              </w:rPr>
              <w:t>及</w:t>
            </w:r>
            <w:r>
              <w:rPr>
                <w:rFonts w:hint="eastAsia" w:ascii="宋体" w:hAnsi="宋体" w:eastAsia="宋体" w:cs="Times New Roman"/>
                <w:color w:val="000000" w:themeColor="text1"/>
                <w:sz w:val="22"/>
                <w14:textFill>
                  <w14:solidFill>
                    <w14:schemeClr w14:val="tx1"/>
                  </w14:solidFill>
                </w14:textFill>
              </w:rPr>
              <w:t>以上相关工作经验</w:t>
            </w:r>
            <w:r>
              <w:rPr>
                <w:rFonts w:hint="eastAsia" w:ascii="宋体" w:hAnsi="宋体" w:eastAsia="宋体" w:cs="Times New Roman"/>
                <w:color w:val="000000" w:themeColor="text1"/>
                <w:kern w:val="0"/>
                <w:sz w:val="22"/>
                <w14:textFill>
                  <w14:solidFill>
                    <w14:schemeClr w14:val="tx1"/>
                  </w14:solidFill>
                </w14:textFill>
              </w:rPr>
              <w:t>得</w:t>
            </w:r>
            <w:r>
              <w:rPr>
                <w:rFonts w:hint="eastAsia" w:ascii="宋体" w:hAnsi="宋体" w:cs="Times New Roman"/>
                <w:color w:val="000000" w:themeColor="text1"/>
                <w:kern w:val="0"/>
                <w:sz w:val="22"/>
                <w:lang w:val="en-US" w:eastAsia="zh-CN"/>
                <w14:textFill>
                  <w14:solidFill>
                    <w14:schemeClr w14:val="tx1"/>
                  </w14:solidFill>
                </w14:textFill>
              </w:rPr>
              <w:t>1</w:t>
            </w:r>
            <w:r>
              <w:rPr>
                <w:rFonts w:hint="eastAsia" w:ascii="宋体" w:hAnsi="宋体" w:cs="Times New Roman"/>
                <w:color w:val="000000" w:themeColor="text1"/>
                <w:kern w:val="0"/>
                <w:sz w:val="22"/>
                <w:lang w:eastAsia="zh-CN"/>
                <w14:textFill>
                  <w14:solidFill>
                    <w14:schemeClr w14:val="tx1"/>
                  </w14:solidFill>
                </w14:textFill>
              </w:rPr>
              <w:t>分</w:t>
            </w:r>
            <w:r>
              <w:rPr>
                <w:rFonts w:hint="eastAsia" w:hAnsi="宋体" w:cs="Times New Roman"/>
                <w:color w:val="000000" w:themeColor="text1"/>
                <w:kern w:val="0"/>
                <w:sz w:val="22"/>
                <w:lang w:eastAsia="zh-CN"/>
                <w14:textFill>
                  <w14:solidFill>
                    <w14:schemeClr w14:val="tx1"/>
                  </w14:solidFill>
                </w14:textFill>
              </w:rPr>
              <w:t>。</w:t>
            </w:r>
            <w:r>
              <w:rPr>
                <w:rFonts w:hint="eastAsia" w:ascii="宋体" w:hAnsi="宋体" w:eastAsia="宋体" w:cs="Times New Roman"/>
                <w:color w:val="000000" w:themeColor="text1"/>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numPr>
                <w:ilvl w:val="0"/>
                <w:numId w:val="3"/>
              </w:numPr>
              <w:adjustRightInd w:val="0"/>
              <w:spacing w:line="273" w:lineRule="auto"/>
              <w:ind w:left="0" w:leftChars="0" w:firstLine="0" w:firstLineChars="0"/>
              <w:jc w:val="left"/>
              <w:textAlignment w:val="baseline"/>
              <w:rPr>
                <w:rFonts w:hint="eastAsia" w:ascii="宋体" w:hAnsi="宋体" w:eastAsia="宋体" w:cs="Times New Roman"/>
                <w:b/>
                <w:bCs/>
                <w:color w:val="000000" w:themeColor="text1"/>
                <w:kern w:val="0"/>
                <w:sz w:val="22"/>
                <w14:textFill>
                  <w14:solidFill>
                    <w14:schemeClr w14:val="tx1"/>
                  </w14:solidFill>
                </w14:textFill>
              </w:rPr>
            </w:pPr>
            <w:r>
              <w:rPr>
                <w:rFonts w:hint="eastAsia" w:ascii="宋体" w:hAnsi="宋体" w:eastAsia="宋体" w:cs="Times New Roman"/>
                <w:b/>
                <w:bCs/>
                <w:color w:val="000000" w:themeColor="text1"/>
                <w:kern w:val="0"/>
                <w:sz w:val="22"/>
                <w14:textFill>
                  <w14:solidFill>
                    <w14:schemeClr w14:val="tx1"/>
                  </w14:solidFill>
                </w14:textFill>
              </w:rPr>
              <w:t>保洁</w:t>
            </w:r>
            <w:r>
              <w:rPr>
                <w:rFonts w:hint="eastAsia" w:ascii="宋体" w:hAnsi="宋体" w:eastAsia="宋体" w:cs="Times New Roman"/>
                <w:b/>
                <w:bCs/>
                <w:color w:val="000000" w:themeColor="text1"/>
                <w:kern w:val="0"/>
                <w:sz w:val="22"/>
                <w:lang w:eastAsia="zh-CN"/>
                <w14:textFill>
                  <w14:solidFill>
                    <w14:schemeClr w14:val="tx1"/>
                  </w14:solidFill>
                </w14:textFill>
              </w:rPr>
              <w:t>主管相关情况（</w:t>
            </w:r>
            <w:r>
              <w:rPr>
                <w:rFonts w:hint="eastAsia" w:ascii="宋体" w:hAnsi="宋体" w:eastAsia="宋体" w:cs="Times New Roman"/>
                <w:b/>
                <w:bCs/>
                <w:color w:val="000000" w:themeColor="text1"/>
                <w:kern w:val="0"/>
                <w:sz w:val="22"/>
                <w:lang w:val="en-US" w:eastAsia="zh-CN"/>
                <w14:textFill>
                  <w14:solidFill>
                    <w14:schemeClr w14:val="tx1"/>
                  </w14:solidFill>
                </w14:textFill>
              </w:rPr>
              <w:t>1</w:t>
            </w:r>
            <w:r>
              <w:rPr>
                <w:rFonts w:hint="eastAsia" w:ascii="宋体" w:hAnsi="宋体" w:eastAsia="宋体" w:cs="Times New Roman"/>
                <w:b/>
                <w:bCs/>
                <w:color w:val="000000" w:themeColor="text1"/>
                <w:kern w:val="0"/>
                <w:sz w:val="22"/>
                <w:lang w:eastAsia="zh-CN"/>
                <w14:textFill>
                  <w14:solidFill>
                    <w14:schemeClr w14:val="tx1"/>
                  </w14:solidFill>
                </w14:textFill>
              </w:rPr>
              <w:t>分）</w:t>
            </w:r>
            <w:r>
              <w:rPr>
                <w:rFonts w:hint="eastAsia" w:ascii="宋体" w:hAnsi="宋体" w:eastAsia="宋体" w:cs="Times New Roman"/>
                <w:b/>
                <w:bCs/>
                <w:color w:val="000000" w:themeColor="text1"/>
                <w:kern w:val="0"/>
                <w:sz w:val="22"/>
                <w14:textFill>
                  <w14:solidFill>
                    <w14:schemeClr w14:val="tx1"/>
                  </w14:solidFill>
                </w14:textFill>
              </w:rPr>
              <w:t>：</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具有保洁负责人3年及以上工作经历</w:t>
            </w:r>
            <w:r>
              <w:rPr>
                <w:rFonts w:hint="eastAsia" w:ascii="宋体" w:hAnsi="宋体" w:eastAsia="宋体" w:cs="宋体"/>
                <w:color w:val="000000" w:themeColor="text1"/>
                <w:kern w:val="2"/>
                <w:sz w:val="21"/>
                <w:szCs w:val="21"/>
                <w:lang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r>
              <w:rPr>
                <w:rFonts w:hint="eastAsia" w:ascii="宋体" w:hAnsi="宋体" w:eastAsia="宋体" w:cs="宋体"/>
                <w:color w:val="000000" w:themeColor="text1"/>
                <w:kern w:val="2"/>
                <w:sz w:val="21"/>
                <w:szCs w:val="21"/>
                <w:lang w:bidi="ar"/>
                <w14:textFill>
                  <w14:solidFill>
                    <w14:schemeClr w14:val="tx1"/>
                  </w14:solidFill>
                </w14:textFill>
              </w:rPr>
              <w:t>分</w:t>
            </w:r>
            <w:r>
              <w:rPr>
                <w:rFonts w:hint="eastAsia" w:ascii="宋体" w:hAnsi="宋体" w:cs="宋体"/>
                <w:color w:val="000000" w:themeColor="text1"/>
                <w:kern w:val="2"/>
                <w:sz w:val="21"/>
                <w:szCs w:val="21"/>
                <w:lang w:eastAsia="zh-CN" w:bidi="ar"/>
                <w14:textFill>
                  <w14:solidFill>
                    <w14:schemeClr w14:val="tx1"/>
                  </w14:solidFill>
                </w14:textFill>
              </w:rPr>
              <w:t>。</w:t>
            </w:r>
            <w:r>
              <w:rPr>
                <w:rFonts w:hint="eastAsia" w:ascii="宋体" w:hAnsi="宋体" w:eastAsia="宋体" w:cs="Times New Roman"/>
                <w:color w:val="000000" w:themeColor="text1"/>
                <w:kern w:val="0"/>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spacing w:line="273" w:lineRule="auto"/>
              <w:rPr>
                <w:rFonts w:hint="eastAsia" w:ascii="宋体" w:hAnsi="宋体" w:eastAsia="宋体" w:cs="Times New Roman"/>
                <w:b/>
                <w:bCs/>
                <w:color w:val="000000" w:themeColor="text1"/>
                <w:sz w:val="22"/>
                <w:lang w:val="en-US" w:eastAsia="zh-CN"/>
                <w14:textFill>
                  <w14:solidFill>
                    <w14:schemeClr w14:val="tx1"/>
                  </w14:solidFill>
                </w14:textFill>
              </w:rPr>
            </w:pPr>
            <w:r>
              <w:rPr>
                <w:rFonts w:hint="eastAsia" w:ascii="宋体" w:hAnsi="宋体" w:eastAsia="宋体" w:cs="Times New Roman"/>
                <w:b/>
                <w:bCs/>
                <w:color w:val="000000" w:themeColor="text1"/>
                <w:sz w:val="22"/>
                <w:lang w:val="en-US" w:eastAsia="zh-CN"/>
                <w14:textFill>
                  <w14:solidFill>
                    <w14:schemeClr w14:val="tx1"/>
                  </w14:solidFill>
                </w14:textFill>
              </w:rPr>
              <w:t>3.工程主管相关情况（5分）：</w:t>
            </w:r>
          </w:p>
          <w:p>
            <w:pPr>
              <w:spacing w:line="273" w:lineRule="auto"/>
              <w:rPr>
                <w:rFonts w:hint="eastAsia" w:ascii="宋体" w:hAnsi="宋体" w:eastAsia="宋体" w:cs="Times New Roman"/>
                <w:color w:val="000000" w:themeColor="text1"/>
                <w:sz w:val="22"/>
                <w:lang w:eastAsia="zh-CN"/>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1）</w:t>
            </w:r>
            <w:r>
              <w:rPr>
                <w:rFonts w:hint="eastAsia" w:ascii="宋体" w:hAnsi="宋体" w:eastAsia="宋体" w:cs="Times New Roman"/>
                <w:color w:val="000000" w:themeColor="text1"/>
                <w:sz w:val="22"/>
                <w14:textFill>
                  <w14:solidFill>
                    <w14:schemeClr w14:val="tx1"/>
                  </w14:solidFill>
                </w14:textFill>
              </w:rPr>
              <w:t>专科及以上学历</w:t>
            </w:r>
            <w:r>
              <w:rPr>
                <w:rFonts w:hint="eastAsia" w:ascii="宋体" w:hAnsi="宋体" w:eastAsia="宋体" w:cs="宋体"/>
                <w:color w:val="000000" w:themeColor="text1"/>
                <w:kern w:val="2"/>
                <w:sz w:val="21"/>
                <w:szCs w:val="21"/>
                <w:lang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r>
              <w:rPr>
                <w:rFonts w:hint="eastAsia" w:ascii="宋体" w:hAnsi="宋体" w:eastAsia="宋体" w:cs="宋体"/>
                <w:color w:val="000000" w:themeColor="text1"/>
                <w:kern w:val="2"/>
                <w:sz w:val="21"/>
                <w:szCs w:val="21"/>
                <w:lang w:bidi="ar"/>
                <w14:textFill>
                  <w14:solidFill>
                    <w14:schemeClr w14:val="tx1"/>
                  </w14:solidFill>
                </w14:textFill>
              </w:rPr>
              <w:t>分</w:t>
            </w:r>
            <w:r>
              <w:rPr>
                <w:rFonts w:hint="eastAsia" w:ascii="宋体" w:hAnsi="宋体" w:eastAsia="宋体" w:cs="Times New Roman"/>
                <w:color w:val="000000" w:themeColor="text1"/>
                <w:sz w:val="22"/>
                <w:lang w:eastAsia="zh-CN"/>
                <w14:textFill>
                  <w14:solidFill>
                    <w14:schemeClr w14:val="tx1"/>
                  </w14:solidFill>
                </w14:textFill>
              </w:rPr>
              <w:t>；</w:t>
            </w:r>
          </w:p>
          <w:p>
            <w:pPr>
              <w:spacing w:line="273" w:lineRule="auto"/>
              <w:rPr>
                <w:rFonts w:hint="default" w:ascii="宋体" w:hAnsi="宋体" w:eastAsia="宋体" w:cs="Times New Roman"/>
                <w:color w:val="000000" w:themeColor="text1"/>
                <w:kern w:val="0"/>
                <w:sz w:val="22"/>
                <w:lang w:val="en-US" w:eastAsia="zh-CN"/>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2）</w:t>
            </w:r>
            <w:r>
              <w:rPr>
                <w:rFonts w:hint="eastAsia" w:ascii="宋体" w:hAnsi="宋体" w:eastAsia="宋体" w:cs="Times New Roman"/>
                <w:color w:val="000000" w:themeColor="text1"/>
                <w:kern w:val="0"/>
                <w:sz w:val="22"/>
                <w14:textFill>
                  <w14:solidFill>
                    <w14:schemeClr w14:val="tx1"/>
                  </w14:solidFill>
                </w14:textFill>
              </w:rPr>
              <w:t>须持有特种设备安全管理员证、中级及以上维修电工</w:t>
            </w:r>
            <w:r>
              <w:rPr>
                <w:rFonts w:hint="eastAsia" w:ascii="宋体" w:hAnsi="宋体" w:eastAsia="宋体" w:cs="Times New Roman"/>
                <w:color w:val="000000" w:themeColor="text1"/>
                <w:kern w:val="0"/>
                <w:sz w:val="22"/>
                <w:lang w:val="en-US" w:eastAsia="zh-CN"/>
                <w14:textFill>
                  <w14:solidFill>
                    <w14:schemeClr w14:val="tx1"/>
                  </w14:solidFill>
                </w14:textFill>
              </w:rPr>
              <w:t>1个证</w:t>
            </w:r>
            <w:r>
              <w:rPr>
                <w:rFonts w:hint="eastAsia" w:ascii="宋体" w:hAnsi="宋体" w:eastAsia="宋体" w:cs="Times New Roman"/>
                <w:color w:val="000000" w:themeColor="text1"/>
                <w:kern w:val="0"/>
                <w:sz w:val="22"/>
                <w14:textFill>
                  <w14:solidFill>
                    <w14:schemeClr w14:val="tx1"/>
                  </w14:solidFill>
                </w14:textFill>
              </w:rPr>
              <w:t>得</w:t>
            </w:r>
            <w:r>
              <w:rPr>
                <w:rFonts w:hint="eastAsia" w:ascii="宋体" w:hAnsi="宋体" w:eastAsia="宋体" w:cs="Times New Roman"/>
                <w:color w:val="000000" w:themeColor="text1"/>
                <w:kern w:val="0"/>
                <w:sz w:val="22"/>
                <w:lang w:val="en-US" w:eastAsia="zh-CN"/>
                <w14:textFill>
                  <w14:solidFill>
                    <w14:schemeClr w14:val="tx1"/>
                  </w14:solidFill>
                </w14:textFill>
              </w:rPr>
              <w:t>1</w:t>
            </w:r>
            <w:r>
              <w:rPr>
                <w:rFonts w:hint="eastAsia" w:ascii="宋体" w:hAnsi="宋体" w:eastAsia="宋体" w:cs="Times New Roman"/>
                <w:color w:val="000000" w:themeColor="text1"/>
                <w:kern w:val="0"/>
                <w:sz w:val="22"/>
                <w14:textFill>
                  <w14:solidFill>
                    <w14:schemeClr w14:val="tx1"/>
                  </w14:solidFill>
                </w14:textFill>
              </w:rPr>
              <w:t>分，</w:t>
            </w:r>
            <w:r>
              <w:rPr>
                <w:rFonts w:hint="eastAsia" w:ascii="宋体" w:hAnsi="宋体" w:eastAsia="宋体" w:cs="Times New Roman"/>
                <w:color w:val="000000" w:themeColor="text1"/>
                <w:kern w:val="0"/>
                <w:sz w:val="22"/>
                <w:lang w:eastAsia="zh-CN"/>
                <w14:textFill>
                  <w14:solidFill>
                    <w14:schemeClr w14:val="tx1"/>
                  </w14:solidFill>
                </w14:textFill>
              </w:rPr>
              <w:t>最多</w:t>
            </w:r>
            <w:r>
              <w:rPr>
                <w:rFonts w:hint="eastAsia" w:ascii="宋体" w:hAnsi="宋体" w:eastAsia="宋体" w:cs="Times New Roman"/>
                <w:color w:val="000000" w:themeColor="text1"/>
                <w:kern w:val="0"/>
                <w:sz w:val="22"/>
                <w:lang w:val="en-US" w:eastAsia="zh-CN"/>
                <w14:textFill>
                  <w14:solidFill>
                    <w14:schemeClr w14:val="tx1"/>
                  </w14:solidFill>
                </w14:textFill>
              </w:rPr>
              <w:t>3分</w:t>
            </w:r>
            <w:r>
              <w:rPr>
                <w:rFonts w:hint="eastAsia" w:ascii="宋体" w:hAnsi="宋体" w:cs="Times New Roman"/>
                <w:color w:val="000000" w:themeColor="text1"/>
                <w:kern w:val="0"/>
                <w:sz w:val="22"/>
                <w:lang w:val="en-US" w:eastAsia="zh-CN"/>
                <w14:textFill>
                  <w14:solidFill>
                    <w14:schemeClr w14:val="tx1"/>
                  </w14:solidFill>
                </w14:textFill>
              </w:rPr>
              <w:t>；</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sz w:val="22"/>
                <w:lang w:val="en-US" w:eastAsia="zh-CN"/>
                <w14:textFill>
                  <w14:solidFill>
                    <w14:schemeClr w14:val="tx1"/>
                  </w14:solidFill>
                </w14:textFill>
              </w:rPr>
              <w:t>3）</w:t>
            </w:r>
            <w:r>
              <w:rPr>
                <w:rFonts w:hint="eastAsia" w:ascii="宋体" w:hAnsi="宋体" w:eastAsia="宋体" w:cs="Times New Roman"/>
                <w:color w:val="000000" w:themeColor="text1"/>
                <w:sz w:val="22"/>
                <w14:textFill>
                  <w14:solidFill>
                    <w14:schemeClr w14:val="tx1"/>
                  </w14:solidFill>
                </w14:textFill>
              </w:rPr>
              <w:t>具备两年</w:t>
            </w:r>
            <w:r>
              <w:rPr>
                <w:rFonts w:hint="eastAsia" w:hAnsi="宋体" w:cs="Times New Roman"/>
                <w:color w:val="000000" w:themeColor="text1"/>
                <w:sz w:val="22"/>
                <w:lang w:eastAsia="zh-CN"/>
                <w14:textFill>
                  <w14:solidFill>
                    <w14:schemeClr w14:val="tx1"/>
                  </w14:solidFill>
                </w14:textFill>
              </w:rPr>
              <w:t>及</w:t>
            </w:r>
            <w:r>
              <w:rPr>
                <w:rFonts w:hint="eastAsia" w:ascii="宋体" w:hAnsi="宋体" w:eastAsia="宋体" w:cs="Times New Roman"/>
                <w:color w:val="000000" w:themeColor="text1"/>
                <w:sz w:val="22"/>
                <w14:textFill>
                  <w14:solidFill>
                    <w14:schemeClr w14:val="tx1"/>
                  </w14:solidFill>
                </w14:textFill>
              </w:rPr>
              <w:t>以上工程管理服务经验</w:t>
            </w:r>
            <w:r>
              <w:rPr>
                <w:rFonts w:hint="eastAsia" w:ascii="宋体" w:hAnsi="宋体" w:eastAsia="宋体" w:cs="宋体"/>
                <w:color w:val="000000" w:themeColor="text1"/>
                <w:kern w:val="2"/>
                <w:sz w:val="21"/>
                <w:szCs w:val="21"/>
                <w:lang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r>
              <w:rPr>
                <w:rFonts w:hint="eastAsia" w:ascii="宋体" w:hAnsi="宋体" w:eastAsia="宋体" w:cs="宋体"/>
                <w:color w:val="000000" w:themeColor="text1"/>
                <w:kern w:val="2"/>
                <w:sz w:val="21"/>
                <w:szCs w:val="21"/>
                <w:lang w:bidi="ar"/>
                <w14:textFill>
                  <w14:solidFill>
                    <w14:schemeClr w14:val="tx1"/>
                  </w14:solidFill>
                </w14:textFill>
              </w:rPr>
              <w:t>分</w:t>
            </w:r>
            <w:r>
              <w:rPr>
                <w:rFonts w:hint="eastAsia" w:ascii="宋体" w:hAnsi="宋体" w:cs="宋体"/>
                <w:color w:val="000000" w:themeColor="text1"/>
                <w:kern w:val="2"/>
                <w:sz w:val="21"/>
                <w:szCs w:val="21"/>
                <w:lang w:eastAsia="zh-CN" w:bidi="ar"/>
                <w14:textFill>
                  <w14:solidFill>
                    <w14:schemeClr w14:val="tx1"/>
                  </w14:solidFill>
                </w14:textFill>
              </w:rPr>
              <w:t>。</w:t>
            </w:r>
            <w:r>
              <w:rPr>
                <w:rFonts w:hint="eastAsia" w:ascii="宋体" w:hAnsi="宋体" w:eastAsia="宋体" w:cs="Times New Roman"/>
                <w:color w:val="000000" w:themeColor="text1"/>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上述须提供相应证明材料，拟派人</w:t>
            </w:r>
            <w:r>
              <w:rPr>
                <w:rFonts w:hint="eastAsia" w:ascii="宋体" w:hAnsi="宋体" w:cs="宋体"/>
                <w:color w:val="000000" w:themeColor="text1"/>
                <w:kern w:val="2"/>
                <w:sz w:val="21"/>
                <w:szCs w:val="21"/>
                <w:lang w:val="en-US" w:eastAsia="zh-CN" w:bidi="ar-SA"/>
                <w14:textFill>
                  <w14:solidFill>
                    <w14:schemeClr w14:val="tx1"/>
                  </w14:solidFill>
                </w14:textFill>
              </w:rPr>
              <w:t>员</w:t>
            </w:r>
            <w:r>
              <w:rPr>
                <w:rFonts w:hint="eastAsia" w:ascii="宋体" w:hAnsi="宋体" w:eastAsia="宋体" w:cs="宋体"/>
                <w:color w:val="000000" w:themeColor="text1"/>
                <w:kern w:val="2"/>
                <w:sz w:val="21"/>
                <w:szCs w:val="21"/>
                <w:lang w:val="en-US" w:eastAsia="zh-CN" w:bidi="ar-SA"/>
                <w14:textFill>
                  <w14:solidFill>
                    <w14:schemeClr w14:val="tx1"/>
                  </w14:solidFill>
                </w14:textFill>
              </w:rPr>
              <w:t>须提供在本单位近三个月中任意一月的社保证明，否则不得分。</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8</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环境、会议、工程部门负责人综合情况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p>
        </w:tc>
        <w:tc>
          <w:tcPr>
            <w:tcW w:w="4897" w:type="dxa"/>
            <w:vAlign w:val="center"/>
          </w:tcPr>
          <w:p>
            <w:pPr>
              <w:pStyle w:val="964"/>
              <w:keepNext w:val="0"/>
              <w:keepLines w:val="0"/>
              <w:pageBreakBefore w:val="0"/>
              <w:numPr>
                <w:ilvl w:val="0"/>
                <w:numId w:val="5"/>
              </w:numPr>
              <w:kinsoku/>
              <w:wordWrap/>
              <w:overflowPunct/>
              <w:topLinePunct w:val="0"/>
              <w:autoSpaceDE/>
              <w:autoSpaceDN/>
              <w:bidi w:val="0"/>
              <w:adjustRightInd/>
              <w:spacing w:line="300" w:lineRule="auto"/>
              <w:ind w:left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餐饮部门负责人综合情况</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hAnsi="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分）</w:t>
            </w:r>
          </w:p>
          <w:p>
            <w:pPr>
              <w:numPr>
                <w:ilvl w:val="0"/>
                <w:numId w:val="6"/>
              </w:numPr>
              <w:spacing w:line="273"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专科及以上学历</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1分；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具有</w:t>
            </w:r>
            <w:r>
              <w:rPr>
                <w:rFonts w:hint="eastAsia" w:ascii="宋体" w:hAnsi="宋体" w:eastAsia="宋体" w:cs="宋体"/>
                <w:color w:val="000000" w:themeColor="text1"/>
                <w:sz w:val="21"/>
                <w:szCs w:val="21"/>
                <w14:textFill>
                  <w14:solidFill>
                    <w14:schemeClr w14:val="tx1"/>
                  </w14:solidFill>
                </w14:textFill>
              </w:rPr>
              <w:t>有食堂管理经验3年（含）以上</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1分。</w:t>
            </w:r>
            <w:r>
              <w:rPr>
                <w:rFonts w:hint="eastAsia" w:ascii="宋体" w:hAnsi="宋体" w:eastAsia="宋体" w:cs="Times New Roman"/>
                <w:color w:val="000000" w:themeColor="text1"/>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pStyle w:val="964"/>
              <w:keepNext w:val="0"/>
              <w:keepLines w:val="0"/>
              <w:pageBreakBefore w:val="0"/>
              <w:numPr>
                <w:ilvl w:val="0"/>
                <w:numId w:val="5"/>
              </w:numPr>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餐饮部门厨师长综合情况</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分）</w:t>
            </w:r>
          </w:p>
          <w:p>
            <w:pPr>
              <w:pStyle w:val="964"/>
              <w:keepNext w:val="0"/>
              <w:keepLines w:val="0"/>
              <w:pageBreakBefore w:val="0"/>
              <w:numPr>
                <w:ilvl w:val="0"/>
                <w:numId w:val="7"/>
              </w:numPr>
              <w:kinsoku/>
              <w:wordWrap/>
              <w:overflowPunct/>
              <w:topLinePunct w:val="0"/>
              <w:autoSpaceDE/>
              <w:autoSpaceDN/>
              <w:bidi w:val="0"/>
              <w:adjustRightInd/>
              <w:spacing w:line="300" w:lineRule="auto"/>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从事相关行业五年以上</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2分；</w:t>
            </w:r>
          </w:p>
          <w:p>
            <w:pPr>
              <w:pStyle w:val="964"/>
              <w:keepNext w:val="0"/>
              <w:keepLines w:val="0"/>
              <w:pageBreakBefore w:val="0"/>
              <w:numPr>
                <w:ilvl w:val="0"/>
                <w:numId w:val="7"/>
              </w:numPr>
              <w:kinsoku/>
              <w:wordWrap/>
              <w:overflowPunct/>
              <w:topLinePunct w:val="0"/>
              <w:autoSpaceDE/>
              <w:autoSpaceDN/>
              <w:bidi w:val="0"/>
              <w:adjustRightInd/>
              <w:spacing w:line="300" w:lineRule="auto"/>
              <w:ind w:left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具有</w:t>
            </w:r>
            <w:r>
              <w:rPr>
                <w:rFonts w:hint="eastAsia" w:ascii="宋体" w:hAnsi="宋体" w:eastAsia="宋体" w:cs="宋体"/>
                <w:color w:val="000000" w:themeColor="text1"/>
                <w:sz w:val="21"/>
                <w:szCs w:val="21"/>
                <w14:textFill>
                  <w14:solidFill>
                    <w14:schemeClr w14:val="tx1"/>
                  </w14:solidFill>
                </w14:textFill>
              </w:rPr>
              <w:t>有二级厨师（技师）及以上资质证书</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2分。</w:t>
            </w:r>
          </w:p>
          <w:p>
            <w:pPr>
              <w:pStyle w:val="964"/>
              <w:keepNext w:val="0"/>
              <w:keepLines w:val="0"/>
              <w:pageBreakBefore w:val="0"/>
              <w:numPr>
                <w:ilvl w:val="0"/>
                <w:numId w:val="5"/>
              </w:numPr>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餐饮部门炉台厨师、面点（兼蒸笼）师等其他餐饮人员综合情况</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5分</w:t>
            </w:r>
            <w:r>
              <w:rPr>
                <w:rFonts w:hint="eastAsia" w:ascii="宋体" w:hAnsi="宋体" w:eastAsia="宋体" w:cs="宋体"/>
                <w:b/>
                <w:bCs/>
                <w:color w:val="000000" w:themeColor="text1"/>
                <w:sz w:val="21"/>
                <w:szCs w:val="21"/>
                <w:lang w:eastAsia="zh-CN"/>
                <w14:textFill>
                  <w14:solidFill>
                    <w14:schemeClr w14:val="tx1"/>
                  </w14:solidFill>
                </w14:textFill>
              </w:rPr>
              <w:t>）：</w:t>
            </w:r>
          </w:p>
          <w:p>
            <w:pPr>
              <w:numPr>
                <w:ilvl w:val="0"/>
                <w:numId w:val="8"/>
              </w:numPr>
              <w:spacing w:line="273"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具备三级及以上厨师证</w:t>
            </w:r>
            <w:r>
              <w:rPr>
                <w:rFonts w:hint="eastAsia" w:ascii="宋体" w:hAnsi="宋体" w:eastAsia="宋体" w:cs="宋体"/>
                <w:color w:val="000000" w:themeColor="text1"/>
                <w:sz w:val="21"/>
                <w:szCs w:val="21"/>
                <w:lang w:val="en-US" w:eastAsia="zh-CN"/>
                <w14:textFill>
                  <w14:solidFill>
                    <w14:schemeClr w14:val="tx1"/>
                  </w14:solidFill>
                </w14:textFill>
              </w:rPr>
              <w:t>1个证</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1分，最多3分</w:t>
            </w:r>
            <w:r>
              <w:rPr>
                <w:rFonts w:hint="eastAsia" w:ascii="宋体" w:hAnsi="宋体" w:eastAsia="宋体" w:cs="宋体"/>
                <w:color w:val="000000" w:themeColor="text1"/>
                <w:sz w:val="21"/>
                <w:szCs w:val="21"/>
                <w:lang w:eastAsia="zh-CN"/>
                <w14:textFill>
                  <w14:solidFill>
                    <w14:schemeClr w14:val="tx1"/>
                  </w14:solidFill>
                </w14:textFill>
              </w:rPr>
              <w:t>；</w:t>
            </w:r>
          </w:p>
          <w:p>
            <w:pPr>
              <w:numPr>
                <w:ilvl w:val="0"/>
                <w:numId w:val="8"/>
              </w:numPr>
              <w:spacing w:line="273"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具备三级及以上面店师证</w:t>
            </w:r>
            <w:r>
              <w:rPr>
                <w:rFonts w:hint="eastAsia" w:ascii="宋体" w:hAnsi="宋体" w:eastAsia="宋体" w:cs="宋体"/>
                <w:color w:val="000000" w:themeColor="text1"/>
                <w:sz w:val="21"/>
                <w:szCs w:val="21"/>
                <w:lang w:val="en-US" w:eastAsia="zh-CN"/>
                <w14:textFill>
                  <w14:solidFill>
                    <w14:schemeClr w14:val="tx1"/>
                  </w14:solidFill>
                </w14:textFill>
              </w:rPr>
              <w:t>1个证</w:t>
            </w:r>
            <w:r>
              <w:rPr>
                <w:rFonts w:hint="eastAsia" w:ascii="宋体" w:hAnsi="宋体" w:eastAsia="宋体" w:cs="宋体"/>
                <w:color w:val="000000" w:themeColor="text1"/>
                <w:sz w:val="21"/>
                <w:szCs w:val="21"/>
                <w14:textFill>
                  <w14:solidFill>
                    <w14:schemeClr w14:val="tx1"/>
                  </w14:solidFill>
                </w14:textFill>
              </w:rPr>
              <w:t>得1分</w:t>
            </w:r>
            <w:r>
              <w:rPr>
                <w:rFonts w:hint="eastAsia" w:ascii="宋体" w:hAnsi="宋体" w:eastAsia="宋体" w:cs="宋体"/>
                <w:color w:val="000000" w:themeColor="text1"/>
                <w:sz w:val="21"/>
                <w:szCs w:val="21"/>
                <w:lang w:eastAsia="zh-CN"/>
                <w14:textFill>
                  <w14:solidFill>
                    <w14:schemeClr w14:val="tx1"/>
                  </w14:solidFill>
                </w14:textFill>
              </w:rPr>
              <w:t>，最多</w:t>
            </w:r>
            <w:r>
              <w:rPr>
                <w:rFonts w:hint="eastAsia" w:ascii="宋体" w:hAnsi="宋体" w:eastAsia="宋体" w:cs="宋体"/>
                <w:color w:val="000000" w:themeColor="text1"/>
                <w:sz w:val="21"/>
                <w:szCs w:val="21"/>
                <w:lang w:val="en-US" w:eastAsia="zh-CN"/>
                <w14:textFill>
                  <w14:solidFill>
                    <w14:schemeClr w14:val="tx1"/>
                  </w14:solidFill>
                </w14:textFill>
              </w:rPr>
              <w:t>2分。</w:t>
            </w:r>
          </w:p>
          <w:p>
            <w:pPr>
              <w:numPr>
                <w:ilvl w:val="0"/>
                <w:numId w:val="0"/>
              </w:numPr>
              <w:spacing w:line="273"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备注：上述须提供相应证明材料，拟派项目负责人须提供在本单位近三个月中任意一月的社保证明，否则不得分。 </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11</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Times New Roman"/>
                <w:color w:val="000000" w:themeColor="text1"/>
                <w:kern w:val="0"/>
                <w:sz w:val="22"/>
                <w:lang w:eastAsia="zh-CN"/>
                <w14:textFill>
                  <w14:solidFill>
                    <w14:schemeClr w14:val="tx1"/>
                  </w14:solidFill>
                </w14:textFill>
              </w:rPr>
            </w:pPr>
            <w:r>
              <w:rPr>
                <w:rFonts w:hint="eastAsia" w:ascii="宋体" w:hAnsi="宋体" w:eastAsia="宋体" w:cs="Times New Roman"/>
                <w:color w:val="000000" w:themeColor="text1"/>
                <w:sz w:val="22"/>
                <w14:textFill>
                  <w14:solidFill>
                    <w14:schemeClr w14:val="tx1"/>
                  </w14:solidFill>
                </w14:textFill>
              </w:rPr>
              <w:t>餐饮部门</w:t>
            </w:r>
            <w:r>
              <w:rPr>
                <w:rFonts w:hint="eastAsia" w:ascii="宋体" w:hAnsi="宋体" w:eastAsia="宋体" w:cs="Times New Roman"/>
                <w:color w:val="000000" w:themeColor="text1"/>
                <w:sz w:val="22"/>
                <w:lang w:eastAsia="zh-CN"/>
                <w14:textFill>
                  <w14:solidFill>
                    <w14:schemeClr w14:val="tx1"/>
                  </w14:solidFill>
                </w14:textFill>
              </w:rPr>
              <w:t>人员相关情况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7</w:t>
            </w:r>
          </w:p>
        </w:tc>
        <w:tc>
          <w:tcPr>
            <w:tcW w:w="4897" w:type="dxa"/>
            <w:vAlign w:val="center"/>
          </w:tcPr>
          <w:p>
            <w:pPr>
              <w:pStyle w:val="964"/>
              <w:keepNext w:val="0"/>
              <w:keepLines w:val="0"/>
              <w:pageBreakBefore w:val="0"/>
              <w:numPr>
                <w:ilvl w:val="0"/>
                <w:numId w:val="9"/>
              </w:numPr>
              <w:kinsoku/>
              <w:wordWrap/>
              <w:overflowPunct/>
              <w:topLinePunct w:val="0"/>
              <w:autoSpaceDE/>
              <w:autoSpaceDN/>
              <w:bidi w:val="0"/>
              <w:adjustRightInd/>
              <w:spacing w:line="300" w:lineRule="auto"/>
              <w:ind w:leftChars="0"/>
              <w:textAlignment w:val="auto"/>
              <w:rPr>
                <w:rFonts w:hint="eastAsia" w:ascii="宋体" w:hAnsi="宋体" w:eastAsia="宋体" w:cs="Times New Roman"/>
                <w:b/>
                <w:bCs/>
                <w:color w:val="000000" w:themeColor="text1"/>
                <w:kern w:val="0"/>
                <w:sz w:val="22"/>
                <w:lang w:eastAsia="zh-CN"/>
                <w14:textFill>
                  <w14:solidFill>
                    <w14:schemeClr w14:val="tx1"/>
                  </w14:solidFill>
                </w14:textFill>
              </w:rPr>
            </w:pPr>
            <w:r>
              <w:rPr>
                <w:rFonts w:hint="eastAsia" w:ascii="宋体" w:hAnsi="宋体" w:eastAsia="宋体" w:cs="Times New Roman"/>
                <w:b/>
                <w:bCs/>
                <w:color w:val="000000" w:themeColor="text1"/>
                <w:sz w:val="22"/>
                <w14:textFill>
                  <w14:solidFill>
                    <w14:schemeClr w14:val="tx1"/>
                  </w14:solidFill>
                </w14:textFill>
              </w:rPr>
              <w:t>安保部门负责人</w:t>
            </w:r>
            <w:r>
              <w:rPr>
                <w:rFonts w:hint="eastAsia" w:ascii="宋体" w:hAnsi="宋体" w:eastAsia="宋体" w:cs="Times New Roman"/>
                <w:b/>
                <w:bCs/>
                <w:color w:val="000000" w:themeColor="text1"/>
                <w:kern w:val="0"/>
                <w:sz w:val="22"/>
                <w14:textFill>
                  <w14:solidFill>
                    <w14:schemeClr w14:val="tx1"/>
                  </w14:solidFill>
                </w14:textFill>
              </w:rPr>
              <w:t>综合情况</w:t>
            </w:r>
            <w:r>
              <w:rPr>
                <w:rFonts w:hint="eastAsia" w:ascii="宋体" w:hAnsi="宋体" w:eastAsia="宋体" w:cs="Times New Roman"/>
                <w:b/>
                <w:bCs/>
                <w:color w:val="000000" w:themeColor="text1"/>
                <w:kern w:val="0"/>
                <w:sz w:val="22"/>
                <w:lang w:eastAsia="zh-CN"/>
                <w14:textFill>
                  <w14:solidFill>
                    <w14:schemeClr w14:val="tx1"/>
                  </w14:solidFill>
                </w14:textFill>
              </w:rPr>
              <w:t>（</w:t>
            </w:r>
            <w:r>
              <w:rPr>
                <w:rFonts w:hint="eastAsia" w:hAnsi="宋体" w:cs="Times New Roman"/>
                <w:b/>
                <w:bCs/>
                <w:color w:val="000000" w:themeColor="text1"/>
                <w:kern w:val="0"/>
                <w:sz w:val="22"/>
                <w:lang w:val="en-US" w:eastAsia="zh-CN"/>
                <w14:textFill>
                  <w14:solidFill>
                    <w14:schemeClr w14:val="tx1"/>
                  </w14:solidFill>
                </w14:textFill>
              </w:rPr>
              <w:t>3</w:t>
            </w:r>
            <w:r>
              <w:rPr>
                <w:rFonts w:hint="eastAsia" w:ascii="宋体" w:hAnsi="宋体" w:eastAsia="宋体" w:cs="Times New Roman"/>
                <w:b/>
                <w:bCs/>
                <w:color w:val="000000" w:themeColor="text1"/>
                <w:kern w:val="0"/>
                <w:sz w:val="22"/>
                <w:lang w:val="en-US" w:eastAsia="zh-CN"/>
                <w14:textFill>
                  <w14:solidFill>
                    <w14:schemeClr w14:val="tx1"/>
                  </w14:solidFill>
                </w14:textFill>
              </w:rPr>
              <w:t>分</w:t>
            </w:r>
            <w:r>
              <w:rPr>
                <w:rFonts w:hint="eastAsia" w:ascii="宋体" w:hAnsi="宋体" w:eastAsia="宋体" w:cs="Times New Roman"/>
                <w:b/>
                <w:bCs/>
                <w:color w:val="000000" w:themeColor="text1"/>
                <w:kern w:val="0"/>
                <w:sz w:val="22"/>
                <w:lang w:eastAsia="zh-CN"/>
                <w14:textFill>
                  <w14:solidFill>
                    <w14:schemeClr w14:val="tx1"/>
                  </w14:solidFill>
                </w14:textFill>
              </w:rPr>
              <w:t>）：</w:t>
            </w:r>
          </w:p>
          <w:p>
            <w:pPr>
              <w:spacing w:line="273" w:lineRule="auto"/>
              <w:jc w:val="left"/>
              <w:rPr>
                <w:rFonts w:hint="default" w:ascii="宋体" w:hAnsi="宋体" w:eastAsia="宋体" w:cs="Times New Roman"/>
                <w:color w:val="000000" w:themeColor="text1"/>
                <w:kern w:val="0"/>
                <w:sz w:val="22"/>
                <w:lang w:val="en-US" w:eastAsia="zh-CN"/>
                <w14:textFill>
                  <w14:solidFill>
                    <w14:schemeClr w14:val="tx1"/>
                  </w14:solidFill>
                </w14:textFill>
              </w:rPr>
            </w:pPr>
            <w:r>
              <w:rPr>
                <w:rFonts w:hint="eastAsia" w:ascii="宋体" w:hAnsi="宋体" w:eastAsia="宋体" w:cs="Times New Roman"/>
                <w:color w:val="000000" w:themeColor="text1"/>
                <w:kern w:val="0"/>
                <w:sz w:val="22"/>
                <w:lang w:val="en-US" w:eastAsia="zh-CN"/>
                <w14:textFill>
                  <w14:solidFill>
                    <w14:schemeClr w14:val="tx1"/>
                  </w14:solidFill>
                </w14:textFill>
              </w:rPr>
              <w:t>1）</w:t>
            </w:r>
            <w:r>
              <w:rPr>
                <w:rFonts w:hint="eastAsia" w:ascii="宋体" w:hAnsi="宋体" w:eastAsia="宋体" w:cs="Times New Roman"/>
                <w:color w:val="000000" w:themeColor="text1"/>
                <w:kern w:val="0"/>
                <w:sz w:val="22"/>
                <w14:textFill>
                  <w14:solidFill>
                    <w14:schemeClr w14:val="tx1"/>
                  </w14:solidFill>
                </w14:textFill>
              </w:rPr>
              <w:t>具有三级及以上保安员证书</w:t>
            </w:r>
            <w:r>
              <w:rPr>
                <w:rFonts w:hint="eastAsia" w:ascii="宋体" w:hAnsi="宋体" w:eastAsia="宋体" w:cs="Times New Roman"/>
                <w:color w:val="000000" w:themeColor="text1"/>
                <w:kern w:val="0"/>
                <w:sz w:val="22"/>
                <w:lang w:eastAsia="zh-CN"/>
                <w14:textFill>
                  <w14:solidFill>
                    <w14:schemeClr w14:val="tx1"/>
                  </w14:solidFill>
                </w14:textFill>
              </w:rPr>
              <w:t>得</w:t>
            </w:r>
            <w:r>
              <w:rPr>
                <w:rFonts w:hint="eastAsia" w:ascii="宋体" w:hAnsi="宋体" w:eastAsia="宋体" w:cs="Times New Roman"/>
                <w:color w:val="000000" w:themeColor="text1"/>
                <w:kern w:val="0"/>
                <w:sz w:val="22"/>
                <w:lang w:val="en-US" w:eastAsia="zh-CN"/>
                <w14:textFill>
                  <w14:solidFill>
                    <w14:schemeClr w14:val="tx1"/>
                  </w14:solidFill>
                </w14:textFill>
              </w:rPr>
              <w:t>1分；</w:t>
            </w:r>
          </w:p>
          <w:p>
            <w:pPr>
              <w:pStyle w:val="964"/>
              <w:keepNext w:val="0"/>
              <w:keepLines w:val="0"/>
              <w:pageBreakBefore w:val="0"/>
              <w:numPr>
                <w:ilvl w:val="0"/>
                <w:numId w:val="0"/>
              </w:numPr>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2"/>
                <w:lang w:val="en-US" w:eastAsia="zh-CN"/>
                <w14:textFill>
                  <w14:solidFill>
                    <w14:schemeClr w14:val="tx1"/>
                  </w14:solidFill>
                </w14:textFill>
              </w:rPr>
              <w:t>2</w:t>
            </w:r>
            <w:r>
              <w:rPr>
                <w:rFonts w:hint="eastAsia" w:ascii="宋体" w:hAnsi="宋体" w:eastAsia="宋体" w:cs="Times New Roman"/>
                <w:color w:val="000000" w:themeColor="text1"/>
                <w:kern w:val="0"/>
                <w:sz w:val="22"/>
                <w14:textFill>
                  <w14:solidFill>
                    <w14:schemeClr w14:val="tx1"/>
                  </w14:solidFill>
                </w14:textFill>
              </w:rPr>
              <w:t>）</w:t>
            </w:r>
            <w:r>
              <w:rPr>
                <w:rFonts w:hint="eastAsia" w:hAnsi="宋体" w:cs="Times New Roman"/>
                <w:color w:val="000000" w:themeColor="text1"/>
                <w:kern w:val="0"/>
                <w:sz w:val="22"/>
                <w:lang w:eastAsia="zh-CN"/>
                <w14:textFill>
                  <w14:solidFill>
                    <w14:schemeClr w14:val="tx1"/>
                  </w14:solidFill>
                </w14:textFill>
              </w:rPr>
              <w:t>具有</w:t>
            </w:r>
            <w:r>
              <w:rPr>
                <w:rFonts w:hint="eastAsia" w:ascii="宋体" w:hAnsi="宋体" w:eastAsia="宋体" w:cs="Times New Roman"/>
                <w:color w:val="000000" w:themeColor="text1"/>
                <w:kern w:val="0"/>
                <w:sz w:val="22"/>
                <w14:textFill>
                  <w14:solidFill>
                    <w14:schemeClr w14:val="tx1"/>
                  </w14:solidFill>
                </w14:textFill>
              </w:rPr>
              <w:t>3年及以上类似岗位经历</w:t>
            </w:r>
            <w:r>
              <w:rPr>
                <w:rFonts w:hint="eastAsia" w:ascii="宋体" w:hAnsi="宋体" w:eastAsia="宋体" w:cs="Times New Roman"/>
                <w:color w:val="000000" w:themeColor="text1"/>
                <w:kern w:val="0"/>
                <w:sz w:val="22"/>
                <w:lang w:eastAsia="zh-CN"/>
                <w14:textFill>
                  <w14:solidFill>
                    <w14:schemeClr w14:val="tx1"/>
                  </w14:solidFill>
                </w14:textFill>
              </w:rPr>
              <w:t>得</w:t>
            </w:r>
            <w:r>
              <w:rPr>
                <w:rFonts w:hint="eastAsia" w:ascii="宋体" w:hAnsi="宋体" w:eastAsia="宋体" w:cs="Times New Roman"/>
                <w:color w:val="000000" w:themeColor="text1"/>
                <w:kern w:val="0"/>
                <w:sz w:val="22"/>
                <w:lang w:val="en-US" w:eastAsia="zh-CN"/>
                <w14:textFill>
                  <w14:solidFill>
                    <w14:schemeClr w14:val="tx1"/>
                  </w14:solidFill>
                </w14:textFill>
              </w:rPr>
              <w:t>1分</w:t>
            </w:r>
            <w:r>
              <w:rPr>
                <w:rFonts w:hint="eastAsia" w:hAnsi="宋体" w:cs="Times New Roman"/>
                <w:color w:val="000000" w:themeColor="text1"/>
                <w:kern w:val="0"/>
                <w:sz w:val="22"/>
                <w:lang w:val="en-US" w:eastAsia="zh-CN"/>
                <w14:textFill>
                  <w14:solidFill>
                    <w14:schemeClr w14:val="tx1"/>
                  </w14:solidFill>
                </w14:textFill>
              </w:rPr>
              <w:t>；</w:t>
            </w:r>
            <w:r>
              <w:rPr>
                <w:rFonts w:hint="eastAsia" w:ascii="宋体" w:hAnsi="宋体" w:eastAsia="宋体" w:cs="Times New Roman"/>
                <w:color w:val="000000" w:themeColor="text1"/>
                <w:sz w:val="22"/>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提供业绩合同，如业绩合同不能体现人员信息还需同时提供</w:t>
            </w:r>
            <w:r>
              <w:rPr>
                <w:rFonts w:hint="eastAsia" w:hAnsi="宋体" w:cs="宋体"/>
                <w:color w:val="000000" w:themeColor="text1"/>
                <w:kern w:val="2"/>
                <w:sz w:val="21"/>
                <w:szCs w:val="21"/>
                <w:lang w:val="en-US" w:eastAsia="zh-CN" w:bidi="ar-SA"/>
                <w14:textFill>
                  <w14:solidFill>
                    <w14:schemeClr w14:val="tx1"/>
                  </w14:solidFill>
                </w14:textFill>
              </w:rPr>
              <w:t>有时间信息的</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业主证明）</w:t>
            </w:r>
          </w:p>
          <w:p>
            <w:pPr>
              <w:pStyle w:val="964"/>
              <w:keepNext w:val="0"/>
              <w:keepLines w:val="0"/>
              <w:pageBreakBefore w:val="0"/>
              <w:numPr>
                <w:ilvl w:val="0"/>
                <w:numId w:val="0"/>
              </w:numPr>
              <w:kinsoku/>
              <w:wordWrap/>
              <w:overflowPunct/>
              <w:topLinePunct w:val="0"/>
              <w:autoSpaceDE/>
              <w:autoSpaceDN/>
              <w:bidi w:val="0"/>
              <w:adjustRightInd/>
              <w:spacing w:line="300" w:lineRule="auto"/>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hAnsi="宋体" w:cs="宋体"/>
                <w:color w:val="000000" w:themeColor="text1"/>
                <w:kern w:val="2"/>
                <w:sz w:val="21"/>
                <w:szCs w:val="21"/>
                <w:lang w:val="en-US" w:eastAsia="zh-CN" w:bidi="ar-SA"/>
                <w14:textFill>
                  <w14:solidFill>
                    <w14:schemeClr w14:val="tx1"/>
                  </w14:solidFill>
                </w14:textFill>
              </w:rPr>
              <w:t>3）退伍军人证1分。</w:t>
            </w:r>
          </w:p>
          <w:p>
            <w:pPr>
              <w:pStyle w:val="964"/>
              <w:keepNext w:val="0"/>
              <w:keepLines w:val="0"/>
              <w:pageBreakBefore w:val="0"/>
              <w:numPr>
                <w:ilvl w:val="0"/>
                <w:numId w:val="9"/>
              </w:numPr>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Times New Roman"/>
                <w:b/>
                <w:bCs/>
                <w:color w:val="000000" w:themeColor="text1"/>
                <w:kern w:val="0"/>
                <w:sz w:val="22"/>
                <w:lang w:eastAsia="zh-CN"/>
                <w14:textFill>
                  <w14:solidFill>
                    <w14:schemeClr w14:val="tx1"/>
                  </w14:solidFill>
                </w14:textFill>
              </w:rPr>
            </w:pPr>
            <w:r>
              <w:rPr>
                <w:rFonts w:hint="eastAsia" w:ascii="宋体" w:hAnsi="宋体" w:eastAsia="宋体" w:cs="Times New Roman"/>
                <w:b/>
                <w:bCs/>
                <w:color w:val="000000" w:themeColor="text1"/>
                <w:sz w:val="22"/>
                <w14:textFill>
                  <w14:solidFill>
                    <w14:schemeClr w14:val="tx1"/>
                  </w14:solidFill>
                </w14:textFill>
              </w:rPr>
              <w:t>安保部门重点岗位人员</w:t>
            </w:r>
            <w:r>
              <w:rPr>
                <w:rFonts w:hint="eastAsia" w:ascii="宋体" w:hAnsi="宋体" w:eastAsia="宋体" w:cs="Times New Roman"/>
                <w:b/>
                <w:bCs/>
                <w:color w:val="000000" w:themeColor="text1"/>
                <w:kern w:val="0"/>
                <w:sz w:val="22"/>
                <w14:textFill>
                  <w14:solidFill>
                    <w14:schemeClr w14:val="tx1"/>
                  </w14:solidFill>
                </w14:textFill>
              </w:rPr>
              <w:t>综合情况</w:t>
            </w:r>
            <w:r>
              <w:rPr>
                <w:rFonts w:hint="eastAsia" w:ascii="宋体" w:hAnsi="宋体" w:eastAsia="宋体" w:cs="Times New Roman"/>
                <w:b/>
                <w:bCs/>
                <w:color w:val="000000" w:themeColor="text1"/>
                <w:kern w:val="0"/>
                <w:sz w:val="22"/>
                <w:lang w:eastAsia="zh-CN"/>
                <w14:textFill>
                  <w14:solidFill>
                    <w14:schemeClr w14:val="tx1"/>
                  </w14:solidFill>
                </w14:textFill>
              </w:rPr>
              <w:t>（</w:t>
            </w:r>
            <w:r>
              <w:rPr>
                <w:rFonts w:hint="eastAsia" w:hAnsi="宋体" w:cs="Times New Roman"/>
                <w:b/>
                <w:bCs/>
                <w:color w:val="000000" w:themeColor="text1"/>
                <w:kern w:val="0"/>
                <w:sz w:val="22"/>
                <w:lang w:val="en-US" w:eastAsia="zh-CN"/>
                <w14:textFill>
                  <w14:solidFill>
                    <w14:schemeClr w14:val="tx1"/>
                  </w14:solidFill>
                </w14:textFill>
              </w:rPr>
              <w:t>3</w:t>
            </w:r>
            <w:r>
              <w:rPr>
                <w:rFonts w:hint="eastAsia" w:ascii="宋体" w:hAnsi="宋体" w:eastAsia="宋体" w:cs="Times New Roman"/>
                <w:b/>
                <w:bCs/>
                <w:color w:val="000000" w:themeColor="text1"/>
                <w:kern w:val="0"/>
                <w:sz w:val="22"/>
                <w:lang w:eastAsia="zh-CN"/>
                <w14:textFill>
                  <w14:solidFill>
                    <w14:schemeClr w14:val="tx1"/>
                  </w14:solidFill>
                </w14:textFill>
              </w:rPr>
              <w:t>分）</w:t>
            </w:r>
          </w:p>
          <w:p>
            <w:pPr>
              <w:pStyle w:val="964"/>
              <w:keepNext w:val="0"/>
              <w:keepLines w:val="0"/>
              <w:pageBreakBefore w:val="0"/>
              <w:numPr>
                <w:ilvl w:val="0"/>
                <w:numId w:val="0"/>
              </w:numPr>
              <w:kinsoku/>
              <w:wordWrap/>
              <w:overflowPunct/>
              <w:topLinePunct w:val="0"/>
              <w:autoSpaceDE/>
              <w:autoSpaceDN/>
              <w:bidi w:val="0"/>
              <w:adjustRightInd/>
              <w:spacing w:line="300" w:lineRule="auto"/>
              <w:ind w:leftChars="0"/>
              <w:textAlignment w:val="auto"/>
              <w:rPr>
                <w:rFonts w:hint="eastAsia" w:ascii="宋体" w:hAnsi="宋体" w:eastAsia="宋体" w:cs="Times New Roman"/>
                <w:color w:val="000000" w:themeColor="text1"/>
                <w:kern w:val="0"/>
                <w:sz w:val="22"/>
                <w:lang w:val="en-US" w:eastAsia="zh-CN"/>
                <w14:textFill>
                  <w14:solidFill>
                    <w14:schemeClr w14:val="tx1"/>
                  </w14:solidFill>
                </w14:textFill>
              </w:rPr>
            </w:pPr>
            <w:r>
              <w:rPr>
                <w:rFonts w:hint="eastAsia" w:ascii="宋体" w:hAnsi="宋体" w:eastAsia="宋体" w:cs="Times New Roman"/>
                <w:color w:val="000000" w:themeColor="text1"/>
                <w:sz w:val="22"/>
                <w14:textFill>
                  <w14:solidFill>
                    <w14:schemeClr w14:val="tx1"/>
                  </w14:solidFill>
                </w14:textFill>
              </w:rPr>
              <w:t>持有三级及以上保安员证书的每具备一人得</w:t>
            </w:r>
            <w:r>
              <w:rPr>
                <w:rFonts w:hint="eastAsia" w:hAnsi="宋体" w:cs="Times New Roman"/>
                <w:color w:val="000000" w:themeColor="text1"/>
                <w:sz w:val="22"/>
                <w:lang w:val="en-US" w:eastAsia="zh-CN"/>
                <w14:textFill>
                  <w14:solidFill>
                    <w14:schemeClr w14:val="tx1"/>
                  </w14:solidFill>
                </w14:textFill>
              </w:rPr>
              <w:t>1</w:t>
            </w:r>
            <w:r>
              <w:rPr>
                <w:rFonts w:hint="eastAsia" w:ascii="宋体" w:hAnsi="宋体" w:eastAsia="宋体" w:cs="Times New Roman"/>
                <w:color w:val="000000" w:themeColor="text1"/>
                <w:sz w:val="22"/>
                <w14:textFill>
                  <w14:solidFill>
                    <w14:schemeClr w14:val="tx1"/>
                  </w14:solidFill>
                </w14:textFill>
              </w:rPr>
              <w:t>分，</w:t>
            </w:r>
            <w:r>
              <w:rPr>
                <w:rFonts w:hint="eastAsia" w:ascii="宋体" w:hAnsi="宋体" w:eastAsia="宋体" w:cs="Times New Roman"/>
                <w:color w:val="000000" w:themeColor="text1"/>
                <w:sz w:val="22"/>
                <w:lang w:eastAsia="zh-CN"/>
                <w14:textFill>
                  <w14:solidFill>
                    <w14:schemeClr w14:val="tx1"/>
                  </w14:solidFill>
                </w14:textFill>
              </w:rPr>
              <w:t>最多</w:t>
            </w:r>
            <w:r>
              <w:rPr>
                <w:rFonts w:hint="eastAsia" w:hAnsi="宋体" w:cs="Times New Roman"/>
                <w:color w:val="000000" w:themeColor="text1"/>
                <w:sz w:val="22"/>
                <w:lang w:val="en-US" w:eastAsia="zh-CN"/>
                <w14:textFill>
                  <w14:solidFill>
                    <w14:schemeClr w14:val="tx1"/>
                  </w14:solidFill>
                </w14:textFill>
              </w:rPr>
              <w:t>3</w:t>
            </w:r>
            <w:r>
              <w:rPr>
                <w:rFonts w:hint="eastAsia" w:ascii="宋体" w:hAnsi="宋体" w:eastAsia="宋体" w:cs="Times New Roman"/>
                <w:color w:val="000000" w:themeColor="text1"/>
                <w:sz w:val="22"/>
                <w14:textFill>
                  <w14:solidFill>
                    <w14:schemeClr w14:val="tx1"/>
                  </w14:solidFill>
                </w14:textFill>
              </w:rPr>
              <w:t>分</w:t>
            </w:r>
            <w:r>
              <w:rPr>
                <w:rFonts w:hint="eastAsia" w:ascii="宋体" w:hAnsi="宋体" w:eastAsia="宋体" w:cs="Times New Roman"/>
                <w:color w:val="000000" w:themeColor="text1"/>
                <w:sz w:val="22"/>
                <w:lang w:eastAsia="zh-CN"/>
                <w14:textFill>
                  <w14:solidFill>
                    <w14:schemeClr w14:val="tx1"/>
                  </w14:solidFill>
                </w14:textFill>
              </w:rPr>
              <w:t>。</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Times New Roman"/>
                <w:color w:val="000000" w:themeColor="text1"/>
                <w:kern w:val="0"/>
                <w:sz w:val="22"/>
                <w:lang w:eastAsia="zh-CN"/>
                <w14:textFill>
                  <w14:solidFill>
                    <w14:schemeClr w14:val="tx1"/>
                  </w14:solidFill>
                </w14:textFill>
              </w:rPr>
            </w:pPr>
            <w:r>
              <w:rPr>
                <w:rFonts w:hint="eastAsia" w:ascii="宋体" w:hAnsi="宋体" w:eastAsia="宋体" w:cs="Times New Roman"/>
                <w:color w:val="000000" w:themeColor="text1"/>
                <w:sz w:val="22"/>
                <w14:textFill>
                  <w14:solidFill>
                    <w14:schemeClr w14:val="tx1"/>
                  </w14:solidFill>
                </w14:textFill>
              </w:rPr>
              <w:t>安保部门</w:t>
            </w:r>
            <w:r>
              <w:rPr>
                <w:rFonts w:hint="eastAsia" w:ascii="宋体" w:hAnsi="宋体" w:eastAsia="宋体" w:cs="Times New Roman"/>
                <w:color w:val="000000" w:themeColor="text1"/>
                <w:sz w:val="22"/>
                <w:lang w:eastAsia="zh-CN"/>
                <w14:textFill>
                  <w14:solidFill>
                    <w14:schemeClr w14:val="tx1"/>
                  </w14:solidFill>
                </w14:textFill>
              </w:rPr>
              <w:t>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8</w:t>
            </w:r>
          </w:p>
        </w:tc>
        <w:tc>
          <w:tcPr>
            <w:tcW w:w="4897" w:type="dxa"/>
            <w:vAlign w:val="center"/>
          </w:tcPr>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w:t>
            </w:r>
            <w:r>
              <w:rPr>
                <w:rFonts w:hint="eastAsia" w:ascii="宋体" w:hAnsi="宋体" w:eastAsia="宋体" w:cs="宋体"/>
                <w:b/>
                <w:bCs/>
                <w:color w:val="000000" w:themeColor="text1"/>
                <w:kern w:val="2"/>
                <w:sz w:val="21"/>
                <w:szCs w:val="21"/>
                <w14:textFill>
                  <w14:solidFill>
                    <w14:schemeClr w14:val="tx1"/>
                  </w14:solidFill>
                </w14:textFill>
              </w:rPr>
              <w:t>总体服务方案：（</w:t>
            </w:r>
            <w:r>
              <w:rPr>
                <w:rFonts w:hint="eastAsia" w:hAnsi="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1.1.总体服务方案流程清晰、内容详尽、合理、规范、具有操作性强的得</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1.2.总体服务方案流程较清晰、内容较详尽、合理、规范、具有操作性较强的得4分。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1.3.总体服务方案流程基本清晰、内容详尽程度一般、合理性一般、操作性一般的得2分。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1.4.总体服务方案流程模糊、内容粗略、合理性差、操作性差的得</w:t>
            </w:r>
            <w:r>
              <w:rPr>
                <w:rFonts w:hint="eastAsia" w:hAnsi="宋体" w:cs="宋体"/>
                <w:color w:val="000000" w:themeColor="text1"/>
                <w:kern w:val="2"/>
                <w:sz w:val="21"/>
                <w:szCs w:val="21"/>
                <w:lang w:val="en-US" w:eastAsia="zh-CN"/>
                <w14:textFill>
                  <w14:solidFill>
                    <w14:schemeClr w14:val="tx1"/>
                  </w14:solidFill>
                </w14:textFill>
              </w:rPr>
              <w:t>1</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2.综合（含水电）维修服务</w:t>
            </w:r>
            <w:r>
              <w:rPr>
                <w:rFonts w:hint="eastAsia" w:ascii="宋体" w:hAnsi="宋体" w:eastAsia="宋体" w:cs="宋体"/>
                <w:b/>
                <w:bCs/>
                <w:color w:val="000000" w:themeColor="text1"/>
                <w:kern w:val="2"/>
                <w:sz w:val="21"/>
                <w:szCs w:val="21"/>
                <w:lang w:eastAsia="zh-CN"/>
                <w14:textFill>
                  <w14:solidFill>
                    <w14:schemeClr w14:val="tx1"/>
                  </w14:solidFill>
                </w14:textFill>
              </w:rPr>
              <w:t>方案</w:t>
            </w:r>
            <w:r>
              <w:rPr>
                <w:rFonts w:hint="eastAsia" w:ascii="宋体" w:hAnsi="宋体" w:eastAsia="宋体" w:cs="宋体"/>
                <w:b/>
                <w:bCs/>
                <w:color w:val="000000" w:themeColor="text1"/>
                <w:kern w:val="2"/>
                <w:sz w:val="21"/>
                <w:szCs w:val="21"/>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14:textFill>
                  <w14:solidFill>
                    <w14:schemeClr w14:val="tx1"/>
                  </w14:solidFill>
                </w14:textFill>
              </w:rPr>
              <w:t>：</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2.1应答详尽、明晰，内容完整齐全、表述准确、条理清晰，内容无前后矛盾，符合招标文件要求，分析本项目的特点针对性强的得</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2.2应答较详尽、较明晰，内容较齐全、表述较准确、条理较清晰，内容无明显前后矛盾，较为符合招标文件要求，分析本项目的特点针对性较强得4分； </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2.3应答基本详尽、基本明晰，内容基本齐全、表述基本准确、条理基本清晰，内容前后矛盾较少，基本符合招标文件要求</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分析本项目的特点针对性一般的得2分；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2.4应答不详尽、不明晰，内容不齐全、表述不准确、条理不清晰，内容有明显前后矛盾，不符合招标文件要求，分析本项目的特点针对性差的得</w:t>
            </w:r>
            <w:r>
              <w:rPr>
                <w:rFonts w:hint="eastAsia" w:hAnsi="宋体" w:cs="宋体"/>
                <w:color w:val="000000" w:themeColor="text1"/>
                <w:kern w:val="2"/>
                <w:sz w:val="21"/>
                <w:szCs w:val="21"/>
                <w:lang w:val="en-US" w:eastAsia="zh-CN"/>
                <w14:textFill>
                  <w14:solidFill>
                    <w14:schemeClr w14:val="tx1"/>
                  </w14:solidFill>
                </w14:textFill>
              </w:rPr>
              <w:t>1</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w:t>
            </w:r>
            <w:r>
              <w:rPr>
                <w:rFonts w:hint="eastAsia" w:ascii="宋体" w:hAnsi="宋体" w:eastAsia="宋体" w:cs="宋体"/>
                <w:b/>
                <w:bCs/>
                <w:color w:val="000000" w:themeColor="text1"/>
                <w:kern w:val="2"/>
                <w:sz w:val="21"/>
                <w:szCs w:val="21"/>
                <w14:textFill>
                  <w14:solidFill>
                    <w14:schemeClr w14:val="tx1"/>
                  </w14:solidFill>
                </w14:textFill>
              </w:rPr>
              <w:t>安保服务方案：</w:t>
            </w:r>
            <w:r>
              <w:rPr>
                <w:rFonts w:hint="eastAsia" w:ascii="宋体" w:hAnsi="宋体" w:eastAsia="宋体" w:cs="宋体"/>
                <w:color w:val="000000" w:themeColor="text1"/>
                <w:kern w:val="2"/>
                <w:sz w:val="21"/>
                <w:szCs w:val="21"/>
                <w14:textFill>
                  <w14:solidFill>
                    <w14:schemeClr w14:val="tx1"/>
                  </w14:solidFill>
                </w14:textFill>
              </w:rPr>
              <w:t>（</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3.1.安保服务方案流程清晰、内容详尽、合理、规范、具有很强的操作性的得</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3.2.安保服务方案流程较清晰、内容详尽程度较好、合理性较好、操作性较强的得4分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3.3.安保服务方案流程基本清晰、内容详尽程度一般、合理性一般、操作性一般的得2分。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3.4.安保服务方案流程模糊、内容粗略、合理性差、操作性差的得</w:t>
            </w:r>
            <w:r>
              <w:rPr>
                <w:rFonts w:hint="eastAsia" w:hAnsi="宋体" w:cs="宋体"/>
                <w:color w:val="000000" w:themeColor="text1"/>
                <w:kern w:val="2"/>
                <w:sz w:val="21"/>
                <w:szCs w:val="21"/>
                <w:lang w:val="en-US" w:eastAsia="zh-CN"/>
                <w14:textFill>
                  <w14:solidFill>
                    <w14:schemeClr w14:val="tx1"/>
                  </w14:solidFill>
                </w14:textFill>
              </w:rPr>
              <w:t>1</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w:t>
            </w:r>
            <w:r>
              <w:rPr>
                <w:rFonts w:hint="eastAsia" w:ascii="宋体" w:hAnsi="宋体" w:eastAsia="宋体" w:cs="宋体"/>
                <w:b/>
                <w:bCs/>
                <w:color w:val="000000" w:themeColor="text1"/>
                <w:kern w:val="2"/>
                <w:sz w:val="21"/>
                <w:szCs w:val="21"/>
                <w14:textFill>
                  <w14:solidFill>
                    <w14:schemeClr w14:val="tx1"/>
                  </w14:solidFill>
                </w14:textFill>
              </w:rPr>
              <w:t>保洁服务方案：（</w:t>
            </w:r>
            <w:r>
              <w:rPr>
                <w:rFonts w:hint="eastAsia" w:hAnsi="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14:textFill>
                  <w14:solidFill>
                    <w14:schemeClr w14:val="tx1"/>
                  </w14:solidFill>
                </w14:textFill>
              </w:rPr>
              <w:t>）</w:t>
            </w:r>
          </w:p>
          <w:p>
            <w:pPr>
              <w:pStyle w:val="319"/>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4.1应答详尽、明晰，内容完整齐全、表述准确、条理清晰，内容无前后矛盾，符合招标文件要求，分析本项目的特点针对性强的得</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319"/>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4.2应答较详尽、较明晰，内容较齐全、表述较准确、条理较清晰，内容无明显前后矛盾，较为符合招标文件要求，分析本项目的特点针对性较强得4分； </w:t>
            </w:r>
          </w:p>
          <w:p>
            <w:pPr>
              <w:pStyle w:val="319"/>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4.3应答基本详尽、基本明晰，内容基本齐全、表述基本准确、条理基本清晰，内容前后矛盾较少，基本符合招标文件要求，分析本项目的特点针对性一般的得2分；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b w:val="0"/>
                <w:bCs w:val="0"/>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4.4应答不详尽、不明晰，内容不齐全、表述不准确、条理不清晰，内容有明显前后矛盾，不符合招标文</w:t>
            </w:r>
            <w:r>
              <w:rPr>
                <w:rFonts w:hint="eastAsia" w:ascii="宋体" w:hAnsi="宋体" w:eastAsia="宋体" w:cs="宋体"/>
                <w:b w:val="0"/>
                <w:bCs w:val="0"/>
                <w:snapToGrid w:val="0"/>
                <w:color w:val="000000" w:themeColor="text1"/>
                <w:kern w:val="2"/>
                <w:sz w:val="21"/>
                <w:szCs w:val="21"/>
                <w:lang w:val="en-US" w:eastAsia="zh-CN" w:bidi="ar-SA"/>
                <w14:textFill>
                  <w14:solidFill>
                    <w14:schemeClr w14:val="tx1"/>
                  </w14:solidFill>
                </w14:textFill>
              </w:rPr>
              <w:t>件要求，分析本项目的特点针对性差的得1分</w:t>
            </w:r>
            <w:r>
              <w:rPr>
                <w:rFonts w:hint="eastAsia" w:hAnsi="宋体" w:cs="宋体"/>
                <w:b w:val="0"/>
                <w:bCs w:val="0"/>
                <w:snapToGrid w:val="0"/>
                <w:color w:val="000000" w:themeColor="text1"/>
                <w:kern w:val="2"/>
                <w:sz w:val="21"/>
                <w:szCs w:val="21"/>
                <w:lang w:val="en-US" w:eastAsia="zh-CN" w:bidi="ar-SA"/>
                <w14:textFill>
                  <w14:solidFill>
                    <w14:schemeClr w14:val="tx1"/>
                  </w14:solidFill>
                </w14:textFill>
              </w:rPr>
              <w:t>。</w:t>
            </w:r>
          </w:p>
          <w:p>
            <w:pPr>
              <w:pStyle w:val="36"/>
              <w:keepNext w:val="0"/>
              <w:keepLines w:val="0"/>
              <w:pageBreakBefore w:val="0"/>
              <w:tabs>
                <w:tab w:val="right" w:leader="dot" w:pos="8268"/>
              </w:tabs>
              <w:kinsoku/>
              <w:wordWrap/>
              <w:overflowPunct/>
              <w:topLinePunct w:val="0"/>
              <w:autoSpaceDE/>
              <w:autoSpaceDN/>
              <w:bidi w:val="0"/>
              <w:snapToGrid w:val="0"/>
              <w:spacing w:line="300" w:lineRule="auto"/>
              <w:textAlignment w:val="auto"/>
              <w:rPr>
                <w:rFonts w:hint="eastAsia"/>
                <w:color w:val="000000" w:themeColor="text1"/>
                <w14:textFill>
                  <w14:solidFill>
                    <w14:schemeClr w14:val="tx1"/>
                  </w14:solidFill>
                </w14:textFill>
              </w:rPr>
            </w:pPr>
            <w:r>
              <w:rPr>
                <w:rFonts w:hint="eastAsia" w:ascii="宋体" w:hAnsi="宋体" w:eastAsia="宋体" w:cs="宋体"/>
                <w:b/>
                <w:bCs/>
                <w:snapToGrid w:val="0"/>
                <w:color w:val="000000" w:themeColor="text1"/>
                <w:kern w:val="2"/>
                <w:sz w:val="21"/>
                <w:szCs w:val="21"/>
                <w:lang w:val="en-US" w:eastAsia="zh-CN" w:bidi="ar-SA"/>
                <w14:textFill>
                  <w14:solidFill>
                    <w14:schemeClr w14:val="tx1"/>
                  </w14:solidFill>
                </w14:textFill>
              </w:rPr>
              <w:t>5.食堂餐饮</w:t>
            </w:r>
            <w:r>
              <w:rPr>
                <w:rFonts w:hint="eastAsia" w:ascii="宋体" w:hAnsi="宋体" w:eastAsia="宋体" w:cs="宋体"/>
                <w:b/>
                <w:bCs/>
                <w:color w:val="000000" w:themeColor="text1"/>
                <w:kern w:val="2"/>
                <w:sz w:val="21"/>
                <w:szCs w:val="21"/>
                <w14:textFill>
                  <w14:solidFill>
                    <w14:schemeClr w14:val="tx1"/>
                  </w14:solidFill>
                </w14:textFill>
              </w:rPr>
              <w:t>服务方案（</w:t>
            </w:r>
            <w:r>
              <w:rPr>
                <w:rFonts w:hint="eastAsia" w:hAnsi="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14:textFill>
                  <w14:solidFill>
                    <w14:schemeClr w14:val="tx1"/>
                  </w14:solidFill>
                </w14:textFill>
              </w:rPr>
              <w:t>分）</w:t>
            </w:r>
          </w:p>
          <w:p>
            <w:pPr>
              <w:pStyle w:val="319"/>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5.1应答详尽、明晰，内容完整齐全、表述准确、条理清晰，内容无前后矛盾，符合招标文件要求，分析本项目的特点针对性强的得</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319"/>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5.2应答较详尽、较明晰，内容较齐全、表述较准确、条理较清晰，内容无明显前后矛盾，较为符合招标文件要求，分析本项目的特点针对性较强得</w:t>
            </w:r>
            <w:r>
              <w:rPr>
                <w:rFonts w:hint="eastAsia" w:hAnsi="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 xml:space="preserve">分； </w:t>
            </w:r>
          </w:p>
          <w:p>
            <w:pPr>
              <w:pStyle w:val="319"/>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5.3应答基本详尽、基本明晰，内容基本齐全、表述基本准确、条理基本清晰，内容前后矛盾较少，基本符合招标文件要求，分析本项目的特点针对性一般的得</w:t>
            </w:r>
            <w:r>
              <w:rPr>
                <w:rFonts w:hint="eastAsia" w:hAnsi="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5.4应答不详尽、不明晰，内容不齐全、表述不准确、条理不清晰，内容有明显前后矛盾，不符合招标文件要求，分析本项目的特点针对性差的得</w:t>
            </w:r>
            <w:r>
              <w:rPr>
                <w:rFonts w:hint="eastAsia" w:hAnsi="宋体" w:cs="宋体"/>
                <w:color w:val="000000" w:themeColor="text1"/>
                <w:kern w:val="2"/>
                <w:sz w:val="21"/>
                <w:szCs w:val="21"/>
                <w:lang w:val="en-US" w:eastAsia="zh-CN"/>
                <w14:textFill>
                  <w14:solidFill>
                    <w14:schemeClr w14:val="tx1"/>
                  </w14:solidFill>
                </w14:textFill>
              </w:rPr>
              <w:t>1</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b/>
                <w:bCs/>
                <w:color w:val="000000" w:themeColor="text1"/>
                <w:kern w:val="2"/>
                <w:sz w:val="21"/>
                <w:szCs w:val="21"/>
                <w14:textFill>
                  <w14:solidFill>
                    <w14:schemeClr w14:val="tx1"/>
                  </w14:solidFill>
                </w14:textFill>
              </w:rPr>
            </w:pPr>
            <w:r>
              <w:rPr>
                <w:rFonts w:hint="eastAsia" w:hAnsi="宋体" w:cs="宋体"/>
                <w:b/>
                <w:bCs/>
                <w:color w:val="000000" w:themeColor="text1"/>
                <w:kern w:val="2"/>
                <w:sz w:val="21"/>
                <w:szCs w:val="21"/>
                <w:lang w:val="en-US" w:eastAsia="zh-CN"/>
                <w14:textFill>
                  <w14:solidFill>
                    <w14:schemeClr w14:val="tx1"/>
                  </w14:solidFill>
                </w14:textFill>
              </w:rPr>
              <w:t>6.</w:t>
            </w:r>
            <w:r>
              <w:rPr>
                <w:rFonts w:hint="eastAsia" w:ascii="宋体" w:hAnsi="宋体" w:eastAsia="宋体" w:cs="宋体"/>
                <w:b/>
                <w:bCs/>
                <w:color w:val="000000" w:themeColor="text1"/>
                <w:sz w:val="22"/>
                <w:szCs w:val="22"/>
                <w14:textFill>
                  <w14:solidFill>
                    <w14:schemeClr w14:val="tx1"/>
                  </w14:solidFill>
                </w14:textFill>
              </w:rPr>
              <w:t>会议服务</w:t>
            </w:r>
            <w:r>
              <w:rPr>
                <w:rFonts w:hint="eastAsia" w:ascii="宋体" w:hAnsi="宋体" w:eastAsia="宋体" w:cs="宋体"/>
                <w:b/>
                <w:bCs/>
                <w:color w:val="000000" w:themeColor="text1"/>
                <w:kern w:val="2"/>
                <w:sz w:val="21"/>
                <w:szCs w:val="21"/>
                <w14:textFill>
                  <w14:solidFill>
                    <w14:schemeClr w14:val="tx1"/>
                  </w14:solidFill>
                </w14:textFill>
              </w:rPr>
              <w:t>方案 ：（</w:t>
            </w:r>
            <w:r>
              <w:rPr>
                <w:rFonts w:hint="eastAsia" w:hAnsi="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14:textFill>
                  <w14:solidFill>
                    <w14:schemeClr w14:val="tx1"/>
                  </w14:solidFill>
                </w14:textFill>
              </w:rPr>
              <w:t>分）</w:t>
            </w:r>
          </w:p>
          <w:p>
            <w:pPr>
              <w:tabs>
                <w:tab w:val="left" w:pos="1260"/>
              </w:tabs>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6.1 </w:t>
            </w:r>
            <w:r>
              <w:rPr>
                <w:rFonts w:hint="eastAsia" w:ascii="宋体" w:hAnsi="宋体" w:eastAsia="宋体" w:cs="宋体"/>
                <w:color w:val="000000" w:themeColor="text1"/>
                <w:sz w:val="22"/>
                <w:szCs w:val="22"/>
                <w14:textFill>
                  <w14:solidFill>
                    <w14:schemeClr w14:val="tx1"/>
                  </w14:solidFill>
                </w14:textFill>
              </w:rPr>
              <w:t>会议服务</w:t>
            </w:r>
            <w:r>
              <w:rPr>
                <w:rFonts w:hint="eastAsia" w:ascii="宋体" w:hAnsi="宋体" w:eastAsia="宋体" w:cs="宋体"/>
                <w:color w:val="000000" w:themeColor="text1"/>
                <w:sz w:val="22"/>
                <w:szCs w:val="22"/>
                <w:lang w:val="en-US" w:eastAsia="zh-CN"/>
                <w14:textFill>
                  <w14:solidFill>
                    <w14:schemeClr w14:val="tx1"/>
                  </w14:solidFill>
                </w14:textFill>
              </w:rPr>
              <w:t>方案流程清晰、内容详尽、合理、规范、具有操作性的得5分。</w:t>
            </w:r>
          </w:p>
          <w:p>
            <w:pPr>
              <w:tabs>
                <w:tab w:val="left" w:pos="1260"/>
              </w:tabs>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6.2 </w:t>
            </w:r>
            <w:r>
              <w:rPr>
                <w:rFonts w:hint="eastAsia" w:ascii="宋体" w:hAnsi="宋体" w:eastAsia="宋体" w:cs="宋体"/>
                <w:color w:val="000000" w:themeColor="text1"/>
                <w:sz w:val="22"/>
                <w:szCs w:val="22"/>
                <w14:textFill>
                  <w14:solidFill>
                    <w14:schemeClr w14:val="tx1"/>
                  </w14:solidFill>
                </w14:textFill>
              </w:rPr>
              <w:t>会议服务</w:t>
            </w:r>
            <w:r>
              <w:rPr>
                <w:rFonts w:hint="eastAsia" w:ascii="宋体" w:hAnsi="宋体" w:eastAsia="宋体" w:cs="宋体"/>
                <w:color w:val="000000" w:themeColor="text1"/>
                <w:sz w:val="22"/>
                <w:szCs w:val="22"/>
                <w:lang w:val="en-US" w:eastAsia="zh-CN"/>
                <w14:textFill>
                  <w14:solidFill>
                    <w14:schemeClr w14:val="tx1"/>
                  </w14:solidFill>
                </w14:textFill>
              </w:rPr>
              <w:t>方案流程较清晰、内容详尽程度、合理性、操作性</w:t>
            </w:r>
            <w:r>
              <w:rPr>
                <w:rFonts w:hint="eastAsia" w:ascii="宋体" w:hAnsi="宋体" w:cs="宋体"/>
                <w:color w:val="000000" w:themeColor="text1"/>
                <w:sz w:val="22"/>
                <w:szCs w:val="22"/>
                <w:lang w:val="en-US" w:eastAsia="zh-CN"/>
                <w14:textFill>
                  <w14:solidFill>
                    <w14:schemeClr w14:val="tx1"/>
                  </w14:solidFill>
                </w14:textFill>
              </w:rPr>
              <w:t>较好</w:t>
            </w:r>
            <w:r>
              <w:rPr>
                <w:rFonts w:hint="eastAsia" w:ascii="宋体" w:hAnsi="宋体" w:eastAsia="宋体" w:cs="宋体"/>
                <w:color w:val="000000" w:themeColor="text1"/>
                <w:sz w:val="22"/>
                <w:szCs w:val="22"/>
                <w:lang w:val="en-US" w:eastAsia="zh-CN"/>
                <w14:textFill>
                  <w14:solidFill>
                    <w14:schemeClr w14:val="tx1"/>
                  </w14:solidFill>
                </w14:textFill>
              </w:rPr>
              <w:t>的得</w:t>
            </w: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lang w:val="en-US" w:eastAsia="zh-CN"/>
                <w14:textFill>
                  <w14:solidFill>
                    <w14:schemeClr w14:val="tx1"/>
                  </w14:solidFill>
                </w14:textFill>
              </w:rPr>
              <w:t>分。</w:t>
            </w:r>
          </w:p>
          <w:p>
            <w:pPr>
              <w:tabs>
                <w:tab w:val="left" w:pos="1260"/>
              </w:tabs>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6.3</w:t>
            </w:r>
            <w:r>
              <w:rPr>
                <w:rFonts w:hint="eastAsia" w:ascii="宋体" w:hAnsi="宋体" w:eastAsia="宋体" w:cs="宋体"/>
                <w:color w:val="000000" w:themeColor="text1"/>
                <w:sz w:val="22"/>
                <w:szCs w:val="22"/>
                <w14:textFill>
                  <w14:solidFill>
                    <w14:schemeClr w14:val="tx1"/>
                  </w14:solidFill>
                </w14:textFill>
              </w:rPr>
              <w:t>会议服务</w:t>
            </w:r>
            <w:r>
              <w:rPr>
                <w:rFonts w:hint="eastAsia" w:ascii="宋体" w:hAnsi="宋体" w:eastAsia="宋体" w:cs="宋体"/>
                <w:color w:val="000000" w:themeColor="text1"/>
                <w:sz w:val="22"/>
                <w:szCs w:val="22"/>
                <w:lang w:val="en-US" w:eastAsia="zh-CN"/>
                <w14:textFill>
                  <w14:solidFill>
                    <w14:schemeClr w14:val="tx1"/>
                  </w14:solidFill>
                </w14:textFill>
              </w:rPr>
              <w:t>方案流程较清晰、内容详尽程度一般、合理性一般、操作性一般的得2分。</w:t>
            </w:r>
          </w:p>
          <w:p>
            <w:pPr>
              <w:tabs>
                <w:tab w:val="left" w:pos="1260"/>
              </w:tabs>
              <w:jc w:val="left"/>
              <w:rPr>
                <w:rFonts w:hint="eastAsia" w:hAnsi="宋体" w:cs="宋体"/>
                <w:b/>
                <w:bCs/>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6.4</w:t>
            </w:r>
            <w:r>
              <w:rPr>
                <w:rFonts w:hint="eastAsia" w:ascii="宋体" w:hAnsi="宋体" w:eastAsia="宋体" w:cs="宋体"/>
                <w:color w:val="000000" w:themeColor="text1"/>
                <w:sz w:val="22"/>
                <w:szCs w:val="22"/>
                <w14:textFill>
                  <w14:solidFill>
                    <w14:schemeClr w14:val="tx1"/>
                  </w14:solidFill>
                </w14:textFill>
              </w:rPr>
              <w:t>会议服务</w:t>
            </w:r>
            <w:r>
              <w:rPr>
                <w:rFonts w:hint="eastAsia" w:ascii="宋体" w:hAnsi="宋体" w:eastAsia="宋体" w:cs="宋体"/>
                <w:color w:val="000000" w:themeColor="text1"/>
                <w:sz w:val="22"/>
                <w:szCs w:val="22"/>
                <w:lang w:val="en-US" w:eastAsia="zh-CN"/>
                <w14:textFill>
                  <w14:solidFill>
                    <w14:schemeClr w14:val="tx1"/>
                  </w14:solidFill>
                </w14:textFill>
              </w:rPr>
              <w:t>方案流程模糊、内容粗略、合理性较差、操作性较差的得1分。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b/>
                <w:bCs/>
                <w:color w:val="000000" w:themeColor="text1"/>
                <w:kern w:val="2"/>
                <w:sz w:val="21"/>
                <w:szCs w:val="21"/>
                <w14:textFill>
                  <w14:solidFill>
                    <w14:schemeClr w14:val="tx1"/>
                  </w14:solidFill>
                </w14:textFill>
              </w:rPr>
            </w:pPr>
            <w:r>
              <w:rPr>
                <w:rFonts w:hint="eastAsia" w:hAnsi="宋体" w:cs="宋体"/>
                <w:b/>
                <w:bCs/>
                <w:color w:val="000000" w:themeColor="text1"/>
                <w:kern w:val="2"/>
                <w:sz w:val="21"/>
                <w:szCs w:val="21"/>
                <w:lang w:val="en-US" w:eastAsia="zh-CN"/>
                <w14:textFill>
                  <w14:solidFill>
                    <w14:schemeClr w14:val="tx1"/>
                  </w14:solidFill>
                </w14:textFill>
              </w:rPr>
              <w:t>7</w:t>
            </w:r>
            <w:r>
              <w:rPr>
                <w:rFonts w:hint="eastAsia" w:ascii="宋体" w:hAnsi="宋体" w:eastAsia="宋体" w:cs="宋体"/>
                <w:b/>
                <w:bCs/>
                <w:color w:val="000000" w:themeColor="text1"/>
                <w:kern w:val="2"/>
                <w:sz w:val="21"/>
                <w:szCs w:val="21"/>
                <w14:textFill>
                  <w14:solidFill>
                    <w14:schemeClr w14:val="tx1"/>
                  </w14:solidFill>
                </w14:textFill>
              </w:rPr>
              <w:t>与目前在管理的单位的交接过渡管理服务方案 ：（</w:t>
            </w:r>
            <w:r>
              <w:rPr>
                <w:rFonts w:hint="eastAsia" w:hAnsi="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1与目前在管理的单位的交接过渡管理服务方案流程清晰、内容详尽、合理、规范、具有操作性强的得</w:t>
            </w:r>
            <w:r>
              <w:rPr>
                <w:rFonts w:hint="eastAsia" w:hAnsi="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2与目前在管理的单位的交接过渡管理服务方案流程清晰、内容详尽、合理、规范、具有操作性</w:t>
            </w:r>
            <w:r>
              <w:rPr>
                <w:rFonts w:hint="eastAsia" w:ascii="宋体" w:hAnsi="宋体" w:eastAsia="宋体" w:cs="宋体"/>
                <w:color w:val="000000" w:themeColor="text1"/>
                <w:kern w:val="2"/>
                <w:sz w:val="21"/>
                <w:szCs w:val="21"/>
                <w:lang w:eastAsia="zh-CN"/>
                <w14:textFill>
                  <w14:solidFill>
                    <w14:schemeClr w14:val="tx1"/>
                  </w14:solidFill>
                </w14:textFill>
              </w:rPr>
              <w:t>较</w:t>
            </w:r>
            <w:r>
              <w:rPr>
                <w:rFonts w:hint="eastAsia" w:ascii="宋体" w:hAnsi="宋体" w:eastAsia="宋体" w:cs="宋体"/>
                <w:color w:val="000000" w:themeColor="text1"/>
                <w:kern w:val="2"/>
                <w:sz w:val="21"/>
                <w:szCs w:val="21"/>
                <w14:textFill>
                  <w14:solidFill>
                    <w14:schemeClr w14:val="tx1"/>
                  </w14:solidFill>
                </w14:textFill>
              </w:rPr>
              <w:t>强的得</w:t>
            </w:r>
            <w:r>
              <w:rPr>
                <w:rFonts w:hint="eastAsia" w:hAnsi="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与目前在管理的单位的交接过渡管理服务方案流程基本清晰、内容详尽程度一般、合理性一般、操作性一般的得</w:t>
            </w:r>
            <w:r>
              <w:rPr>
                <w:rFonts w:hint="eastAsia" w:hAnsi="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lang w:val="en-US" w:eastAsia="zh-CN"/>
                <w14:textFill>
                  <w14:solidFill>
                    <w14:schemeClr w14:val="tx1"/>
                  </w14:solidFill>
                </w14:textFill>
              </w:rPr>
              <w:t xml:space="preserve">4 </w:t>
            </w:r>
            <w:r>
              <w:rPr>
                <w:rFonts w:hint="eastAsia" w:ascii="宋体" w:hAnsi="宋体" w:eastAsia="宋体" w:cs="宋体"/>
                <w:color w:val="000000" w:themeColor="text1"/>
                <w:kern w:val="2"/>
                <w:sz w:val="21"/>
                <w:szCs w:val="21"/>
                <w14:textFill>
                  <w14:solidFill>
                    <w14:schemeClr w14:val="tx1"/>
                  </w14:solidFill>
                </w14:textFill>
              </w:rPr>
              <w:t>与目前在管理的单位的交接过渡管理服务方案流程模糊、内容粗略、合理性差、操作性差得</w:t>
            </w:r>
            <w:r>
              <w:rPr>
                <w:rFonts w:hint="eastAsia" w:hAnsi="宋体" w:cs="宋体"/>
                <w:color w:val="000000" w:themeColor="text1"/>
                <w:kern w:val="2"/>
                <w:sz w:val="21"/>
                <w:szCs w:val="21"/>
                <w:lang w:val="en-US" w:eastAsia="zh-CN"/>
                <w14:textFill>
                  <w14:solidFill>
                    <w14:schemeClr w14:val="tx1"/>
                  </w14:solidFill>
                </w14:textFill>
              </w:rPr>
              <w:t>1</w:t>
            </w:r>
            <w:r>
              <w:rPr>
                <w:rFonts w:hint="eastAsia" w:ascii="宋体" w:hAnsi="宋体" w:eastAsia="宋体" w:cs="宋体"/>
                <w:color w:val="000000" w:themeColor="text1"/>
                <w:kern w:val="2"/>
                <w:sz w:val="21"/>
                <w:szCs w:val="21"/>
                <w14:textFill>
                  <w14:solidFill>
                    <w14:schemeClr w14:val="tx1"/>
                  </w14:solidFill>
                </w14:textFill>
              </w:rPr>
              <w:t>分。</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35</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9</w:t>
            </w:r>
          </w:p>
        </w:tc>
        <w:tc>
          <w:tcPr>
            <w:tcW w:w="4897" w:type="dxa"/>
            <w:vAlign w:val="center"/>
          </w:tcPr>
          <w:p>
            <w:pPr>
              <w:pStyle w:val="964"/>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根据针对本项目日常物业服务管理特点和难点进行分析，并提出解决问题的措施。</w:t>
            </w:r>
          </w:p>
          <w:p>
            <w:pPr>
              <w:pStyle w:val="964"/>
              <w:keepNext w:val="0"/>
              <w:keepLines w:val="0"/>
              <w:pageBreakBefore w:val="0"/>
              <w:numPr>
                <w:ilvl w:val="0"/>
                <w:numId w:val="10"/>
              </w:numPr>
              <w:kinsoku/>
              <w:wordWrap/>
              <w:overflowPunct/>
              <w:topLinePunct w:val="0"/>
              <w:autoSpaceDE/>
              <w:autoSpaceDN/>
              <w:bidi w:val="0"/>
              <w:adjustRightInd/>
              <w:spacing w:line="30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投标人对本项目的特点和难点分析得当、实施性高的得</w:t>
            </w:r>
            <w:r>
              <w:rPr>
                <w:rFonts w:hint="eastAsia"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pPr>
              <w:pStyle w:val="964"/>
              <w:keepNext w:val="0"/>
              <w:keepLines w:val="0"/>
              <w:pageBreakBefore w:val="0"/>
              <w:numPr>
                <w:ilvl w:val="0"/>
                <w:numId w:val="10"/>
              </w:numPr>
              <w:kinsoku/>
              <w:wordWrap/>
              <w:overflowPunct/>
              <w:topLinePunct w:val="0"/>
              <w:autoSpaceDE/>
              <w:autoSpaceDN/>
              <w:bidi w:val="0"/>
              <w:adjustRightInd/>
              <w:spacing w:line="30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投标人对本项目的特点和难点分析比较得当、实施性较高的得</w:t>
            </w:r>
            <w:r>
              <w:rPr>
                <w:rFonts w:hint="eastAsia"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3、投标人对本项目的特点和难点分析一般、实施性一般的得</w:t>
            </w: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kinsoku/>
              <w:wordWrap/>
              <w:overflowPunct/>
              <w:topLinePunct w:val="0"/>
              <w:autoSpaceDE/>
              <w:autoSpaceDN/>
              <w:bidi w:val="0"/>
              <w:snapToGrid w:val="0"/>
              <w:spacing w:line="30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4、投标人对本项目的特点和难点分析粗略、实施性差的得</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分。</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10</w:t>
            </w:r>
          </w:p>
        </w:tc>
        <w:tc>
          <w:tcPr>
            <w:tcW w:w="4897" w:type="dxa"/>
            <w:vAlign w:val="center"/>
          </w:tcPr>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针对各类检查和突发性公卫事件等任务的应急方案及措施的全面性、针对性评分。</w:t>
            </w:r>
          </w:p>
          <w:p>
            <w:pPr>
              <w:pStyle w:val="964"/>
              <w:keepNext w:val="0"/>
              <w:keepLines w:val="0"/>
              <w:pageBreakBefore w:val="0"/>
              <w:numPr>
                <w:ilvl w:val="0"/>
                <w:numId w:val="11"/>
              </w:numPr>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投标人对本项目的突发事件应急处理措施得当、实施性高的得</w:t>
            </w:r>
            <w:r>
              <w:rPr>
                <w:rFonts w:hint="eastAsia"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pPr>
              <w:pStyle w:val="964"/>
              <w:keepNext w:val="0"/>
              <w:keepLines w:val="0"/>
              <w:pageBreakBefore w:val="0"/>
              <w:numPr>
                <w:ilvl w:val="0"/>
                <w:numId w:val="11"/>
              </w:numPr>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投标人对本项目的突发事件应急处理措施较强、实施性较强的得</w:t>
            </w:r>
            <w:r>
              <w:rPr>
                <w:rFonts w:hint="eastAsia"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3、投标人对本项目的突发事件应急处理措施一般、实施性一般的得</w:t>
            </w: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4、投标人对本项目的突发事件应急处理措施粗略、实施性差的得</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分。</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11</w:t>
            </w:r>
          </w:p>
        </w:tc>
        <w:tc>
          <w:tcPr>
            <w:tcW w:w="4897" w:type="dxa"/>
            <w:vAlign w:val="center"/>
          </w:tcPr>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根据各岗位培训计划</w:t>
            </w:r>
            <w:r>
              <w:rPr>
                <w:rFonts w:hint="eastAsia" w:ascii="宋体" w:hAnsi="宋体" w:cs="宋体"/>
                <w:color w:val="000000" w:themeColor="text1"/>
                <w:kern w:val="0"/>
                <w:sz w:val="21"/>
                <w:szCs w:val="21"/>
                <w:lang w:eastAsia="zh-CN"/>
                <w14:textFill>
                  <w14:solidFill>
                    <w14:schemeClr w14:val="tx1"/>
                  </w14:solidFill>
                </w14:textFill>
              </w:rPr>
              <w:t>和员工稳定措施</w:t>
            </w:r>
            <w:r>
              <w:rPr>
                <w:rFonts w:hint="eastAsia" w:ascii="宋体" w:hAnsi="宋体" w:eastAsia="宋体" w:cs="宋体"/>
                <w:color w:val="000000" w:themeColor="text1"/>
                <w:kern w:val="0"/>
                <w:sz w:val="21"/>
                <w:szCs w:val="21"/>
                <w14:textFill>
                  <w14:solidFill>
                    <w14:schemeClr w14:val="tx1"/>
                  </w14:solidFill>
                </w14:textFill>
              </w:rPr>
              <w:t>的详细程度及方案的系统性、可操作评分。</w:t>
            </w:r>
          </w:p>
          <w:p>
            <w:pPr>
              <w:pStyle w:val="964"/>
              <w:keepNext w:val="0"/>
              <w:keepLines w:val="0"/>
              <w:pageBreakBefore w:val="0"/>
              <w:numPr>
                <w:ilvl w:val="0"/>
                <w:numId w:val="0"/>
              </w:numPr>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投标人对本项目的培训计划</w:t>
            </w:r>
            <w:r>
              <w:rPr>
                <w:rFonts w:hint="eastAsia" w:hAnsi="宋体" w:cs="宋体"/>
                <w:color w:val="000000" w:themeColor="text1"/>
                <w:sz w:val="21"/>
                <w:szCs w:val="21"/>
                <w:lang w:eastAsia="zh-CN"/>
                <w14:textFill>
                  <w14:solidFill>
                    <w14:schemeClr w14:val="tx1"/>
                  </w14:solidFill>
                </w14:textFill>
              </w:rPr>
              <w:t>和</w:t>
            </w:r>
            <w:r>
              <w:rPr>
                <w:rFonts w:hint="eastAsia" w:ascii="宋体" w:hAnsi="宋体" w:cs="宋体"/>
                <w:color w:val="000000" w:themeColor="text1"/>
                <w:kern w:val="0"/>
                <w:sz w:val="21"/>
                <w:szCs w:val="21"/>
                <w:lang w:eastAsia="zh-CN"/>
                <w14:textFill>
                  <w14:solidFill>
                    <w14:schemeClr w14:val="tx1"/>
                  </w14:solidFill>
                </w14:textFill>
              </w:rPr>
              <w:t>稳定措施</w:t>
            </w:r>
            <w:r>
              <w:rPr>
                <w:rFonts w:hint="eastAsia" w:ascii="宋体" w:hAnsi="宋体" w:eastAsia="宋体" w:cs="宋体"/>
                <w:color w:val="000000" w:themeColor="text1"/>
                <w:sz w:val="22"/>
                <w:szCs w:val="22"/>
                <w:lang w:val="en-US" w:eastAsia="zh-CN"/>
                <w14:textFill>
                  <w14:solidFill>
                    <w14:schemeClr w14:val="tx1"/>
                  </w14:solidFill>
                </w14:textFill>
              </w:rPr>
              <w:t>内容详尽、合理、规范、操作性强的得</w:t>
            </w:r>
            <w:r>
              <w:rPr>
                <w:rFonts w:hint="eastAsia"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r>
              <w:rPr>
                <w:rFonts w:hint="eastAsia" w:hAnsi="宋体" w:cs="宋体"/>
                <w:color w:val="000000" w:themeColor="text1"/>
                <w:sz w:val="21"/>
                <w:szCs w:val="21"/>
                <w:lang w:eastAsia="zh-CN"/>
                <w14:textFill>
                  <w14:solidFill>
                    <w14:schemeClr w14:val="tx1"/>
                  </w14:solidFill>
                </w14:textFill>
              </w:rPr>
              <w:t>；</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投标人对本项目的培训计划</w:t>
            </w:r>
            <w:r>
              <w:rPr>
                <w:rFonts w:hint="eastAsia" w:hAnsi="宋体" w:cs="宋体"/>
                <w:color w:val="000000" w:themeColor="text1"/>
                <w:sz w:val="21"/>
                <w:szCs w:val="21"/>
                <w:lang w:eastAsia="zh-CN"/>
                <w14:textFill>
                  <w14:solidFill>
                    <w14:schemeClr w14:val="tx1"/>
                  </w14:solidFill>
                </w14:textFill>
              </w:rPr>
              <w:t>和</w:t>
            </w:r>
            <w:r>
              <w:rPr>
                <w:rFonts w:hint="eastAsia" w:ascii="宋体" w:hAnsi="宋体" w:cs="宋体"/>
                <w:color w:val="000000" w:themeColor="text1"/>
                <w:kern w:val="0"/>
                <w:sz w:val="21"/>
                <w:szCs w:val="21"/>
                <w:lang w:eastAsia="zh-CN"/>
                <w14:textFill>
                  <w14:solidFill>
                    <w14:schemeClr w14:val="tx1"/>
                  </w14:solidFill>
                </w14:textFill>
              </w:rPr>
              <w:t>稳定措施</w:t>
            </w:r>
            <w:r>
              <w:rPr>
                <w:rFonts w:hint="eastAsia" w:ascii="宋体" w:hAnsi="宋体" w:eastAsia="宋体" w:cs="宋体"/>
                <w:color w:val="000000" w:themeColor="text1"/>
                <w:sz w:val="22"/>
                <w:szCs w:val="22"/>
                <w:lang w:val="en-US" w:eastAsia="zh-CN"/>
                <w14:textFill>
                  <w14:solidFill>
                    <w14:schemeClr w14:val="tx1"/>
                  </w14:solidFill>
                </w14:textFill>
              </w:rPr>
              <w:t>内容详尽、合理、规范、操作性</w:t>
            </w:r>
            <w:r>
              <w:rPr>
                <w:rFonts w:hint="eastAsia" w:hAnsi="宋体" w:cs="宋体"/>
                <w:color w:val="000000" w:themeColor="text1"/>
                <w:sz w:val="22"/>
                <w:szCs w:val="22"/>
                <w:lang w:val="en-US" w:eastAsia="zh-CN"/>
                <w14:textFill>
                  <w14:solidFill>
                    <w14:schemeClr w14:val="tx1"/>
                  </w14:solidFill>
                </w14:textFill>
              </w:rPr>
              <w:t>较好</w:t>
            </w:r>
            <w:r>
              <w:rPr>
                <w:rFonts w:hint="eastAsia" w:ascii="宋体" w:hAnsi="宋体" w:eastAsia="宋体" w:cs="宋体"/>
                <w:color w:val="000000" w:themeColor="text1"/>
                <w:sz w:val="22"/>
                <w:szCs w:val="22"/>
                <w:lang w:val="en-US" w:eastAsia="zh-CN"/>
                <w14:textFill>
                  <w14:solidFill>
                    <w14:schemeClr w14:val="tx1"/>
                  </w14:solidFill>
                </w14:textFill>
              </w:rPr>
              <w:t>的得</w:t>
            </w:r>
            <w:r>
              <w:rPr>
                <w:rFonts w:hint="eastAsia"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r>
              <w:rPr>
                <w:rFonts w:hint="eastAsia" w:hAnsi="宋体" w:cs="宋体"/>
                <w:color w:val="000000" w:themeColor="text1"/>
                <w:sz w:val="21"/>
                <w:szCs w:val="21"/>
                <w:lang w:eastAsia="zh-CN"/>
                <w14:textFill>
                  <w14:solidFill>
                    <w14:schemeClr w14:val="tx1"/>
                  </w14:solidFill>
                </w14:textFill>
              </w:rPr>
              <w:t>；</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投标人对本项目的培训计划</w:t>
            </w:r>
            <w:r>
              <w:rPr>
                <w:rFonts w:hint="eastAsia" w:hAnsi="宋体" w:cs="宋体"/>
                <w:color w:val="000000" w:themeColor="text1"/>
                <w:sz w:val="21"/>
                <w:szCs w:val="21"/>
                <w:lang w:eastAsia="zh-CN"/>
                <w14:textFill>
                  <w14:solidFill>
                    <w14:schemeClr w14:val="tx1"/>
                  </w14:solidFill>
                </w14:textFill>
              </w:rPr>
              <w:t>和</w:t>
            </w:r>
            <w:r>
              <w:rPr>
                <w:rFonts w:hint="eastAsia" w:ascii="宋体" w:hAnsi="宋体" w:cs="宋体"/>
                <w:color w:val="000000" w:themeColor="text1"/>
                <w:kern w:val="0"/>
                <w:sz w:val="21"/>
                <w:szCs w:val="21"/>
                <w:lang w:eastAsia="zh-CN"/>
                <w14:textFill>
                  <w14:solidFill>
                    <w14:schemeClr w14:val="tx1"/>
                  </w14:solidFill>
                </w14:textFill>
              </w:rPr>
              <w:t>稳定措施</w:t>
            </w:r>
            <w:r>
              <w:rPr>
                <w:rFonts w:hint="eastAsia" w:ascii="宋体" w:hAnsi="宋体" w:eastAsia="宋体" w:cs="宋体"/>
                <w:color w:val="000000" w:themeColor="text1"/>
                <w:sz w:val="22"/>
                <w:szCs w:val="22"/>
                <w:lang w:val="en-US" w:eastAsia="zh-CN"/>
                <w14:textFill>
                  <w14:solidFill>
                    <w14:schemeClr w14:val="tx1"/>
                  </w14:solidFill>
                </w14:textFill>
              </w:rPr>
              <w:t>内容详尽、合理、规范、操作性</w:t>
            </w:r>
            <w:r>
              <w:rPr>
                <w:rFonts w:hint="eastAsia" w:hAnsi="宋体" w:cs="宋体"/>
                <w:color w:val="000000" w:themeColor="text1"/>
                <w:sz w:val="22"/>
                <w:szCs w:val="22"/>
                <w:lang w:val="en-US" w:eastAsia="zh-CN"/>
                <w14:textFill>
                  <w14:solidFill>
                    <w14:schemeClr w14:val="tx1"/>
                  </w14:solidFill>
                </w14:textFill>
              </w:rPr>
              <w:t>一般</w:t>
            </w:r>
            <w:r>
              <w:rPr>
                <w:rFonts w:hint="eastAsia" w:ascii="宋体" w:hAnsi="宋体" w:eastAsia="宋体" w:cs="宋体"/>
                <w:color w:val="000000" w:themeColor="text1"/>
                <w:sz w:val="22"/>
                <w:szCs w:val="22"/>
                <w:lang w:val="en-US" w:eastAsia="zh-CN"/>
                <w14:textFill>
                  <w14:solidFill>
                    <w14:schemeClr w14:val="tx1"/>
                  </w14:solidFill>
                </w14:textFill>
              </w:rPr>
              <w:t>的得</w:t>
            </w: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投标人对本项目的培训计划</w:t>
            </w:r>
            <w:r>
              <w:rPr>
                <w:rFonts w:hint="eastAsia" w:hAnsi="宋体" w:cs="宋体"/>
                <w:color w:val="000000" w:themeColor="text1"/>
                <w:sz w:val="21"/>
                <w:szCs w:val="21"/>
                <w:lang w:eastAsia="zh-CN"/>
                <w14:textFill>
                  <w14:solidFill>
                    <w14:schemeClr w14:val="tx1"/>
                  </w14:solidFill>
                </w14:textFill>
              </w:rPr>
              <w:t>和</w:t>
            </w:r>
            <w:r>
              <w:rPr>
                <w:rFonts w:hint="eastAsia" w:ascii="宋体" w:hAnsi="宋体" w:cs="宋体"/>
                <w:color w:val="000000" w:themeColor="text1"/>
                <w:kern w:val="0"/>
                <w:sz w:val="21"/>
                <w:szCs w:val="21"/>
                <w:lang w:eastAsia="zh-CN"/>
                <w14:textFill>
                  <w14:solidFill>
                    <w14:schemeClr w14:val="tx1"/>
                  </w14:solidFill>
                </w14:textFill>
              </w:rPr>
              <w:t>稳定措施</w:t>
            </w:r>
            <w:r>
              <w:rPr>
                <w:rFonts w:hint="eastAsia" w:ascii="宋体" w:hAnsi="宋体" w:eastAsia="宋体" w:cs="宋体"/>
                <w:color w:val="000000" w:themeColor="text1"/>
                <w:sz w:val="22"/>
                <w:szCs w:val="22"/>
                <w:lang w:val="en-US" w:eastAsia="zh-CN"/>
                <w14:textFill>
                  <w14:solidFill>
                    <w14:schemeClr w14:val="tx1"/>
                  </w14:solidFill>
                </w14:textFill>
              </w:rPr>
              <w:t>内容详尽、合理、规范、操作性</w:t>
            </w:r>
            <w:r>
              <w:rPr>
                <w:rFonts w:hint="eastAsia" w:ascii="宋体" w:hAnsi="宋体" w:cs="宋体"/>
                <w:color w:val="000000" w:themeColor="text1"/>
                <w:sz w:val="22"/>
                <w:szCs w:val="22"/>
                <w:lang w:val="en-US" w:eastAsia="zh-CN"/>
                <w14:textFill>
                  <w14:solidFill>
                    <w14:schemeClr w14:val="tx1"/>
                  </w14:solidFill>
                </w14:textFill>
              </w:rPr>
              <w:t>差</w:t>
            </w:r>
            <w:r>
              <w:rPr>
                <w:rFonts w:hint="eastAsia" w:ascii="宋体" w:hAnsi="宋体" w:eastAsia="宋体" w:cs="宋体"/>
                <w:color w:val="000000" w:themeColor="text1"/>
                <w:sz w:val="22"/>
                <w:szCs w:val="22"/>
                <w:lang w:val="en-US" w:eastAsia="zh-CN"/>
                <w14:textFill>
                  <w14:solidFill>
                    <w14:schemeClr w14:val="tx1"/>
                  </w14:solidFill>
                </w14:textFill>
              </w:rPr>
              <w:t>的得</w:t>
            </w:r>
            <w:r>
              <w:rPr>
                <w:rFonts w:hint="eastAsia"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r>
              <w:rPr>
                <w:rFonts w:hint="eastAsia" w:hAnsi="宋体" w:cs="宋体"/>
                <w:color w:val="000000" w:themeColor="text1"/>
                <w:sz w:val="21"/>
                <w:szCs w:val="21"/>
                <w:lang w:eastAsia="zh-CN"/>
                <w14:textFill>
                  <w14:solidFill>
                    <w14:schemeClr w14:val="tx1"/>
                  </w14:solidFill>
                </w14:textFill>
              </w:rPr>
              <w:t>；</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人员</w:t>
            </w:r>
            <w:r>
              <w:rPr>
                <w:rFonts w:hint="eastAsia" w:ascii="宋体" w:hAnsi="宋体" w:eastAsia="宋体" w:cs="宋体"/>
                <w:color w:val="000000" w:themeColor="text1"/>
                <w:kern w:val="2"/>
                <w:sz w:val="21"/>
                <w:szCs w:val="21"/>
                <w14:textFill>
                  <w14:solidFill>
                    <w14:schemeClr w14:val="tx1"/>
                  </w14:solidFill>
                </w14:textFill>
              </w:rPr>
              <w:t>培训计划</w:t>
            </w:r>
            <w:r>
              <w:rPr>
                <w:rFonts w:hint="eastAsia" w:ascii="宋体" w:hAnsi="宋体" w:cs="宋体"/>
                <w:color w:val="000000" w:themeColor="text1"/>
                <w:kern w:val="2"/>
                <w:sz w:val="21"/>
                <w:szCs w:val="21"/>
                <w:lang w:eastAsia="zh-CN"/>
                <w14:textFill>
                  <w14:solidFill>
                    <w14:schemeClr w14:val="tx1"/>
                  </w14:solidFill>
                </w14:textFill>
              </w:rPr>
              <w:t>及员工稳定措施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4897" w:type="dxa"/>
            <w:vAlign w:val="center"/>
          </w:tcPr>
          <w:p>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根据本项目所能提供的相关</w:t>
            </w:r>
            <w:r>
              <w:rPr>
                <w:rFonts w:hint="eastAsia" w:ascii="宋体" w:hAnsi="宋体" w:eastAsia="宋体" w:cs="宋体"/>
                <w:color w:val="000000" w:themeColor="text1"/>
                <w:kern w:val="2"/>
                <w:sz w:val="21"/>
                <w:szCs w:val="21"/>
                <w:lang w:val="en-US" w:eastAsia="zh-CN"/>
                <w14:textFill>
                  <w14:solidFill>
                    <w14:schemeClr w14:val="tx1"/>
                  </w14:solidFill>
                </w14:textFill>
              </w:rPr>
              <w:t>主要</w:t>
            </w:r>
            <w:r>
              <w:rPr>
                <w:rFonts w:hint="eastAsia" w:ascii="宋体" w:hAnsi="宋体" w:eastAsia="宋体" w:cs="宋体"/>
                <w:color w:val="000000" w:themeColor="text1"/>
                <w:kern w:val="2"/>
                <w:sz w:val="21"/>
                <w:szCs w:val="21"/>
                <w14:textFill>
                  <w14:solidFill>
                    <w14:schemeClr w14:val="tx1"/>
                  </w14:solidFill>
                </w14:textFill>
              </w:rPr>
              <w:t>机械设备、工具优劣评分。</w:t>
            </w:r>
          </w:p>
          <w:p>
            <w:pPr>
              <w:pStyle w:val="964"/>
              <w:keepNext w:val="0"/>
              <w:keepLines w:val="0"/>
              <w:pageBreakBefore w:val="0"/>
              <w:numPr>
                <w:ilvl w:val="0"/>
                <w:numId w:val="12"/>
              </w:numPr>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投标人对本项目的拟投入本项目设备、工具得当、实施性高的得5分。</w:t>
            </w:r>
          </w:p>
          <w:p>
            <w:pPr>
              <w:pStyle w:val="964"/>
              <w:keepNext w:val="0"/>
              <w:keepLines w:val="0"/>
              <w:pageBreakBefore w:val="0"/>
              <w:numPr>
                <w:ilvl w:val="0"/>
                <w:numId w:val="12"/>
              </w:numPr>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投标人对本项目的拟投入本项目设备、工具较得当、实施性较高的得</w:t>
            </w:r>
            <w:r>
              <w:rPr>
                <w:rFonts w:hint="eastAsia" w:hAnsi="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分。</w:t>
            </w:r>
          </w:p>
          <w:p>
            <w:pPr>
              <w:pStyle w:val="964"/>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3、投标人对本项目的拟投入本项目设备、工具一般、实施性一般的得</w:t>
            </w:r>
            <w:r>
              <w:rPr>
                <w:rFonts w:hint="eastAsia" w:hAnsi="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4、投标人对本项目的拟投入本项目设备、工具粗略、实施性差的得</w:t>
            </w:r>
            <w:r>
              <w:rPr>
                <w:rFonts w:hint="eastAsia" w:ascii="宋体" w:hAnsi="宋体" w:cs="宋体"/>
                <w:color w:val="000000" w:themeColor="text1"/>
                <w:kern w:val="2"/>
                <w:sz w:val="21"/>
                <w:szCs w:val="21"/>
                <w:lang w:val="en-US" w:eastAsia="zh-CN"/>
                <w14:textFill>
                  <w14:solidFill>
                    <w14:schemeClr w14:val="tx1"/>
                  </w14:solidFill>
                </w14:textFill>
              </w:rPr>
              <w:t>1</w:t>
            </w:r>
            <w:r>
              <w:rPr>
                <w:rFonts w:hint="eastAsia" w:ascii="宋体" w:hAnsi="宋体" w:eastAsia="宋体" w:cs="宋体"/>
                <w:color w:val="000000" w:themeColor="text1"/>
                <w:kern w:val="2"/>
                <w:sz w:val="21"/>
                <w:szCs w:val="21"/>
                <w14:textFill>
                  <w14:solidFill>
                    <w14:schemeClr w14:val="tx1"/>
                  </w14:solidFill>
                </w14:textFill>
              </w:rPr>
              <w:t>分。</w:t>
            </w:r>
          </w:p>
        </w:tc>
        <w:tc>
          <w:tcPr>
            <w:tcW w:w="653"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分</w:t>
            </w:r>
          </w:p>
        </w:tc>
        <w:tc>
          <w:tcPr>
            <w:tcW w:w="79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主观分</w:t>
            </w:r>
          </w:p>
        </w:tc>
        <w:tc>
          <w:tcPr>
            <w:tcW w:w="1617"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拟投入本项目设备、工具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13</w:t>
            </w:r>
          </w:p>
        </w:tc>
        <w:tc>
          <w:tcPr>
            <w:tcW w:w="4897" w:type="dxa"/>
            <w:vAlign w:val="center"/>
          </w:tcPr>
          <w:p>
            <w:pPr>
              <w:keepNext w:val="0"/>
              <w:keepLines w:val="0"/>
              <w:pageBreakBefore w:val="0"/>
              <w:kinsoku/>
              <w:wordWrap/>
              <w:overflowPunct/>
              <w:topLinePunct w:val="0"/>
              <w:autoSpaceDE/>
              <w:autoSpaceDN/>
              <w:bidi w:val="0"/>
              <w:spacing w:line="300" w:lineRule="auto"/>
              <w:textAlignment w:val="auto"/>
              <w:outlineLvl w:val="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有效投标报价的最低价作为评标基准价，其最低报价为满分；按［投标报价得分=（评标基准价/投标报价）*权重］的计算公式计算。</w:t>
            </w:r>
          </w:p>
          <w:p>
            <w:pPr>
              <w:keepNext w:val="0"/>
              <w:keepLines w:val="0"/>
              <w:pageBreakBefore w:val="0"/>
              <w:widowControl/>
              <w:shd w:val="clear" w:color="auto" w:fill="FFFFFF"/>
              <w:kinsoku/>
              <w:wordWrap/>
              <w:overflowPunct/>
              <w:topLinePunct w:val="0"/>
              <w:autoSpaceDE/>
              <w:autoSpaceDN/>
              <w:bidi w:val="0"/>
              <w:adjustRightInd/>
              <w:spacing w:after="225" w:line="30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0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本</w:t>
            </w:r>
            <w:r>
              <w:rPr>
                <w:rFonts w:hint="eastAsia" w:ascii="宋体" w:hAnsi="宋体" w:eastAsia="宋体" w:cs="宋体"/>
                <w:color w:val="000000" w:themeColor="text1"/>
                <w:kern w:val="0"/>
                <w:sz w:val="21"/>
                <w:szCs w:val="21"/>
                <w:lang w:eastAsia="zh-CN"/>
                <w14:textFill>
                  <w14:solidFill>
                    <w14:schemeClr w14:val="tx1"/>
                  </w14:solidFill>
                </w14:textFill>
              </w:rPr>
              <w:t>项目</w:t>
            </w:r>
            <w:r>
              <w:rPr>
                <w:rFonts w:hint="eastAsia" w:ascii="宋体" w:hAnsi="宋体" w:eastAsia="宋体" w:cs="宋体"/>
                <w:color w:val="000000" w:themeColor="text1"/>
                <w:kern w:val="0"/>
                <w:sz w:val="21"/>
                <w:szCs w:val="21"/>
                <w14:textFill>
                  <w14:solidFill>
                    <w14:schemeClr w14:val="tx1"/>
                  </w14:solidFill>
                </w14:textFill>
              </w:rPr>
              <w:t>未专门面向中小企业</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对小型和微型企业的投标报价给予10%的扣除，用扣除后的价格参与评审</w:t>
            </w:r>
            <w:r>
              <w:rPr>
                <w:rFonts w:hint="eastAsia" w:ascii="宋体" w:hAnsi="宋体" w:eastAsia="宋体" w:cs="宋体"/>
                <w:color w:val="000000" w:themeColor="text1"/>
                <w:kern w:val="0"/>
                <w:sz w:val="21"/>
                <w:szCs w:val="21"/>
                <w:lang w:eastAsia="zh-CN"/>
                <w14:textFill>
                  <w14:solidFill>
                    <w14:schemeClr w14:val="tx1"/>
                  </w14:solidFill>
                </w14:textFill>
              </w:rPr>
              <w:t>。</w:t>
            </w:r>
          </w:p>
        </w:tc>
        <w:tc>
          <w:tcPr>
            <w:tcW w:w="653" w:type="dxa"/>
            <w:vAlign w:val="center"/>
          </w:tcPr>
          <w:p>
            <w:pPr>
              <w:keepNext w:val="0"/>
              <w:keepLines w:val="0"/>
              <w:pageBreakBefore w:val="0"/>
              <w:kinsoku/>
              <w:wordWrap/>
              <w:overflowPunct/>
              <w:topLinePunct w:val="0"/>
              <w:autoSpaceDE/>
              <w:autoSpaceDN/>
              <w:bidi w:val="0"/>
              <w:spacing w:line="300" w:lineRule="auto"/>
              <w:textAlignment w:val="auto"/>
              <w:outlineLvl w:val="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10分</w:t>
            </w:r>
          </w:p>
        </w:tc>
        <w:tc>
          <w:tcPr>
            <w:tcW w:w="794" w:type="dxa"/>
            <w:vAlign w:val="center"/>
          </w:tcPr>
          <w:p>
            <w:pPr>
              <w:keepNext w:val="0"/>
              <w:keepLines w:val="0"/>
              <w:pageBreakBefore w:val="0"/>
              <w:kinsoku/>
              <w:wordWrap/>
              <w:overflowPunct/>
              <w:topLinePunct w:val="0"/>
              <w:autoSpaceDE/>
              <w:autoSpaceDN/>
              <w:bidi w:val="0"/>
              <w:spacing w:line="300" w:lineRule="auto"/>
              <w:textAlignment w:val="auto"/>
              <w:outlineLvl w:val="0"/>
              <w:rPr>
                <w:rFonts w:hint="eastAsia" w:ascii="宋体" w:hAnsi="宋体" w:eastAsia="宋体" w:cs="宋体"/>
                <w:color w:val="000000" w:themeColor="text1"/>
                <w:kern w:val="0"/>
                <w:sz w:val="21"/>
                <w:szCs w:val="21"/>
                <w14:textFill>
                  <w14:solidFill>
                    <w14:schemeClr w14:val="tx1"/>
                  </w14:solidFill>
                </w14:textFill>
              </w:rPr>
            </w:pPr>
          </w:p>
        </w:tc>
        <w:tc>
          <w:tcPr>
            <w:tcW w:w="1617" w:type="dxa"/>
            <w:vAlign w:val="center"/>
          </w:tcPr>
          <w:p>
            <w:pPr>
              <w:keepNext w:val="0"/>
              <w:keepLines w:val="0"/>
              <w:pageBreakBefore w:val="0"/>
              <w:kinsoku/>
              <w:wordWrap/>
              <w:overflowPunct/>
              <w:topLinePunct w:val="0"/>
              <w:autoSpaceDE/>
              <w:autoSpaceDN/>
              <w:bidi w:val="0"/>
              <w:spacing w:line="300" w:lineRule="auto"/>
              <w:textAlignment w:val="auto"/>
              <w:outlineLvl w:val="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rPr>
        <w:t>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w:t>
      </w:r>
      <w:r>
        <w:rPr>
          <w:rFonts w:hint="eastAsia" w:ascii="宋体" w:hAnsi="宋体" w:cs="宋体"/>
          <w:kern w:val="0"/>
          <w:szCs w:val="24"/>
        </w:rPr>
        <w:t>扣除后的价格参加评审。组成联合体或者接受分包的小微企业与联合体内其他企业、分包企业之间存在直接控股、管理关系的，不享受价格扣除优惠政策。</w:t>
      </w:r>
    </w:p>
    <w:p>
      <w:pPr>
        <w:spacing w:line="360" w:lineRule="auto"/>
        <w:ind w:firstLine="481"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，排名第二做为第二中标候选人</w:t>
      </w:r>
      <w:r>
        <w:rPr>
          <w:rFonts w:hint="eastAsia" w:ascii="宋体" w:hAnsi="宋体" w:cs="宋体"/>
          <w:kern w:val="0"/>
          <w:sz w:val="24"/>
        </w:rPr>
        <w:t>。</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5.1符合专业条件的供应商或者对招标文件作实质响应的供应商不足3家的；</w:t>
      </w:r>
    </w:p>
    <w:p>
      <w:pPr>
        <w:pStyle w:val="28"/>
        <w:snapToGrid w:val="0"/>
        <w:spacing w:line="360" w:lineRule="auto"/>
        <w:rPr>
          <w:rFonts w:cs="宋体"/>
        </w:rPr>
      </w:pPr>
      <w:r>
        <w:rPr>
          <w:rFonts w:hint="eastAsia" w:cs="宋体"/>
        </w:rPr>
        <w:t>5.2出现影响采购公正的违法、违规行为的；</w:t>
      </w:r>
    </w:p>
    <w:p>
      <w:pPr>
        <w:pStyle w:val="28"/>
        <w:snapToGrid w:val="0"/>
        <w:spacing w:line="360" w:lineRule="auto"/>
        <w:rPr>
          <w:rFonts w:cs="宋体"/>
        </w:rPr>
      </w:pPr>
      <w:r>
        <w:rPr>
          <w:rFonts w:hint="eastAsia" w:cs="宋体"/>
        </w:rPr>
        <w:t>5.3投标人的报价均超过了采购预算，采购人不能支付的；</w:t>
      </w:r>
    </w:p>
    <w:p>
      <w:pPr>
        <w:pStyle w:val="28"/>
        <w:snapToGrid w:val="0"/>
        <w:spacing w:line="360" w:lineRule="auto"/>
        <w:rPr>
          <w:rFonts w:cs="宋体"/>
        </w:rPr>
      </w:pPr>
      <w:r>
        <w:rPr>
          <w:rFonts w:hint="eastAsia" w:cs="宋体"/>
        </w:rPr>
        <w:t>5.4因重大变故，采购任务取消的。</w:t>
      </w:r>
    </w:p>
    <w:p>
      <w:pPr>
        <w:pStyle w:val="28"/>
        <w:snapToGrid w:val="0"/>
        <w:spacing w:line="360" w:lineRule="auto"/>
        <w:rPr>
          <w:rFonts w:cs="宋体"/>
        </w:rPr>
      </w:pPr>
      <w:r>
        <w:rPr>
          <w:rFonts w:hint="eastAsia" w:cs="宋体"/>
        </w:rPr>
        <w:t>废标后，</w:t>
      </w:r>
      <w:r>
        <w:rPr>
          <w:rFonts w:hint="eastAsia" w:cs="宋体"/>
          <w:lang w:eastAsia="zh-CN"/>
        </w:rPr>
        <w:t>集采机构</w:t>
      </w:r>
      <w:r>
        <w:rPr>
          <w:rFonts w:hint="eastAsia" w:cs="宋体"/>
        </w:rPr>
        <w:t>应当将废标理由通知所有投标人。</w:t>
      </w:r>
    </w:p>
    <w:p>
      <w:pPr>
        <w:pStyle w:val="2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集采机构</w:t>
      </w:r>
      <w:r>
        <w:rPr>
          <w:rFonts w:hint="eastAsia" w:cs="宋体"/>
        </w:rPr>
        <w:t>沟通并作书面记录。采购人、</w:t>
      </w:r>
      <w:r>
        <w:rPr>
          <w:rFonts w:hint="eastAsia" w:cs="宋体"/>
          <w:lang w:eastAsia="zh-CN"/>
        </w:rPr>
        <w:t>集采机构</w:t>
      </w:r>
      <w:r>
        <w:rPr>
          <w:rFonts w:hint="eastAsia" w:cs="宋体"/>
        </w:rPr>
        <w:t>确认后，将修改招标文件，重新组织采购活动。</w:t>
      </w:r>
    </w:p>
    <w:p>
      <w:pPr>
        <w:pStyle w:val="2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8"/>
        <w:snapToGrid w:val="0"/>
        <w:spacing w:line="360" w:lineRule="auto"/>
        <w:rPr>
          <w:rFonts w:cs="宋体"/>
        </w:rPr>
      </w:pPr>
      <w:r>
        <w:rPr>
          <w:rFonts w:hint="eastAsia" w:cs="宋体"/>
        </w:rPr>
        <w:t>7.1未确定中标供应商的，终止本次政府采购活动，重新开展政府采购活动。</w:t>
      </w:r>
    </w:p>
    <w:p>
      <w:pPr>
        <w:pStyle w:val="2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cs="宋体"/>
        </w:rPr>
      </w:pPr>
      <w:r>
        <w:rPr>
          <w:rFonts w:hint="eastAsia" w:cs="宋体"/>
        </w:rPr>
        <w:t>7.4政府采购合同已经履行，给采购人、供应商造成损失的，由责任人承担赔偿责任。</w:t>
      </w:r>
    </w:p>
    <w:p>
      <w:pPr>
        <w:pStyle w:val="2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8"/>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401" w:name="第五部分"/>
      <w:bookmarkStart w:id="402"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1" w:firstLineChars="200"/>
        <w:outlineLvl w:val="0"/>
        <w:rPr>
          <w:rFonts w:ascii="宋体" w:hAnsi="宋体"/>
          <w:sz w:val="24"/>
        </w:rPr>
      </w:pPr>
      <w:bookmarkStart w:id="403" w:name="_Toc28855"/>
      <w:bookmarkStart w:id="404" w:name="_Toc20421"/>
      <w:bookmarkStart w:id="405" w:name="_Toc22967"/>
      <w:bookmarkStart w:id="406" w:name="_Toc15367"/>
      <w:bookmarkStart w:id="407" w:name="_Toc19273"/>
      <w:r>
        <w:rPr>
          <w:rFonts w:ascii="宋体" w:hAnsi="宋体"/>
          <w:b/>
          <w:sz w:val="24"/>
        </w:rPr>
        <w:t xml:space="preserve">1.1 </w:t>
      </w:r>
      <w:r>
        <w:rPr>
          <w:rFonts w:hint="eastAsia" w:ascii="宋体" w:hAnsi="宋体"/>
          <w:b/>
          <w:sz w:val="24"/>
        </w:rPr>
        <w:t>合同组成部分</w:t>
      </w:r>
      <w:bookmarkEnd w:id="403"/>
      <w:bookmarkEnd w:id="404"/>
      <w:bookmarkEnd w:id="405"/>
      <w:bookmarkEnd w:id="406"/>
      <w:bookmarkEnd w:id="407"/>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1" w:firstLineChars="200"/>
        <w:outlineLvl w:val="0"/>
        <w:rPr>
          <w:rFonts w:ascii="宋体" w:hAnsi="宋体"/>
          <w:b/>
          <w:sz w:val="24"/>
        </w:rPr>
      </w:pPr>
      <w:bookmarkStart w:id="408" w:name="_Toc18585"/>
      <w:bookmarkStart w:id="409" w:name="_Toc6773"/>
      <w:bookmarkStart w:id="410" w:name="_Toc6311"/>
      <w:bookmarkStart w:id="411" w:name="_Toc2918"/>
      <w:bookmarkStart w:id="412" w:name="_Toc22185"/>
      <w:r>
        <w:rPr>
          <w:rFonts w:ascii="宋体" w:hAnsi="宋体"/>
          <w:b/>
          <w:sz w:val="24"/>
        </w:rPr>
        <w:t xml:space="preserve">1.2 </w:t>
      </w:r>
      <w:r>
        <w:rPr>
          <w:rFonts w:hint="eastAsia" w:ascii="宋体" w:hAnsi="宋体"/>
          <w:b/>
          <w:sz w:val="24"/>
        </w:rPr>
        <w:t>标的</w:t>
      </w:r>
      <w:bookmarkEnd w:id="408"/>
      <w:bookmarkEnd w:id="409"/>
      <w:bookmarkEnd w:id="410"/>
      <w:bookmarkEnd w:id="411"/>
      <w:bookmarkEnd w:id="412"/>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13" w:name="_Toc5635"/>
      <w:bookmarkStart w:id="414" w:name="_Toc21124"/>
      <w:bookmarkStart w:id="415" w:name="_Toc13918"/>
      <w:bookmarkStart w:id="416" w:name="_Toc4929"/>
      <w:bookmarkStart w:id="417"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1" w:firstLineChars="200"/>
        <w:outlineLvl w:val="0"/>
        <w:rPr>
          <w:rFonts w:ascii="宋体" w:hAnsi="宋体"/>
          <w:b/>
          <w:sz w:val="24"/>
        </w:rPr>
      </w:pPr>
      <w:r>
        <w:rPr>
          <w:rFonts w:ascii="宋体" w:hAnsi="宋体"/>
          <w:b/>
          <w:sz w:val="24"/>
        </w:rPr>
        <w:t>1.3 价款</w:t>
      </w:r>
      <w:bookmarkEnd w:id="413"/>
      <w:bookmarkEnd w:id="414"/>
      <w:bookmarkEnd w:id="415"/>
      <w:bookmarkEnd w:id="416"/>
      <w:bookmarkEnd w:id="417"/>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sz w:val="24"/>
                <w:szCs w:val="24"/>
              </w:rPr>
            </w:pPr>
            <w:r>
              <w:rPr>
                <w:rFonts w:hAnsi="宋体"/>
                <w:sz w:val="24"/>
                <w:szCs w:val="24"/>
              </w:rPr>
              <w:t>序号</w:t>
            </w:r>
          </w:p>
        </w:tc>
        <w:tc>
          <w:tcPr>
            <w:tcW w:w="3402" w:type="dxa"/>
            <w:vAlign w:val="center"/>
          </w:tcPr>
          <w:p>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9"/>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9"/>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8" w:name="_Toc3654"/>
      <w:bookmarkStart w:id="419" w:name="_Toc30158"/>
      <w:bookmarkStart w:id="420" w:name="_Toc26916"/>
      <w:bookmarkStart w:id="421" w:name="_Toc30506"/>
      <w:bookmarkStart w:id="422"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8"/>
    <w:bookmarkEnd w:id="419"/>
    <w:bookmarkEnd w:id="420"/>
    <w:bookmarkEnd w:id="421"/>
    <w:bookmarkEnd w:id="422"/>
    <w:p>
      <w:pPr>
        <w:pStyle w:val="959"/>
        <w:spacing w:before="0" w:beforeAutospacing="0" w:after="0" w:afterAutospacing="0" w:line="360" w:lineRule="auto"/>
        <w:ind w:firstLine="480"/>
        <w:rPr>
          <w:b/>
        </w:rPr>
      </w:pPr>
      <w:bookmarkStart w:id="423" w:name="_Toc1814"/>
      <w:bookmarkStart w:id="424" w:name="_Toc22618"/>
      <w:bookmarkStart w:id="425" w:name="_Toc10340"/>
      <w:bookmarkStart w:id="426" w:name="_Toc3625"/>
      <w:bookmarkStart w:id="427" w:name="_Toc31421"/>
      <w:bookmarkStart w:id="428" w:name="_Toc11108"/>
      <w:bookmarkStart w:id="429" w:name="_Toc8772"/>
      <w:bookmarkStart w:id="430" w:name="_Toc4760"/>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1" w:firstLineChars="200"/>
        <w:outlineLvl w:val="0"/>
        <w:rPr>
          <w:rFonts w:ascii="宋体" w:hAnsi="宋体" w:cs="宋体"/>
          <w:b/>
          <w:sz w:val="24"/>
        </w:rPr>
      </w:pPr>
      <w:r>
        <w:rPr>
          <w:rFonts w:hint="eastAsia" w:ascii="宋体" w:hAnsi="宋体" w:cs="宋体"/>
          <w:b/>
          <w:sz w:val="24"/>
        </w:rPr>
        <w:t>1.5</w:t>
      </w:r>
      <w:bookmarkEnd w:id="423"/>
      <w:bookmarkEnd w:id="424"/>
      <w:bookmarkEnd w:id="425"/>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1"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6"/>
      <w:bookmarkEnd w:id="427"/>
      <w:bookmarkEnd w:id="428"/>
      <w:bookmarkEnd w:id="429"/>
      <w:bookmarkEnd w:id="430"/>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31" w:name="_Toc2375"/>
      <w:bookmarkStart w:id="432" w:name="_Toc5698"/>
      <w:bookmarkStart w:id="433" w:name="_Toc3079"/>
      <w:bookmarkStart w:id="434" w:name="_Toc8586"/>
      <w:bookmarkStart w:id="435"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1"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1"/>
      <w:bookmarkEnd w:id="432"/>
      <w:bookmarkEnd w:id="433"/>
      <w:bookmarkEnd w:id="434"/>
      <w:bookmarkEnd w:id="435"/>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6" w:name="_Toc32454"/>
      <w:bookmarkStart w:id="437" w:name="_Toc30329"/>
      <w:bookmarkStart w:id="438" w:name="_Toc26807"/>
      <w:bookmarkStart w:id="439" w:name="_Toc18683"/>
      <w:bookmarkStart w:id="440"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6"/>
    <w:bookmarkEnd w:id="437"/>
    <w:bookmarkEnd w:id="438"/>
    <w:bookmarkEnd w:id="439"/>
    <w:bookmarkEnd w:id="440"/>
    <w:p>
      <w:pPr>
        <w:spacing w:line="560" w:lineRule="exact"/>
        <w:ind w:firstLine="481" w:firstLineChars="200"/>
        <w:outlineLvl w:val="0"/>
        <w:rPr>
          <w:rFonts w:ascii="宋体" w:hAnsi="宋体" w:cs="宋体"/>
          <w:b/>
          <w:sz w:val="24"/>
        </w:rPr>
      </w:pPr>
      <w:bookmarkStart w:id="441" w:name="_Toc28375"/>
      <w:bookmarkStart w:id="442" w:name="_Toc15583"/>
      <w:bookmarkStart w:id="443" w:name="_Toc16021"/>
      <w:r>
        <w:rPr>
          <w:rFonts w:hint="eastAsia" w:ascii="宋体" w:hAnsi="宋体" w:cs="宋体"/>
          <w:b/>
          <w:sz w:val="24"/>
        </w:rPr>
        <w:t>1.9合同争议的解决</w:t>
      </w:r>
      <w:bookmarkEnd w:id="441"/>
      <w:bookmarkEnd w:id="442"/>
      <w:bookmarkEnd w:id="443"/>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1" w:firstLineChars="200"/>
        <w:outlineLvl w:val="0"/>
        <w:rPr>
          <w:rFonts w:ascii="宋体" w:hAnsi="宋体" w:cs="宋体"/>
          <w:b/>
          <w:sz w:val="24"/>
        </w:rPr>
      </w:pPr>
      <w:bookmarkStart w:id="444" w:name="_Toc15322"/>
      <w:bookmarkStart w:id="445" w:name="_Toc7245"/>
      <w:bookmarkStart w:id="446" w:name="_Toc11173"/>
      <w:r>
        <w:rPr>
          <w:rFonts w:hint="eastAsia" w:ascii="宋体" w:hAnsi="宋体" w:cs="宋体"/>
          <w:b/>
          <w:sz w:val="24"/>
        </w:rPr>
        <w:t>2.0 合同生效</w:t>
      </w:r>
      <w:bookmarkEnd w:id="444"/>
      <w:bookmarkEnd w:id="445"/>
      <w:bookmarkEnd w:id="446"/>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1" w:firstLineChars="200"/>
        <w:outlineLvl w:val="0"/>
        <w:rPr>
          <w:rFonts w:ascii="宋体" w:hAnsi="宋体"/>
          <w:b/>
          <w:sz w:val="24"/>
        </w:rPr>
      </w:pPr>
      <w:bookmarkStart w:id="447" w:name="_Toc14021"/>
      <w:bookmarkStart w:id="448" w:name="_Toc19680"/>
      <w:bookmarkStart w:id="449" w:name="_Toc25079"/>
      <w:bookmarkStart w:id="450" w:name="_Toc5228"/>
      <w:bookmarkStart w:id="451" w:name="_Toc31297"/>
      <w:r>
        <w:rPr>
          <w:rFonts w:ascii="宋体" w:hAnsi="宋体"/>
          <w:b/>
          <w:sz w:val="24"/>
        </w:rPr>
        <w:t>2.1 定义</w:t>
      </w:r>
      <w:bookmarkEnd w:id="447"/>
      <w:bookmarkEnd w:id="448"/>
      <w:bookmarkEnd w:id="449"/>
      <w:bookmarkEnd w:id="450"/>
      <w:bookmarkEnd w:id="451"/>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w:t>
      </w:r>
      <w:r>
        <w:rPr>
          <w:rFonts w:hint="eastAsia" w:ascii="宋体" w:hAnsi="宋体"/>
          <w:sz w:val="24"/>
          <w:lang w:eastAsia="zh-CN"/>
        </w:rPr>
        <w:t>集采机构</w:t>
      </w:r>
      <w:r>
        <w:rPr>
          <w:rFonts w:hint="eastAsia" w:ascii="宋体" w:hAnsi="宋体"/>
          <w:sz w:val="24"/>
        </w:rPr>
        <w:t>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1" w:firstLineChars="200"/>
        <w:outlineLvl w:val="0"/>
        <w:rPr>
          <w:rFonts w:ascii="宋体" w:hAnsi="宋体"/>
          <w:b/>
          <w:sz w:val="24"/>
        </w:rPr>
      </w:pPr>
      <w:bookmarkStart w:id="452" w:name="_Toc19539"/>
      <w:bookmarkStart w:id="453" w:name="_Toc3769"/>
      <w:bookmarkStart w:id="454" w:name="_Toc16752"/>
      <w:bookmarkStart w:id="455" w:name="_Toc31402"/>
      <w:bookmarkStart w:id="456" w:name="_Toc23289"/>
      <w:r>
        <w:rPr>
          <w:rFonts w:ascii="宋体" w:hAnsi="宋体"/>
          <w:b/>
          <w:sz w:val="24"/>
        </w:rPr>
        <w:t>2.2 技术规范</w:t>
      </w:r>
      <w:bookmarkEnd w:id="452"/>
      <w:bookmarkEnd w:id="453"/>
      <w:bookmarkEnd w:id="454"/>
      <w:bookmarkEnd w:id="455"/>
      <w:bookmarkEnd w:id="456"/>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1" w:firstLineChars="200"/>
        <w:outlineLvl w:val="0"/>
        <w:rPr>
          <w:rFonts w:ascii="宋体" w:hAnsi="宋体"/>
          <w:b/>
          <w:sz w:val="24"/>
        </w:rPr>
      </w:pPr>
      <w:bookmarkStart w:id="457" w:name="_Toc27945"/>
      <w:bookmarkStart w:id="458" w:name="_Toc12412"/>
      <w:bookmarkStart w:id="459" w:name="_Toc9161"/>
      <w:bookmarkStart w:id="460" w:name="_Toc4133"/>
      <w:bookmarkStart w:id="461" w:name="_Toc13673"/>
      <w:r>
        <w:rPr>
          <w:rFonts w:ascii="宋体" w:hAnsi="宋体"/>
          <w:b/>
          <w:sz w:val="24"/>
        </w:rPr>
        <w:t>2.3 知识产权</w:t>
      </w:r>
      <w:bookmarkEnd w:id="457"/>
      <w:bookmarkEnd w:id="458"/>
      <w:bookmarkEnd w:id="459"/>
      <w:bookmarkEnd w:id="460"/>
      <w:bookmarkEnd w:id="461"/>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1"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1" w:firstLineChars="200"/>
        <w:outlineLvl w:val="0"/>
        <w:rPr>
          <w:rFonts w:ascii="宋体" w:hAnsi="宋体"/>
          <w:b/>
          <w:sz w:val="24"/>
        </w:rPr>
      </w:pPr>
      <w:bookmarkStart w:id="462" w:name="_Toc15447"/>
      <w:bookmarkStart w:id="463" w:name="_Toc32670"/>
      <w:bookmarkStart w:id="464" w:name="_Toc31233"/>
      <w:bookmarkStart w:id="465" w:name="_Toc26555"/>
      <w:bookmarkStart w:id="466" w:name="_Toc22011"/>
      <w:r>
        <w:rPr>
          <w:rFonts w:ascii="宋体" w:hAnsi="宋体"/>
          <w:b/>
          <w:sz w:val="24"/>
        </w:rPr>
        <w:t>2.5 结算方式和付款条件</w:t>
      </w:r>
      <w:bookmarkEnd w:id="462"/>
      <w:bookmarkEnd w:id="463"/>
      <w:bookmarkEnd w:id="464"/>
      <w:bookmarkEnd w:id="465"/>
      <w:bookmarkEnd w:id="466"/>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1" w:firstLineChars="200"/>
        <w:outlineLvl w:val="0"/>
        <w:rPr>
          <w:rFonts w:ascii="宋体" w:hAnsi="宋体"/>
          <w:b/>
          <w:sz w:val="24"/>
        </w:rPr>
      </w:pPr>
      <w:bookmarkStart w:id="467" w:name="_Toc13467"/>
      <w:bookmarkStart w:id="468" w:name="_Toc13154"/>
      <w:bookmarkStart w:id="469" w:name="_Toc30507"/>
      <w:bookmarkStart w:id="470" w:name="_Toc18990"/>
      <w:bookmarkStart w:id="471" w:name="_Toc16163"/>
      <w:r>
        <w:rPr>
          <w:rFonts w:ascii="宋体" w:hAnsi="宋体"/>
          <w:b/>
          <w:sz w:val="24"/>
        </w:rPr>
        <w:t>2.6 技术资料和保密义务</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1" w:firstLineChars="200"/>
        <w:outlineLvl w:val="0"/>
        <w:rPr>
          <w:rFonts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1" w:firstLineChars="200"/>
        <w:outlineLvl w:val="0"/>
        <w:rPr>
          <w:rFonts w:ascii="宋体" w:hAnsi="宋体"/>
          <w:b/>
          <w:sz w:val="24"/>
        </w:rPr>
      </w:pPr>
      <w:bookmarkStart w:id="473" w:name="_Toc22267"/>
      <w:r>
        <w:rPr>
          <w:rFonts w:ascii="宋体" w:hAnsi="宋体"/>
          <w:b/>
          <w:sz w:val="24"/>
        </w:rPr>
        <w:t xml:space="preserve">2.8 </w:t>
      </w:r>
      <w:r>
        <w:rPr>
          <w:rFonts w:hint="eastAsia" w:ascii="宋体" w:hAnsi="宋体"/>
          <w:b/>
          <w:sz w:val="24"/>
        </w:rPr>
        <w:t>延迟履行</w:t>
      </w:r>
      <w:bookmarkEnd w:id="473"/>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1" w:firstLineChars="200"/>
        <w:outlineLvl w:val="0"/>
        <w:rPr>
          <w:rFonts w:ascii="宋体" w:hAnsi="宋体"/>
          <w:b/>
          <w:sz w:val="24"/>
        </w:rPr>
      </w:pPr>
      <w:bookmarkStart w:id="474" w:name="_Toc10611"/>
      <w:r>
        <w:rPr>
          <w:rFonts w:ascii="宋体" w:hAnsi="宋体"/>
          <w:b/>
          <w:sz w:val="24"/>
        </w:rPr>
        <w:t xml:space="preserve">2.9 </w:t>
      </w:r>
      <w:r>
        <w:rPr>
          <w:rFonts w:hint="eastAsia" w:ascii="宋体" w:hAnsi="宋体"/>
          <w:b/>
          <w:sz w:val="24"/>
        </w:rPr>
        <w:t>合同变更</w:t>
      </w:r>
      <w:bookmarkEnd w:id="474"/>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1" w:firstLineChars="200"/>
        <w:outlineLvl w:val="0"/>
        <w:rPr>
          <w:rFonts w:ascii="宋体" w:hAnsi="宋体"/>
          <w:b/>
          <w:sz w:val="24"/>
        </w:rPr>
      </w:pPr>
      <w:bookmarkStart w:id="475" w:name="_Toc23368"/>
      <w:bookmarkStart w:id="476" w:name="_Toc26689"/>
      <w:bookmarkStart w:id="477" w:name="_Toc10663"/>
      <w:bookmarkStart w:id="478" w:name="_Toc21830"/>
      <w:bookmarkStart w:id="479" w:name="_Toc42"/>
      <w:r>
        <w:rPr>
          <w:rFonts w:ascii="宋体" w:hAnsi="宋体"/>
          <w:b/>
          <w:sz w:val="24"/>
        </w:rPr>
        <w:t>2.10 合同转让和分包</w:t>
      </w:r>
      <w:bookmarkEnd w:id="475"/>
      <w:bookmarkEnd w:id="476"/>
      <w:bookmarkEnd w:id="477"/>
      <w:bookmarkEnd w:id="478"/>
      <w:bookmarkEnd w:id="479"/>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1" w:firstLineChars="200"/>
        <w:outlineLvl w:val="0"/>
        <w:rPr>
          <w:rFonts w:ascii="宋体" w:hAnsi="宋体"/>
          <w:b/>
          <w:sz w:val="24"/>
        </w:rPr>
      </w:pPr>
      <w:bookmarkStart w:id="480" w:name="_Toc14371"/>
      <w:bookmarkStart w:id="481" w:name="_Toc26633"/>
      <w:bookmarkStart w:id="482" w:name="_Toc25571"/>
      <w:bookmarkStart w:id="483" w:name="_Toc32494"/>
      <w:bookmarkStart w:id="484" w:name="_Toc4720"/>
      <w:r>
        <w:rPr>
          <w:rFonts w:ascii="宋体" w:hAnsi="宋体"/>
          <w:b/>
          <w:sz w:val="24"/>
        </w:rPr>
        <w:t>2.11 不可抗力</w:t>
      </w:r>
      <w:bookmarkEnd w:id="480"/>
      <w:bookmarkEnd w:id="481"/>
      <w:bookmarkEnd w:id="482"/>
      <w:bookmarkEnd w:id="483"/>
      <w:bookmarkEnd w:id="484"/>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1" w:firstLineChars="200"/>
        <w:outlineLvl w:val="0"/>
        <w:rPr>
          <w:rFonts w:ascii="宋体" w:hAnsi="宋体"/>
          <w:b/>
          <w:sz w:val="24"/>
        </w:rPr>
      </w:pPr>
      <w:bookmarkStart w:id="485" w:name="_Toc24465"/>
      <w:bookmarkStart w:id="486" w:name="_Toc23854"/>
      <w:bookmarkStart w:id="487" w:name="_Toc25783"/>
      <w:bookmarkStart w:id="488" w:name="_Toc3638"/>
      <w:bookmarkStart w:id="489" w:name="_Toc14115"/>
      <w:r>
        <w:rPr>
          <w:rFonts w:ascii="宋体" w:hAnsi="宋体"/>
          <w:b/>
          <w:sz w:val="24"/>
        </w:rPr>
        <w:t>2.12 税费</w:t>
      </w:r>
      <w:bookmarkEnd w:id="485"/>
      <w:bookmarkEnd w:id="486"/>
      <w:bookmarkEnd w:id="487"/>
      <w:bookmarkEnd w:id="488"/>
      <w:bookmarkEnd w:id="489"/>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1" w:firstLineChars="200"/>
        <w:outlineLvl w:val="0"/>
        <w:rPr>
          <w:rFonts w:ascii="宋体" w:hAnsi="宋体"/>
          <w:b/>
          <w:sz w:val="24"/>
        </w:rPr>
      </w:pPr>
      <w:bookmarkStart w:id="490" w:name="_Toc25525"/>
      <w:bookmarkStart w:id="491" w:name="_Toc7315"/>
      <w:bookmarkStart w:id="492" w:name="_Toc14814"/>
      <w:bookmarkStart w:id="493" w:name="_Toc26883"/>
      <w:bookmarkStart w:id="494" w:name="_Toc30105"/>
      <w:r>
        <w:rPr>
          <w:rFonts w:ascii="宋体" w:hAnsi="宋体"/>
          <w:b/>
          <w:sz w:val="24"/>
        </w:rPr>
        <w:t>2.13 乙方破产</w:t>
      </w:r>
      <w:bookmarkEnd w:id="490"/>
      <w:bookmarkEnd w:id="491"/>
      <w:bookmarkEnd w:id="492"/>
      <w:bookmarkEnd w:id="493"/>
      <w:bookmarkEnd w:id="494"/>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1" w:firstLineChars="200"/>
        <w:outlineLvl w:val="0"/>
        <w:rPr>
          <w:rFonts w:ascii="宋体" w:hAnsi="宋体"/>
          <w:b/>
          <w:sz w:val="24"/>
        </w:rPr>
      </w:pPr>
      <w:bookmarkStart w:id="495" w:name="_Toc2016"/>
      <w:bookmarkStart w:id="496" w:name="_Toc23323"/>
      <w:bookmarkStart w:id="497" w:name="_Toc1123"/>
      <w:r>
        <w:rPr>
          <w:rFonts w:ascii="宋体" w:hAnsi="宋体"/>
          <w:b/>
          <w:sz w:val="24"/>
        </w:rPr>
        <w:t>2.14 合同中止、终止</w:t>
      </w:r>
      <w:bookmarkEnd w:id="495"/>
      <w:bookmarkEnd w:id="496"/>
      <w:bookmarkEnd w:id="497"/>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1" w:firstLineChars="200"/>
        <w:outlineLvl w:val="0"/>
        <w:rPr>
          <w:rFonts w:ascii="宋体" w:hAnsi="宋体"/>
          <w:b/>
          <w:sz w:val="24"/>
        </w:rPr>
      </w:pPr>
      <w:bookmarkStart w:id="498" w:name="_Toc1969"/>
      <w:bookmarkStart w:id="499" w:name="_Toc17363"/>
      <w:bookmarkStart w:id="500" w:name="_Toc14525"/>
      <w:r>
        <w:rPr>
          <w:rFonts w:ascii="宋体" w:hAnsi="宋体"/>
          <w:b/>
          <w:sz w:val="24"/>
        </w:rPr>
        <w:t>2.15 检验和验收</w:t>
      </w:r>
      <w:bookmarkEnd w:id="498"/>
      <w:bookmarkEnd w:id="499"/>
      <w:bookmarkEnd w:id="500"/>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1" w:firstLineChars="200"/>
        <w:outlineLvl w:val="0"/>
        <w:rPr>
          <w:rFonts w:ascii="宋体" w:hAnsi="宋体"/>
          <w:b/>
          <w:sz w:val="24"/>
        </w:rPr>
      </w:pPr>
      <w:bookmarkStart w:id="501" w:name="_Toc12666"/>
      <w:bookmarkStart w:id="502" w:name="_Toc25198"/>
      <w:bookmarkStart w:id="503" w:name="_Toc9808"/>
      <w:bookmarkStart w:id="504" w:name="_Toc2308"/>
      <w:bookmarkStart w:id="505" w:name="_Toc31892"/>
      <w:r>
        <w:rPr>
          <w:rFonts w:ascii="宋体" w:hAnsi="宋体"/>
          <w:b/>
          <w:sz w:val="24"/>
        </w:rPr>
        <w:t>2.16 通知和送达</w:t>
      </w:r>
      <w:bookmarkEnd w:id="501"/>
      <w:bookmarkEnd w:id="502"/>
      <w:bookmarkEnd w:id="503"/>
      <w:bookmarkEnd w:id="504"/>
      <w:bookmarkEnd w:id="505"/>
    </w:p>
    <w:p>
      <w:pPr>
        <w:spacing w:line="560" w:lineRule="exact"/>
        <w:ind w:firstLine="480" w:firstLineChars="200"/>
        <w:rPr>
          <w:rFonts w:ascii="宋体" w:hAnsi="宋体"/>
          <w:sz w:val="24"/>
        </w:rPr>
      </w:pPr>
      <w:bookmarkStart w:id="506" w:name="_Toc18401"/>
      <w:bookmarkStart w:id="507"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6"/>
      <w:bookmarkEnd w:id="507"/>
    </w:p>
    <w:p>
      <w:pPr>
        <w:spacing w:line="560" w:lineRule="exact"/>
        <w:ind w:firstLine="481" w:firstLineChars="200"/>
        <w:outlineLvl w:val="0"/>
        <w:rPr>
          <w:rFonts w:ascii="宋体" w:hAnsi="宋体"/>
          <w:b/>
          <w:sz w:val="24"/>
        </w:rPr>
      </w:pPr>
      <w:bookmarkStart w:id="508" w:name="_Toc5063"/>
      <w:bookmarkStart w:id="509" w:name="_Toc12254"/>
      <w:bookmarkStart w:id="510" w:name="_Toc28906"/>
      <w:bookmarkStart w:id="511" w:name="_Toc20808"/>
      <w:bookmarkStart w:id="512"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8"/>
      <w:bookmarkEnd w:id="509"/>
      <w:bookmarkEnd w:id="510"/>
      <w:bookmarkEnd w:id="511"/>
      <w:bookmarkEnd w:id="512"/>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1" w:firstLineChars="200"/>
        <w:outlineLvl w:val="0"/>
        <w:rPr>
          <w:rFonts w:ascii="宋体" w:hAnsi="宋体" w:cs="宋体"/>
          <w:b/>
          <w:sz w:val="24"/>
        </w:rPr>
      </w:pPr>
      <w:bookmarkStart w:id="513" w:name="_Toc18540"/>
      <w:bookmarkStart w:id="514" w:name="_Toc4355"/>
      <w:bookmarkStart w:id="515" w:name="_Toc30599"/>
      <w:r>
        <w:rPr>
          <w:rFonts w:hint="eastAsia" w:ascii="宋体" w:hAnsi="宋体" w:cs="宋体"/>
          <w:b/>
          <w:sz w:val="24"/>
        </w:rPr>
        <w:t>2.18 计量单位</w:t>
      </w:r>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1"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6" w:name="_Toc331685784"/>
      <w:r>
        <w:rPr>
          <w:rFonts w:hint="eastAsia" w:ascii="宋体" w:hAnsi="宋体" w:cs="宋体"/>
          <w:b/>
          <w:sz w:val="24"/>
        </w:rPr>
        <w:t xml:space="preserve"> </w:t>
      </w:r>
      <w:bookmarkEnd w:id="516"/>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1.3.2</w:t>
            </w:r>
          </w:p>
        </w:tc>
        <w:tc>
          <w:tcPr>
            <w:tcW w:w="8440" w:type="dxa"/>
            <w:vAlign w:val="center"/>
          </w:tcPr>
          <w:p>
            <w:pPr>
              <w:pStyle w:val="839"/>
              <w:spacing w:line="440" w:lineRule="exact"/>
              <w:ind w:left="0" w:leftChars="0" w:firstLine="0" w:firstLineChars="0"/>
              <w:rPr>
                <w:rFonts w:ascii="宋体" w:hAnsi="宋体" w:cs="宋体"/>
                <w:color w:val="1D41D5"/>
                <w:sz w:val="24"/>
                <w:highlight w:val="none"/>
              </w:rPr>
            </w:pPr>
            <w:r>
              <w:rPr>
                <w:rFonts w:hint="eastAsia" w:ascii="宋体" w:hAnsi="宋体" w:eastAsia="宋体" w:cs="宋体"/>
                <w:kern w:val="2"/>
                <w:sz w:val="24"/>
                <w:szCs w:val="24"/>
                <w:u w:val="none"/>
                <w:lang w:val="en-US" w:eastAsia="zh-CN" w:bidi="ar-SA"/>
              </w:rPr>
              <w:t>服务工作量的计量方式为12个月。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44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560" w:lineRule="exact"/>
              <w:jc w:val="both"/>
              <w:rPr>
                <w:rFonts w:hint="eastAsia" w:ascii="宋体" w:hAnsi="宋体"/>
                <w:sz w:val="24"/>
                <w:highlight w:val="none"/>
              </w:rPr>
            </w:pPr>
            <w:r>
              <w:rPr>
                <w:rFonts w:hint="eastAsia" w:ascii="宋体" w:hAnsi="宋体"/>
                <w:sz w:val="24"/>
                <w:highlight w:val="none"/>
              </w:rPr>
              <w:t>1.4.2</w:t>
            </w:r>
          </w:p>
        </w:tc>
        <w:tc>
          <w:tcPr>
            <w:tcW w:w="8440" w:type="dxa"/>
            <w:vAlign w:val="center"/>
          </w:tcPr>
          <w:p>
            <w:pPr>
              <w:pStyle w:val="36"/>
              <w:tabs>
                <w:tab w:val="right" w:leader="dot" w:pos="8268"/>
              </w:tabs>
              <w:snapToGrid w:val="0"/>
              <w:spacing w:line="440" w:lineRule="exact"/>
              <w:ind w:left="0" w:leftChars="0"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中标人在收到中标通知书后7个工作日内，需向采购人提供合同总价1％的履约保证金或者由银行或者保险公司出具的履约期内持续有效的保函。履约保证金在中标人与采购人签订经济合同前递交。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560" w:lineRule="exact"/>
              <w:jc w:val="both"/>
              <w:rPr>
                <w:rFonts w:hint="eastAsia" w:ascii="宋体" w:hAnsi="宋体"/>
                <w:sz w:val="24"/>
                <w:highlight w:val="none"/>
              </w:rPr>
            </w:pPr>
            <w:r>
              <w:rPr>
                <w:rFonts w:hint="eastAsia" w:ascii="宋体" w:hAnsi="宋体"/>
                <w:sz w:val="24"/>
                <w:highlight w:val="none"/>
              </w:rPr>
              <w:t>1.6.2</w:t>
            </w:r>
          </w:p>
        </w:tc>
        <w:tc>
          <w:tcPr>
            <w:tcW w:w="8440" w:type="dxa"/>
            <w:vAlign w:val="center"/>
          </w:tcPr>
          <w:p>
            <w:pPr>
              <w:spacing w:line="360" w:lineRule="auto"/>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合同签订方式：一年一签，</w:t>
            </w:r>
            <w:r>
              <w:rPr>
                <w:rFonts w:hint="eastAsia" w:ascii="宋体" w:hAnsi="宋体" w:eastAsia="宋体" w:cs="宋体"/>
                <w:color w:val="000000" w:themeColor="text1"/>
                <w:sz w:val="24"/>
                <w:szCs w:val="24"/>
                <w:u w:val="none"/>
                <w14:textFill>
                  <w14:solidFill>
                    <w14:schemeClr w14:val="tx1"/>
                  </w14:solidFill>
                </w14:textFill>
              </w:rPr>
              <w:t>付款方式为先做后结,由采购单位根据前一个月的考核结果支付承包经费（扣除考核费用）（不包含加班费1</w:t>
            </w: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14:textFill>
                  <w14:solidFill>
                    <w14:schemeClr w14:val="tx1"/>
                  </w14:solidFill>
                </w14:textFill>
              </w:rPr>
              <w:t>万元）的月平均数，每月的15日结前一个月的承包经费（遇节假日顺延）,每月15日为支付日，每月考核奖惩在年度奖罚金款项中体现。乙方需凭开具正式发票。加班费按照实际情况结算。</w:t>
            </w: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合同履约完成后7个工作日内无息退还履约保证金。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rPr>
              <w:t>1.7.1</w:t>
            </w:r>
          </w:p>
        </w:tc>
        <w:tc>
          <w:tcPr>
            <w:tcW w:w="8440" w:type="dxa"/>
            <w:vAlign w:val="center"/>
          </w:tcPr>
          <w:p>
            <w:pPr>
              <w:pStyle w:val="839"/>
              <w:spacing w:line="440" w:lineRule="exact"/>
              <w:ind w:left="0" w:leftChars="0" w:firstLine="0" w:firstLineChars="0"/>
              <w:rPr>
                <w:rFonts w:hint="eastAsia" w:ascii="宋体" w:hAnsi="宋体" w:eastAsia="宋体"/>
                <w:sz w:val="24"/>
                <w:highlight w:val="none"/>
                <w:lang w:eastAsia="zh-CN"/>
              </w:rPr>
            </w:pPr>
            <w:r>
              <w:rPr>
                <w:rFonts w:hint="eastAsia" w:ascii="宋体" w:hAnsi="宋体" w:eastAsia="宋体" w:cs="宋体"/>
                <w:color w:val="auto"/>
                <w:sz w:val="24"/>
                <w:szCs w:val="24"/>
                <w:lang w:val="en-US" w:eastAsia="zh-CN"/>
              </w:rPr>
              <w:t>自合同签订之日起12个月。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rPr>
              <w:t>1.7.2</w:t>
            </w:r>
          </w:p>
        </w:tc>
        <w:tc>
          <w:tcPr>
            <w:tcW w:w="8440" w:type="dxa"/>
            <w:vAlign w:val="center"/>
          </w:tcPr>
          <w:p>
            <w:pPr>
              <w:spacing w:line="360" w:lineRule="auto"/>
              <w:jc w:val="both"/>
              <w:rPr>
                <w:rFonts w:hint="eastAsia" w:ascii="宋体" w:hAnsi="宋体" w:eastAsiaTheme="minorEastAsia"/>
                <w:sz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rPr>
              <w:t>1.7.3</w:t>
            </w:r>
          </w:p>
        </w:tc>
        <w:tc>
          <w:tcPr>
            <w:tcW w:w="8440" w:type="dxa"/>
            <w:vAlign w:val="center"/>
          </w:tcPr>
          <w:p>
            <w:pPr>
              <w:spacing w:line="360" w:lineRule="auto"/>
              <w:jc w:val="both"/>
              <w:rPr>
                <w:rFonts w:hint="eastAsia" w:ascii="宋体" w:hAnsi="宋体"/>
                <w:sz w:val="24"/>
                <w:highlight w:val="none"/>
              </w:rPr>
            </w:pPr>
            <w:r>
              <w:rPr>
                <w:rFonts w:hint="eastAsia" w:ascii="宋体" w:hAnsi="宋体" w:cs="宋体"/>
                <w:sz w:val="24"/>
                <w:highlight w:val="none"/>
                <w:lang w:val="en-US" w:eastAsia="zh-CN"/>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8440" w:type="dxa"/>
            <w:vAlign w:val="center"/>
          </w:tcPr>
          <w:p>
            <w:pPr>
              <w:pStyle w:val="839"/>
              <w:spacing w:line="440" w:lineRule="exact"/>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color w:val="auto"/>
                <w:sz w:val="24"/>
                <w:szCs w:val="24"/>
                <w:lang w:val="en-US" w:eastAsia="zh-CN"/>
              </w:rPr>
              <w:t>自合同签订之日起12个月。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8440" w:type="dxa"/>
            <w:vAlign w:val="center"/>
          </w:tcPr>
          <w:p>
            <w:pPr>
              <w:spacing w:line="360" w:lineRule="auto"/>
              <w:jc w:val="both"/>
              <w:rPr>
                <w:rFonts w:hint="default" w:ascii="宋体" w:hAnsi="宋体" w:eastAsia="宋体" w:cs="宋体"/>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8440" w:type="dxa"/>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1.8.7</w:t>
            </w:r>
          </w:p>
        </w:tc>
        <w:tc>
          <w:tcPr>
            <w:tcW w:w="8440" w:type="dxa"/>
            <w:vAlign w:val="center"/>
          </w:tcPr>
          <w:p>
            <w:pPr>
              <w:spacing w:line="560" w:lineRule="exact"/>
              <w:rPr>
                <w:rFonts w:ascii="宋体" w:hAnsi="宋体"/>
                <w:sz w:val="24"/>
                <w:highlight w:val="none"/>
              </w:rPr>
            </w:pPr>
            <w:r>
              <w:rPr>
                <w:rFonts w:hint="default" w:ascii="Calibri" w:hAnsi="Calibri" w:cs="Calibri"/>
                <w:sz w:val="24"/>
                <w:highlight w:val="none"/>
              </w:rPr>
              <w:t>①</w:t>
            </w:r>
            <w:r>
              <w:rPr>
                <w:rFonts w:ascii="宋体" w:hAnsi="宋体"/>
                <w:sz w:val="24"/>
                <w:highlight w:val="none"/>
              </w:rPr>
              <w:t>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w:t>
            </w:r>
            <w:r>
              <w:rPr>
                <w:rFonts w:hint="eastAsia" w:ascii="宋体" w:hAnsi="宋体"/>
                <w:sz w:val="24"/>
                <w:highlight w:val="none"/>
                <w:lang w:eastAsia="zh-CN"/>
              </w:rPr>
              <w:t>采购人</w:t>
            </w:r>
            <w:r>
              <w:rPr>
                <w:rFonts w:ascii="宋体" w:hAnsi="宋体"/>
                <w:sz w:val="24"/>
                <w:highlight w:val="none"/>
              </w:rPr>
              <w:t>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w:t>
            </w:r>
            <w:r>
              <w:rPr>
                <w:rFonts w:hint="eastAsia" w:ascii="宋体" w:hAnsi="宋体"/>
                <w:sz w:val="24"/>
                <w:highlight w:val="none"/>
                <w:lang w:val="en-US" w:eastAsia="zh-CN"/>
              </w:rPr>
              <w:t>提供而</w:t>
            </w:r>
            <w:r>
              <w:rPr>
                <w:rFonts w:ascii="宋体" w:hAnsi="宋体"/>
                <w:sz w:val="24"/>
                <w:highlight w:val="none"/>
              </w:rPr>
              <w:t>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lang w:val="en-US" w:eastAsia="zh-CN"/>
              </w:rPr>
              <w:t>1</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hint="eastAsia" w:ascii="宋体" w:hAnsi="宋体"/>
                <w:sz w:val="24"/>
                <w:highlight w:val="none"/>
                <w:lang w:eastAsia="zh-CN"/>
              </w:rPr>
              <w:t>采购人</w:t>
            </w:r>
            <w:r>
              <w:rPr>
                <w:rFonts w:ascii="宋体" w:hAnsi="宋体"/>
                <w:sz w:val="24"/>
                <w:highlight w:val="none"/>
              </w:rPr>
              <w:t>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pPr>
              <w:pStyle w:val="5"/>
              <w:ind w:left="0" w:firstLine="481" w:firstLineChars="200"/>
              <w:rPr>
                <w:rFonts w:ascii="宋体" w:hAnsi="宋体" w:eastAsia="宋体" w:cs="宋体"/>
                <w:b w:val="0"/>
                <w:bCs w:val="0"/>
                <w:sz w:val="24"/>
                <w:szCs w:val="24"/>
                <w:highlight w:val="none"/>
                <w:lang w:val="en-US"/>
              </w:rPr>
            </w:pPr>
            <w:r>
              <w:rPr>
                <w:rFonts w:hint="default" w:ascii="Calibri" w:hAnsi="Calibri" w:cs="Calibri"/>
                <w:sz w:val="24"/>
                <w:highlight w:val="none"/>
              </w:rPr>
              <w:t>②</w:t>
            </w:r>
            <w:r>
              <w:rPr>
                <w:rFonts w:hint="eastAsia" w:ascii="宋体" w:hAnsi="宋体" w:eastAsia="宋体" w:cs="宋体"/>
                <w:b w:val="0"/>
                <w:bCs w:val="0"/>
                <w:sz w:val="24"/>
                <w:szCs w:val="24"/>
                <w:highlight w:val="none"/>
                <w:lang w:val="en-US"/>
              </w:rPr>
              <w:t>服务中涉及的货物，除不可抗力外，如果乙方没有按照本合同约定的期限、地点和方式交付货物，那么</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rPr>
              <w:t>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 xml:space="preserve">（可根据情况修改）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u w:val="single"/>
                <w:lang w:val="en-US" w:eastAsia="zh-CN"/>
              </w:rPr>
              <w:t>1</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rPr>
              <w:t>有权在要求乙方支付违约金的同时，书面通知乙方解除本合同；</w:t>
            </w:r>
          </w:p>
          <w:p>
            <w:pPr>
              <w:spacing w:line="560" w:lineRule="exact"/>
              <w:ind w:firstLine="480" w:firstLineChars="200"/>
              <w:rPr>
                <w:rFonts w:ascii="宋体" w:hAnsi="宋体"/>
                <w:sz w:val="24"/>
                <w:highlight w:val="none"/>
              </w:rPr>
            </w:pPr>
            <w:r>
              <w:rPr>
                <w:rFonts w:hint="default" w:ascii="Calibri" w:hAnsi="Calibri" w:cs="Calibri"/>
                <w:sz w:val="24"/>
                <w:highlight w:val="none"/>
              </w:rPr>
              <w:t>③</w:t>
            </w:r>
            <w:r>
              <w:rPr>
                <w:rFonts w:hint="eastAsia" w:ascii="宋体" w:hAnsi="宋体" w:cs="宋体"/>
                <w:sz w:val="24"/>
                <w:highlight w:val="none"/>
              </w:rPr>
              <w:t>除不可抗力外，如果</w:t>
            </w:r>
            <w:r>
              <w:rPr>
                <w:rFonts w:hint="eastAsia" w:ascii="宋体" w:hAnsi="宋体" w:cs="宋体"/>
                <w:sz w:val="24"/>
                <w:highlight w:val="none"/>
                <w:lang w:eastAsia="zh-CN"/>
              </w:rPr>
              <w:t>采购人</w:t>
            </w:r>
            <w:r>
              <w:rPr>
                <w:rFonts w:hint="eastAsia" w:ascii="宋体" w:hAnsi="宋体" w:cs="宋体"/>
                <w:sz w:val="24"/>
                <w:highlight w:val="none"/>
              </w:rPr>
              <w:t>没有按照本合同约定的付款方式付款，那么乙方可要求</w:t>
            </w:r>
            <w:r>
              <w:rPr>
                <w:rFonts w:hint="eastAsia" w:ascii="宋体" w:hAnsi="宋体" w:cs="宋体"/>
                <w:sz w:val="24"/>
                <w:highlight w:val="none"/>
                <w:lang w:eastAsia="zh-CN"/>
              </w:rPr>
              <w:t>采购人</w:t>
            </w:r>
            <w:r>
              <w:rPr>
                <w:rFonts w:hint="eastAsia" w:ascii="宋体" w:hAnsi="宋体" w:cs="宋体"/>
                <w:sz w:val="24"/>
                <w:highlight w:val="none"/>
              </w:rPr>
              <w:t>支付违约金，违约金按每迟延付款一日的应付而未付款的</w:t>
            </w:r>
            <w:r>
              <w:rPr>
                <w:rFonts w:hint="eastAsia" w:ascii="宋体" w:hAnsi="宋体" w:cs="宋体"/>
                <w:sz w:val="24"/>
                <w:highlight w:val="none"/>
                <w:u w:val="single"/>
              </w:rPr>
              <w:t xml:space="preserve">  0.</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w:t>
            </w:r>
            <w:r>
              <w:rPr>
                <w:rFonts w:hint="eastAsia" w:ascii="宋体" w:hAnsi="宋体" w:cs="宋体"/>
                <w:sz w:val="24"/>
                <w:highlight w:val="none"/>
                <w:lang w:eastAsia="zh-CN"/>
              </w:rPr>
              <w:t>采购人</w:t>
            </w:r>
            <w:r>
              <w:rPr>
                <w:rFonts w:hint="eastAsia" w:ascii="宋体" w:hAnsi="宋体" w:cs="宋体"/>
                <w:sz w:val="24"/>
                <w:highlight w:val="none"/>
              </w:rPr>
              <w:t>支付违约金的同时，书面通知</w:t>
            </w:r>
            <w:r>
              <w:rPr>
                <w:rFonts w:hint="eastAsia" w:ascii="宋体" w:hAnsi="宋体" w:cs="宋体"/>
                <w:sz w:val="24"/>
                <w:highlight w:val="none"/>
                <w:lang w:eastAsia="zh-CN"/>
              </w:rPr>
              <w:t>采购人</w:t>
            </w:r>
            <w:r>
              <w:rPr>
                <w:rFonts w:hint="eastAsia" w:ascii="宋体" w:hAnsi="宋体" w:cs="宋体"/>
                <w:sz w:val="24"/>
                <w:highlight w:val="none"/>
              </w:rPr>
              <w:t>解除本合同</w:t>
            </w:r>
            <w:r>
              <w:rPr>
                <w:rFonts w:hint="eastAsia" w:ascii="宋体" w:hAnsi="宋体"/>
                <w:sz w:val="24"/>
                <w:highlight w:val="none"/>
              </w:rPr>
              <w:t>；</w:t>
            </w:r>
          </w:p>
          <w:p>
            <w:pPr>
              <w:spacing w:line="560" w:lineRule="exact"/>
              <w:ind w:firstLine="480" w:firstLineChars="200"/>
              <w:rPr>
                <w:rFonts w:ascii="宋体" w:hAnsi="宋体" w:cs="宋体"/>
                <w:sz w:val="24"/>
                <w:highlight w:val="none"/>
              </w:rPr>
            </w:pPr>
            <w:r>
              <w:rPr>
                <w:rFonts w:hint="default" w:ascii="Calibri" w:hAnsi="Calibri" w:cs="Calibri"/>
                <w:sz w:val="24"/>
                <w:highlight w:val="none"/>
              </w:rPr>
              <w:t>④</w:t>
            </w:r>
            <w:r>
              <w:rPr>
                <w:rFonts w:hint="eastAsia" w:ascii="宋体" w:hAnsi="宋体" w:cs="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default" w:ascii="Calibri" w:hAnsi="Calibri" w:cs="Calibri"/>
                <w:sz w:val="24"/>
                <w:highlight w:val="none"/>
              </w:rPr>
              <w:t>⑤</w:t>
            </w:r>
            <w:r>
              <w:rPr>
                <w:rFonts w:hint="eastAsia" w:ascii="宋体" w:hAnsi="宋体" w:cs="宋体"/>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default" w:ascii="Calibri" w:hAnsi="Calibri" w:cs="Calibri"/>
                <w:sz w:val="24"/>
                <w:highlight w:val="none"/>
              </w:rPr>
              <w:t>⑥</w:t>
            </w:r>
            <w:r>
              <w:rPr>
                <w:rFonts w:hint="eastAsia" w:ascii="宋体" w:hAnsi="宋体" w:cs="宋体"/>
                <w:sz w:val="24"/>
                <w:highlight w:val="none"/>
              </w:rPr>
              <w:t>如果出现政府采购监督管理部门在处理投诉事项期间，书面通知</w:t>
            </w:r>
            <w:r>
              <w:rPr>
                <w:rFonts w:hint="eastAsia" w:ascii="宋体" w:hAnsi="宋体" w:cs="宋体"/>
                <w:sz w:val="24"/>
                <w:highlight w:val="none"/>
                <w:lang w:eastAsia="zh-CN"/>
              </w:rPr>
              <w:t>采购人</w:t>
            </w:r>
            <w:r>
              <w:rPr>
                <w:rFonts w:hint="eastAsia" w:ascii="宋体" w:hAnsi="宋体" w:cs="宋体"/>
                <w:sz w:val="24"/>
                <w:highlight w:val="none"/>
              </w:rPr>
              <w:t>暂停采购活动的情形，或者询问或质疑事项可能影响中标或者成交结果的，导致</w:t>
            </w:r>
            <w:r>
              <w:rPr>
                <w:rFonts w:hint="eastAsia" w:ascii="宋体" w:hAnsi="宋体" w:cs="宋体"/>
                <w:sz w:val="24"/>
                <w:highlight w:val="none"/>
                <w:lang w:eastAsia="zh-CN"/>
              </w:rPr>
              <w:t>采购人</w:t>
            </w:r>
            <w:r>
              <w:rPr>
                <w:rFonts w:hint="eastAsia" w:ascii="宋体" w:hAnsi="宋体" w:cs="宋体"/>
                <w:sz w:val="24"/>
                <w:highlight w:val="none"/>
              </w:rPr>
              <w:t>中止履行合同的情形，均不视为</w:t>
            </w:r>
            <w:r>
              <w:rPr>
                <w:rFonts w:hint="eastAsia" w:ascii="宋体" w:hAnsi="宋体" w:cs="宋体"/>
                <w:sz w:val="24"/>
                <w:highlight w:val="none"/>
                <w:lang w:eastAsia="zh-CN"/>
              </w:rPr>
              <w:t>采购人</w:t>
            </w:r>
            <w:r>
              <w:rPr>
                <w:rFonts w:hint="eastAsia" w:ascii="宋体" w:hAnsi="宋体" w:cs="宋体"/>
                <w:sz w:val="24"/>
                <w:highlight w:val="none"/>
              </w:rPr>
              <w:t>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none"/>
                <w:lang w:val="en-US" w:eastAsia="zh-CN"/>
              </w:rPr>
              <w:t>1.9</w:t>
            </w:r>
          </w:p>
        </w:tc>
        <w:tc>
          <w:tcPr>
            <w:tcW w:w="8440" w:type="dxa"/>
            <w:vAlign w:val="center"/>
          </w:tcPr>
          <w:p>
            <w:pPr>
              <w:spacing w:line="360" w:lineRule="auto"/>
              <w:rPr>
                <w:rFonts w:hint="default" w:ascii="宋体" w:hAnsi="宋体" w:cs="宋体"/>
                <w:sz w:val="24"/>
                <w:highlight w:val="yellow"/>
                <w:lang w:val="en-US"/>
              </w:rPr>
            </w:pPr>
            <w:r>
              <w:rPr>
                <w:rFonts w:hint="eastAsia" w:ascii="宋体" w:hAnsi="宋体" w:cs="宋体"/>
                <w:color w:val="auto"/>
                <w:sz w:val="24"/>
                <w:highlight w:val="none"/>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1.9.1</w:t>
            </w:r>
          </w:p>
        </w:tc>
        <w:tc>
          <w:tcPr>
            <w:tcW w:w="8440" w:type="dxa"/>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3"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none"/>
              </w:rPr>
              <w:t>1.9.2</w:t>
            </w:r>
          </w:p>
        </w:tc>
        <w:tc>
          <w:tcPr>
            <w:tcW w:w="8440" w:type="dxa"/>
            <w:vAlign w:val="center"/>
          </w:tcPr>
          <w:p>
            <w:pPr>
              <w:spacing w:line="360" w:lineRule="auto"/>
              <w:rPr>
                <w:rFonts w:ascii="宋体" w:hAnsi="宋体" w:cs="宋体"/>
                <w:sz w:val="24"/>
                <w:highlight w:val="yellow"/>
              </w:rPr>
            </w:pPr>
            <w:r>
              <w:rPr>
                <w:rFonts w:hint="eastAsia" w:ascii="宋体" w:hAnsi="宋体" w:cs="宋体"/>
                <w:color w:val="auto"/>
                <w:sz w:val="24"/>
                <w:highlight w:val="none"/>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2.3.2</w:t>
            </w:r>
          </w:p>
        </w:tc>
        <w:tc>
          <w:tcPr>
            <w:tcW w:w="8440" w:type="dxa"/>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440" w:type="dxa"/>
            <w:vAlign w:val="center"/>
          </w:tcPr>
          <w:p>
            <w:pPr>
              <w:spacing w:line="500" w:lineRule="exact"/>
              <w:rPr>
                <w:rFonts w:hint="eastAsia" w:ascii="宋体" w:hAnsi="宋体" w:eastAsia="宋体" w:cs="宋体"/>
                <w:sz w:val="24"/>
                <w:highlight w:val="none"/>
                <w:lang w:val="en-US" w:eastAsia="zh-CN"/>
              </w:rPr>
            </w:pPr>
            <w:r>
              <w:rPr>
                <w:rFonts w:hint="eastAsia" w:ascii="宋体" w:hAnsi="宋体" w:eastAsia="宋体" w:cs="宋体"/>
                <w:color w:val="000000" w:themeColor="text1"/>
                <w:sz w:val="24"/>
                <w:szCs w:val="24"/>
                <w:u w:val="none"/>
                <w:lang w:val="en-US" w:eastAsia="zh-CN"/>
                <w14:textFill>
                  <w14:solidFill>
                    <w14:schemeClr w14:val="tx1"/>
                  </w14:solidFill>
                </w14:textFill>
              </w:rPr>
              <w:t>合同签订方式：一年一签，</w:t>
            </w:r>
            <w:r>
              <w:rPr>
                <w:rFonts w:hint="eastAsia" w:ascii="宋体" w:hAnsi="宋体" w:eastAsia="宋体" w:cs="宋体"/>
                <w:color w:val="000000" w:themeColor="text1"/>
                <w:sz w:val="24"/>
                <w:szCs w:val="24"/>
                <w:u w:val="none"/>
                <w14:textFill>
                  <w14:solidFill>
                    <w14:schemeClr w14:val="tx1"/>
                  </w14:solidFill>
                </w14:textFill>
              </w:rPr>
              <w:t>付款方式为先做后结,由采购单位根据前一个月的考核结果支付承包经费（扣除考核费用）（不包含加班费1</w:t>
            </w: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14:textFill>
                  <w14:solidFill>
                    <w14:schemeClr w14:val="tx1"/>
                  </w14:solidFill>
                </w14:textFill>
              </w:rPr>
              <w:t>万元）的月平均数，每月的15日结前一个月的承包经费（遇节假日顺延）,每月15日为支付日，每月考核奖惩在年度奖罚金款项中体现。乙方需凭开具正式发票。加班费按照实际情况结算。</w:t>
            </w: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合同履约完成后7个工作日内无息退还履约保证金。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440" w:type="dxa"/>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440" w:type="dxa"/>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440" w:type="dxa"/>
            <w:vAlign w:val="center"/>
          </w:tcPr>
          <w:p>
            <w:pPr>
              <w:spacing w:line="360" w:lineRule="auto"/>
            </w:pPr>
            <w:r>
              <w:rPr>
                <w:rFonts w:hint="eastAsia" w:ascii="宋体" w:hAnsi="宋体" w:cs="宋体"/>
                <w:sz w:val="24"/>
                <w:highlight w:val="none"/>
                <w:lang w:val="en-US" w:eastAsia="zh-CN"/>
              </w:rPr>
              <w:t>乙方按照本合同考核的约定，</w:t>
            </w:r>
            <w:r>
              <w:rPr>
                <w:rFonts w:ascii="宋体" w:hAnsi="宋体"/>
                <w:sz w:val="24"/>
                <w:highlight w:val="none"/>
              </w:rPr>
              <w:t>定期提交服务报告</w:t>
            </w:r>
            <w:r>
              <w:rPr>
                <w:rFonts w:hint="eastAsia" w:ascii="宋体" w:hAnsi="宋体"/>
                <w:sz w:val="24"/>
                <w:highlight w:val="none"/>
                <w:lang w:eastAsia="zh-CN"/>
              </w:rPr>
              <w:t>，</w:t>
            </w:r>
            <w:r>
              <w:rPr>
                <w:rFonts w:hint="eastAsia" w:ascii="宋体" w:hAnsi="宋体"/>
                <w:sz w:val="24"/>
                <w:highlight w:val="none"/>
                <w:lang w:val="en-US" w:eastAsia="zh-CN"/>
              </w:rPr>
              <w:t>采购人按照</w:t>
            </w:r>
            <w:r>
              <w:rPr>
                <w:rFonts w:hint="eastAsia" w:ascii="宋体" w:hAnsi="宋体" w:cs="宋体"/>
                <w:sz w:val="24"/>
                <w:highlight w:val="none"/>
                <w:lang w:val="en-US" w:eastAsia="zh-CN"/>
              </w:rPr>
              <w:t>考核细侧及</w:t>
            </w:r>
            <w:r>
              <w:rPr>
                <w:rFonts w:hint="eastAsia" w:ascii="宋体" w:hAnsi="宋体"/>
                <w:sz w:val="24"/>
                <w:highlight w:val="none"/>
              </w:rPr>
              <w:t>《温州市政府采购履约验收办法》</w:t>
            </w:r>
            <w:r>
              <w:rPr>
                <w:rFonts w:hint="eastAsia" w:ascii="宋体" w:hAnsi="宋体"/>
                <w:sz w:val="24"/>
                <w:highlight w:val="none"/>
                <w:lang w:val="en-US" w:eastAsia="zh-CN"/>
              </w:rPr>
              <w:t>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440" w:type="dxa"/>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详见考核细则及</w:t>
            </w:r>
            <w:r>
              <w:rPr>
                <w:rFonts w:hint="eastAsia" w:ascii="宋体" w:hAnsi="宋体"/>
                <w:sz w:val="24"/>
                <w:highlight w:val="none"/>
              </w:rPr>
              <w:t>《温州市政府采购履约验收办法》</w:t>
            </w:r>
            <w:r>
              <w:rPr>
                <w:rFonts w:hint="eastAsia" w:ascii="宋体" w:hAnsi="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2.19</w:t>
            </w:r>
          </w:p>
        </w:tc>
        <w:tc>
          <w:tcPr>
            <w:tcW w:w="8440" w:type="dxa"/>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本合同一式陆份，采购人肆份，乙方贰份，每份均具有同等法律效力。</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集采机构</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我方参与（项目名称）【招标编号：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2"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481"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1"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集采机构</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17" w:name="_Hlk101257010"/>
      <w:r>
        <w:rPr>
          <w:rFonts w:hint="eastAsia" w:ascii="宋体" w:hAnsi="宋体" w:cs="宋体"/>
          <w:color w:val="000000" w:themeColor="text1"/>
          <w:sz w:val="24"/>
          <w14:textFill>
            <w14:solidFill>
              <w14:schemeClr w14:val="tx1"/>
            </w14:solidFill>
          </w14:textFill>
        </w:rPr>
        <w:t>（如果有)</w:t>
      </w:r>
      <w:bookmarkEnd w:id="517"/>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1"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集采机构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所在单位：</w:t>
      </w: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集采机构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所在单位：</w:t>
      </w: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3"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w:t>
      </w:r>
      <w:r>
        <w:rPr>
          <w:rFonts w:hint="eastAsia" w:ascii="宋体" w:hAnsi="宋体" w:cs="宋体"/>
          <w:sz w:val="24"/>
          <w:lang w:eastAsia="zh-CN"/>
        </w:rPr>
        <w:t>集采机构</w:t>
      </w:r>
      <w:r>
        <w:rPr>
          <w:rFonts w:hint="eastAsia" w:ascii="宋体" w:hAnsi="宋体" w:cs="宋体"/>
          <w:sz w:val="24"/>
        </w:rPr>
        <w:t>）</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集采机构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1" w:firstLineChars="200"/>
        <w:rPr>
          <w:rFonts w:hint="eastAsia" w:ascii="宋体" w:hAnsi="宋体" w:cs="宋体"/>
          <w:b/>
          <w:kern w:val="0"/>
          <w:sz w:val="24"/>
          <w:lang w:val="zh-CN"/>
        </w:rPr>
      </w:pPr>
      <w:r>
        <w:rPr>
          <w:rFonts w:hint="eastAsia" w:ascii="宋体" w:hAnsi="宋体" w:cs="宋体"/>
          <w:b/>
          <w:kern w:val="0"/>
          <w:sz w:val="24"/>
          <w:lang w:val="zh-CN"/>
        </w:rPr>
        <w:t>3、特别提示：集采机构将对项目名称和项目编号，中标供应商名称、地址和中标金额，主要中标标的名称、服务范围、服务要求、服务时间、服务标准等予以公示。</w:t>
      </w:r>
    </w:p>
    <w:p>
      <w:pPr>
        <w:spacing w:line="360" w:lineRule="auto"/>
        <w:ind w:firstLine="481" w:firstLineChars="200"/>
        <w:rPr>
          <w:rFonts w:hint="eastAsia" w:ascii="宋体" w:hAnsi="宋体" w:cs="宋体"/>
          <w:b/>
          <w:kern w:val="0"/>
          <w:sz w:val="24"/>
          <w:lang w:val="zh-CN"/>
        </w:rPr>
      </w:pPr>
      <w:r>
        <w:rPr>
          <w:rFonts w:hint="eastAsia" w:ascii="宋体" w:hAnsi="宋体" w:cs="宋体"/>
          <w:b/>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1"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二、报价情况说明（如果有）</w:t>
      </w:r>
    </w:p>
    <w:p>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hint="eastAsia" w:ascii="宋体" w:hAnsi="宋体" w:eastAsia="宋体" w:cs="宋体"/>
          <w:b/>
          <w:kern w:val="0"/>
          <w:sz w:val="24"/>
          <w:szCs w:val="24"/>
          <w:lang w:val="zh-CN" w:eastAsia="zh-CN" w:bidi="ar-SA"/>
        </w:r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zh-CN" w:eastAsia="zh-CN"/>
        </w:rPr>
      </w:pPr>
      <w:r>
        <w:rPr>
          <w:rFonts w:hint="eastAsia" w:ascii="宋体" w:hAnsi="宋体" w:eastAsia="宋体" w:cs="宋体"/>
          <w:kern w:val="2"/>
          <w:sz w:val="32"/>
          <w:szCs w:val="32"/>
          <w:lang w:val="zh-CN" w:eastAsia="zh-CN"/>
        </w:rPr>
        <w:t>三、中小企业声明函（如果有）</w:t>
      </w:r>
    </w:p>
    <w:p>
      <w:pPr>
        <w:widowControl/>
        <w:spacing w:line="360" w:lineRule="auto"/>
        <w:ind w:firstLine="120" w:firstLineChars="50"/>
        <w:jc w:val="left"/>
        <w:rPr>
          <w:rFonts w:hint="eastAsia" w:ascii="宋体" w:hAnsi="宋体" w:eastAsia="宋体" w:cs="宋体"/>
          <w:b w:val="0"/>
          <w:bCs/>
          <w:kern w:val="0"/>
          <w:sz w:val="24"/>
          <w:szCs w:val="24"/>
          <w:lang w:val="zh-CN" w:eastAsia="zh-CN" w:bidi="ar-SA"/>
        </w:rPr>
      </w:pPr>
      <w:r>
        <w:rPr>
          <w:rFonts w:hint="eastAsia" w:ascii="宋体" w:hAnsi="宋体" w:eastAsia="宋体" w:cs="宋体"/>
          <w:b w:val="0"/>
          <w:bCs/>
          <w:kern w:val="0"/>
          <w:sz w:val="24"/>
          <w:szCs w:val="24"/>
          <w:lang w:val="zh-CN"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宋体" w:hAnsi="宋体" w:eastAsia="宋体" w:cs="宋体"/>
          <w:b/>
          <w:kern w:val="0"/>
          <w:sz w:val="24"/>
          <w:szCs w:val="24"/>
          <w:lang w:val="zh-CN" w:eastAsia="zh-CN" w:bidi="ar-SA"/>
        </w:rPr>
      </w:pPr>
    </w:p>
    <w:p>
      <w:pPr>
        <w:spacing w:line="360" w:lineRule="auto"/>
        <w:ind w:right="420" w:firstLine="2409" w:firstLineChars="1000"/>
        <w:rPr>
          <w:rFonts w:hint="eastAsia" w:ascii="宋体" w:hAnsi="宋体" w:eastAsia="宋体" w:cs="宋体"/>
          <w:b/>
          <w:kern w:val="0"/>
          <w:sz w:val="24"/>
          <w:szCs w:val="24"/>
          <w:lang w:val="zh-CN" w:eastAsia="zh-CN" w:bidi="ar-SA"/>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8" w:name="OLE_LINK14"/>
      <w:bookmarkStart w:id="519" w:name="OLE_LINK13"/>
      <w:r>
        <w:rPr>
          <w:rFonts w:hint="eastAsia" w:ascii="宋体" w:hAnsi="宋体" w:cs="宋体"/>
          <w:b/>
          <w:spacing w:val="6"/>
          <w:sz w:val="32"/>
          <w:szCs w:val="32"/>
        </w:rPr>
        <w:t>残疾人福利性单位声明函</w:t>
      </w:r>
    </w:p>
    <w:bookmarkEnd w:id="518"/>
    <w:bookmarkEnd w:id="51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14:textFill>
            <w14:solidFill>
              <w14:schemeClr w14:val="tx1"/>
            </w14:solidFill>
          </w14:textFill>
        </w:rPr>
        <w:t>_</w:t>
      </w:r>
      <w:r>
        <w:rPr>
          <w:rFonts w:hint="eastAsia" w:ascii="宋体" w:hAnsi="宋体" w:cs="宋体"/>
          <w:color w:val="000000" w:themeColor="text1"/>
          <w:sz w:val="24"/>
          <w:u w:val="single"/>
          <w:lang w:eastAsia="zh-CN"/>
          <w14:textFill>
            <w14:solidFill>
              <w14:schemeClr w14:val="tx1"/>
            </w14:solidFill>
          </w14:textFill>
        </w:rPr>
        <w:t>温州市公安局龙湾分局</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w:t>
      </w:r>
      <w:r>
        <w:rPr>
          <w:rFonts w:hint="eastAsia" w:ascii="宋体" w:hAnsi="宋体" w:cs="宋体"/>
          <w:sz w:val="24"/>
        </w:rPr>
        <w:t>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u w:val="single"/>
          <w:lang w:eastAsia="zh-CN"/>
          <w14:textFill>
            <w14:solidFill>
              <w14:schemeClr w14:val="tx1"/>
            </w14:solidFill>
          </w14:textFill>
        </w:rPr>
        <w:t>集采机构</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我方所使用的“XX专用章”与法定名称章具有同等的法律效力，对使用“</w:t>
      </w:r>
      <w:r>
        <w:rPr>
          <w:rFonts w:hint="eastAsia" w:ascii="宋体" w:hAnsi="宋体" w:cs="宋体"/>
          <w:sz w:val="24"/>
        </w:rPr>
        <w:t xml:space="preserve">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true"/>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false" upright="true">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 SwMEFAAAAAgAh07iQPWQDz/YAAAACgEAAA8AAABkcnMvZG93bnJldi54bWxNj81OwzAQhO9IvIO1 SNyo7QJNCXEqAeKCqlSEqmc3NolFvLZi94e3ZznBcTSjmW+q1dmP7Gin5AIqkDMBzGIXjMNewfbj 9WYJLGWNRo8BrYJvm2BVX15UujThhO/22OaeUQmmUisYco4l56kbrNdpFqJF8j7D5HUmOfXcTPpE 5X7kcyEW3GuHtDDoaJ8H2321B69gF1HIdRNz077NN+unjdu9NE6p6yspHoFle85/YfjFJ3SoiWkf DmgSGxXcFQWhZwX3CwmMAg/itgC2J0dKAbyu+P8L9Q9QSwMEFAAAAAgAh07iQF8JdAQUAgAAMAQA AA4AAABkcnMvZTJvRG9jLnhtbK1TUW/TMBB+R+I/WH6nSbO2Y1HTaepUhDRgYvADXMdJLByfObtN y6/n7HYlA54QfrB8vrvP9313Xt4eesP2Cr0GW/HpJOdMWQm1tm3Fv37ZvHnLmQ/C1sKAVRU/Ks9v V69fLQdXqgI6MLVCRiDWl4OreBeCK7PMy071wk/AKUvOBrAXgUxssxrFQOi9yYo8X2QDYO0QpPKe bu9PTr5K+E2jZPjUNF4FZipOtYW0Y9q3cc9WS1G2KFyn5bkM8Q9V9EJbevQCdS+CYDvUf0D1WiJ4 aMJEQp9B02ipEgdiM81/Y/PUCacSFxLHu4tM/v/Byo/7R2S6rvgVZ1b01KLPJJqwrVFseh31GZwv KezJPWJk6N0DyG+eWVh3FKbuEGHolKipqoA7FVOyFznR8JTNtsMHqOkFsQuQ1Do02EdM0oEdUlOO l6aoQ2CSLovrfDZbzDmT5CuK+dViOk9viPI53aEP7xT0LB4qjkQgwYv9gw+xHFE+hyQGYHS90cYk A9vt2iDbC5qQTVpndD8OM5YNFb+ZF/OE/MLnxxB5Wn+D6HWgUTe6JxrjIGPPgkWNTnJvoT6SXgin eaX/RYcO8AdnA81qxf33nUDFmXlvSfab6WwWhzsZs/l1QQaOPduxR1hJUNQszk7HdSCrEcYT4M6h bjt6LbUyCmThjtrV6CRkbOWpuHPNNJZJ3/MXinM/tlPUr4+++gl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D1kA8/2AAAAAoBAAAPAAAAAAAAAAEAIAAAADgAAABkcnMvZG93bnJldi54bWxQSwECFAAU AAAACACHTuJAXwl0BBQCAAAwBAAADgAAAAAAAAABACAAAAA9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true"/>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false" upright="true">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 SwMEFAAAAAgAh07iQBmMR6bYAAAACgEAAA8AAABkcnMvZG93bnJldi54bWxNj8tqwzAQRfeF/oOY QneJJOOY4loOpKWbEhzqlKwVS7VFrJGxlEf/vtNVu7vDHO6cqdY3P7KLnaMLqEAuBTCLXTAOewWf +7fFE7CYNBo9BrQKvm2EdX1/V+nShCt+2EubekYlGEutYEhpKjmP3WC9jsswWaTdV5i9TjTOPTez vlK5H3kmRMG9dkgXBj3Zl8F2p/bsFRwmFHLbTKlp37PddrNzh9fGKfX4IMUzsGRv6Q+GX31Sh5qc juGMJrJRwULmOaEKClEAIyAXGYUjBblaAa8r/v+F+gdQSwMEFAAAAAgAh07iQHdn3+4UAgAAMAQA AA4AAABkcnMvZTJvRG9jLnhtbK1TUW/TMBB+R+I/WH6naUPT0ajpNHUqQhpsYvADXMdJLByfObtN x6/n7HYlA54QfrB8vrvPd993Xl0fe8MOCr0GW/HZZMqZshJqbduKf/2yffOOMx+ErYUBqyr+pDy/ Xr9+tRpcqXLowNQKGYFYXw6u4l0IrswyLzvVCz8Bpyw5G8BeBDKxzWoUA6H3Jsun00U2ANYOQSrv 6fb25OTrhN80Sob7pvEqMFNxqi2kHdO+i3u2XomyReE6Lc9liH+oohfa0qMXqFsRBNuj/gOq1xLB QxMmEvoMmkZLlXqgbmbT37p57IRTqRcix7sLTf7/wcpPhwdkuq74nDMrepLoM5EmbGsUmy0iP4Pz JYU9ugeMHXp3B/KbZxY2HYWpG0QYOiVqqirgXsWU7EVONDxls93wEWp6QewDJLaODfYRk3hgxyTK 00UUdQxM0mW+mF8tC9JOki/Pi7eLWZHeEOVzukMf3ivoWTxUHKmBBC8Odz7EckT5HJI6AKPrrTYm GdjuNgbZQdCEbNM6o/txmLFsqPiyyIuE/MLnxxDTtP4G0etAo250T22Mg4w9ExY5OtG9g/qJ+EI4 zSv9Lzp0gD84G2hWK+6/7wUqzswHS7QvZ/N5HO5kzIurnAwce3Zjj7CSoEgszk7HTSCrEcYT4N6h bjt6LUkZCbJwQ3I1OhEZpTwVd66ZxjLxe/5Cce7Hdor69dHXP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AZjEem2AAAAAoBAAAPAAAAAAAAAAEAIAAAADgAAABkcnMvZG93bnJldi54bWxQSwECFAAU AAAACACHTuJAd2ff7hQCAAAwBAAADgAAAAAAAAABACAAAAA9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1"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授权代表根据招标文件规定及投标内容而对采购人、集采机构所作的任何合法承诺，包括书面澄清及相应等均对联合投标各方产生约束力。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3、本协议提交采购人、集采机构后，联合体各方不得以任何形式对上述内容进行修改或撤销。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5"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5"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eastAsia="zh-CN"/>
          <w14:textFill>
            <w14:solidFill>
              <w14:schemeClr w14:val="tx1"/>
            </w14:solidFill>
          </w14:textFill>
        </w:rPr>
        <w:t>LWJC20240208</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8"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09"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Yu Gothic"/>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2" w:usb3="00000000" w:csb0="4002009F" w:csb1="DFD70000"/>
  </w:font>
  <w:font w:name="Book Antiqua">
    <w:panose1 w:val="02040602050305030304"/>
    <w:charset w:val="00"/>
    <w:family w:val="auto"/>
    <w:pitch w:val="default"/>
    <w:sig w:usb0="00000287"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36110187"/>
    <w:bookmarkStart w:id="524" w:name="_Toc91899912"/>
    <w:bookmarkStart w:id="525" w:name="_Toc131845147"/>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4"/>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46</w:t>
                          </w:r>
                          <w:r>
                            <w:rPr>
                              <w:rFonts w:ascii="宋体" w:eastAsia="宋体"/>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 SwMEFAAAAAgAh07iQM6pebnPAAAABQEAAA8AAABkcnMvZG93bnJldi54bWxNjzFrwzAQhfdC/4O4 QLdGTobWOJYzBLJ0S1oK3RTrYplIJyMpjv3vcy2Fdjnu8Y5336u3k3dixJj6QApWywIEUhtMT52C j/f9cwkiZU1Gu0CoYMYE2+bxodaVCTc64HjMneAQSpVWYHMeKilTa9HrtAwDEnvnEL3OLGMnTdQ3 DvdOroviRXrdE3+wesCdxfZyvHoFr9NnwCHhDr/OYxttP5fubVbqabEqNiAyTvnvGL7xGR0aZjqF K5kknAIukn8me+uyZHn6XWRTy//0zR1QSwMEFAAAAAgAh07iQCocjda4AQAAYAMAAA4AAABkcnMv ZTJvRG9jLnhtbK1TS27bMBDdF+gdCO5ryVoUhmA6SBAkCFC0BdIegKZIiwB/GNKWfIH2Bl11033P 5XN0SFlO2u6CbEbz45t5M6P11WgNOUiI2jtGl4uaEumE77TbMfr1y927FSUxcddx451k9Cgjvdq8 fbMeQisb33vTSSAI4mI7BEb7lEJbVVH00vK48EE6DCoPlic0YVd1wAdEt6Zq6vp9NXjoAnghY0Tv 7RSkm4KvlBTpk1JRJmIYxd5SkVDkNstqs+btDnjotTi3wV/QheXaYdEL1C1PnOxB/wdltQAfvUoL 4W3lldJCFg7IZln/w+ax50EWLjicGC5jiq8HKz4ePgPRHaMNJY5bXNHpx/fTz9+nX99Ik8czhNhi 1mPAvDTe+JHRBHs5hyL6M/FRgc1fpEQwBWd9vMxXjokIdC5XzWpVY0hgbDawRPX0PEBM99JbkhVG ARdY5soPH2KaUueUXM35O21MWaJxfzkQc/LIcgXn15nM1HHW0rgdzwy3vjsiwQEvgVGHp0qJeXA4 6Hw0swKzsp2VfQC967FRxU3Mq+IIf71P2FbpNleZoJFlNnCNhe/55PKdPLdL1tOPsfkD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FgAAAGRy cy9QSwECFAAUAAAACACHTuJAzql5uc8AAAAFAQAADwAAAAAAAAABACAAAAA4AAAAZHJzL2Rvd25y ZXYueG1sUEsBAhQAFAAAAAgAh07iQCocjda4AQAAYAMAAA4AAAAAAAAAAQAgAAAANAEAAGRycy9l Mm9Eb2MueG1sUEsFBgAAAAAGAAYAWQEAAF4FAAAAAA== ">
              <v:fill on="f" focussize="0,0"/>
              <v:stroke on="f"/>
              <v:imagedata o:title=""/>
              <o:lock v:ext="edit" aspectratio="f"/>
              <v:textbox inset="0mm,0mm,0mm,0mm" style="mso-fit-shape-to-text:t;">
                <w:txbxContent>
                  <w:p>
                    <w:pPr>
                      <w:pStyle w:val="44"/>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46</w:t>
                    </w:r>
                    <w:r>
                      <w:rPr>
                        <w:rFonts w:ascii="宋体" w:eastAsia="宋体"/>
                      </w:rPr>
                      <w:fldChar w:fldCharType="end"/>
                    </w:r>
                  </w:p>
                </w:txbxContent>
              </v:textbox>
            </v:shape>
          </w:pict>
        </mc:Fallback>
      </mc:AlternateContent>
    </w:r>
  </w:p>
  <w:p>
    <w:pPr>
      <w:pStyle w:val="4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4"/>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46</w:t>
                          </w:r>
                          <w:r>
                            <w:rPr>
                              <w:rFonts w:ascii="宋体" w:eastAsia="宋体"/>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 SwMEFAAAAAgAh07iQM6pebnPAAAABQEAAA8AAABkcnMvZG93bnJldi54bWxNjzFrwzAQhfdC/4O4 QLdGTobWOJYzBLJ0S1oK3RTrYplIJyMpjv3vcy2Fdjnu8Y5336u3k3dixJj6QApWywIEUhtMT52C j/f9cwkiZU1Gu0CoYMYE2+bxodaVCTc64HjMneAQSpVWYHMeKilTa9HrtAwDEnvnEL3OLGMnTdQ3 DvdOroviRXrdE3+wesCdxfZyvHoFr9NnwCHhDr/OYxttP5fubVbqabEqNiAyTvnvGL7xGR0aZjqF K5kknAIukn8me+uyZHn6XWRTy//0zR1QSwMEFAAAAAgAh07iQKqLMpSzAQAAUgMAAA4AAABkcnMv ZTJvRG9jLnhtbK1TS27bMBDdF8gdCO5jyl4EhmA5SBAkCBA0BdIegKZIiwB/GNKWfIHmBl11033P 5XN0SFvOp7sgG2o4M3rz3sxwcTlYQ7YSovauodNJRYl0wrfarRv64/vt+ZySmLhrufFONnQnI71c nn1Z9KGWM99500ogCOJi3YeGdimFmrEoOml5nPggHQaVB8sTXmHNWuA9olvDZlV1wXoPbQAvZIzo vTkE6bLgKyVFelQqykRMQ5FbKieUc5VPtlzweg08dFocafAPsLBcOyx6grrhiZMN6P+grBbgo1dp IrxlXiktZNGAaqbVOzVPHQ+yaMHmxHBqU/w8WPF1+w2IbnF2lDhucUT7X8/733/3f36SaW5PH2KN WU8B89Jw7YeGJtjIMRTRn4UPCmz+oiSCKdjr3am/ckhEoHM6n83nFYYExsYLlmAvvweI6U56S7LR UMABlr7y7UNMh9QxJVdz/lYbU4Zo3BsHYmYPy/QPHLOVhtVw1LTy7Q4l9Tj7hjpcTkrMvcPW5jUZ DRiN1WhsAuh1h9QUNzEPhyP81SYhkcIvVzlAH4vj4IrC45LlzXh9L1kvT2H5D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BYAAABkcnMvUEsB AhQAFAAAAAgAh07iQM6pebnPAAAABQEAAA8AAAAAAAAAAQAgAAAAOAAAAGRycy9kb3ducmV2Lnht bFBLAQIUABQAAAAIAIdO4kCqizKUswEAAFIDAAAOAAAAAAAAAAEAIAAAADQBAABkcnMvZTJvRG9j LnhtbFBLBQYAAAAABgAGAFkBAABZBQAAAAA= ">
              <v:fill on="f" focussize="0,0"/>
              <v:stroke on="f"/>
              <v:imagedata o:title=""/>
              <o:lock v:ext="edit" aspectratio="f"/>
              <v:textbox inset="0mm,0mm,0mm,0mm" style="mso-fit-shape-to-text:t;">
                <w:txbxContent>
                  <w:p>
                    <w:pPr>
                      <w:pStyle w:val="44"/>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46</w:t>
                    </w:r>
                    <w:r>
                      <w:rPr>
                        <w:rFonts w:ascii="宋体" w:eastAsia="宋体"/>
                      </w:rPr>
                      <w:fldChar w:fldCharType="end"/>
                    </w:r>
                  </w:p>
                </w:txbxContent>
              </v:textbox>
            </v:shape>
          </w:pict>
        </mc:Fallback>
      </mc:AlternateContent>
    </w:r>
  </w:p>
  <w:p>
    <w:pPr>
      <w:pStyle w:val="4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温州市龙湾区政府采购公开招标文件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rPr>
        <w:rFonts w:hint="eastAsia"/>
      </w:rPr>
      <w:t xml:space="preserve">                                                                                                    </w:t>
    </w:r>
    <w:r>
      <w:rPr>
        <w:rFonts w:hint="eastAsia"/>
        <w:lang w:eastAsia="zh-CN"/>
      </w:rPr>
      <w:t>温州市龙湾区政府采购公开招标文件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ascii="仿宋_GB2312" w:eastAsia="仿宋_GB2312"/>
        <w:b/>
        <w:i/>
        <w:iCs/>
        <w:u w:val="single"/>
      </w:rPr>
    </w:pPr>
    <w:r>
      <w:t></w:t>
    </w:r>
    <w:r>
      <w:rPr>
        <w:rFonts w:hint="eastAsia"/>
        <w:lang w:eastAsia="zh-CN"/>
      </w:rPr>
      <w:t>温州市龙湾区政府采购公开招标文件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w:t>
    </w:r>
    <w:r>
      <w:rPr>
        <w:lang w:val="zh-CN"/>
      </w:rPr>
      <w:t>州市</w:t>
    </w:r>
    <w:r>
      <w:rPr>
        <w:rFonts w:hint="eastAsia"/>
        <w:lang w:val="zh-CN"/>
      </w:rPr>
      <w:t>龙湾区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thinThickThinLargeGap" w:color="666699" w:sz="4" w:space="1"/>
      </w:pBdr>
      <w:ind w:firstLine="5220" w:firstLineChars="2900"/>
      <w:jc w:val="left"/>
      <w:rPr>
        <w:rFonts w:hint="eastAsia" w:ascii="宋体" w:hAnsi="宋体" w:eastAsia="宋体" w:cs="宋体"/>
        <w:u w:val="none"/>
        <w:lang w:eastAsia="zh-CN"/>
      </w:rPr>
    </w:pPr>
    <w:r>
      <w:rPr>
        <w:rFonts w:hint="eastAsia" w:ascii="宋体" w:hAnsi="宋体" w:eastAsia="宋体" w:cs="宋体"/>
        <w:u w:val="none"/>
        <w:lang w:eastAsia="zh-CN"/>
      </w:rPr>
      <w:t>温州市龙湾区政府采购公开招标文件</w:t>
    </w:r>
  </w:p>
  <w:p>
    <w:pPr>
      <w:pStyle w:val="45"/>
      <w:pBdr>
        <w:bottom w:val="thinThickThinLargeGap" w:color="666699" w:sz="4" w:space="1"/>
      </w:pBdr>
      <w:ind w:firstLine="6300" w:firstLineChars="3500"/>
      <w:jc w:val="left"/>
      <w:rPr>
        <w:rFonts w:hint="eastAsia" w:ascii="宋体" w:hAnsi="宋体" w:eastAsia="宋体" w:cs="宋体"/>
        <w:u w:val="none"/>
        <w:lang w:val="en-US"/>
      </w:rPr>
    </w:pPr>
  </w:p>
  <w:p>
    <w:pPr>
      <w:pStyle w:val="45"/>
      <w:pBdr>
        <w:bottom w:val="thinThickThinLargeGap" w:color="666699" w:sz="4" w:space="1"/>
      </w:pBdr>
      <w:ind w:firstLine="6300" w:firstLineChars="3500"/>
      <w:jc w:val="left"/>
      <w:rPr>
        <w:rFonts w:hint="default" w:ascii="宋体" w:hAnsi="宋体" w:eastAsia="宋体" w:cs="宋体"/>
        <w:color w:val="8064A2"/>
        <w:sz w:val="16"/>
        <w:szCs w:val="16"/>
        <w:lang w:val="en-US" w:eastAsia="zh-CN"/>
      </w:rPr>
    </w:pPr>
    <w:r>
      <w:rPr>
        <w:rFonts w:hint="eastAsia" w:ascii="宋体" w:hAnsi="宋体" w:eastAsia="宋体" w:cs="宋体"/>
        <w:u w:val="none"/>
      </w:rPr>
      <w:t xml:space="preserve">  </w:t>
    </w:r>
    <w:r>
      <w:rPr>
        <w:rFonts w:hint="eastAsia" w:ascii="宋体" w:hAnsi="宋体" w:eastAsia="宋体" w:cs="宋体"/>
        <w:u w:val="non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thinThickThinLargeGap" w:color="666699" w:sz="4" w:space="1"/>
      </w:pBdr>
      <w:ind w:firstLine="10620" w:firstLineChars="5900"/>
      <w:jc w:val="left"/>
      <w:rPr>
        <w:rFonts w:hint="eastAsia" w:ascii="宋体" w:hAnsi="宋体" w:eastAsia="宋体" w:cs="宋体"/>
        <w:u w:val="none"/>
        <w:lang w:eastAsia="zh-CN"/>
      </w:rPr>
    </w:pPr>
    <w:r>
      <w:rPr>
        <w:rFonts w:hint="eastAsia" w:ascii="宋体" w:hAnsi="宋体" w:eastAsia="宋体" w:cs="宋体"/>
        <w:u w:val="none"/>
        <w:lang w:eastAsia="zh-CN"/>
      </w:rPr>
      <w:t>温</w:t>
    </w:r>
    <w:r>
      <w:rPr>
        <w:rFonts w:hint="eastAsia" w:ascii="宋体" w:hAnsi="宋体" w:cs="宋体"/>
        <w:u w:val="none"/>
        <w:lang w:val="en-US" w:eastAsia="zh-CN"/>
      </w:rPr>
      <w:t xml:space="preserve">                                                       温</w:t>
    </w:r>
    <w:r>
      <w:rPr>
        <w:rFonts w:hint="eastAsia" w:ascii="宋体" w:hAnsi="宋体" w:eastAsia="宋体" w:cs="宋体"/>
        <w:u w:val="none"/>
        <w:lang w:eastAsia="zh-CN"/>
      </w:rPr>
      <w:t>州市龙湾区政府采购公开招标文件</w:t>
    </w:r>
  </w:p>
  <w:p>
    <w:pPr>
      <w:pStyle w:val="45"/>
      <w:pBdr>
        <w:bottom w:val="thinThickThinLargeGap" w:color="666699" w:sz="4" w:space="1"/>
      </w:pBdr>
      <w:jc w:val="left"/>
      <w:rPr>
        <w:rFonts w:hint="eastAsia" w:ascii="宋体" w:hAnsi="宋体" w:eastAsia="宋体" w:cs="宋体"/>
        <w:u w:val="none"/>
        <w:lang w:val="en-US"/>
      </w:rPr>
    </w:pPr>
  </w:p>
  <w:p>
    <w:pPr>
      <w:pStyle w:val="45"/>
      <w:pBdr>
        <w:bottom w:val="thinThickThinLargeGap" w:color="666699" w:sz="4" w:space="1"/>
      </w:pBdr>
      <w:jc w:val="left"/>
      <w:rPr>
        <w:rFonts w:hint="default" w:ascii="宋体" w:hAnsi="宋体" w:eastAsia="宋体" w:cs="宋体"/>
        <w:color w:val="8064A2"/>
        <w:sz w:val="16"/>
        <w:szCs w:val="16"/>
        <w:lang w:val="en-US" w:eastAsia="zh-CN"/>
      </w:rPr>
    </w:pPr>
    <w:r>
      <w:rPr>
        <w:rFonts w:hint="eastAsia" w:ascii="宋体" w:hAnsi="宋体" w:eastAsia="宋体" w:cs="宋体"/>
        <w:u w:val="none"/>
      </w:rPr>
      <w:t xml:space="preserve">  </w:t>
    </w:r>
    <w:r>
      <w:rPr>
        <w:rFonts w:hint="eastAsia" w:ascii="宋体" w:hAnsi="宋体" w:eastAsia="宋体" w:cs="宋体"/>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hint="eastAsia" w:eastAsia="宋体"/>
        <w:lang w:eastAsia="zh-CN"/>
      </w:rPr>
    </w:pPr>
    <w:r>
      <w:t></w:t>
    </w:r>
    <w:r>
      <w:rPr>
        <w:rFonts w:hint="eastAsia"/>
      </w:rPr>
      <w:t xml:space="preserve">                                                  </w:t>
    </w:r>
    <w:r>
      <w:t xml:space="preserve">            </w:t>
    </w:r>
    <w:r>
      <w:rPr>
        <w:rFonts w:hint="eastAsia"/>
        <w:lang w:eastAsia="zh-CN"/>
      </w:rPr>
      <w:t>温州市龙湾区政府采购公开招标文件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5220" w:firstLineChars="2900"/>
      <w:jc w:val="both"/>
      <w:rPr>
        <w:rFonts w:hint="eastAsia"/>
        <w:lang w:eastAsia="zh-CN"/>
      </w:rPr>
    </w:pPr>
    <w:r>
      <w:rPr>
        <w:rFonts w:hint="eastAsia"/>
      </w:rPr>
      <w:t xml:space="preserve"> </w:t>
    </w:r>
    <w:r>
      <w:rPr>
        <w:rFonts w:hint="eastAsia"/>
        <w:lang w:eastAsia="zh-CN"/>
      </w:rPr>
      <w:t>温州市龙湾区政府采购公开招标文件</w:t>
    </w:r>
  </w:p>
  <w:p>
    <w:pPr>
      <w:pStyle w:val="45"/>
      <w:rPr>
        <w:rFonts w:hint="eastAsia"/>
        <w:lang w:val="en-US"/>
      </w:rPr>
    </w:pPr>
  </w:p>
  <w:p>
    <w:pPr>
      <w:pStyle w:val="4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ascii="仿宋_GB2312" w:eastAsia="仿宋_GB2312"/>
        <w:b/>
        <w:i/>
        <w:u w:val="single"/>
      </w:rPr>
    </w:pPr>
    <w:r>
      <w:t></w:t>
    </w:r>
    <w:r>
      <w:rPr>
        <w:rFonts w:hint="eastAsia"/>
      </w:rPr>
      <w:t xml:space="preserve">                                                 </w:t>
    </w:r>
    <w:r>
      <w:rPr>
        <w:rFonts w:hint="eastAsia"/>
        <w:lang w:eastAsia="zh-CN"/>
      </w:rPr>
      <w:t>温州市龙湾区政府采购公开招标文件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hint="eastAsia" w:eastAsia="宋体"/>
        <w:lang w:eastAsia="zh-CN"/>
      </w:rPr>
    </w:pPr>
    <w:r>
      <w:t></w:t>
    </w:r>
    <w:r>
      <w:rPr>
        <w:rFonts w:hint="eastAsia"/>
      </w:rPr>
      <w:t xml:space="preserve">                 </w:t>
    </w:r>
    <w:r>
      <w:t xml:space="preserve">   </w:t>
    </w:r>
    <w:r>
      <w:rPr>
        <w:rFonts w:hint="eastAsia"/>
        <w:lang w:eastAsia="zh-CN"/>
      </w:rPr>
      <w:t>温州市龙湾区政府采购公开招标文件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p>
    <w:pPr>
      <w:pStyle w:val="45"/>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ascii="仿宋_GB2312" w:eastAsia="仿宋_GB2312"/>
        <w:b/>
        <w:i/>
        <w:u w:val="single"/>
      </w:rPr>
    </w:pPr>
    <w:r>
      <w:rPr>
        <w:rFonts w:hint="eastAsia"/>
      </w:rPr>
      <w:t xml:space="preserve">                                </w:t>
    </w:r>
    <w:r>
      <w:rPr>
        <w:rFonts w:hint="eastAsia"/>
        <w:lang w:eastAsia="zh-CN"/>
      </w:rPr>
      <w:t>温州市龙湾区政府采购公开招标文件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B6194"/>
    <w:multiLevelType w:val="singleLevel"/>
    <w:tmpl w:val="A44B6194"/>
    <w:lvl w:ilvl="0" w:tentative="0">
      <w:start w:val="1"/>
      <w:numFmt w:val="decimal"/>
      <w:suff w:val="nothing"/>
      <w:lvlText w:val="%1）"/>
      <w:lvlJc w:val="left"/>
      <w:rPr>
        <w:rFonts w:hint="default"/>
        <w:b w:val="0"/>
        <w:bCs w:val="0"/>
      </w:rPr>
    </w:lvl>
  </w:abstractNum>
  <w:abstractNum w:abstractNumId="1">
    <w:nsid w:val="A8EB00D7"/>
    <w:multiLevelType w:val="singleLevel"/>
    <w:tmpl w:val="A8EB00D7"/>
    <w:lvl w:ilvl="0" w:tentative="0">
      <w:start w:val="1"/>
      <w:numFmt w:val="decimal"/>
      <w:suff w:val="nothing"/>
      <w:lvlText w:val="%1、"/>
      <w:lvlJc w:val="left"/>
    </w:lvl>
  </w:abstractNum>
  <w:abstractNum w:abstractNumId="2">
    <w:nsid w:val="BB109505"/>
    <w:multiLevelType w:val="singleLevel"/>
    <w:tmpl w:val="BB109505"/>
    <w:lvl w:ilvl="0" w:tentative="0">
      <w:start w:val="1"/>
      <w:numFmt w:val="decimal"/>
      <w:lvlText w:val="%1."/>
      <w:lvlJc w:val="left"/>
      <w:pPr>
        <w:tabs>
          <w:tab w:val="left" w:pos="312"/>
        </w:tabs>
      </w:pPr>
    </w:lvl>
  </w:abstractNum>
  <w:abstractNum w:abstractNumId="3">
    <w:nsid w:val="D6F162A7"/>
    <w:multiLevelType w:val="singleLevel"/>
    <w:tmpl w:val="D6F162A7"/>
    <w:lvl w:ilvl="0" w:tentative="0">
      <w:start w:val="3"/>
      <w:numFmt w:val="chineseCounting"/>
      <w:suff w:val="nothing"/>
      <w:lvlText w:val="（%1）"/>
      <w:lvlJc w:val="left"/>
      <w:rPr>
        <w:rFonts w:hint="eastAsia"/>
      </w:rPr>
    </w:lvl>
  </w:abstractNum>
  <w:abstractNum w:abstractNumId="4">
    <w:nsid w:val="ED3E4E3E"/>
    <w:multiLevelType w:val="singleLevel"/>
    <w:tmpl w:val="ED3E4E3E"/>
    <w:lvl w:ilvl="0" w:tentative="0">
      <w:start w:val="1"/>
      <w:numFmt w:val="decimal"/>
      <w:lvlText w:val="%1."/>
      <w:lvlJc w:val="left"/>
      <w:pPr>
        <w:tabs>
          <w:tab w:val="left" w:pos="312"/>
        </w:tabs>
      </w:pPr>
    </w:lvl>
  </w:abstractNum>
  <w:abstractNum w:abstractNumId="5">
    <w:nsid w:val="178F2D34"/>
    <w:multiLevelType w:val="singleLevel"/>
    <w:tmpl w:val="178F2D34"/>
    <w:lvl w:ilvl="0" w:tentative="0">
      <w:start w:val="1"/>
      <w:numFmt w:val="decimal"/>
      <w:suff w:val="nothing"/>
      <w:lvlText w:val="%1）"/>
      <w:lvlJc w:val="left"/>
    </w:lvl>
  </w:abstractNum>
  <w:abstractNum w:abstractNumId="6">
    <w:nsid w:val="4A5BE27D"/>
    <w:multiLevelType w:val="singleLevel"/>
    <w:tmpl w:val="4A5BE27D"/>
    <w:lvl w:ilvl="0" w:tentative="0">
      <w:start w:val="1"/>
      <w:numFmt w:val="decimal"/>
      <w:suff w:val="nothing"/>
      <w:lvlText w:val="%1）"/>
      <w:lvlJc w:val="left"/>
    </w:lvl>
  </w:abstractNum>
  <w:abstractNum w:abstractNumId="7">
    <w:nsid w:val="4C5E6A95"/>
    <w:multiLevelType w:val="singleLevel"/>
    <w:tmpl w:val="4C5E6A95"/>
    <w:lvl w:ilvl="0" w:tentative="0">
      <w:start w:val="1"/>
      <w:numFmt w:val="decimal"/>
      <w:suff w:val="nothing"/>
      <w:lvlText w:val="%1、"/>
      <w:lvlJc w:val="left"/>
    </w:lvl>
  </w:abstractNum>
  <w:abstractNum w:abstractNumId="8">
    <w:nsid w:val="4DF16EE8"/>
    <w:multiLevelType w:val="singleLevel"/>
    <w:tmpl w:val="4DF16EE8"/>
    <w:lvl w:ilvl="0" w:tentative="0">
      <w:start w:val="1"/>
      <w:numFmt w:val="decimal"/>
      <w:suff w:val="nothing"/>
      <w:lvlText w:val="%1）"/>
      <w:lvlJc w:val="left"/>
    </w:lvl>
  </w:abstractNum>
  <w:abstractNum w:abstractNumId="9">
    <w:nsid w:val="500C6E3F"/>
    <w:multiLevelType w:val="singleLevel"/>
    <w:tmpl w:val="500C6E3F"/>
    <w:lvl w:ilvl="0" w:tentative="0">
      <w:start w:val="2"/>
      <w:numFmt w:val="decimal"/>
      <w:lvlText w:val="%1."/>
      <w:lvlJc w:val="left"/>
      <w:pPr>
        <w:tabs>
          <w:tab w:val="left" w:pos="312"/>
        </w:tabs>
      </w:pPr>
    </w:lvl>
  </w:abstractNum>
  <w:abstractNum w:abstractNumId="10">
    <w:nsid w:val="53EB5275"/>
    <w:multiLevelType w:val="singleLevel"/>
    <w:tmpl w:val="53EB5275"/>
    <w:lvl w:ilvl="0" w:tentative="0">
      <w:start w:val="1"/>
      <w:numFmt w:val="decimal"/>
      <w:lvlText w:val="%1."/>
      <w:lvlJc w:val="left"/>
      <w:pPr>
        <w:tabs>
          <w:tab w:val="left" w:pos="312"/>
        </w:tabs>
      </w:pPr>
    </w:lvl>
  </w:abstractNum>
  <w:abstractNum w:abstractNumId="11">
    <w:nsid w:val="63FD3E03"/>
    <w:multiLevelType w:val="singleLevel"/>
    <w:tmpl w:val="63FD3E03"/>
    <w:lvl w:ilvl="0" w:tentative="0">
      <w:start w:val="1"/>
      <w:numFmt w:val="decimal"/>
      <w:suff w:val="nothing"/>
      <w:lvlText w:val="%1、"/>
      <w:lvlJc w:val="left"/>
    </w:lvl>
  </w:abstractNum>
  <w:num w:numId="1">
    <w:abstractNumId w:val="3"/>
  </w:num>
  <w:num w:numId="2">
    <w:abstractNumId w:val="9"/>
  </w:num>
  <w:num w:numId="3">
    <w:abstractNumId w:val="2"/>
  </w:num>
  <w:num w:numId="4">
    <w:abstractNumId w:val="6"/>
  </w:num>
  <w:num w:numId="5">
    <w:abstractNumId w:val="10"/>
  </w:num>
  <w:num w:numId="6">
    <w:abstractNumId w:val="8"/>
  </w:num>
  <w:num w:numId="7">
    <w:abstractNumId w:val="0"/>
  </w:num>
  <w:num w:numId="8">
    <w:abstractNumId w:val="5"/>
  </w:num>
  <w:num w:numId="9">
    <w:abstractNumId w:val="4"/>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C0169"/>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B63899"/>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3273E"/>
    <w:rsid w:val="0B683D45"/>
    <w:rsid w:val="0B7F3F11"/>
    <w:rsid w:val="0B884417"/>
    <w:rsid w:val="0BF6188C"/>
    <w:rsid w:val="0BF73C91"/>
    <w:rsid w:val="0C170175"/>
    <w:rsid w:val="0C571A41"/>
    <w:rsid w:val="0C593E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83022"/>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5339C4"/>
    <w:rsid w:val="1A984BAD"/>
    <w:rsid w:val="1AB8220E"/>
    <w:rsid w:val="1AE4166C"/>
    <w:rsid w:val="1AF06CFB"/>
    <w:rsid w:val="1AF11B8D"/>
    <w:rsid w:val="1B0A1397"/>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220E3"/>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B665D"/>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A402F6"/>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A2A8A"/>
    <w:rsid w:val="363A3B40"/>
    <w:rsid w:val="365302AE"/>
    <w:rsid w:val="36607A0A"/>
    <w:rsid w:val="366E227C"/>
    <w:rsid w:val="366F2E0D"/>
    <w:rsid w:val="367B6A5C"/>
    <w:rsid w:val="36A74ADA"/>
    <w:rsid w:val="36AD60D5"/>
    <w:rsid w:val="36B224F9"/>
    <w:rsid w:val="36EC0CC9"/>
    <w:rsid w:val="373F410B"/>
    <w:rsid w:val="376767E7"/>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292B69"/>
    <w:rsid w:val="3B616CFF"/>
    <w:rsid w:val="3B6259F6"/>
    <w:rsid w:val="3B9526EA"/>
    <w:rsid w:val="3B976654"/>
    <w:rsid w:val="3B9F307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658D8"/>
    <w:rsid w:val="3F756B8F"/>
    <w:rsid w:val="3F95482B"/>
    <w:rsid w:val="3FFF392F"/>
    <w:rsid w:val="4019356B"/>
    <w:rsid w:val="40592157"/>
    <w:rsid w:val="406E1CAE"/>
    <w:rsid w:val="40A0133A"/>
    <w:rsid w:val="40C31A53"/>
    <w:rsid w:val="40FF545D"/>
    <w:rsid w:val="410067C8"/>
    <w:rsid w:val="418F0D2A"/>
    <w:rsid w:val="41BE6D27"/>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57629"/>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200F8"/>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8239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35922"/>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C618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D3A45"/>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4B96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26B91"/>
    <w:rsid w:val="64055776"/>
    <w:rsid w:val="64240056"/>
    <w:rsid w:val="643E143A"/>
    <w:rsid w:val="64491666"/>
    <w:rsid w:val="648B6EEF"/>
    <w:rsid w:val="64C158BF"/>
    <w:rsid w:val="64CE2EAA"/>
    <w:rsid w:val="651A0231"/>
    <w:rsid w:val="653C3090"/>
    <w:rsid w:val="65854376"/>
    <w:rsid w:val="658767BE"/>
    <w:rsid w:val="65892531"/>
    <w:rsid w:val="660B3A0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81E6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994FFB"/>
    <w:rsid w:val="70F5661B"/>
    <w:rsid w:val="70FF616A"/>
    <w:rsid w:val="71360107"/>
    <w:rsid w:val="713B688E"/>
    <w:rsid w:val="71D43752"/>
    <w:rsid w:val="71F1796A"/>
    <w:rsid w:val="72154626"/>
    <w:rsid w:val="72262B5D"/>
    <w:rsid w:val="72283FF7"/>
    <w:rsid w:val="722E7212"/>
    <w:rsid w:val="723A0474"/>
    <w:rsid w:val="725923E4"/>
    <w:rsid w:val="72864BF7"/>
    <w:rsid w:val="729023FC"/>
    <w:rsid w:val="73BE3AFE"/>
    <w:rsid w:val="73C0646E"/>
    <w:rsid w:val="742222F5"/>
    <w:rsid w:val="74476126"/>
    <w:rsid w:val="74706664"/>
    <w:rsid w:val="747F3682"/>
    <w:rsid w:val="749C4185"/>
    <w:rsid w:val="74B5374D"/>
    <w:rsid w:val="75067759"/>
    <w:rsid w:val="752E6DCD"/>
    <w:rsid w:val="7551380D"/>
    <w:rsid w:val="75600BE5"/>
    <w:rsid w:val="7564475C"/>
    <w:rsid w:val="7583797F"/>
    <w:rsid w:val="75BFB8F9"/>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828DB"/>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37068"/>
    <w:rsid w:val="7DB57A34"/>
    <w:rsid w:val="7DE60973"/>
    <w:rsid w:val="7DEF0916"/>
    <w:rsid w:val="7E1E5218"/>
    <w:rsid w:val="7E9A4E1F"/>
    <w:rsid w:val="7EA7723A"/>
    <w:rsid w:val="7EF56FBB"/>
    <w:rsid w:val="7F0768EB"/>
    <w:rsid w:val="7F143BEC"/>
    <w:rsid w:val="7F715AF2"/>
    <w:rsid w:val="7F886E69"/>
    <w:rsid w:val="B3774D98"/>
    <w:rsid w:val="BB7FA927"/>
    <w:rsid w:val="D77FB72E"/>
    <w:rsid w:val="DCFAFD59"/>
    <w:rsid w:val="EA7B4F87"/>
    <w:rsid w:val="F5FFD31F"/>
    <w:rsid w:val="F7AF7C61"/>
    <w:rsid w:val="FF5F5432"/>
    <w:rsid w:val="FF7F5A51"/>
    <w:rsid w:val="FFEFE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4"/>
    <w:qFormat/>
    <w:uiPriority w:val="0"/>
    <w:rPr>
      <w:rFonts w:ascii="宋体" w:hAnsi="Courier New" w:cs="Arial"/>
      <w:snapToGrid w:val="0"/>
      <w:szCs w:val="21"/>
    </w:rPr>
  </w:style>
  <w:style w:type="paragraph" w:styleId="37">
    <w:name w:val="toc 2"/>
    <w:basedOn w:val="1"/>
    <w:next w:val="1"/>
    <w:qFormat/>
    <w:uiPriority w:val="0"/>
    <w:pPr>
      <w:ind w:left="42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0"/>
    <w:qFormat/>
    <w:uiPriority w:val="0"/>
    <w:pPr>
      <w:ind w:left="100" w:leftChars="2500"/>
    </w:pPr>
    <w:rPr>
      <w:rFonts w:ascii="宋体"/>
      <w:sz w:val="24"/>
      <w:szCs w:val="21"/>
      <w:lang w:val="zh-CN"/>
    </w:rPr>
  </w:style>
  <w:style w:type="paragraph" w:styleId="41">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Balloon Text"/>
    <w:basedOn w:val="1"/>
    <w:link w:val="187"/>
    <w:qFormat/>
    <w:uiPriority w:val="0"/>
    <w:rPr>
      <w:sz w:val="18"/>
      <w:szCs w:val="18"/>
    </w:rPr>
  </w:style>
  <w:style w:type="paragraph" w:styleId="44">
    <w:name w:val="footer"/>
    <w:basedOn w:val="1"/>
    <w:link w:val="382"/>
    <w:qFormat/>
    <w:uiPriority w:val="99"/>
    <w:pPr>
      <w:tabs>
        <w:tab w:val="center" w:pos="4153"/>
        <w:tab w:val="right" w:pos="8306"/>
      </w:tabs>
      <w:snapToGrid w:val="0"/>
      <w:jc w:val="left"/>
    </w:pPr>
    <w:rPr>
      <w:sz w:val="18"/>
      <w:szCs w:val="18"/>
    </w:rPr>
  </w:style>
  <w:style w:type="paragraph" w:styleId="45">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4"/>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1"/>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40"/>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3"/>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41"/>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4"/>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6"/>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6"/>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4"/>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5"/>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1"/>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qFormat/>
    <w:uiPriority w:val="0"/>
    <w:rPr>
      <w:rFonts w:ascii="宋体" w:hAnsi="Courier New"/>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header11.xml" Type="http://schemas.openxmlformats.org/officeDocument/2006/relationships/header"/><Relationship Id="rId25" Target="header12.xml" Type="http://schemas.openxmlformats.org/officeDocument/2006/relationships/header"/><Relationship Id="rId26" Target="footer12.xml" Type="http://schemas.openxmlformats.org/officeDocument/2006/relationships/footer"/><Relationship Id="rId27" Target="footer13.xml" Type="http://schemas.openxmlformats.org/officeDocument/2006/relationships/footer"/><Relationship Id="rId28" Target="footer14.xml" Type="http://schemas.openxmlformats.org/officeDocument/2006/relationships/footer"/><Relationship Id="rId29" Target="theme/theme1.xml" Type="http://schemas.openxmlformats.org/officeDocument/2006/relationships/theme"/><Relationship Id="rId3" Target="header1.xml" Type="http://schemas.openxmlformats.org/officeDocument/2006/relationships/header"/><Relationship Id="rId30" Target="../customXml/item1.xml" Type="http://schemas.openxmlformats.org/officeDocument/2006/relationships/customXml"/><Relationship Id="rId31" Target="numbering.xml" Type="http://schemas.openxmlformats.org/officeDocument/2006/relationships/numbering"/><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35</TotalTime>
  <ScaleCrop>false</ScaleCrop>
  <LinksUpToDate>false</LinksUpToDate>
  <CharactersWithSpaces>38052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2021-08-01T08:22:00Z</dcterms:created>
  <dc:creator>玥</dc:creator>
  <cp:lastModifiedBy>greatwall</cp:lastModifiedBy>
  <cp:lastPrinted>2021-12-29T11:06:00Z</cp:lastPrinted>
  <dcterms:modified xsi:type="dcterms:W3CDTF">2024-02-08T10:27:33Z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34FF8652B08E41A59537929A338157B3</vt:lpwstr>
  </property>
</Properties>
</file>