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ascii="宋体" w:hAnsi="宋体"/>
          <w:b/>
          <w:bCs/>
          <w:sz w:val="52"/>
        </w:rPr>
      </w:pPr>
      <w:r>
        <w:rPr>
          <w:rFonts w:hint="eastAsia" w:ascii="宋体" w:hAnsi="宋体"/>
          <w:b/>
          <w:bCs/>
          <w:sz w:val="52"/>
        </w:rPr>
        <w:t>温州市公共资源交易中心龙湾分中心</w:t>
      </w:r>
    </w:p>
    <w:p>
      <w:pPr>
        <w:rPr>
          <w:rFonts w:ascii="宋体" w:hAnsi="宋体"/>
          <w:b/>
          <w:bCs/>
          <w:sz w:val="52"/>
        </w:rPr>
      </w:pPr>
    </w:p>
    <w:p>
      <w:pPr>
        <w:rPr>
          <w:rFonts w:ascii="宋体" w:hAnsi="宋体"/>
          <w:b/>
          <w:bCs/>
          <w:sz w:val="72"/>
        </w:rPr>
      </w:pPr>
      <w:bookmarkStart w:id="0" w:name="_Hlt162751967"/>
      <w:bookmarkEnd w:id="0"/>
    </w:p>
    <w:p>
      <w:pPr>
        <w:jc w:val="center"/>
        <w:rPr>
          <w:rFonts w:ascii="宋体" w:hAnsi="宋体"/>
          <w:b/>
          <w:bCs/>
          <w:sz w:val="72"/>
        </w:rPr>
      </w:pPr>
      <w:bookmarkStart w:id="1" w:name="_Toc164669529"/>
      <w:r>
        <w:rPr>
          <w:rFonts w:hint="eastAsia" w:ascii="宋体" w:hAnsi="宋体"/>
          <w:b/>
          <w:bCs/>
          <w:sz w:val="72"/>
        </w:rPr>
        <w:t>招标文件</w:t>
      </w:r>
      <w:bookmarkEnd w:id="1"/>
    </w:p>
    <w:p>
      <w:pPr>
        <w:rPr>
          <w:b/>
          <w:bCs/>
          <w:sz w:val="28"/>
        </w:rPr>
      </w:pPr>
    </w:p>
    <w:p>
      <w:pPr>
        <w:rPr>
          <w:b/>
          <w:bCs/>
          <w:sz w:val="28"/>
        </w:rPr>
      </w:pPr>
    </w:p>
    <w:p>
      <w:pPr>
        <w:rPr>
          <w:b/>
          <w:bCs/>
          <w:sz w:val="28"/>
        </w:rPr>
      </w:pPr>
    </w:p>
    <w:p>
      <w:pPr>
        <w:pStyle w:val="25"/>
        <w:tabs>
          <w:tab w:val="left" w:pos="1500"/>
          <w:tab w:val="clear" w:pos="4153"/>
          <w:tab w:val="clear" w:pos="8306"/>
        </w:tabs>
        <w:snapToGrid/>
        <w:rPr>
          <w:b/>
          <w:bCs/>
        </w:rPr>
      </w:pPr>
    </w:p>
    <w:tbl>
      <w:tblPr>
        <w:tblStyle w:val="37"/>
        <w:tblW w:w="0" w:type="auto"/>
        <w:jc w:val="center"/>
        <w:tblLayout w:type="fixed"/>
        <w:tblCellMar>
          <w:top w:w="0" w:type="dxa"/>
          <w:left w:w="108" w:type="dxa"/>
          <w:bottom w:w="0" w:type="dxa"/>
          <w:right w:w="108" w:type="dxa"/>
        </w:tblCellMar>
      </w:tblPr>
      <w:tblGrid>
        <w:gridCol w:w="3360"/>
        <w:gridCol w:w="6058"/>
      </w:tblGrid>
      <w:tr>
        <w:tblPrEx>
          <w:tblCellMar>
            <w:top w:w="0" w:type="dxa"/>
            <w:left w:w="108" w:type="dxa"/>
            <w:bottom w:w="0" w:type="dxa"/>
            <w:right w:w="108" w:type="dxa"/>
          </w:tblCellMar>
        </w:tblPrEx>
        <w:trPr>
          <w:jc w:val="center"/>
        </w:trPr>
        <w:tc>
          <w:tcPr>
            <w:tcW w:w="3360" w:type="dxa"/>
            <w:vAlign w:val="center"/>
          </w:tcPr>
          <w:p>
            <w:pPr>
              <w:spacing w:line="360" w:lineRule="auto"/>
              <w:jc w:val="right"/>
              <w:rPr>
                <w:rFonts w:ascii="宋体" w:hAnsi="宋体"/>
                <w:b/>
                <w:bCs/>
                <w:sz w:val="30"/>
                <w:szCs w:val="30"/>
              </w:rPr>
            </w:pPr>
            <w:r>
              <w:rPr>
                <w:rFonts w:hint="eastAsia" w:ascii="宋体" w:hAnsi="宋体"/>
                <w:b/>
                <w:bCs/>
                <w:sz w:val="30"/>
                <w:szCs w:val="30"/>
              </w:rPr>
              <w:t>项目编号：</w:t>
            </w:r>
          </w:p>
        </w:tc>
        <w:tc>
          <w:tcPr>
            <w:tcW w:w="6058" w:type="dxa"/>
            <w:vAlign w:val="center"/>
          </w:tcPr>
          <w:p>
            <w:pPr>
              <w:spacing w:line="360" w:lineRule="auto"/>
              <w:jc w:val="both"/>
              <w:rPr>
                <w:rFonts w:ascii="宋体" w:hAnsi="宋体"/>
                <w:b/>
                <w:bCs/>
                <w:sz w:val="30"/>
                <w:szCs w:val="30"/>
              </w:rPr>
            </w:pPr>
            <w:r>
              <w:rPr>
                <w:rFonts w:hint="eastAsia" w:ascii="宋体" w:hAnsi="宋体"/>
                <w:b/>
                <w:bCs/>
                <w:sz w:val="30"/>
                <w:szCs w:val="30"/>
              </w:rPr>
              <w:t>LWJC20211201</w:t>
            </w:r>
          </w:p>
        </w:tc>
      </w:tr>
      <w:tr>
        <w:tblPrEx>
          <w:tblCellMar>
            <w:top w:w="0" w:type="dxa"/>
            <w:left w:w="108" w:type="dxa"/>
            <w:bottom w:w="0" w:type="dxa"/>
            <w:right w:w="108" w:type="dxa"/>
          </w:tblCellMar>
        </w:tblPrEx>
        <w:trPr>
          <w:jc w:val="center"/>
        </w:trPr>
        <w:tc>
          <w:tcPr>
            <w:tcW w:w="3360" w:type="dxa"/>
            <w:vAlign w:val="center"/>
          </w:tcPr>
          <w:p>
            <w:pPr>
              <w:spacing w:line="360" w:lineRule="auto"/>
              <w:jc w:val="right"/>
              <w:rPr>
                <w:rFonts w:ascii="宋体" w:hAnsi="宋体"/>
                <w:b/>
                <w:bCs/>
                <w:sz w:val="30"/>
                <w:szCs w:val="30"/>
              </w:rPr>
            </w:pPr>
            <w:r>
              <w:rPr>
                <w:rFonts w:hint="eastAsia" w:ascii="宋体" w:hAnsi="宋体"/>
                <w:b/>
                <w:bCs/>
                <w:sz w:val="30"/>
                <w:szCs w:val="30"/>
              </w:rPr>
              <w:t>项目名称：</w:t>
            </w:r>
          </w:p>
        </w:tc>
        <w:tc>
          <w:tcPr>
            <w:tcW w:w="6058" w:type="dxa"/>
            <w:vAlign w:val="center"/>
          </w:tcPr>
          <w:p>
            <w:pPr>
              <w:spacing w:line="360" w:lineRule="auto"/>
              <w:jc w:val="both"/>
              <w:rPr>
                <w:rFonts w:ascii="宋体" w:hAnsi="宋体"/>
                <w:b/>
                <w:bCs/>
                <w:sz w:val="30"/>
                <w:szCs w:val="30"/>
              </w:rPr>
            </w:pPr>
            <w:r>
              <w:rPr>
                <w:rFonts w:hint="eastAsia" w:ascii="宋体" w:hAnsi="宋体"/>
                <w:b/>
                <w:bCs/>
                <w:sz w:val="30"/>
                <w:szCs w:val="30"/>
              </w:rPr>
              <w:t>温州市龙湾区机关事务管理中心保安服务采购项目</w:t>
            </w:r>
          </w:p>
        </w:tc>
      </w:tr>
      <w:tr>
        <w:tblPrEx>
          <w:tblCellMar>
            <w:top w:w="0" w:type="dxa"/>
            <w:left w:w="108" w:type="dxa"/>
            <w:bottom w:w="0" w:type="dxa"/>
            <w:right w:w="108" w:type="dxa"/>
          </w:tblCellMar>
        </w:tblPrEx>
        <w:trPr>
          <w:jc w:val="center"/>
        </w:trPr>
        <w:tc>
          <w:tcPr>
            <w:tcW w:w="3360" w:type="dxa"/>
            <w:vAlign w:val="center"/>
          </w:tcPr>
          <w:p>
            <w:pPr>
              <w:spacing w:line="360" w:lineRule="auto"/>
              <w:jc w:val="right"/>
              <w:rPr>
                <w:rFonts w:ascii="宋体" w:hAnsi="宋体"/>
                <w:b/>
                <w:bCs/>
                <w:sz w:val="30"/>
                <w:szCs w:val="30"/>
              </w:rPr>
            </w:pPr>
            <w:r>
              <w:rPr>
                <w:rFonts w:hint="eastAsia" w:ascii="宋体" w:hAnsi="宋体"/>
                <w:b/>
                <w:bCs/>
                <w:sz w:val="30"/>
                <w:szCs w:val="30"/>
              </w:rPr>
              <w:t>采购方式：</w:t>
            </w:r>
          </w:p>
        </w:tc>
        <w:tc>
          <w:tcPr>
            <w:tcW w:w="6058" w:type="dxa"/>
            <w:vAlign w:val="center"/>
          </w:tcPr>
          <w:p>
            <w:pPr>
              <w:spacing w:line="360" w:lineRule="auto"/>
              <w:jc w:val="both"/>
              <w:rPr>
                <w:rFonts w:ascii="宋体" w:hAnsi="宋体"/>
                <w:b/>
                <w:bCs/>
                <w:sz w:val="30"/>
                <w:szCs w:val="30"/>
              </w:rPr>
            </w:pPr>
            <w:r>
              <w:rPr>
                <w:rFonts w:hint="eastAsia" w:ascii="宋体" w:hAnsi="宋体"/>
                <w:b/>
                <w:bCs/>
                <w:sz w:val="30"/>
                <w:szCs w:val="30"/>
              </w:rPr>
              <w:t>公开招标</w:t>
            </w:r>
          </w:p>
        </w:tc>
      </w:tr>
      <w:tr>
        <w:tblPrEx>
          <w:tblCellMar>
            <w:top w:w="0" w:type="dxa"/>
            <w:left w:w="108" w:type="dxa"/>
            <w:bottom w:w="0" w:type="dxa"/>
            <w:right w:w="108" w:type="dxa"/>
          </w:tblCellMar>
        </w:tblPrEx>
        <w:trPr>
          <w:jc w:val="center"/>
        </w:trPr>
        <w:tc>
          <w:tcPr>
            <w:tcW w:w="3360" w:type="dxa"/>
            <w:vAlign w:val="center"/>
          </w:tcPr>
          <w:p>
            <w:pPr>
              <w:spacing w:line="360" w:lineRule="auto"/>
              <w:jc w:val="right"/>
              <w:rPr>
                <w:rFonts w:ascii="宋体" w:hAnsi="宋体"/>
                <w:b/>
                <w:bCs/>
                <w:sz w:val="30"/>
                <w:szCs w:val="30"/>
              </w:rPr>
            </w:pPr>
          </w:p>
        </w:tc>
        <w:tc>
          <w:tcPr>
            <w:tcW w:w="6058" w:type="dxa"/>
            <w:vAlign w:val="center"/>
          </w:tcPr>
          <w:p>
            <w:pPr>
              <w:spacing w:line="360" w:lineRule="auto"/>
              <w:jc w:val="both"/>
              <w:rPr>
                <w:rFonts w:ascii="宋体" w:hAnsi="宋体"/>
                <w:b/>
                <w:bCs/>
                <w:sz w:val="30"/>
                <w:szCs w:val="30"/>
              </w:rPr>
            </w:pPr>
          </w:p>
          <w:p>
            <w:pPr>
              <w:spacing w:line="360" w:lineRule="auto"/>
              <w:jc w:val="both"/>
              <w:rPr>
                <w:rFonts w:ascii="宋体" w:hAnsi="宋体"/>
                <w:b/>
                <w:bCs/>
                <w:sz w:val="30"/>
                <w:szCs w:val="30"/>
              </w:rPr>
            </w:pPr>
          </w:p>
          <w:p>
            <w:pPr>
              <w:spacing w:line="360" w:lineRule="auto"/>
              <w:jc w:val="both"/>
              <w:rPr>
                <w:rFonts w:ascii="宋体" w:hAnsi="宋体"/>
                <w:b/>
                <w:bCs/>
                <w:sz w:val="30"/>
                <w:szCs w:val="30"/>
              </w:rPr>
            </w:pPr>
          </w:p>
        </w:tc>
      </w:tr>
      <w:tr>
        <w:tblPrEx>
          <w:tblCellMar>
            <w:top w:w="0" w:type="dxa"/>
            <w:left w:w="108" w:type="dxa"/>
            <w:bottom w:w="0" w:type="dxa"/>
            <w:right w:w="108" w:type="dxa"/>
          </w:tblCellMar>
        </w:tblPrEx>
        <w:trPr>
          <w:jc w:val="center"/>
        </w:trPr>
        <w:tc>
          <w:tcPr>
            <w:tcW w:w="3360" w:type="dxa"/>
            <w:vAlign w:val="center"/>
          </w:tcPr>
          <w:p>
            <w:pPr>
              <w:spacing w:line="360" w:lineRule="auto"/>
              <w:jc w:val="right"/>
              <w:rPr>
                <w:rFonts w:ascii="宋体" w:hAnsi="宋体"/>
                <w:b/>
                <w:bCs/>
                <w:sz w:val="30"/>
                <w:szCs w:val="30"/>
              </w:rPr>
            </w:pPr>
            <w:r>
              <w:rPr>
                <w:rFonts w:hint="eastAsia" w:ascii="宋体" w:hAnsi="宋体"/>
                <w:b/>
                <w:bCs/>
                <w:sz w:val="30"/>
                <w:szCs w:val="30"/>
              </w:rPr>
              <w:t>采购人：</w:t>
            </w:r>
          </w:p>
        </w:tc>
        <w:tc>
          <w:tcPr>
            <w:tcW w:w="6058" w:type="dxa"/>
            <w:vAlign w:val="center"/>
          </w:tcPr>
          <w:p>
            <w:pPr>
              <w:spacing w:line="360" w:lineRule="auto"/>
              <w:jc w:val="both"/>
              <w:rPr>
                <w:rFonts w:ascii="宋体" w:hAnsi="宋体"/>
                <w:b/>
                <w:bCs/>
                <w:sz w:val="30"/>
                <w:szCs w:val="30"/>
              </w:rPr>
            </w:pPr>
            <w:r>
              <w:rPr>
                <w:rFonts w:hint="eastAsia" w:ascii="宋体" w:hAnsi="宋体"/>
                <w:b/>
                <w:bCs/>
                <w:sz w:val="30"/>
                <w:szCs w:val="30"/>
              </w:rPr>
              <w:t>温州市龙湾区机关事务管理中心</w:t>
            </w:r>
          </w:p>
        </w:tc>
      </w:tr>
      <w:tr>
        <w:tblPrEx>
          <w:tblCellMar>
            <w:top w:w="0" w:type="dxa"/>
            <w:left w:w="108" w:type="dxa"/>
            <w:bottom w:w="0" w:type="dxa"/>
            <w:right w:w="108" w:type="dxa"/>
          </w:tblCellMar>
        </w:tblPrEx>
        <w:trPr>
          <w:jc w:val="center"/>
        </w:trPr>
        <w:tc>
          <w:tcPr>
            <w:tcW w:w="3360" w:type="dxa"/>
            <w:vAlign w:val="center"/>
          </w:tcPr>
          <w:p>
            <w:pPr>
              <w:spacing w:line="360" w:lineRule="auto"/>
              <w:jc w:val="right"/>
              <w:rPr>
                <w:rFonts w:ascii="宋体" w:hAnsi="宋体"/>
                <w:b/>
                <w:bCs/>
                <w:sz w:val="30"/>
                <w:szCs w:val="30"/>
              </w:rPr>
            </w:pPr>
            <w:r>
              <w:rPr>
                <w:rFonts w:hint="eastAsia" w:ascii="宋体" w:hAnsi="宋体"/>
                <w:b/>
                <w:bCs/>
                <w:sz w:val="30"/>
                <w:szCs w:val="30"/>
              </w:rPr>
              <w:t>集中采购机构：</w:t>
            </w:r>
          </w:p>
        </w:tc>
        <w:tc>
          <w:tcPr>
            <w:tcW w:w="6058" w:type="dxa"/>
            <w:vAlign w:val="center"/>
          </w:tcPr>
          <w:p>
            <w:pPr>
              <w:spacing w:line="360" w:lineRule="auto"/>
              <w:jc w:val="both"/>
              <w:rPr>
                <w:rFonts w:ascii="宋体" w:hAnsi="宋体"/>
                <w:b/>
                <w:bCs/>
                <w:sz w:val="30"/>
                <w:szCs w:val="30"/>
              </w:rPr>
            </w:pPr>
            <w:r>
              <w:rPr>
                <w:rFonts w:hint="eastAsia" w:ascii="宋体" w:hAnsi="宋体"/>
                <w:b/>
                <w:bCs/>
                <w:sz w:val="30"/>
                <w:szCs w:val="30"/>
              </w:rPr>
              <w:t>温州市公共资源交易中心龙湾分中心</w:t>
            </w:r>
          </w:p>
        </w:tc>
      </w:tr>
      <w:tr>
        <w:tblPrEx>
          <w:tblCellMar>
            <w:top w:w="0" w:type="dxa"/>
            <w:left w:w="108" w:type="dxa"/>
            <w:bottom w:w="0" w:type="dxa"/>
            <w:right w:w="108" w:type="dxa"/>
          </w:tblCellMar>
        </w:tblPrEx>
        <w:trPr>
          <w:jc w:val="center"/>
        </w:trPr>
        <w:tc>
          <w:tcPr>
            <w:tcW w:w="3360" w:type="dxa"/>
            <w:vAlign w:val="center"/>
          </w:tcPr>
          <w:p>
            <w:pPr>
              <w:spacing w:line="360" w:lineRule="auto"/>
              <w:ind w:right="1200"/>
              <w:rPr>
                <w:rFonts w:ascii="宋体" w:hAnsi="宋体"/>
                <w:b/>
                <w:bCs/>
                <w:sz w:val="30"/>
                <w:szCs w:val="30"/>
              </w:rPr>
            </w:pPr>
          </w:p>
        </w:tc>
        <w:tc>
          <w:tcPr>
            <w:tcW w:w="6058" w:type="dxa"/>
            <w:vAlign w:val="center"/>
          </w:tcPr>
          <w:p>
            <w:pPr>
              <w:spacing w:line="360" w:lineRule="auto"/>
              <w:jc w:val="both"/>
              <w:rPr>
                <w:rFonts w:ascii="宋体" w:hAnsi="宋体"/>
                <w:b/>
                <w:bCs/>
                <w:sz w:val="30"/>
                <w:szCs w:val="30"/>
              </w:rPr>
            </w:pPr>
          </w:p>
        </w:tc>
      </w:tr>
      <w:tr>
        <w:tblPrEx>
          <w:tblCellMar>
            <w:top w:w="0" w:type="dxa"/>
            <w:left w:w="108" w:type="dxa"/>
            <w:bottom w:w="0" w:type="dxa"/>
            <w:right w:w="108" w:type="dxa"/>
          </w:tblCellMar>
        </w:tblPrEx>
        <w:trPr>
          <w:jc w:val="center"/>
        </w:trPr>
        <w:tc>
          <w:tcPr>
            <w:tcW w:w="9418" w:type="dxa"/>
            <w:gridSpan w:val="2"/>
            <w:vAlign w:val="center"/>
          </w:tcPr>
          <w:p>
            <w:pPr>
              <w:spacing w:line="360" w:lineRule="auto"/>
              <w:jc w:val="center"/>
              <w:rPr>
                <w:rFonts w:ascii="宋体" w:hAnsi="宋体"/>
                <w:b/>
                <w:bCs/>
                <w:sz w:val="30"/>
                <w:szCs w:val="30"/>
              </w:rPr>
            </w:pPr>
            <w:r>
              <w:rPr>
                <w:rFonts w:hint="eastAsia" w:ascii="宋体" w:hAnsi="宋体" w:cs="宋体"/>
                <w:b/>
                <w:sz w:val="28"/>
                <w:szCs w:val="28"/>
              </w:rPr>
              <w:t>二○二一年十二月</w:t>
            </w:r>
          </w:p>
        </w:tc>
      </w:tr>
    </w:tbl>
    <w:p>
      <w:pPr>
        <w:sectPr>
          <w:headerReference r:id="rId4" w:type="first"/>
          <w:headerReference r:id="rId3" w:type="default"/>
          <w:footerReference r:id="rId5" w:type="default"/>
          <w:footerReference r:id="rId6" w:type="even"/>
          <w:pgSz w:w="11906" w:h="16838"/>
          <w:pgMar w:top="1588" w:right="1418" w:bottom="1134" w:left="1418" w:header="680" w:footer="992" w:gutter="0"/>
          <w:pgNumType w:start="1"/>
          <w:cols w:space="720" w:num="1"/>
          <w:docGrid w:type="lines" w:linePitch="312" w:charSpace="0"/>
        </w:sectPr>
      </w:pPr>
    </w:p>
    <w:p>
      <w:pPr>
        <w:spacing w:beforeLines="100" w:afterLines="100"/>
        <w:jc w:val="center"/>
        <w:rPr>
          <w:rFonts w:ascii="宋体" w:hAnsi="宋体"/>
          <w:b/>
          <w:sz w:val="32"/>
          <w:szCs w:val="32"/>
        </w:rPr>
      </w:pPr>
      <w:r>
        <w:rPr>
          <w:rFonts w:hint="eastAsia" w:ascii="宋体" w:hAnsi="宋体"/>
          <w:b/>
          <w:sz w:val="32"/>
          <w:szCs w:val="32"/>
        </w:rPr>
        <w:t>目录</w:t>
      </w:r>
    </w:p>
    <w:p>
      <w:pPr>
        <w:pStyle w:val="27"/>
        <w:tabs>
          <w:tab w:val="right" w:leader="dot" w:pos="9070"/>
          <w:tab w:val="clear" w:pos="8948"/>
        </w:tabs>
      </w:pPr>
      <w:r>
        <w:rPr>
          <w:bCs w:val="0"/>
          <w:caps w:val="0"/>
          <w:smallCaps/>
        </w:rPr>
        <w:fldChar w:fldCharType="begin"/>
      </w:r>
      <w:r>
        <w:rPr>
          <w:bCs w:val="0"/>
          <w:caps w:val="0"/>
          <w:smallCaps/>
        </w:rPr>
        <w:instrText xml:space="preserve"> TOC \o "1-3" \h \z \u </w:instrText>
      </w:r>
      <w:r>
        <w:rPr>
          <w:bCs w:val="0"/>
          <w:caps w:val="0"/>
          <w:smallCaps/>
        </w:rPr>
        <w:fldChar w:fldCharType="separate"/>
      </w:r>
      <w:r>
        <w:fldChar w:fldCharType="begin"/>
      </w:r>
      <w:r>
        <w:instrText xml:space="preserve"> HYPERLINK \l "_Toc24046" </w:instrText>
      </w:r>
      <w:r>
        <w:fldChar w:fldCharType="separate"/>
      </w:r>
      <w:r>
        <w:rPr>
          <w:rFonts w:hint="eastAsia"/>
          <w:szCs w:val="36"/>
        </w:rPr>
        <w:t>第一部分招标公告</w:t>
      </w:r>
      <w:r>
        <w:tab/>
      </w:r>
      <w:r>
        <w:fldChar w:fldCharType="begin"/>
      </w:r>
      <w:r>
        <w:instrText xml:space="preserve"> PAGEREF _Toc24046 \h </w:instrText>
      </w:r>
      <w:r>
        <w:fldChar w:fldCharType="separate"/>
      </w:r>
      <w:r>
        <w:t>2</w:t>
      </w:r>
      <w:r>
        <w:fldChar w:fldCharType="end"/>
      </w:r>
      <w:r>
        <w:fldChar w:fldCharType="end"/>
      </w:r>
    </w:p>
    <w:p>
      <w:pPr>
        <w:pStyle w:val="27"/>
        <w:tabs>
          <w:tab w:val="right" w:leader="dot" w:pos="9070"/>
          <w:tab w:val="clear" w:pos="8948"/>
        </w:tabs>
      </w:pPr>
      <w:r>
        <w:fldChar w:fldCharType="begin"/>
      </w:r>
      <w:r>
        <w:instrText xml:space="preserve"> HYPERLINK \l "_Toc8817" </w:instrText>
      </w:r>
      <w:r>
        <w:fldChar w:fldCharType="separate"/>
      </w:r>
      <w:r>
        <w:rPr>
          <w:rFonts w:hint="eastAsia"/>
          <w:szCs w:val="36"/>
        </w:rPr>
        <w:t>第二部分投标人须知</w:t>
      </w:r>
      <w:r>
        <w:tab/>
      </w:r>
      <w:r>
        <w:fldChar w:fldCharType="begin"/>
      </w:r>
      <w:r>
        <w:instrText xml:space="preserve"> PAGEREF _Toc8817 \h </w:instrText>
      </w:r>
      <w:r>
        <w:fldChar w:fldCharType="separate"/>
      </w:r>
      <w:r>
        <w:t>5</w:t>
      </w:r>
      <w:r>
        <w:fldChar w:fldCharType="end"/>
      </w:r>
      <w:r>
        <w:fldChar w:fldCharType="end"/>
      </w:r>
    </w:p>
    <w:p>
      <w:pPr>
        <w:pStyle w:val="30"/>
        <w:tabs>
          <w:tab w:val="right" w:leader="dot" w:pos="9070"/>
          <w:tab w:val="clear" w:pos="8948"/>
        </w:tabs>
      </w:pPr>
      <w:r>
        <w:fldChar w:fldCharType="begin"/>
      </w:r>
      <w:r>
        <w:instrText xml:space="preserve"> HYPERLINK \l "_Toc5895" </w:instrText>
      </w:r>
      <w:r>
        <w:fldChar w:fldCharType="separate"/>
      </w:r>
      <w:r>
        <w:rPr>
          <w:rFonts w:hint="eastAsia"/>
          <w:szCs w:val="24"/>
        </w:rPr>
        <w:t>（一）</w:t>
      </w:r>
      <w:r>
        <w:rPr>
          <w:rFonts w:hint="eastAsia"/>
          <w:bCs/>
          <w:szCs w:val="24"/>
        </w:rPr>
        <w:t>投标须知前附表</w:t>
      </w:r>
      <w:r>
        <w:tab/>
      </w:r>
      <w:r>
        <w:fldChar w:fldCharType="begin"/>
      </w:r>
      <w:r>
        <w:instrText xml:space="preserve"> PAGEREF _Toc5895 \h </w:instrText>
      </w:r>
      <w:r>
        <w:fldChar w:fldCharType="separate"/>
      </w:r>
      <w:r>
        <w:t>5</w:t>
      </w:r>
      <w:r>
        <w:fldChar w:fldCharType="end"/>
      </w:r>
      <w:r>
        <w:fldChar w:fldCharType="end"/>
      </w:r>
    </w:p>
    <w:p>
      <w:pPr>
        <w:pStyle w:val="30"/>
        <w:tabs>
          <w:tab w:val="right" w:leader="dot" w:pos="9070"/>
          <w:tab w:val="clear" w:pos="8948"/>
        </w:tabs>
      </w:pPr>
      <w:r>
        <w:fldChar w:fldCharType="begin"/>
      </w:r>
      <w:r>
        <w:instrText xml:space="preserve"> HYPERLINK \l "_Toc3347" </w:instrText>
      </w:r>
      <w:r>
        <w:fldChar w:fldCharType="separate"/>
      </w:r>
      <w:r>
        <w:rPr>
          <w:rFonts w:hint="eastAsia"/>
          <w:szCs w:val="24"/>
        </w:rPr>
        <w:t>（二）总则</w:t>
      </w:r>
      <w:r>
        <w:tab/>
      </w:r>
      <w:r>
        <w:rPr>
          <w:rFonts w:hint="eastAsia"/>
        </w:rPr>
        <w:t>9</w:t>
      </w:r>
      <w:r>
        <w:rPr>
          <w:rFonts w:hint="eastAsia"/>
        </w:rPr>
        <w:fldChar w:fldCharType="end"/>
      </w:r>
    </w:p>
    <w:p>
      <w:pPr>
        <w:pStyle w:val="30"/>
        <w:tabs>
          <w:tab w:val="right" w:leader="dot" w:pos="9070"/>
          <w:tab w:val="clear" w:pos="8948"/>
        </w:tabs>
      </w:pPr>
      <w:r>
        <w:fldChar w:fldCharType="begin"/>
      </w:r>
      <w:r>
        <w:instrText xml:space="preserve"> HYPERLINK \l "_Toc8439" </w:instrText>
      </w:r>
      <w:r>
        <w:fldChar w:fldCharType="separate"/>
      </w:r>
      <w:r>
        <w:rPr>
          <w:rFonts w:hint="eastAsia" w:ascii="宋体" w:hAnsi="宋体" w:cs="宋体"/>
          <w:bCs/>
          <w:szCs w:val="24"/>
        </w:rPr>
        <w:t>（三）招标文件说明</w:t>
      </w:r>
      <w:r>
        <w:tab/>
      </w:r>
      <w:r>
        <w:rPr>
          <w:rFonts w:hint="eastAsia"/>
        </w:rPr>
        <w:t>1</w:t>
      </w:r>
      <w:r>
        <w:rPr>
          <w:rFonts w:hint="eastAsia"/>
        </w:rPr>
        <w:fldChar w:fldCharType="end"/>
      </w:r>
      <w:r>
        <w:rPr>
          <w:rFonts w:hint="eastAsia"/>
        </w:rPr>
        <w:t>1</w:t>
      </w:r>
    </w:p>
    <w:p>
      <w:pPr>
        <w:pStyle w:val="30"/>
        <w:tabs>
          <w:tab w:val="right" w:leader="dot" w:pos="9070"/>
          <w:tab w:val="clear" w:pos="8948"/>
        </w:tabs>
      </w:pPr>
      <w:r>
        <w:fldChar w:fldCharType="begin"/>
      </w:r>
      <w:r>
        <w:instrText xml:space="preserve"> HYPERLINK \l "_Toc28389" </w:instrText>
      </w:r>
      <w:r>
        <w:fldChar w:fldCharType="separate"/>
      </w:r>
      <w:r>
        <w:rPr>
          <w:rFonts w:hint="eastAsia"/>
          <w:szCs w:val="24"/>
        </w:rPr>
        <w:t>（四）投标文件的编制</w:t>
      </w:r>
      <w:r>
        <w:tab/>
      </w:r>
      <w:r>
        <w:rPr>
          <w:rFonts w:hint="eastAsia"/>
        </w:rPr>
        <w:t>1</w:t>
      </w:r>
      <w:r>
        <w:rPr>
          <w:rFonts w:hint="eastAsia"/>
        </w:rPr>
        <w:fldChar w:fldCharType="end"/>
      </w:r>
      <w:r>
        <w:rPr>
          <w:rFonts w:hint="eastAsia"/>
        </w:rPr>
        <w:t>1</w:t>
      </w:r>
    </w:p>
    <w:p>
      <w:pPr>
        <w:pStyle w:val="30"/>
        <w:tabs>
          <w:tab w:val="right" w:leader="dot" w:pos="9070"/>
          <w:tab w:val="clear" w:pos="8948"/>
        </w:tabs>
      </w:pPr>
      <w:r>
        <w:fldChar w:fldCharType="begin"/>
      </w:r>
      <w:r>
        <w:instrText xml:space="preserve"> HYPERLINK \l "_Toc25916" </w:instrText>
      </w:r>
      <w:r>
        <w:fldChar w:fldCharType="separate"/>
      </w:r>
      <w:r>
        <w:rPr>
          <w:rFonts w:hint="eastAsia"/>
          <w:szCs w:val="24"/>
        </w:rPr>
        <w:t>（五）投</w:t>
      </w:r>
      <w:r>
        <w:rPr>
          <w:rFonts w:hint="eastAsia" w:ascii="宋体" w:hAnsi="宋体" w:cs="宋体"/>
          <w:bCs/>
          <w:szCs w:val="24"/>
        </w:rPr>
        <w:t>标文件的提交</w:t>
      </w:r>
      <w:r>
        <w:tab/>
      </w:r>
      <w:r>
        <w:rPr>
          <w:rFonts w:hint="eastAsia"/>
        </w:rPr>
        <w:t>1</w:t>
      </w:r>
      <w:r>
        <w:rPr>
          <w:rFonts w:hint="eastAsia"/>
        </w:rPr>
        <w:fldChar w:fldCharType="end"/>
      </w:r>
      <w:r>
        <w:rPr>
          <w:rFonts w:hint="eastAsia"/>
        </w:rPr>
        <w:t>3</w:t>
      </w:r>
    </w:p>
    <w:p>
      <w:pPr>
        <w:pStyle w:val="30"/>
        <w:tabs>
          <w:tab w:val="right" w:leader="dot" w:pos="9070"/>
          <w:tab w:val="clear" w:pos="8948"/>
        </w:tabs>
      </w:pPr>
      <w:r>
        <w:fldChar w:fldCharType="begin"/>
      </w:r>
      <w:r>
        <w:instrText xml:space="preserve"> HYPERLINK \l "_Toc11011" </w:instrText>
      </w:r>
      <w:r>
        <w:fldChar w:fldCharType="separate"/>
      </w:r>
      <w:r>
        <w:rPr>
          <w:rFonts w:hint="eastAsia"/>
          <w:szCs w:val="24"/>
        </w:rPr>
        <w:t>（六）开标与评审</w:t>
      </w:r>
      <w:r>
        <w:tab/>
      </w:r>
      <w:r>
        <w:rPr>
          <w:rFonts w:hint="eastAsia"/>
        </w:rPr>
        <w:t>1</w:t>
      </w:r>
      <w:r>
        <w:rPr>
          <w:rFonts w:hint="eastAsia"/>
        </w:rPr>
        <w:fldChar w:fldCharType="end"/>
      </w:r>
      <w:r>
        <w:rPr>
          <w:rFonts w:hint="eastAsia"/>
        </w:rPr>
        <w:t>4</w:t>
      </w:r>
    </w:p>
    <w:p>
      <w:pPr>
        <w:pStyle w:val="30"/>
        <w:tabs>
          <w:tab w:val="right" w:leader="dot" w:pos="9070"/>
          <w:tab w:val="clear" w:pos="8948"/>
        </w:tabs>
      </w:pPr>
      <w:r>
        <w:fldChar w:fldCharType="begin"/>
      </w:r>
      <w:r>
        <w:instrText xml:space="preserve"> HYPERLINK \l "_Toc17331" </w:instrText>
      </w:r>
      <w:r>
        <w:fldChar w:fldCharType="separate"/>
      </w:r>
      <w:r>
        <w:rPr>
          <w:rFonts w:hint="eastAsia" w:ascii="宋体" w:hAnsi="宋体" w:cs="宋体"/>
          <w:bCs/>
          <w:szCs w:val="24"/>
        </w:rPr>
        <w:t>（七）授予合同</w:t>
      </w:r>
      <w:r>
        <w:tab/>
      </w:r>
      <w:r>
        <w:rPr>
          <w:rFonts w:hint="eastAsia"/>
        </w:rPr>
        <w:t>1</w:t>
      </w:r>
      <w:r>
        <w:rPr>
          <w:rFonts w:hint="eastAsia"/>
        </w:rPr>
        <w:fldChar w:fldCharType="end"/>
      </w:r>
      <w:r>
        <w:rPr>
          <w:rFonts w:hint="eastAsia"/>
        </w:rPr>
        <w:t>8</w:t>
      </w:r>
    </w:p>
    <w:p>
      <w:pPr>
        <w:pStyle w:val="27"/>
        <w:tabs>
          <w:tab w:val="right" w:leader="dot" w:pos="9070"/>
          <w:tab w:val="clear" w:pos="8948"/>
        </w:tabs>
      </w:pPr>
      <w:r>
        <w:fldChar w:fldCharType="begin"/>
      </w:r>
      <w:r>
        <w:instrText xml:space="preserve"> HYPERLINK \l "_Toc20037" </w:instrText>
      </w:r>
      <w:r>
        <w:fldChar w:fldCharType="separate"/>
      </w:r>
      <w:r>
        <w:rPr>
          <w:rFonts w:hint="eastAsia"/>
        </w:rPr>
        <w:t>第三部分招标内容及要求</w:t>
      </w:r>
      <w:r>
        <w:tab/>
      </w:r>
      <w:r>
        <w:rPr>
          <w:rFonts w:hint="eastAsia"/>
        </w:rPr>
        <w:t>1</w:t>
      </w:r>
      <w:r>
        <w:rPr>
          <w:rFonts w:hint="eastAsia"/>
        </w:rPr>
        <w:fldChar w:fldCharType="end"/>
      </w:r>
      <w:r>
        <w:rPr>
          <w:rFonts w:hint="eastAsia"/>
        </w:rPr>
        <w:t>9</w:t>
      </w:r>
    </w:p>
    <w:p>
      <w:pPr>
        <w:pStyle w:val="27"/>
        <w:tabs>
          <w:tab w:val="right" w:leader="dot" w:pos="9070"/>
          <w:tab w:val="clear" w:pos="8948"/>
        </w:tabs>
      </w:pPr>
      <w:r>
        <w:fldChar w:fldCharType="begin"/>
      </w:r>
      <w:r>
        <w:instrText xml:space="preserve"> HYPERLINK \l "_Toc14492" </w:instrText>
      </w:r>
      <w:r>
        <w:fldChar w:fldCharType="separate"/>
      </w:r>
      <w:r>
        <w:rPr>
          <w:rFonts w:hint="eastAsia"/>
          <w:szCs w:val="36"/>
        </w:rPr>
        <w:t>第四部分合同条款</w:t>
      </w:r>
      <w:r>
        <w:tab/>
      </w:r>
      <w:r>
        <w:rPr>
          <w:rFonts w:hint="eastAsia"/>
        </w:rPr>
        <w:t>5</w:t>
      </w:r>
      <w:r>
        <w:rPr>
          <w:rFonts w:hint="eastAsia"/>
        </w:rPr>
        <w:fldChar w:fldCharType="end"/>
      </w:r>
      <w:r>
        <w:rPr>
          <w:rFonts w:hint="eastAsia"/>
        </w:rPr>
        <w:t>6</w:t>
      </w:r>
    </w:p>
    <w:p>
      <w:pPr>
        <w:pStyle w:val="27"/>
        <w:tabs>
          <w:tab w:val="right" w:leader="dot" w:pos="9070"/>
          <w:tab w:val="clear" w:pos="8948"/>
        </w:tabs>
      </w:pPr>
      <w:r>
        <w:fldChar w:fldCharType="begin"/>
      </w:r>
      <w:r>
        <w:instrText xml:space="preserve"> HYPERLINK \l "_Toc929" </w:instrText>
      </w:r>
      <w:r>
        <w:fldChar w:fldCharType="separate"/>
      </w:r>
      <w:r>
        <w:rPr>
          <w:rFonts w:hint="eastAsia"/>
          <w:szCs w:val="36"/>
        </w:rPr>
        <w:t>第五部分投标文件格式</w:t>
      </w:r>
      <w:r>
        <w:tab/>
      </w:r>
      <w:r>
        <w:rPr>
          <w:rFonts w:hint="eastAsia"/>
        </w:rPr>
        <w:t>6</w:t>
      </w:r>
      <w:r>
        <w:rPr>
          <w:rFonts w:hint="eastAsia"/>
        </w:rPr>
        <w:fldChar w:fldCharType="end"/>
      </w:r>
      <w:r>
        <w:rPr>
          <w:rFonts w:hint="eastAsia"/>
        </w:rPr>
        <w:t>6</w:t>
      </w:r>
    </w:p>
    <w:p>
      <w:pPr>
        <w:pStyle w:val="30"/>
        <w:tabs>
          <w:tab w:val="right" w:leader="dot" w:pos="9070"/>
          <w:tab w:val="clear" w:pos="8948"/>
        </w:tabs>
      </w:pPr>
      <w:r>
        <w:fldChar w:fldCharType="begin"/>
      </w:r>
      <w:r>
        <w:instrText xml:space="preserve"> HYPERLINK \l "_Toc19425" </w:instrText>
      </w:r>
      <w:r>
        <w:fldChar w:fldCharType="separate"/>
      </w:r>
      <w:r>
        <w:rPr>
          <w:rFonts w:hint="eastAsia" w:cs="宋体"/>
        </w:rPr>
        <w:t>附件一法定代表人授权书</w:t>
      </w:r>
      <w:r>
        <w:tab/>
      </w:r>
      <w:r>
        <w:rPr>
          <w:rFonts w:hint="eastAsia"/>
        </w:rPr>
        <w:t>6</w:t>
      </w:r>
      <w:r>
        <w:rPr>
          <w:rFonts w:hint="eastAsia"/>
        </w:rPr>
        <w:fldChar w:fldCharType="end"/>
      </w:r>
      <w:r>
        <w:rPr>
          <w:rFonts w:hint="eastAsia"/>
        </w:rPr>
        <w:t>7</w:t>
      </w:r>
    </w:p>
    <w:p>
      <w:pPr>
        <w:pStyle w:val="30"/>
        <w:tabs>
          <w:tab w:val="right" w:leader="dot" w:pos="9070"/>
          <w:tab w:val="clear" w:pos="8948"/>
        </w:tabs>
      </w:pPr>
      <w:r>
        <w:fldChar w:fldCharType="begin"/>
      </w:r>
      <w:r>
        <w:instrText xml:space="preserve"> HYPERLINK \l "_Toc24805" </w:instrText>
      </w:r>
      <w:r>
        <w:fldChar w:fldCharType="separate"/>
      </w:r>
      <w:r>
        <w:rPr>
          <w:rFonts w:hint="eastAsia"/>
        </w:rPr>
        <w:t>附件二投标函</w:t>
      </w:r>
      <w:r>
        <w:tab/>
      </w:r>
      <w:r>
        <w:rPr>
          <w:rFonts w:hint="eastAsia"/>
        </w:rPr>
        <w:t>6</w:t>
      </w:r>
      <w:r>
        <w:rPr>
          <w:rFonts w:hint="eastAsia"/>
        </w:rPr>
        <w:fldChar w:fldCharType="end"/>
      </w:r>
      <w:r>
        <w:rPr>
          <w:rFonts w:hint="eastAsia"/>
        </w:rPr>
        <w:t>8</w:t>
      </w:r>
    </w:p>
    <w:p>
      <w:pPr>
        <w:pStyle w:val="30"/>
        <w:tabs>
          <w:tab w:val="right" w:leader="dot" w:pos="9070"/>
          <w:tab w:val="clear" w:pos="8948"/>
        </w:tabs>
      </w:pPr>
      <w:r>
        <w:fldChar w:fldCharType="begin"/>
      </w:r>
      <w:r>
        <w:instrText xml:space="preserve"> HYPERLINK \l "_Toc23423" </w:instrText>
      </w:r>
      <w:r>
        <w:fldChar w:fldCharType="separate"/>
      </w:r>
      <w:r>
        <w:rPr>
          <w:rFonts w:hint="eastAsia" w:hAnsi="宋体"/>
          <w:szCs w:val="36"/>
        </w:rPr>
        <w:t>附件三关于符合《中华人民共和国政府采购法》第二十二条规定条件的承诺函</w:t>
      </w:r>
      <w:r>
        <w:tab/>
      </w:r>
      <w:r>
        <w:rPr>
          <w:rFonts w:hint="eastAsia"/>
        </w:rPr>
        <w:t>6</w:t>
      </w:r>
      <w:r>
        <w:rPr>
          <w:rFonts w:hint="eastAsia"/>
        </w:rPr>
        <w:fldChar w:fldCharType="end"/>
      </w:r>
      <w:r>
        <w:rPr>
          <w:rFonts w:hint="eastAsia"/>
        </w:rPr>
        <w:t>9</w:t>
      </w:r>
    </w:p>
    <w:p>
      <w:pPr>
        <w:pStyle w:val="30"/>
        <w:tabs>
          <w:tab w:val="right" w:leader="dot" w:pos="9070"/>
          <w:tab w:val="clear" w:pos="8948"/>
        </w:tabs>
      </w:pPr>
      <w:r>
        <w:rPr>
          <w:rFonts w:hint="eastAsia"/>
        </w:rPr>
        <w:t>附件四诚信投标承诺书............................................................................................................................70</w:t>
      </w:r>
    </w:p>
    <w:p>
      <w:pPr>
        <w:pStyle w:val="30"/>
        <w:tabs>
          <w:tab w:val="right" w:leader="dot" w:pos="9070"/>
          <w:tab w:val="clear" w:pos="8948"/>
        </w:tabs>
        <w:ind w:left="0" w:firstLine="210" w:firstLineChars="100"/>
      </w:pPr>
      <w:r>
        <w:fldChar w:fldCharType="begin"/>
      </w:r>
      <w:r>
        <w:instrText xml:space="preserve"> HYPERLINK \l "_Toc30195" </w:instrText>
      </w:r>
      <w:r>
        <w:fldChar w:fldCharType="separate"/>
      </w:r>
      <w:r>
        <w:rPr>
          <w:rFonts w:hint="eastAsia"/>
        </w:rPr>
        <w:t>附件五</w:t>
      </w:r>
      <w:r>
        <w:rPr>
          <w:rFonts w:hint="eastAsia" w:ascii="宋体" w:hAnsi="宋体"/>
          <w:szCs w:val="21"/>
        </w:rPr>
        <w:t>技术响应表</w:t>
      </w:r>
      <w:r>
        <w:tab/>
      </w:r>
      <w:r>
        <w:rPr>
          <w:rFonts w:hint="eastAsia"/>
        </w:rPr>
        <w:t>7</w:t>
      </w:r>
      <w:r>
        <w:rPr>
          <w:rFonts w:hint="eastAsia"/>
        </w:rPr>
        <w:fldChar w:fldCharType="end"/>
      </w:r>
      <w:r>
        <w:rPr>
          <w:rFonts w:hint="eastAsia"/>
        </w:rPr>
        <w:t>1</w:t>
      </w:r>
    </w:p>
    <w:p>
      <w:pPr>
        <w:pStyle w:val="30"/>
        <w:tabs>
          <w:tab w:val="right" w:leader="dot" w:pos="9070"/>
          <w:tab w:val="clear" w:pos="8948"/>
        </w:tabs>
      </w:pPr>
      <w:r>
        <w:fldChar w:fldCharType="begin"/>
      </w:r>
      <w:r>
        <w:instrText xml:space="preserve"> HYPERLINK \l "_Toc8764" </w:instrText>
      </w:r>
      <w:r>
        <w:fldChar w:fldCharType="separate"/>
      </w:r>
      <w:r>
        <w:rPr>
          <w:rFonts w:hint="eastAsia"/>
        </w:rPr>
        <w:t>附件六建议与少量偏离表</w:t>
      </w:r>
      <w:r>
        <w:tab/>
      </w:r>
      <w:r>
        <w:rPr>
          <w:rFonts w:hint="eastAsia"/>
        </w:rPr>
        <w:t>7</w:t>
      </w:r>
      <w:r>
        <w:rPr>
          <w:rFonts w:hint="eastAsia"/>
        </w:rPr>
        <w:fldChar w:fldCharType="end"/>
      </w:r>
      <w:r>
        <w:rPr>
          <w:rFonts w:hint="eastAsia"/>
        </w:rPr>
        <w:t>2</w:t>
      </w:r>
    </w:p>
    <w:p>
      <w:pPr>
        <w:pStyle w:val="30"/>
        <w:tabs>
          <w:tab w:val="right" w:leader="dot" w:pos="9070"/>
          <w:tab w:val="clear" w:pos="8948"/>
        </w:tabs>
      </w:pPr>
      <w:r>
        <w:fldChar w:fldCharType="begin"/>
      </w:r>
      <w:r>
        <w:instrText xml:space="preserve"> HYPERLINK \l "_Toc6948" </w:instrText>
      </w:r>
      <w:r>
        <w:fldChar w:fldCharType="separate"/>
      </w:r>
      <w:r>
        <w:rPr>
          <w:rFonts w:hint="eastAsia"/>
          <w:szCs w:val="28"/>
        </w:rPr>
        <w:t>附件七资格、资质证明文件</w:t>
      </w:r>
      <w:r>
        <w:tab/>
      </w:r>
      <w:r>
        <w:rPr>
          <w:rFonts w:hint="eastAsia"/>
        </w:rPr>
        <w:t>7</w:t>
      </w:r>
      <w:r>
        <w:rPr>
          <w:rFonts w:hint="eastAsia"/>
        </w:rPr>
        <w:fldChar w:fldCharType="end"/>
      </w:r>
      <w:r>
        <w:rPr>
          <w:rFonts w:hint="eastAsia"/>
        </w:rPr>
        <w:t>3</w:t>
      </w:r>
    </w:p>
    <w:p>
      <w:pPr>
        <w:pStyle w:val="30"/>
        <w:tabs>
          <w:tab w:val="right" w:leader="dot" w:pos="9070"/>
          <w:tab w:val="clear" w:pos="8948"/>
        </w:tabs>
      </w:pPr>
      <w:r>
        <w:fldChar w:fldCharType="begin"/>
      </w:r>
      <w:r>
        <w:instrText xml:space="preserve"> HYPERLINK \l "_Toc9491" </w:instrText>
      </w:r>
      <w:r>
        <w:fldChar w:fldCharType="separate"/>
      </w:r>
      <w:r>
        <w:rPr>
          <w:rFonts w:hint="eastAsia"/>
        </w:rPr>
        <w:t>附件八开标一览表</w:t>
      </w:r>
      <w:r>
        <w:tab/>
      </w:r>
      <w:r>
        <w:rPr>
          <w:rFonts w:hint="eastAsia"/>
        </w:rPr>
        <w:t>7</w:t>
      </w:r>
      <w:r>
        <w:rPr>
          <w:rFonts w:hint="eastAsia"/>
        </w:rPr>
        <w:fldChar w:fldCharType="end"/>
      </w:r>
      <w:r>
        <w:rPr>
          <w:rFonts w:hint="eastAsia"/>
        </w:rPr>
        <w:t>4</w:t>
      </w:r>
    </w:p>
    <w:p>
      <w:pPr>
        <w:pStyle w:val="30"/>
        <w:tabs>
          <w:tab w:val="right" w:leader="dot" w:pos="9070"/>
          <w:tab w:val="clear" w:pos="8948"/>
        </w:tabs>
      </w:pPr>
      <w:r>
        <w:fldChar w:fldCharType="begin"/>
      </w:r>
      <w:r>
        <w:instrText xml:space="preserve"> HYPERLINK \l "_Toc8065" </w:instrText>
      </w:r>
      <w:r>
        <w:fldChar w:fldCharType="separate"/>
      </w:r>
      <w:r>
        <w:rPr>
          <w:rFonts w:hint="eastAsia"/>
        </w:rPr>
        <w:t>附件九</w:t>
      </w:r>
      <w:r>
        <w:t>中小企业声明函</w:t>
      </w:r>
      <w:r>
        <w:tab/>
      </w:r>
      <w:r>
        <w:rPr>
          <w:rFonts w:hint="eastAsia"/>
        </w:rPr>
        <w:t>7</w:t>
      </w:r>
      <w:r>
        <w:rPr>
          <w:rFonts w:hint="eastAsia"/>
        </w:rPr>
        <w:fldChar w:fldCharType="end"/>
      </w:r>
      <w:r>
        <w:rPr>
          <w:rFonts w:hint="eastAsia"/>
        </w:rPr>
        <w:t>5</w:t>
      </w:r>
    </w:p>
    <w:p>
      <w:pPr>
        <w:pStyle w:val="30"/>
        <w:tabs>
          <w:tab w:val="right" w:leader="dot" w:pos="9070"/>
          <w:tab w:val="clear" w:pos="8948"/>
        </w:tabs>
      </w:pPr>
      <w:r>
        <w:fldChar w:fldCharType="begin"/>
      </w:r>
      <w:r>
        <w:instrText xml:space="preserve"> HYPERLINK \l "_Toc17660" </w:instrText>
      </w:r>
      <w:r>
        <w:fldChar w:fldCharType="separate"/>
      </w:r>
      <w:r>
        <w:rPr>
          <w:rFonts w:hint="eastAsia"/>
        </w:rPr>
        <w:t>附件十残疾人福利性单位声明函</w:t>
      </w:r>
      <w:r>
        <w:tab/>
      </w:r>
      <w:r>
        <w:rPr>
          <w:rFonts w:hint="eastAsia"/>
        </w:rPr>
        <w:t>7</w:t>
      </w:r>
      <w:r>
        <w:rPr>
          <w:rFonts w:hint="eastAsia"/>
        </w:rPr>
        <w:fldChar w:fldCharType="end"/>
      </w:r>
      <w:r>
        <w:rPr>
          <w:rFonts w:hint="eastAsia"/>
        </w:rPr>
        <w:t>6</w:t>
      </w:r>
    </w:p>
    <w:p>
      <w:pPr>
        <w:pStyle w:val="30"/>
        <w:tabs>
          <w:tab w:val="right" w:leader="dot" w:pos="9070"/>
          <w:tab w:val="clear" w:pos="8948"/>
        </w:tabs>
      </w:pPr>
      <w:r>
        <w:fldChar w:fldCharType="begin"/>
      </w:r>
      <w:r>
        <w:instrText xml:space="preserve"> HYPERLINK \l "_Toc24573" </w:instrText>
      </w:r>
      <w:r>
        <w:fldChar w:fldCharType="separate"/>
      </w:r>
      <w:r>
        <w:rPr>
          <w:rFonts w:hint="eastAsia"/>
        </w:rPr>
        <w:t>附件十一启用备份投标文件申请书</w:t>
      </w:r>
      <w:r>
        <w:tab/>
      </w:r>
      <w:r>
        <w:rPr>
          <w:rFonts w:hint="eastAsia"/>
        </w:rPr>
        <w:t>7</w:t>
      </w:r>
      <w:r>
        <w:rPr>
          <w:rFonts w:hint="eastAsia"/>
        </w:rPr>
        <w:fldChar w:fldCharType="end"/>
      </w:r>
      <w:r>
        <w:rPr>
          <w:rFonts w:hint="eastAsia"/>
        </w:rPr>
        <w:t>7</w:t>
      </w:r>
    </w:p>
    <w:p>
      <w:pPr>
        <w:pStyle w:val="27"/>
        <w:tabs>
          <w:tab w:val="right" w:leader="dot" w:pos="9070"/>
          <w:tab w:val="clear" w:pos="8948"/>
        </w:tabs>
      </w:pPr>
      <w:r>
        <w:fldChar w:fldCharType="begin"/>
      </w:r>
      <w:r>
        <w:instrText xml:space="preserve"> HYPERLINK \l "_Toc14438" </w:instrText>
      </w:r>
      <w:r>
        <w:fldChar w:fldCharType="separate"/>
      </w:r>
      <w:r>
        <w:rPr>
          <w:rFonts w:hint="eastAsia"/>
          <w:szCs w:val="36"/>
        </w:rPr>
        <w:t>第六部分评标办法</w:t>
      </w:r>
      <w:r>
        <w:tab/>
      </w:r>
      <w:r>
        <w:rPr>
          <w:rFonts w:hint="eastAsia"/>
        </w:rPr>
        <w:t>7</w:t>
      </w:r>
      <w:r>
        <w:rPr>
          <w:rFonts w:hint="eastAsia"/>
        </w:rPr>
        <w:fldChar w:fldCharType="end"/>
      </w:r>
      <w:r>
        <w:rPr>
          <w:rFonts w:hint="eastAsia"/>
        </w:rPr>
        <w:t>8</w:t>
      </w:r>
    </w:p>
    <w:p>
      <w:pPr>
        <w:pStyle w:val="30"/>
      </w:pPr>
      <w:r>
        <w:rPr>
          <w:rFonts w:ascii="宋体" w:hAnsi="宋体"/>
          <w:bCs/>
          <w:caps/>
          <w:smallCaps w:val="0"/>
          <w:szCs w:val="21"/>
        </w:rPr>
        <w:fldChar w:fldCharType="end"/>
      </w:r>
    </w:p>
    <w:p>
      <w:pPr>
        <w:spacing w:line="360" w:lineRule="auto"/>
        <w:sectPr>
          <w:headerReference r:id="rId7" w:type="default"/>
          <w:footerReference r:id="rId9" w:type="default"/>
          <w:headerReference r:id="rId8" w:type="even"/>
          <w:footerReference r:id="rId10" w:type="even"/>
          <w:pgSz w:w="11906" w:h="16838"/>
          <w:pgMar w:top="1588" w:right="1418" w:bottom="1134" w:left="1418" w:header="680" w:footer="992" w:gutter="0"/>
          <w:pgNumType w:start="1"/>
          <w:cols w:space="720" w:num="1"/>
          <w:docGrid w:type="lines" w:linePitch="312" w:charSpace="0"/>
        </w:sectPr>
      </w:pPr>
    </w:p>
    <w:p>
      <w:pPr>
        <w:pStyle w:val="5"/>
        <w:keepNext w:val="0"/>
        <w:keepLines w:val="0"/>
        <w:pageBreakBefore/>
        <w:spacing w:beforeLines="50" w:afterLines="100" w:line="240" w:lineRule="auto"/>
        <w:jc w:val="center"/>
        <w:rPr>
          <w:rFonts w:ascii="华文中宋" w:hAnsi="华文中宋" w:eastAsia="华文中宋"/>
        </w:rPr>
      </w:pPr>
      <w:bookmarkStart w:id="2" w:name="_Toc24046"/>
      <w:r>
        <w:rPr>
          <w:rFonts w:hint="eastAsia" w:hAnsi="宋体"/>
          <w:sz w:val="28"/>
          <w:szCs w:val="36"/>
        </w:rPr>
        <w:t>第一部分招标公告</w:t>
      </w:r>
      <w:bookmarkEnd w:id="2"/>
    </w:p>
    <w:p>
      <w:pPr>
        <w:pBdr>
          <w:top w:val="single" w:color="auto" w:sz="4" w:space="1"/>
          <w:left w:val="single" w:color="auto" w:sz="4" w:space="4"/>
          <w:bottom w:val="single" w:color="auto" w:sz="4" w:space="1"/>
          <w:right w:val="single" w:color="auto" w:sz="4" w:space="4"/>
        </w:pBdr>
        <w:spacing w:line="360" w:lineRule="auto"/>
        <w:ind w:firstLine="480" w:firstLineChars="200"/>
        <w:rPr>
          <w:rFonts w:ascii="黑体" w:hAnsi="黑体" w:eastAsia="黑体" w:cs="黑体"/>
          <w:b/>
          <w:bCs/>
          <w:sz w:val="24"/>
          <w:szCs w:val="24"/>
        </w:rPr>
      </w:pPr>
      <w:r>
        <w:rPr>
          <w:rFonts w:hint="eastAsia" w:ascii="黑体" w:hAnsi="黑体" w:eastAsia="黑体" w:cs="黑体"/>
          <w:b/>
          <w:bCs/>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黑体" w:hAnsi="黑体" w:eastAsia="黑体" w:cs="黑体"/>
          <w:b/>
          <w:bCs/>
          <w:sz w:val="24"/>
          <w:szCs w:val="24"/>
        </w:rPr>
      </w:pPr>
      <w:r>
        <w:rPr>
          <w:rFonts w:hint="eastAsia" w:ascii="黑体" w:hAnsi="黑体" w:eastAsia="黑体" w:cs="黑体"/>
          <w:b/>
          <w:bCs/>
          <w:sz w:val="24"/>
          <w:szCs w:val="24"/>
          <w:u w:val="single"/>
        </w:rPr>
        <w:t>温州市龙湾区机关事务管理中心保安服务采购项目</w:t>
      </w:r>
      <w:r>
        <w:rPr>
          <w:rFonts w:hint="eastAsia" w:ascii="黑体" w:hAnsi="黑体" w:eastAsia="黑体" w:cs="黑体"/>
          <w:b/>
          <w:bCs/>
          <w:sz w:val="24"/>
          <w:szCs w:val="24"/>
        </w:rPr>
        <w:t>的潜在投标人应在政采云平台获取招标文件，并于</w:t>
      </w:r>
      <w:r>
        <w:rPr>
          <w:rFonts w:hint="eastAsia" w:ascii="黑体" w:hAnsi="黑体" w:eastAsia="黑体" w:cs="黑体"/>
          <w:b/>
          <w:bCs/>
          <w:sz w:val="24"/>
          <w:szCs w:val="24"/>
          <w:u w:val="single"/>
        </w:rPr>
        <w:t>2021年12月 23 日9点30分</w:t>
      </w:r>
      <w:r>
        <w:rPr>
          <w:rFonts w:hint="eastAsia" w:ascii="黑体" w:hAnsi="黑体" w:eastAsia="黑体" w:cs="黑体"/>
          <w:b/>
          <w:bCs/>
          <w:sz w:val="24"/>
          <w:szCs w:val="24"/>
        </w:rPr>
        <w:t>（北京时间）前递交投标文件。</w:t>
      </w:r>
    </w:p>
    <w:p>
      <w:pPr>
        <w:spacing w:line="360" w:lineRule="auto"/>
        <w:rPr>
          <w:rFonts w:ascii="宋体" w:hAnsi="宋体" w:cs="宋体"/>
          <w:b/>
          <w:bCs/>
          <w:szCs w:val="21"/>
        </w:rPr>
      </w:pPr>
      <w:bookmarkStart w:id="3" w:name="_Toc28359079"/>
      <w:bookmarkStart w:id="4" w:name="_Toc35393790"/>
      <w:bookmarkStart w:id="5" w:name="_Toc28359002"/>
      <w:bookmarkStart w:id="6" w:name="_Toc35393621"/>
      <w:bookmarkStart w:id="7" w:name="_Hlk24379207"/>
      <w:r>
        <w:rPr>
          <w:rFonts w:hint="eastAsia" w:ascii="宋体" w:hAnsi="宋体" w:cs="宋体"/>
          <w:b/>
          <w:bCs/>
          <w:szCs w:val="21"/>
        </w:rPr>
        <w:t>一、项目基本情况</w:t>
      </w:r>
      <w:bookmarkEnd w:id="3"/>
      <w:bookmarkEnd w:id="4"/>
      <w:bookmarkEnd w:id="5"/>
      <w:bookmarkEnd w:id="6"/>
    </w:p>
    <w:p>
      <w:pPr>
        <w:spacing w:line="360" w:lineRule="auto"/>
        <w:ind w:firstLine="420" w:firstLineChars="200"/>
        <w:rPr>
          <w:rFonts w:ascii="宋体" w:hAnsi="宋体" w:cs="宋体"/>
          <w:szCs w:val="21"/>
        </w:rPr>
      </w:pPr>
      <w:r>
        <w:rPr>
          <w:rFonts w:hint="eastAsia" w:ascii="宋体" w:hAnsi="宋体" w:cs="宋体"/>
          <w:szCs w:val="21"/>
        </w:rPr>
        <w:t>项目编号：LWJC20211201</w:t>
      </w:r>
    </w:p>
    <w:p>
      <w:pPr>
        <w:spacing w:line="360" w:lineRule="auto"/>
        <w:ind w:firstLine="420" w:firstLineChars="200"/>
        <w:rPr>
          <w:rFonts w:ascii="宋体" w:hAnsi="宋体" w:cs="宋体"/>
          <w:szCs w:val="21"/>
        </w:rPr>
      </w:pPr>
      <w:r>
        <w:rPr>
          <w:rFonts w:hint="eastAsia" w:ascii="宋体" w:hAnsi="宋体" w:cs="宋体"/>
          <w:szCs w:val="21"/>
        </w:rPr>
        <w:t>项目名称：温州市龙湾区机关事务管理中心保安服务采购项目</w:t>
      </w:r>
    </w:p>
    <w:bookmarkEnd w:id="7"/>
    <w:p>
      <w:pPr>
        <w:pStyle w:val="2"/>
        <w:ind w:firstLineChars="200"/>
        <w:rPr>
          <w:rFonts w:ascii="宋体" w:hAnsi="宋体" w:eastAsia="宋体" w:cs="宋体"/>
          <w:kern w:val="0"/>
          <w:szCs w:val="21"/>
        </w:rPr>
      </w:pPr>
      <w:r>
        <w:rPr>
          <w:rFonts w:hint="eastAsia" w:ascii="宋体" w:hAnsi="宋体" w:eastAsia="宋体" w:cs="宋体"/>
          <w:kern w:val="0"/>
          <w:szCs w:val="21"/>
        </w:rPr>
        <w:t>预算金额：2926.782万元/三年</w:t>
      </w:r>
    </w:p>
    <w:p>
      <w:pPr>
        <w:spacing w:line="360" w:lineRule="auto"/>
        <w:ind w:firstLine="420" w:firstLineChars="200"/>
        <w:rPr>
          <w:rFonts w:ascii="宋体" w:hAnsi="宋体" w:cs="宋体"/>
          <w:szCs w:val="21"/>
        </w:rPr>
      </w:pPr>
      <w:r>
        <w:rPr>
          <w:rFonts w:hint="eastAsia" w:ascii="宋体" w:hAnsi="宋体" w:cs="宋体"/>
          <w:szCs w:val="21"/>
        </w:rPr>
        <w:t>最高限价：同预算金额</w:t>
      </w:r>
    </w:p>
    <w:p>
      <w:pPr>
        <w:spacing w:line="360" w:lineRule="auto"/>
        <w:ind w:firstLine="420" w:firstLineChars="200"/>
        <w:rPr>
          <w:rFonts w:ascii="宋体" w:hAnsi="宋体" w:cs="宋体"/>
          <w:szCs w:val="21"/>
        </w:rPr>
      </w:pPr>
      <w:r>
        <w:rPr>
          <w:rFonts w:hint="eastAsia" w:ascii="宋体" w:hAnsi="宋体" w:cs="宋体"/>
          <w:szCs w:val="21"/>
        </w:rPr>
        <w:t>采购需求：见招标文件。</w:t>
      </w:r>
    </w:p>
    <w:tbl>
      <w:tblPr>
        <w:tblStyle w:val="37"/>
        <w:tblpPr w:leftFromText="180" w:rightFromText="180" w:vertAnchor="text" w:horzAnchor="page" w:tblpX="1770" w:tblpY="541"/>
        <w:tblOverlap w:val="never"/>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782"/>
        <w:gridCol w:w="1185"/>
        <w:gridCol w:w="1840"/>
        <w:gridCol w:w="1096"/>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rPr>
              <w:t>标项</w:t>
            </w:r>
          </w:p>
        </w:tc>
        <w:tc>
          <w:tcPr>
            <w:tcW w:w="1806"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lang w:eastAsia="zh-CN"/>
              </w:rPr>
              <w:t>标项</w:t>
            </w:r>
            <w:r>
              <w:rPr>
                <w:rFonts w:hint="eastAsia" w:ascii="仿宋" w:hAnsi="仿宋" w:eastAsia="仿宋" w:cs="仿宋"/>
                <w:bCs/>
                <w:sz w:val="22"/>
              </w:rPr>
              <w:t>名称</w:t>
            </w:r>
          </w:p>
        </w:tc>
        <w:tc>
          <w:tcPr>
            <w:tcW w:w="1200"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rPr>
              <w:t>服务期限</w:t>
            </w:r>
          </w:p>
        </w:tc>
        <w:tc>
          <w:tcPr>
            <w:tcW w:w="1864"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rPr>
              <w:t>简要规格或项目基本概况介绍</w:t>
            </w:r>
          </w:p>
        </w:tc>
        <w:tc>
          <w:tcPr>
            <w:tcW w:w="983"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rPr>
              <w:t>预算金额</w:t>
            </w:r>
          </w:p>
        </w:tc>
        <w:tc>
          <w:tcPr>
            <w:tcW w:w="3026"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rPr>
              <w:t>需要落实的政府采购政策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rPr>
              <w:t>1</w:t>
            </w:r>
          </w:p>
        </w:tc>
        <w:tc>
          <w:tcPr>
            <w:tcW w:w="1806" w:type="dxa"/>
            <w:vAlign w:val="center"/>
          </w:tcPr>
          <w:p>
            <w:pPr>
              <w:spacing w:line="440" w:lineRule="atLeast"/>
              <w:jc w:val="center"/>
              <w:rPr>
                <w:rFonts w:ascii="宋体" w:hAnsi="宋体" w:cs="宋体"/>
                <w:szCs w:val="21"/>
              </w:rPr>
            </w:pPr>
            <w:r>
              <w:rPr>
                <w:rFonts w:hint="eastAsia" w:ascii="宋体" w:hAnsi="宋体" w:cs="宋体"/>
                <w:szCs w:val="21"/>
              </w:rPr>
              <w:t>区行政管理中心等6处房产安保服务</w:t>
            </w:r>
          </w:p>
        </w:tc>
        <w:tc>
          <w:tcPr>
            <w:tcW w:w="1200"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rPr>
              <w:t>3年</w:t>
            </w:r>
          </w:p>
        </w:tc>
        <w:tc>
          <w:tcPr>
            <w:tcW w:w="1864"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rPr>
              <w:t>见招标文件里“采购内容及要求”</w:t>
            </w:r>
          </w:p>
        </w:tc>
        <w:tc>
          <w:tcPr>
            <w:tcW w:w="983" w:type="dxa"/>
            <w:vAlign w:val="center"/>
          </w:tcPr>
          <w:p>
            <w:pPr>
              <w:spacing w:line="440" w:lineRule="atLeast"/>
              <w:jc w:val="center"/>
              <w:rPr>
                <w:rFonts w:ascii="仿宋" w:hAnsi="仿宋" w:eastAsia="仿宋" w:cs="仿宋"/>
                <w:bCs/>
                <w:sz w:val="22"/>
              </w:rPr>
            </w:pPr>
            <w:r>
              <w:rPr>
                <w:rFonts w:hint="eastAsia" w:ascii="宋体" w:hAnsi="宋体" w:eastAsia="仿宋" w:cs="宋体"/>
                <w:szCs w:val="21"/>
              </w:rPr>
              <w:t>1822.398</w:t>
            </w:r>
            <w:r>
              <w:rPr>
                <w:rFonts w:hint="eastAsia" w:ascii="仿宋" w:hAnsi="仿宋" w:eastAsia="仿宋" w:cs="仿宋"/>
                <w:bCs/>
                <w:sz w:val="22"/>
              </w:rPr>
              <w:t>万元</w:t>
            </w:r>
          </w:p>
        </w:tc>
        <w:tc>
          <w:tcPr>
            <w:tcW w:w="3026" w:type="dxa"/>
            <w:vMerge w:val="restart"/>
            <w:vAlign w:val="center"/>
          </w:tcPr>
          <w:p>
            <w:pPr>
              <w:spacing w:line="440" w:lineRule="atLeast"/>
              <w:rPr>
                <w:rFonts w:ascii="仿宋" w:hAnsi="仿宋" w:eastAsia="仿宋" w:cs="仿宋"/>
                <w:bCs/>
                <w:sz w:val="22"/>
              </w:rPr>
            </w:pPr>
            <w:r>
              <w:rPr>
                <w:rFonts w:hint="eastAsia" w:ascii="宋体" w:hAnsi="宋体" w:cs="宋体"/>
                <w:szCs w:val="21"/>
              </w:rPr>
              <w:t>扶持中小企业政策：评审时小型和微型企业产品享受6%的价格折扣。监狱企业视同小型、微型企业。残疾人福利性单位视同小型、微型企业。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440" w:lineRule="atLeast"/>
              <w:jc w:val="center"/>
              <w:rPr>
                <w:rFonts w:ascii="宋体" w:hAnsi="宋体" w:cs="宋体"/>
                <w:szCs w:val="21"/>
              </w:rPr>
            </w:pPr>
            <w:r>
              <w:rPr>
                <w:rFonts w:hint="eastAsia" w:ascii="宋体" w:hAnsi="宋体" w:cs="宋体"/>
                <w:szCs w:val="21"/>
              </w:rPr>
              <w:t>2</w:t>
            </w:r>
          </w:p>
        </w:tc>
        <w:tc>
          <w:tcPr>
            <w:tcW w:w="1801" w:type="dxa"/>
            <w:vAlign w:val="center"/>
          </w:tcPr>
          <w:p>
            <w:pPr>
              <w:spacing w:line="440" w:lineRule="atLeast"/>
              <w:jc w:val="center"/>
              <w:rPr>
                <w:rFonts w:ascii="宋体" w:hAnsi="宋体" w:cs="宋体"/>
                <w:szCs w:val="21"/>
              </w:rPr>
            </w:pPr>
            <w:r>
              <w:rPr>
                <w:rFonts w:hint="eastAsia" w:ascii="宋体" w:hAnsi="宋体" w:cs="宋体"/>
                <w:szCs w:val="21"/>
              </w:rPr>
              <w:t>区行政服务中心、区图书馆大楼安保服务</w:t>
            </w:r>
          </w:p>
        </w:tc>
        <w:tc>
          <w:tcPr>
            <w:tcW w:w="1200"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rPr>
              <w:t>3年</w:t>
            </w:r>
          </w:p>
        </w:tc>
        <w:tc>
          <w:tcPr>
            <w:tcW w:w="1864"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rPr>
              <w:t>见招标文件里“采购内容及要求”</w:t>
            </w:r>
          </w:p>
        </w:tc>
        <w:tc>
          <w:tcPr>
            <w:tcW w:w="983" w:type="dxa"/>
            <w:vAlign w:val="center"/>
          </w:tcPr>
          <w:p>
            <w:pPr>
              <w:spacing w:line="440" w:lineRule="atLeast"/>
              <w:jc w:val="center"/>
              <w:rPr>
                <w:rFonts w:ascii="仿宋" w:hAnsi="仿宋" w:eastAsia="仿宋" w:cs="仿宋"/>
                <w:bCs/>
                <w:sz w:val="22"/>
              </w:rPr>
            </w:pPr>
            <w:r>
              <w:rPr>
                <w:rFonts w:hint="eastAsia" w:ascii="仿宋" w:hAnsi="仿宋" w:eastAsia="仿宋" w:cs="仿宋"/>
                <w:bCs/>
                <w:sz w:val="22"/>
              </w:rPr>
              <w:t>1104.384万元</w:t>
            </w:r>
          </w:p>
        </w:tc>
        <w:tc>
          <w:tcPr>
            <w:tcW w:w="3026" w:type="dxa"/>
            <w:vMerge w:val="continue"/>
            <w:vAlign w:val="center"/>
          </w:tcPr>
          <w:p>
            <w:pPr>
              <w:spacing w:line="440" w:lineRule="atLeast"/>
              <w:rPr>
                <w:rFonts w:ascii="宋体" w:hAnsi="宋体" w:cs="宋体"/>
                <w:szCs w:val="21"/>
              </w:rPr>
            </w:pPr>
          </w:p>
        </w:tc>
      </w:tr>
    </w:tbl>
    <w:p>
      <w:pPr>
        <w:spacing w:line="360" w:lineRule="auto"/>
        <w:ind w:firstLine="420" w:firstLineChars="200"/>
        <w:rPr>
          <w:rFonts w:ascii="宋体" w:hAnsi="宋体" w:cs="宋体"/>
          <w:szCs w:val="21"/>
        </w:rPr>
      </w:pPr>
      <w:r>
        <w:rPr>
          <w:rFonts w:hint="eastAsia" w:ascii="宋体" w:hAnsi="宋体" w:cs="宋体"/>
          <w:szCs w:val="21"/>
        </w:rPr>
        <w:t>合同履行期限：见招标文件。</w:t>
      </w:r>
    </w:p>
    <w:p>
      <w:pPr>
        <w:spacing w:line="360" w:lineRule="auto"/>
        <w:ind w:firstLine="840" w:firstLineChars="400"/>
        <w:rPr>
          <w:rFonts w:ascii="宋体" w:hAnsi="宋体" w:cs="宋体"/>
          <w:b/>
          <w:bCs/>
          <w:szCs w:val="21"/>
        </w:rPr>
      </w:pPr>
      <w:r>
        <w:rPr>
          <w:rFonts w:hint="eastAsia" w:ascii="宋体" w:hAnsi="宋体" w:cs="宋体"/>
          <w:b/>
          <w:bCs/>
          <w:szCs w:val="21"/>
        </w:rPr>
        <w:t>本项目不接受联合体投标。</w:t>
      </w:r>
    </w:p>
    <w:p>
      <w:pPr>
        <w:spacing w:line="360" w:lineRule="auto"/>
        <w:rPr>
          <w:rFonts w:ascii="宋体" w:hAnsi="宋体" w:cs="宋体"/>
          <w:b/>
          <w:bCs/>
          <w:szCs w:val="21"/>
        </w:rPr>
      </w:pPr>
      <w:bookmarkStart w:id="8" w:name="_Toc35393622"/>
      <w:bookmarkStart w:id="9" w:name="_Toc28359080"/>
      <w:bookmarkStart w:id="10" w:name="_Toc28359003"/>
      <w:bookmarkStart w:id="11" w:name="_Toc35393791"/>
      <w:r>
        <w:rPr>
          <w:rFonts w:hint="eastAsia" w:ascii="宋体" w:hAnsi="宋体" w:cs="宋体"/>
          <w:b/>
          <w:bCs/>
          <w:szCs w:val="21"/>
        </w:rPr>
        <w:t>二、申请人的资格要求</w:t>
      </w:r>
      <w:bookmarkEnd w:id="8"/>
      <w:bookmarkEnd w:id="9"/>
      <w:bookmarkEnd w:id="10"/>
      <w:bookmarkEnd w:id="11"/>
    </w:p>
    <w:p>
      <w:pPr>
        <w:spacing w:line="360" w:lineRule="auto"/>
        <w:ind w:left="420" w:leftChars="200"/>
        <w:rPr>
          <w:rFonts w:ascii="宋体" w:hAnsi="宋体" w:cs="宋体"/>
          <w:szCs w:val="21"/>
        </w:rPr>
      </w:pPr>
      <w:bookmarkStart w:id="12" w:name="_Toc28359081"/>
      <w:bookmarkStart w:id="13" w:name="_Toc28359004"/>
      <w:bookmarkStart w:id="14" w:name="_Toc35393792"/>
      <w:bookmarkStart w:id="15" w:name="_Toc35393623"/>
      <w:r>
        <w:rPr>
          <w:rFonts w:hint="eastAsia" w:ascii="宋体" w:hAnsi="宋体" w:cs="宋体"/>
          <w:szCs w:val="21"/>
        </w:rPr>
        <w:t>1.满足《中华人民共和国政府采购法》第二十二条规定，且未被“信用中国”（www.creditchina.gov.cn）、中国政府采购网（www.ccgp.gov.cn）列入失信被执行人、重大税收违法案件当事人名单、政府采购严重违法失信行为记录名单；</w:t>
      </w:r>
    </w:p>
    <w:p>
      <w:pPr>
        <w:spacing w:line="360" w:lineRule="auto"/>
        <w:ind w:left="420" w:leftChars="200"/>
        <w:rPr>
          <w:rFonts w:ascii="宋体" w:hAnsi="宋体" w:cs="宋体"/>
          <w:szCs w:val="21"/>
        </w:rPr>
      </w:pPr>
      <w:r>
        <w:rPr>
          <w:rFonts w:hint="eastAsia" w:ascii="宋体" w:hAnsi="宋体" w:cs="宋体"/>
          <w:szCs w:val="21"/>
        </w:rPr>
        <w:t>2.落实政府采购政策需满足的资格要求：无；</w:t>
      </w:r>
    </w:p>
    <w:p>
      <w:pPr>
        <w:spacing w:line="360" w:lineRule="auto"/>
        <w:ind w:left="420" w:leftChars="200"/>
        <w:rPr>
          <w:rFonts w:ascii="宋体" w:hAnsi="宋体" w:cs="宋体"/>
          <w:szCs w:val="21"/>
        </w:rPr>
      </w:pPr>
      <w:r>
        <w:rPr>
          <w:rFonts w:hint="eastAsia" w:ascii="宋体" w:hAnsi="宋体" w:cs="宋体"/>
          <w:szCs w:val="21"/>
        </w:rPr>
        <w:t>3.本项目的特定资格要求：</w:t>
      </w:r>
      <w:r>
        <w:rPr>
          <w:rFonts w:hint="eastAsia" w:ascii="宋体" w:hAnsi="宋体" w:cs="宋体"/>
          <w:sz w:val="22"/>
        </w:rPr>
        <w:t>拟投标供应商须具有保安服务许可证</w:t>
      </w:r>
      <w:r>
        <w:rPr>
          <w:rFonts w:hint="eastAsia" w:ascii="宋体" w:hAnsi="宋体" w:cs="宋体"/>
          <w:szCs w:val="21"/>
        </w:rPr>
        <w:t>。</w:t>
      </w:r>
    </w:p>
    <w:p>
      <w:pPr>
        <w:spacing w:line="360" w:lineRule="auto"/>
        <w:rPr>
          <w:rFonts w:ascii="宋体" w:hAnsi="宋体" w:cs="宋体"/>
          <w:b/>
          <w:bCs/>
          <w:szCs w:val="21"/>
        </w:rPr>
      </w:pPr>
      <w:r>
        <w:rPr>
          <w:rFonts w:hint="eastAsia" w:ascii="宋体" w:hAnsi="宋体" w:cs="宋体"/>
          <w:b/>
          <w:bCs/>
          <w:szCs w:val="21"/>
        </w:rPr>
        <w:t>三、获取招标文件</w:t>
      </w:r>
      <w:bookmarkEnd w:id="12"/>
      <w:bookmarkEnd w:id="13"/>
      <w:bookmarkEnd w:id="14"/>
      <w:bookmarkEnd w:id="15"/>
    </w:p>
    <w:p>
      <w:pPr>
        <w:spacing w:line="360" w:lineRule="auto"/>
        <w:ind w:left="420" w:leftChars="200"/>
        <w:rPr>
          <w:rFonts w:ascii="宋体" w:hAnsi="宋体" w:cs="宋体"/>
          <w:szCs w:val="21"/>
        </w:rPr>
      </w:pPr>
      <w:r>
        <w:rPr>
          <w:rFonts w:hint="eastAsia" w:ascii="宋体" w:hAnsi="宋体" w:cs="宋体"/>
          <w:szCs w:val="21"/>
        </w:rPr>
        <w:t>时间：2021年12月1日至投标截止时间前。</w:t>
      </w:r>
    </w:p>
    <w:p>
      <w:pPr>
        <w:spacing w:line="360" w:lineRule="auto"/>
        <w:ind w:left="420" w:leftChars="200"/>
        <w:rPr>
          <w:rFonts w:ascii="宋体" w:hAnsi="宋体" w:cs="宋体"/>
          <w:szCs w:val="21"/>
          <w:u w:val="single"/>
        </w:rPr>
      </w:pPr>
      <w:r>
        <w:rPr>
          <w:rFonts w:hint="eastAsia" w:ascii="宋体" w:hAnsi="宋体" w:cs="宋体"/>
          <w:szCs w:val="21"/>
        </w:rPr>
        <w:t>地点：政府采购云平台（以下简称政采云平台）（www.zcygov.cn）。</w:t>
      </w:r>
    </w:p>
    <w:p>
      <w:pPr>
        <w:spacing w:line="360" w:lineRule="auto"/>
        <w:ind w:left="420" w:leftChars="200"/>
        <w:rPr>
          <w:rFonts w:ascii="宋体" w:hAnsi="宋体" w:cs="宋体"/>
          <w:szCs w:val="21"/>
          <w:u w:val="single"/>
        </w:rPr>
      </w:pPr>
      <w:r>
        <w:rPr>
          <w:rFonts w:hint="eastAsia" w:ascii="宋体" w:hAnsi="宋体" w:cs="宋体"/>
          <w:szCs w:val="21"/>
        </w:rPr>
        <w:t>方式：政采云平台-用户登录-项目采购-获取采购文件-申请获取采购文件。</w:t>
      </w:r>
    </w:p>
    <w:p>
      <w:pPr>
        <w:spacing w:line="360" w:lineRule="auto"/>
        <w:ind w:left="420" w:leftChars="200"/>
        <w:rPr>
          <w:rFonts w:ascii="宋体" w:hAnsi="宋体" w:cs="宋体"/>
          <w:szCs w:val="21"/>
        </w:rPr>
      </w:pPr>
      <w:r>
        <w:rPr>
          <w:rFonts w:hint="eastAsia" w:ascii="宋体" w:hAnsi="宋体" w:cs="宋体"/>
          <w:szCs w:val="21"/>
        </w:rPr>
        <w:t>售价：免费。</w:t>
      </w:r>
    </w:p>
    <w:p>
      <w:pPr>
        <w:spacing w:line="360" w:lineRule="auto"/>
        <w:rPr>
          <w:rFonts w:ascii="宋体" w:hAnsi="宋体" w:cs="宋体"/>
          <w:b/>
          <w:bCs/>
          <w:szCs w:val="21"/>
        </w:rPr>
      </w:pPr>
      <w:bookmarkStart w:id="16" w:name="_Toc28359082"/>
      <w:bookmarkStart w:id="17" w:name="_Toc28359005"/>
      <w:bookmarkStart w:id="18" w:name="_Toc35393793"/>
      <w:bookmarkStart w:id="19" w:name="_Toc35393624"/>
      <w:r>
        <w:rPr>
          <w:rFonts w:hint="eastAsia" w:ascii="宋体" w:hAnsi="宋体" w:cs="宋体"/>
          <w:b/>
          <w:bCs/>
          <w:szCs w:val="21"/>
        </w:rPr>
        <w:t>四、提交投标文件</w:t>
      </w:r>
      <w:bookmarkEnd w:id="16"/>
      <w:bookmarkEnd w:id="17"/>
      <w:r>
        <w:rPr>
          <w:rFonts w:hint="eastAsia" w:ascii="宋体" w:hAnsi="宋体" w:cs="宋体"/>
          <w:b/>
          <w:bCs/>
          <w:szCs w:val="21"/>
        </w:rPr>
        <w:t>截止时间、开标时间和地点</w:t>
      </w:r>
      <w:bookmarkEnd w:id="18"/>
      <w:bookmarkEnd w:id="19"/>
    </w:p>
    <w:p>
      <w:pPr>
        <w:spacing w:line="360" w:lineRule="auto"/>
        <w:ind w:left="420" w:leftChars="200"/>
        <w:rPr>
          <w:rFonts w:ascii="宋体" w:hAnsi="宋体" w:cs="宋体"/>
          <w:bCs/>
          <w:szCs w:val="21"/>
        </w:rPr>
      </w:pPr>
      <w:r>
        <w:rPr>
          <w:rFonts w:hint="eastAsia" w:ascii="宋体" w:hAnsi="宋体" w:cs="宋体"/>
          <w:bCs/>
          <w:szCs w:val="21"/>
        </w:rPr>
        <w:t>投标文件提交截止时间、开标时间：2021年12月23日9点30分（北京时间）</w:t>
      </w:r>
    </w:p>
    <w:p>
      <w:pPr>
        <w:spacing w:line="360" w:lineRule="auto"/>
        <w:ind w:left="420" w:leftChars="200"/>
      </w:pPr>
      <w:r>
        <w:rPr>
          <w:rFonts w:hint="eastAsia" w:ascii="宋体" w:hAnsi="宋体" w:cs="宋体"/>
          <w:szCs w:val="21"/>
        </w:rPr>
        <w:t>地点：</w:t>
      </w:r>
      <w:r>
        <w:rPr>
          <w:rFonts w:hint="eastAsia" w:ascii="宋体" w:hAnsi="宋体" w:cs="宋体"/>
          <w:bCs/>
          <w:szCs w:val="21"/>
        </w:rPr>
        <w:t>政采云系统提交。</w:t>
      </w:r>
    </w:p>
    <w:p>
      <w:pPr>
        <w:spacing w:line="360" w:lineRule="auto"/>
        <w:rPr>
          <w:rFonts w:ascii="宋体" w:hAnsi="宋体" w:cs="宋体"/>
          <w:b/>
          <w:bCs/>
          <w:szCs w:val="21"/>
        </w:rPr>
      </w:pPr>
      <w:bookmarkStart w:id="20" w:name="_Toc35393794"/>
      <w:bookmarkStart w:id="21" w:name="_Toc35393625"/>
      <w:bookmarkStart w:id="22" w:name="_Toc28359007"/>
      <w:bookmarkStart w:id="23" w:name="_Toc28359084"/>
      <w:r>
        <w:rPr>
          <w:rFonts w:hint="eastAsia" w:ascii="宋体" w:hAnsi="宋体" w:cs="宋体"/>
          <w:b/>
          <w:bCs/>
          <w:szCs w:val="21"/>
        </w:rPr>
        <w:t>五、公告期限</w:t>
      </w:r>
      <w:bookmarkEnd w:id="20"/>
      <w:bookmarkEnd w:id="21"/>
      <w:bookmarkEnd w:id="22"/>
      <w:bookmarkEnd w:id="23"/>
    </w:p>
    <w:p>
      <w:pPr>
        <w:spacing w:line="360" w:lineRule="auto"/>
        <w:ind w:left="420" w:leftChars="200"/>
        <w:rPr>
          <w:rFonts w:ascii="宋体" w:hAnsi="宋体" w:cs="宋体"/>
          <w:szCs w:val="21"/>
        </w:rPr>
      </w:pPr>
      <w:r>
        <w:rPr>
          <w:rFonts w:hint="eastAsia" w:ascii="宋体" w:hAnsi="宋体" w:cs="宋体"/>
          <w:szCs w:val="21"/>
        </w:rPr>
        <w:t>自本公告发布之日起5个工作日。</w:t>
      </w:r>
    </w:p>
    <w:p>
      <w:pPr>
        <w:spacing w:line="360" w:lineRule="auto"/>
        <w:rPr>
          <w:rFonts w:ascii="宋体" w:hAnsi="宋体" w:cs="宋体"/>
          <w:b/>
          <w:bCs/>
          <w:szCs w:val="21"/>
        </w:rPr>
      </w:pPr>
      <w:bookmarkStart w:id="24" w:name="_Toc35393795"/>
      <w:bookmarkStart w:id="25" w:name="_Toc35393626"/>
      <w:r>
        <w:rPr>
          <w:rFonts w:hint="eastAsia" w:ascii="宋体" w:hAnsi="宋体" w:cs="宋体"/>
          <w:b/>
          <w:bCs/>
          <w:szCs w:val="21"/>
        </w:rPr>
        <w:t>六、其他补充事宜</w:t>
      </w:r>
      <w:bookmarkEnd w:id="24"/>
      <w:bookmarkEnd w:id="25"/>
    </w:p>
    <w:p>
      <w:pPr>
        <w:pStyle w:val="75"/>
        <w:spacing w:line="360" w:lineRule="auto"/>
        <w:ind w:left="420" w:leftChars="200" w:firstLine="0" w:firstLineChars="0"/>
        <w:rPr>
          <w:rFonts w:ascii="宋体" w:hAnsi="宋体" w:cs="宋体"/>
          <w:szCs w:val="21"/>
        </w:rPr>
      </w:pPr>
      <w:r>
        <w:rPr>
          <w:rFonts w:hint="eastAsia" w:ascii="宋体" w:hAnsi="宋体" w:cs="宋体"/>
          <w:szCs w:val="21"/>
        </w:rPr>
        <w:t>1.电子投标说明</w:t>
      </w:r>
    </w:p>
    <w:p>
      <w:pPr>
        <w:pStyle w:val="75"/>
        <w:spacing w:line="360" w:lineRule="auto"/>
        <w:ind w:left="420" w:leftChars="200" w:firstLine="0" w:firstLineChars="0"/>
        <w:rPr>
          <w:rFonts w:ascii="宋体" w:hAnsi="宋体" w:cs="宋体"/>
          <w:szCs w:val="21"/>
        </w:rPr>
      </w:pPr>
      <w:r>
        <w:rPr>
          <w:rFonts w:hint="eastAsia" w:ascii="宋体" w:hAnsi="宋体" w:cs="宋体"/>
          <w:szCs w:val="21"/>
        </w:rPr>
        <w:t>（1）本项目通过政采云平台实行远程电子投标，投标人须全程在线参与开评标过程。投标人按照本项目招标文件和政采云平台的要求编制、加密并提交投标文件。投标人在使用系统进行投标的过程中遇到涉及平台使用的任何问题，可致电政采云平台技术支持热线咨询，联系方式：400-881-7190。</w:t>
      </w:r>
    </w:p>
    <w:p>
      <w:pPr>
        <w:pStyle w:val="75"/>
        <w:spacing w:line="360" w:lineRule="auto"/>
        <w:ind w:left="420" w:leftChars="200" w:firstLine="0" w:firstLineChars="0"/>
        <w:rPr>
          <w:rFonts w:ascii="宋体" w:hAnsi="宋体" w:cs="宋体"/>
          <w:szCs w:val="21"/>
        </w:rPr>
      </w:pPr>
      <w:r>
        <w:rPr>
          <w:rFonts w:hint="eastAsia" w:ascii="宋体" w:hAnsi="宋体" w:cs="宋体"/>
          <w:szCs w:val="21"/>
        </w:rPr>
        <w:t>（2）投标人为了确保电子投标过程中能够使用电子签章，对电子投标文件进行加密和使用政采云电子交易客户端，需要提前申领CA数字证书，申领流程请自行前往“政采云平台-服务中心-帮助文档-入驻与配置-CA管理操作指南”进行查阅（网址：https://service.zcygov.cn/#/knowledges/cm2eqWwBFdiHxlNd_otq/lwV6GXABiyELHE-oVMj3）。CA申领时间投标人自行咨询政采云客服，因未及时办理CA数字证书造成无法投标的后果由投标人自行承担。</w:t>
      </w:r>
    </w:p>
    <w:p>
      <w:pPr>
        <w:pStyle w:val="75"/>
        <w:spacing w:line="360" w:lineRule="auto"/>
        <w:ind w:left="420" w:leftChars="200" w:firstLine="0" w:firstLineChars="0"/>
        <w:rPr>
          <w:rFonts w:ascii="宋体" w:hAnsi="宋体" w:cs="宋体"/>
          <w:szCs w:val="21"/>
        </w:rPr>
      </w:pPr>
      <w:r>
        <w:rPr>
          <w:rFonts w:hint="eastAsia" w:ascii="宋体" w:hAnsi="宋体" w:cs="宋体"/>
          <w:szCs w:val="21"/>
        </w:rPr>
        <w:t>（3）投标人通过政采云电子交易客户端制作投标文件，政采云电子交易客户端请自行前往“浙江政府采购网-下载专区-电子交易客户端”进行下载（网址：http://zfcg.czt.zj.gov.cn/bidClientTemplate/2019-09-24/12975.html），电子投标具体操作流程请前往“政采云平台-服务中心-帮助文档-项目采购-操作流程-电子招投标”，详见《政府采购项目电子交易管理操作指南-投标人》（以下简称《操作指南》）。</w:t>
      </w:r>
    </w:p>
    <w:p>
      <w:pPr>
        <w:pStyle w:val="75"/>
        <w:spacing w:line="360" w:lineRule="auto"/>
        <w:ind w:left="420" w:leftChars="200" w:firstLine="0" w:firstLineChars="0"/>
        <w:rPr>
          <w:rFonts w:ascii="宋体" w:hAnsi="宋体" w:cs="宋体"/>
          <w:szCs w:val="21"/>
        </w:rPr>
      </w:pPr>
      <w:r>
        <w:rPr>
          <w:rFonts w:hint="eastAsia" w:ascii="宋体" w:hAnsi="宋体" w:cs="宋体"/>
          <w:szCs w:val="21"/>
        </w:rPr>
        <w:t>注：投标人在使用政采云投标客户端时，建议使用WIN7及以上操作系统。</w:t>
      </w:r>
    </w:p>
    <w:p>
      <w:pPr>
        <w:pStyle w:val="75"/>
        <w:spacing w:line="360" w:lineRule="auto"/>
        <w:ind w:left="420" w:leftChars="200" w:firstLine="0" w:firstLineChars="0"/>
        <w:rPr>
          <w:rFonts w:ascii="宋体" w:hAnsi="宋体" w:cs="宋体"/>
          <w:szCs w:val="21"/>
        </w:rPr>
      </w:pPr>
      <w:r>
        <w:rPr>
          <w:rFonts w:hint="eastAsia" w:ascii="宋体" w:hAnsi="宋体" w:cs="宋体"/>
          <w:szCs w:val="21"/>
        </w:rPr>
        <w:t>2．潜在投标人应当按照规定方式获取招标文件，未按照规定方式获取招标文件的，不得对招标文件提起质疑投诉。</w:t>
      </w:r>
    </w:p>
    <w:p>
      <w:pPr>
        <w:pStyle w:val="75"/>
        <w:spacing w:line="360" w:lineRule="auto"/>
        <w:ind w:left="420" w:leftChars="200" w:firstLine="0" w:firstLineChars="0"/>
        <w:rPr>
          <w:rFonts w:ascii="宋体" w:hAnsi="宋体" w:cs="宋体"/>
          <w:szCs w:val="21"/>
        </w:rPr>
      </w:pPr>
      <w:r>
        <w:rPr>
          <w:rFonts w:hint="eastAsia" w:ascii="宋体" w:hAnsi="宋体" w:cs="宋体"/>
          <w:szCs w:val="21"/>
        </w:rPr>
        <w:t>3．投标人认为招标文件使自己的权益受到损害的，可以自收到招标文件之日或者招标文件公告期限届满之日（公告发布后的第6个工作日）起7个工作日内，以书面形式向采购人和集中采购机构提出质疑。质疑投标人对采购人、集中采购机构的答复不满意或者采购人、集中采购机构未在规定的时间内作出答复的，可以在答复期满后十五个工作日内向同级政府采购监督管理部门投诉。质疑函范本、投诉书范本请到浙江政府采购网下载专区下载。</w:t>
      </w:r>
    </w:p>
    <w:p>
      <w:pPr>
        <w:pStyle w:val="75"/>
        <w:spacing w:line="360" w:lineRule="auto"/>
        <w:ind w:left="420" w:leftChars="200" w:firstLine="0" w:firstLineChars="0"/>
        <w:rPr>
          <w:rFonts w:ascii="宋体" w:hAnsi="宋体" w:cs="宋体"/>
          <w:szCs w:val="21"/>
        </w:rPr>
      </w:pPr>
      <w:r>
        <w:rPr>
          <w:rFonts w:hint="eastAsia" w:ascii="宋体" w:hAnsi="宋体" w:cs="宋体"/>
          <w:szCs w:val="21"/>
        </w:rPr>
        <w:t>4．本项目执行财政部门为实现节约能源、环境保护、科技创新、高质量发展、扶持不发达地区和少数民族地区，促进中小企业、监狱企业、残疾人福利性单位发展等目标制定的政府采购政策。</w:t>
      </w:r>
    </w:p>
    <w:p>
      <w:pPr>
        <w:spacing w:line="360" w:lineRule="auto"/>
        <w:rPr>
          <w:rFonts w:ascii="宋体" w:hAnsi="宋体" w:cs="宋体"/>
          <w:b/>
          <w:bCs/>
          <w:szCs w:val="21"/>
        </w:rPr>
      </w:pPr>
      <w:bookmarkStart w:id="26" w:name="_Toc35393796"/>
      <w:bookmarkStart w:id="27" w:name="_Toc35393627"/>
      <w:bookmarkStart w:id="28" w:name="_Toc28359008"/>
      <w:bookmarkStart w:id="29" w:name="_Toc28359085"/>
      <w:r>
        <w:rPr>
          <w:rFonts w:hint="eastAsia" w:ascii="宋体" w:hAnsi="宋体" w:cs="宋体"/>
          <w:b/>
          <w:bCs/>
          <w:szCs w:val="21"/>
        </w:rPr>
        <w:t>七、对本次招标提出询问，请按以下方式联系</w:t>
      </w:r>
      <w:bookmarkEnd w:id="26"/>
      <w:bookmarkEnd w:id="27"/>
      <w:bookmarkEnd w:id="28"/>
      <w:bookmarkEnd w:id="29"/>
    </w:p>
    <w:p>
      <w:pPr>
        <w:spacing w:line="360" w:lineRule="auto"/>
        <w:ind w:left="420" w:leftChars="200"/>
        <w:rPr>
          <w:rFonts w:ascii="宋体" w:hAnsi="宋体" w:cs="宋体"/>
          <w:szCs w:val="21"/>
        </w:rPr>
      </w:pPr>
      <w:r>
        <w:rPr>
          <w:rFonts w:hint="eastAsia" w:ascii="宋体" w:hAnsi="宋体" w:cs="宋体"/>
          <w:szCs w:val="21"/>
        </w:rPr>
        <w:t>1.采购人信息</w:t>
      </w:r>
    </w:p>
    <w:p>
      <w:pPr>
        <w:spacing w:line="360" w:lineRule="auto"/>
        <w:ind w:left="420" w:leftChars="200"/>
        <w:rPr>
          <w:rFonts w:ascii="宋体" w:hAnsi="宋体" w:cs="宋体"/>
          <w:szCs w:val="21"/>
        </w:rPr>
      </w:pPr>
      <w:r>
        <w:rPr>
          <w:rFonts w:hint="eastAsia" w:ascii="宋体" w:hAnsi="宋体" w:cs="宋体"/>
          <w:szCs w:val="21"/>
        </w:rPr>
        <w:t>名称：温州市龙湾区机关事务管理中心</w:t>
      </w:r>
    </w:p>
    <w:p>
      <w:pPr>
        <w:spacing w:line="360" w:lineRule="auto"/>
        <w:ind w:left="420" w:leftChars="200"/>
        <w:rPr>
          <w:rFonts w:ascii="宋体" w:hAnsi="宋体" w:cs="宋体"/>
          <w:szCs w:val="21"/>
        </w:rPr>
      </w:pPr>
      <w:r>
        <w:rPr>
          <w:rFonts w:hint="eastAsia" w:ascii="宋体" w:hAnsi="宋体" w:cs="宋体"/>
          <w:szCs w:val="21"/>
        </w:rPr>
        <w:t>地址：龙湾区永宁西路506号</w:t>
      </w:r>
    </w:p>
    <w:p>
      <w:pPr>
        <w:spacing w:line="360" w:lineRule="auto"/>
        <w:ind w:left="420" w:leftChars="200"/>
        <w:rPr>
          <w:rFonts w:ascii="宋体" w:hAnsi="宋体" w:cs="宋体"/>
          <w:szCs w:val="21"/>
        </w:rPr>
      </w:pPr>
      <w:r>
        <w:rPr>
          <w:rFonts w:hint="eastAsia" w:ascii="宋体" w:hAnsi="宋体" w:cs="宋体"/>
          <w:szCs w:val="21"/>
        </w:rPr>
        <w:t>采购人联系人：潘老师</w:t>
      </w:r>
    </w:p>
    <w:p>
      <w:pPr>
        <w:ind w:firstLine="420" w:firstLineChars="200"/>
        <w:rPr>
          <w:rFonts w:ascii="宋体" w:hAnsi="宋体" w:cs="宋体"/>
          <w:szCs w:val="21"/>
        </w:rPr>
      </w:pPr>
      <w:r>
        <w:rPr>
          <w:rFonts w:hint="eastAsia" w:ascii="宋体" w:hAnsi="宋体" w:cs="宋体"/>
          <w:szCs w:val="21"/>
        </w:rPr>
        <w:t>联系方式：0577-86968979</w:t>
      </w:r>
    </w:p>
    <w:p>
      <w:pPr>
        <w:spacing w:line="360" w:lineRule="auto"/>
        <w:ind w:left="420" w:leftChars="200"/>
        <w:rPr>
          <w:rFonts w:ascii="宋体" w:hAnsi="宋体" w:cs="宋体"/>
          <w:szCs w:val="21"/>
        </w:rPr>
      </w:pPr>
    </w:p>
    <w:p>
      <w:pPr>
        <w:spacing w:line="360" w:lineRule="auto"/>
        <w:ind w:left="420" w:leftChars="200"/>
        <w:rPr>
          <w:rFonts w:ascii="宋体" w:hAnsi="宋体" w:cs="宋体"/>
          <w:szCs w:val="21"/>
        </w:rPr>
      </w:pPr>
      <w:r>
        <w:rPr>
          <w:rFonts w:hint="eastAsia" w:ascii="宋体" w:hAnsi="宋体" w:cs="宋体"/>
          <w:szCs w:val="21"/>
        </w:rPr>
        <w:t>2.集中采购机构信息</w:t>
      </w:r>
    </w:p>
    <w:p>
      <w:pPr>
        <w:spacing w:line="360" w:lineRule="auto"/>
        <w:ind w:left="420" w:leftChars="200"/>
        <w:rPr>
          <w:rFonts w:ascii="宋体" w:hAnsi="宋体" w:cs="宋体"/>
          <w:szCs w:val="21"/>
        </w:rPr>
      </w:pPr>
      <w:r>
        <w:rPr>
          <w:rFonts w:hint="eastAsia" w:ascii="宋体" w:hAnsi="宋体" w:cs="宋体"/>
          <w:szCs w:val="21"/>
        </w:rPr>
        <w:t>名称：温州市公共资源交易中心龙湾分中心</w:t>
      </w:r>
    </w:p>
    <w:p>
      <w:pPr>
        <w:spacing w:line="360" w:lineRule="auto"/>
        <w:ind w:left="420" w:leftChars="200"/>
        <w:rPr>
          <w:rFonts w:ascii="宋体" w:hAnsi="宋体" w:cs="宋体"/>
          <w:szCs w:val="21"/>
        </w:rPr>
      </w:pPr>
      <w:r>
        <w:rPr>
          <w:rFonts w:hint="eastAsia" w:ascii="宋体" w:hAnsi="宋体" w:cs="宋体"/>
          <w:szCs w:val="21"/>
        </w:rPr>
        <w:t>地址：龙湾区永中街道升平路77号</w:t>
      </w:r>
    </w:p>
    <w:p>
      <w:pPr>
        <w:spacing w:line="360" w:lineRule="auto"/>
        <w:ind w:left="420" w:leftChars="200"/>
        <w:rPr>
          <w:rFonts w:ascii="宋体" w:hAnsi="宋体" w:cs="宋体"/>
          <w:szCs w:val="21"/>
        </w:rPr>
      </w:pPr>
      <w:r>
        <w:rPr>
          <w:rFonts w:hint="eastAsia" w:ascii="宋体" w:hAnsi="宋体" w:cs="宋体"/>
          <w:szCs w:val="21"/>
        </w:rPr>
        <w:t>集采机构联系人：王老师</w:t>
      </w:r>
    </w:p>
    <w:p>
      <w:pPr>
        <w:spacing w:line="360" w:lineRule="auto"/>
        <w:ind w:left="420" w:leftChars="200"/>
        <w:rPr>
          <w:rFonts w:ascii="宋体" w:hAnsi="宋体" w:cs="宋体"/>
          <w:szCs w:val="21"/>
        </w:rPr>
      </w:pPr>
      <w:r>
        <w:rPr>
          <w:rFonts w:hint="eastAsia" w:ascii="宋体" w:hAnsi="宋体" w:cs="宋体"/>
          <w:szCs w:val="21"/>
        </w:rPr>
        <w:t>联系方式：86966075</w:t>
      </w:r>
    </w:p>
    <w:p>
      <w:pPr>
        <w:spacing w:line="360" w:lineRule="auto"/>
        <w:ind w:left="420" w:leftChars="200"/>
        <w:rPr>
          <w:rFonts w:ascii="宋体" w:hAnsi="宋体" w:cs="宋体"/>
          <w:szCs w:val="21"/>
        </w:rPr>
      </w:pPr>
      <w:r>
        <w:rPr>
          <w:rFonts w:hint="eastAsia" w:ascii="宋体" w:hAnsi="宋体" w:cs="宋体"/>
          <w:szCs w:val="21"/>
        </w:rPr>
        <w:t>集采机构质疑联系人：刘老师</w:t>
      </w:r>
    </w:p>
    <w:p>
      <w:pPr>
        <w:spacing w:line="360" w:lineRule="auto"/>
        <w:ind w:left="420" w:leftChars="200"/>
        <w:rPr>
          <w:rFonts w:ascii="宋体" w:hAnsi="宋体" w:cs="宋体"/>
          <w:szCs w:val="21"/>
        </w:rPr>
      </w:pPr>
      <w:r>
        <w:rPr>
          <w:rFonts w:hint="eastAsia" w:ascii="宋体" w:hAnsi="宋体" w:cs="宋体"/>
          <w:szCs w:val="21"/>
        </w:rPr>
        <w:t>集采机构质疑联系方式：86966075</w:t>
      </w:r>
    </w:p>
    <w:p>
      <w:pPr>
        <w:spacing w:line="360" w:lineRule="auto"/>
        <w:ind w:left="420" w:leftChars="200"/>
        <w:rPr>
          <w:rFonts w:ascii="宋体" w:hAnsi="宋体" w:cs="宋体"/>
          <w:szCs w:val="21"/>
        </w:rPr>
      </w:pPr>
    </w:p>
    <w:p>
      <w:pPr>
        <w:spacing w:line="360" w:lineRule="auto"/>
        <w:ind w:left="420" w:leftChars="200"/>
        <w:rPr>
          <w:rFonts w:ascii="宋体" w:hAnsi="宋体" w:cs="宋体"/>
          <w:szCs w:val="21"/>
        </w:rPr>
      </w:pPr>
      <w:r>
        <w:rPr>
          <w:rFonts w:hint="eastAsia" w:ascii="宋体" w:hAnsi="宋体" w:cs="宋体"/>
          <w:szCs w:val="21"/>
        </w:rPr>
        <w:t>3.同级政府采购监督管理部门信息</w:t>
      </w:r>
    </w:p>
    <w:p>
      <w:pPr>
        <w:spacing w:line="360" w:lineRule="auto"/>
        <w:ind w:left="420" w:leftChars="200"/>
        <w:rPr>
          <w:rFonts w:ascii="宋体" w:hAnsi="宋体" w:cs="宋体"/>
          <w:szCs w:val="21"/>
        </w:rPr>
      </w:pPr>
      <w:r>
        <w:rPr>
          <w:rFonts w:hint="eastAsia" w:ascii="宋体" w:hAnsi="宋体" w:cs="宋体"/>
          <w:szCs w:val="21"/>
        </w:rPr>
        <w:t>名称：龙湾区财政局</w:t>
      </w:r>
    </w:p>
    <w:p>
      <w:pPr>
        <w:spacing w:line="360" w:lineRule="auto"/>
        <w:ind w:left="420" w:leftChars="200"/>
        <w:rPr>
          <w:rFonts w:ascii="宋体" w:hAnsi="宋体" w:cs="宋体"/>
          <w:szCs w:val="21"/>
        </w:rPr>
      </w:pPr>
      <w:r>
        <w:rPr>
          <w:rFonts w:hint="eastAsia" w:ascii="宋体" w:hAnsi="宋体" w:cs="宋体"/>
          <w:szCs w:val="21"/>
        </w:rPr>
        <w:t>联系人：许先生</w:t>
      </w:r>
    </w:p>
    <w:p>
      <w:pPr>
        <w:spacing w:line="360" w:lineRule="auto"/>
        <w:ind w:left="420" w:leftChars="200"/>
        <w:rPr>
          <w:rFonts w:ascii="宋体" w:hAnsi="宋体" w:cs="宋体"/>
          <w:szCs w:val="21"/>
        </w:rPr>
      </w:pPr>
      <w:r>
        <w:rPr>
          <w:rFonts w:hint="eastAsia" w:ascii="宋体" w:hAnsi="宋体" w:cs="宋体"/>
          <w:szCs w:val="21"/>
        </w:rPr>
        <w:t>联系方式：0577-85600837</w:t>
      </w:r>
    </w:p>
    <w:p>
      <w:pPr>
        <w:spacing w:line="360" w:lineRule="auto"/>
        <w:jc w:val="both"/>
        <w:rPr>
          <w:rFonts w:ascii="宋体" w:hAnsi="宋体"/>
          <w:szCs w:val="21"/>
        </w:rPr>
      </w:pPr>
    </w:p>
    <w:p>
      <w:pPr>
        <w:pStyle w:val="5"/>
        <w:keepNext w:val="0"/>
        <w:keepLines w:val="0"/>
        <w:pageBreakBefore/>
        <w:spacing w:afterLines="50" w:line="240" w:lineRule="auto"/>
        <w:jc w:val="center"/>
        <w:rPr>
          <w:rFonts w:hAnsi="宋体"/>
          <w:sz w:val="28"/>
          <w:szCs w:val="36"/>
        </w:rPr>
      </w:pPr>
      <w:bookmarkStart w:id="30" w:name="_Toc8817"/>
      <w:r>
        <w:rPr>
          <w:rFonts w:hint="eastAsia" w:hAnsi="宋体"/>
          <w:sz w:val="28"/>
          <w:szCs w:val="36"/>
        </w:rPr>
        <w:t>第二部分投标人须知</w:t>
      </w:r>
      <w:bookmarkEnd w:id="30"/>
    </w:p>
    <w:p>
      <w:pPr>
        <w:pStyle w:val="6"/>
        <w:spacing w:before="0" w:afterLines="50" w:line="360" w:lineRule="auto"/>
        <w:jc w:val="center"/>
        <w:rPr>
          <w:bCs w:val="0"/>
          <w:sz w:val="24"/>
          <w:szCs w:val="24"/>
        </w:rPr>
      </w:pPr>
      <w:bookmarkStart w:id="31" w:name="_Toc5895"/>
      <w:r>
        <w:rPr>
          <w:rFonts w:hint="eastAsia"/>
          <w:sz w:val="24"/>
          <w:szCs w:val="24"/>
        </w:rPr>
        <w:t>（一）</w:t>
      </w:r>
      <w:r>
        <w:rPr>
          <w:rFonts w:hint="eastAsia"/>
          <w:bCs w:val="0"/>
          <w:sz w:val="24"/>
          <w:szCs w:val="24"/>
        </w:rPr>
        <w:t>投标须知前附表</w:t>
      </w:r>
      <w:bookmarkEnd w:id="31"/>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812"/>
        <w:gridCol w:w="66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vAlign w:val="center"/>
          </w:tcPr>
          <w:p>
            <w:pPr>
              <w:jc w:val="center"/>
              <w:rPr>
                <w:rFonts w:ascii="宋体" w:hAnsi="宋体" w:cs="Arial"/>
                <w:b/>
                <w:szCs w:val="21"/>
              </w:rPr>
            </w:pPr>
            <w:r>
              <w:rPr>
                <w:rFonts w:hint="eastAsia" w:ascii="宋体" w:hAnsi="宋体" w:cs="Arial"/>
                <w:b/>
                <w:szCs w:val="21"/>
              </w:rPr>
              <w:t>项号</w:t>
            </w:r>
          </w:p>
        </w:tc>
        <w:tc>
          <w:tcPr>
            <w:tcW w:w="1812" w:type="dxa"/>
            <w:vAlign w:val="center"/>
          </w:tcPr>
          <w:p>
            <w:pPr>
              <w:jc w:val="center"/>
              <w:rPr>
                <w:rFonts w:ascii="宋体" w:hAnsi="宋体" w:cs="Arial"/>
                <w:b/>
                <w:szCs w:val="21"/>
              </w:rPr>
            </w:pPr>
            <w:r>
              <w:rPr>
                <w:rFonts w:hint="eastAsia" w:ascii="宋体" w:hAnsi="宋体" w:cs="Arial"/>
                <w:b/>
                <w:szCs w:val="21"/>
              </w:rPr>
              <w:t>内容</w:t>
            </w:r>
          </w:p>
        </w:tc>
        <w:tc>
          <w:tcPr>
            <w:tcW w:w="6638" w:type="dxa"/>
            <w:vAlign w:val="center"/>
          </w:tcPr>
          <w:p>
            <w:pPr>
              <w:jc w:val="center"/>
              <w:rPr>
                <w:rFonts w:ascii="宋体" w:hAnsi="宋体" w:cs="Arial"/>
                <w:b/>
                <w:szCs w:val="21"/>
              </w:rPr>
            </w:pPr>
            <w:r>
              <w:rPr>
                <w:rFonts w:hint="eastAsia" w:ascii="宋体" w:hAnsi="宋体" w:cs="Arial"/>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项目名称</w:t>
            </w:r>
          </w:p>
        </w:tc>
        <w:tc>
          <w:tcPr>
            <w:tcW w:w="6638" w:type="dxa"/>
            <w:vAlign w:val="center"/>
          </w:tcPr>
          <w:p>
            <w:pPr>
              <w:rPr>
                <w:rFonts w:ascii="宋体" w:hAnsi="宋体" w:cs="宋体"/>
                <w:szCs w:val="21"/>
              </w:rPr>
            </w:pPr>
            <w:r>
              <w:rPr>
                <w:rFonts w:hint="eastAsia" w:ascii="宋体" w:hAnsi="宋体" w:cs="宋体"/>
                <w:szCs w:val="21"/>
              </w:rPr>
              <w:t>温州市龙湾区机关事务管理中心保安服务采购项目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项目编号</w:t>
            </w:r>
          </w:p>
        </w:tc>
        <w:tc>
          <w:tcPr>
            <w:tcW w:w="6638" w:type="dxa"/>
            <w:vAlign w:val="center"/>
          </w:tcPr>
          <w:p>
            <w:pPr>
              <w:rPr>
                <w:rFonts w:ascii="宋体" w:hAnsi="宋体" w:cs="宋体"/>
                <w:szCs w:val="21"/>
              </w:rPr>
            </w:pPr>
            <w:r>
              <w:rPr>
                <w:rFonts w:hint="eastAsia" w:ascii="宋体" w:hAnsi="宋体" w:cs="宋体"/>
                <w:szCs w:val="21"/>
              </w:rPr>
              <w:t>LWJC20211201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资金来源</w:t>
            </w:r>
          </w:p>
        </w:tc>
        <w:tc>
          <w:tcPr>
            <w:tcW w:w="6638" w:type="dxa"/>
            <w:vAlign w:val="center"/>
          </w:tcPr>
          <w:p>
            <w:pPr>
              <w:rPr>
                <w:rFonts w:ascii="宋体" w:hAnsi="宋体" w:cs="宋体"/>
                <w:szCs w:val="21"/>
              </w:rPr>
            </w:pPr>
            <w:r>
              <w:rPr>
                <w:rFonts w:hint="eastAsia" w:ascii="宋体" w:hAnsi="宋体" w:cs="宋体"/>
                <w:szCs w:val="21"/>
              </w:rPr>
              <w:t>财政性资金本项目财政预算：2926.782万元。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采购方式</w:t>
            </w:r>
          </w:p>
        </w:tc>
        <w:tc>
          <w:tcPr>
            <w:tcW w:w="6638" w:type="dxa"/>
            <w:vAlign w:val="center"/>
          </w:tcPr>
          <w:p>
            <w:pPr>
              <w:rPr>
                <w:rFonts w:ascii="宋体" w:hAnsi="宋体" w:cs="宋体"/>
                <w:szCs w:val="21"/>
              </w:rPr>
            </w:pPr>
            <w:r>
              <w:rPr>
                <w:rFonts w:hint="eastAsia" w:ascii="宋体" w:hAnsi="宋体" w:cs="宋体"/>
                <w:szCs w:val="21"/>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11"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adjustRightInd w:val="0"/>
              <w:jc w:val="center"/>
              <w:rPr>
                <w:rFonts w:ascii="宋体" w:hAnsi="宋体" w:cs="宋体"/>
                <w:szCs w:val="21"/>
              </w:rPr>
            </w:pPr>
            <w:r>
              <w:rPr>
                <w:rFonts w:hint="eastAsia" w:ascii="宋体" w:hAnsi="宋体" w:cs="宋体"/>
                <w:szCs w:val="21"/>
              </w:rPr>
              <w:t>采购人</w:t>
            </w:r>
          </w:p>
        </w:tc>
        <w:tc>
          <w:tcPr>
            <w:tcW w:w="6638" w:type="dxa"/>
            <w:vAlign w:val="center"/>
          </w:tcPr>
          <w:p>
            <w:pPr>
              <w:rPr>
                <w:rFonts w:ascii="宋体" w:hAnsi="宋体" w:cs="宋体"/>
                <w:szCs w:val="21"/>
              </w:rPr>
            </w:pPr>
            <w:r>
              <w:rPr>
                <w:rFonts w:hint="eastAsia" w:ascii="宋体" w:hAnsi="宋体" w:cs="宋体"/>
                <w:szCs w:val="21"/>
              </w:rPr>
              <w:t>采购人：温州市龙湾区机关事务管理中心</w:t>
            </w:r>
            <w:bookmarkStart w:id="72" w:name="_GoBack"/>
            <w:bookmarkEnd w:id="72"/>
          </w:p>
          <w:p>
            <w:pPr>
              <w:rPr>
                <w:rFonts w:ascii="宋体" w:hAnsi="宋体" w:cs="宋体"/>
                <w:szCs w:val="21"/>
              </w:rPr>
            </w:pPr>
            <w:r>
              <w:rPr>
                <w:rFonts w:hint="eastAsia" w:ascii="宋体" w:hAnsi="宋体" w:cs="宋体"/>
                <w:szCs w:val="21"/>
              </w:rPr>
              <w:t>联系人：潘老师</w:t>
            </w:r>
          </w:p>
          <w:p>
            <w:pPr>
              <w:rPr>
                <w:rFonts w:ascii="宋体" w:hAnsi="宋体" w:cs="宋体"/>
                <w:szCs w:val="21"/>
              </w:rPr>
            </w:pPr>
            <w:r>
              <w:rPr>
                <w:rFonts w:hint="eastAsia" w:ascii="宋体" w:hAnsi="宋体" w:cs="宋体"/>
                <w:szCs w:val="21"/>
              </w:rPr>
              <w:t>电话：0577-86968979</w:t>
            </w:r>
          </w:p>
          <w:p>
            <w:pPr>
              <w:rPr>
                <w:rFonts w:ascii="宋体" w:hAnsi="宋体" w:cs="宋体"/>
                <w:szCs w:val="21"/>
              </w:rPr>
            </w:pPr>
            <w:r>
              <w:rPr>
                <w:rFonts w:hint="eastAsia" w:ascii="宋体" w:hAnsi="宋体" w:cs="宋体"/>
                <w:szCs w:val="21"/>
              </w:rPr>
              <w:t>地址：龙湾区永宁西路506号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74"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adjustRightInd w:val="0"/>
              <w:jc w:val="center"/>
              <w:rPr>
                <w:rFonts w:ascii="宋体" w:hAnsi="宋体" w:cs="宋体"/>
                <w:szCs w:val="21"/>
              </w:rPr>
            </w:pPr>
            <w:r>
              <w:rPr>
                <w:rFonts w:hint="eastAsia" w:ascii="宋体" w:hAnsi="宋体" w:cs="宋体"/>
                <w:szCs w:val="21"/>
              </w:rPr>
              <w:t>集中采购机构</w:t>
            </w:r>
          </w:p>
        </w:tc>
        <w:tc>
          <w:tcPr>
            <w:tcW w:w="6638" w:type="dxa"/>
            <w:vAlign w:val="center"/>
          </w:tcPr>
          <w:p>
            <w:pPr>
              <w:rPr>
                <w:rFonts w:ascii="宋体" w:hAnsi="宋体" w:cs="宋体"/>
                <w:szCs w:val="21"/>
              </w:rPr>
            </w:pPr>
            <w:r>
              <w:rPr>
                <w:rFonts w:hint="eastAsia" w:ascii="宋体" w:hAnsi="宋体" w:cs="宋体"/>
                <w:szCs w:val="21"/>
              </w:rPr>
              <w:t>集中采购机构名称：温州市温州市公共资源交易中心龙湾分中心龙湾分中心</w:t>
            </w:r>
          </w:p>
          <w:p>
            <w:pPr>
              <w:rPr>
                <w:rFonts w:ascii="宋体" w:hAnsi="宋体" w:cs="宋体"/>
                <w:szCs w:val="21"/>
              </w:rPr>
            </w:pPr>
            <w:r>
              <w:rPr>
                <w:rFonts w:hint="eastAsia" w:ascii="宋体" w:hAnsi="宋体" w:cs="宋体"/>
                <w:szCs w:val="21"/>
              </w:rPr>
              <w:t>项目负责人：王老师</w:t>
            </w:r>
          </w:p>
          <w:p>
            <w:pPr>
              <w:rPr>
                <w:rFonts w:ascii="宋体" w:hAnsi="宋体" w:cs="宋体"/>
                <w:szCs w:val="21"/>
              </w:rPr>
            </w:pPr>
            <w:r>
              <w:rPr>
                <w:rFonts w:hint="eastAsia" w:ascii="宋体" w:hAnsi="宋体" w:cs="宋体"/>
                <w:szCs w:val="21"/>
              </w:rPr>
              <w:t>电话：0577-86966075</w:t>
            </w:r>
          </w:p>
          <w:p>
            <w:pPr>
              <w:rPr>
                <w:rFonts w:ascii="宋体" w:hAnsi="宋体" w:cs="宋体"/>
                <w:szCs w:val="21"/>
              </w:rPr>
            </w:pPr>
            <w:r>
              <w:rPr>
                <w:rFonts w:hint="eastAsia" w:ascii="宋体" w:hAnsi="宋体" w:cs="宋体"/>
                <w:szCs w:val="21"/>
              </w:rPr>
              <w:t>地址：温州市龙湾区升平路77号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招标内容</w:t>
            </w:r>
          </w:p>
        </w:tc>
        <w:tc>
          <w:tcPr>
            <w:tcW w:w="6638" w:type="dxa"/>
            <w:vAlign w:val="center"/>
          </w:tcPr>
          <w:p>
            <w:pPr>
              <w:rPr>
                <w:rFonts w:ascii="宋体" w:hAnsi="宋体" w:cs="宋体"/>
                <w:szCs w:val="21"/>
              </w:rPr>
            </w:pPr>
            <w:r>
              <w:rPr>
                <w:rFonts w:hint="eastAsia" w:ascii="宋体" w:hAnsi="宋体" w:cs="宋体"/>
                <w:szCs w:val="21"/>
              </w:rPr>
              <w:t>本采购项目为温州市龙湾区机关事务管理中心保安服务采购。(具体内容详见招标文件第三部分)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评标办法</w:t>
            </w:r>
          </w:p>
        </w:tc>
        <w:tc>
          <w:tcPr>
            <w:tcW w:w="6638" w:type="dxa"/>
            <w:vAlign w:val="center"/>
          </w:tcPr>
          <w:p>
            <w:pPr>
              <w:rPr>
                <w:rFonts w:ascii="宋体" w:hAnsi="宋体" w:cs="宋体"/>
                <w:szCs w:val="21"/>
              </w:rPr>
            </w:pPr>
            <w:r>
              <w:rPr>
                <w:rFonts w:hint="eastAsia" w:ascii="宋体" w:hAnsi="宋体" w:cs="宋体"/>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投标人</w:t>
            </w:r>
          </w:p>
          <w:p>
            <w:pPr>
              <w:jc w:val="center"/>
              <w:rPr>
                <w:rFonts w:ascii="宋体" w:hAnsi="宋体" w:cs="宋体"/>
                <w:szCs w:val="21"/>
              </w:rPr>
            </w:pPr>
            <w:r>
              <w:rPr>
                <w:rFonts w:hint="eastAsia" w:ascii="宋体" w:hAnsi="宋体" w:cs="宋体"/>
                <w:szCs w:val="21"/>
              </w:rPr>
              <w:t>资格要求</w:t>
            </w:r>
          </w:p>
        </w:tc>
        <w:tc>
          <w:tcPr>
            <w:tcW w:w="6638" w:type="dxa"/>
            <w:vAlign w:val="center"/>
          </w:tcPr>
          <w:p>
            <w:pPr>
              <w:rPr>
                <w:rFonts w:ascii="宋体" w:hAnsi="宋体" w:cs="宋体"/>
                <w:szCs w:val="21"/>
              </w:rPr>
            </w:pPr>
            <w:r>
              <w:rPr>
                <w:rFonts w:hint="eastAsia" w:ascii="宋体" w:hAnsi="宋体" w:cs="宋体"/>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07"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adjustRightInd w:val="0"/>
              <w:jc w:val="center"/>
              <w:rPr>
                <w:rFonts w:ascii="宋体" w:hAnsi="宋体" w:cs="宋体"/>
                <w:szCs w:val="21"/>
              </w:rPr>
            </w:pPr>
            <w:r>
              <w:rPr>
                <w:rFonts w:hint="eastAsia" w:ascii="宋体" w:hAnsi="宋体" w:cs="宋体"/>
                <w:szCs w:val="21"/>
              </w:rPr>
              <w:t>踏勘现场</w:t>
            </w:r>
          </w:p>
        </w:tc>
        <w:tc>
          <w:tcPr>
            <w:tcW w:w="6638" w:type="dxa"/>
            <w:vAlign w:val="center"/>
          </w:tcPr>
          <w:p>
            <w:pPr>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不组织</w:t>
            </w:r>
          </w:p>
          <w:p>
            <w:pPr>
              <w:rPr>
                <w:rFonts w:ascii="宋体" w:hAnsi="宋体" w:cs="宋体"/>
                <w:szCs w:val="21"/>
              </w:rPr>
            </w:pPr>
            <w:r>
              <w:rPr>
                <w:rFonts w:hint="eastAsia" w:ascii="宋体" w:hAnsi="宋体" w:cs="宋体"/>
                <w:szCs w:val="21"/>
              </w:rPr>
              <w:t>□组织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15"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adjustRightInd w:val="0"/>
              <w:jc w:val="center"/>
              <w:rPr>
                <w:rFonts w:ascii="宋体" w:hAnsi="宋体" w:cs="宋体"/>
                <w:szCs w:val="21"/>
              </w:rPr>
            </w:pPr>
            <w:r>
              <w:rPr>
                <w:rFonts w:hint="eastAsia" w:ascii="宋体" w:hAnsi="宋体" w:cs="宋体"/>
                <w:szCs w:val="21"/>
              </w:rPr>
              <w:t>投标货币</w:t>
            </w:r>
          </w:p>
        </w:tc>
        <w:tc>
          <w:tcPr>
            <w:tcW w:w="6638" w:type="dxa"/>
            <w:vAlign w:val="center"/>
          </w:tcPr>
          <w:p>
            <w:pPr>
              <w:rPr>
                <w:rFonts w:ascii="宋体" w:hAnsi="宋体" w:cs="宋体"/>
                <w:szCs w:val="21"/>
              </w:rPr>
            </w:pPr>
            <w:r>
              <w:rPr>
                <w:rFonts w:hint="eastAsia" w:ascii="宋体" w:hAnsi="宋体" w:cs="宋体"/>
                <w:szCs w:val="21"/>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adjustRightInd w:val="0"/>
              <w:jc w:val="center"/>
              <w:rPr>
                <w:rFonts w:ascii="宋体" w:hAnsi="宋体" w:cs="宋体"/>
                <w:szCs w:val="21"/>
              </w:rPr>
            </w:pPr>
            <w:r>
              <w:rPr>
                <w:rFonts w:hint="eastAsia" w:ascii="宋体" w:hAnsi="宋体" w:cs="宋体"/>
                <w:szCs w:val="21"/>
              </w:rPr>
              <w:t>投标语言</w:t>
            </w:r>
          </w:p>
        </w:tc>
        <w:tc>
          <w:tcPr>
            <w:tcW w:w="6638" w:type="dxa"/>
            <w:vAlign w:val="center"/>
          </w:tcPr>
          <w:p>
            <w:pPr>
              <w:rPr>
                <w:rFonts w:ascii="宋体" w:hAnsi="宋体" w:cs="宋体"/>
                <w:szCs w:val="21"/>
              </w:rPr>
            </w:pPr>
            <w:r>
              <w:rPr>
                <w:rFonts w:hint="eastAsia" w:ascii="宋体" w:hAnsi="宋体" w:cs="宋体"/>
                <w:szCs w:val="21"/>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snapToGrid w:val="0"/>
              <w:rPr>
                <w:rFonts w:ascii="宋体" w:hAnsi="宋体"/>
                <w:sz w:val="24"/>
              </w:rPr>
            </w:pPr>
            <w:r>
              <w:rPr>
                <w:rFonts w:hint="eastAsia" w:ascii="宋体" w:hAnsi="宋体"/>
                <w:sz w:val="24"/>
              </w:rPr>
              <w:t>是否允许分包</w:t>
            </w:r>
          </w:p>
        </w:tc>
        <w:tc>
          <w:tcPr>
            <w:tcW w:w="6638" w:type="dxa"/>
            <w:vAlign w:val="center"/>
          </w:tcPr>
          <w:p>
            <w:pPr>
              <w:snapToGrid w:val="0"/>
              <w:spacing w:line="360" w:lineRule="auto"/>
              <w:rPr>
                <w:rFonts w:ascii="宋体" w:hAnsi="宋体"/>
                <w:sz w:val="24"/>
              </w:rPr>
            </w:pPr>
            <w:r>
              <w:rPr>
                <w:rFonts w:hint="eastAsia" w:ascii="宋体" w:hAnsi="宋体"/>
                <w:sz w:val="24"/>
              </w:rPr>
              <w:t>□不允许</w:t>
            </w:r>
          </w:p>
          <w:p>
            <w:pPr>
              <w:snapToGrid w:val="0"/>
              <w:spacing w:line="360" w:lineRule="auto"/>
              <w:rPr>
                <w:rFonts w:ascii="宋体" w:hAnsi="宋体"/>
                <w:sz w:val="24"/>
              </w:rPr>
            </w:pPr>
            <w:r>
              <w:rPr>
                <w:rFonts w:hint="eastAsia" w:ascii="宋体" w:hAnsi="宋体"/>
                <w:sz w:val="24"/>
              </w:rPr>
              <w:t>☑允许 （分包内容要求：消防维保、机械车库维保应具有相应资质的专业单位实施，且须报采购人处备案，费用已包含在总价中）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投标文件形式及提交</w:t>
            </w:r>
          </w:p>
        </w:tc>
        <w:tc>
          <w:tcPr>
            <w:tcW w:w="6638" w:type="dxa"/>
            <w:vAlign w:val="center"/>
          </w:tcPr>
          <w:p>
            <w:pPr>
              <w:rPr>
                <w:rFonts w:ascii="宋体" w:hAnsi="宋体" w:cs="宋体"/>
                <w:szCs w:val="21"/>
              </w:rPr>
            </w:pPr>
            <w:r>
              <w:rPr>
                <w:rFonts w:hint="eastAsia" w:ascii="宋体" w:hAnsi="宋体" w:cs="宋体"/>
                <w:szCs w:val="21"/>
              </w:rPr>
              <w:t>详见采购文件第二部分第14条、第21条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bCs/>
                <w:szCs w:val="21"/>
              </w:rPr>
              <w:t>电子加密投标文件的解密和异常情况处理</w:t>
            </w:r>
          </w:p>
        </w:tc>
        <w:tc>
          <w:tcPr>
            <w:tcW w:w="6638" w:type="dxa"/>
            <w:vAlign w:val="center"/>
          </w:tcPr>
          <w:p>
            <w:pPr>
              <w:rPr>
                <w:rFonts w:ascii="宋体" w:hAnsi="宋体" w:cs="宋体"/>
                <w:szCs w:val="21"/>
              </w:rPr>
            </w:pPr>
            <w:r>
              <w:rPr>
                <w:rFonts w:hint="eastAsia" w:ascii="宋体" w:hAnsi="宋体" w:cs="宋体"/>
                <w:szCs w:val="21"/>
              </w:rPr>
              <w:t>详见采购文件第二部分第25条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投标有效期</w:t>
            </w:r>
          </w:p>
        </w:tc>
        <w:tc>
          <w:tcPr>
            <w:tcW w:w="6638" w:type="dxa"/>
            <w:vAlign w:val="center"/>
          </w:tcPr>
          <w:p>
            <w:pPr>
              <w:rPr>
                <w:rFonts w:ascii="宋体" w:hAnsi="宋体" w:cs="宋体"/>
                <w:szCs w:val="21"/>
              </w:rPr>
            </w:pPr>
            <w:r>
              <w:rPr>
                <w:rFonts w:hint="eastAsia" w:ascii="宋体" w:hAnsi="宋体" w:cs="宋体"/>
                <w:szCs w:val="21"/>
              </w:rPr>
              <w:t>提交投标文件截止日起90天内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签字或盖章要求</w:t>
            </w:r>
          </w:p>
        </w:tc>
        <w:tc>
          <w:tcPr>
            <w:tcW w:w="6638" w:type="dxa"/>
            <w:vAlign w:val="center"/>
          </w:tcPr>
          <w:p>
            <w:pPr>
              <w:rPr>
                <w:rFonts w:ascii="宋体" w:hAnsi="宋体" w:cs="宋体"/>
                <w:szCs w:val="21"/>
              </w:rPr>
            </w:pPr>
            <w:r>
              <w:rPr>
                <w:rFonts w:hint="eastAsia" w:ascii="宋体" w:hAnsi="宋体" w:cs="宋体"/>
                <w:szCs w:val="21"/>
              </w:rPr>
              <w:t>投标文件中所须加盖公章部分均采用CA签章（除《政府采购活动现场确认声明书》和《启用备份投标文件申请书》外）；所涉及法定代表人或授权代表的签字（或盖章）均采用CA签章或按招标文件要求由法定代表人或授权代表本人签字（或盖章）后扫描上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投标样品</w:t>
            </w:r>
          </w:p>
        </w:tc>
        <w:tc>
          <w:tcPr>
            <w:tcW w:w="6638" w:type="dxa"/>
            <w:vAlign w:val="center"/>
          </w:tcPr>
          <w:p>
            <w:pPr>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不需要</w:t>
            </w:r>
          </w:p>
          <w:p>
            <w:pPr>
              <w:rPr>
                <w:rFonts w:ascii="宋体" w:hAnsi="宋体" w:cs="宋体"/>
                <w:szCs w:val="21"/>
              </w:rPr>
            </w:pPr>
            <w:r>
              <w:rPr>
                <w:rFonts w:hint="eastAsia" w:ascii="宋体" w:hAnsi="宋体" w:cs="宋体"/>
                <w:szCs w:val="21"/>
              </w:rPr>
              <w:sym w:font="Wingdings 2" w:char="00A3"/>
            </w:r>
            <w:r>
              <w:rPr>
                <w:rFonts w:hint="eastAsia" w:ascii="宋体" w:hAnsi="宋体" w:cs="宋体"/>
                <w:szCs w:val="21"/>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履约担保</w:t>
            </w:r>
          </w:p>
        </w:tc>
        <w:tc>
          <w:tcPr>
            <w:tcW w:w="6638" w:type="dxa"/>
            <w:vAlign w:val="center"/>
          </w:tcPr>
          <w:p>
            <w:pPr>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不需要</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需要</w:t>
            </w:r>
          </w:p>
          <w:p>
            <w:pPr>
              <w:rPr>
                <w:rFonts w:ascii="宋体" w:hAnsi="宋体" w:cs="宋体"/>
                <w:szCs w:val="21"/>
              </w:rPr>
            </w:pPr>
            <w:r>
              <w:rPr>
                <w:rFonts w:hint="eastAsia" w:ascii="宋体" w:hAnsi="宋体" w:cs="宋体"/>
                <w:szCs w:val="21"/>
              </w:rPr>
              <w:t>1、履约担保金的形式：银行转账或保函（银行或保险）</w:t>
            </w:r>
          </w:p>
          <w:p>
            <w:pPr>
              <w:rPr>
                <w:rFonts w:ascii="宋体" w:hAnsi="宋体" w:cs="宋体"/>
                <w:szCs w:val="21"/>
              </w:rPr>
            </w:pPr>
            <w:r>
              <w:rPr>
                <w:rFonts w:hint="eastAsia" w:ascii="宋体" w:hAnsi="宋体" w:cs="宋体"/>
                <w:szCs w:val="21"/>
              </w:rPr>
              <w:t>2、履约担保金的金额：在合同签订前（领取中标通知书7日内），向采购人指定账户交纳合同总价5%的履约保证金。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42"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招标文件的获取时间、地址、售价</w:t>
            </w:r>
          </w:p>
        </w:tc>
        <w:tc>
          <w:tcPr>
            <w:tcW w:w="6638" w:type="dxa"/>
            <w:vAlign w:val="center"/>
          </w:tcPr>
          <w:p>
            <w:pPr>
              <w:rPr>
                <w:rFonts w:ascii="宋体" w:hAnsi="宋体" w:cs="宋体"/>
                <w:szCs w:val="21"/>
              </w:rPr>
            </w:pPr>
            <w:r>
              <w:rPr>
                <w:rFonts w:hint="eastAsia" w:ascii="宋体" w:hAnsi="宋体" w:cs="宋体"/>
                <w:szCs w:val="21"/>
              </w:rPr>
              <w:t>1.获取时间：2021年12月1日至投标截止时间止。</w:t>
            </w:r>
          </w:p>
          <w:p>
            <w:pPr>
              <w:rPr>
                <w:rFonts w:ascii="宋体" w:hAnsi="宋体" w:cs="宋体"/>
                <w:szCs w:val="21"/>
              </w:rPr>
            </w:pPr>
            <w:r>
              <w:rPr>
                <w:rFonts w:hint="eastAsia" w:ascii="宋体" w:hAnsi="宋体" w:cs="宋体"/>
                <w:szCs w:val="21"/>
              </w:rPr>
              <w:t>2.获取地址：政府采购云平台（以下简称政采云平台）（www.zcygov.cn）申请获取招标文件。</w:t>
            </w:r>
          </w:p>
          <w:p>
            <w:pPr>
              <w:rPr>
                <w:rFonts w:ascii="宋体" w:hAnsi="宋体" w:cs="宋体"/>
                <w:szCs w:val="21"/>
              </w:rPr>
            </w:pPr>
            <w:r>
              <w:rPr>
                <w:rFonts w:hint="eastAsia" w:ascii="宋体" w:hAnsi="宋体" w:cs="宋体"/>
                <w:szCs w:val="21"/>
              </w:rPr>
              <w:t>依法获取招标文件的方式如下：政采云平台-用户登录-项目采购-获取采购文件-申请获取采购文件</w:t>
            </w:r>
          </w:p>
          <w:p>
            <w:pPr>
              <w:rPr>
                <w:rFonts w:ascii="宋体" w:hAnsi="宋体" w:cs="宋体"/>
                <w:szCs w:val="21"/>
              </w:rPr>
            </w:pPr>
            <w:r>
              <w:rPr>
                <w:rFonts w:hint="eastAsia" w:ascii="宋体" w:hAnsi="宋体" w:cs="宋体"/>
                <w:szCs w:val="21"/>
              </w:rPr>
              <w:t>注：招标公告附件里的招标文件仅供阅览使用。</w:t>
            </w:r>
          </w:p>
          <w:p>
            <w:pPr>
              <w:rPr>
                <w:rFonts w:ascii="宋体" w:hAnsi="宋体" w:cs="宋体"/>
                <w:szCs w:val="21"/>
              </w:rPr>
            </w:pPr>
            <w:r>
              <w:rPr>
                <w:rFonts w:hint="eastAsia" w:ascii="宋体" w:hAnsi="宋体" w:cs="宋体"/>
                <w:szCs w:val="21"/>
              </w:rPr>
              <w:t>3.标书售价(元)：免费。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3"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投标截止时间、地址</w:t>
            </w:r>
          </w:p>
        </w:tc>
        <w:tc>
          <w:tcPr>
            <w:tcW w:w="6638" w:type="dxa"/>
            <w:vAlign w:val="center"/>
          </w:tcPr>
          <w:p>
            <w:pPr>
              <w:rPr>
                <w:rFonts w:ascii="宋体" w:hAnsi="宋体" w:cs="宋体"/>
                <w:szCs w:val="21"/>
              </w:rPr>
            </w:pPr>
            <w:r>
              <w:rPr>
                <w:rFonts w:hint="eastAsia" w:ascii="宋体" w:hAnsi="宋体" w:cs="宋体"/>
                <w:szCs w:val="21"/>
              </w:rPr>
              <w:t>2021年12月23 日9点30分（北京时间）</w:t>
            </w:r>
          </w:p>
          <w:p>
            <w:pPr>
              <w:rPr>
                <w:rFonts w:ascii="宋体" w:hAnsi="宋体" w:cs="宋体"/>
                <w:szCs w:val="21"/>
              </w:rPr>
            </w:pPr>
            <w:r>
              <w:rPr>
                <w:rFonts w:hint="eastAsia" w:ascii="宋体" w:hAnsi="宋体" w:cs="宋体"/>
                <w:szCs w:val="21"/>
              </w:rPr>
              <w:t>投标人在投标截止时间之前将生成的电子加密投标文件上传至政采云平台。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155"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仿宋" w:hAnsi="仿宋" w:eastAsia="仿宋" w:cs="仿宋"/>
                <w:sz w:val="22"/>
              </w:rPr>
              <w:t>投标文件的接收</w:t>
            </w:r>
          </w:p>
        </w:tc>
        <w:tc>
          <w:tcPr>
            <w:tcW w:w="6638" w:type="dxa"/>
            <w:vAlign w:val="center"/>
          </w:tcPr>
          <w:p>
            <w:pPr>
              <w:rPr>
                <w:rFonts w:ascii="宋体" w:hAnsi="宋体" w:cs="宋体"/>
                <w:szCs w:val="21"/>
              </w:rPr>
            </w:pPr>
            <w:r>
              <w:rPr>
                <w:rFonts w:hint="eastAsia" w:ascii="宋体" w:hAnsi="宋体" w:cs="宋体"/>
                <w:szCs w:val="21"/>
              </w:rPr>
              <w:t>投标文件分为电子投标文件以及备份投标文件。</w:t>
            </w:r>
          </w:p>
          <w:p>
            <w:pPr>
              <w:rPr>
                <w:rFonts w:ascii="宋体" w:hAnsi="宋体" w:cs="宋体"/>
                <w:szCs w:val="21"/>
              </w:rPr>
            </w:pPr>
            <w:r>
              <w:rPr>
                <w:rFonts w:hint="eastAsia" w:ascii="宋体" w:hAnsi="宋体" w:cs="宋体"/>
                <w:szCs w:val="21"/>
              </w:rPr>
              <w:t>1、投标人应当在2021年12月23日9:30时整之前按照电子投标要求将电子加密投标文件上传到“政采云”平台，逾期或未上传成功的将导致无法投标或投标无效。</w:t>
            </w:r>
          </w:p>
          <w:p>
            <w:pPr>
              <w:rPr>
                <w:rFonts w:ascii="宋体" w:hAnsi="宋体" w:cs="宋体"/>
                <w:szCs w:val="21"/>
              </w:rPr>
            </w:pPr>
            <w:r>
              <w:rPr>
                <w:rFonts w:hint="eastAsia" w:ascii="宋体" w:hAnsi="宋体" w:cs="宋体"/>
                <w:szCs w:val="21"/>
              </w:rPr>
              <w:t>2、投标人应当在2021年12月23日9:30</w:t>
            </w:r>
            <w:r>
              <w:fldChar w:fldCharType="begin"/>
            </w:r>
            <w:r>
              <w:instrText xml:space="preserve"> HYPERLINK "mailto:时整之前将在政采云平台上最后生成的具备电子签章的备份加密投标文件（文件名后缀为" </w:instrText>
            </w:r>
            <w:r>
              <w:fldChar w:fldCharType="separate"/>
            </w:r>
            <w:r>
              <w:rPr>
                <w:rFonts w:hint="eastAsia" w:ascii="宋体" w:hAnsi="宋体" w:cs="宋体"/>
                <w:szCs w:val="21"/>
              </w:rPr>
              <w:t>时整之前将在政采云平台上最后生成的具备电子签章的备份加密投标文件（文件名后缀为“备份文件”四字的首字母）以电子邮件方式传送至龙湾分中心政府采购科邮箱（44721395@qq.com），传送的备份电子投标文件需打包压缩并加密，加密密码由投标人自行保管。如政采云上电子投标文件出现解密失败情况（开标当日9:30-10：30期间进行解密），投标人可按照自身意愿确认是否同意提供加密密码解密传送至龙湾分中心政府采购中心邮箱的备份文件，并以备份文件作为替代电子投标文件。如投标人未按照规定时间（</w:t>
            </w:r>
            <w:r>
              <w:rPr>
                <w:rFonts w:hint="eastAsia" w:ascii="宋体" w:hAnsi="宋体" w:cs="宋体"/>
                <w:szCs w:val="21"/>
              </w:rPr>
              <w:fldChar w:fldCharType="end"/>
            </w:r>
            <w:r>
              <w:rPr>
                <w:rFonts w:hint="eastAsia" w:ascii="宋体" w:hAnsi="宋体" w:cs="宋体"/>
                <w:szCs w:val="21"/>
              </w:rPr>
              <w:t>2021年12月23日9:30时整之前）及要求提供有效备份文件并解密成功，同时政采云上投标文件解密失败的，将导致投标无效。</w:t>
            </w:r>
          </w:p>
          <w:p>
            <w:pPr>
              <w:rPr>
                <w:rFonts w:ascii="宋体" w:hAnsi="宋体" w:cs="宋体"/>
                <w:szCs w:val="21"/>
              </w:rPr>
            </w:pPr>
            <w:r>
              <w:rPr>
                <w:rFonts w:hint="eastAsia" w:ascii="宋体" w:hAnsi="宋体" w:cs="宋体"/>
                <w:szCs w:val="21"/>
              </w:rPr>
              <w:t>3、电子投标文件与备份投标文件必须同时生成且内容完全一致。</w:t>
            </w:r>
          </w:p>
          <w:p>
            <w:pPr>
              <w:rPr>
                <w:rFonts w:ascii="宋体" w:hAnsi="宋体" w:cs="宋体"/>
                <w:szCs w:val="21"/>
              </w:rPr>
            </w:pPr>
            <w:r>
              <w:rPr>
                <w:rFonts w:hint="eastAsia" w:ascii="宋体" w:hAnsi="宋体" w:cs="宋体"/>
                <w:szCs w:val="21"/>
              </w:rPr>
              <w:t>4、投标文件的启用，按先后顺位分别为电子投标文件、以电子邮件形式的备份投标文件。在下一顺位的投标文件启用时，前一顺位的投标文件自动失效。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投标文件解密开始时间</w:t>
            </w:r>
          </w:p>
          <w:p>
            <w:pPr>
              <w:jc w:val="center"/>
              <w:rPr>
                <w:rFonts w:ascii="宋体" w:hAnsi="宋体" w:cs="宋体"/>
                <w:szCs w:val="21"/>
              </w:rPr>
            </w:pPr>
            <w:r>
              <w:rPr>
                <w:rFonts w:hint="eastAsia" w:ascii="宋体" w:hAnsi="宋体" w:cs="宋体"/>
                <w:szCs w:val="21"/>
              </w:rPr>
              <w:t>评标地点</w:t>
            </w:r>
          </w:p>
        </w:tc>
        <w:tc>
          <w:tcPr>
            <w:tcW w:w="6638" w:type="dxa"/>
            <w:vAlign w:val="center"/>
          </w:tcPr>
          <w:p>
            <w:pPr>
              <w:rPr>
                <w:rFonts w:ascii="宋体" w:hAnsi="宋体" w:cs="宋体"/>
                <w:szCs w:val="21"/>
              </w:rPr>
            </w:pPr>
            <w:r>
              <w:rPr>
                <w:rFonts w:hint="eastAsia" w:ascii="宋体" w:hAnsi="宋体" w:cs="宋体"/>
                <w:szCs w:val="21"/>
              </w:rPr>
              <w:t>投标文件解密开始时间：2021年12月23日9点30分 (北京时间)</w:t>
            </w:r>
          </w:p>
          <w:p>
            <w:pPr>
              <w:rPr>
                <w:rFonts w:ascii="宋体" w:hAnsi="宋体" w:cs="宋体"/>
                <w:szCs w:val="21"/>
              </w:rPr>
            </w:pPr>
            <w:r>
              <w:rPr>
                <w:rFonts w:hint="eastAsia" w:ascii="宋体" w:hAnsi="宋体" w:cs="宋体"/>
                <w:szCs w:val="21"/>
              </w:rPr>
              <w:t>评标地点：温州市龙湾区升平路77号四楼评标室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开标程序</w:t>
            </w:r>
          </w:p>
        </w:tc>
        <w:tc>
          <w:tcPr>
            <w:tcW w:w="6638" w:type="dxa"/>
            <w:vAlign w:val="center"/>
          </w:tcPr>
          <w:p>
            <w:pPr>
              <w:rPr>
                <w:rFonts w:ascii="宋体" w:hAnsi="宋体" w:cs="宋体"/>
                <w:szCs w:val="21"/>
              </w:rPr>
            </w:pPr>
            <w:r>
              <w:rPr>
                <w:rFonts w:hint="eastAsia" w:ascii="宋体" w:hAnsi="宋体" w:cs="宋体"/>
                <w:szCs w:val="21"/>
              </w:rPr>
              <w:t>集中采购机构按照招标文件规定的时间通过政采云平台组织开标，所有投标人准时在线参加；</w:t>
            </w:r>
          </w:p>
          <w:p>
            <w:pPr>
              <w:rPr>
                <w:rFonts w:ascii="宋体" w:hAnsi="宋体" w:cs="宋体"/>
                <w:szCs w:val="21"/>
              </w:rPr>
            </w:pPr>
            <w:r>
              <w:rPr>
                <w:rFonts w:hint="eastAsia" w:ascii="宋体" w:hAnsi="宋体" w:cs="宋体"/>
                <w:szCs w:val="21"/>
              </w:rPr>
              <w:t>开标后，集中采购机构通过政采云平台向各投标人发出电子加密投标文件的解密通知，各投标人代表应当在接到解密通知后60分钟内自行完成电子加密投标文件的在线解密。</w:t>
            </w:r>
          </w:p>
          <w:p>
            <w:pPr>
              <w:rPr>
                <w:rFonts w:ascii="宋体" w:hAnsi="宋体" w:cs="宋体"/>
                <w:szCs w:val="21"/>
              </w:rPr>
            </w:pPr>
            <w:r>
              <w:rPr>
                <w:rFonts w:hint="eastAsia" w:ascii="宋体" w:hAnsi="宋体" w:cs="宋体"/>
                <w:szCs w:val="21"/>
              </w:rPr>
              <w:t>3.解密结束后，采购人进行资格性审查；</w:t>
            </w:r>
          </w:p>
          <w:p>
            <w:pPr>
              <w:rPr>
                <w:rFonts w:ascii="宋体" w:hAnsi="宋体" w:cs="宋体"/>
                <w:szCs w:val="21"/>
              </w:rPr>
            </w:pPr>
            <w:r>
              <w:rPr>
                <w:rFonts w:hint="eastAsia" w:ascii="宋体" w:hAnsi="宋体" w:cs="宋体"/>
                <w:szCs w:val="21"/>
              </w:rPr>
              <w:t>4.评审小组进行符合性审查；</w:t>
            </w:r>
          </w:p>
          <w:p>
            <w:pPr>
              <w:rPr>
                <w:rFonts w:ascii="宋体" w:hAnsi="宋体" w:cs="宋体"/>
                <w:szCs w:val="21"/>
              </w:rPr>
            </w:pPr>
            <w:r>
              <w:rPr>
                <w:rFonts w:hint="eastAsia" w:ascii="宋体" w:hAnsi="宋体" w:cs="宋体"/>
                <w:szCs w:val="21"/>
              </w:rPr>
              <w:t>5.评审小组进行商务技术响应文件评审；</w:t>
            </w:r>
          </w:p>
          <w:p>
            <w:pPr>
              <w:rPr>
                <w:rFonts w:ascii="宋体" w:hAnsi="宋体" w:cs="宋体"/>
                <w:szCs w:val="21"/>
              </w:rPr>
            </w:pPr>
            <w:r>
              <w:rPr>
                <w:rFonts w:hint="eastAsia" w:ascii="宋体" w:hAnsi="宋体" w:cs="宋体"/>
                <w:szCs w:val="21"/>
              </w:rPr>
              <w:t>6.评审小组评分结束后，公布最终得分。</w:t>
            </w:r>
          </w:p>
          <w:p>
            <w:pPr>
              <w:rPr>
                <w:rFonts w:ascii="宋体" w:hAnsi="宋体" w:cs="宋体"/>
                <w:szCs w:val="21"/>
              </w:rPr>
            </w:pPr>
            <w:r>
              <w:rPr>
                <w:rFonts w:hint="eastAsia" w:ascii="宋体" w:hAnsi="宋体" w:cs="宋体"/>
                <w:szCs w:val="21"/>
              </w:rPr>
              <w:t>特别说明：政采云平台如对电子化开标及评审程序有调整的，按调整后的程序操作。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评标委员会</w:t>
            </w:r>
          </w:p>
          <w:p>
            <w:pPr>
              <w:jc w:val="center"/>
              <w:rPr>
                <w:rFonts w:ascii="宋体" w:hAnsi="宋体" w:cs="宋体"/>
                <w:szCs w:val="21"/>
              </w:rPr>
            </w:pPr>
            <w:r>
              <w:rPr>
                <w:rFonts w:hint="eastAsia" w:ascii="宋体" w:hAnsi="宋体" w:cs="宋体"/>
                <w:szCs w:val="21"/>
              </w:rPr>
              <w:t>的组建</w:t>
            </w:r>
          </w:p>
        </w:tc>
        <w:tc>
          <w:tcPr>
            <w:tcW w:w="6638" w:type="dxa"/>
            <w:vAlign w:val="center"/>
          </w:tcPr>
          <w:p>
            <w:pPr>
              <w:rPr>
                <w:rFonts w:ascii="宋体" w:hAnsi="宋体" w:cs="宋体"/>
                <w:szCs w:val="21"/>
              </w:rPr>
            </w:pPr>
            <w:r>
              <w:rPr>
                <w:rFonts w:hint="eastAsia" w:ascii="宋体" w:hAnsi="宋体" w:cs="宋体"/>
                <w:szCs w:val="21"/>
              </w:rPr>
              <w:t>评标委员会构成：由采购人代表和评审专家组成，成员人数为5人及以上单数，其中评审专家不得少于成员总数的三分之二。</w:t>
            </w:r>
          </w:p>
          <w:p>
            <w:pPr>
              <w:rPr>
                <w:rFonts w:ascii="宋体" w:hAnsi="宋体" w:cs="宋体"/>
                <w:szCs w:val="21"/>
              </w:rPr>
            </w:pPr>
            <w:r>
              <w:rPr>
                <w:rFonts w:hint="eastAsia" w:ascii="宋体" w:hAnsi="宋体" w:cs="宋体"/>
                <w:szCs w:val="21"/>
              </w:rPr>
              <w:t>评标专家确定方式：按规定统一从专家库内抽取。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01"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落实政府采购支持中小企业、监狱企业及残疾人福利性单位发展政策</w:t>
            </w:r>
          </w:p>
        </w:tc>
        <w:tc>
          <w:tcPr>
            <w:tcW w:w="6638" w:type="dxa"/>
            <w:vAlign w:val="center"/>
          </w:tcPr>
          <w:p>
            <w:pPr>
              <w:rPr>
                <w:rFonts w:ascii="宋体" w:hAnsi="宋体" w:cs="宋体"/>
                <w:szCs w:val="21"/>
              </w:rPr>
            </w:pPr>
            <w:r>
              <w:rPr>
                <w:rFonts w:hint="eastAsia" w:ascii="宋体" w:hAnsi="宋体" w:cs="宋体"/>
                <w:szCs w:val="21"/>
              </w:rPr>
              <w:sym w:font="Wingdings 2" w:char="00A3"/>
            </w:r>
            <w:r>
              <w:rPr>
                <w:rFonts w:hint="eastAsia" w:ascii="宋体" w:hAnsi="宋体" w:cs="宋体"/>
                <w:szCs w:val="21"/>
              </w:rPr>
              <w:t>预留份额专门面向中小企业采购项目</w:t>
            </w:r>
          </w:p>
          <w:p>
            <w:pPr>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未预留份额专门面向中小企业采购项目。</w:t>
            </w:r>
          </w:p>
          <w:p>
            <w:pPr>
              <w:rPr>
                <w:rFonts w:ascii="宋体" w:hAnsi="宋体" w:cs="宋体"/>
                <w:szCs w:val="21"/>
              </w:rPr>
            </w:pPr>
            <w:r>
              <w:rPr>
                <w:rFonts w:hint="eastAsia" w:ascii="宋体" w:hAnsi="宋体" w:cs="宋体"/>
                <w:szCs w:val="21"/>
              </w:rPr>
              <w:t>注：对于未预留份额专门面向中小企业采购的采购项目，以及预留份额项目中的非预留部分采购包，对小微企业报价给予6%的扣除，用扣除后的价格参加评审。监狱企业、残疾人福利性单位视同小型、微型企业，享受价格扣除。</w:t>
            </w:r>
          </w:p>
          <w:p>
            <w:pPr>
              <w:rPr>
                <w:rFonts w:ascii="宋体" w:hAnsi="宋体" w:cs="宋体"/>
                <w:szCs w:val="21"/>
              </w:rPr>
            </w:pPr>
            <w:r>
              <w:rPr>
                <w:rFonts w:hint="eastAsia" w:ascii="宋体" w:hAnsi="宋体" w:cs="宋体"/>
                <w:szCs w:val="21"/>
              </w:rPr>
              <w:t>监狱企业、残疾人福利性单位属于小型、微型企业的，不重复享受政策。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9"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合同履约管理</w:t>
            </w:r>
          </w:p>
        </w:tc>
        <w:tc>
          <w:tcPr>
            <w:tcW w:w="6638" w:type="dxa"/>
            <w:vAlign w:val="center"/>
          </w:tcPr>
          <w:p>
            <w:pPr>
              <w:rPr>
                <w:rFonts w:ascii="宋体" w:hAnsi="宋体" w:cs="宋体"/>
                <w:szCs w:val="21"/>
              </w:rPr>
            </w:pPr>
            <w:r>
              <w:rPr>
                <w:rFonts w:hint="eastAsia" w:ascii="宋体" w:hAnsi="宋体" w:cs="宋体"/>
                <w:szCs w:val="21"/>
              </w:rPr>
              <w:t>合同签订后，采购人依法加强对合同履约进行管理。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9"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质疑与投诉</w:t>
            </w:r>
          </w:p>
        </w:tc>
        <w:tc>
          <w:tcPr>
            <w:tcW w:w="6638" w:type="dxa"/>
            <w:vAlign w:val="center"/>
          </w:tcPr>
          <w:p>
            <w:pPr>
              <w:snapToGrid w:val="0"/>
              <w:spacing w:line="360" w:lineRule="auto"/>
              <w:jc w:val="both"/>
              <w:rPr>
                <w:rFonts w:ascii="宋体" w:hAnsi="宋体" w:cs="宋体"/>
                <w:szCs w:val="21"/>
              </w:rPr>
            </w:pPr>
            <w:r>
              <w:rPr>
                <w:rFonts w:hint="eastAsia" w:ascii="宋体" w:hAnsi="宋体" w:cs="宋体"/>
                <w:szCs w:val="21"/>
              </w:rPr>
              <w:t>投标人认为招标文件、采购过程和成交结果使自己的合法权益受到损害的，可以在知道或者应知其权益受到损害之日起七个工作日内，以书面形式向采购人、集中采购机构一次性提出针对同一采购程序环节的质疑。质疑投标人对采购组织单位的质疑答复不满意或者采购组织单位未在规定时间内作出答复的，可以在答复期满后十五个工作日内向政府采购监督管理部门投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3" w:hRule="atLeast"/>
          <w:jc w:val="center"/>
        </w:trPr>
        <w:tc>
          <w:tcPr>
            <w:tcW w:w="645" w:type="dxa"/>
            <w:vAlign w:val="center"/>
          </w:tcPr>
          <w:p>
            <w:pPr>
              <w:numPr>
                <w:ilvl w:val="0"/>
                <w:numId w:val="1"/>
              </w:numPr>
              <w:jc w:val="center"/>
              <w:rPr>
                <w:rFonts w:ascii="宋体" w:hAnsi="宋体" w:cs="Arial"/>
                <w:szCs w:val="21"/>
              </w:rPr>
            </w:pPr>
          </w:p>
        </w:tc>
        <w:tc>
          <w:tcPr>
            <w:tcW w:w="1812" w:type="dxa"/>
            <w:vAlign w:val="center"/>
          </w:tcPr>
          <w:p>
            <w:pPr>
              <w:jc w:val="center"/>
              <w:rPr>
                <w:rFonts w:ascii="宋体" w:hAnsi="宋体" w:cs="宋体"/>
                <w:szCs w:val="21"/>
              </w:rPr>
            </w:pPr>
            <w:r>
              <w:rPr>
                <w:rFonts w:hint="eastAsia" w:ascii="宋体" w:hAnsi="宋体" w:cs="宋体"/>
                <w:szCs w:val="21"/>
              </w:rPr>
              <w:t>解释权</w:t>
            </w:r>
          </w:p>
        </w:tc>
        <w:tc>
          <w:tcPr>
            <w:tcW w:w="6638" w:type="dxa"/>
            <w:vAlign w:val="center"/>
          </w:tcPr>
          <w:p>
            <w:pPr>
              <w:rPr>
                <w:rFonts w:ascii="宋体" w:hAnsi="宋体" w:cs="宋体"/>
                <w:szCs w:val="21"/>
              </w:rPr>
            </w:pPr>
            <w:r>
              <w:rPr>
                <w:rFonts w:hint="eastAsia" w:ascii="宋体" w:hAnsi="宋体" w:cs="宋体"/>
                <w:szCs w:val="21"/>
              </w:rPr>
              <w:t>本招标文件的解释权属于采购组织单位。</w:t>
            </w:r>
          </w:p>
        </w:tc>
      </w:tr>
    </w:tbl>
    <w:p>
      <w:pPr>
        <w:pStyle w:val="6"/>
        <w:spacing w:beforeLines="50" w:afterLines="50" w:line="360" w:lineRule="auto"/>
        <w:jc w:val="center"/>
        <w:rPr>
          <w:sz w:val="24"/>
          <w:szCs w:val="24"/>
        </w:rPr>
      </w:pPr>
      <w:r>
        <w:br w:type="page"/>
      </w:r>
      <w:bookmarkStart w:id="32" w:name="_Toc3347"/>
      <w:r>
        <w:rPr>
          <w:rFonts w:hint="eastAsia"/>
          <w:sz w:val="24"/>
          <w:szCs w:val="24"/>
        </w:rPr>
        <w:t>（二）总则</w:t>
      </w:r>
      <w:bookmarkEnd w:id="32"/>
    </w:p>
    <w:p>
      <w:pPr>
        <w:numPr>
          <w:ilvl w:val="0"/>
          <w:numId w:val="2"/>
        </w:numPr>
        <w:snapToGrid w:val="0"/>
        <w:spacing w:line="360" w:lineRule="auto"/>
        <w:jc w:val="both"/>
        <w:rPr>
          <w:rFonts w:ascii="Arial" w:hAnsi="Arial"/>
          <w:b/>
          <w:sz w:val="24"/>
        </w:rPr>
      </w:pPr>
      <w:r>
        <w:rPr>
          <w:rFonts w:hint="eastAsia" w:ascii="Arial" w:hAnsi="Arial"/>
          <w:b/>
          <w:sz w:val="24"/>
        </w:rPr>
        <w:t>说明</w:t>
      </w:r>
    </w:p>
    <w:p>
      <w:pPr>
        <w:numPr>
          <w:ilvl w:val="1"/>
          <w:numId w:val="2"/>
        </w:numPr>
        <w:snapToGrid w:val="0"/>
        <w:spacing w:line="360" w:lineRule="auto"/>
        <w:jc w:val="both"/>
        <w:rPr>
          <w:rFonts w:ascii="宋体" w:hAnsi="宋体"/>
        </w:rPr>
      </w:pPr>
      <w:r>
        <w:rPr>
          <w:rFonts w:hint="eastAsia" w:ascii="宋体" w:hAnsi="宋体"/>
        </w:rPr>
        <w:t>本次招标工作是按照《中华人民共和国政府采购法》《中华人民共和国政府采购法实施条例》《政府采购货物和服务招标投标管理办法》《浙江省政府采购项目电子交易管理暂行办法》</w:t>
      </w:r>
      <w:r>
        <w:rPr>
          <w:rFonts w:hint="eastAsia" w:ascii="宋体" w:hAnsi="宋体" w:cs="宋体"/>
        </w:rPr>
        <w:t>《政府采购促进中小企业发展管理办法》</w:t>
      </w:r>
      <w:r>
        <w:rPr>
          <w:rFonts w:hint="eastAsia" w:ascii="宋体" w:hAnsi="宋体"/>
        </w:rPr>
        <w:t>和浙江省及项目所在地的有关政府采购政策规定，结合本项目的实际组织和实施。</w:t>
      </w:r>
    </w:p>
    <w:p>
      <w:pPr>
        <w:numPr>
          <w:ilvl w:val="1"/>
          <w:numId w:val="2"/>
        </w:numPr>
        <w:snapToGrid w:val="0"/>
        <w:spacing w:line="360" w:lineRule="auto"/>
        <w:jc w:val="both"/>
        <w:rPr>
          <w:rFonts w:ascii="宋体" w:hAnsi="宋体"/>
        </w:rPr>
      </w:pPr>
      <w:r>
        <w:rPr>
          <w:rFonts w:hint="eastAsia" w:ascii="宋体" w:hAnsi="宋体"/>
        </w:rPr>
        <w:t>资金来源：</w:t>
      </w:r>
      <w:r>
        <w:rPr>
          <w:rFonts w:hint="eastAsia" w:ascii="宋体" w:hAnsi="宋体"/>
          <w:szCs w:val="21"/>
        </w:rPr>
        <w:t>财政性资金本项目财政预算：2926.782万元。</w:t>
      </w:r>
    </w:p>
    <w:p>
      <w:pPr>
        <w:numPr>
          <w:ilvl w:val="0"/>
          <w:numId w:val="2"/>
        </w:numPr>
        <w:snapToGrid w:val="0"/>
        <w:spacing w:line="360" w:lineRule="auto"/>
        <w:jc w:val="both"/>
        <w:rPr>
          <w:rFonts w:ascii="Arial" w:hAnsi="Arial"/>
          <w:b/>
          <w:sz w:val="24"/>
        </w:rPr>
      </w:pPr>
      <w:r>
        <w:rPr>
          <w:rFonts w:hint="eastAsia" w:ascii="Arial" w:hAnsi="Arial"/>
          <w:b/>
          <w:sz w:val="24"/>
        </w:rPr>
        <w:t>定义及解释</w:t>
      </w:r>
    </w:p>
    <w:p>
      <w:pPr>
        <w:numPr>
          <w:ilvl w:val="1"/>
          <w:numId w:val="2"/>
        </w:numPr>
        <w:snapToGrid w:val="0"/>
        <w:spacing w:line="360" w:lineRule="auto"/>
        <w:jc w:val="both"/>
        <w:rPr>
          <w:rFonts w:ascii="宋体" w:hAnsi="宋体"/>
        </w:rPr>
      </w:pPr>
      <w:r>
        <w:rPr>
          <w:rFonts w:hint="eastAsia" w:ascii="宋体" w:hAnsi="宋体"/>
        </w:rPr>
        <w:t>采购人：温州市龙湾区机关事务管理中心</w:t>
      </w:r>
      <w:r>
        <w:rPr>
          <w:rFonts w:hint="eastAsia" w:ascii="宋体" w:hAnsi="宋体"/>
          <w:szCs w:val="21"/>
        </w:rPr>
        <w:t>。</w:t>
      </w:r>
    </w:p>
    <w:p>
      <w:pPr>
        <w:numPr>
          <w:ilvl w:val="1"/>
          <w:numId w:val="2"/>
        </w:numPr>
        <w:snapToGrid w:val="0"/>
        <w:spacing w:line="360" w:lineRule="auto"/>
        <w:jc w:val="both"/>
        <w:rPr>
          <w:rFonts w:ascii="宋体" w:hAnsi="宋体"/>
        </w:rPr>
      </w:pPr>
      <w:r>
        <w:rPr>
          <w:rFonts w:hint="eastAsia" w:ascii="宋体" w:hAnsi="宋体"/>
        </w:rPr>
        <w:t>集中采购机构：依法</w:t>
      </w:r>
      <w:r>
        <w:rPr>
          <w:rFonts w:ascii="宋体" w:hAnsi="宋体"/>
        </w:rPr>
        <w:t>组织本次招标的</w:t>
      </w:r>
      <w:r>
        <w:rPr>
          <w:rFonts w:hint="eastAsia" w:ascii="宋体" w:hAnsi="宋体"/>
        </w:rPr>
        <w:t>温州市公共资源交易中心龙湾分中心。</w:t>
      </w:r>
    </w:p>
    <w:p>
      <w:pPr>
        <w:numPr>
          <w:ilvl w:val="1"/>
          <w:numId w:val="2"/>
        </w:numPr>
        <w:snapToGrid w:val="0"/>
        <w:spacing w:line="360" w:lineRule="auto"/>
        <w:jc w:val="both"/>
        <w:rPr>
          <w:rFonts w:ascii="Arial" w:hAnsi="Arial" w:cs="Arial"/>
        </w:rPr>
      </w:pPr>
      <w:r>
        <w:rPr>
          <w:rFonts w:hint="eastAsia" w:ascii="Arial" w:hAnsi="Arial" w:cs="Arial"/>
        </w:rPr>
        <w:t>招标采购单位：统指</w:t>
      </w:r>
      <w:r>
        <w:rPr>
          <w:rFonts w:hint="eastAsia" w:ascii="宋体" w:hAnsi="宋体"/>
        </w:rPr>
        <w:t>组织本次采购的</w:t>
      </w:r>
      <w:r>
        <w:rPr>
          <w:rFonts w:hint="eastAsia" w:ascii="Arial" w:hAnsi="Arial" w:cs="Arial"/>
        </w:rPr>
        <w:t>集中采购机构及采购人。</w:t>
      </w:r>
    </w:p>
    <w:p>
      <w:pPr>
        <w:numPr>
          <w:ilvl w:val="1"/>
          <w:numId w:val="2"/>
        </w:numPr>
        <w:snapToGrid w:val="0"/>
        <w:spacing w:line="360" w:lineRule="auto"/>
        <w:jc w:val="both"/>
        <w:rPr>
          <w:rFonts w:ascii="Arial" w:hAnsi="Arial" w:cs="Arial"/>
        </w:rPr>
      </w:pPr>
      <w:r>
        <w:rPr>
          <w:rFonts w:hint="eastAsia" w:ascii="Arial" w:hAnsi="Arial" w:cs="Arial"/>
        </w:rPr>
        <w:t>投标人：指响应采购、参加投标竞争的依法成立的投标人。</w:t>
      </w:r>
    </w:p>
    <w:p>
      <w:pPr>
        <w:numPr>
          <w:ilvl w:val="1"/>
          <w:numId w:val="2"/>
        </w:numPr>
        <w:snapToGrid w:val="0"/>
        <w:spacing w:line="360" w:lineRule="auto"/>
        <w:jc w:val="both"/>
        <w:rPr>
          <w:rFonts w:ascii="Arial" w:hAnsi="Arial" w:cs="Arial"/>
        </w:rPr>
      </w:pPr>
      <w:r>
        <w:rPr>
          <w:rFonts w:hint="eastAsia" w:ascii="Arial" w:hAnsi="Arial" w:cs="Arial"/>
        </w:rPr>
        <w:t>评标委员会：评标委员会是依据《中华人民共和国政府采购法》《政府采购货物和服务招标投标管理办法》和浙江省及项目所在地的有关政府采购政策规定，结合本项目的实际，组建的专门负责采购评审工作的临时性机构。</w:t>
      </w:r>
    </w:p>
    <w:p>
      <w:pPr>
        <w:numPr>
          <w:ilvl w:val="1"/>
          <w:numId w:val="2"/>
        </w:numPr>
        <w:snapToGrid w:val="0"/>
        <w:spacing w:line="360" w:lineRule="auto"/>
        <w:jc w:val="both"/>
        <w:rPr>
          <w:rFonts w:ascii="Arial" w:hAnsi="Arial" w:cs="Arial"/>
        </w:rPr>
      </w:pPr>
      <w:r>
        <w:rPr>
          <w:rFonts w:hint="eastAsia" w:ascii="Arial" w:hAnsi="Arial" w:cs="Arial"/>
        </w:rPr>
        <w:t>中标候选人：</w:t>
      </w:r>
      <w:r>
        <w:rPr>
          <w:rFonts w:ascii="Arial" w:hAnsi="Arial" w:cs="Arial"/>
        </w:rPr>
        <w:t>指</w:t>
      </w:r>
      <w:r>
        <w:rPr>
          <w:rFonts w:hint="eastAsia" w:ascii="Arial" w:hAnsi="Arial" w:cs="Arial"/>
        </w:rPr>
        <w:t>评标委员会按招标文件规定的评标办法与规则推荐的中标候选投标人。</w:t>
      </w:r>
    </w:p>
    <w:p>
      <w:pPr>
        <w:numPr>
          <w:ilvl w:val="1"/>
          <w:numId w:val="2"/>
        </w:numPr>
        <w:snapToGrid w:val="0"/>
        <w:spacing w:line="360" w:lineRule="auto"/>
        <w:jc w:val="both"/>
        <w:rPr>
          <w:rFonts w:ascii="Arial" w:hAnsi="Arial" w:cs="Arial"/>
        </w:rPr>
      </w:pPr>
      <w:r>
        <w:rPr>
          <w:rFonts w:hint="eastAsia" w:ascii="Arial" w:hAnsi="Arial" w:cs="Arial"/>
        </w:rPr>
        <w:t>中标人：</w:t>
      </w:r>
      <w:r>
        <w:rPr>
          <w:rFonts w:ascii="Arial" w:hAnsi="Arial" w:cs="Arial"/>
        </w:rPr>
        <w:t>指在本次招标</w:t>
      </w:r>
      <w:r>
        <w:rPr>
          <w:rFonts w:hint="eastAsia" w:ascii="Arial" w:hAnsi="Arial" w:cs="Arial"/>
        </w:rPr>
        <w:t>中</w:t>
      </w:r>
      <w:r>
        <w:rPr>
          <w:rFonts w:ascii="Arial" w:hAnsi="Arial" w:cs="Arial"/>
        </w:rPr>
        <w:t>中标的</w:t>
      </w:r>
      <w:r>
        <w:rPr>
          <w:rFonts w:hint="eastAsia" w:ascii="Arial" w:hAnsi="Arial" w:cs="Arial"/>
        </w:rPr>
        <w:t>投标人。</w:t>
      </w:r>
    </w:p>
    <w:p>
      <w:pPr>
        <w:numPr>
          <w:ilvl w:val="1"/>
          <w:numId w:val="2"/>
        </w:numPr>
        <w:snapToGrid w:val="0"/>
        <w:spacing w:line="360" w:lineRule="auto"/>
        <w:jc w:val="both"/>
        <w:rPr>
          <w:rFonts w:ascii="Arial" w:hAnsi="Arial" w:cs="Arial"/>
        </w:rPr>
      </w:pPr>
      <w:r>
        <w:rPr>
          <w:rFonts w:hint="eastAsia" w:ascii="Arial" w:hAnsi="Arial" w:cs="Arial"/>
        </w:rPr>
        <w:t>日期：指公历日。</w:t>
      </w:r>
    </w:p>
    <w:p>
      <w:pPr>
        <w:numPr>
          <w:ilvl w:val="1"/>
          <w:numId w:val="2"/>
        </w:numPr>
        <w:snapToGrid w:val="0"/>
        <w:spacing w:line="360" w:lineRule="auto"/>
        <w:jc w:val="both"/>
        <w:rPr>
          <w:rFonts w:ascii="Arial" w:hAnsi="Arial" w:cs="Arial"/>
        </w:rPr>
      </w:pPr>
      <w:r>
        <w:rPr>
          <w:rFonts w:hint="eastAsia" w:ascii="Arial" w:hAnsi="Arial" w:cs="Arial"/>
        </w:rPr>
        <w:t>合同：指由采购所产生的合同或合约文件。</w:t>
      </w:r>
    </w:p>
    <w:p>
      <w:pPr>
        <w:numPr>
          <w:ilvl w:val="1"/>
          <w:numId w:val="2"/>
        </w:numPr>
        <w:snapToGrid w:val="0"/>
        <w:spacing w:line="360" w:lineRule="auto"/>
        <w:jc w:val="both"/>
        <w:rPr>
          <w:rFonts w:ascii="Arial" w:hAnsi="Arial" w:cs="Arial"/>
        </w:rPr>
      </w:pPr>
      <w:r>
        <w:rPr>
          <w:rFonts w:hint="eastAsia" w:ascii="Arial" w:hAnsi="Arial" w:cs="Arial"/>
        </w:rPr>
        <w:t>招标文件中的标题或题名仅起引导作用，而不应视为对招标文件内容的理解和解释。</w:t>
      </w:r>
    </w:p>
    <w:p>
      <w:pPr>
        <w:numPr>
          <w:ilvl w:val="1"/>
          <w:numId w:val="2"/>
        </w:numPr>
        <w:snapToGrid w:val="0"/>
        <w:spacing w:line="360" w:lineRule="auto"/>
        <w:jc w:val="both"/>
        <w:rPr>
          <w:rFonts w:ascii="Arial" w:hAnsi="Arial" w:cs="Arial"/>
        </w:rPr>
      </w:pPr>
      <w:r>
        <w:rPr>
          <w:rFonts w:hint="eastAsia" w:ascii="Arial" w:hAnsi="Arial" w:cs="Arial"/>
        </w:rPr>
        <w:t>“书面形式”是指任何手写的、打印的或印刷的文件，包括电报、传真发送及在媒体网站上发布。</w:t>
      </w:r>
    </w:p>
    <w:p>
      <w:pPr>
        <w:numPr>
          <w:ilvl w:val="0"/>
          <w:numId w:val="2"/>
        </w:numPr>
        <w:snapToGrid w:val="0"/>
        <w:spacing w:line="360" w:lineRule="auto"/>
        <w:jc w:val="both"/>
        <w:rPr>
          <w:rFonts w:ascii="Arial" w:hAnsi="Arial"/>
          <w:b/>
          <w:sz w:val="24"/>
        </w:rPr>
      </w:pPr>
      <w:r>
        <w:rPr>
          <w:rFonts w:hint="eastAsia" w:ascii="Arial" w:hAnsi="Arial"/>
          <w:b/>
          <w:sz w:val="24"/>
        </w:rPr>
        <w:t>合格的投标人</w:t>
      </w:r>
    </w:p>
    <w:p>
      <w:pPr>
        <w:numPr>
          <w:ilvl w:val="1"/>
          <w:numId w:val="2"/>
        </w:numPr>
        <w:snapToGrid w:val="0"/>
        <w:spacing w:line="360" w:lineRule="auto"/>
        <w:jc w:val="both"/>
        <w:rPr>
          <w:szCs w:val="21"/>
        </w:rPr>
      </w:pPr>
      <w:r>
        <w:rPr>
          <w:rFonts w:ascii="Arial" w:hAnsi="宋体" w:cs="Arial"/>
          <w:szCs w:val="22"/>
        </w:rPr>
        <w:t>符合《中华人民共和国政府采购法》第二十二条规</w:t>
      </w:r>
      <w:r>
        <w:rPr>
          <w:rFonts w:ascii="宋体" w:hAnsi="宋体" w:cs="Arial"/>
          <w:szCs w:val="22"/>
        </w:rPr>
        <w:t>定</w:t>
      </w:r>
      <w:r>
        <w:rPr>
          <w:rFonts w:hint="eastAsia" w:ascii="宋体" w:hAnsi="宋体" w:cs="Arial"/>
          <w:szCs w:val="22"/>
        </w:rPr>
        <w:t>，</w:t>
      </w:r>
      <w:r>
        <w:rPr>
          <w:rFonts w:hint="eastAsia" w:ascii="宋体" w:hAnsi="宋体"/>
          <w:szCs w:val="21"/>
        </w:rPr>
        <w:t>且未被“信用中国”（www.creditchina.gov.cn）、中国政府采购网（www.ccgp.gov.cn）列入失信被执行人、重大税收违法案件当事人名单、政府采购严重违法失信行为记录名单</w:t>
      </w:r>
      <w:r>
        <w:rPr>
          <w:rFonts w:hint="eastAsia" w:ascii="宋体" w:hAnsi="宋体" w:cs="Arial"/>
          <w:szCs w:val="22"/>
        </w:rPr>
        <w:t>。</w:t>
      </w:r>
    </w:p>
    <w:p>
      <w:pPr>
        <w:numPr>
          <w:ilvl w:val="1"/>
          <w:numId w:val="2"/>
        </w:numPr>
        <w:snapToGrid w:val="0"/>
        <w:spacing w:line="360" w:lineRule="auto"/>
        <w:jc w:val="both"/>
        <w:rPr>
          <w:rFonts w:ascii="宋体" w:hAnsi="宋体" w:cs="Arial"/>
          <w:szCs w:val="22"/>
        </w:rPr>
      </w:pPr>
      <w:r>
        <w:rPr>
          <w:rFonts w:hint="eastAsia" w:ascii="宋体" w:hAnsi="宋体" w:cs="Arial"/>
          <w:szCs w:val="22"/>
        </w:rPr>
        <w:t>不接受联合体报名。</w:t>
      </w:r>
    </w:p>
    <w:p>
      <w:pPr>
        <w:numPr>
          <w:ilvl w:val="1"/>
          <w:numId w:val="2"/>
        </w:numPr>
        <w:snapToGrid w:val="0"/>
        <w:spacing w:line="360" w:lineRule="auto"/>
        <w:jc w:val="both"/>
        <w:rPr>
          <w:rFonts w:ascii="宋体" w:hAnsi="宋体" w:cs="Arial"/>
          <w:szCs w:val="22"/>
        </w:rPr>
      </w:pPr>
      <w:r>
        <w:rPr>
          <w:rFonts w:hint="eastAsia" w:ascii="宋体" w:hAnsi="宋体" w:cs="Arial"/>
          <w:szCs w:val="22"/>
        </w:rPr>
        <w:t>具有保安服务许可证。</w:t>
      </w:r>
    </w:p>
    <w:p>
      <w:pPr>
        <w:numPr>
          <w:ilvl w:val="1"/>
          <w:numId w:val="2"/>
        </w:numPr>
        <w:snapToGrid w:val="0"/>
        <w:spacing w:line="360" w:lineRule="auto"/>
        <w:jc w:val="both"/>
        <w:rPr>
          <w:rFonts w:ascii="Arial" w:hAnsi="宋体" w:cs="Arial"/>
          <w:szCs w:val="22"/>
        </w:rPr>
      </w:pPr>
      <w:r>
        <w:rPr>
          <w:rFonts w:hint="eastAsia" w:ascii="Arial" w:hAnsi="宋体" w:cs="Arial"/>
          <w:szCs w:val="22"/>
        </w:rPr>
        <w:t>中小企业认定</w:t>
      </w:r>
    </w:p>
    <w:p>
      <w:pPr>
        <w:numPr>
          <w:ilvl w:val="1"/>
          <w:numId w:val="2"/>
        </w:numPr>
        <w:snapToGrid w:val="0"/>
        <w:spacing w:line="360" w:lineRule="auto"/>
        <w:jc w:val="both"/>
        <w:rPr>
          <w:rFonts w:ascii="Arial" w:hAnsi="宋体" w:cs="Arial"/>
          <w:szCs w:val="22"/>
        </w:rPr>
      </w:pPr>
      <w:r>
        <w:rPr>
          <w:rFonts w:hint="eastAsia" w:ascii="Arial" w:hAnsi="宋体" w:cs="Arial"/>
          <w:szCs w:val="22"/>
        </w:rPr>
        <w:t>供应商提供的货物、工程或者服务符合下列情形的，享受《政府采购促进中小企业发展管理办法》规定的中小企业扶持政策：</w:t>
      </w:r>
    </w:p>
    <w:p>
      <w:pPr>
        <w:numPr>
          <w:ilvl w:val="1"/>
          <w:numId w:val="2"/>
        </w:numPr>
        <w:snapToGrid w:val="0"/>
        <w:spacing w:line="360" w:lineRule="auto"/>
        <w:jc w:val="both"/>
        <w:rPr>
          <w:rFonts w:ascii="Arial" w:hAnsi="宋体" w:cs="Arial"/>
          <w:szCs w:val="22"/>
        </w:rPr>
      </w:pPr>
      <w:r>
        <w:rPr>
          <w:rFonts w:hint="eastAsia" w:ascii="Arial" w:hAnsi="宋体" w:cs="Arial"/>
          <w:szCs w:val="22"/>
        </w:rPr>
        <w:t>（一）在货物采购项目中，货物由中小企业制造，即货物由中小企业生产且使用该中小企业商号或者注册商标；</w:t>
      </w:r>
    </w:p>
    <w:p>
      <w:pPr>
        <w:numPr>
          <w:ilvl w:val="1"/>
          <w:numId w:val="2"/>
        </w:numPr>
        <w:snapToGrid w:val="0"/>
        <w:spacing w:line="360" w:lineRule="auto"/>
        <w:jc w:val="both"/>
        <w:rPr>
          <w:rFonts w:ascii="Arial" w:hAnsi="宋体" w:cs="Arial"/>
          <w:szCs w:val="22"/>
        </w:rPr>
      </w:pPr>
      <w:r>
        <w:rPr>
          <w:rFonts w:hint="eastAsia" w:ascii="Arial" w:hAnsi="宋体" w:cs="Arial"/>
          <w:szCs w:val="22"/>
        </w:rPr>
        <w:t>（二）在工程采购项目中，工程由中小企业承建，即工程施工单位为中小企业；</w:t>
      </w:r>
    </w:p>
    <w:p>
      <w:pPr>
        <w:numPr>
          <w:ilvl w:val="1"/>
          <w:numId w:val="2"/>
        </w:numPr>
        <w:snapToGrid w:val="0"/>
        <w:spacing w:line="360" w:lineRule="auto"/>
        <w:jc w:val="both"/>
        <w:rPr>
          <w:rFonts w:ascii="Arial" w:hAnsi="宋体" w:cs="Arial"/>
          <w:szCs w:val="22"/>
        </w:rPr>
      </w:pPr>
      <w:r>
        <w:rPr>
          <w:rFonts w:hint="eastAsia" w:ascii="Arial" w:hAnsi="宋体" w:cs="Arial"/>
          <w:szCs w:val="22"/>
        </w:rPr>
        <w:t>（三）在服务采购项目中，服务由中小企业承接，即提供服务的人员为中小企业依照《中华人民共和国劳动合同法》订立劳动合同的从业人员。</w:t>
      </w:r>
    </w:p>
    <w:p>
      <w:pPr>
        <w:numPr>
          <w:ilvl w:val="1"/>
          <w:numId w:val="2"/>
        </w:numPr>
        <w:snapToGrid w:val="0"/>
        <w:spacing w:line="360" w:lineRule="auto"/>
        <w:jc w:val="both"/>
        <w:rPr>
          <w:rFonts w:ascii="Arial" w:hAnsi="宋体" w:cs="Arial"/>
          <w:szCs w:val="22"/>
        </w:rPr>
      </w:pPr>
      <w:r>
        <w:rPr>
          <w:rFonts w:hint="eastAsia" w:ascii="Arial" w:hAnsi="宋体" w:cs="Arial"/>
          <w:szCs w:val="22"/>
        </w:rPr>
        <w:t>在货物采购项目中，供应商提供的货物既有中小企业制造货物，也有大型企业制造货物的，不享受中小企业扶持政策。</w:t>
      </w:r>
    </w:p>
    <w:p>
      <w:pPr>
        <w:numPr>
          <w:ilvl w:val="1"/>
          <w:numId w:val="2"/>
        </w:numPr>
        <w:snapToGrid w:val="0"/>
        <w:spacing w:line="360" w:lineRule="auto"/>
        <w:jc w:val="both"/>
        <w:rPr>
          <w:rFonts w:ascii="Arial" w:hAnsi="宋体" w:cs="Arial"/>
          <w:szCs w:val="22"/>
        </w:rPr>
      </w:pPr>
      <w:r>
        <w:rPr>
          <w:rFonts w:hint="eastAsia" w:ascii="Arial" w:hAnsi="宋体" w:cs="Arial"/>
          <w:szCs w:val="22"/>
        </w:rPr>
        <w:t>以联合体形式参加政府采购活动，联合体各方均为中小企业的，联合体视同中小企业。其中，联合体各方均为小微企业的，联合体视同小微企业。</w:t>
      </w:r>
    </w:p>
    <w:p>
      <w:pPr>
        <w:numPr>
          <w:ilvl w:val="0"/>
          <w:numId w:val="2"/>
        </w:numPr>
        <w:snapToGrid w:val="0"/>
        <w:spacing w:line="360" w:lineRule="auto"/>
        <w:jc w:val="both"/>
        <w:rPr>
          <w:rFonts w:ascii="Arial" w:hAnsi="Arial"/>
          <w:b/>
          <w:sz w:val="24"/>
        </w:rPr>
      </w:pPr>
      <w:r>
        <w:rPr>
          <w:rFonts w:hint="eastAsia" w:ascii="Arial" w:hAnsi="Arial"/>
          <w:b/>
          <w:sz w:val="24"/>
        </w:rPr>
        <w:t>信用记录：</w:t>
      </w:r>
    </w:p>
    <w:p>
      <w:pPr>
        <w:numPr>
          <w:ilvl w:val="1"/>
          <w:numId w:val="2"/>
        </w:numPr>
        <w:snapToGrid w:val="0"/>
        <w:spacing w:line="360" w:lineRule="auto"/>
        <w:jc w:val="both"/>
        <w:rPr>
          <w:rFonts w:ascii="宋体" w:hAnsi="宋体"/>
          <w:szCs w:val="21"/>
        </w:rPr>
      </w:pPr>
      <w:r>
        <w:rPr>
          <w:rFonts w:hint="eastAsia" w:ascii="宋体" w:hAnsi="宋体" w:cs="宋体"/>
        </w:rPr>
        <w:t>以开标当日资格审查结束前采购人核实的查询结果为准。</w:t>
      </w:r>
    </w:p>
    <w:p>
      <w:pPr>
        <w:numPr>
          <w:ilvl w:val="1"/>
          <w:numId w:val="2"/>
        </w:numPr>
        <w:snapToGrid w:val="0"/>
        <w:spacing w:line="360" w:lineRule="auto"/>
        <w:jc w:val="both"/>
      </w:pPr>
      <w:r>
        <w:rPr>
          <w:rFonts w:hint="eastAsia" w:ascii="宋体" w:hAnsi="宋体" w:cs="宋体"/>
          <w:szCs w:val="21"/>
        </w:rPr>
        <w:t>信用信息查询的截止时点：本项目开标当日资格审查结束前。</w:t>
      </w:r>
    </w:p>
    <w:p>
      <w:pPr>
        <w:numPr>
          <w:ilvl w:val="1"/>
          <w:numId w:val="2"/>
        </w:numPr>
        <w:snapToGrid w:val="0"/>
        <w:spacing w:line="360" w:lineRule="auto"/>
        <w:jc w:val="both"/>
        <w:rPr>
          <w:rFonts w:ascii="宋体" w:hAnsi="宋体"/>
          <w:szCs w:val="21"/>
        </w:rPr>
      </w:pPr>
      <w:r>
        <w:rPr>
          <w:rFonts w:hint="eastAsia" w:ascii="宋体" w:hAnsi="宋体"/>
          <w:szCs w:val="21"/>
        </w:rPr>
        <w:t>查询渠道与留存方式：</w:t>
      </w:r>
      <w:r>
        <w:rPr>
          <w:rFonts w:hint="eastAsia" w:ascii="Arial" w:hAnsi="Arial"/>
        </w:rPr>
        <w:t>招标采购单位登录</w:t>
      </w:r>
      <w:r>
        <w:rPr>
          <w:rFonts w:hint="eastAsia" w:ascii="宋体" w:hAnsi="宋体"/>
          <w:szCs w:val="21"/>
        </w:rPr>
        <w:t>“信用中国”（</w:t>
      </w:r>
      <w:r>
        <w:fldChar w:fldCharType="begin"/>
      </w:r>
      <w:r>
        <w:instrText xml:space="preserve"> HYPERLINK "http://www.creditchina.gov.cn/" </w:instrText>
      </w:r>
      <w:r>
        <w:fldChar w:fldCharType="separate"/>
      </w:r>
      <w:r>
        <w:rPr>
          <w:rFonts w:ascii="宋体" w:hAnsi="宋体"/>
          <w:szCs w:val="21"/>
        </w:rPr>
        <w:t>www.creditchina.gov.cn</w:t>
      </w:r>
      <w:r>
        <w:rPr>
          <w:rFonts w:ascii="宋体" w:hAnsi="宋体"/>
          <w:szCs w:val="21"/>
        </w:rPr>
        <w:fldChar w:fldCharType="end"/>
      </w:r>
      <w:r>
        <w:rPr>
          <w:rFonts w:hint="eastAsia" w:ascii="宋体" w:hAnsi="宋体"/>
          <w:szCs w:val="21"/>
        </w:rPr>
        <w:t>）、“中国政府采购网”（</w:t>
      </w:r>
      <w:r>
        <w:fldChar w:fldCharType="begin"/>
      </w:r>
      <w:r>
        <w:instrText xml:space="preserve"> HYPERLINK "http://www.ccgp.gov.cn/" </w:instrText>
      </w:r>
      <w:r>
        <w:fldChar w:fldCharType="separate"/>
      </w:r>
      <w:r>
        <w:rPr>
          <w:rFonts w:ascii="宋体" w:hAnsi="宋体"/>
          <w:szCs w:val="21"/>
        </w:rPr>
        <w:t>www.ccgp.gov.cn</w:t>
      </w:r>
      <w:r>
        <w:rPr>
          <w:rFonts w:ascii="宋体" w:hAnsi="宋体"/>
          <w:szCs w:val="21"/>
        </w:rPr>
        <w:fldChar w:fldCharType="end"/>
      </w:r>
      <w:r>
        <w:rPr>
          <w:rFonts w:hint="eastAsia" w:ascii="宋体" w:hAnsi="宋体"/>
          <w:szCs w:val="21"/>
        </w:rPr>
        <w:t>）网站</w:t>
      </w:r>
      <w:r>
        <w:rPr>
          <w:rFonts w:hint="eastAsia" w:ascii="Arial" w:hAnsi="Arial"/>
        </w:rPr>
        <w:t>查询各投标人信用记录，网页截图并打印存档。</w:t>
      </w:r>
    </w:p>
    <w:p>
      <w:pPr>
        <w:numPr>
          <w:ilvl w:val="1"/>
          <w:numId w:val="2"/>
        </w:numPr>
        <w:snapToGrid w:val="0"/>
        <w:spacing w:line="360" w:lineRule="auto"/>
        <w:jc w:val="both"/>
        <w:rPr>
          <w:rFonts w:ascii="宋体" w:hAnsi="宋体"/>
          <w:szCs w:val="21"/>
        </w:rPr>
      </w:pPr>
      <w:r>
        <w:rPr>
          <w:rFonts w:hint="eastAsia" w:ascii="宋体" w:hAnsi="宋体"/>
          <w:szCs w:val="21"/>
        </w:rPr>
        <w:t>不良信用记录指：被列入失信被执行人、重大税收违法案件当事人名单、政府采购严重违法失信行为记录名单及其他</w:t>
      </w:r>
      <w:r>
        <w:rPr>
          <w:rFonts w:hint="eastAsia" w:ascii="Arial" w:hAnsi="Arial"/>
        </w:rPr>
        <w:t>不符合《中华人民共和国政府采购法》第二十二条规定条件。存在不良信用记录的投标人，将被拒绝参与政府采购活动。</w:t>
      </w:r>
    </w:p>
    <w:p>
      <w:pPr>
        <w:numPr>
          <w:ilvl w:val="1"/>
          <w:numId w:val="2"/>
        </w:numPr>
        <w:snapToGrid w:val="0"/>
        <w:spacing w:line="360" w:lineRule="auto"/>
        <w:jc w:val="both"/>
        <w:rPr>
          <w:rFonts w:ascii="宋体" w:hAnsi="宋体"/>
          <w:szCs w:val="21"/>
        </w:rPr>
      </w:pPr>
      <w:r>
        <w:rPr>
          <w:rFonts w:hint="eastAsia" w:ascii="宋体" w:hAnsi="宋体"/>
          <w:szCs w:val="21"/>
        </w:rPr>
        <w:t>联合体投标时，招标采购单位将对所有联合体成员进行信用记录查询，联合体成员存在不良信用记录的，视同联合体存在不良信用记录。</w:t>
      </w:r>
    </w:p>
    <w:p>
      <w:pPr>
        <w:numPr>
          <w:ilvl w:val="0"/>
          <w:numId w:val="2"/>
        </w:numPr>
        <w:spacing w:line="360" w:lineRule="auto"/>
        <w:rPr>
          <w:rFonts w:ascii="Arial" w:hAnsi="Arial"/>
          <w:b/>
          <w:sz w:val="24"/>
        </w:rPr>
      </w:pPr>
      <w:r>
        <w:rPr>
          <w:rFonts w:hint="eastAsia" w:ascii="Arial" w:hAnsi="Arial"/>
          <w:b/>
          <w:sz w:val="24"/>
        </w:rPr>
        <w:t>保密与披露事项</w:t>
      </w:r>
    </w:p>
    <w:p>
      <w:pPr>
        <w:numPr>
          <w:ilvl w:val="1"/>
          <w:numId w:val="2"/>
        </w:numPr>
        <w:spacing w:line="360" w:lineRule="auto"/>
        <w:rPr>
          <w:rFonts w:ascii="宋体" w:hAnsi="宋体" w:cs="宋体"/>
          <w:szCs w:val="21"/>
        </w:rPr>
      </w:pPr>
      <w:r>
        <w:rPr>
          <w:rFonts w:hint="eastAsia" w:ascii="Arial" w:hAnsi="Arial"/>
        </w:rPr>
        <w:t>投标人不得串通投标，以不正当的手段妨碍排挤其他投标人，扰乱市场，破坏公平竞争原则。</w:t>
      </w:r>
    </w:p>
    <w:p>
      <w:pPr>
        <w:numPr>
          <w:ilvl w:val="1"/>
          <w:numId w:val="2"/>
        </w:numPr>
        <w:spacing w:line="360" w:lineRule="auto"/>
        <w:jc w:val="both"/>
        <w:rPr>
          <w:rFonts w:ascii="Arial" w:hAnsi="Arial"/>
        </w:rPr>
      </w:pPr>
      <w:r>
        <w:rPr>
          <w:rFonts w:ascii="宋体" w:hAnsi="宋体"/>
        </w:rPr>
        <w:t>投标人自购买招标文件之日起，须承诺承担本招标项目下保密义务，不得将因本次招标获得的信息向第三方外传。</w:t>
      </w:r>
    </w:p>
    <w:p>
      <w:pPr>
        <w:numPr>
          <w:ilvl w:val="1"/>
          <w:numId w:val="2"/>
        </w:numPr>
        <w:spacing w:line="360" w:lineRule="auto"/>
        <w:jc w:val="both"/>
        <w:rPr>
          <w:rFonts w:ascii="宋体" w:hAnsi="宋体" w:cs="宋体"/>
          <w:szCs w:val="21"/>
        </w:rPr>
      </w:pPr>
      <w:r>
        <w:rPr>
          <w:rFonts w:ascii="宋体" w:hAnsi="宋体"/>
        </w:rPr>
        <w:t>集中采购</w:t>
      </w:r>
      <w:r>
        <w:rPr>
          <w:rFonts w:ascii="宋体" w:hAnsi="宋体" w:cs="宋体"/>
          <w:szCs w:val="21"/>
        </w:rPr>
        <w:t>机构有权将投标人提供的所有资料向其他政府部门或有关的非政府机构负责评审</w:t>
      </w:r>
      <w:r>
        <w:rPr>
          <w:rFonts w:hint="eastAsia" w:ascii="宋体" w:hAnsi="宋体" w:cs="宋体"/>
          <w:szCs w:val="21"/>
        </w:rPr>
        <w:t>投标文件</w:t>
      </w:r>
      <w:r>
        <w:rPr>
          <w:rFonts w:ascii="宋体" w:hAnsi="宋体" w:cs="宋体"/>
          <w:szCs w:val="21"/>
        </w:rPr>
        <w:t>的人员或与评标有关的人员披露。</w:t>
      </w:r>
    </w:p>
    <w:p>
      <w:pPr>
        <w:numPr>
          <w:ilvl w:val="1"/>
          <w:numId w:val="2"/>
        </w:numPr>
        <w:spacing w:line="360" w:lineRule="auto"/>
        <w:jc w:val="both"/>
        <w:rPr>
          <w:rFonts w:ascii="宋体" w:hAnsi="宋体" w:cs="宋体"/>
          <w:szCs w:val="21"/>
        </w:rPr>
      </w:pPr>
      <w:r>
        <w:rPr>
          <w:rFonts w:ascii="宋体" w:hAnsi="宋体" w:cs="宋体"/>
          <w:szCs w:val="21"/>
        </w:rPr>
        <w:t>集中采购机构有权在认为适当时，或在任何第三者提出要求（书面或其他方式）时，无须事先征求中标人同意而披露关于已订立合约的资料、中标人的名称及地址、中标服务的有关信息以及合约条款等。</w:t>
      </w:r>
    </w:p>
    <w:p>
      <w:pPr>
        <w:numPr>
          <w:ilvl w:val="0"/>
          <w:numId w:val="2"/>
        </w:numPr>
        <w:spacing w:line="360" w:lineRule="auto"/>
        <w:rPr>
          <w:rFonts w:ascii="宋体" w:hAnsi="宋体" w:cs="宋体"/>
          <w:b/>
          <w:sz w:val="24"/>
          <w:szCs w:val="24"/>
        </w:rPr>
      </w:pPr>
      <w:r>
        <w:rPr>
          <w:rFonts w:hint="eastAsia" w:ascii="宋体" w:hAnsi="宋体" w:cs="宋体"/>
          <w:b/>
          <w:sz w:val="24"/>
          <w:szCs w:val="24"/>
        </w:rPr>
        <w:t>投标费用</w:t>
      </w:r>
    </w:p>
    <w:p>
      <w:pPr>
        <w:numPr>
          <w:ilvl w:val="1"/>
          <w:numId w:val="2"/>
        </w:numPr>
        <w:spacing w:line="360" w:lineRule="auto"/>
        <w:rPr>
          <w:rFonts w:ascii="宋体" w:hAnsi="宋体" w:cs="宋体"/>
          <w:szCs w:val="21"/>
        </w:rPr>
      </w:pPr>
      <w:r>
        <w:rPr>
          <w:rFonts w:hint="eastAsia" w:ascii="宋体" w:hAnsi="宋体" w:cs="宋体"/>
          <w:szCs w:val="21"/>
        </w:rPr>
        <w:t>投标人应承担所有与编写和提交投标文件有关的费用，不论投标的结果如何，招标采购单位在任何情况下均无义务和责任承担这些费用。</w:t>
      </w:r>
    </w:p>
    <w:p>
      <w:pPr>
        <w:numPr>
          <w:ilvl w:val="0"/>
          <w:numId w:val="2"/>
        </w:numPr>
        <w:spacing w:line="360" w:lineRule="auto"/>
        <w:rPr>
          <w:rFonts w:ascii="宋体" w:hAnsi="宋体" w:cs="宋体"/>
          <w:szCs w:val="21"/>
        </w:rPr>
      </w:pPr>
      <w:r>
        <w:rPr>
          <w:rFonts w:hint="eastAsia" w:ascii="宋体" w:hAnsi="宋体" w:cs="宋体"/>
          <w:b/>
          <w:sz w:val="24"/>
          <w:szCs w:val="24"/>
        </w:rPr>
        <w:t>踏勘现场：</w:t>
      </w:r>
      <w:r>
        <w:rPr>
          <w:rFonts w:hint="eastAsia" w:ascii="宋体" w:hAnsi="宋体" w:cs="宋体"/>
          <w:szCs w:val="21"/>
        </w:rPr>
        <w:t>本项目不组织。</w:t>
      </w:r>
    </w:p>
    <w:p>
      <w:pPr>
        <w:numPr>
          <w:ilvl w:val="0"/>
          <w:numId w:val="2"/>
        </w:numPr>
        <w:spacing w:line="360" w:lineRule="auto"/>
        <w:rPr>
          <w:rFonts w:ascii="宋体" w:hAnsi="宋体" w:cs="宋体"/>
          <w:szCs w:val="21"/>
        </w:rPr>
      </w:pPr>
      <w:r>
        <w:rPr>
          <w:rFonts w:hint="eastAsia" w:ascii="Arial" w:hAnsi="Arial"/>
          <w:b/>
          <w:sz w:val="24"/>
        </w:rPr>
        <w:t>备选投标方案：</w:t>
      </w:r>
      <w:r>
        <w:rPr>
          <w:rFonts w:hint="eastAsia" w:ascii="宋体" w:hAnsi="宋体" w:cs="宋体"/>
          <w:szCs w:val="21"/>
        </w:rPr>
        <w:t>不允许。</w:t>
      </w:r>
    </w:p>
    <w:p>
      <w:pPr>
        <w:numPr>
          <w:ilvl w:val="0"/>
          <w:numId w:val="2"/>
        </w:numPr>
        <w:spacing w:line="400" w:lineRule="atLeast"/>
        <w:rPr>
          <w:rFonts w:ascii="宋体" w:hAnsi="宋体" w:cs="宋体"/>
          <w:szCs w:val="21"/>
        </w:rPr>
      </w:pPr>
      <w:r>
        <w:rPr>
          <w:rFonts w:hint="eastAsia" w:ascii="Arial" w:hAnsi="Arial"/>
          <w:b/>
          <w:sz w:val="24"/>
        </w:rPr>
        <w:t>投标委托：</w:t>
      </w:r>
      <w:r>
        <w:rPr>
          <w:rFonts w:hint="eastAsia" w:ascii="宋体" w:hAnsi="宋体" w:cs="宋体"/>
          <w:szCs w:val="22"/>
        </w:rPr>
        <w:t>如投标人代表不是法定代表人，须提供《法定代表人授权委托书》；如法定代表人参加投标，须提供法人身份证复印件。授权</w:t>
      </w:r>
      <w:r>
        <w:rPr>
          <w:rFonts w:hint="eastAsia" w:ascii="宋体" w:hAnsi="宋体" w:cs="宋体"/>
        </w:rPr>
        <w:t>委托书需具备以下几项条件，否则取消投标资格：</w:t>
      </w:r>
    </w:p>
    <w:p>
      <w:pPr>
        <w:spacing w:line="400" w:lineRule="atLeast"/>
        <w:ind w:left="840" w:leftChars="400"/>
        <w:rPr>
          <w:rFonts w:ascii="宋体" w:hAnsi="宋体" w:cs="宋体"/>
        </w:rPr>
      </w:pPr>
      <w:r>
        <w:rPr>
          <w:rFonts w:hint="eastAsia" w:ascii="宋体" w:hAnsi="宋体" w:cs="宋体"/>
        </w:rPr>
        <w:t>a.采用CA签章</w:t>
      </w:r>
    </w:p>
    <w:p>
      <w:pPr>
        <w:spacing w:line="400" w:lineRule="atLeast"/>
        <w:ind w:left="840" w:leftChars="400"/>
        <w:rPr>
          <w:rFonts w:ascii="宋体" w:hAnsi="宋体" w:cs="宋体"/>
        </w:rPr>
      </w:pPr>
      <w:r>
        <w:rPr>
          <w:rFonts w:hint="eastAsia" w:ascii="宋体" w:hAnsi="宋体" w:cs="宋体"/>
        </w:rPr>
        <w:t>b.法定代表人签字或印章</w:t>
      </w:r>
    </w:p>
    <w:p>
      <w:pPr>
        <w:spacing w:line="360" w:lineRule="auto"/>
        <w:ind w:firstLine="840" w:firstLineChars="400"/>
        <w:rPr>
          <w:rFonts w:ascii="Arial" w:hAnsi="Arial"/>
          <w:b/>
          <w:sz w:val="24"/>
        </w:rPr>
      </w:pPr>
      <w:r>
        <w:rPr>
          <w:rFonts w:hint="eastAsia" w:ascii="宋体" w:hAnsi="宋体" w:cs="宋体"/>
        </w:rPr>
        <w:t>c.授权代表身份证件复印件</w:t>
      </w:r>
    </w:p>
    <w:p>
      <w:pPr>
        <w:spacing w:line="360" w:lineRule="auto"/>
        <w:rPr>
          <w:rFonts w:ascii="宋体" w:hAnsi="宋体" w:cs="宋体"/>
          <w:szCs w:val="21"/>
        </w:rPr>
      </w:pPr>
    </w:p>
    <w:p>
      <w:pPr>
        <w:pStyle w:val="6"/>
        <w:spacing w:beforeLines="50" w:afterLines="50" w:line="360" w:lineRule="auto"/>
        <w:jc w:val="center"/>
        <w:rPr>
          <w:rFonts w:ascii="宋体" w:hAnsi="宋体" w:cs="宋体"/>
          <w:bCs w:val="0"/>
          <w:sz w:val="24"/>
          <w:szCs w:val="24"/>
        </w:rPr>
      </w:pPr>
      <w:bookmarkStart w:id="33" w:name="_Toc8439"/>
      <w:r>
        <w:rPr>
          <w:rFonts w:hint="eastAsia" w:ascii="宋体" w:hAnsi="宋体" w:cs="宋体"/>
          <w:bCs w:val="0"/>
          <w:sz w:val="24"/>
          <w:szCs w:val="24"/>
        </w:rPr>
        <w:t>（三）招标文件说明</w:t>
      </w:r>
      <w:bookmarkEnd w:id="33"/>
    </w:p>
    <w:p>
      <w:pPr>
        <w:numPr>
          <w:ilvl w:val="0"/>
          <w:numId w:val="2"/>
        </w:numPr>
        <w:snapToGrid w:val="0"/>
        <w:spacing w:line="360" w:lineRule="auto"/>
        <w:jc w:val="both"/>
        <w:rPr>
          <w:rFonts w:ascii="宋体" w:hAnsi="宋体" w:cs="宋体"/>
          <w:b/>
          <w:sz w:val="24"/>
          <w:szCs w:val="24"/>
        </w:rPr>
      </w:pPr>
      <w:r>
        <w:rPr>
          <w:rFonts w:hint="eastAsia" w:ascii="宋体" w:hAnsi="宋体" w:cs="宋体"/>
          <w:b/>
          <w:sz w:val="24"/>
          <w:szCs w:val="24"/>
        </w:rPr>
        <w:t>招标文件构成</w:t>
      </w:r>
    </w:p>
    <w:p>
      <w:pPr>
        <w:numPr>
          <w:ilvl w:val="1"/>
          <w:numId w:val="2"/>
        </w:numPr>
        <w:snapToGrid w:val="0"/>
        <w:spacing w:line="360" w:lineRule="auto"/>
        <w:jc w:val="both"/>
        <w:rPr>
          <w:rFonts w:ascii="宋体" w:hAnsi="宋体" w:cs="宋体"/>
          <w:szCs w:val="21"/>
        </w:rPr>
      </w:pPr>
      <w:r>
        <w:rPr>
          <w:rFonts w:hint="eastAsia" w:ascii="宋体" w:hAnsi="宋体" w:cs="宋体"/>
          <w:szCs w:val="21"/>
        </w:rPr>
        <w:t>招标文件是用以阐明所需货物、服务，以及招标、投标程序和相应的合同条款。“招标文件”由下述部分组成：</w:t>
      </w:r>
    </w:p>
    <w:p>
      <w:pPr>
        <w:snapToGrid w:val="0"/>
        <w:spacing w:line="360" w:lineRule="auto"/>
        <w:ind w:left="851"/>
        <w:jc w:val="both"/>
        <w:rPr>
          <w:rFonts w:ascii="宋体" w:hAnsi="宋体" w:cs="宋体"/>
          <w:szCs w:val="21"/>
        </w:rPr>
      </w:pPr>
      <w:r>
        <w:rPr>
          <w:rFonts w:hint="eastAsia" w:ascii="宋体" w:hAnsi="宋体" w:cs="宋体"/>
          <w:szCs w:val="21"/>
        </w:rPr>
        <w:t>第一部分招标公告</w:t>
      </w:r>
    </w:p>
    <w:p>
      <w:pPr>
        <w:snapToGrid w:val="0"/>
        <w:spacing w:line="360" w:lineRule="auto"/>
        <w:ind w:left="851"/>
        <w:jc w:val="both"/>
        <w:rPr>
          <w:rFonts w:ascii="宋体" w:hAnsi="宋体" w:cs="宋体"/>
          <w:szCs w:val="21"/>
        </w:rPr>
      </w:pPr>
      <w:r>
        <w:rPr>
          <w:rFonts w:hint="eastAsia" w:ascii="宋体" w:hAnsi="宋体" w:cs="宋体"/>
          <w:szCs w:val="21"/>
        </w:rPr>
        <w:t>第二部分投标人须知</w:t>
      </w:r>
    </w:p>
    <w:p>
      <w:pPr>
        <w:snapToGrid w:val="0"/>
        <w:spacing w:line="360" w:lineRule="auto"/>
        <w:ind w:left="851"/>
        <w:jc w:val="both"/>
        <w:rPr>
          <w:rFonts w:ascii="宋体" w:hAnsi="宋体" w:cs="宋体"/>
          <w:szCs w:val="21"/>
        </w:rPr>
      </w:pPr>
      <w:r>
        <w:rPr>
          <w:rFonts w:hint="eastAsia" w:ascii="宋体" w:hAnsi="宋体" w:cs="宋体"/>
          <w:szCs w:val="21"/>
        </w:rPr>
        <w:t>第三部分招标内容及技术要求</w:t>
      </w:r>
    </w:p>
    <w:p>
      <w:pPr>
        <w:snapToGrid w:val="0"/>
        <w:spacing w:line="360" w:lineRule="auto"/>
        <w:ind w:left="851"/>
        <w:jc w:val="both"/>
        <w:rPr>
          <w:rFonts w:ascii="宋体" w:hAnsi="宋体" w:cs="宋体"/>
          <w:szCs w:val="21"/>
        </w:rPr>
      </w:pPr>
      <w:r>
        <w:rPr>
          <w:rFonts w:hint="eastAsia" w:ascii="宋体" w:hAnsi="宋体" w:cs="宋体"/>
          <w:szCs w:val="21"/>
        </w:rPr>
        <w:t>第四部分合同条款</w:t>
      </w:r>
    </w:p>
    <w:p>
      <w:pPr>
        <w:snapToGrid w:val="0"/>
        <w:spacing w:line="360" w:lineRule="auto"/>
        <w:ind w:left="851"/>
        <w:jc w:val="both"/>
        <w:rPr>
          <w:rFonts w:ascii="Arial" w:hAnsi="Arial"/>
        </w:rPr>
      </w:pPr>
      <w:r>
        <w:rPr>
          <w:rFonts w:hint="eastAsia" w:ascii="宋体" w:hAnsi="宋体" w:cs="宋体"/>
          <w:szCs w:val="21"/>
        </w:rPr>
        <w:t>第五部分投标文件格式</w:t>
      </w:r>
    </w:p>
    <w:p>
      <w:pPr>
        <w:snapToGrid w:val="0"/>
        <w:spacing w:line="360" w:lineRule="auto"/>
        <w:ind w:left="851"/>
        <w:jc w:val="both"/>
        <w:rPr>
          <w:rFonts w:ascii="Arial" w:hAnsi="Arial"/>
        </w:rPr>
      </w:pPr>
      <w:r>
        <w:rPr>
          <w:rFonts w:hint="eastAsia" w:ascii="Arial" w:hAnsi="Arial"/>
        </w:rPr>
        <w:t>第六部分评标办法</w:t>
      </w:r>
    </w:p>
    <w:p>
      <w:pPr>
        <w:snapToGrid w:val="0"/>
        <w:spacing w:line="360" w:lineRule="auto"/>
        <w:ind w:left="851"/>
        <w:jc w:val="both"/>
        <w:rPr>
          <w:rFonts w:ascii="Arial" w:hAnsi="Arial"/>
        </w:rPr>
      </w:pPr>
      <w:r>
        <w:rPr>
          <w:rFonts w:hint="eastAsia" w:ascii="Arial" w:hAnsi="Arial"/>
        </w:rPr>
        <w:t>第七部分补充通知及答疑（若有）</w:t>
      </w:r>
    </w:p>
    <w:p>
      <w:pPr>
        <w:numPr>
          <w:ilvl w:val="1"/>
          <w:numId w:val="2"/>
        </w:numPr>
        <w:snapToGrid w:val="0"/>
        <w:spacing w:line="360" w:lineRule="auto"/>
        <w:jc w:val="both"/>
        <w:rPr>
          <w:rFonts w:ascii="宋体" w:hAnsi="宋体" w:cs="宋体"/>
          <w:szCs w:val="21"/>
        </w:rPr>
      </w:pPr>
      <w:r>
        <w:rPr>
          <w:rFonts w:hint="eastAsia" w:ascii="宋体" w:hAnsi="宋体" w:cs="宋体"/>
          <w:szCs w:val="21"/>
        </w:rPr>
        <w:t>本招标文件中以“▲”标识的有关技术和商务条款，投标人必须作出实质性响应，否则视作无效投标。</w:t>
      </w:r>
    </w:p>
    <w:p>
      <w:pPr>
        <w:numPr>
          <w:ilvl w:val="0"/>
          <w:numId w:val="2"/>
        </w:numPr>
        <w:snapToGrid w:val="0"/>
        <w:spacing w:line="400" w:lineRule="atLeast"/>
        <w:jc w:val="both"/>
        <w:rPr>
          <w:rFonts w:ascii="宋体" w:cs="宋体"/>
          <w:b/>
          <w:sz w:val="24"/>
          <w:szCs w:val="24"/>
        </w:rPr>
      </w:pPr>
      <w:r>
        <w:rPr>
          <w:rFonts w:hint="eastAsia" w:ascii="宋体" w:hAnsi="宋体" w:cs="宋体"/>
          <w:b/>
          <w:sz w:val="24"/>
          <w:szCs w:val="24"/>
        </w:rPr>
        <w:t>招标文件的澄清或修改</w:t>
      </w:r>
    </w:p>
    <w:p>
      <w:pPr>
        <w:numPr>
          <w:ilvl w:val="1"/>
          <w:numId w:val="2"/>
        </w:numPr>
        <w:snapToGrid w:val="0"/>
        <w:spacing w:line="400" w:lineRule="atLeast"/>
        <w:jc w:val="both"/>
        <w:rPr>
          <w:rFonts w:ascii="Arial" w:hAnsi="Arial"/>
          <w:szCs w:val="21"/>
        </w:rPr>
      </w:pPr>
      <w:r>
        <w:rPr>
          <w:rFonts w:hint="eastAsia" w:ascii="宋体" w:hAnsi="宋体" w:cs="宋体"/>
          <w:szCs w:val="21"/>
        </w:rPr>
        <w:t>采购人或者集中采购机构可以对已发出的招标文件进行必要的澄清或者修改；澄清或者修改在原公告发布媒体上发布澄清公告；澄清或者修改的内容为招标文件的组成部分</w:t>
      </w:r>
      <w:r>
        <w:rPr>
          <w:rFonts w:ascii="宋体" w:hAnsi="宋体"/>
          <w:szCs w:val="21"/>
        </w:rPr>
        <w:t>。</w:t>
      </w:r>
    </w:p>
    <w:p>
      <w:pPr>
        <w:numPr>
          <w:ilvl w:val="1"/>
          <w:numId w:val="2"/>
        </w:numPr>
        <w:snapToGrid w:val="0"/>
        <w:spacing w:line="400" w:lineRule="atLeast"/>
        <w:jc w:val="both"/>
        <w:rPr>
          <w:rFonts w:ascii="宋体" w:hAnsi="宋体"/>
        </w:rPr>
      </w:pPr>
      <w:r>
        <w:rPr>
          <w:rFonts w:hint="eastAsia" w:ascii="宋体" w:hAnsi="宋体" w:cs="宋体"/>
          <w:szCs w:val="21"/>
        </w:rPr>
        <w:t>澄清或者修改的内容可能影响投标文件编制的，采购人或者集中采购机构</w:t>
      </w:r>
      <w:r>
        <w:rPr>
          <w:rFonts w:ascii="宋体" w:hAnsi="宋体" w:cs="宋体"/>
          <w:szCs w:val="21"/>
        </w:rPr>
        <w:t>可酌情推迟投标的截止日期和开标日期</w:t>
      </w:r>
      <w:r>
        <w:rPr>
          <w:rFonts w:hint="eastAsia" w:ascii="宋体" w:hAnsi="宋体" w:cs="宋体"/>
          <w:szCs w:val="21"/>
        </w:rPr>
        <w:t>，并在澄清公告中说明</w:t>
      </w:r>
      <w:r>
        <w:rPr>
          <w:rFonts w:ascii="宋体" w:hAnsi="宋体"/>
          <w:szCs w:val="21"/>
        </w:rPr>
        <w:t>。</w:t>
      </w:r>
    </w:p>
    <w:p/>
    <w:p>
      <w:pPr>
        <w:pStyle w:val="6"/>
        <w:spacing w:beforeLines="50" w:afterLines="50" w:line="360" w:lineRule="auto"/>
        <w:jc w:val="center"/>
        <w:rPr>
          <w:sz w:val="24"/>
          <w:szCs w:val="24"/>
        </w:rPr>
      </w:pPr>
      <w:bookmarkStart w:id="34" w:name="_Toc28389"/>
      <w:r>
        <w:rPr>
          <w:rFonts w:hint="eastAsia"/>
          <w:sz w:val="24"/>
          <w:szCs w:val="24"/>
        </w:rPr>
        <w:t>（四）投标文件的编制</w:t>
      </w:r>
      <w:bookmarkEnd w:id="34"/>
    </w:p>
    <w:p>
      <w:pPr>
        <w:numPr>
          <w:ilvl w:val="0"/>
          <w:numId w:val="2"/>
        </w:numPr>
        <w:snapToGrid w:val="0"/>
        <w:spacing w:line="360" w:lineRule="auto"/>
        <w:jc w:val="both"/>
        <w:rPr>
          <w:rFonts w:ascii="Arial" w:hAnsi="Arial"/>
          <w:b/>
          <w:bCs/>
          <w:sz w:val="24"/>
        </w:rPr>
      </w:pPr>
      <w:r>
        <w:rPr>
          <w:rFonts w:ascii="宋体" w:hAnsi="宋体"/>
          <w:b/>
          <w:bCs/>
          <w:sz w:val="24"/>
        </w:rPr>
        <w:t>投标文件的</w:t>
      </w:r>
      <w:r>
        <w:rPr>
          <w:rFonts w:hint="eastAsia" w:ascii="宋体" w:hAnsi="宋体"/>
          <w:b/>
          <w:bCs/>
          <w:sz w:val="24"/>
        </w:rPr>
        <w:t>说明</w:t>
      </w:r>
    </w:p>
    <w:p>
      <w:pPr>
        <w:numPr>
          <w:ilvl w:val="1"/>
          <w:numId w:val="2"/>
        </w:numPr>
        <w:snapToGrid w:val="0"/>
        <w:spacing w:line="360" w:lineRule="auto"/>
        <w:jc w:val="both"/>
        <w:rPr>
          <w:rFonts w:ascii="宋体" w:hAnsi="宋体" w:cs="宋体"/>
          <w:szCs w:val="21"/>
        </w:rPr>
      </w:pPr>
      <w:r>
        <w:rPr>
          <w:rFonts w:hint="eastAsia" w:ascii="宋体" w:hAnsi="宋体"/>
        </w:rPr>
        <w:t>投标人</w:t>
      </w:r>
      <w:r>
        <w:rPr>
          <w:rFonts w:hint="eastAsia" w:ascii="宋体" w:hAnsi="宋体" w:cs="宋体"/>
          <w:szCs w:val="21"/>
        </w:rPr>
        <w:t>必须按招标文件的要求提供相关技术参数、资料，包括采用的计量单位，并保证投标文件的正确性和真实性，否则评标委员会将作出不利于其投标的评定。技术和商务如有偏离均应填写偏离表。不按招标文件的要求提供的投标文件可能导致投标无效。</w:t>
      </w:r>
    </w:p>
    <w:p>
      <w:pPr>
        <w:numPr>
          <w:ilvl w:val="0"/>
          <w:numId w:val="2"/>
        </w:numPr>
        <w:snapToGrid w:val="0"/>
        <w:spacing w:line="360" w:lineRule="auto"/>
        <w:jc w:val="both"/>
        <w:rPr>
          <w:rFonts w:ascii="宋体" w:hAnsi="宋体" w:cs="宋体"/>
          <w:b/>
          <w:sz w:val="24"/>
          <w:szCs w:val="24"/>
        </w:rPr>
      </w:pPr>
      <w:r>
        <w:rPr>
          <w:rFonts w:hint="eastAsia" w:ascii="宋体" w:hAnsi="宋体" w:cs="宋体"/>
          <w:b/>
          <w:sz w:val="24"/>
          <w:szCs w:val="24"/>
        </w:rPr>
        <w:t>投标文件形式</w:t>
      </w:r>
    </w:p>
    <w:p>
      <w:pPr>
        <w:pStyle w:val="21"/>
        <w:adjustRightInd w:val="0"/>
        <w:snapToGrid w:val="0"/>
        <w:spacing w:before="156" w:after="156" w:line="360" w:lineRule="auto"/>
        <w:ind w:left="630" w:leftChars="300"/>
        <w:jc w:val="left"/>
        <w:rPr>
          <w:rFonts w:hAnsi="宋体" w:cs="宋体"/>
          <w:b/>
        </w:rPr>
      </w:pPr>
      <w:r>
        <w:rPr>
          <w:rFonts w:hint="eastAsia" w:hAnsi="宋体" w:cs="宋体"/>
          <w:bCs/>
          <w:kern w:val="0"/>
          <w:sz w:val="21"/>
          <w:szCs w:val="21"/>
        </w:rPr>
        <w:t>投标人通过“政采云电子投标客户端”完成投标文件编制，采用CA数字证书进行电子签章和加密并同时生成内容完全一致的“电子加密投标文件”和“备份投标文件”。投标人电子加密投标文件解密异常时应急使用，其他方式编制的备份投标文件视为无效备份投标文件。</w:t>
      </w:r>
    </w:p>
    <w:p>
      <w:pPr>
        <w:numPr>
          <w:ilvl w:val="0"/>
          <w:numId w:val="2"/>
        </w:numPr>
        <w:snapToGrid w:val="0"/>
        <w:spacing w:line="360" w:lineRule="auto"/>
        <w:jc w:val="both"/>
        <w:rPr>
          <w:rFonts w:ascii="宋体" w:hAnsi="宋体" w:cs="宋体"/>
          <w:b/>
          <w:sz w:val="24"/>
          <w:szCs w:val="24"/>
        </w:rPr>
      </w:pPr>
      <w:r>
        <w:rPr>
          <w:rFonts w:hint="eastAsia" w:ascii="宋体" w:hAnsi="宋体" w:cs="宋体"/>
          <w:b/>
          <w:sz w:val="24"/>
          <w:szCs w:val="24"/>
        </w:rPr>
        <w:t>投标文件的组成</w:t>
      </w:r>
    </w:p>
    <w:p>
      <w:pPr>
        <w:numPr>
          <w:ilvl w:val="1"/>
          <w:numId w:val="2"/>
        </w:numPr>
        <w:snapToGrid w:val="0"/>
        <w:spacing w:line="360" w:lineRule="auto"/>
        <w:jc w:val="both"/>
        <w:rPr>
          <w:rFonts w:ascii="宋体" w:hAnsi="宋体" w:cs="宋体"/>
          <w:szCs w:val="21"/>
        </w:rPr>
      </w:pPr>
      <w:r>
        <w:rPr>
          <w:rFonts w:hint="eastAsia" w:ascii="宋体" w:hAnsi="宋体" w:cs="宋体"/>
          <w:szCs w:val="21"/>
        </w:rPr>
        <w:t>投标文件应</w:t>
      </w:r>
      <w:r>
        <w:rPr>
          <w:rFonts w:hint="eastAsia" w:ascii="宋体" w:hAnsi="宋体"/>
        </w:rPr>
        <w:t>包括“资格文件”“技术、商务文件”和“报价文件”三部分</w:t>
      </w:r>
      <w:r>
        <w:rPr>
          <w:rFonts w:hint="eastAsia" w:ascii="宋体" w:hAnsi="宋体" w:cs="宋体"/>
          <w:szCs w:val="21"/>
        </w:rPr>
        <w:t>：</w:t>
      </w:r>
    </w:p>
    <w:p>
      <w:pPr>
        <w:snapToGrid w:val="0"/>
        <w:spacing w:line="360" w:lineRule="auto"/>
        <w:jc w:val="both"/>
        <w:rPr>
          <w:rFonts w:ascii="楷体_GB2312" w:eastAsia="楷体_GB2312"/>
          <w:b/>
          <w:bCs/>
          <w:sz w:val="24"/>
        </w:rPr>
      </w:pPr>
      <w:r>
        <w:rPr>
          <w:rFonts w:hint="eastAsia" w:ascii="宋体" w:hAnsi="宋体" w:cs="宋体"/>
          <w:szCs w:val="21"/>
        </w:rPr>
        <w:tab/>
      </w:r>
      <w:r>
        <w:rPr>
          <w:rFonts w:hint="eastAsia" w:ascii="宋体" w:hAnsi="宋体" w:cs="宋体"/>
          <w:szCs w:val="21"/>
        </w:rPr>
        <w:tab/>
      </w:r>
      <w:r>
        <w:rPr>
          <w:rFonts w:hint="eastAsia" w:ascii="宋体" w:hAnsi="宋体"/>
          <w:b/>
          <w:bCs/>
          <w:szCs w:val="22"/>
        </w:rPr>
        <w:t>第一部分：资格文件</w:t>
      </w:r>
    </w:p>
    <w:p>
      <w:pPr>
        <w:snapToGrid w:val="0"/>
        <w:spacing w:line="360" w:lineRule="auto"/>
        <w:ind w:left="718"/>
        <w:rPr>
          <w:rFonts w:ascii="宋体" w:hAnsi="宋体"/>
          <w:szCs w:val="21"/>
        </w:rPr>
      </w:pPr>
      <w:r>
        <w:rPr>
          <w:rFonts w:hint="eastAsia" w:ascii="宋体" w:hAnsi="宋体"/>
          <w:szCs w:val="21"/>
        </w:rPr>
        <w:t>（1）法定代表人授权委托书；</w:t>
      </w:r>
      <w:r>
        <w:rPr>
          <w:rFonts w:hint="eastAsia" w:ascii="宋体" w:hAnsi="宋体"/>
        </w:rPr>
        <w:t xml:space="preserve">                                          (见附件一)</w:t>
      </w:r>
    </w:p>
    <w:p>
      <w:pPr>
        <w:snapToGrid w:val="0"/>
        <w:spacing w:line="360" w:lineRule="auto"/>
        <w:ind w:left="718"/>
        <w:rPr>
          <w:rFonts w:ascii="宋体" w:hAnsi="宋体"/>
          <w:szCs w:val="21"/>
        </w:rPr>
      </w:pPr>
      <w:r>
        <w:rPr>
          <w:rFonts w:hint="eastAsia" w:ascii="宋体" w:hAnsi="宋体"/>
          <w:szCs w:val="21"/>
        </w:rPr>
        <w:t>（2）投标函；（见附件二）</w:t>
      </w:r>
    </w:p>
    <w:p>
      <w:pPr>
        <w:snapToGrid w:val="0"/>
        <w:spacing w:line="360" w:lineRule="auto"/>
        <w:ind w:left="718"/>
        <w:jc w:val="both"/>
        <w:rPr>
          <w:rFonts w:ascii="宋体" w:hAnsi="宋体"/>
        </w:rPr>
      </w:pPr>
      <w:r>
        <w:rPr>
          <w:rFonts w:hint="eastAsia" w:ascii="宋体" w:hAnsi="宋体"/>
        </w:rPr>
        <w:t>（3）企业营业执照或事业法人单位法人证书、税务登记证（若多证合一提供企业营业执照或事业法人单位法人证书）；</w:t>
      </w:r>
    </w:p>
    <w:p>
      <w:pPr>
        <w:snapToGrid w:val="0"/>
        <w:spacing w:line="360" w:lineRule="auto"/>
        <w:ind w:left="718"/>
        <w:rPr>
          <w:rFonts w:ascii="宋体" w:hAnsi="宋体" w:cs="宋体"/>
        </w:rPr>
      </w:pPr>
      <w:r>
        <w:rPr>
          <w:rFonts w:hint="eastAsia" w:ascii="宋体" w:hAnsi="宋体" w:cs="宋体"/>
        </w:rPr>
        <w:t>（4）关于符合《中华人民共和国政府采购法》第二十二条规定条件的承诺函（见附件三）</w:t>
      </w:r>
    </w:p>
    <w:p>
      <w:pPr>
        <w:snapToGrid w:val="0"/>
        <w:spacing w:line="360" w:lineRule="auto"/>
        <w:ind w:left="718"/>
        <w:rPr>
          <w:rFonts w:ascii="宋体" w:hAnsi="宋体" w:cs="宋体"/>
        </w:rPr>
      </w:pPr>
      <w:r>
        <w:rPr>
          <w:rFonts w:hint="eastAsia" w:ascii="宋体" w:hAnsi="宋体" w:cs="宋体"/>
        </w:rPr>
        <w:t>（5）诚信投标承诺书（见附件四）</w:t>
      </w:r>
    </w:p>
    <w:p>
      <w:pPr>
        <w:snapToGrid w:val="0"/>
        <w:spacing w:line="360" w:lineRule="auto"/>
        <w:ind w:left="718"/>
        <w:rPr>
          <w:rFonts w:ascii="宋体" w:hAnsi="宋体" w:cs="宋体"/>
        </w:rPr>
      </w:pPr>
      <w:r>
        <w:rPr>
          <w:rFonts w:hint="eastAsia" w:ascii="宋体" w:hAnsi="宋体" w:cs="宋体"/>
        </w:rPr>
        <w:t>（6）投标供应商的保安</w:t>
      </w:r>
      <w:r>
        <w:rPr>
          <w:rFonts w:hint="eastAsia" w:ascii="宋体" w:hAnsi="宋体"/>
          <w:szCs w:val="21"/>
        </w:rPr>
        <w:t>服务许可证；</w:t>
      </w:r>
    </w:p>
    <w:p>
      <w:pPr>
        <w:pStyle w:val="27"/>
      </w:pPr>
    </w:p>
    <w:p>
      <w:pPr>
        <w:snapToGrid w:val="0"/>
        <w:spacing w:line="360" w:lineRule="auto"/>
        <w:ind w:left="718"/>
        <w:jc w:val="both"/>
        <w:rPr>
          <w:rFonts w:ascii="宋体" w:hAnsi="宋体" w:eastAsia="等线"/>
          <w:b/>
          <w:bCs/>
          <w:szCs w:val="21"/>
        </w:rPr>
      </w:pPr>
      <w:r>
        <w:rPr>
          <w:rFonts w:hint="eastAsia" w:ascii="宋体" w:hAnsi="宋体"/>
          <w:b/>
          <w:bCs/>
          <w:szCs w:val="22"/>
        </w:rPr>
        <w:t>第二部分：技术、商务文件</w:t>
      </w:r>
      <w:r>
        <w:rPr>
          <w:rFonts w:hint="eastAsia" w:ascii="宋体" w:hAnsi="宋体"/>
        </w:rPr>
        <w:t>；</w:t>
      </w:r>
    </w:p>
    <w:p>
      <w:pPr>
        <w:snapToGrid w:val="0"/>
        <w:spacing w:line="360" w:lineRule="auto"/>
        <w:ind w:left="718"/>
        <w:rPr>
          <w:rFonts w:ascii="宋体" w:hAnsi="宋体"/>
          <w:szCs w:val="21"/>
        </w:rPr>
      </w:pPr>
      <w:r>
        <w:rPr>
          <w:rFonts w:hint="eastAsia" w:ascii="宋体" w:hAnsi="宋体"/>
          <w:szCs w:val="21"/>
        </w:rPr>
        <w:t>（1）▲</w:t>
      </w:r>
      <w:r>
        <w:rPr>
          <w:rFonts w:hint="eastAsia" w:ascii="宋体" w:hAnsi="宋体" w:cs="Arial"/>
          <w:szCs w:val="21"/>
        </w:rPr>
        <w:t>技术响应表</w:t>
      </w:r>
      <w:r>
        <w:rPr>
          <w:rFonts w:hint="eastAsia" w:ascii="宋体" w:hAnsi="宋体"/>
        </w:rPr>
        <w:t>；</w:t>
      </w:r>
      <w:r>
        <w:rPr>
          <w:rFonts w:hint="eastAsia" w:ascii="宋体" w:hAnsi="宋体"/>
          <w:szCs w:val="21"/>
        </w:rPr>
        <w:t>（见附件五）</w:t>
      </w:r>
    </w:p>
    <w:p>
      <w:pPr>
        <w:snapToGrid w:val="0"/>
        <w:spacing w:line="360" w:lineRule="auto"/>
        <w:ind w:left="718"/>
        <w:rPr>
          <w:rFonts w:ascii="宋体" w:hAnsi="宋体" w:cs="Arial"/>
          <w:szCs w:val="21"/>
        </w:rPr>
      </w:pPr>
      <w:r>
        <w:rPr>
          <w:rFonts w:hint="eastAsia" w:ascii="宋体" w:hAnsi="宋体"/>
          <w:szCs w:val="21"/>
        </w:rPr>
        <w:t>（2）</w:t>
      </w:r>
      <w:r>
        <w:rPr>
          <w:rFonts w:hint="eastAsia" w:ascii="宋体" w:hAnsi="宋体"/>
        </w:rPr>
        <w:t>建议与少量偏离表；</w:t>
      </w:r>
      <w:r>
        <w:rPr>
          <w:rFonts w:hint="eastAsia" w:ascii="宋体" w:hAnsi="宋体" w:cs="Arial"/>
          <w:szCs w:val="21"/>
        </w:rPr>
        <w:t>（见附件六）</w:t>
      </w:r>
    </w:p>
    <w:p>
      <w:pPr>
        <w:snapToGrid w:val="0"/>
        <w:spacing w:line="360" w:lineRule="auto"/>
        <w:ind w:left="718"/>
        <w:rPr>
          <w:rFonts w:ascii="宋体" w:hAnsi="宋体" w:cs="Arial"/>
          <w:szCs w:val="21"/>
        </w:rPr>
      </w:pPr>
      <w:r>
        <w:rPr>
          <w:rFonts w:hint="eastAsia" w:ascii="宋体" w:hAnsi="宋体" w:cs="Arial"/>
          <w:szCs w:val="21"/>
        </w:rPr>
        <w:t>（3）证明文件</w:t>
      </w:r>
      <w:r>
        <w:rPr>
          <w:rFonts w:ascii="宋体" w:hAnsi="宋体" w:cs="Arial"/>
          <w:szCs w:val="21"/>
        </w:rPr>
        <w:t>（</w:t>
      </w:r>
      <w:r>
        <w:rPr>
          <w:rFonts w:hint="eastAsia" w:ascii="宋体" w:hAnsi="宋体" w:cs="宋体"/>
          <w:szCs w:val="21"/>
        </w:rPr>
        <w:t>复印件并CA签章</w:t>
      </w:r>
      <w:r>
        <w:rPr>
          <w:rFonts w:ascii="宋体" w:hAnsi="宋体" w:cs="Arial"/>
          <w:szCs w:val="21"/>
        </w:rPr>
        <w:t>）</w:t>
      </w:r>
      <w:r>
        <w:rPr>
          <w:rFonts w:hint="eastAsia" w:ascii="宋体" w:hAnsi="宋体" w:cs="Arial"/>
          <w:szCs w:val="21"/>
        </w:rPr>
        <w:t>；</w:t>
      </w:r>
      <w:r>
        <w:rPr>
          <w:rFonts w:hint="eastAsia" w:ascii="宋体" w:hAnsi="宋体"/>
          <w:szCs w:val="21"/>
        </w:rPr>
        <w:t>（见附件七）</w:t>
      </w:r>
    </w:p>
    <w:p>
      <w:pPr>
        <w:snapToGrid w:val="0"/>
        <w:spacing w:line="360" w:lineRule="auto"/>
        <w:ind w:left="735" w:leftChars="350"/>
        <w:rPr>
          <w:rFonts w:ascii="宋体" w:hAnsi="宋体" w:cs="Arial"/>
          <w:szCs w:val="21"/>
        </w:rPr>
      </w:pPr>
      <w:r>
        <w:rPr>
          <w:rFonts w:hint="eastAsia" w:ascii="宋体" w:hAnsi="宋体"/>
          <w:szCs w:val="21"/>
        </w:rPr>
        <w:t>（4）投标人</w:t>
      </w:r>
      <w:r>
        <w:rPr>
          <w:rFonts w:hint="eastAsia"/>
          <w:szCs w:val="21"/>
        </w:rPr>
        <w:t>认为需要提供的其它文件和资料。</w:t>
      </w:r>
    </w:p>
    <w:p>
      <w:pPr>
        <w:pStyle w:val="19"/>
        <w:ind w:left="420" w:right="-252" w:firstLine="420"/>
        <w:rPr>
          <w:rFonts w:cs="Arial"/>
          <w:b/>
          <w:bCs/>
          <w:sz w:val="21"/>
          <w:szCs w:val="22"/>
        </w:rPr>
      </w:pPr>
      <w:r>
        <w:rPr>
          <w:rFonts w:hint="eastAsia" w:cs="Arial"/>
          <w:b/>
          <w:bCs/>
          <w:sz w:val="21"/>
          <w:szCs w:val="22"/>
        </w:rPr>
        <w:t>第三部分：报价文件</w:t>
      </w:r>
    </w:p>
    <w:p>
      <w:pPr>
        <w:snapToGrid w:val="0"/>
        <w:spacing w:line="360" w:lineRule="auto"/>
        <w:ind w:left="718"/>
        <w:rPr>
          <w:rFonts w:ascii="宋体" w:hAnsi="宋体"/>
          <w:szCs w:val="21"/>
        </w:rPr>
      </w:pPr>
      <w:r>
        <w:rPr>
          <w:rFonts w:hint="eastAsia" w:ascii="宋体" w:hAnsi="宋体"/>
          <w:szCs w:val="21"/>
        </w:rPr>
        <w:t>（1）</w:t>
      </w:r>
      <w:r>
        <w:rPr>
          <w:rFonts w:hint="eastAsia" w:ascii="宋体" w:hAnsi="宋体"/>
          <w:b/>
          <w:bCs/>
          <w:szCs w:val="21"/>
        </w:rPr>
        <w:t>▲</w:t>
      </w:r>
      <w:r>
        <w:rPr>
          <w:rFonts w:hint="eastAsia" w:ascii="宋体" w:hAnsi="宋体"/>
          <w:szCs w:val="21"/>
        </w:rPr>
        <w:t>开标一览表；（见附件八）</w:t>
      </w:r>
    </w:p>
    <w:p>
      <w:pPr>
        <w:snapToGrid w:val="0"/>
        <w:spacing w:line="360" w:lineRule="auto"/>
        <w:ind w:left="720"/>
        <w:rPr>
          <w:rFonts w:ascii="宋体" w:hAnsi="宋体"/>
          <w:szCs w:val="21"/>
        </w:rPr>
      </w:pPr>
      <w:r>
        <w:rPr>
          <w:rFonts w:hint="eastAsia" w:ascii="宋体" w:hAnsi="宋体"/>
          <w:szCs w:val="21"/>
        </w:rPr>
        <w:t>（2）中小企业声明函</w:t>
      </w:r>
      <w:r>
        <w:rPr>
          <w:rFonts w:hint="eastAsia" w:ascii="宋体" w:hAnsi="宋体"/>
        </w:rPr>
        <w:t>；</w:t>
      </w:r>
      <w:r>
        <w:rPr>
          <w:rFonts w:hint="eastAsia" w:ascii="宋体" w:hAnsi="宋体"/>
          <w:szCs w:val="21"/>
        </w:rPr>
        <w:t>（见附件九）</w:t>
      </w:r>
    </w:p>
    <w:p>
      <w:pPr>
        <w:snapToGrid w:val="0"/>
        <w:spacing w:line="360" w:lineRule="auto"/>
        <w:ind w:left="718"/>
        <w:rPr>
          <w:rFonts w:ascii="宋体" w:hAnsi="宋体"/>
          <w:szCs w:val="21"/>
        </w:rPr>
      </w:pPr>
      <w:r>
        <w:rPr>
          <w:rFonts w:hint="eastAsia" w:ascii="宋体" w:hAnsi="宋体"/>
          <w:szCs w:val="21"/>
        </w:rPr>
        <w:t>（3）残疾人福利性单位声明函（残疾人福利性单位投标时提供）；（见附件十）</w:t>
      </w:r>
    </w:p>
    <w:p>
      <w:pPr>
        <w:snapToGrid w:val="0"/>
        <w:spacing w:line="360" w:lineRule="auto"/>
        <w:ind w:left="718"/>
        <w:jc w:val="both"/>
        <w:rPr>
          <w:rFonts w:ascii="宋体" w:hAnsi="宋体" w:eastAsia="等线" w:cs="宋体"/>
          <w:szCs w:val="21"/>
        </w:rPr>
      </w:pPr>
      <w:r>
        <w:rPr>
          <w:rFonts w:hint="eastAsia" w:ascii="宋体" w:hAnsi="宋体"/>
          <w:szCs w:val="21"/>
        </w:rPr>
        <w:t>（4）省级以上监狱管理局、戒毒管理局（含新疆生产建设兵团）出具的属于监狱企业的证明文件（监狱企业投标时提供，非监狱企业无需提供）；</w:t>
      </w:r>
    </w:p>
    <w:p>
      <w:pPr>
        <w:numPr>
          <w:ilvl w:val="0"/>
          <w:numId w:val="2"/>
        </w:numPr>
        <w:snapToGrid w:val="0"/>
        <w:spacing w:line="360" w:lineRule="auto"/>
        <w:jc w:val="both"/>
        <w:rPr>
          <w:rFonts w:ascii="宋体" w:hAnsi="宋体" w:cs="宋体"/>
          <w:b/>
          <w:sz w:val="24"/>
          <w:szCs w:val="24"/>
        </w:rPr>
      </w:pPr>
      <w:r>
        <w:rPr>
          <w:rFonts w:hint="eastAsia" w:ascii="宋体" w:hAnsi="宋体" w:cs="宋体"/>
          <w:b/>
          <w:sz w:val="24"/>
          <w:szCs w:val="24"/>
        </w:rPr>
        <w:t>投标文件格式填写说明</w:t>
      </w:r>
    </w:p>
    <w:p>
      <w:pPr>
        <w:numPr>
          <w:ilvl w:val="1"/>
          <w:numId w:val="2"/>
        </w:numPr>
        <w:snapToGrid w:val="0"/>
        <w:spacing w:line="360" w:lineRule="auto"/>
        <w:jc w:val="both"/>
        <w:rPr>
          <w:rFonts w:ascii="宋体" w:hAnsi="宋体" w:cs="宋体"/>
        </w:rPr>
      </w:pPr>
      <w:r>
        <w:rPr>
          <w:rFonts w:hint="eastAsia" w:ascii="宋体" w:hAnsi="宋体" w:cs="宋体"/>
        </w:rPr>
        <w:t>投标人应在认真阅读招标文件所有内容的基础上，按照招标文件中</w:t>
      </w:r>
      <w:r>
        <w:rPr>
          <w:rFonts w:hint="eastAsia" w:ascii="宋体" w:hAnsi="宋体" w:cs="宋体"/>
          <w:szCs w:val="22"/>
        </w:rPr>
        <w:t>规定的格式和顺序编制电子加密投标文件</w:t>
      </w:r>
      <w:r>
        <w:rPr>
          <w:rFonts w:hint="eastAsia" w:ascii="宋体" w:hAnsi="宋体" w:cs="宋体"/>
          <w:b/>
          <w:bCs/>
          <w:szCs w:val="22"/>
        </w:rPr>
        <w:t>并进行关联定位</w:t>
      </w:r>
      <w:r>
        <w:rPr>
          <w:rFonts w:hint="eastAsia" w:ascii="宋体" w:hAnsi="宋体" w:cs="宋体"/>
          <w:szCs w:val="22"/>
        </w:rPr>
        <w:t>，混乱的编排或关联导致投标文件被误读或采购人查找不到有效文件是投标人的风险。</w:t>
      </w:r>
    </w:p>
    <w:p>
      <w:pPr>
        <w:numPr>
          <w:ilvl w:val="1"/>
          <w:numId w:val="2"/>
        </w:numPr>
        <w:snapToGrid w:val="0"/>
        <w:spacing w:line="360" w:lineRule="auto"/>
        <w:jc w:val="both"/>
        <w:rPr>
          <w:rFonts w:ascii="宋体" w:hAnsi="宋体" w:cs="宋体"/>
          <w:szCs w:val="21"/>
        </w:rPr>
      </w:pPr>
      <w:r>
        <w:rPr>
          <w:rFonts w:hint="eastAsia" w:ascii="宋体" w:hAnsi="宋体" w:cs="宋体"/>
        </w:rPr>
        <w:t>投标人必须保证投标文件所提供的全部资料真实可靠，并接受采购人对其中任何资料进一步审查的要求。提供虚假证明的投标人将被取消政府采购投标人资格，并在政府采购宣传媒体上予以公告。</w:t>
      </w:r>
    </w:p>
    <w:p>
      <w:pPr>
        <w:numPr>
          <w:ilvl w:val="1"/>
          <w:numId w:val="2"/>
        </w:numPr>
        <w:snapToGrid w:val="0"/>
        <w:spacing w:line="360" w:lineRule="auto"/>
        <w:jc w:val="both"/>
        <w:rPr>
          <w:rFonts w:ascii="宋体" w:hAnsi="宋体" w:cs="宋体"/>
          <w:szCs w:val="21"/>
        </w:rPr>
      </w:pPr>
      <w:r>
        <w:rPr>
          <w:rFonts w:ascii="宋体" w:hAnsi="宋体" w:cs="宋体"/>
          <w:szCs w:val="21"/>
        </w:rPr>
        <w:t>《开标一览表》为开标</w:t>
      </w:r>
      <w:r>
        <w:rPr>
          <w:rFonts w:hint="eastAsia" w:ascii="宋体" w:hAnsi="宋体" w:cs="宋体"/>
          <w:szCs w:val="21"/>
        </w:rPr>
        <w:t>会</w:t>
      </w:r>
      <w:r>
        <w:rPr>
          <w:rFonts w:ascii="宋体" w:hAnsi="宋体" w:cs="宋体"/>
          <w:szCs w:val="21"/>
        </w:rPr>
        <w:t>上唱标的内容，</w:t>
      </w:r>
      <w:r>
        <w:rPr>
          <w:rFonts w:hint="eastAsia" w:ascii="宋体" w:hAnsi="宋体" w:cs="宋体"/>
          <w:szCs w:val="21"/>
        </w:rPr>
        <w:t>应当</w:t>
      </w:r>
      <w:r>
        <w:rPr>
          <w:rFonts w:ascii="宋体" w:hAnsi="宋体" w:cs="宋体"/>
          <w:szCs w:val="21"/>
        </w:rPr>
        <w:t>按格式填写、统一规范，不得自行增减</w:t>
      </w:r>
      <w:r>
        <w:rPr>
          <w:rFonts w:hint="eastAsia" w:ascii="宋体" w:hAnsi="宋体" w:cs="宋体"/>
          <w:szCs w:val="21"/>
        </w:rPr>
        <w:t>或修改</w:t>
      </w:r>
      <w:r>
        <w:rPr>
          <w:rFonts w:ascii="宋体" w:hAnsi="宋体" w:cs="宋体"/>
          <w:szCs w:val="21"/>
        </w:rPr>
        <w:t>内容。</w:t>
      </w:r>
    </w:p>
    <w:p>
      <w:pPr>
        <w:numPr>
          <w:ilvl w:val="1"/>
          <w:numId w:val="2"/>
        </w:numPr>
        <w:snapToGrid w:val="0"/>
        <w:spacing w:line="360" w:lineRule="auto"/>
        <w:jc w:val="both"/>
        <w:rPr>
          <w:rFonts w:ascii="宋体" w:hAnsi="宋体" w:cs="宋体"/>
          <w:szCs w:val="21"/>
        </w:rPr>
      </w:pPr>
      <w:r>
        <w:rPr>
          <w:rFonts w:ascii="宋体" w:hAnsi="宋体" w:cs="宋体"/>
          <w:szCs w:val="21"/>
        </w:rPr>
        <w:t>投标文件</w:t>
      </w:r>
      <w:r>
        <w:rPr>
          <w:rFonts w:hint="eastAsia" w:ascii="宋体" w:hAnsi="宋体" w:cs="宋体"/>
          <w:szCs w:val="21"/>
        </w:rPr>
        <w:t>必</w:t>
      </w:r>
      <w:r>
        <w:rPr>
          <w:rFonts w:ascii="宋体" w:hAnsi="宋体" w:cs="宋体"/>
          <w:szCs w:val="21"/>
        </w:rPr>
        <w:t>须对招标文件中的内容做出实质性和完整的响应</w:t>
      </w:r>
      <w:r>
        <w:rPr>
          <w:rFonts w:hint="eastAsia" w:ascii="宋体" w:hAnsi="宋体" w:cs="宋体"/>
          <w:szCs w:val="21"/>
        </w:rPr>
        <w:t>（文中带“▲”标识）</w:t>
      </w:r>
      <w:r>
        <w:rPr>
          <w:rFonts w:ascii="宋体" w:hAnsi="宋体" w:cs="宋体"/>
          <w:szCs w:val="21"/>
        </w:rPr>
        <w:t>，否则其投标</w:t>
      </w:r>
      <w:r>
        <w:rPr>
          <w:rFonts w:hint="eastAsia" w:ascii="宋体" w:hAnsi="宋体" w:cs="宋体"/>
          <w:szCs w:val="21"/>
        </w:rPr>
        <w:t>无效</w:t>
      </w:r>
      <w:r>
        <w:rPr>
          <w:rFonts w:ascii="宋体" w:hAnsi="宋体" w:cs="宋体"/>
          <w:szCs w:val="21"/>
        </w:rPr>
        <w:t>。如果投标文件填报的内容资料不详，或没有提供招标文件中所要求的全部资料及数据，</w:t>
      </w:r>
      <w:r>
        <w:rPr>
          <w:rFonts w:hint="eastAsia" w:ascii="宋体" w:hAnsi="宋体" w:cs="宋体"/>
          <w:szCs w:val="21"/>
        </w:rPr>
        <w:t>将可能会导致评标委员会作出对其不利的判断和分析。</w:t>
      </w:r>
    </w:p>
    <w:p>
      <w:pPr>
        <w:numPr>
          <w:ilvl w:val="0"/>
          <w:numId w:val="2"/>
        </w:numPr>
        <w:tabs>
          <w:tab w:val="left" w:pos="1145"/>
        </w:tabs>
        <w:snapToGrid w:val="0"/>
        <w:spacing w:line="360" w:lineRule="auto"/>
        <w:jc w:val="both"/>
        <w:rPr>
          <w:rFonts w:ascii="宋体" w:hAnsi="宋体" w:cs="宋体"/>
          <w:b/>
          <w:sz w:val="24"/>
          <w:szCs w:val="24"/>
        </w:rPr>
      </w:pPr>
      <w:r>
        <w:rPr>
          <w:rFonts w:hint="eastAsia" w:ascii="宋体" w:hAnsi="宋体" w:cs="宋体"/>
          <w:b/>
          <w:sz w:val="24"/>
          <w:szCs w:val="24"/>
        </w:rPr>
        <w:t>投标报价</w:t>
      </w:r>
    </w:p>
    <w:p>
      <w:pPr>
        <w:numPr>
          <w:ilvl w:val="1"/>
          <w:numId w:val="2"/>
        </w:numPr>
        <w:tabs>
          <w:tab w:val="left" w:pos="1470"/>
        </w:tabs>
        <w:snapToGrid w:val="0"/>
        <w:spacing w:line="360" w:lineRule="auto"/>
        <w:jc w:val="both"/>
        <w:rPr>
          <w:rFonts w:ascii="宋体" w:hAnsi="宋体" w:cs="宋体"/>
          <w:szCs w:val="21"/>
        </w:rPr>
      </w:pPr>
      <w:r>
        <w:rPr>
          <w:rFonts w:hint="eastAsia" w:ascii="宋体" w:hAnsi="宋体" w:cs="宋体"/>
          <w:szCs w:val="21"/>
        </w:rPr>
        <w:t>投标人提供的货物和服务价格应该用人民币投标。</w:t>
      </w:r>
      <w:r>
        <w:rPr>
          <w:rFonts w:ascii="宋体" w:hAnsi="宋体" w:cs="宋体"/>
          <w:szCs w:val="21"/>
        </w:rPr>
        <w:t>投标价格应该已经扣除所有</w:t>
      </w:r>
      <w:r>
        <w:rPr>
          <w:rFonts w:hint="eastAsia" w:ascii="宋体" w:hAnsi="宋体" w:cs="宋体"/>
          <w:szCs w:val="21"/>
        </w:rPr>
        <w:t>商业</w:t>
      </w:r>
      <w:r>
        <w:rPr>
          <w:rFonts w:ascii="宋体" w:hAnsi="宋体" w:cs="宋体"/>
          <w:szCs w:val="21"/>
        </w:rPr>
        <w:t>折扣以及现金折扣。投标报价应包括购买</w:t>
      </w:r>
      <w:r>
        <w:rPr>
          <w:rFonts w:hint="eastAsia" w:ascii="宋体" w:hAnsi="宋体" w:cs="宋体"/>
          <w:szCs w:val="21"/>
        </w:rPr>
        <w:t>货物</w:t>
      </w:r>
      <w:r>
        <w:rPr>
          <w:rFonts w:ascii="宋体" w:hAnsi="宋体" w:cs="宋体"/>
          <w:szCs w:val="21"/>
        </w:rPr>
        <w:t>所需缴纳的所有税费</w:t>
      </w:r>
      <w:r>
        <w:rPr>
          <w:rFonts w:hint="eastAsia" w:ascii="宋体" w:hAnsi="宋体" w:cs="宋体"/>
          <w:szCs w:val="21"/>
        </w:rPr>
        <w:t>和</w:t>
      </w:r>
      <w:r>
        <w:rPr>
          <w:rFonts w:ascii="宋体" w:hAnsi="宋体" w:cs="宋体"/>
          <w:szCs w:val="21"/>
        </w:rPr>
        <w:t>一切费用</w:t>
      </w:r>
      <w:r>
        <w:rPr>
          <w:rFonts w:hint="eastAsia" w:ascii="宋体" w:hAnsi="宋体" w:cs="宋体"/>
          <w:szCs w:val="21"/>
        </w:rPr>
        <w:t>，费用包括送达使用单位指定地点的一切费用。</w:t>
      </w:r>
    </w:p>
    <w:p>
      <w:pPr>
        <w:numPr>
          <w:ilvl w:val="1"/>
          <w:numId w:val="2"/>
        </w:numPr>
        <w:tabs>
          <w:tab w:val="left" w:pos="1470"/>
        </w:tabs>
        <w:snapToGrid w:val="0"/>
        <w:spacing w:line="360" w:lineRule="auto"/>
        <w:jc w:val="both"/>
        <w:rPr>
          <w:rFonts w:ascii="宋体" w:hAnsi="宋体" w:cs="宋体"/>
          <w:szCs w:val="21"/>
        </w:rPr>
      </w:pPr>
      <w:r>
        <w:rPr>
          <w:rFonts w:hint="eastAsia" w:ascii="宋体" w:hAnsi="宋体" w:cs="宋体"/>
          <w:szCs w:val="21"/>
        </w:rPr>
        <w:t>本次招标只允许有一个报价，并只有一次投标报价，投标人应在各自技术和商务占优势的基础上并充分考虑本次招标的重要性，提供对采购人最优惠的投标报价。</w:t>
      </w:r>
    </w:p>
    <w:p>
      <w:pPr>
        <w:numPr>
          <w:ilvl w:val="1"/>
          <w:numId w:val="2"/>
        </w:numPr>
        <w:tabs>
          <w:tab w:val="left" w:pos="1470"/>
        </w:tabs>
        <w:snapToGrid w:val="0"/>
        <w:spacing w:line="360" w:lineRule="auto"/>
        <w:jc w:val="both"/>
        <w:rPr>
          <w:rFonts w:ascii="宋体" w:hAnsi="宋体" w:cs="宋体"/>
          <w:szCs w:val="21"/>
        </w:rPr>
      </w:pPr>
      <w:r>
        <w:rPr>
          <w:rFonts w:hint="eastAsia" w:ascii="宋体" w:hAnsi="宋体" w:cs="宋体"/>
          <w:szCs w:val="21"/>
        </w:rPr>
        <w:t>投标人在报价文件上传的价格和报价一览表里填写的金额不一致时，以投标人上传的报价文件为准，对投标人的报价进行修正。</w:t>
      </w:r>
    </w:p>
    <w:p>
      <w:pPr>
        <w:numPr>
          <w:ilvl w:val="0"/>
          <w:numId w:val="2"/>
        </w:numPr>
        <w:snapToGrid w:val="0"/>
        <w:spacing w:line="360" w:lineRule="auto"/>
        <w:jc w:val="both"/>
        <w:rPr>
          <w:rFonts w:ascii="宋体" w:hAnsi="宋体" w:cs="宋体"/>
          <w:b/>
          <w:sz w:val="24"/>
          <w:szCs w:val="24"/>
        </w:rPr>
      </w:pPr>
      <w:r>
        <w:rPr>
          <w:rFonts w:hint="eastAsia" w:ascii="宋体" w:hAnsi="宋体" w:cs="宋体"/>
          <w:b/>
          <w:sz w:val="24"/>
          <w:szCs w:val="24"/>
        </w:rPr>
        <w:t>投标有效期</w:t>
      </w:r>
    </w:p>
    <w:p>
      <w:pPr>
        <w:numPr>
          <w:ilvl w:val="1"/>
          <w:numId w:val="2"/>
        </w:numPr>
        <w:snapToGrid w:val="0"/>
        <w:spacing w:line="360" w:lineRule="auto"/>
        <w:jc w:val="both"/>
        <w:rPr>
          <w:rFonts w:ascii="宋体" w:hAnsi="宋体" w:cs="宋体"/>
          <w:szCs w:val="21"/>
        </w:rPr>
      </w:pPr>
      <w:r>
        <w:rPr>
          <w:rFonts w:hint="eastAsia" w:ascii="宋体" w:hAnsi="宋体" w:cs="宋体"/>
          <w:szCs w:val="21"/>
        </w:rPr>
        <w:t>提交投标文件截止日起90天内，投标文件应保持有效。投标有效期比规定期限短的将被视为未响应投标而视作无效投标。</w:t>
      </w:r>
    </w:p>
    <w:p>
      <w:pPr>
        <w:numPr>
          <w:ilvl w:val="1"/>
          <w:numId w:val="2"/>
        </w:numPr>
        <w:snapToGrid w:val="0"/>
        <w:spacing w:line="360" w:lineRule="auto"/>
        <w:jc w:val="both"/>
        <w:rPr>
          <w:rFonts w:ascii="宋体" w:hAnsi="宋体" w:cs="宋体"/>
          <w:szCs w:val="21"/>
        </w:rPr>
      </w:pPr>
      <w:r>
        <w:rPr>
          <w:rFonts w:hint="eastAsia" w:ascii="宋体" w:hAnsi="宋体" w:cs="宋体"/>
          <w:szCs w:val="21"/>
        </w:rPr>
        <w:t>特殊情况下，集中采购机构可于投标有效期满之前要求投标人同意延长有效期，要求与答复均应为书面形式。投标人可拒绝前述要求。对于同意该要求的投标人，既不要求也不允许其修改投标文件。</w:t>
      </w:r>
    </w:p>
    <w:p>
      <w:pPr>
        <w:numPr>
          <w:ilvl w:val="0"/>
          <w:numId w:val="2"/>
        </w:numPr>
        <w:snapToGrid w:val="0"/>
        <w:spacing w:line="360" w:lineRule="auto"/>
        <w:jc w:val="both"/>
        <w:rPr>
          <w:rFonts w:ascii="宋体" w:hAnsi="宋体" w:cs="宋体"/>
          <w:b/>
          <w:sz w:val="24"/>
          <w:szCs w:val="24"/>
        </w:rPr>
      </w:pPr>
      <w:r>
        <w:rPr>
          <w:rFonts w:hint="eastAsia" w:ascii="宋体" w:hAnsi="宋体" w:cs="宋体"/>
          <w:b/>
          <w:sz w:val="24"/>
          <w:szCs w:val="24"/>
        </w:rPr>
        <w:t>投标文件的式样和签署</w:t>
      </w:r>
    </w:p>
    <w:p>
      <w:pPr>
        <w:snapToGrid w:val="0"/>
        <w:spacing w:line="360" w:lineRule="auto"/>
        <w:ind w:left="840" w:leftChars="400"/>
        <w:jc w:val="both"/>
        <w:rPr>
          <w:rFonts w:ascii="宋体" w:hAnsi="宋体" w:cs="宋体"/>
          <w:b/>
          <w:sz w:val="24"/>
          <w:szCs w:val="24"/>
        </w:rPr>
      </w:pPr>
      <w:r>
        <w:rPr>
          <w:rFonts w:hint="eastAsia" w:ascii="宋体" w:hAnsi="宋体" w:cs="宋体"/>
          <w:szCs w:val="21"/>
        </w:rPr>
        <w:t>投标文件中所须加盖公章部分均采用CA签章（《启用备份投标文件申请书》外）；所涉及法定代表人或授权代表的签字（或盖章）均采用CA签章或按招标文件要求由法定代表人或授权代表本人签字（或盖章）后扫描上传。</w:t>
      </w:r>
    </w:p>
    <w:p>
      <w:pPr>
        <w:numPr>
          <w:ilvl w:val="0"/>
          <w:numId w:val="2"/>
        </w:numPr>
        <w:snapToGrid w:val="0"/>
        <w:spacing w:line="360" w:lineRule="auto"/>
        <w:jc w:val="both"/>
        <w:rPr>
          <w:rFonts w:ascii="宋体" w:hAnsi="宋体" w:cs="宋体"/>
          <w:b/>
          <w:sz w:val="24"/>
          <w:szCs w:val="24"/>
        </w:rPr>
      </w:pPr>
      <w:r>
        <w:rPr>
          <w:rFonts w:hint="eastAsia" w:ascii="宋体" w:hAnsi="宋体" w:cs="宋体"/>
          <w:b/>
          <w:sz w:val="24"/>
          <w:szCs w:val="24"/>
        </w:rPr>
        <w:t>知识产权</w:t>
      </w:r>
    </w:p>
    <w:p>
      <w:pPr>
        <w:numPr>
          <w:ilvl w:val="1"/>
          <w:numId w:val="2"/>
        </w:numPr>
        <w:snapToGrid w:val="0"/>
        <w:spacing w:line="360" w:lineRule="auto"/>
        <w:jc w:val="both"/>
        <w:rPr>
          <w:rFonts w:ascii="宋体" w:hAnsi="宋体" w:cs="宋体"/>
          <w:szCs w:val="21"/>
        </w:rPr>
      </w:pPr>
      <w:r>
        <w:rPr>
          <w:rFonts w:hint="eastAsia" w:ascii="宋体" w:hAnsi="宋体" w:cs="宋体"/>
          <w:szCs w:val="21"/>
        </w:rPr>
        <w:t>投标人应保证，招标采购单位在中华人民共和国使用货物的任何一部分时，免受第三方提出侵犯其专利权、商标权或其它知识产权的起诉。</w:t>
      </w:r>
    </w:p>
    <w:p>
      <w:pPr>
        <w:numPr>
          <w:ilvl w:val="1"/>
          <w:numId w:val="2"/>
        </w:numPr>
        <w:snapToGrid w:val="0"/>
        <w:spacing w:line="360" w:lineRule="auto"/>
        <w:jc w:val="both"/>
        <w:rPr>
          <w:rFonts w:ascii="宋体" w:hAnsi="宋体" w:cs="宋体"/>
          <w:szCs w:val="21"/>
        </w:rPr>
      </w:pPr>
      <w:r>
        <w:rPr>
          <w:rFonts w:hint="eastAsia" w:ascii="宋体" w:hAnsi="宋体" w:cs="宋体"/>
          <w:szCs w:val="21"/>
        </w:rPr>
        <w:t>投标报价应包括所有应支付的对专利权和版权、设计或其他知识产权而需要向其他方支付的版税。</w:t>
      </w:r>
    </w:p>
    <w:p>
      <w:pPr>
        <w:pStyle w:val="6"/>
        <w:spacing w:beforeLines="50" w:afterLines="50" w:line="360" w:lineRule="auto"/>
        <w:ind w:firstLine="2880" w:firstLineChars="1200"/>
        <w:jc w:val="both"/>
        <w:rPr>
          <w:rFonts w:ascii="宋体" w:hAnsi="宋体" w:eastAsia="等线" w:cs="宋体"/>
          <w:bCs w:val="0"/>
          <w:sz w:val="24"/>
          <w:szCs w:val="24"/>
        </w:rPr>
      </w:pPr>
      <w:bookmarkStart w:id="35" w:name="_Toc25916"/>
      <w:r>
        <w:rPr>
          <w:rFonts w:hint="eastAsia"/>
          <w:sz w:val="24"/>
          <w:szCs w:val="24"/>
        </w:rPr>
        <w:t>（五）投</w:t>
      </w:r>
      <w:r>
        <w:rPr>
          <w:rFonts w:hint="eastAsia" w:ascii="宋体" w:hAnsi="宋体" w:cs="宋体"/>
          <w:bCs w:val="0"/>
          <w:sz w:val="24"/>
          <w:szCs w:val="24"/>
        </w:rPr>
        <w:t>标文件的提交</w:t>
      </w:r>
      <w:bookmarkEnd w:id="35"/>
    </w:p>
    <w:p>
      <w:pPr>
        <w:numPr>
          <w:ilvl w:val="0"/>
          <w:numId w:val="2"/>
        </w:numPr>
        <w:snapToGrid w:val="0"/>
        <w:spacing w:line="360" w:lineRule="auto"/>
        <w:jc w:val="both"/>
        <w:rPr>
          <w:rFonts w:ascii="宋体" w:hAnsi="宋体" w:cs="宋体"/>
          <w:b/>
          <w:sz w:val="24"/>
        </w:rPr>
      </w:pPr>
      <w:r>
        <w:rPr>
          <w:rFonts w:hint="eastAsia" w:ascii="宋体" w:hAnsi="宋体" w:cs="宋体"/>
          <w:b/>
          <w:sz w:val="24"/>
        </w:rPr>
        <w:t>投标文件的提交</w:t>
      </w:r>
    </w:p>
    <w:p>
      <w:pPr>
        <w:numPr>
          <w:ilvl w:val="1"/>
          <w:numId w:val="2"/>
        </w:numPr>
        <w:snapToGrid w:val="0"/>
        <w:spacing w:line="360" w:lineRule="auto"/>
        <w:jc w:val="both"/>
        <w:rPr>
          <w:rFonts w:ascii="宋体" w:hAnsi="宋体" w:cs="宋体"/>
          <w:szCs w:val="21"/>
        </w:rPr>
      </w:pPr>
      <w:r>
        <w:rPr>
          <w:rFonts w:hint="eastAsia" w:ascii="宋体" w:hAnsi="宋体" w:cs="宋体"/>
          <w:szCs w:val="21"/>
        </w:rPr>
        <w:t>投标人在投标截止时间之前将生成的电子加密投标文件上传至政采云平台，投标人未按要求提交的电子加密投标文件，政采云平台将予以拒收。</w:t>
      </w:r>
    </w:p>
    <w:p>
      <w:pPr>
        <w:numPr>
          <w:ilvl w:val="1"/>
          <w:numId w:val="2"/>
        </w:numPr>
        <w:snapToGrid w:val="0"/>
        <w:spacing w:line="360" w:lineRule="auto"/>
        <w:jc w:val="both"/>
        <w:rPr>
          <w:rFonts w:ascii="宋体" w:hAnsi="宋体" w:cs="宋体"/>
          <w:szCs w:val="21"/>
        </w:rPr>
      </w:pPr>
      <w:r>
        <w:rPr>
          <w:rFonts w:hint="eastAsia" w:ascii="宋体" w:hAnsi="宋体" w:cs="宋体"/>
          <w:szCs w:val="21"/>
        </w:rPr>
        <w:t>建议投标人在投标截止时间之前将备份投标文件以电子邮件方式传送至集中采购机构邮箱（44721395@qq.com），传送的备份投标文件需加密压缩，压缩文件须以投标人全称命名，密码由投标人自行保管。如投标人多次发送邮件，以邮箱最新接收的备份投标文件为准。投标人未按要求提交备份投标文件的，视为无效备份投标文件。</w:t>
      </w:r>
    </w:p>
    <w:p>
      <w:pPr>
        <w:numPr>
          <w:ilvl w:val="0"/>
          <w:numId w:val="2"/>
        </w:numPr>
        <w:snapToGrid w:val="0"/>
        <w:spacing w:line="360" w:lineRule="auto"/>
        <w:jc w:val="both"/>
        <w:rPr>
          <w:rFonts w:ascii="宋体" w:hAnsi="宋体" w:cs="宋体"/>
          <w:b/>
          <w:sz w:val="24"/>
        </w:rPr>
      </w:pPr>
      <w:r>
        <w:rPr>
          <w:rFonts w:hint="eastAsia" w:ascii="宋体" w:hAnsi="宋体" w:cs="宋体"/>
          <w:b/>
          <w:sz w:val="24"/>
        </w:rPr>
        <w:t>投标文件的补充、修改与撤回</w:t>
      </w:r>
    </w:p>
    <w:p>
      <w:pPr>
        <w:numPr>
          <w:ilvl w:val="1"/>
          <w:numId w:val="2"/>
        </w:numPr>
        <w:snapToGrid w:val="0"/>
        <w:spacing w:line="360" w:lineRule="auto"/>
        <w:jc w:val="both"/>
        <w:rPr>
          <w:rFonts w:ascii="宋体" w:hAnsi="宋体" w:cs="宋体"/>
          <w:szCs w:val="21"/>
        </w:rPr>
      </w:pPr>
      <w:r>
        <w:rPr>
          <w:rFonts w:hint="eastAsia" w:ascii="宋体" w:hAnsi="宋体" w:cs="宋体"/>
          <w:szCs w:val="21"/>
        </w:rPr>
        <w:t>投标人在投标截止时间前可以补充、修改或者撤回电子加密投标文件。补充或者修改电子加密投标文件的，应当先行撤回原文件，补充、修改后重新传输提交。投标人需按要求重新发送最新的备份投标文件（电子加密投标文件与备份投标文件的内容要完全一致）。响应截止时间前未完成传输的，视为撤回投标文件。响应截止时间后提交的投标文件，将被政采云平台拒收。</w:t>
      </w:r>
    </w:p>
    <w:p>
      <w:pPr>
        <w:numPr>
          <w:ilvl w:val="0"/>
          <w:numId w:val="2"/>
        </w:numPr>
        <w:snapToGrid w:val="0"/>
        <w:spacing w:line="360" w:lineRule="auto"/>
        <w:jc w:val="both"/>
        <w:rPr>
          <w:rFonts w:ascii="宋体" w:hAnsi="宋体" w:cs="宋体"/>
          <w:b/>
          <w:sz w:val="24"/>
        </w:rPr>
      </w:pPr>
      <w:r>
        <w:rPr>
          <w:rFonts w:hint="eastAsia" w:ascii="宋体" w:hAnsi="宋体" w:cs="宋体"/>
          <w:b/>
          <w:sz w:val="24"/>
        </w:rPr>
        <w:t>投标截止时间</w:t>
      </w:r>
    </w:p>
    <w:p>
      <w:pPr>
        <w:numPr>
          <w:ilvl w:val="1"/>
          <w:numId w:val="2"/>
        </w:numPr>
        <w:snapToGrid w:val="0"/>
        <w:spacing w:line="360" w:lineRule="auto"/>
        <w:jc w:val="both"/>
        <w:rPr>
          <w:rFonts w:ascii="宋体" w:hAnsi="宋体" w:cs="宋体"/>
          <w:szCs w:val="22"/>
        </w:rPr>
      </w:pPr>
      <w:r>
        <w:rPr>
          <w:rFonts w:hint="eastAsia" w:ascii="宋体" w:hAnsi="宋体" w:cs="宋体"/>
          <w:szCs w:val="22"/>
        </w:rPr>
        <w:t>本次采购的投标文件解密开始时间及投标截止时间：见招标文件“招标公告”。集中采购机构收到投标文件的时间不得迟于规定的截止时间。</w:t>
      </w:r>
    </w:p>
    <w:p>
      <w:pPr>
        <w:numPr>
          <w:ilvl w:val="1"/>
          <w:numId w:val="2"/>
        </w:numPr>
        <w:snapToGrid w:val="0"/>
        <w:spacing w:line="360" w:lineRule="auto"/>
        <w:jc w:val="both"/>
        <w:rPr>
          <w:rFonts w:ascii="宋体" w:hAnsi="宋体" w:cs="宋体"/>
          <w:szCs w:val="22"/>
        </w:rPr>
      </w:pPr>
      <w:r>
        <w:rPr>
          <w:rFonts w:hint="eastAsia" w:ascii="宋体" w:hAnsi="宋体" w:cs="宋体"/>
          <w:szCs w:val="22"/>
        </w:rPr>
        <w:t>在推迟了投标开始时间的情况下，集中采购机构、采购人和投标人受制约的所有权利和义务均应延长至新的截止时间。</w:t>
      </w:r>
    </w:p>
    <w:p>
      <w:pPr>
        <w:pStyle w:val="6"/>
        <w:spacing w:beforeLines="50" w:afterLines="50" w:line="360" w:lineRule="auto"/>
        <w:jc w:val="center"/>
        <w:rPr>
          <w:sz w:val="24"/>
          <w:szCs w:val="24"/>
        </w:rPr>
      </w:pPr>
      <w:bookmarkStart w:id="36" w:name="_Toc11011"/>
      <w:r>
        <w:rPr>
          <w:rFonts w:hint="eastAsia"/>
          <w:sz w:val="24"/>
          <w:szCs w:val="24"/>
        </w:rPr>
        <w:t>（六）开标与评审</w:t>
      </w:r>
      <w:bookmarkEnd w:id="36"/>
    </w:p>
    <w:p>
      <w:pPr>
        <w:numPr>
          <w:ilvl w:val="0"/>
          <w:numId w:val="2"/>
        </w:numPr>
        <w:snapToGrid w:val="0"/>
        <w:spacing w:line="360" w:lineRule="auto"/>
        <w:jc w:val="both"/>
        <w:rPr>
          <w:rFonts w:ascii="Arial" w:hAnsi="Arial"/>
          <w:b/>
          <w:sz w:val="24"/>
        </w:rPr>
      </w:pPr>
      <w:r>
        <w:rPr>
          <w:rFonts w:hint="eastAsia" w:ascii="Arial" w:hAnsi="Arial"/>
          <w:b/>
          <w:sz w:val="24"/>
        </w:rPr>
        <w:t>开标</w:t>
      </w:r>
    </w:p>
    <w:p>
      <w:pPr>
        <w:numPr>
          <w:ilvl w:val="1"/>
          <w:numId w:val="2"/>
        </w:numPr>
        <w:snapToGrid w:val="0"/>
        <w:spacing w:line="360" w:lineRule="auto"/>
        <w:jc w:val="both"/>
        <w:rPr>
          <w:rFonts w:ascii="宋体" w:hAnsi="宋体" w:cs="宋体"/>
        </w:rPr>
      </w:pPr>
      <w:r>
        <w:rPr>
          <w:rFonts w:hint="eastAsia" w:ascii="宋体" w:hAnsi="宋体" w:cs="宋体"/>
        </w:rPr>
        <w:t>开标时间和地点：见本招标文件“</w:t>
      </w:r>
      <w:r>
        <w:rPr>
          <w:rFonts w:hint="eastAsia" w:ascii="宋体" w:hAnsi="宋体" w:cs="宋体"/>
          <w:szCs w:val="36"/>
        </w:rPr>
        <w:t>招标公告</w:t>
      </w:r>
      <w:r>
        <w:rPr>
          <w:rFonts w:hint="eastAsia" w:ascii="宋体" w:hAnsi="宋体" w:cs="宋体"/>
        </w:rPr>
        <w:t>”。</w:t>
      </w:r>
    </w:p>
    <w:p>
      <w:pPr>
        <w:numPr>
          <w:ilvl w:val="1"/>
          <w:numId w:val="2"/>
        </w:numPr>
        <w:snapToGrid w:val="0"/>
        <w:spacing w:line="360" w:lineRule="auto"/>
        <w:jc w:val="both"/>
        <w:rPr>
          <w:rFonts w:ascii="宋体" w:hAnsi="宋体" w:cs="宋体"/>
          <w:szCs w:val="21"/>
        </w:rPr>
      </w:pPr>
      <w:r>
        <w:rPr>
          <w:rFonts w:hint="eastAsia" w:ascii="宋体" w:hAnsi="宋体" w:cs="宋体"/>
        </w:rPr>
        <w:t>集中采购机构组织按照招标文件规定的时间通过政采云平台组织开标，</w:t>
      </w:r>
      <w:r>
        <w:rPr>
          <w:rFonts w:hint="eastAsia" w:ascii="宋体" w:hAnsi="宋体" w:cs="宋体"/>
          <w:szCs w:val="21"/>
        </w:rPr>
        <w:t>所有投标人均应当准时在线参加。</w:t>
      </w:r>
      <w:r>
        <w:rPr>
          <w:rFonts w:hint="eastAsia" w:ascii="宋体" w:hAnsi="宋体" w:cs="宋体"/>
          <w:b/>
          <w:bCs/>
          <w:szCs w:val="21"/>
        </w:rPr>
        <w:t>投标人未在线参加开标的，视同认可开标结果，事后不得对采购相关人员、开标过程和开标结果提出异议，同时投标人因未在线参加开标而导致投标文件无法按时解密等一切后果由投标人自己承担</w:t>
      </w:r>
      <w:r>
        <w:rPr>
          <w:rFonts w:hint="eastAsia" w:ascii="宋体" w:hAnsi="宋体" w:cs="宋体"/>
          <w:szCs w:val="21"/>
        </w:rPr>
        <w:t>。</w:t>
      </w:r>
    </w:p>
    <w:p>
      <w:pPr>
        <w:numPr>
          <w:ilvl w:val="0"/>
          <w:numId w:val="2"/>
        </w:numPr>
        <w:spacing w:line="360" w:lineRule="auto"/>
        <w:rPr>
          <w:rFonts w:ascii="宋体" w:hAnsi="宋体" w:cs="宋体"/>
          <w:b/>
          <w:sz w:val="24"/>
          <w:szCs w:val="24"/>
        </w:rPr>
      </w:pPr>
      <w:r>
        <w:rPr>
          <w:rFonts w:hint="eastAsia" w:ascii="宋体" w:hAnsi="宋体" w:cs="宋体"/>
          <w:b/>
          <w:sz w:val="24"/>
          <w:szCs w:val="24"/>
        </w:rPr>
        <w:t>电子投标文件的解密和异常处理</w:t>
      </w:r>
    </w:p>
    <w:p>
      <w:pPr>
        <w:numPr>
          <w:ilvl w:val="1"/>
          <w:numId w:val="2"/>
        </w:numPr>
        <w:snapToGrid w:val="0"/>
        <w:spacing w:line="360" w:lineRule="auto"/>
        <w:jc w:val="both"/>
        <w:rPr>
          <w:rFonts w:ascii="宋体" w:hAnsi="宋体" w:cs="宋体"/>
          <w:szCs w:val="21"/>
        </w:rPr>
      </w:pPr>
      <w:r>
        <w:rPr>
          <w:rFonts w:hint="eastAsia" w:ascii="宋体" w:hAnsi="宋体" w:cs="宋体"/>
          <w:szCs w:val="21"/>
        </w:rPr>
        <w:t>开标后，集中采购机构通过政采云平台向各投标人发出电子加密投标文件的解密通知，各投标人应当在接到解密通知后60分钟内自行完成电子加密投标文件的在线解密。电子加密投标文件已按时解密的，备份投标文件自动失效。</w:t>
      </w:r>
    </w:p>
    <w:p>
      <w:pPr>
        <w:numPr>
          <w:ilvl w:val="1"/>
          <w:numId w:val="2"/>
        </w:numPr>
        <w:snapToGrid w:val="0"/>
        <w:spacing w:line="360" w:lineRule="auto"/>
        <w:jc w:val="both"/>
        <w:rPr>
          <w:rFonts w:ascii="宋体" w:hAnsi="宋体" w:cs="宋体"/>
          <w:b/>
          <w:sz w:val="24"/>
          <w:szCs w:val="24"/>
        </w:rPr>
      </w:pPr>
      <w:r>
        <w:rPr>
          <w:rFonts w:hint="eastAsia" w:ascii="宋体" w:hAnsi="宋体" w:cs="宋体"/>
          <w:szCs w:val="21"/>
        </w:rPr>
        <w:t>电子加密投标文件解密失败且投标人按要求提交了备份投标文件的，投标人可填写《启用备份投标文件申请书》（见附件十一），于开标当天10：</w:t>
      </w:r>
      <w:r>
        <w:fldChar w:fldCharType="begin"/>
      </w:r>
      <w:r>
        <w:instrText xml:space="preserve"> HYPERLINK "mailto:45之前以电子邮件方式传送至集中采购机构邮箱（racgzxjsr@163.com），由集中采购机构将备份投标文件上传至政采云平台，上传成功后，电子加密投标文件自动失效，否则视为投标文件撤回。" </w:instrText>
      </w:r>
      <w:r>
        <w:fldChar w:fldCharType="separate"/>
      </w:r>
      <w:r>
        <w:rPr>
          <w:rFonts w:hint="eastAsia" w:ascii="宋体" w:hAnsi="宋体" w:cs="宋体"/>
          <w:szCs w:val="21"/>
        </w:rPr>
        <w:t>45之前以电子邮件方式传送至集中采购机构邮箱（44721395@qq.com），由集中采购机构将备份投标文件上传至政采云平台，上传成功后，电子加密投标文件自动失效，否则视为投标文件撤回。</w:t>
      </w:r>
      <w:r>
        <w:rPr>
          <w:rFonts w:hint="eastAsia" w:ascii="宋体" w:hAnsi="宋体" w:cs="宋体"/>
          <w:szCs w:val="21"/>
        </w:rPr>
        <w:fldChar w:fldCharType="end"/>
      </w:r>
    </w:p>
    <w:p>
      <w:pPr>
        <w:numPr>
          <w:ilvl w:val="1"/>
          <w:numId w:val="2"/>
        </w:numPr>
        <w:snapToGrid w:val="0"/>
        <w:spacing w:line="360" w:lineRule="auto"/>
        <w:jc w:val="both"/>
        <w:rPr>
          <w:rFonts w:ascii="宋体" w:hAnsi="宋体" w:cs="宋体"/>
          <w:bCs/>
          <w:sz w:val="24"/>
          <w:szCs w:val="24"/>
        </w:rPr>
      </w:pPr>
      <w:r>
        <w:rPr>
          <w:rFonts w:hint="eastAsia" w:cs="宋体"/>
          <w:bCs/>
        </w:rPr>
        <w:t>投标人政采云平台电子加密投标文件解密失败且未按要求提交了备份投标文件的，投标无效。</w:t>
      </w:r>
    </w:p>
    <w:p>
      <w:pPr>
        <w:numPr>
          <w:ilvl w:val="0"/>
          <w:numId w:val="2"/>
        </w:numPr>
        <w:spacing w:line="360" w:lineRule="auto"/>
        <w:rPr>
          <w:rFonts w:ascii="宋体" w:hAnsi="宋体" w:cs="宋体"/>
          <w:b/>
          <w:sz w:val="24"/>
          <w:szCs w:val="24"/>
        </w:rPr>
      </w:pPr>
      <w:r>
        <w:rPr>
          <w:rFonts w:hint="eastAsia" w:ascii="宋体" w:hAnsi="宋体" w:cs="宋体"/>
          <w:b/>
          <w:sz w:val="24"/>
          <w:szCs w:val="24"/>
        </w:rPr>
        <w:t>评标委员会</w:t>
      </w:r>
    </w:p>
    <w:p>
      <w:pPr>
        <w:numPr>
          <w:ilvl w:val="1"/>
          <w:numId w:val="2"/>
        </w:numPr>
        <w:snapToGrid w:val="0"/>
        <w:spacing w:line="360" w:lineRule="auto"/>
        <w:jc w:val="both"/>
        <w:rPr>
          <w:rFonts w:ascii="宋体" w:hAnsi="宋体" w:cs="宋体"/>
          <w:szCs w:val="21"/>
        </w:rPr>
      </w:pPr>
      <w:r>
        <w:rPr>
          <w:rFonts w:hint="eastAsia" w:ascii="宋体" w:hAnsi="宋体" w:cs="宋体"/>
          <w:szCs w:val="21"/>
        </w:rPr>
        <w:t>本次招标依法组建评标委员会。</w:t>
      </w:r>
    </w:p>
    <w:p>
      <w:pPr>
        <w:numPr>
          <w:ilvl w:val="1"/>
          <w:numId w:val="2"/>
        </w:numPr>
        <w:snapToGrid w:val="0"/>
        <w:spacing w:line="360" w:lineRule="auto"/>
        <w:jc w:val="both"/>
        <w:rPr>
          <w:rFonts w:ascii="宋体" w:hAnsi="宋体" w:cs="宋体"/>
          <w:szCs w:val="21"/>
        </w:rPr>
      </w:pPr>
      <w:r>
        <w:rPr>
          <w:rFonts w:hint="eastAsia" w:ascii="宋体" w:hAnsi="宋体" w:cs="Arial"/>
          <w:szCs w:val="21"/>
        </w:rPr>
        <w:t>评标委员会构成：由采购人代表以及有关专家组成，成员为5人及以上单数。</w:t>
      </w:r>
    </w:p>
    <w:p>
      <w:pPr>
        <w:numPr>
          <w:ilvl w:val="1"/>
          <w:numId w:val="2"/>
        </w:numPr>
        <w:snapToGrid w:val="0"/>
        <w:spacing w:line="360" w:lineRule="auto"/>
        <w:jc w:val="both"/>
        <w:rPr>
          <w:rFonts w:ascii="宋体" w:hAnsi="宋体" w:cs="宋体"/>
          <w:szCs w:val="21"/>
        </w:rPr>
      </w:pPr>
      <w:r>
        <w:rPr>
          <w:rFonts w:hint="eastAsia" w:ascii="宋体" w:hAnsi="宋体" w:cs="Arial"/>
          <w:szCs w:val="21"/>
        </w:rPr>
        <w:t>评标专家确定方式：按规定统一从专家库内抽取。</w:t>
      </w:r>
    </w:p>
    <w:p>
      <w:pPr>
        <w:numPr>
          <w:ilvl w:val="1"/>
          <w:numId w:val="2"/>
        </w:numPr>
        <w:snapToGrid w:val="0"/>
        <w:spacing w:line="360" w:lineRule="auto"/>
        <w:jc w:val="both"/>
        <w:rPr>
          <w:rFonts w:ascii="宋体" w:hAnsi="宋体" w:cs="宋体"/>
          <w:szCs w:val="21"/>
        </w:rPr>
      </w:pPr>
      <w:r>
        <w:rPr>
          <w:rFonts w:hint="eastAsia" w:ascii="宋体" w:hAnsi="宋体" w:cs="宋体"/>
          <w:szCs w:val="21"/>
        </w:rPr>
        <w:t>评标委员会依法根据招标文件的规定，对投标文件进行详细评审，并提交评标报告。</w:t>
      </w:r>
    </w:p>
    <w:p>
      <w:pPr>
        <w:numPr>
          <w:ilvl w:val="0"/>
          <w:numId w:val="2"/>
        </w:numPr>
        <w:spacing w:line="360" w:lineRule="auto"/>
        <w:rPr>
          <w:rFonts w:ascii="宋体" w:hAnsi="宋体" w:cs="宋体"/>
          <w:b/>
          <w:sz w:val="24"/>
          <w:szCs w:val="24"/>
        </w:rPr>
      </w:pPr>
      <w:r>
        <w:rPr>
          <w:rFonts w:hint="eastAsia" w:ascii="宋体" w:hAnsi="宋体" w:cs="宋体"/>
          <w:b/>
          <w:sz w:val="24"/>
          <w:szCs w:val="24"/>
        </w:rPr>
        <w:t>评标原则和评标方法</w:t>
      </w:r>
    </w:p>
    <w:p>
      <w:pPr>
        <w:numPr>
          <w:ilvl w:val="1"/>
          <w:numId w:val="2"/>
        </w:numPr>
        <w:snapToGrid w:val="0"/>
        <w:spacing w:line="360" w:lineRule="auto"/>
        <w:jc w:val="both"/>
        <w:rPr>
          <w:rFonts w:ascii="宋体" w:hAnsi="宋体" w:cs="宋体"/>
          <w:szCs w:val="21"/>
        </w:rPr>
      </w:pPr>
      <w:r>
        <w:rPr>
          <w:rFonts w:hint="eastAsia" w:ascii="宋体" w:hAnsi="宋体" w:cs="宋体"/>
          <w:szCs w:val="21"/>
        </w:rPr>
        <w:t>评标原则：评审工作应依据《中华人民共和国政府采购法》及其实施条例、国家和地方政府有关政府采购政策的有关规定，遵循“公开、公平、公正、择优、信用”的原则。</w:t>
      </w:r>
    </w:p>
    <w:p>
      <w:pPr>
        <w:numPr>
          <w:ilvl w:val="1"/>
          <w:numId w:val="2"/>
        </w:numPr>
        <w:snapToGrid w:val="0"/>
        <w:spacing w:line="360" w:lineRule="auto"/>
        <w:jc w:val="both"/>
        <w:rPr>
          <w:rFonts w:ascii="宋体" w:hAnsi="宋体" w:cs="宋体"/>
          <w:szCs w:val="21"/>
        </w:rPr>
      </w:pPr>
      <w:r>
        <w:rPr>
          <w:rFonts w:hint="eastAsia" w:ascii="宋体" w:hAnsi="宋体" w:cs="宋体"/>
          <w:szCs w:val="21"/>
        </w:rPr>
        <w:t>评标方法：采用综合评分法。</w:t>
      </w:r>
    </w:p>
    <w:p>
      <w:pPr>
        <w:numPr>
          <w:ilvl w:val="0"/>
          <w:numId w:val="2"/>
        </w:numPr>
        <w:spacing w:line="360" w:lineRule="auto"/>
        <w:rPr>
          <w:rFonts w:ascii="宋体" w:hAnsi="宋体" w:cs="宋体"/>
          <w:b/>
          <w:sz w:val="24"/>
          <w:szCs w:val="24"/>
        </w:rPr>
      </w:pPr>
      <w:r>
        <w:rPr>
          <w:rFonts w:hint="eastAsia" w:ascii="宋体" w:hAnsi="宋体" w:cs="宋体"/>
          <w:b/>
          <w:sz w:val="24"/>
          <w:szCs w:val="24"/>
        </w:rPr>
        <w:t>评标</w:t>
      </w:r>
    </w:p>
    <w:p>
      <w:pPr>
        <w:numPr>
          <w:ilvl w:val="1"/>
          <w:numId w:val="2"/>
        </w:numPr>
        <w:snapToGrid w:val="0"/>
        <w:spacing w:line="360" w:lineRule="auto"/>
        <w:jc w:val="both"/>
        <w:rPr>
          <w:rFonts w:ascii="宋体" w:hAnsi="宋体" w:cs="宋体"/>
          <w:szCs w:val="21"/>
        </w:rPr>
      </w:pPr>
      <w:r>
        <w:rPr>
          <w:rFonts w:hint="eastAsia" w:ascii="Arial" w:hAnsi="Arial"/>
        </w:rPr>
        <w:t>资</w:t>
      </w:r>
      <w:r>
        <w:rPr>
          <w:rFonts w:hint="eastAsia" w:ascii="宋体" w:hAnsi="宋体" w:cs="宋体"/>
          <w:szCs w:val="21"/>
        </w:rPr>
        <w:t>格性审查：开标结束后，招标采购单位依法对投标人的资格进行审查。</w:t>
      </w:r>
    </w:p>
    <w:p>
      <w:pPr>
        <w:numPr>
          <w:ilvl w:val="1"/>
          <w:numId w:val="2"/>
        </w:numPr>
        <w:snapToGrid w:val="0"/>
        <w:spacing w:line="360" w:lineRule="auto"/>
        <w:jc w:val="both"/>
        <w:rPr>
          <w:rFonts w:ascii="宋体" w:hAnsi="宋体" w:cs="宋体"/>
          <w:szCs w:val="21"/>
        </w:rPr>
      </w:pPr>
      <w:r>
        <w:rPr>
          <w:rFonts w:hint="eastAsia" w:ascii="宋体" w:hAnsi="宋体" w:cs="宋体"/>
          <w:szCs w:val="21"/>
        </w:rPr>
        <w:t>符合性审查：评标委员会对符合资格的投标人的投标文件进行符合性审查，以确定其是否满足招标文件的实质性要求。</w:t>
      </w:r>
    </w:p>
    <w:p>
      <w:pPr>
        <w:numPr>
          <w:ilvl w:val="1"/>
          <w:numId w:val="2"/>
        </w:numPr>
        <w:snapToGrid w:val="0"/>
        <w:spacing w:line="360" w:lineRule="auto"/>
        <w:jc w:val="both"/>
        <w:rPr>
          <w:rFonts w:ascii="宋体" w:hAnsi="宋体" w:cs="宋体"/>
          <w:szCs w:val="21"/>
        </w:rPr>
      </w:pPr>
      <w:r>
        <w:rPr>
          <w:rFonts w:hint="eastAsia" w:ascii="宋体" w:hAnsi="宋体" w:cs="宋体"/>
          <w:szCs w:val="21"/>
        </w:rPr>
        <w:t>投标人有下列情形之一的，视为投标人串通投标：</w:t>
      </w:r>
    </w:p>
    <w:p>
      <w:pPr>
        <w:snapToGrid w:val="0"/>
        <w:spacing w:line="360" w:lineRule="auto"/>
        <w:ind w:left="420" w:firstLine="420"/>
        <w:jc w:val="both"/>
        <w:rPr>
          <w:rFonts w:ascii="宋体" w:hAnsi="宋体" w:cs="宋体"/>
          <w:szCs w:val="21"/>
        </w:rPr>
      </w:pPr>
      <w:r>
        <w:rPr>
          <w:rFonts w:hint="eastAsia" w:ascii="宋体" w:hAnsi="宋体" w:cs="宋体"/>
          <w:szCs w:val="21"/>
        </w:rPr>
        <w:t>（1）不同投标人的投标文件由同一单位或人员编制的；</w:t>
      </w:r>
    </w:p>
    <w:p>
      <w:pPr>
        <w:snapToGrid w:val="0"/>
        <w:spacing w:line="360" w:lineRule="auto"/>
        <w:ind w:left="420" w:firstLine="420"/>
        <w:jc w:val="both"/>
        <w:rPr>
          <w:rFonts w:ascii="宋体" w:hAnsi="宋体" w:cs="宋体"/>
          <w:szCs w:val="21"/>
        </w:rPr>
      </w:pPr>
      <w:r>
        <w:rPr>
          <w:rFonts w:hint="eastAsia" w:ascii="宋体" w:hAnsi="宋体" w:cs="宋体"/>
          <w:szCs w:val="21"/>
        </w:rPr>
        <w:t>（2）不同投标人委托同一单位或人员办理投标事宜的；</w:t>
      </w:r>
    </w:p>
    <w:p>
      <w:pPr>
        <w:snapToGrid w:val="0"/>
        <w:spacing w:line="360" w:lineRule="auto"/>
        <w:ind w:left="420" w:firstLine="420"/>
        <w:jc w:val="both"/>
        <w:rPr>
          <w:rFonts w:ascii="宋体" w:hAnsi="宋体" w:cs="宋体"/>
          <w:szCs w:val="21"/>
        </w:rPr>
      </w:pPr>
      <w:r>
        <w:rPr>
          <w:rFonts w:hint="eastAsia" w:ascii="宋体" w:hAnsi="宋体" w:cs="宋体"/>
          <w:szCs w:val="21"/>
        </w:rPr>
        <w:t>（3）不同投标人的投标文件载明的项目管理成员或者联系人员为同一人；</w:t>
      </w:r>
    </w:p>
    <w:p>
      <w:pPr>
        <w:snapToGrid w:val="0"/>
        <w:spacing w:line="360" w:lineRule="auto"/>
        <w:ind w:left="420" w:firstLine="420"/>
        <w:jc w:val="both"/>
        <w:rPr>
          <w:rFonts w:ascii="宋体" w:hAnsi="宋体" w:cs="宋体"/>
          <w:szCs w:val="21"/>
        </w:rPr>
      </w:pPr>
      <w:r>
        <w:rPr>
          <w:rFonts w:hint="eastAsia" w:ascii="宋体" w:hAnsi="宋体" w:cs="宋体"/>
          <w:szCs w:val="21"/>
        </w:rPr>
        <w:t>（4）不同投标人的投标文件异常一致或者投标报价呈规律性差异；</w:t>
      </w:r>
    </w:p>
    <w:p>
      <w:pPr>
        <w:snapToGrid w:val="0"/>
        <w:spacing w:line="360" w:lineRule="auto"/>
        <w:ind w:left="420" w:firstLine="420"/>
        <w:jc w:val="both"/>
        <w:rPr>
          <w:rFonts w:ascii="宋体" w:hAnsi="宋体" w:cs="宋体"/>
          <w:szCs w:val="21"/>
        </w:rPr>
      </w:pPr>
      <w:r>
        <w:rPr>
          <w:rFonts w:hint="eastAsia" w:ascii="宋体" w:hAnsi="宋体" w:cs="宋体"/>
          <w:szCs w:val="21"/>
        </w:rPr>
        <w:t>（5）不同投标人的投标文件相互混装；</w:t>
      </w:r>
    </w:p>
    <w:p>
      <w:pPr>
        <w:snapToGrid w:val="0"/>
        <w:spacing w:line="360" w:lineRule="auto"/>
        <w:ind w:left="420" w:firstLine="420"/>
        <w:jc w:val="both"/>
        <w:rPr>
          <w:rFonts w:ascii="宋体" w:hAnsi="宋体" w:cs="宋体"/>
          <w:szCs w:val="21"/>
        </w:rPr>
      </w:pPr>
      <w:r>
        <w:rPr>
          <w:rFonts w:hint="eastAsia" w:ascii="宋体" w:hAnsi="宋体" w:cs="宋体"/>
          <w:szCs w:val="21"/>
        </w:rPr>
        <w:t>（6）法律、法规或规章规定的其他串通行为。</w:t>
      </w:r>
    </w:p>
    <w:p>
      <w:pPr>
        <w:numPr>
          <w:ilvl w:val="1"/>
          <w:numId w:val="2"/>
        </w:numPr>
        <w:snapToGrid w:val="0"/>
        <w:spacing w:line="360" w:lineRule="auto"/>
        <w:jc w:val="both"/>
        <w:rPr>
          <w:rFonts w:ascii="宋体" w:hAnsi="宋体" w:cs="宋体"/>
          <w:szCs w:val="21"/>
        </w:rPr>
      </w:pPr>
      <w:r>
        <w:rPr>
          <w:rFonts w:hint="eastAsia" w:ascii="Arial" w:hAnsi="Arial"/>
        </w:rPr>
        <w:t>投标文件出现下列情况</w:t>
      </w:r>
      <w:r>
        <w:rPr>
          <w:rFonts w:hint="eastAsia" w:ascii="宋体" w:hAnsi="宋体" w:cs="宋体"/>
          <w:szCs w:val="21"/>
        </w:rPr>
        <w:t>，按</w:t>
      </w:r>
      <w:r>
        <w:rPr>
          <w:rFonts w:hint="eastAsia" w:ascii="宋体" w:hAnsi="宋体" w:cs="宋体"/>
          <w:b/>
          <w:szCs w:val="21"/>
        </w:rPr>
        <w:t>无效投标</w:t>
      </w:r>
      <w:r>
        <w:rPr>
          <w:rFonts w:hint="eastAsia" w:ascii="宋体" w:hAnsi="宋体" w:cs="宋体"/>
          <w:szCs w:val="21"/>
        </w:rPr>
        <w:t>处理：</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宋体"/>
          <w:szCs w:val="21"/>
        </w:rPr>
        <w:t>（1）</w:t>
      </w:r>
      <w:r>
        <w:rPr>
          <w:rFonts w:ascii="宋体" w:hAnsi="宋体" w:cs="宋体"/>
          <w:szCs w:val="21"/>
        </w:rPr>
        <w:t>投标</w:t>
      </w:r>
      <w:r>
        <w:rPr>
          <w:rFonts w:hint="eastAsia" w:ascii="宋体" w:hAnsi="宋体" w:cs="宋体"/>
          <w:szCs w:val="21"/>
        </w:rPr>
        <w:t>报价</w:t>
      </w:r>
      <w:r>
        <w:rPr>
          <w:rFonts w:ascii="宋体" w:hAnsi="宋体" w:cs="宋体"/>
          <w:szCs w:val="21"/>
        </w:rPr>
        <w:t>不是固定价</w:t>
      </w:r>
      <w:r>
        <w:rPr>
          <w:rFonts w:hint="eastAsia" w:ascii="宋体" w:hAnsi="宋体" w:cs="宋体"/>
          <w:szCs w:val="21"/>
        </w:rPr>
        <w:t>的</w:t>
      </w:r>
      <w:r>
        <w:rPr>
          <w:rFonts w:ascii="宋体" w:hAnsi="宋体" w:cs="宋体"/>
          <w:szCs w:val="21"/>
        </w:rPr>
        <w:t>；</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宋体"/>
          <w:szCs w:val="21"/>
        </w:rPr>
        <w:t>（2）</w:t>
      </w:r>
      <w:r>
        <w:rPr>
          <w:rFonts w:ascii="宋体" w:hAnsi="宋体" w:cs="宋体"/>
          <w:szCs w:val="21"/>
        </w:rPr>
        <w:t>投标有效期不足的；</w:t>
      </w:r>
    </w:p>
    <w:p>
      <w:pPr>
        <w:widowControl w:val="0"/>
        <w:tabs>
          <w:tab w:val="left" w:pos="993"/>
          <w:tab w:val="left" w:pos="1560"/>
        </w:tabs>
        <w:spacing w:line="360" w:lineRule="auto"/>
        <w:ind w:left="1260" w:leftChars="400" w:hanging="420" w:hangingChars="200"/>
        <w:jc w:val="both"/>
        <w:rPr>
          <w:rFonts w:ascii="宋体" w:hAnsi="宋体" w:eastAsia="等线"/>
          <w:b/>
          <w:szCs w:val="21"/>
        </w:rPr>
      </w:pPr>
      <w:r>
        <w:rPr>
          <w:rFonts w:hint="eastAsia" w:ascii="宋体" w:hAnsi="宋体"/>
          <w:bCs/>
        </w:rPr>
        <w:t>（3）</w:t>
      </w:r>
      <w:r>
        <w:rPr>
          <w:rFonts w:ascii="宋体" w:hAnsi="宋体" w:cs="宋体"/>
          <w:szCs w:val="21"/>
        </w:rPr>
        <w:t>投标</w:t>
      </w:r>
      <w:r>
        <w:rPr>
          <w:rFonts w:hint="eastAsia" w:ascii="宋体" w:hAnsi="宋体" w:cs="宋体"/>
          <w:szCs w:val="21"/>
        </w:rPr>
        <w:t>报价</w:t>
      </w:r>
      <w:r>
        <w:rPr>
          <w:rFonts w:hint="eastAsia" w:ascii="Arial" w:hAnsi="Arial" w:cs="Arial"/>
          <w:snapToGrid w:val="0"/>
        </w:rPr>
        <w:t>超过预算的；</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bCs/>
          <w:szCs w:val="21"/>
        </w:rPr>
        <w:t>（4）</w:t>
      </w:r>
      <w:r>
        <w:rPr>
          <w:rFonts w:hint="eastAsia" w:ascii="宋体" w:hAnsi="宋体" w:cs="宋体"/>
          <w:szCs w:val="21"/>
        </w:rPr>
        <w:t>单价与总价不相符，又不接受评标委员会修正的投标总价的</w:t>
      </w:r>
      <w:r>
        <w:rPr>
          <w:rFonts w:ascii="宋体" w:hAnsi="宋体" w:cs="宋体"/>
          <w:szCs w:val="21"/>
        </w:rPr>
        <w:t>；</w:t>
      </w:r>
    </w:p>
    <w:p>
      <w:pPr>
        <w:widowControl w:val="0"/>
        <w:tabs>
          <w:tab w:val="left" w:pos="993"/>
          <w:tab w:val="left" w:pos="1560"/>
        </w:tabs>
        <w:spacing w:line="360" w:lineRule="auto"/>
        <w:ind w:left="840" w:leftChars="400"/>
        <w:jc w:val="both"/>
        <w:rPr>
          <w:rFonts w:ascii="宋体" w:hAnsi="宋体" w:cs="宋体"/>
          <w:szCs w:val="21"/>
        </w:rPr>
      </w:pPr>
      <w:r>
        <w:rPr>
          <w:rFonts w:hint="eastAsia" w:ascii="宋体" w:hAnsi="宋体" w:cs="宋体"/>
          <w:szCs w:val="21"/>
        </w:rPr>
        <w:t>（5）</w:t>
      </w:r>
      <w:r>
        <w:rPr>
          <w:rFonts w:ascii="宋体" w:hAnsi="宋体" w:cs="Arial"/>
          <w:szCs w:val="21"/>
        </w:rPr>
        <w:t>评标委员会认为投标人的报价明显低于其他通过符合性审查投标人的报价，有可能影</w:t>
      </w:r>
      <w:r>
        <w:rPr>
          <w:rFonts w:hint="eastAsia" w:ascii="宋体" w:hAnsi="宋体" w:cs="Arial"/>
          <w:szCs w:val="21"/>
        </w:rPr>
        <w:tab/>
      </w:r>
      <w:r>
        <w:rPr>
          <w:rFonts w:ascii="宋体" w:hAnsi="宋体" w:cs="Arial"/>
          <w:szCs w:val="21"/>
        </w:rPr>
        <w:t>响产品质量或者不能诚信履约的，</w:t>
      </w:r>
      <w:r>
        <w:rPr>
          <w:rFonts w:hint="eastAsia" w:ascii="宋体" w:hAnsi="宋体" w:cs="Arial"/>
          <w:szCs w:val="21"/>
        </w:rPr>
        <w:t>应当</w:t>
      </w:r>
      <w:r>
        <w:rPr>
          <w:rFonts w:ascii="宋体" w:hAnsi="宋体" w:cs="Arial"/>
          <w:szCs w:val="21"/>
        </w:rPr>
        <w:t>要求其在评标现场合理的时间内提供书面说明，</w:t>
      </w:r>
      <w:r>
        <w:rPr>
          <w:rFonts w:hint="eastAsia" w:ascii="宋体" w:hAnsi="宋体" w:cs="Arial"/>
          <w:szCs w:val="21"/>
        </w:rPr>
        <w:tab/>
      </w:r>
      <w:r>
        <w:rPr>
          <w:rFonts w:ascii="宋体" w:hAnsi="宋体" w:cs="Arial"/>
          <w:szCs w:val="21"/>
        </w:rPr>
        <w:t>必要时提交相关证明材料；投标人不能证明其报价合理性的</w:t>
      </w:r>
      <w:r>
        <w:rPr>
          <w:rFonts w:hint="eastAsia" w:ascii="宋体" w:hAnsi="宋体"/>
          <w:bCs/>
        </w:rPr>
        <w:t>；</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Arial"/>
          <w:szCs w:val="21"/>
        </w:rPr>
        <w:t>（6）</w:t>
      </w:r>
      <w:r>
        <w:rPr>
          <w:rFonts w:hint="eastAsia" w:ascii="宋体" w:hAnsi="宋体" w:cs="宋体"/>
          <w:szCs w:val="21"/>
        </w:rPr>
        <w:t>投标人被视为</w:t>
      </w:r>
      <w:r>
        <w:rPr>
          <w:rFonts w:ascii="宋体" w:hAnsi="宋体" w:cs="宋体"/>
          <w:szCs w:val="21"/>
        </w:rPr>
        <w:t>串</w:t>
      </w:r>
      <w:r>
        <w:rPr>
          <w:rFonts w:hint="eastAsia" w:ascii="宋体" w:hAnsi="宋体" w:cs="宋体"/>
          <w:szCs w:val="21"/>
        </w:rPr>
        <w:t>通投</w:t>
      </w:r>
      <w:r>
        <w:rPr>
          <w:rFonts w:ascii="宋体" w:hAnsi="宋体" w:cs="宋体"/>
          <w:szCs w:val="21"/>
        </w:rPr>
        <w:t>标的；</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szCs w:val="21"/>
        </w:rPr>
        <w:t>（7）</w:t>
      </w:r>
      <w:r>
        <w:rPr>
          <w:rFonts w:ascii="宋体" w:hAnsi="宋体" w:cs="宋体"/>
          <w:szCs w:val="21"/>
        </w:rPr>
        <w:t>不具备招标文件中规定资格要求的；</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宋体"/>
          <w:szCs w:val="21"/>
        </w:rPr>
        <w:t>（8）</w:t>
      </w:r>
      <w:r>
        <w:rPr>
          <w:rFonts w:ascii="宋体" w:hAnsi="宋体"/>
        </w:rPr>
        <w:t>投标文件含有采购人不能接受的附加条件的</w:t>
      </w:r>
      <w:r>
        <w:rPr>
          <w:rFonts w:hint="eastAsia" w:ascii="宋体" w:hAnsi="宋体"/>
        </w:rPr>
        <w:t>；</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宋体"/>
          <w:szCs w:val="21"/>
        </w:rPr>
        <w:t>（9）未实质性响应招标文件要求的；</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rPr>
        <w:t>（10）</w:t>
      </w:r>
      <w:r>
        <w:rPr>
          <w:rFonts w:hint="eastAsia" w:ascii="宋体" w:hAnsi="宋体" w:cs="宋体"/>
          <w:szCs w:val="21"/>
        </w:rPr>
        <w:t>未按要求提供技术响应表的；</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宋体"/>
          <w:szCs w:val="21"/>
        </w:rPr>
        <w:t>（11）不满足规定技术要求或商务有重大偏离或保留的；</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宋体"/>
          <w:szCs w:val="21"/>
        </w:rPr>
        <w:t>（12）</w:t>
      </w:r>
      <w:r>
        <w:rPr>
          <w:rFonts w:hint="eastAsia" w:ascii="宋体" w:hAnsi="宋体" w:cs="宋体"/>
          <w:b/>
          <w:bCs/>
          <w:szCs w:val="21"/>
        </w:rPr>
        <w:t>电子加密投标文件解密失败，且未按规定提交备份投标文件的；</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宋体"/>
          <w:szCs w:val="21"/>
        </w:rPr>
        <w:t>（13）</w:t>
      </w:r>
      <w:r>
        <w:rPr>
          <w:rFonts w:hint="eastAsia" w:ascii="宋体" w:hAnsi="宋体" w:cs="宋体"/>
          <w:b/>
          <w:bCs/>
          <w:szCs w:val="21"/>
        </w:rPr>
        <w:t>仅提供备份投标文件的；</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宋体"/>
          <w:szCs w:val="21"/>
        </w:rPr>
        <w:t>（14）单位负责人为同一人或存在直接控股、管理关系的不同投标人，则所涉投标人投标</w:t>
      </w:r>
      <w:r>
        <w:rPr>
          <w:rFonts w:hint="eastAsia" w:ascii="宋体" w:hAnsi="宋体" w:cs="宋体"/>
          <w:szCs w:val="21"/>
        </w:rPr>
        <w:tab/>
      </w:r>
      <w:r>
        <w:rPr>
          <w:rFonts w:hint="eastAsia" w:ascii="宋体" w:hAnsi="宋体" w:cs="宋体"/>
          <w:szCs w:val="21"/>
        </w:rPr>
        <w:t>均为无效；</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Arial"/>
        </w:rPr>
        <w:t>（15）存在不良信用记录的（指招标文件的（二）总则第5条）；</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宋体"/>
          <w:szCs w:val="21"/>
        </w:rPr>
        <w:t>（16）</w:t>
      </w:r>
      <w:r>
        <w:rPr>
          <w:rFonts w:ascii="Arial" w:hAnsi="Arial"/>
        </w:rPr>
        <w:t>投标文件未按</w:t>
      </w:r>
      <w:r>
        <w:rPr>
          <w:rFonts w:hint="eastAsia" w:ascii="Arial" w:hAnsi="Arial"/>
        </w:rPr>
        <w:t>招标</w:t>
      </w:r>
      <w:r>
        <w:rPr>
          <w:rFonts w:ascii="Arial" w:hAnsi="Arial"/>
        </w:rPr>
        <w:t>文件要求签署、盖章的</w:t>
      </w:r>
      <w:r>
        <w:rPr>
          <w:rFonts w:hint="eastAsia" w:ascii="Arial" w:hAnsi="Arial"/>
        </w:rPr>
        <w:t>；</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宋体"/>
          <w:szCs w:val="21"/>
        </w:rPr>
        <w:t>（17）未提供招标文件要求的节能认证证明的；</w:t>
      </w:r>
    </w:p>
    <w:p>
      <w:pPr>
        <w:widowControl w:val="0"/>
        <w:tabs>
          <w:tab w:val="left" w:pos="993"/>
          <w:tab w:val="left" w:pos="1560"/>
        </w:tabs>
        <w:spacing w:line="360" w:lineRule="auto"/>
        <w:ind w:firstLine="840" w:firstLineChars="400"/>
        <w:jc w:val="both"/>
        <w:rPr>
          <w:rFonts w:ascii="宋体" w:hAnsi="宋体" w:cs="宋体"/>
          <w:b/>
          <w:bCs/>
          <w:szCs w:val="21"/>
        </w:rPr>
      </w:pPr>
      <w:r>
        <w:rPr>
          <w:rFonts w:hint="eastAsia" w:ascii="宋体" w:hAnsi="宋体" w:cs="宋体"/>
          <w:szCs w:val="21"/>
        </w:rPr>
        <w:t>（18）</w:t>
      </w:r>
      <w:r>
        <w:rPr>
          <w:rFonts w:hint="eastAsia" w:ascii="宋体" w:hAnsi="宋体" w:cs="宋体"/>
          <w:b/>
          <w:bCs/>
          <w:szCs w:val="21"/>
        </w:rPr>
        <w:t>未提供</w:t>
      </w:r>
      <w:r>
        <w:rPr>
          <w:rFonts w:hint="eastAsia" w:hAnsi="宋体" w:cs="宋体"/>
          <w:b/>
          <w:bCs/>
          <w:szCs w:val="21"/>
        </w:rPr>
        <w:t>关于</w:t>
      </w:r>
      <w:r>
        <w:rPr>
          <w:rFonts w:hint="eastAsia" w:ascii="宋体" w:hAnsi="宋体" w:cs="宋体"/>
          <w:b/>
          <w:bCs/>
          <w:szCs w:val="21"/>
        </w:rPr>
        <w:t>符合《中华人民共和国政府采购法》第二十二条规定条件的承诺函的；</w:t>
      </w:r>
    </w:p>
    <w:p>
      <w:pPr>
        <w:widowControl w:val="0"/>
        <w:tabs>
          <w:tab w:val="left" w:pos="993"/>
          <w:tab w:val="left" w:pos="1560"/>
        </w:tabs>
        <w:spacing w:line="360" w:lineRule="auto"/>
        <w:ind w:firstLine="840" w:firstLineChars="400"/>
        <w:jc w:val="both"/>
        <w:rPr>
          <w:rFonts w:ascii="宋体" w:hAnsi="宋体" w:cs="宋体"/>
          <w:szCs w:val="21"/>
        </w:rPr>
      </w:pPr>
      <w:r>
        <w:rPr>
          <w:rFonts w:hint="eastAsia" w:ascii="宋体" w:hAnsi="宋体" w:cs="宋体"/>
          <w:szCs w:val="21"/>
        </w:rPr>
        <w:t>（19）</w:t>
      </w:r>
      <w:r>
        <w:rPr>
          <w:rFonts w:ascii="宋体" w:hAnsi="宋体"/>
          <w:szCs w:val="21"/>
        </w:rPr>
        <w:t>不符合</w:t>
      </w:r>
      <w:r>
        <w:rPr>
          <w:rFonts w:ascii="宋体" w:hAnsi="宋体" w:cs="宋体"/>
          <w:szCs w:val="21"/>
        </w:rPr>
        <w:t>法律、法规和招标文件规定的其他实质性要求的。</w:t>
      </w:r>
    </w:p>
    <w:p>
      <w:pPr>
        <w:numPr>
          <w:ilvl w:val="1"/>
          <w:numId w:val="2"/>
        </w:numPr>
        <w:snapToGrid w:val="0"/>
        <w:spacing w:line="360" w:lineRule="auto"/>
        <w:jc w:val="both"/>
        <w:rPr>
          <w:rFonts w:ascii="宋体" w:hAnsi="宋体" w:cs="宋体"/>
          <w:szCs w:val="21"/>
        </w:rPr>
      </w:pPr>
      <w:r>
        <w:rPr>
          <w:rFonts w:hint="eastAsia" w:ascii="宋体" w:hAnsi="宋体" w:cs="宋体"/>
          <w:szCs w:val="21"/>
        </w:rPr>
        <w:t>澄清有关问题：评标委员会</w:t>
      </w:r>
      <w:r>
        <w:rPr>
          <w:rFonts w:hint="eastAsia" w:ascii="宋体" w:hAnsi="宋体" w:cs="宋体"/>
          <w:snapToGrid w:val="0"/>
          <w:szCs w:val="21"/>
        </w:rPr>
        <w:t>在对投标文件的有效性、完整性和响应程度进行审查时，可以要求投标人对投标文件中含义不明确、同类问题表述不一致或者有明显文字和计算错误的内容等作出必要的澄清、说明或者更正。</w:t>
      </w:r>
      <w:r>
        <w:rPr>
          <w:rFonts w:hint="eastAsia" w:ascii="宋体" w:hAnsi="宋体" w:cs="宋体"/>
          <w:b/>
          <w:bCs/>
          <w:szCs w:val="21"/>
        </w:rPr>
        <w:t>评审小组将通过政采云平台发出询标函，要求投标人在规定的时间内作出必要的澄清、说明或者补正。投标人的澄清、说明或者补正应通过政采云平台提交澄清函（需</w:t>
      </w:r>
      <w:bookmarkStart w:id="37" w:name="_Hlk35776470"/>
      <w:r>
        <w:rPr>
          <w:rFonts w:hint="eastAsia" w:ascii="宋体" w:hAnsi="宋体" w:cs="宋体"/>
          <w:b/>
          <w:bCs/>
          <w:szCs w:val="21"/>
        </w:rPr>
        <w:t>CA签章</w:t>
      </w:r>
      <w:bookmarkEnd w:id="37"/>
      <w:r>
        <w:rPr>
          <w:rFonts w:hint="eastAsia" w:ascii="宋体" w:hAnsi="宋体" w:cs="宋体"/>
          <w:b/>
          <w:bCs/>
          <w:szCs w:val="21"/>
        </w:rPr>
        <w:t>）。投标人的澄清、说明或者补正不得超出投标文件的范围或者改变投标文件的实质性内容。</w:t>
      </w:r>
    </w:p>
    <w:p>
      <w:pPr>
        <w:numPr>
          <w:ilvl w:val="1"/>
          <w:numId w:val="2"/>
        </w:numPr>
        <w:snapToGrid w:val="0"/>
        <w:spacing w:line="360" w:lineRule="auto"/>
        <w:jc w:val="both"/>
        <w:rPr>
          <w:rFonts w:ascii="宋体" w:hAnsi="宋体" w:cs="宋体"/>
          <w:szCs w:val="21"/>
        </w:rPr>
      </w:pPr>
      <w:r>
        <w:rPr>
          <w:rFonts w:hint="eastAsia" w:ascii="宋体" w:hAnsi="宋体" w:cs="宋体"/>
          <w:szCs w:val="21"/>
        </w:rPr>
        <w:t>如评审委员会一致认为某个投标人的报价明显不合理，有降低服务质量、不能诚信履行及不正当竞争的可能时，评审委员会有权通知投标人限期进行解释。若该投标人未在规定期限内做出解释，或做出的解释不合理并拒绝改变，经评审委员会取得一致意见后，可确定拒绝该报价。</w:t>
      </w:r>
    </w:p>
    <w:p>
      <w:pPr>
        <w:numPr>
          <w:ilvl w:val="1"/>
          <w:numId w:val="2"/>
        </w:numPr>
        <w:snapToGrid w:val="0"/>
        <w:spacing w:line="400" w:lineRule="atLeast"/>
        <w:jc w:val="both"/>
        <w:rPr>
          <w:rFonts w:ascii="宋体" w:hAnsi="宋体" w:cs="宋体"/>
          <w:b/>
          <w:szCs w:val="21"/>
        </w:rPr>
      </w:pPr>
      <w:r>
        <w:rPr>
          <w:rFonts w:hint="eastAsia" w:ascii="宋体" w:hAnsi="宋体" w:cs="宋体"/>
          <w:b/>
          <w:szCs w:val="21"/>
        </w:rPr>
        <w:t>提供相同品牌产品且通过资格审查、符合性审查的不同投标人参加同一合同项下投标的，按一家投标人计算，评审后得分最高的同品牌投标人获得中标候选人推荐资格；评审得分相同的，按以下规定确定一个投标人获得中标候选人推荐资格：评审得分相同的，按照最后报价由低到高顺序推荐；评审得分且最后报价相同的，由评审小组按照技术、商务标得分由高到低顺序推荐；评审得分、最后报价及技术、商务得分均相同时，由采购人决定。其他同品牌投标人不作为中标候选人。</w:t>
      </w:r>
    </w:p>
    <w:p>
      <w:pPr>
        <w:snapToGrid w:val="0"/>
        <w:spacing w:line="400" w:lineRule="atLeast"/>
        <w:ind w:left="840" w:leftChars="400"/>
        <w:jc w:val="both"/>
        <w:rPr>
          <w:rFonts w:ascii="宋体" w:hAnsi="宋体" w:cs="宋体"/>
          <w:szCs w:val="21"/>
        </w:rPr>
      </w:pPr>
      <w:r>
        <w:rPr>
          <w:rFonts w:hint="eastAsia" w:ascii="宋体" w:hAnsi="宋体" w:cs="宋体"/>
          <w:b/>
          <w:szCs w:val="21"/>
        </w:rPr>
        <w:t>若项目为非单一产品采购项目，采购人根据项目技术构成、产品价格比重等确定核心产品，并在招标文件第三部分采购清单中注明。核心产品的数量确定为多个时,所有核心产品均为相同品牌才视为核心产品品牌相同。多家投标人提供的核心产品品牌相同的，按上述规定处理。</w:t>
      </w:r>
    </w:p>
    <w:p>
      <w:pPr>
        <w:numPr>
          <w:ilvl w:val="1"/>
          <w:numId w:val="2"/>
        </w:numPr>
        <w:snapToGrid w:val="0"/>
        <w:spacing w:line="360" w:lineRule="auto"/>
        <w:jc w:val="both"/>
        <w:rPr>
          <w:rFonts w:ascii="宋体" w:hAnsi="宋体" w:cs="宋体"/>
          <w:szCs w:val="21"/>
        </w:rPr>
      </w:pPr>
      <w:r>
        <w:rPr>
          <w:rFonts w:hint="eastAsia" w:ascii="宋体" w:hAnsi="宋体" w:cs="宋体"/>
          <w:szCs w:val="21"/>
        </w:rPr>
        <w:t>比较与评价：评标委员会按招标文件中规定的评标方法和标准，先对各投标人的投标文件的技术服务方案和商务内容进行综合比较与评价，再对符合招标文件要求的投标人的报价文件的报价内容进行评审，计算报价得分。</w:t>
      </w:r>
      <w:r>
        <w:rPr>
          <w:rFonts w:ascii="宋体" w:hAnsi="宋体" w:cs="宋体"/>
          <w:szCs w:val="21"/>
        </w:rPr>
        <w:t>评标委员会对投标文件的判定，只依据投标文件内容本身，不依据任何外来证明</w:t>
      </w:r>
      <w:r>
        <w:rPr>
          <w:rFonts w:hint="eastAsia" w:ascii="宋体" w:hAnsi="宋体" w:cs="宋体"/>
          <w:szCs w:val="21"/>
        </w:rPr>
        <w:t>。</w:t>
      </w:r>
    </w:p>
    <w:p>
      <w:pPr>
        <w:numPr>
          <w:ilvl w:val="1"/>
          <w:numId w:val="2"/>
        </w:numPr>
        <w:snapToGrid w:val="0"/>
        <w:spacing w:line="360" w:lineRule="auto"/>
        <w:jc w:val="both"/>
        <w:rPr>
          <w:rFonts w:ascii="宋体" w:hAnsi="宋体"/>
          <w:b/>
        </w:rPr>
      </w:pPr>
      <w:r>
        <w:rPr>
          <w:rFonts w:hint="eastAsia" w:ascii="宋体" w:hAnsi="宋体" w:cs="宋体"/>
          <w:szCs w:val="21"/>
        </w:rPr>
        <w:t>推荐中标候选人：评标委员会对有效投标人的投标文件进行全面审查、比较、评估，加权计分后，以评审得分（</w:t>
      </w:r>
      <w:r>
        <w:rPr>
          <w:rFonts w:hint="eastAsia" w:ascii="宋体" w:hAnsi="宋体"/>
        </w:rPr>
        <w:t>评审得分=技术、商务标得分+报价得分</w:t>
      </w:r>
      <w:r>
        <w:rPr>
          <w:rFonts w:hint="eastAsia" w:ascii="宋体" w:hAnsi="宋体" w:cs="宋体"/>
          <w:szCs w:val="21"/>
        </w:rPr>
        <w:t>）由高到低顺序推荐1-3名投标人作为候选人。</w:t>
      </w:r>
      <w:r>
        <w:rPr>
          <w:rFonts w:ascii="ˎ̥" w:hAnsi="ˎ̥"/>
        </w:rPr>
        <w:t>评审得分相同的，</w:t>
      </w:r>
      <w:r>
        <w:rPr>
          <w:rFonts w:hint="eastAsia" w:ascii="Arial" w:hAnsi="Arial"/>
        </w:rPr>
        <w:t>按照投标报价由低到高顺序排名；评审得分且投标报价</w:t>
      </w:r>
      <w:r>
        <w:t>相同</w:t>
      </w:r>
      <w:r>
        <w:rPr>
          <w:rFonts w:hint="eastAsia"/>
        </w:rPr>
        <w:t>的</w:t>
      </w:r>
      <w:r>
        <w:t>，由</w:t>
      </w:r>
      <w:r>
        <w:rPr>
          <w:rFonts w:hint="eastAsia"/>
        </w:rPr>
        <w:t>评标委员会按照技术、商务标得分由高到低顺序排名；评审得分、投标报价及技术、商务标得分均相同时，由采购人决定</w:t>
      </w:r>
      <w:r>
        <w:rPr>
          <w:rFonts w:hint="eastAsia" w:ascii="宋体" w:hAnsi="宋体" w:cs="宋体"/>
          <w:szCs w:val="21"/>
        </w:rPr>
        <w:t>。</w:t>
      </w:r>
    </w:p>
    <w:p>
      <w:pPr>
        <w:numPr>
          <w:ilvl w:val="0"/>
          <w:numId w:val="2"/>
        </w:numPr>
        <w:spacing w:line="360" w:lineRule="auto"/>
        <w:jc w:val="both"/>
        <w:rPr>
          <w:rFonts w:ascii="宋体" w:hAnsi="宋体" w:cs="宋体"/>
          <w:b/>
          <w:sz w:val="24"/>
          <w:szCs w:val="24"/>
        </w:rPr>
      </w:pPr>
      <w:r>
        <w:rPr>
          <w:rFonts w:ascii="宋体" w:hAnsi="宋体" w:cs="宋体"/>
          <w:b/>
          <w:sz w:val="24"/>
          <w:szCs w:val="24"/>
        </w:rPr>
        <w:t>评标过程保密</w:t>
      </w:r>
    </w:p>
    <w:p>
      <w:pPr>
        <w:numPr>
          <w:ilvl w:val="1"/>
          <w:numId w:val="2"/>
        </w:numPr>
        <w:snapToGrid w:val="0"/>
        <w:spacing w:line="360" w:lineRule="auto"/>
        <w:jc w:val="both"/>
        <w:rPr>
          <w:rFonts w:ascii="宋体" w:hAnsi="宋体" w:cs="宋体"/>
          <w:szCs w:val="21"/>
        </w:rPr>
      </w:pPr>
      <w:r>
        <w:rPr>
          <w:rFonts w:ascii="宋体" w:hAnsi="宋体" w:cs="宋体"/>
          <w:szCs w:val="21"/>
        </w:rPr>
        <w:t>开标之后，直到授予投标人合同止，凡是属于审查、澄清、评价和比较投标的有关资料以及授标意向等，</w:t>
      </w:r>
      <w:r>
        <w:rPr>
          <w:rFonts w:hint="eastAsia" w:ascii="宋体" w:hAnsi="宋体" w:cs="宋体"/>
          <w:szCs w:val="21"/>
        </w:rPr>
        <w:t>开评标当事人</w:t>
      </w:r>
      <w:r>
        <w:rPr>
          <w:rFonts w:ascii="宋体" w:hAnsi="宋体" w:cs="宋体"/>
          <w:szCs w:val="21"/>
        </w:rPr>
        <w:t>均不得向投标人或其他无关人员透露。</w:t>
      </w:r>
    </w:p>
    <w:p>
      <w:pPr>
        <w:numPr>
          <w:ilvl w:val="0"/>
          <w:numId w:val="2"/>
        </w:numPr>
        <w:spacing w:line="400" w:lineRule="atLeast"/>
        <w:jc w:val="both"/>
        <w:rPr>
          <w:rFonts w:ascii="宋体" w:hAnsi="宋体" w:cs="宋体"/>
          <w:snapToGrid w:val="0"/>
          <w:szCs w:val="21"/>
        </w:rPr>
      </w:pPr>
      <w:r>
        <w:rPr>
          <w:rFonts w:hint="eastAsia" w:ascii="宋体" w:hAnsi="宋体" w:cs="宋体"/>
          <w:szCs w:val="22"/>
        </w:rPr>
        <w:t>采购过程中出现以下情形，导致电子交易平台无法正常运行，或者无法保证电子交易的公平、公正和安全时，采购组织机构中止电子交易活动：</w:t>
      </w:r>
    </w:p>
    <w:p>
      <w:pPr>
        <w:numPr>
          <w:ilvl w:val="0"/>
          <w:numId w:val="3"/>
        </w:numPr>
        <w:spacing w:line="400" w:lineRule="atLeast"/>
        <w:ind w:firstLine="840" w:firstLineChars="400"/>
        <w:jc w:val="both"/>
        <w:rPr>
          <w:rFonts w:ascii="宋体" w:hAnsi="宋体" w:cs="宋体"/>
          <w:snapToGrid w:val="0"/>
          <w:szCs w:val="21"/>
        </w:rPr>
      </w:pPr>
      <w:r>
        <w:rPr>
          <w:rFonts w:hint="eastAsia" w:ascii="宋体" w:hAnsi="宋体" w:cs="宋体"/>
          <w:snapToGrid w:val="0"/>
          <w:szCs w:val="21"/>
        </w:rPr>
        <w:t>电子交易平台发生故障而无法登录访问的；</w:t>
      </w:r>
    </w:p>
    <w:p>
      <w:pPr>
        <w:numPr>
          <w:ilvl w:val="0"/>
          <w:numId w:val="3"/>
        </w:numPr>
        <w:spacing w:line="400" w:lineRule="atLeast"/>
        <w:ind w:firstLine="840" w:firstLineChars="400"/>
        <w:jc w:val="both"/>
        <w:rPr>
          <w:rFonts w:ascii="宋体" w:hAnsi="宋体" w:cs="宋体"/>
          <w:snapToGrid w:val="0"/>
          <w:szCs w:val="21"/>
        </w:rPr>
      </w:pPr>
      <w:r>
        <w:rPr>
          <w:rFonts w:hint="eastAsia" w:ascii="宋体" w:hAnsi="宋体" w:cs="宋体"/>
          <w:snapToGrid w:val="0"/>
          <w:szCs w:val="21"/>
        </w:rPr>
        <w:t>电子交易平台应用或数据库出现错误，不能进行正常操作的；</w:t>
      </w:r>
    </w:p>
    <w:p>
      <w:pPr>
        <w:numPr>
          <w:ilvl w:val="0"/>
          <w:numId w:val="3"/>
        </w:numPr>
        <w:spacing w:line="400" w:lineRule="atLeast"/>
        <w:ind w:firstLine="840" w:firstLineChars="400"/>
        <w:jc w:val="both"/>
        <w:rPr>
          <w:rFonts w:ascii="宋体" w:hAnsi="宋体" w:cs="宋体"/>
          <w:snapToGrid w:val="0"/>
          <w:szCs w:val="21"/>
        </w:rPr>
      </w:pPr>
      <w:r>
        <w:rPr>
          <w:rFonts w:hint="eastAsia" w:ascii="宋体" w:hAnsi="宋体" w:cs="宋体"/>
          <w:snapToGrid w:val="0"/>
          <w:szCs w:val="21"/>
        </w:rPr>
        <w:t>电子交易平台发现严重安全漏洞，有潜在泄密危险的；</w:t>
      </w:r>
    </w:p>
    <w:p>
      <w:pPr>
        <w:numPr>
          <w:ilvl w:val="0"/>
          <w:numId w:val="3"/>
        </w:numPr>
        <w:spacing w:line="400" w:lineRule="atLeast"/>
        <w:ind w:firstLine="840" w:firstLineChars="400"/>
        <w:jc w:val="both"/>
        <w:rPr>
          <w:rFonts w:ascii="宋体" w:hAnsi="宋体" w:cs="宋体"/>
          <w:snapToGrid w:val="0"/>
          <w:szCs w:val="21"/>
        </w:rPr>
      </w:pPr>
      <w:r>
        <w:rPr>
          <w:rFonts w:hint="eastAsia" w:ascii="宋体" w:hAnsi="宋体" w:cs="宋体"/>
          <w:snapToGrid w:val="0"/>
          <w:szCs w:val="21"/>
        </w:rPr>
        <w:t>病毒发作导致不能进行正常操作的；</w:t>
      </w:r>
    </w:p>
    <w:p>
      <w:pPr>
        <w:numPr>
          <w:ilvl w:val="0"/>
          <w:numId w:val="3"/>
        </w:numPr>
        <w:spacing w:line="400" w:lineRule="atLeast"/>
        <w:ind w:firstLine="840" w:firstLineChars="400"/>
        <w:jc w:val="both"/>
        <w:rPr>
          <w:rFonts w:ascii="宋体" w:hAnsi="宋体" w:cs="宋体"/>
          <w:szCs w:val="21"/>
        </w:rPr>
      </w:pPr>
      <w:r>
        <w:rPr>
          <w:rFonts w:hint="eastAsia" w:ascii="宋体" w:hAnsi="宋体" w:cs="宋体"/>
          <w:snapToGrid w:val="0"/>
          <w:szCs w:val="21"/>
        </w:rPr>
        <w:t>其他无法保证电子交易的公平、公正和安全的情况。</w:t>
      </w:r>
    </w:p>
    <w:p>
      <w:pPr>
        <w:spacing w:line="400" w:lineRule="atLeast"/>
        <w:ind w:left="840" w:leftChars="400"/>
        <w:jc w:val="both"/>
        <w:rPr>
          <w:rFonts w:ascii="宋体" w:hAnsi="宋体" w:cs="宋体"/>
          <w:szCs w:val="21"/>
        </w:rPr>
      </w:pPr>
      <w:r>
        <w:rPr>
          <w:rFonts w:hint="eastAsia" w:ascii="宋体" w:hAnsi="宋体" w:cs="宋体"/>
          <w:szCs w:val="21"/>
        </w:rPr>
        <w:t>出现前款规定情形，不影响采购公平、公正性的，采购组织机构可以待上述情形消除后继续组织电子交易活动；影响或可能影响采购公平、公正性的，重新采购。</w:t>
      </w:r>
    </w:p>
    <w:p>
      <w:pPr>
        <w:numPr>
          <w:ilvl w:val="0"/>
          <w:numId w:val="2"/>
        </w:numPr>
        <w:spacing w:line="360" w:lineRule="auto"/>
        <w:jc w:val="both"/>
        <w:rPr>
          <w:rFonts w:ascii="宋体" w:hAnsi="宋体" w:cs="宋体"/>
          <w:b/>
          <w:sz w:val="24"/>
          <w:szCs w:val="24"/>
        </w:rPr>
      </w:pPr>
      <w:r>
        <w:rPr>
          <w:rFonts w:hint="eastAsia" w:ascii="宋体" w:hAnsi="宋体" w:cs="宋体"/>
          <w:b/>
          <w:sz w:val="24"/>
          <w:szCs w:val="24"/>
        </w:rPr>
        <w:t>中标人的确定</w:t>
      </w:r>
    </w:p>
    <w:p>
      <w:pPr>
        <w:numPr>
          <w:ilvl w:val="1"/>
          <w:numId w:val="2"/>
        </w:numPr>
        <w:snapToGrid w:val="0"/>
        <w:spacing w:line="360" w:lineRule="auto"/>
        <w:rPr>
          <w:rFonts w:ascii="宋体" w:hAnsi="宋体" w:cs="宋体"/>
          <w:szCs w:val="21"/>
        </w:rPr>
      </w:pPr>
      <w:r>
        <w:rPr>
          <w:rFonts w:hint="eastAsia" w:ascii="宋体" w:hAnsi="宋体" w:cs="宋体"/>
          <w:szCs w:val="21"/>
        </w:rPr>
        <w:t>集中采购机构在评标结束后2个工作日内将评标报告送采购人。采购人自收到评标报告之日起5个工作日内，在评标报告确定的中标候选人名单中按顺序确定中标人。</w:t>
      </w:r>
    </w:p>
    <w:p>
      <w:pPr>
        <w:numPr>
          <w:ilvl w:val="1"/>
          <w:numId w:val="2"/>
        </w:numPr>
        <w:snapToGrid w:val="0"/>
        <w:spacing w:line="360" w:lineRule="auto"/>
        <w:rPr>
          <w:rFonts w:ascii="宋体" w:hAnsi="宋体" w:cs="宋体"/>
          <w:szCs w:val="21"/>
        </w:rPr>
      </w:pPr>
      <w:r>
        <w:rPr>
          <w:rFonts w:hint="eastAsia" w:ascii="宋体" w:hAnsi="宋体" w:cs="宋体"/>
          <w:szCs w:val="21"/>
        </w:rPr>
        <w:t>集中采购机构</w:t>
      </w:r>
      <w:r>
        <w:rPr>
          <w:rFonts w:hint="eastAsia" w:ascii="宋体" w:hAnsi="宋体" w:cs="宋体"/>
          <w:snapToGrid w:val="0"/>
          <w:szCs w:val="21"/>
        </w:rPr>
        <w:t>在成交人确定后2个工作日内，在</w:t>
      </w:r>
      <w:r>
        <w:rPr>
          <w:rFonts w:hint="eastAsia" w:ascii="宋体" w:hAnsi="宋体" w:cs="宋体"/>
          <w:szCs w:val="21"/>
        </w:rPr>
        <w:t>“浙江省政府采购网”（网址：http://zfcg.czt.zj.gov.cn/）</w:t>
      </w:r>
      <w:r>
        <w:rPr>
          <w:rFonts w:hint="eastAsia" w:ascii="宋体" w:hAnsi="宋体" w:cs="宋体"/>
          <w:snapToGrid w:val="0"/>
          <w:szCs w:val="21"/>
        </w:rPr>
        <w:t>发布中标结果公告，同时向中标人发出中标通知书。</w:t>
      </w:r>
    </w:p>
    <w:p>
      <w:pPr>
        <w:numPr>
          <w:ilvl w:val="0"/>
          <w:numId w:val="2"/>
        </w:numPr>
        <w:spacing w:line="360" w:lineRule="auto"/>
        <w:jc w:val="both"/>
        <w:rPr>
          <w:rFonts w:ascii="宋体" w:hAnsi="宋体" w:cs="宋体"/>
          <w:b/>
          <w:sz w:val="24"/>
          <w:szCs w:val="24"/>
        </w:rPr>
      </w:pPr>
      <w:r>
        <w:rPr>
          <w:rFonts w:hint="eastAsia" w:ascii="宋体" w:hAnsi="宋体" w:cs="宋体"/>
          <w:b/>
          <w:sz w:val="24"/>
          <w:szCs w:val="24"/>
        </w:rPr>
        <w:t>拒绝任何或所有投标的权利</w:t>
      </w:r>
    </w:p>
    <w:p>
      <w:pPr>
        <w:numPr>
          <w:ilvl w:val="1"/>
          <w:numId w:val="2"/>
        </w:numPr>
        <w:snapToGrid w:val="0"/>
        <w:spacing w:line="360" w:lineRule="auto"/>
        <w:jc w:val="both"/>
        <w:rPr>
          <w:rFonts w:ascii="宋体" w:hAnsi="宋体" w:cs="宋体"/>
          <w:szCs w:val="21"/>
        </w:rPr>
      </w:pPr>
      <w:r>
        <w:rPr>
          <w:rFonts w:hint="eastAsia" w:ascii="宋体" w:hAnsi="宋体" w:cs="宋体"/>
          <w:szCs w:val="21"/>
        </w:rPr>
        <w:t>评标委员会经评审，认为所有投标都不符合招标文件要求的，可以否决所有投标。</w:t>
      </w:r>
    </w:p>
    <w:p>
      <w:pPr>
        <w:numPr>
          <w:ilvl w:val="0"/>
          <w:numId w:val="2"/>
        </w:numPr>
        <w:spacing w:line="360" w:lineRule="auto"/>
        <w:jc w:val="both"/>
        <w:rPr>
          <w:rFonts w:ascii="宋体" w:hAnsi="宋体" w:cs="宋体"/>
          <w:b/>
          <w:sz w:val="24"/>
          <w:szCs w:val="24"/>
        </w:rPr>
      </w:pPr>
      <w:r>
        <w:rPr>
          <w:rFonts w:hint="eastAsia" w:ascii="宋体" w:hAnsi="宋体" w:cs="宋体"/>
          <w:b/>
          <w:sz w:val="24"/>
          <w:szCs w:val="24"/>
        </w:rPr>
        <w:t>质疑与投诉</w:t>
      </w:r>
    </w:p>
    <w:p>
      <w:pPr>
        <w:numPr>
          <w:ilvl w:val="1"/>
          <w:numId w:val="2"/>
        </w:numPr>
        <w:snapToGrid w:val="0"/>
        <w:spacing w:line="360" w:lineRule="auto"/>
        <w:jc w:val="both"/>
        <w:rPr>
          <w:rFonts w:ascii="宋体" w:hAnsi="宋体" w:cs="宋体"/>
          <w:szCs w:val="21"/>
        </w:rPr>
      </w:pPr>
      <w:r>
        <w:rPr>
          <w:rFonts w:ascii="宋体" w:hAnsi="宋体" w:cs="宋体"/>
          <w:szCs w:val="21"/>
        </w:rPr>
        <w:t>投标人认为招标文件、招标过程和中标结果使自己的合法权益受到损害的，</w:t>
      </w:r>
      <w:r>
        <w:rPr>
          <w:rFonts w:hint="eastAsia" w:ascii="宋体" w:hAnsi="宋体" w:cs="宋体"/>
          <w:szCs w:val="21"/>
        </w:rPr>
        <w:t>可以</w:t>
      </w:r>
      <w:r>
        <w:rPr>
          <w:rFonts w:ascii="宋体" w:hAnsi="宋体" w:cs="宋体"/>
          <w:szCs w:val="21"/>
        </w:rPr>
        <w:t>在知道或者应知其权益受到损害之日起七个工作日内，以书面形式向</w:t>
      </w:r>
      <w:r>
        <w:rPr>
          <w:rFonts w:hint="eastAsia" w:ascii="宋体" w:hAnsi="宋体" w:cs="宋体"/>
          <w:szCs w:val="21"/>
        </w:rPr>
        <w:t>采购人、集中采购机构一次性</w:t>
      </w:r>
      <w:r>
        <w:rPr>
          <w:rFonts w:ascii="宋体" w:hAnsi="宋体" w:cs="宋体"/>
          <w:szCs w:val="21"/>
        </w:rPr>
        <w:t>提出</w:t>
      </w:r>
      <w:r>
        <w:rPr>
          <w:rFonts w:hint="eastAsia" w:ascii="宋体" w:hAnsi="宋体" w:cs="宋体"/>
          <w:szCs w:val="21"/>
        </w:rPr>
        <w:t>针对同一采购程序环节的</w:t>
      </w:r>
      <w:r>
        <w:rPr>
          <w:rFonts w:ascii="宋体" w:hAnsi="宋体" w:cs="宋体"/>
          <w:szCs w:val="21"/>
        </w:rPr>
        <w:t>质疑。</w:t>
      </w:r>
      <w:r>
        <w:rPr>
          <w:rFonts w:hint="eastAsia" w:ascii="宋体" w:hAnsi="宋体" w:cs="宋体"/>
          <w:szCs w:val="21"/>
        </w:rPr>
        <w:t>质疑</w:t>
      </w:r>
      <w:r>
        <w:rPr>
          <w:rFonts w:ascii="宋体" w:hAnsi="宋体" w:cs="宋体"/>
          <w:szCs w:val="21"/>
        </w:rPr>
        <w:t>投标人对</w:t>
      </w:r>
      <w:r>
        <w:rPr>
          <w:rFonts w:hint="eastAsia" w:ascii="宋体" w:hAnsi="宋体" w:cs="宋体"/>
          <w:szCs w:val="21"/>
        </w:rPr>
        <w:t>采购人、集中采购机构</w:t>
      </w:r>
      <w:r>
        <w:rPr>
          <w:rFonts w:ascii="宋体" w:hAnsi="宋体" w:cs="宋体"/>
          <w:szCs w:val="21"/>
        </w:rPr>
        <w:t>的质疑答复不满意或者</w:t>
      </w:r>
      <w:r>
        <w:rPr>
          <w:rFonts w:hint="eastAsia" w:ascii="宋体" w:hAnsi="宋体" w:cs="宋体"/>
          <w:szCs w:val="21"/>
        </w:rPr>
        <w:t>采购人、集中采购机构</w:t>
      </w:r>
      <w:r>
        <w:rPr>
          <w:rFonts w:ascii="宋体" w:hAnsi="宋体" w:cs="宋体"/>
          <w:szCs w:val="21"/>
        </w:rPr>
        <w:t>未在规定时间内作出答复的，可以在答复期满后十五个工作日内向</w:t>
      </w:r>
      <w:r>
        <w:rPr>
          <w:rFonts w:hint="eastAsia" w:ascii="宋体" w:hAnsi="宋体" w:cs="宋体"/>
          <w:szCs w:val="21"/>
        </w:rPr>
        <w:t>政府</w:t>
      </w:r>
      <w:r>
        <w:rPr>
          <w:rFonts w:ascii="宋体" w:hAnsi="宋体" w:cs="宋体"/>
          <w:szCs w:val="21"/>
        </w:rPr>
        <w:t>采购监管部门投诉</w:t>
      </w:r>
      <w:r>
        <w:rPr>
          <w:rFonts w:hint="eastAsia" w:ascii="宋体" w:hAnsi="宋体" w:cs="宋体"/>
          <w:szCs w:val="21"/>
        </w:rPr>
        <w:t>。</w:t>
      </w:r>
    </w:p>
    <w:p>
      <w:pPr>
        <w:numPr>
          <w:ilvl w:val="1"/>
          <w:numId w:val="2"/>
        </w:numPr>
        <w:snapToGrid w:val="0"/>
        <w:spacing w:line="360" w:lineRule="auto"/>
        <w:jc w:val="both"/>
        <w:rPr>
          <w:rFonts w:ascii="宋体" w:hAnsi="宋体" w:cs="宋体"/>
          <w:szCs w:val="21"/>
        </w:rPr>
      </w:pPr>
      <w:r>
        <w:rPr>
          <w:rFonts w:hint="eastAsia" w:ascii="宋体" w:hAnsi="宋体" w:cs="宋体"/>
          <w:szCs w:val="21"/>
        </w:rPr>
        <w:t>潜在投标人已依法获取其可质疑的招标文件的，可以对该文件提出质疑。对招标文件提出质疑的，应当在获取招标文件或者招标文件公告期限届满之日起7个工作日内提出。</w:t>
      </w:r>
    </w:p>
    <w:p>
      <w:pPr>
        <w:numPr>
          <w:ilvl w:val="1"/>
          <w:numId w:val="2"/>
        </w:numPr>
        <w:snapToGrid w:val="0"/>
        <w:spacing w:line="360" w:lineRule="auto"/>
        <w:jc w:val="both"/>
        <w:rPr>
          <w:rFonts w:ascii="宋体" w:hAnsi="宋体" w:cs="宋体"/>
          <w:szCs w:val="21"/>
        </w:rPr>
      </w:pPr>
      <w:r>
        <w:rPr>
          <w:rFonts w:hint="eastAsia" w:ascii="宋体" w:hAnsi="宋体" w:cs="宋体"/>
          <w:szCs w:val="21"/>
        </w:rPr>
        <w:t>潜在投标人应当按照规定方式获取招标文件，未按照规定方式获取招标文件的，不得对招标文件提起质疑投诉。</w:t>
      </w:r>
    </w:p>
    <w:p>
      <w:pPr>
        <w:numPr>
          <w:ilvl w:val="1"/>
          <w:numId w:val="2"/>
        </w:numPr>
        <w:snapToGrid w:val="0"/>
        <w:spacing w:line="360" w:lineRule="auto"/>
        <w:jc w:val="both"/>
        <w:rPr>
          <w:rFonts w:ascii="宋体" w:hAnsi="宋体" w:cs="宋体"/>
          <w:szCs w:val="21"/>
        </w:rPr>
      </w:pPr>
      <w:r>
        <w:rPr>
          <w:rFonts w:ascii="宋体" w:hAnsi="宋体" w:cs="宋体"/>
          <w:szCs w:val="21"/>
        </w:rPr>
        <w:t>质疑、投诉应当采用书面形式，质疑书、投诉书均应明确阐述招标文件、招标过程和中标结果中使自己合法权益受到损害的实质性内容，提供相关事实、依据和证据及其来源或线索，便于有关单位调查、答复和处理</w:t>
      </w:r>
      <w:r>
        <w:rPr>
          <w:rFonts w:hint="eastAsia" w:ascii="宋体" w:hAnsi="宋体" w:cs="宋体"/>
          <w:szCs w:val="21"/>
        </w:rPr>
        <w:t>。质疑函范本、投诉书范本请到浙江政府采购网下载专区下载</w:t>
      </w:r>
      <w:r>
        <w:rPr>
          <w:rFonts w:hint="eastAsia" w:ascii="宋体" w:hAnsi="宋体" w:cs="宋体"/>
        </w:rPr>
        <w:t>（网址：</w:t>
      </w:r>
      <w:r>
        <w:rPr>
          <w:rFonts w:hint="eastAsia" w:ascii="宋体" w:hAnsi="宋体" w:cs="宋体"/>
          <w:szCs w:val="21"/>
        </w:rPr>
        <w:t>http://zfcg.czt.zj.gov.cn/download/index.html?_=1585060584349）。</w:t>
      </w:r>
    </w:p>
    <w:p>
      <w:pPr>
        <w:snapToGrid w:val="0"/>
        <w:spacing w:line="360" w:lineRule="auto"/>
        <w:ind w:firstLine="840" w:firstLineChars="400"/>
        <w:jc w:val="both"/>
        <w:rPr>
          <w:rFonts w:ascii="宋体" w:hAnsi="宋体" w:cs="宋体"/>
          <w:szCs w:val="21"/>
        </w:rPr>
      </w:pPr>
      <w:r>
        <w:rPr>
          <w:rFonts w:hint="eastAsia" w:ascii="宋体" w:hAnsi="宋体" w:cs="宋体"/>
          <w:szCs w:val="21"/>
        </w:rPr>
        <w:t>1）质疑受理机构：温州市公共资源交易中心龙湾分中心</w:t>
      </w:r>
    </w:p>
    <w:p>
      <w:pPr>
        <w:spacing w:line="360" w:lineRule="auto"/>
        <w:ind w:firstLine="1260" w:firstLineChars="600"/>
        <w:rPr>
          <w:rFonts w:ascii="宋体" w:hAnsi="宋体"/>
          <w:szCs w:val="21"/>
        </w:rPr>
      </w:pPr>
      <w:r>
        <w:rPr>
          <w:rFonts w:hint="eastAsia" w:ascii="宋体" w:hAnsi="宋体" w:cs="宋体"/>
          <w:szCs w:val="21"/>
        </w:rPr>
        <w:t>质疑地址：温州市龙湾区永中街道升平路77号</w:t>
      </w:r>
    </w:p>
    <w:p>
      <w:pPr>
        <w:tabs>
          <w:tab w:val="left" w:pos="900"/>
        </w:tabs>
        <w:spacing w:line="360" w:lineRule="auto"/>
        <w:ind w:firstLine="1260" w:firstLineChars="600"/>
        <w:rPr>
          <w:rFonts w:ascii="宋体" w:hAnsi="宋体" w:cs="宋体"/>
          <w:szCs w:val="21"/>
        </w:rPr>
      </w:pPr>
      <w:r>
        <w:rPr>
          <w:rFonts w:hint="eastAsia" w:ascii="宋体" w:hAnsi="宋体" w:cs="宋体"/>
          <w:szCs w:val="21"/>
        </w:rPr>
        <w:t>联系电话：86966075</w:t>
      </w:r>
    </w:p>
    <w:p>
      <w:pPr>
        <w:numPr>
          <w:ilvl w:val="2"/>
          <w:numId w:val="4"/>
        </w:numPr>
        <w:tabs>
          <w:tab w:val="left" w:pos="900"/>
        </w:tabs>
        <w:spacing w:line="360" w:lineRule="auto"/>
        <w:rPr>
          <w:rFonts w:ascii="宋体" w:hAnsi="宋体" w:cs="宋体"/>
          <w:szCs w:val="21"/>
        </w:rPr>
      </w:pPr>
      <w:r>
        <w:rPr>
          <w:rFonts w:hint="eastAsia" w:ascii="宋体" w:hAnsi="宋体" w:cs="宋体"/>
          <w:szCs w:val="21"/>
        </w:rPr>
        <w:t>投诉受理机构：龙湾区财政局</w:t>
      </w:r>
    </w:p>
    <w:p>
      <w:pPr>
        <w:tabs>
          <w:tab w:val="left" w:pos="900"/>
        </w:tabs>
        <w:spacing w:line="360" w:lineRule="auto"/>
        <w:ind w:left="833" w:leftChars="397" w:firstLine="525" w:firstLineChars="250"/>
        <w:rPr>
          <w:rFonts w:ascii="宋体" w:hAnsi="宋体" w:cs="宋体"/>
          <w:szCs w:val="21"/>
        </w:rPr>
      </w:pPr>
      <w:r>
        <w:rPr>
          <w:rFonts w:hint="eastAsia" w:ascii="宋体" w:hAnsi="宋体" w:cs="宋体"/>
          <w:szCs w:val="21"/>
        </w:rPr>
        <w:t>投诉电话：0577-85600837</w:t>
      </w:r>
    </w:p>
    <w:p>
      <w:pPr>
        <w:pStyle w:val="6"/>
        <w:spacing w:beforeLines="50" w:afterLines="50" w:line="360" w:lineRule="auto"/>
        <w:jc w:val="center"/>
        <w:rPr>
          <w:rFonts w:ascii="宋体" w:hAnsi="宋体" w:cs="宋体"/>
          <w:bCs w:val="0"/>
          <w:sz w:val="24"/>
          <w:szCs w:val="24"/>
        </w:rPr>
      </w:pPr>
      <w:bookmarkStart w:id="38" w:name="_Toc17331"/>
      <w:r>
        <w:rPr>
          <w:rFonts w:hint="eastAsia" w:ascii="宋体" w:hAnsi="宋体" w:cs="宋体"/>
          <w:bCs w:val="0"/>
          <w:sz w:val="24"/>
          <w:szCs w:val="24"/>
        </w:rPr>
        <w:t>（七）授予合同</w:t>
      </w:r>
      <w:bookmarkEnd w:id="38"/>
    </w:p>
    <w:p>
      <w:pPr>
        <w:numPr>
          <w:ilvl w:val="0"/>
          <w:numId w:val="2"/>
        </w:numPr>
        <w:spacing w:line="360" w:lineRule="auto"/>
        <w:jc w:val="both"/>
        <w:rPr>
          <w:rFonts w:ascii="宋体" w:hAnsi="宋体" w:cs="宋体"/>
          <w:b/>
          <w:sz w:val="24"/>
          <w:szCs w:val="24"/>
        </w:rPr>
      </w:pPr>
      <w:r>
        <w:rPr>
          <w:rFonts w:hint="eastAsia" w:ascii="宋体" w:hAnsi="宋体" w:cs="宋体"/>
          <w:b/>
          <w:sz w:val="24"/>
          <w:szCs w:val="24"/>
        </w:rPr>
        <w:t>中标通知</w:t>
      </w:r>
    </w:p>
    <w:p>
      <w:pPr>
        <w:numPr>
          <w:ilvl w:val="1"/>
          <w:numId w:val="2"/>
        </w:numPr>
        <w:snapToGrid w:val="0"/>
        <w:spacing w:line="360" w:lineRule="auto"/>
        <w:jc w:val="both"/>
        <w:rPr>
          <w:rFonts w:ascii="宋体" w:hAnsi="宋体" w:cs="宋体"/>
          <w:szCs w:val="21"/>
        </w:rPr>
      </w:pPr>
      <w:r>
        <w:rPr>
          <w:rFonts w:hint="eastAsia" w:ascii="宋体" w:hAnsi="宋体" w:cs="宋体"/>
          <w:szCs w:val="21"/>
        </w:rPr>
        <w:t>在投标有效期期满之前，集中采购机构将用书面形式向中标人发出书面的《中标通知书》。《中标通知书》将是合同的一个组成部分。</w:t>
      </w:r>
    </w:p>
    <w:p>
      <w:pPr>
        <w:numPr>
          <w:ilvl w:val="0"/>
          <w:numId w:val="2"/>
        </w:numPr>
        <w:snapToGrid w:val="0"/>
        <w:spacing w:line="360" w:lineRule="auto"/>
        <w:jc w:val="both"/>
        <w:rPr>
          <w:rFonts w:ascii="宋体" w:hAnsi="宋体" w:cs="宋体"/>
          <w:b/>
          <w:sz w:val="24"/>
          <w:szCs w:val="24"/>
        </w:rPr>
      </w:pPr>
      <w:r>
        <w:rPr>
          <w:rFonts w:hint="eastAsia" w:ascii="宋体" w:hAnsi="宋体" w:cs="宋体"/>
          <w:b/>
          <w:sz w:val="24"/>
          <w:szCs w:val="24"/>
        </w:rPr>
        <w:t>签订合同</w:t>
      </w:r>
    </w:p>
    <w:p>
      <w:pPr>
        <w:numPr>
          <w:ilvl w:val="1"/>
          <w:numId w:val="2"/>
        </w:numPr>
        <w:snapToGrid w:val="0"/>
        <w:spacing w:line="360" w:lineRule="auto"/>
        <w:jc w:val="both"/>
        <w:rPr>
          <w:rFonts w:ascii="宋体" w:hAnsi="宋体" w:cs="宋体"/>
          <w:szCs w:val="21"/>
        </w:rPr>
      </w:pPr>
      <w:r>
        <w:rPr>
          <w:rFonts w:hint="eastAsia" w:ascii="宋体" w:hAnsi="宋体" w:cs="宋体"/>
          <w:szCs w:val="21"/>
        </w:rPr>
        <w:t>中标人按《中标通知书》指定的时间、地点与采购人签订合同。中标人应当在签订合同后三个工作日内将合同原件交温州市公共资源交易中心龙湾分中心归档。</w:t>
      </w:r>
    </w:p>
    <w:p>
      <w:pPr>
        <w:numPr>
          <w:ilvl w:val="1"/>
          <w:numId w:val="2"/>
        </w:numPr>
        <w:snapToGrid w:val="0"/>
        <w:spacing w:line="360" w:lineRule="auto"/>
        <w:jc w:val="both"/>
        <w:rPr>
          <w:rFonts w:ascii="宋体" w:hAnsi="宋体" w:cs="宋体"/>
          <w:szCs w:val="21"/>
        </w:rPr>
      </w:pPr>
      <w:r>
        <w:rPr>
          <w:rFonts w:hint="eastAsia" w:ascii="宋体" w:hAnsi="宋体" w:cs="宋体"/>
          <w:szCs w:val="21"/>
        </w:rPr>
        <w:t>中标人不遵守招标文件或投标文件的要约、承诺，擅自修改报价或在接到中标通知书后，借故拖延、拒签合同者，取消其中标资格。</w:t>
      </w:r>
    </w:p>
    <w:p>
      <w:pPr>
        <w:numPr>
          <w:ilvl w:val="1"/>
          <w:numId w:val="2"/>
        </w:numPr>
        <w:snapToGrid w:val="0"/>
        <w:spacing w:line="360" w:lineRule="auto"/>
        <w:jc w:val="both"/>
        <w:rPr>
          <w:rFonts w:ascii="宋体" w:hAnsi="宋体" w:cs="宋体"/>
          <w:sz w:val="24"/>
        </w:rPr>
      </w:pPr>
      <w:r>
        <w:rPr>
          <w:rFonts w:hint="eastAsia" w:ascii="宋体" w:hAnsi="宋体" w:cs="宋体"/>
          <w:snapToGrid w:val="0"/>
          <w:szCs w:val="21"/>
        </w:rPr>
        <w:t>享受扶持政策获得政府采购合同的，小微企业不得将合同分包给大中型企业，中型企业不得将合同分包给大型企业。</w:t>
      </w:r>
    </w:p>
    <w:p>
      <w:pPr>
        <w:numPr>
          <w:ilvl w:val="1"/>
          <w:numId w:val="2"/>
        </w:numPr>
        <w:snapToGrid w:val="0"/>
        <w:spacing w:line="360" w:lineRule="auto"/>
        <w:jc w:val="both"/>
      </w:pPr>
      <w:r>
        <w:rPr>
          <w:rFonts w:hint="eastAsia" w:ascii="宋体" w:hAnsi="宋体" w:cs="宋体"/>
          <w:snapToGrid w:val="0"/>
          <w:szCs w:val="21"/>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numPr>
          <w:ilvl w:val="1"/>
          <w:numId w:val="2"/>
        </w:numPr>
        <w:snapToGrid w:val="0"/>
        <w:spacing w:line="360" w:lineRule="auto"/>
        <w:jc w:val="both"/>
      </w:pPr>
      <w:r>
        <w:rPr>
          <w:rFonts w:hint="eastAsia" w:ascii="宋体" w:hAnsi="宋体" w:cs="宋体"/>
          <w:snapToGrid w:val="0"/>
          <w:szCs w:val="21"/>
        </w:rPr>
        <w:t>合同签订前，采购人要求中标或者成交供应商提交履约保证金的，供应商应当以支票、汇票、本票或者金融机构、担保机构出具的保函等非现金形式提交，履约保证金的数额不得超过政府采购合同金额的5%。履约保证金退还手续按照合同约定办理。</w:t>
      </w:r>
    </w:p>
    <w:p>
      <w:pPr>
        <w:numPr>
          <w:ilvl w:val="0"/>
          <w:numId w:val="2"/>
        </w:numPr>
        <w:snapToGrid w:val="0"/>
        <w:spacing w:line="360" w:lineRule="auto"/>
        <w:jc w:val="both"/>
        <w:rPr>
          <w:rFonts w:ascii="宋体" w:hAnsi="宋体" w:cs="宋体"/>
          <w:b/>
          <w:sz w:val="24"/>
          <w:szCs w:val="24"/>
        </w:rPr>
      </w:pPr>
      <w:r>
        <w:rPr>
          <w:rFonts w:hint="eastAsia" w:ascii="宋体" w:hAnsi="宋体" w:cs="宋体"/>
          <w:b/>
          <w:sz w:val="24"/>
          <w:szCs w:val="24"/>
        </w:rPr>
        <w:t>中标公告</w:t>
      </w:r>
    </w:p>
    <w:p>
      <w:pPr>
        <w:snapToGrid w:val="0"/>
        <w:spacing w:line="360" w:lineRule="auto"/>
        <w:ind w:left="840" w:leftChars="400"/>
        <w:jc w:val="both"/>
        <w:rPr>
          <w:rFonts w:ascii="宋体" w:hAnsi="宋体"/>
        </w:rPr>
      </w:pPr>
      <w:r>
        <w:rPr>
          <w:rFonts w:hint="eastAsia" w:ascii="宋体" w:hAnsi="宋体"/>
        </w:rPr>
        <w:t>集中采购机构在“浙江省政府采购网”（网址：http://zfcg.czt.zj.gov.cn/）发布中标结果公告。</w:t>
      </w:r>
      <w:r>
        <w:rPr>
          <w:rFonts w:ascii="宋体" w:hAnsi="宋体"/>
        </w:rPr>
        <w:br w:type="page"/>
      </w:r>
    </w:p>
    <w:p>
      <w:pPr>
        <w:pStyle w:val="5"/>
        <w:numPr>
          <w:ilvl w:val="0"/>
          <w:numId w:val="5"/>
        </w:numPr>
        <w:jc w:val="center"/>
      </w:pPr>
      <w:bookmarkStart w:id="39" w:name="_Toc20037"/>
      <w:bookmarkStart w:id="40" w:name="_Toc453571454"/>
      <w:r>
        <w:rPr>
          <w:rFonts w:hint="eastAsia"/>
        </w:rPr>
        <w:t>招标内容及要求</w:t>
      </w:r>
      <w:bookmarkEnd w:id="39"/>
    </w:p>
    <w:p>
      <w:pPr>
        <w:spacing w:line="360" w:lineRule="auto"/>
        <w:jc w:val="center"/>
        <w:rPr>
          <w:rFonts w:ascii="黑体" w:hAnsi="新宋体" w:eastAsia="黑体" w:cs="宋体"/>
          <w:b/>
          <w:bCs/>
          <w:sz w:val="24"/>
          <w:szCs w:val="24"/>
        </w:rPr>
      </w:pPr>
      <w:bookmarkStart w:id="41" w:name="_Toc14492"/>
      <w:r>
        <w:rPr>
          <w:rFonts w:hint="eastAsia" w:ascii="黑体" w:hAnsi="新宋体" w:eastAsia="黑体" w:cs="宋体"/>
          <w:b/>
          <w:bCs/>
          <w:sz w:val="24"/>
          <w:szCs w:val="24"/>
        </w:rPr>
        <w:t>总则</w:t>
      </w:r>
    </w:p>
    <w:p>
      <w:pPr>
        <w:spacing w:line="360" w:lineRule="auto"/>
        <w:ind w:firstLine="420" w:firstLineChars="200"/>
        <w:rPr>
          <w:rFonts w:ascii="宋体" w:hAnsi="宋体" w:cs="宋体"/>
          <w:szCs w:val="21"/>
        </w:rPr>
      </w:pPr>
      <w:r>
        <w:rPr>
          <w:rFonts w:hint="eastAsia" w:ascii="宋体" w:hAnsi="宋体" w:cs="宋体"/>
          <w:szCs w:val="21"/>
        </w:rPr>
        <w:t>1、采购的服务所涉及的产品标准、规范，验收标准、规范，应符合国家有关条例及规范，如有新的标准应采纳新标准，更改相应标准应征得采购人认可。</w:t>
      </w:r>
    </w:p>
    <w:p>
      <w:pPr>
        <w:spacing w:line="360" w:lineRule="auto"/>
        <w:ind w:firstLine="420" w:firstLineChars="200"/>
        <w:rPr>
          <w:rFonts w:ascii="Arial" w:hAnsi="Arial" w:cs="宋体"/>
          <w:szCs w:val="21"/>
          <w:u w:val="single"/>
        </w:rPr>
      </w:pPr>
      <w:r>
        <w:rPr>
          <w:rFonts w:hint="eastAsia" w:ascii="宋体" w:hAnsi="宋体" w:cs="宋体"/>
          <w:szCs w:val="21"/>
        </w:rPr>
        <w:t>2、</w:t>
      </w:r>
      <w:r>
        <w:rPr>
          <w:rFonts w:hint="eastAsia" w:ascii="新宋体" w:hAnsi="新宋体" w:eastAsia="新宋体" w:cs="宋体"/>
          <w:bCs/>
          <w:szCs w:val="21"/>
          <w:u w:val="single"/>
        </w:rPr>
        <w:t>▲</w:t>
      </w:r>
      <w:r>
        <w:rPr>
          <w:rFonts w:hint="eastAsia" w:ascii="Arial" w:hAnsi="Arial" w:cs="宋体"/>
          <w:szCs w:val="21"/>
          <w:u w:val="single"/>
        </w:rPr>
        <w:t>本采购项目为</w:t>
      </w:r>
      <w:r>
        <w:rPr>
          <w:rFonts w:hint="eastAsia" w:ascii="新宋体" w:hAnsi="新宋体" w:eastAsia="新宋体" w:cs="新宋体"/>
          <w:szCs w:val="21"/>
          <w:u w:val="single"/>
        </w:rPr>
        <w:t>温州市龙湾区机关事务管理中心保安服务采购项目</w:t>
      </w:r>
      <w:r>
        <w:rPr>
          <w:rFonts w:hint="eastAsia" w:ascii="Arial" w:hAnsi="Arial" w:cs="宋体"/>
          <w:szCs w:val="21"/>
          <w:u w:val="single"/>
        </w:rPr>
        <w:t>，</w:t>
      </w:r>
      <w:r>
        <w:rPr>
          <w:rFonts w:hint="eastAsia" w:ascii="宋体" w:hAnsi="宋体" w:cs="宋体"/>
          <w:szCs w:val="21"/>
          <w:u w:val="single"/>
        </w:rPr>
        <w:t>投标人必须根据自己的技术及商务和报价优势对全部服务内容进行投标报价，不得只投部分内容</w:t>
      </w:r>
      <w:r>
        <w:rPr>
          <w:rFonts w:hint="eastAsia" w:ascii="Arial" w:hAnsi="Arial" w:cs="宋体"/>
          <w:szCs w:val="21"/>
          <w:u w:val="single"/>
        </w:rPr>
        <w:t>。</w:t>
      </w:r>
    </w:p>
    <w:p>
      <w:pPr>
        <w:spacing w:line="360" w:lineRule="auto"/>
        <w:ind w:firstLine="420" w:firstLineChars="200"/>
        <w:rPr>
          <w:rFonts w:ascii="宋体" w:hAnsi="宋体" w:cs="宋体"/>
          <w:color w:val="000000"/>
          <w:szCs w:val="21"/>
          <w:u w:val="single"/>
        </w:rPr>
      </w:pPr>
      <w:r>
        <w:rPr>
          <w:rFonts w:hint="eastAsia" w:ascii="宋体" w:hAnsi="宋体" w:cs="宋体"/>
          <w:color w:val="000000"/>
          <w:szCs w:val="21"/>
          <w:u w:val="single"/>
        </w:rPr>
        <w:t>3、▲本项目分二个标项进行招标，投标人可选择其中一个或两个标项进行投标，但只能中一个标项，中标后将不进行余下标项评审（报价文件不开启）；评标委员会根据各个标项得分排名顺序依次推荐中标候选人,如标项排名第一的中标人放弃中标或被取消中标资格的，招标人可以确定排名第二的候选人为中标人，依次类推。</w:t>
      </w:r>
    </w:p>
    <w:p>
      <w:pPr>
        <w:spacing w:line="360" w:lineRule="auto"/>
        <w:ind w:firstLine="420" w:firstLineChars="200"/>
        <w:rPr>
          <w:rFonts w:ascii="宋体" w:hAnsi="宋体" w:cs="宋体"/>
          <w:color w:val="000000"/>
          <w:szCs w:val="21"/>
          <w:u w:val="single"/>
        </w:rPr>
      </w:pPr>
      <w:r>
        <w:rPr>
          <w:rFonts w:hint="eastAsia" w:ascii="宋体" w:hAnsi="宋体" w:cs="宋体"/>
          <w:color w:val="000000"/>
          <w:szCs w:val="21"/>
          <w:u w:val="single"/>
        </w:rPr>
        <w:t>评审及中标顺序按标项一、标项二进行确定，如投标人中标项一，则不参与标项二的评审。</w:t>
      </w:r>
    </w:p>
    <w:p>
      <w:pPr>
        <w:pStyle w:val="2"/>
        <w:ind w:firstLine="210"/>
      </w:pPr>
    </w:p>
    <w:p>
      <w:pPr>
        <w:spacing w:line="360" w:lineRule="auto"/>
        <w:jc w:val="center"/>
        <w:rPr>
          <w:rFonts w:ascii="黑体" w:hAnsi="新宋体" w:eastAsia="黑体" w:cs="宋体"/>
          <w:b/>
          <w:bCs/>
          <w:szCs w:val="21"/>
        </w:rPr>
      </w:pPr>
    </w:p>
    <w:p>
      <w:pPr>
        <w:spacing w:line="360" w:lineRule="auto"/>
        <w:jc w:val="center"/>
        <w:rPr>
          <w:rFonts w:ascii="黑体" w:hAnsi="新宋体" w:eastAsia="黑体" w:cs="宋体"/>
          <w:b/>
          <w:bCs/>
          <w:szCs w:val="21"/>
        </w:rPr>
      </w:pPr>
    </w:p>
    <w:p>
      <w:pPr>
        <w:spacing w:line="360" w:lineRule="auto"/>
        <w:jc w:val="center"/>
        <w:rPr>
          <w:rFonts w:ascii="黑体" w:hAnsi="新宋体" w:eastAsia="黑体" w:cs="宋体"/>
          <w:b/>
          <w:bCs/>
          <w:szCs w:val="21"/>
        </w:rPr>
      </w:pPr>
    </w:p>
    <w:p>
      <w:pPr>
        <w:spacing w:line="360" w:lineRule="auto"/>
        <w:jc w:val="center"/>
        <w:rPr>
          <w:rFonts w:ascii="黑体" w:hAnsi="新宋体" w:eastAsia="黑体" w:cs="宋体"/>
          <w:b/>
          <w:bCs/>
          <w:szCs w:val="21"/>
        </w:rPr>
      </w:pPr>
    </w:p>
    <w:p>
      <w:pPr>
        <w:spacing w:line="360" w:lineRule="auto"/>
        <w:jc w:val="center"/>
        <w:rPr>
          <w:rFonts w:ascii="黑体" w:hAnsi="新宋体" w:eastAsia="黑体" w:cs="宋体"/>
          <w:b/>
          <w:bCs/>
          <w:szCs w:val="21"/>
        </w:rPr>
      </w:pPr>
    </w:p>
    <w:p>
      <w:pPr>
        <w:spacing w:line="360" w:lineRule="auto"/>
        <w:jc w:val="center"/>
        <w:rPr>
          <w:rFonts w:ascii="黑体" w:hAnsi="新宋体" w:eastAsia="黑体" w:cs="宋体"/>
          <w:b/>
          <w:bCs/>
          <w:szCs w:val="21"/>
        </w:rPr>
      </w:pPr>
      <w:r>
        <w:rPr>
          <w:rFonts w:hint="eastAsia" w:ascii="黑体" w:hAnsi="新宋体" w:eastAsia="黑体" w:cs="宋体"/>
          <w:b/>
          <w:bCs/>
          <w:szCs w:val="21"/>
        </w:rPr>
        <w:t>采购需求</w:t>
      </w:r>
    </w:p>
    <w:p>
      <w:pPr>
        <w:adjustRightInd w:val="0"/>
        <w:snapToGrid w:val="0"/>
        <w:spacing w:line="420" w:lineRule="exact"/>
        <w:ind w:firstLine="420" w:firstLineChars="200"/>
        <w:jc w:val="center"/>
        <w:rPr>
          <w:rFonts w:ascii="宋体" w:hAnsi="宋体" w:cs="宋体"/>
          <w:b/>
          <w:bCs/>
          <w:szCs w:val="21"/>
        </w:rPr>
      </w:pPr>
      <w:r>
        <w:rPr>
          <w:rFonts w:hint="eastAsia" w:ascii="宋体" w:hAnsi="宋体" w:cs="宋体"/>
          <w:b/>
          <w:bCs/>
          <w:szCs w:val="21"/>
        </w:rPr>
        <w:t>一、总述</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服务管理理念</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通过社会化、市场化、专业化运作，依照“廉洁、服务、节俭”的原则，引进专业公司进行服务管理。坚持以人为本，营造文明、和谐、温馨的办公环境；坚持规范化、制度化、精细化，创造一流的服务管理品牌；坚持服务第一，强化服务意识，突出安全为主，更好地为区行政服务中心各部门和干部职工服务。</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服务管理目标</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通过努力达到“三优三满意一保证”（优美环境、优质服务、优化功能、领导满意、服务对象满意、群众满意、保证安全），建设节约型文明机关，争创省内安保服务管理领先水平。</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管理方式</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根据区委、区政府要求，采取市场化运作，由龙湾区机关事务管理中心委托相关服务单位提供服务并进行整体管理。</w:t>
      </w:r>
    </w:p>
    <w:p>
      <w:pPr>
        <w:adjustRightInd w:val="0"/>
        <w:snapToGrid w:val="0"/>
        <w:spacing w:line="420" w:lineRule="exact"/>
        <w:ind w:firstLine="420" w:firstLineChars="200"/>
        <w:jc w:val="center"/>
        <w:rPr>
          <w:rFonts w:ascii="宋体" w:hAnsi="宋体" w:cs="宋体"/>
          <w:b/>
          <w:bCs/>
          <w:szCs w:val="21"/>
        </w:rPr>
      </w:pPr>
      <w:r>
        <w:rPr>
          <w:rFonts w:hint="eastAsia" w:ascii="宋体" w:hAnsi="宋体" w:cs="宋体"/>
          <w:b/>
          <w:bCs/>
          <w:szCs w:val="21"/>
        </w:rPr>
        <w:t>二、标项划分、工作内容</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 xml:space="preserve">  1、标项划分：</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2475"/>
        <w:gridCol w:w="2652"/>
        <w:gridCol w:w="1995"/>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tcPr>
          <w:p>
            <w:pPr>
              <w:adjustRightInd w:val="0"/>
              <w:snapToGrid w:val="0"/>
              <w:spacing w:line="420" w:lineRule="exact"/>
              <w:jc w:val="center"/>
              <w:rPr>
                <w:rFonts w:ascii="宋体" w:hAnsi="宋体" w:cs="宋体"/>
                <w:szCs w:val="21"/>
              </w:rPr>
            </w:pPr>
            <w:r>
              <w:rPr>
                <w:rFonts w:hint="eastAsia" w:ascii="宋体" w:hAnsi="宋体" w:cs="宋体"/>
                <w:szCs w:val="21"/>
              </w:rPr>
              <w:t>标项</w:t>
            </w:r>
          </w:p>
        </w:tc>
        <w:tc>
          <w:tcPr>
            <w:tcW w:w="2475" w:type="dxa"/>
          </w:tcPr>
          <w:p>
            <w:pPr>
              <w:adjustRightInd w:val="0"/>
              <w:snapToGrid w:val="0"/>
              <w:spacing w:line="420" w:lineRule="exact"/>
              <w:jc w:val="center"/>
              <w:rPr>
                <w:rFonts w:ascii="宋体" w:hAnsi="宋体" w:cs="宋体"/>
                <w:szCs w:val="21"/>
              </w:rPr>
            </w:pPr>
            <w:r>
              <w:rPr>
                <w:rFonts w:hint="eastAsia" w:ascii="宋体" w:hAnsi="宋体" w:cs="宋体"/>
                <w:szCs w:val="21"/>
              </w:rPr>
              <w:t>服务区域</w:t>
            </w:r>
          </w:p>
        </w:tc>
        <w:tc>
          <w:tcPr>
            <w:tcW w:w="2652" w:type="dxa"/>
          </w:tcPr>
          <w:p>
            <w:pPr>
              <w:adjustRightInd w:val="0"/>
              <w:snapToGrid w:val="0"/>
              <w:spacing w:line="420" w:lineRule="exact"/>
              <w:jc w:val="center"/>
              <w:rPr>
                <w:rFonts w:ascii="宋体" w:hAnsi="宋体" w:cs="宋体"/>
                <w:szCs w:val="21"/>
              </w:rPr>
            </w:pPr>
            <w:r>
              <w:rPr>
                <w:rFonts w:hint="eastAsia" w:ascii="宋体" w:hAnsi="宋体" w:cs="宋体"/>
                <w:szCs w:val="21"/>
              </w:rPr>
              <w:t>服务内容</w:t>
            </w:r>
          </w:p>
        </w:tc>
        <w:tc>
          <w:tcPr>
            <w:tcW w:w="1995" w:type="dxa"/>
          </w:tcPr>
          <w:p>
            <w:pPr>
              <w:adjustRightInd w:val="0"/>
              <w:snapToGrid w:val="0"/>
              <w:spacing w:line="420" w:lineRule="exact"/>
              <w:jc w:val="center"/>
              <w:rPr>
                <w:rFonts w:ascii="宋体" w:hAnsi="宋体" w:cs="宋体"/>
                <w:szCs w:val="21"/>
              </w:rPr>
            </w:pPr>
            <w:r>
              <w:rPr>
                <w:rFonts w:hint="eastAsia" w:ascii="宋体" w:hAnsi="宋体" w:cs="宋体"/>
                <w:szCs w:val="21"/>
              </w:rPr>
              <w:t>1年预算金额</w:t>
            </w:r>
          </w:p>
        </w:tc>
        <w:tc>
          <w:tcPr>
            <w:tcW w:w="1462" w:type="dxa"/>
          </w:tcPr>
          <w:p>
            <w:pPr>
              <w:adjustRightInd w:val="0"/>
              <w:snapToGrid w:val="0"/>
              <w:spacing w:line="420" w:lineRule="exact"/>
              <w:jc w:val="center"/>
              <w:rPr>
                <w:rFonts w:ascii="宋体" w:hAnsi="宋体" w:cs="宋体"/>
                <w:szCs w:val="21"/>
              </w:rPr>
            </w:pPr>
            <w:r>
              <w:rPr>
                <w:rFonts w:hint="eastAsia" w:ascii="宋体" w:hAnsi="宋体" w:cs="宋体"/>
                <w:szCs w:val="21"/>
              </w:rPr>
              <w:t>3年预算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834" w:type="dxa"/>
            <w:vMerge w:val="restart"/>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1</w:t>
            </w:r>
          </w:p>
        </w:tc>
        <w:tc>
          <w:tcPr>
            <w:tcW w:w="2475" w:type="dxa"/>
            <w:vAlign w:val="center"/>
          </w:tcPr>
          <w:p>
            <w:pPr>
              <w:adjustRightInd w:val="0"/>
              <w:snapToGrid w:val="0"/>
              <w:spacing w:line="420" w:lineRule="exact"/>
            </w:pPr>
            <w:r>
              <w:rPr>
                <w:rFonts w:hint="eastAsia"/>
              </w:rPr>
              <w:t>区行政管理中心、区人防大楼、区规划展示馆、区文化中心、区市民活动中心、区人武部大楼、区政协书院</w:t>
            </w:r>
          </w:p>
        </w:tc>
        <w:tc>
          <w:tcPr>
            <w:tcW w:w="2652" w:type="dxa"/>
            <w:vAlign w:val="center"/>
          </w:tcPr>
          <w:p>
            <w:pPr>
              <w:adjustRightInd w:val="0"/>
              <w:snapToGrid w:val="0"/>
              <w:spacing w:line="420" w:lineRule="exact"/>
              <w:jc w:val="both"/>
              <w:rPr>
                <w:rFonts w:ascii="宋体" w:hAnsi="宋体" w:cs="宋体"/>
                <w:szCs w:val="21"/>
              </w:rPr>
            </w:pPr>
            <w:r>
              <w:rPr>
                <w:rFonts w:hint="eastAsia" w:ascii="宋体" w:hAnsi="宋体" w:cs="宋体"/>
                <w:szCs w:val="21"/>
              </w:rPr>
              <w:t>相应区域的的安保服务、**防暴、消防应急、疫情防控、设备设施巡检、备件和易耗品采购和仓库管理等</w:t>
            </w:r>
          </w:p>
        </w:tc>
        <w:tc>
          <w:tcPr>
            <w:tcW w:w="1995"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587.466万元</w:t>
            </w:r>
          </w:p>
        </w:tc>
        <w:tc>
          <w:tcPr>
            <w:tcW w:w="1462"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1762.398万元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34" w:type="dxa"/>
            <w:vMerge w:val="continue"/>
            <w:vAlign w:val="center"/>
          </w:tcPr>
          <w:p>
            <w:pPr>
              <w:adjustRightInd w:val="0"/>
              <w:snapToGrid w:val="0"/>
              <w:spacing w:line="420" w:lineRule="exact"/>
              <w:jc w:val="center"/>
              <w:rPr>
                <w:rFonts w:ascii="宋体" w:hAnsi="宋体" w:cs="宋体"/>
                <w:szCs w:val="21"/>
              </w:rPr>
            </w:pPr>
          </w:p>
        </w:tc>
        <w:tc>
          <w:tcPr>
            <w:tcW w:w="2475" w:type="dxa"/>
            <w:vAlign w:val="center"/>
          </w:tcPr>
          <w:p>
            <w:pPr>
              <w:adjustRightInd w:val="0"/>
              <w:snapToGrid w:val="0"/>
              <w:spacing w:line="420" w:lineRule="exact"/>
            </w:pPr>
            <w:r>
              <w:rPr>
                <w:rFonts w:hint="eastAsia"/>
              </w:rPr>
              <w:t>区行政管理中心、区人防大楼、区规划展示馆、区文化中心、区市民活动中心、区行政服务中心和区图书馆</w:t>
            </w:r>
          </w:p>
        </w:tc>
        <w:tc>
          <w:tcPr>
            <w:tcW w:w="2652" w:type="dxa"/>
            <w:vAlign w:val="center"/>
          </w:tcPr>
          <w:p>
            <w:pPr>
              <w:adjustRightInd w:val="0"/>
              <w:snapToGrid w:val="0"/>
              <w:spacing w:line="420" w:lineRule="exact"/>
              <w:jc w:val="both"/>
              <w:rPr>
                <w:rFonts w:ascii="宋体" w:hAnsi="宋体" w:cs="宋体"/>
                <w:szCs w:val="21"/>
              </w:rPr>
            </w:pPr>
            <w:r>
              <w:rPr>
                <w:rFonts w:hint="eastAsia" w:ascii="宋体" w:hAnsi="宋体" w:cs="宋体"/>
                <w:szCs w:val="21"/>
              </w:rPr>
              <w:t>负责服务相应区域的消防设备维保</w:t>
            </w:r>
          </w:p>
        </w:tc>
        <w:tc>
          <w:tcPr>
            <w:tcW w:w="1995"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20万元</w:t>
            </w:r>
          </w:p>
        </w:tc>
        <w:tc>
          <w:tcPr>
            <w:tcW w:w="1462"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961" w:type="dxa"/>
            <w:gridSpan w:val="3"/>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合计</w:t>
            </w:r>
          </w:p>
        </w:tc>
        <w:tc>
          <w:tcPr>
            <w:tcW w:w="1995"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607.466万元</w:t>
            </w:r>
          </w:p>
        </w:tc>
        <w:tc>
          <w:tcPr>
            <w:tcW w:w="1462"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1822.398万元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834" w:type="dxa"/>
            <w:vMerge w:val="restart"/>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2</w:t>
            </w:r>
          </w:p>
        </w:tc>
        <w:tc>
          <w:tcPr>
            <w:tcW w:w="2475" w:type="dxa"/>
            <w:vAlign w:val="center"/>
          </w:tcPr>
          <w:p>
            <w:pPr>
              <w:adjustRightInd w:val="0"/>
              <w:snapToGrid w:val="0"/>
              <w:spacing w:line="420" w:lineRule="exact"/>
              <w:rPr>
                <w:rFonts w:ascii="宋体" w:hAnsi="宋体" w:cs="宋体"/>
                <w:szCs w:val="21"/>
              </w:rPr>
            </w:pPr>
            <w:r>
              <w:rPr>
                <w:rFonts w:hint="eastAsia" w:ascii="宋体" w:hAnsi="宋体" w:cs="宋体"/>
                <w:szCs w:val="21"/>
              </w:rPr>
              <w:t>区行政服务中心和区图书馆</w:t>
            </w:r>
          </w:p>
        </w:tc>
        <w:tc>
          <w:tcPr>
            <w:tcW w:w="2652" w:type="dxa"/>
          </w:tcPr>
          <w:p>
            <w:pPr>
              <w:adjustRightInd w:val="0"/>
              <w:snapToGrid w:val="0"/>
              <w:spacing w:line="420" w:lineRule="exact"/>
              <w:rPr>
                <w:rFonts w:ascii="宋体" w:hAnsi="宋体" w:cs="宋体"/>
                <w:szCs w:val="21"/>
              </w:rPr>
            </w:pPr>
            <w:r>
              <w:rPr>
                <w:rFonts w:hint="eastAsia" w:ascii="宋体" w:hAnsi="宋体" w:cs="宋体"/>
                <w:szCs w:val="21"/>
              </w:rPr>
              <w:t>相应区域的的安保服务、**防暴、消防应急、疫情防控、设备设施巡检、备件和易耗品采购和仓库管理等</w:t>
            </w:r>
          </w:p>
        </w:tc>
        <w:tc>
          <w:tcPr>
            <w:tcW w:w="1995"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348.128万元</w:t>
            </w:r>
          </w:p>
        </w:tc>
        <w:tc>
          <w:tcPr>
            <w:tcW w:w="1462"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1044.384万元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34" w:type="dxa"/>
            <w:vMerge w:val="continue"/>
            <w:vAlign w:val="center"/>
          </w:tcPr>
          <w:p>
            <w:pPr>
              <w:adjustRightInd w:val="0"/>
              <w:snapToGrid w:val="0"/>
              <w:spacing w:line="420" w:lineRule="exact"/>
              <w:jc w:val="center"/>
              <w:rPr>
                <w:rFonts w:ascii="宋体" w:hAnsi="宋体" w:cs="宋体"/>
                <w:szCs w:val="21"/>
              </w:rPr>
            </w:pPr>
          </w:p>
        </w:tc>
        <w:tc>
          <w:tcPr>
            <w:tcW w:w="2475" w:type="dxa"/>
            <w:vAlign w:val="center"/>
          </w:tcPr>
          <w:p>
            <w:pPr>
              <w:adjustRightInd w:val="0"/>
              <w:snapToGrid w:val="0"/>
              <w:spacing w:line="420" w:lineRule="exact"/>
              <w:rPr>
                <w:rFonts w:ascii="宋体" w:hAnsi="宋体" w:cs="宋体"/>
                <w:szCs w:val="21"/>
              </w:rPr>
            </w:pPr>
            <w:r>
              <w:rPr>
                <w:rFonts w:hint="eastAsia" w:ascii="宋体" w:hAnsi="宋体" w:cs="宋体"/>
                <w:szCs w:val="21"/>
              </w:rPr>
              <w:t>区行政服务中心</w:t>
            </w:r>
          </w:p>
        </w:tc>
        <w:tc>
          <w:tcPr>
            <w:tcW w:w="2652" w:type="dxa"/>
            <w:vAlign w:val="center"/>
          </w:tcPr>
          <w:p>
            <w:pPr>
              <w:adjustRightInd w:val="0"/>
              <w:snapToGrid w:val="0"/>
              <w:spacing w:line="420" w:lineRule="exact"/>
              <w:rPr>
                <w:rFonts w:ascii="宋体" w:hAnsi="宋体" w:cs="宋体"/>
                <w:szCs w:val="21"/>
              </w:rPr>
            </w:pPr>
            <w:r>
              <w:rPr>
                <w:rFonts w:hint="eastAsia" w:ascii="宋体" w:hAnsi="宋体" w:cs="宋体"/>
                <w:szCs w:val="21"/>
              </w:rPr>
              <w:t>负责服务本区域的机械车库设备维保</w:t>
            </w:r>
          </w:p>
        </w:tc>
        <w:tc>
          <w:tcPr>
            <w:tcW w:w="1995" w:type="dxa"/>
          </w:tcPr>
          <w:p>
            <w:pPr>
              <w:adjustRightInd w:val="0"/>
              <w:snapToGrid w:val="0"/>
              <w:spacing w:line="420" w:lineRule="exact"/>
              <w:rPr>
                <w:rFonts w:ascii="宋体" w:hAnsi="宋体" w:cs="宋体"/>
                <w:szCs w:val="21"/>
                <w:highlight w:val="green"/>
              </w:rPr>
            </w:pPr>
            <w:r>
              <w:rPr>
                <w:rFonts w:hint="eastAsia" w:ascii="宋体" w:hAnsi="宋体" w:cs="宋体"/>
                <w:szCs w:val="21"/>
              </w:rPr>
              <w:t>20万/年（包含特种设备检测费，此项按照法定要求进行服务，凭特种设备检测报告支付）</w:t>
            </w:r>
          </w:p>
        </w:tc>
        <w:tc>
          <w:tcPr>
            <w:tcW w:w="1462"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961" w:type="dxa"/>
            <w:gridSpan w:val="3"/>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合计</w:t>
            </w:r>
          </w:p>
        </w:tc>
        <w:tc>
          <w:tcPr>
            <w:tcW w:w="1995"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 xml:space="preserve"> 368.128万元</w:t>
            </w:r>
          </w:p>
        </w:tc>
        <w:tc>
          <w:tcPr>
            <w:tcW w:w="1462"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1104.384万元</w:t>
            </w:r>
          </w:p>
        </w:tc>
      </w:tr>
    </w:tbl>
    <w:p>
      <w:pPr>
        <w:adjustRightInd w:val="0"/>
        <w:snapToGrid w:val="0"/>
        <w:spacing w:line="420" w:lineRule="exact"/>
        <w:ind w:firstLine="420" w:firstLineChars="200"/>
        <w:rPr>
          <w:rFonts w:ascii="宋体" w:hAnsi="宋体" w:cs="宋体"/>
          <w:szCs w:val="21"/>
        </w:rPr>
      </w:pPr>
      <w:r>
        <w:rPr>
          <w:rFonts w:hint="eastAsia" w:ascii="宋体" w:hAnsi="宋体" w:cs="宋体"/>
          <w:szCs w:val="21"/>
        </w:rPr>
        <w:t xml:space="preserve">  2、工作内容为：维护相应区域的正常秩序，负责安全保卫、监控、消防安全、消防设备维保、停车库（场）、机械车库设备维保等工作（说明：消防设备维保、停车库（场）、机械车库设备维保两部分内容可由中标人中标后外包给具有资质的单位进行维保，中标人负责管理，外包单位须报采购人处审核备案，采购人负责监督考核，中标供应商就采购项目和分包项目向采购人负责，分包供应商就分包项目承担责任）。</w:t>
      </w:r>
    </w:p>
    <w:p>
      <w:pPr>
        <w:adjustRightInd w:val="0"/>
        <w:snapToGrid w:val="0"/>
        <w:spacing w:line="420" w:lineRule="exact"/>
        <w:ind w:firstLine="420" w:firstLineChars="200"/>
        <w:rPr>
          <w:rFonts w:ascii="宋体" w:hAnsi="宋体" w:cs="宋体"/>
          <w:szCs w:val="21"/>
        </w:rPr>
      </w:pPr>
    </w:p>
    <w:p>
      <w:pPr>
        <w:adjustRightInd w:val="0"/>
        <w:snapToGrid w:val="0"/>
        <w:spacing w:line="420" w:lineRule="exact"/>
        <w:ind w:firstLine="420" w:firstLineChars="200"/>
        <w:jc w:val="center"/>
        <w:rPr>
          <w:rFonts w:ascii="宋体" w:hAnsi="宋体" w:cs="宋体"/>
          <w:b/>
          <w:bCs/>
          <w:szCs w:val="21"/>
        </w:rPr>
      </w:pPr>
    </w:p>
    <w:p>
      <w:pPr>
        <w:adjustRightInd w:val="0"/>
        <w:snapToGrid w:val="0"/>
        <w:spacing w:line="420" w:lineRule="exact"/>
        <w:ind w:firstLine="420" w:firstLineChars="200"/>
        <w:jc w:val="center"/>
        <w:rPr>
          <w:rFonts w:ascii="宋体" w:hAnsi="宋体" w:cs="宋体"/>
          <w:b/>
          <w:bCs/>
          <w:szCs w:val="21"/>
        </w:rPr>
      </w:pPr>
    </w:p>
    <w:p>
      <w:pPr>
        <w:adjustRightInd w:val="0"/>
        <w:snapToGrid w:val="0"/>
        <w:spacing w:line="420" w:lineRule="exact"/>
        <w:ind w:firstLine="420" w:firstLineChars="200"/>
        <w:jc w:val="center"/>
        <w:rPr>
          <w:rFonts w:ascii="宋体" w:hAnsi="宋体" w:cs="宋体"/>
          <w:b/>
          <w:bCs/>
          <w:szCs w:val="21"/>
        </w:rPr>
      </w:pPr>
      <w:r>
        <w:rPr>
          <w:rFonts w:hint="eastAsia" w:ascii="宋体" w:hAnsi="宋体" w:cs="宋体"/>
          <w:b/>
          <w:bCs/>
          <w:szCs w:val="21"/>
        </w:rPr>
        <w:t>三、详细服务要求、内容和范围</w:t>
      </w:r>
    </w:p>
    <w:p>
      <w:pPr>
        <w:pStyle w:val="2"/>
        <w:ind w:firstLine="210"/>
        <w:rPr>
          <w:szCs w:val="21"/>
        </w:rPr>
      </w:pPr>
    </w:p>
    <w:p>
      <w:pPr>
        <w:pStyle w:val="27"/>
        <w:jc w:val="center"/>
        <w:rPr>
          <w:b/>
          <w:bCs w:val="0"/>
        </w:rPr>
      </w:pPr>
      <w:r>
        <w:rPr>
          <w:rFonts w:hint="eastAsia" w:cs="宋体"/>
          <w:b/>
          <w:bCs w:val="0"/>
        </w:rPr>
        <w:t>（一）安全保卫、监控、消防安全要求</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保安人员的服务质量和言行是代表区机关工作的形象。为全力维护办公场所的正常工作秩序，要确保值勤区安全保卫措施有力，工作任务责任到人，实行军事化的工作理念。</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▲日常管理：严格执行《劳动法》、《劳动合同法》有关员工保障的其他规定，由劳动部门查实的，根据查实情况处罚。</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保安、消控监控人员要求政治上绝对可靠，身体素质强，形象好，能提供公安部门出具的无不良行为记录证明，具备一定的相应专业知识，退伍军人优先，实行持证上岗，并报区机关事务管理中心保卫科审核备案。</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保安人员要经过岗前培训，并取得公安部门发放的保安资格证才能持证上岗，否则不准录用。</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保安人员必须每星期进行三小时体能、队列训练和一个半小时业务技能培训，要做好训练计划及训练记录以备考核检查。</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实行24小时、全天候安全保卫、监控、消防工作制度。受委托方要求，采用军事化管理训练方式，维护行政服务中心的秩序，确保行政服务中心安全。如果出现安全问题（包括信访闹事事件等），由中标供应商负全责。</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安全保卫设备、设施齐全（应配备至少1名会排除监控一般故障的工作人员）。</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中标供应商按照管理内容编制检查表，每日进行检查，发现问题及时整改。</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中标供应商对招标项目区域内的消防设施（包括消防栓、防火卷帘、消防通道等）按照消防法规定进行日常检查，确保消防设施完整有效。</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采购人对中标供应商各工作岗位的服务质量随时进行抽查。发现问题，及时提出书面或口头通知整改。采购人对中标供应商在实际工作过程中，达不到标准要求的人员，提出调整或更换，中标供应商必须执行。</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采购人根据综合评分酌情进行服务管理费的支付。</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除中标供应商对服务人员的培训外，还需接受采购人对服务人员集中进行培训。</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所有岗位建立岗位责任制与运作程序、工作质量标准。</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中标供应商建立各类应急预案（如消防、抗台、安全、信访闹事、特殊事件、应急事件等），有处理突发事件工作预案，并按照预案实施。</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重大接待任务必须事先制订周密的安全保障计划，并严格按照计划实施。</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负责各办公场所的岗亭执勤、停车管理。</w:t>
      </w:r>
    </w:p>
    <w:p>
      <w:pPr>
        <w:numPr>
          <w:ilvl w:val="0"/>
          <w:numId w:val="6"/>
        </w:numPr>
        <w:adjustRightInd w:val="0"/>
        <w:snapToGrid w:val="0"/>
        <w:spacing w:line="420" w:lineRule="exact"/>
        <w:rPr>
          <w:rFonts w:ascii="宋体" w:hAnsi="宋体" w:cs="宋体"/>
          <w:szCs w:val="21"/>
        </w:rPr>
      </w:pPr>
      <w:r>
        <w:rPr>
          <w:rFonts w:hint="eastAsia" w:ascii="宋体" w:hAnsi="宋体" w:cs="宋体"/>
          <w:szCs w:val="21"/>
        </w:rPr>
        <w:t>具体要求：</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16.1 采购人给予中标供应商提供的相应设备</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中标供应商使用的工作所需的相应设备（除办公用品外，如电脑、打印机等）均由采购人提供，投标时需在投标文件中提出所需的设备配置单。除正常使用折旧外，中标供应商应保证各设备、设施、工具的完好性（修理费由中标供应商承担）。</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16.2 保安岗位配备要求</w:t>
      </w:r>
    </w:p>
    <w:p>
      <w:pPr>
        <w:adjustRightInd w:val="0"/>
        <w:snapToGrid w:val="0"/>
        <w:spacing w:line="420" w:lineRule="exact"/>
        <w:ind w:firstLine="420" w:firstLineChars="200"/>
        <w:rPr>
          <w:rFonts w:ascii="宋体" w:hAnsi="宋体" w:cs="宋体"/>
          <w:szCs w:val="21"/>
        </w:rPr>
      </w:pPr>
      <w:r>
        <w:rPr>
          <w:rFonts w:hint="eastAsia" w:ascii="宋体" w:hAnsi="宋体" w:cs="宋体"/>
          <w:b/>
          <w:bCs/>
          <w:szCs w:val="21"/>
          <w:u w:val="single"/>
        </w:rPr>
        <w:t>▲以下规定了投标人人员配备数量（8小时/班）的最低要求，投标人应结合自身实际情况提供不少于规定的实际岗位人数，严禁串岗、严禁连班，否则将导致其投标被拒绝，具体如下</w:t>
      </w:r>
      <w:r>
        <w:rPr>
          <w:rFonts w:hint="eastAsia" w:ascii="宋体" w:hAnsi="宋体" w:cs="宋体"/>
          <w:szCs w:val="21"/>
        </w:rPr>
        <w:t>：</w:t>
      </w:r>
    </w:p>
    <w:p>
      <w:pPr>
        <w:pStyle w:val="3"/>
        <w:rPr>
          <w:rFonts w:eastAsia="宋体"/>
          <w:sz w:val="21"/>
          <w:szCs w:val="21"/>
        </w:rPr>
      </w:pPr>
      <w:r>
        <w:rPr>
          <w:rFonts w:hint="eastAsia" w:ascii="宋体" w:hAnsi="宋体" w:eastAsia="宋体" w:cs="宋体"/>
          <w:sz w:val="21"/>
          <w:szCs w:val="21"/>
        </w:rPr>
        <w:t>岗位班次：每日每岗位工作8小时为准计一班次。</w:t>
      </w:r>
    </w:p>
    <w:p>
      <w:pPr>
        <w:adjustRightInd w:val="0"/>
        <w:snapToGrid w:val="0"/>
        <w:spacing w:line="420" w:lineRule="exact"/>
        <w:ind w:firstLine="420" w:firstLineChars="200"/>
        <w:jc w:val="center"/>
        <w:rPr>
          <w:rFonts w:ascii="宋体" w:hAnsi="宋体" w:cs="宋体"/>
          <w:b/>
          <w:bCs/>
          <w:szCs w:val="21"/>
        </w:rPr>
      </w:pPr>
      <w:r>
        <w:rPr>
          <w:rFonts w:hint="eastAsia" w:ascii="宋体" w:hAnsi="宋体" w:cs="宋体"/>
          <w:b/>
          <w:bCs/>
          <w:szCs w:val="21"/>
        </w:rPr>
        <w:t>标项1岗位配置表：</w:t>
      </w:r>
    </w:p>
    <w:tbl>
      <w:tblPr>
        <w:tblStyle w:val="37"/>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153"/>
        <w:gridCol w:w="847"/>
        <w:gridCol w:w="3553"/>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trPr>
        <w:tc>
          <w:tcPr>
            <w:tcW w:w="640" w:type="dxa"/>
            <w:vAlign w:val="center"/>
          </w:tcPr>
          <w:p>
            <w:pPr>
              <w:spacing w:line="280" w:lineRule="exact"/>
              <w:jc w:val="center"/>
              <w:rPr>
                <w:rFonts w:ascii="宋体"/>
                <w:szCs w:val="21"/>
              </w:rPr>
            </w:pPr>
            <w:r>
              <w:rPr>
                <w:rFonts w:hint="eastAsia" w:ascii="宋体"/>
                <w:szCs w:val="21"/>
              </w:rPr>
              <w:t>区域</w:t>
            </w:r>
          </w:p>
        </w:tc>
        <w:tc>
          <w:tcPr>
            <w:tcW w:w="1153" w:type="dxa"/>
            <w:vAlign w:val="center"/>
          </w:tcPr>
          <w:p>
            <w:pPr>
              <w:spacing w:line="280" w:lineRule="exact"/>
              <w:jc w:val="center"/>
              <w:rPr>
                <w:rFonts w:ascii="宋体"/>
                <w:szCs w:val="21"/>
              </w:rPr>
            </w:pPr>
            <w:r>
              <w:rPr>
                <w:rFonts w:hint="eastAsia" w:ascii="宋体"/>
                <w:szCs w:val="21"/>
              </w:rPr>
              <w:t>岗位</w:t>
            </w:r>
          </w:p>
        </w:tc>
        <w:tc>
          <w:tcPr>
            <w:tcW w:w="847" w:type="dxa"/>
            <w:vAlign w:val="center"/>
          </w:tcPr>
          <w:p>
            <w:pPr>
              <w:spacing w:line="280" w:lineRule="exact"/>
              <w:jc w:val="center"/>
              <w:rPr>
                <w:rFonts w:ascii="宋体"/>
                <w:szCs w:val="21"/>
              </w:rPr>
            </w:pPr>
            <w:r>
              <w:rPr>
                <w:rFonts w:hint="eastAsia" w:ascii="宋体"/>
                <w:szCs w:val="21"/>
              </w:rPr>
              <w:t>岗位班次</w:t>
            </w:r>
          </w:p>
        </w:tc>
        <w:tc>
          <w:tcPr>
            <w:tcW w:w="3553" w:type="dxa"/>
          </w:tcPr>
          <w:p>
            <w:pPr>
              <w:spacing w:line="280" w:lineRule="exact"/>
              <w:jc w:val="center"/>
              <w:rPr>
                <w:rFonts w:ascii="宋体"/>
                <w:szCs w:val="21"/>
              </w:rPr>
            </w:pPr>
            <w:r>
              <w:rPr>
                <w:rFonts w:hint="eastAsia" w:ascii="宋体"/>
                <w:szCs w:val="21"/>
              </w:rPr>
              <w:t>人员要求</w:t>
            </w:r>
          </w:p>
        </w:tc>
        <w:tc>
          <w:tcPr>
            <w:tcW w:w="2865" w:type="dxa"/>
          </w:tcPr>
          <w:p>
            <w:pPr>
              <w:spacing w:line="280" w:lineRule="exact"/>
              <w:jc w:val="center"/>
              <w:rPr>
                <w:rFonts w:ascii="宋体"/>
                <w:szCs w:val="21"/>
              </w:rPr>
            </w:pPr>
            <w:r>
              <w:rPr>
                <w:rFonts w:hint="eastAsia" w:asci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40" w:type="dxa"/>
            <w:vMerge w:val="restart"/>
            <w:vAlign w:val="center"/>
          </w:tcPr>
          <w:p>
            <w:pPr>
              <w:spacing w:line="280" w:lineRule="exact"/>
              <w:ind w:left="-42" w:leftChars="-20"/>
              <w:jc w:val="center"/>
              <w:rPr>
                <w:rFonts w:ascii="宋体"/>
                <w:szCs w:val="21"/>
              </w:rPr>
            </w:pPr>
          </w:p>
          <w:p>
            <w:pPr>
              <w:spacing w:line="280" w:lineRule="exact"/>
              <w:ind w:left="-42" w:leftChars="-20"/>
              <w:jc w:val="center"/>
              <w:rPr>
                <w:rFonts w:ascii="宋体"/>
                <w:szCs w:val="21"/>
              </w:rPr>
            </w:pPr>
            <w:r>
              <w:rPr>
                <w:rFonts w:hint="eastAsia" w:ascii="宋体"/>
                <w:szCs w:val="21"/>
              </w:rPr>
              <w:t>区</w:t>
            </w:r>
          </w:p>
          <w:p>
            <w:pPr>
              <w:spacing w:line="280" w:lineRule="exact"/>
              <w:ind w:left="-42" w:leftChars="-20"/>
              <w:jc w:val="center"/>
              <w:rPr>
                <w:rFonts w:ascii="宋体"/>
                <w:szCs w:val="21"/>
              </w:rPr>
            </w:pPr>
            <w:r>
              <w:rPr>
                <w:rFonts w:hint="eastAsia" w:ascii="宋体"/>
                <w:szCs w:val="21"/>
              </w:rPr>
              <w:t>行</w:t>
            </w:r>
          </w:p>
          <w:p>
            <w:pPr>
              <w:spacing w:line="280" w:lineRule="exact"/>
              <w:ind w:left="-42" w:leftChars="-20"/>
              <w:jc w:val="center"/>
              <w:rPr>
                <w:rFonts w:ascii="宋体"/>
                <w:szCs w:val="21"/>
              </w:rPr>
            </w:pPr>
            <w:r>
              <w:rPr>
                <w:rFonts w:hint="eastAsia" w:ascii="宋体"/>
                <w:szCs w:val="21"/>
              </w:rPr>
              <w:t>政</w:t>
            </w:r>
          </w:p>
          <w:p>
            <w:pPr>
              <w:spacing w:line="280" w:lineRule="exact"/>
              <w:ind w:left="-42" w:leftChars="-20"/>
              <w:jc w:val="center"/>
              <w:rPr>
                <w:rFonts w:ascii="宋体"/>
                <w:szCs w:val="21"/>
              </w:rPr>
            </w:pPr>
            <w:r>
              <w:rPr>
                <w:rFonts w:hint="eastAsia" w:ascii="宋体"/>
                <w:szCs w:val="21"/>
              </w:rPr>
              <w:t>管</w:t>
            </w:r>
          </w:p>
          <w:p>
            <w:pPr>
              <w:spacing w:line="280" w:lineRule="exact"/>
              <w:ind w:left="-42" w:leftChars="-20"/>
              <w:jc w:val="center"/>
              <w:rPr>
                <w:rFonts w:ascii="宋体"/>
                <w:szCs w:val="21"/>
              </w:rPr>
            </w:pPr>
            <w:r>
              <w:rPr>
                <w:rFonts w:hint="eastAsia" w:ascii="宋体"/>
                <w:szCs w:val="21"/>
              </w:rPr>
              <w:t>理</w:t>
            </w:r>
          </w:p>
          <w:p>
            <w:pPr>
              <w:spacing w:line="280" w:lineRule="exact"/>
              <w:ind w:left="-42" w:leftChars="-20"/>
              <w:jc w:val="center"/>
              <w:rPr>
                <w:rFonts w:ascii="宋体"/>
                <w:szCs w:val="21"/>
              </w:rPr>
            </w:pPr>
            <w:r>
              <w:rPr>
                <w:rFonts w:hint="eastAsia" w:ascii="宋体"/>
                <w:szCs w:val="21"/>
              </w:rPr>
              <w:t>中</w:t>
            </w:r>
          </w:p>
          <w:p>
            <w:pPr>
              <w:spacing w:line="280" w:lineRule="exact"/>
              <w:jc w:val="center"/>
              <w:rPr>
                <w:szCs w:val="21"/>
              </w:rPr>
            </w:pPr>
            <w:r>
              <w:rPr>
                <w:rFonts w:hint="eastAsia" w:ascii="宋体"/>
                <w:szCs w:val="21"/>
              </w:rPr>
              <w:t>心</w:t>
            </w:r>
          </w:p>
        </w:tc>
        <w:tc>
          <w:tcPr>
            <w:tcW w:w="1153" w:type="dxa"/>
            <w:vAlign w:val="center"/>
          </w:tcPr>
          <w:p>
            <w:pPr>
              <w:spacing w:line="280" w:lineRule="exact"/>
              <w:jc w:val="center"/>
              <w:rPr>
                <w:rFonts w:ascii="宋体"/>
                <w:szCs w:val="21"/>
              </w:rPr>
            </w:pPr>
            <w:r>
              <w:rPr>
                <w:rFonts w:ascii="Calibri"/>
                <w:szCs w:val="21"/>
              </w:rPr>
              <w:pict>
                <v:line id="_x0000_s1026" o:spid="_x0000_s1026" o:spt="20" style="position:absolute;left:0pt;margin-left:-34.75pt;margin-top:-286.75pt;height:0pt;width:0.05pt;z-index:251661312;mso-width-relative:page;mso-height-relative:page;" coordsize="21600,21600" o:gfxdata="UEsDBAoAAAAAAIdO4kAAAAAAAAAAAAAAAAAEAAAAZHJzL1BLAwQUAAAACACHTuJAEIKUxtcAAAAN AQAADwAAAGRycy9kb3ducmV2LnhtbE2PT0/DMAzF70h8h8hIXKYt2cYGlKY7AL1x2QBx9RrTVjRO 12R/4NNjDghuz89Pzz/nq5Pv1IGG2Aa2MJ0YUMRVcC3XFl6ey/ENqJiQHXaBycInRVgV52c5Zi4c eU2HTaqVlHDM0EKTUp9pHauGPMZJ6Ill9x4Gj0nGodZuwKOU+07PjFlqjy3LhQZ7um+o+tjsvYVY vtKu/BpVI/M2rwPNdg9Pj2jt5cXU3IFKdEp/YfjBF3QohGkb9uyi6iyMl7cLiYpYXM9FSUSsK1Db X0sXuf7/RfENUEsDBBQAAAAIAIdO4kAvhuTo7QEAAOIDAAAOAAAAZHJzL2Uyb0RvYy54bWytU81u EzEQviPxDpbvZJOgVrDKpoeGckEQCXiAie3NWvKfPG42eQleAIkbnDhy521oH4OxdxtKe8mhe/DO 2DPfzPd5vLjYW8N2KqL2ruGzyZQz5YSX2m0b/vnT1YtXnGECJ8F4pxp+UMgvls+fLfpQq7nvvJEq MgJxWPeh4V1Koa4qFJ2ygBMflKPD1kcLidy4rWSEntCtqebT6XnV+yhD9EIh0u5qOOQjYjwF0Let FmrlxbVVLg2oURlIRAk7HZAvS7dtq0T60LaoEjMNJ6aprFSE7E1eq+UC6m2E0GkxtgCntPCAkwXt qOgRagUJ2HXUj6CsFtGjb9NEeFsNRIoixGI2faDNxw6CKlxIagxH0fHpYMX73ToyLWkSOHNg6cJv vv768+X77e9vtN78/MFmWaQ+YE2xl24dRw/DOmbG+zba/CcubF+EPRyFVfvEBG2evzzjTNztV/+S QsT0VnnLstFwo13mCzXs3mGiQhR6F5K3jWN9w1+fzTMc0PC1dOlk2kAE0G1LLnqj5ZU2Jmdg3G4u TWQ7yANQvkyHcP8Ly0VWgN0QV46G0egUyDdOsnQIJI2jF8FzC1ZJzoyiB5QtAoQ6gTanRFJp43KC KuM58sz6Dopma+PloQhdZY+uvnQ8jmmerfs+2fef5vIvUEsDBAoAAAAAAIdO4kAAAAAAAAAAAAAA AAAGAAAAX3JlbHMvUEsDBBQAAAAIAIdO4kCKFGY80QAAAJQBAAALAAAAX3JlbHMvLnJlbHOlkMFq wzAMhu+DvYPRfXGawxijTi+j0GvpHsDYimMaW0Yy2fr28w6DZfS2o36h7xP//vCZFrUiS6RsYNf1 oDA78jEHA++X49MLKKk2e7tQRgM3FDiMjw/7My62tiOZYxHVKFkMzLWWV63FzZisdFQwt81EnGxt IwddrLvagHro+2fNvxkwbpjq5A3wyQ+gLrfSzH/YKTomoal2jpKmaYruHlUHtmWO7sg24Ru5RrMc sBrwLBoHalnXfgR9X7/7p97TRz7jutV+h4zrj1dvuhy/AFBLAwQUAAAACACHTuJAfublIPcAAADh AQAAEwAAAFtDb250ZW50X1R5cGVzXS54bWyVkUFOwzAQRfdI3MHyFiVOu0AIJemCtEtAqBxgZE8S i2RseUxob4+TthtEkVjaM/+/J7vcHMZBTBjYOqrkKi+kQNLOWOoq+b7fZQ9ScAQyMDjCSh6R5aa+ vSn3R48sUpq4kn2M/lEp1j2OwLnzSGnSujBCTMfQKQ/6AzpU66K4V9pRRIpZnDtkXTbYwucQxfaQ rk8mAQeW4um0OLMqCd4PVkNMpmoi84OSnQl5Si473FvPd0lDql8J8+Q64Jx7SU8TrEHxCiE+w5g0 lAmsjPuigFP+d8lsOXLm2tZqzJvATYq94XSxutaOa9c4/d/y7ZK6dKvlg+pvUEsBAhQAFAAAAAgA h07iQH7m5SD3AAAA4QEAABMAAAAAAAAAAQAgAAAAXQQAAFtDb250ZW50X1R5cGVzXS54bWxQSwEC FAAKAAAAAACHTuJAAAAAAAAAAAAAAAAABgAAAAAAAAAAABAAAAA/AwAAX3JlbHMvUEsBAhQAFAAA AAgAh07iQIoUZjzRAAAAlAEAAAsAAAAAAAAAAQAgAAAAYwMAAF9yZWxzLy5yZWxzUEsBAhQACgAA AAAAh07iQAAAAAAAAAAAAAAAAAQAAAAAAAAAAAAQAAAAAAAAAGRycy9QSwECFAAUAAAACACHTuJA EIKUxtcAAAANAQAADwAAAAAAAAABACAAAAAiAAAAZHJzL2Rvd25yZXYueG1sUEsBAhQAFAAAAAgA h07iQC+G5OjtAQAA4gMAAA4AAAAAAAAAAQAgAAAAJgEAAGRycy9lMm9Eb2MueG1sUEsFBgAAAAAG AAYAWQEAAIUFAAAAAA== ">
                  <v:path arrowok="t"/>
                  <v:fill focussize="0,0"/>
                  <v:stroke/>
                  <v:imagedata o:title=""/>
                  <o:lock v:ext="edit"/>
                </v:line>
              </w:pict>
            </w:r>
            <w:r>
              <w:rPr>
                <w:rFonts w:hint="eastAsia" w:ascii="宋体"/>
                <w:szCs w:val="21"/>
              </w:rPr>
              <w:t>大队长</w:t>
            </w:r>
          </w:p>
        </w:tc>
        <w:tc>
          <w:tcPr>
            <w:tcW w:w="847" w:type="dxa"/>
            <w:vAlign w:val="center"/>
          </w:tcPr>
          <w:p>
            <w:pPr>
              <w:spacing w:line="280" w:lineRule="exact"/>
              <w:jc w:val="center"/>
              <w:rPr>
                <w:rFonts w:ascii="宋体"/>
                <w:szCs w:val="21"/>
              </w:rPr>
            </w:pPr>
            <w:r>
              <w:rPr>
                <w:rFonts w:ascii="宋体"/>
                <w:szCs w:val="21"/>
              </w:rPr>
              <w:t>1</w:t>
            </w:r>
          </w:p>
        </w:tc>
        <w:tc>
          <w:tcPr>
            <w:tcW w:w="3553" w:type="dxa"/>
          </w:tcPr>
          <w:p>
            <w:pPr>
              <w:spacing w:line="280" w:lineRule="exact"/>
              <w:rPr>
                <w:rFonts w:ascii="宋体"/>
                <w:szCs w:val="21"/>
              </w:rPr>
            </w:pPr>
            <w:r>
              <w:rPr>
                <w:rFonts w:ascii="宋体"/>
                <w:szCs w:val="21"/>
              </w:rPr>
              <w:t>4</w:t>
            </w:r>
            <w:r>
              <w:rPr>
                <w:rFonts w:hint="eastAsia" w:ascii="宋体"/>
                <w:szCs w:val="21"/>
              </w:rPr>
              <w:t>5周岁以下，</w:t>
            </w:r>
            <w:r>
              <w:rPr>
                <w:rFonts w:ascii="宋体"/>
                <w:szCs w:val="21"/>
              </w:rPr>
              <w:t>5</w:t>
            </w:r>
            <w:r>
              <w:rPr>
                <w:rFonts w:hint="eastAsia" w:ascii="宋体"/>
                <w:szCs w:val="21"/>
              </w:rPr>
              <w:t>年以上安全保卫工作管理经验，大专及以上学历。</w:t>
            </w:r>
          </w:p>
        </w:tc>
        <w:tc>
          <w:tcPr>
            <w:tcW w:w="2865" w:type="dxa"/>
            <w:vAlign w:val="center"/>
          </w:tcPr>
          <w:p>
            <w:pPr>
              <w:spacing w:line="280" w:lineRule="exact"/>
              <w:rPr>
                <w:rFonts w:ascii="宋体"/>
                <w:szCs w:val="21"/>
              </w:rPr>
            </w:pPr>
            <w:r>
              <w:rPr>
                <w:rFonts w:hint="eastAsia" w:ascii="宋体"/>
                <w:szCs w:val="21"/>
              </w:rPr>
              <w:t>重要岗位，行政班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教导员</w:t>
            </w:r>
          </w:p>
        </w:tc>
        <w:tc>
          <w:tcPr>
            <w:tcW w:w="847" w:type="dxa"/>
            <w:vAlign w:val="center"/>
          </w:tcPr>
          <w:p>
            <w:pPr>
              <w:spacing w:line="280" w:lineRule="exact"/>
              <w:jc w:val="center"/>
              <w:rPr>
                <w:rFonts w:ascii="宋体"/>
                <w:szCs w:val="21"/>
              </w:rPr>
            </w:pPr>
            <w:r>
              <w:rPr>
                <w:rFonts w:ascii="宋体"/>
                <w:szCs w:val="21"/>
              </w:rPr>
              <w:t>1</w:t>
            </w:r>
          </w:p>
        </w:tc>
        <w:tc>
          <w:tcPr>
            <w:tcW w:w="3553" w:type="dxa"/>
          </w:tcPr>
          <w:p>
            <w:pPr>
              <w:spacing w:line="280" w:lineRule="exact"/>
              <w:rPr>
                <w:rFonts w:ascii="宋体"/>
                <w:szCs w:val="21"/>
              </w:rPr>
            </w:pPr>
            <w:r>
              <w:rPr>
                <w:rFonts w:ascii="宋体"/>
                <w:szCs w:val="21"/>
              </w:rPr>
              <w:t>4</w:t>
            </w:r>
            <w:r>
              <w:rPr>
                <w:rFonts w:hint="eastAsia" w:ascii="宋体"/>
                <w:szCs w:val="21"/>
              </w:rPr>
              <w:t>5周岁以下，</w:t>
            </w:r>
            <w:r>
              <w:rPr>
                <w:rFonts w:ascii="宋体"/>
                <w:szCs w:val="21"/>
              </w:rPr>
              <w:t>3</w:t>
            </w:r>
            <w:r>
              <w:rPr>
                <w:rFonts w:hint="eastAsia" w:ascii="宋体"/>
                <w:szCs w:val="21"/>
              </w:rPr>
              <w:t>年以上安全保卫工作管理经验，大专及以上学历。</w:t>
            </w:r>
          </w:p>
        </w:tc>
        <w:tc>
          <w:tcPr>
            <w:tcW w:w="2865" w:type="dxa"/>
            <w:vAlign w:val="center"/>
          </w:tcPr>
          <w:p>
            <w:pPr>
              <w:spacing w:line="280" w:lineRule="exact"/>
              <w:rPr>
                <w:rFonts w:ascii="宋体"/>
                <w:szCs w:val="21"/>
              </w:rPr>
            </w:pPr>
            <w:r>
              <w:rPr>
                <w:rFonts w:hint="eastAsia" w:ascii="宋体"/>
                <w:szCs w:val="21"/>
              </w:rPr>
              <w:t>重要岗位，行政班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内勤</w:t>
            </w:r>
          </w:p>
        </w:tc>
        <w:tc>
          <w:tcPr>
            <w:tcW w:w="847" w:type="dxa"/>
            <w:vAlign w:val="center"/>
          </w:tcPr>
          <w:p>
            <w:pPr>
              <w:spacing w:line="280" w:lineRule="exact"/>
              <w:jc w:val="center"/>
              <w:rPr>
                <w:rFonts w:ascii="宋体"/>
                <w:szCs w:val="21"/>
              </w:rPr>
            </w:pPr>
            <w:r>
              <w:rPr>
                <w:rFonts w:ascii="宋体"/>
                <w:szCs w:val="21"/>
              </w:rPr>
              <w:t>1</w:t>
            </w:r>
          </w:p>
        </w:tc>
        <w:tc>
          <w:tcPr>
            <w:tcW w:w="3553" w:type="dxa"/>
            <w:vAlign w:val="center"/>
          </w:tcPr>
          <w:p>
            <w:pPr>
              <w:spacing w:line="280" w:lineRule="exact"/>
              <w:jc w:val="both"/>
              <w:rPr>
                <w:rFonts w:ascii="宋体"/>
                <w:szCs w:val="21"/>
              </w:rPr>
            </w:pPr>
            <w:r>
              <w:rPr>
                <w:rFonts w:hint="eastAsia" w:ascii="宋体"/>
                <w:szCs w:val="21"/>
              </w:rPr>
              <w:t>40周岁以下，2年以上文书类工作经验，熟练电脑应用，大专及以上学历。</w:t>
            </w:r>
          </w:p>
        </w:tc>
        <w:tc>
          <w:tcPr>
            <w:tcW w:w="2865" w:type="dxa"/>
            <w:vAlign w:val="center"/>
          </w:tcPr>
          <w:p>
            <w:pPr>
              <w:spacing w:line="280" w:lineRule="exact"/>
              <w:rPr>
                <w:rFonts w:ascii="宋体"/>
                <w:szCs w:val="21"/>
              </w:rPr>
            </w:pPr>
            <w:r>
              <w:rPr>
                <w:rFonts w:hint="eastAsia" w:ascii="宋体"/>
                <w:szCs w:val="21"/>
              </w:rPr>
              <w:t>重要岗位，行政班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一号岗亭</w:t>
            </w:r>
          </w:p>
        </w:tc>
        <w:tc>
          <w:tcPr>
            <w:tcW w:w="847" w:type="dxa"/>
            <w:vAlign w:val="center"/>
          </w:tcPr>
          <w:p>
            <w:pPr>
              <w:spacing w:line="280" w:lineRule="exact"/>
              <w:jc w:val="center"/>
              <w:rPr>
                <w:rFonts w:ascii="宋体"/>
                <w:szCs w:val="21"/>
              </w:rPr>
            </w:pPr>
            <w:r>
              <w:rPr>
                <w:rFonts w:ascii="宋体"/>
                <w:szCs w:val="21"/>
              </w:rPr>
              <w:t>7</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年以上工作经验，男性。</w:t>
            </w:r>
            <w:r>
              <w:rPr>
                <w:rFonts w:ascii="宋体"/>
                <w:szCs w:val="21"/>
              </w:rPr>
              <w:t>170cm</w:t>
            </w:r>
            <w:r>
              <w:rPr>
                <w:rFonts w:hint="eastAsia" w:ascii="宋体"/>
                <w:szCs w:val="21"/>
              </w:rPr>
              <w:t>以上，高中及以上学历，形象素质好。</w:t>
            </w:r>
          </w:p>
        </w:tc>
        <w:tc>
          <w:tcPr>
            <w:tcW w:w="2865" w:type="dxa"/>
            <w:vAlign w:val="center"/>
          </w:tcPr>
          <w:p>
            <w:pPr>
              <w:spacing w:line="280" w:lineRule="exact"/>
              <w:rPr>
                <w:rFonts w:ascii="宋体"/>
                <w:szCs w:val="21"/>
              </w:rPr>
            </w:pPr>
            <w:r>
              <w:rPr>
                <w:rFonts w:hint="eastAsia" w:ascii="宋体"/>
                <w:szCs w:val="21"/>
              </w:rPr>
              <w:t>重要岗位，24小时3班次值班，每班2人，登记室</w:t>
            </w:r>
            <w:r>
              <w:rPr>
                <w:rFonts w:ascii="宋体"/>
                <w:szCs w:val="21"/>
              </w:rPr>
              <w:t>1</w:t>
            </w:r>
            <w:r>
              <w:rPr>
                <w:rFonts w:hint="eastAsia" w:ascii="宋体"/>
                <w:szCs w:val="21"/>
              </w:rPr>
              <w:t>名（行政班）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二号岗亭</w:t>
            </w:r>
          </w:p>
        </w:tc>
        <w:tc>
          <w:tcPr>
            <w:tcW w:w="847" w:type="dxa"/>
            <w:vAlign w:val="center"/>
          </w:tcPr>
          <w:p>
            <w:pPr>
              <w:spacing w:line="280" w:lineRule="exact"/>
              <w:jc w:val="center"/>
              <w:rPr>
                <w:rFonts w:ascii="宋体"/>
                <w:szCs w:val="21"/>
              </w:rPr>
            </w:pPr>
            <w:r>
              <w:rPr>
                <w:rFonts w:ascii="宋体"/>
                <w:szCs w:val="21"/>
              </w:rPr>
              <w:t>6</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年以上工作经验，男性.</w:t>
            </w:r>
            <w:r>
              <w:rPr>
                <w:rFonts w:ascii="宋体"/>
                <w:szCs w:val="21"/>
              </w:rPr>
              <w:t>170cm</w:t>
            </w:r>
            <w:r>
              <w:rPr>
                <w:rFonts w:hint="eastAsia" w:ascii="宋体"/>
                <w:szCs w:val="21"/>
              </w:rPr>
              <w:t>以上，高中及以上学历，形象素质好。</w:t>
            </w:r>
          </w:p>
        </w:tc>
        <w:tc>
          <w:tcPr>
            <w:tcW w:w="2865" w:type="dxa"/>
            <w:vAlign w:val="center"/>
          </w:tcPr>
          <w:p>
            <w:pPr>
              <w:spacing w:line="280" w:lineRule="exact"/>
              <w:rPr>
                <w:rFonts w:ascii="宋体"/>
                <w:szCs w:val="21"/>
              </w:rPr>
            </w:pPr>
            <w:r>
              <w:rPr>
                <w:rFonts w:hint="eastAsia" w:ascii="宋体"/>
                <w:szCs w:val="21"/>
              </w:rPr>
              <w:t>重要岗位，24小时3班次值班，每班2人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三号岗亭</w:t>
            </w:r>
          </w:p>
        </w:tc>
        <w:tc>
          <w:tcPr>
            <w:tcW w:w="847" w:type="dxa"/>
            <w:vAlign w:val="center"/>
          </w:tcPr>
          <w:p>
            <w:pPr>
              <w:spacing w:line="280" w:lineRule="exact"/>
              <w:jc w:val="center"/>
              <w:rPr>
                <w:rFonts w:ascii="宋体"/>
                <w:szCs w:val="21"/>
              </w:rPr>
            </w:pPr>
            <w:r>
              <w:rPr>
                <w:rFonts w:hint="eastAsia" w:ascii="宋体"/>
                <w:szCs w:val="21"/>
              </w:rPr>
              <w:t>6</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重要岗位，24小时3班次值班，每班2人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四号岗亭</w:t>
            </w:r>
          </w:p>
        </w:tc>
        <w:tc>
          <w:tcPr>
            <w:tcW w:w="847" w:type="dxa"/>
            <w:vAlign w:val="center"/>
          </w:tcPr>
          <w:p>
            <w:pPr>
              <w:spacing w:line="280" w:lineRule="exact"/>
              <w:jc w:val="center"/>
              <w:rPr>
                <w:rFonts w:ascii="宋体"/>
                <w:szCs w:val="21"/>
              </w:rPr>
            </w:pPr>
            <w:r>
              <w:rPr>
                <w:rFonts w:hint="eastAsia" w:ascii="宋体"/>
                <w:szCs w:val="21"/>
              </w:rPr>
              <w:t>6</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重要岗位，24小时3班次值班，每班2人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一楼大厅</w:t>
            </w:r>
          </w:p>
        </w:tc>
        <w:tc>
          <w:tcPr>
            <w:tcW w:w="847" w:type="dxa"/>
            <w:vAlign w:val="center"/>
          </w:tcPr>
          <w:p>
            <w:pPr>
              <w:spacing w:line="280" w:lineRule="exact"/>
              <w:jc w:val="center"/>
              <w:rPr>
                <w:rFonts w:ascii="宋体"/>
                <w:szCs w:val="21"/>
              </w:rPr>
            </w:pPr>
            <w:r>
              <w:rPr>
                <w:rFonts w:hint="eastAsia" w:ascii="宋体"/>
                <w:szCs w:val="21"/>
              </w:rPr>
              <w:t>3</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年以上工作经验，男性，</w:t>
            </w:r>
            <w:r>
              <w:rPr>
                <w:rFonts w:ascii="宋体"/>
                <w:szCs w:val="21"/>
              </w:rPr>
              <w:t>170cm</w:t>
            </w:r>
            <w:r>
              <w:rPr>
                <w:rFonts w:hint="eastAsia" w:ascii="宋体"/>
                <w:szCs w:val="21"/>
              </w:rPr>
              <w:t>以上，高中以上学历，形象素质好。</w:t>
            </w:r>
          </w:p>
        </w:tc>
        <w:tc>
          <w:tcPr>
            <w:tcW w:w="2865" w:type="dxa"/>
            <w:vAlign w:val="center"/>
          </w:tcPr>
          <w:p>
            <w:pPr>
              <w:spacing w:line="280" w:lineRule="exact"/>
              <w:rPr>
                <w:rFonts w:ascii="宋体"/>
                <w:szCs w:val="21"/>
              </w:rPr>
            </w:pPr>
            <w:r>
              <w:rPr>
                <w:rFonts w:hint="eastAsia" w:ascii="宋体"/>
                <w:szCs w:val="21"/>
              </w:rPr>
              <w:t>重要岗位，24小时3班次值班，每班1人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南广场</w:t>
            </w:r>
          </w:p>
        </w:tc>
        <w:tc>
          <w:tcPr>
            <w:tcW w:w="847" w:type="dxa"/>
            <w:vAlign w:val="center"/>
          </w:tcPr>
          <w:p>
            <w:pPr>
              <w:spacing w:line="280" w:lineRule="exact"/>
              <w:jc w:val="center"/>
              <w:rPr>
                <w:rFonts w:ascii="宋体"/>
                <w:szCs w:val="21"/>
              </w:rPr>
            </w:pPr>
            <w:r>
              <w:rPr>
                <w:rFonts w:ascii="宋体"/>
                <w:szCs w:val="21"/>
              </w:rPr>
              <w:t>2</w:t>
            </w:r>
          </w:p>
        </w:tc>
        <w:tc>
          <w:tcPr>
            <w:tcW w:w="3553" w:type="dxa"/>
          </w:tcPr>
          <w:p>
            <w:pPr>
              <w:spacing w:line="280" w:lineRule="exact"/>
              <w:rPr>
                <w:rFonts w:ascii="宋体"/>
                <w:szCs w:val="21"/>
              </w:rPr>
            </w:pPr>
            <w:r>
              <w:rPr>
                <w:rFonts w:hint="eastAsia" w:ascii="宋体"/>
                <w:szCs w:val="21"/>
              </w:rPr>
              <w:t>50周岁以下，</w:t>
            </w:r>
            <w:r>
              <w:rPr>
                <w:rFonts w:ascii="宋体"/>
                <w:szCs w:val="21"/>
              </w:rPr>
              <w:t>1</w:t>
            </w:r>
            <w:r>
              <w:rPr>
                <w:rFonts w:hint="eastAsia" w:ascii="宋体"/>
                <w:szCs w:val="21"/>
              </w:rPr>
              <w:t>年以上工作经验，具有C照以上驾驶证，并具有熟悉驾驶技能，男性。</w:t>
            </w:r>
          </w:p>
        </w:tc>
        <w:tc>
          <w:tcPr>
            <w:tcW w:w="2865" w:type="dxa"/>
            <w:vAlign w:val="center"/>
          </w:tcPr>
          <w:p>
            <w:pPr>
              <w:spacing w:line="280" w:lineRule="exact"/>
              <w:rPr>
                <w:rFonts w:ascii="宋体"/>
                <w:szCs w:val="21"/>
              </w:rPr>
            </w:pPr>
            <w:r>
              <w:rPr>
                <w:rFonts w:hint="eastAsia" w:ascii="宋体"/>
                <w:szCs w:val="21"/>
              </w:rPr>
              <w:t>早班</w:t>
            </w:r>
            <w:r>
              <w:rPr>
                <w:rFonts w:ascii="宋体"/>
                <w:szCs w:val="21"/>
              </w:rPr>
              <w:t>1</w:t>
            </w:r>
            <w:r>
              <w:rPr>
                <w:rFonts w:hint="eastAsia" w:ascii="宋体"/>
                <w:szCs w:val="21"/>
              </w:rPr>
              <w:t>人，中班</w:t>
            </w:r>
            <w:r>
              <w:rPr>
                <w:rFonts w:ascii="宋体"/>
                <w:szCs w:val="21"/>
              </w:rPr>
              <w:t>1</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北广场</w:t>
            </w:r>
          </w:p>
        </w:tc>
        <w:tc>
          <w:tcPr>
            <w:tcW w:w="847" w:type="dxa"/>
            <w:vAlign w:val="center"/>
          </w:tcPr>
          <w:p>
            <w:pPr>
              <w:spacing w:line="280" w:lineRule="exact"/>
              <w:jc w:val="center"/>
              <w:rPr>
                <w:rFonts w:ascii="宋体"/>
                <w:szCs w:val="21"/>
              </w:rPr>
            </w:pPr>
            <w:r>
              <w:rPr>
                <w:rFonts w:ascii="宋体"/>
                <w:szCs w:val="21"/>
              </w:rPr>
              <w:t>4</w:t>
            </w:r>
          </w:p>
        </w:tc>
        <w:tc>
          <w:tcPr>
            <w:tcW w:w="3553" w:type="dxa"/>
          </w:tcPr>
          <w:p>
            <w:pPr>
              <w:spacing w:line="280" w:lineRule="exact"/>
              <w:rPr>
                <w:rFonts w:ascii="宋体"/>
                <w:szCs w:val="21"/>
              </w:rPr>
            </w:pPr>
            <w:r>
              <w:rPr>
                <w:rFonts w:hint="eastAsia" w:ascii="宋体"/>
                <w:szCs w:val="21"/>
              </w:rPr>
              <w:t>50周岁以下，</w:t>
            </w:r>
            <w:r>
              <w:rPr>
                <w:rFonts w:ascii="宋体"/>
                <w:szCs w:val="21"/>
              </w:rPr>
              <w:t>1</w:t>
            </w:r>
            <w:r>
              <w:rPr>
                <w:rFonts w:hint="eastAsia" w:ascii="宋体"/>
                <w:szCs w:val="21"/>
              </w:rPr>
              <w:t>年以上工作经验，具有C照以上驾驶证，并具有熟悉驾驶技能，男性。</w:t>
            </w:r>
          </w:p>
        </w:tc>
        <w:tc>
          <w:tcPr>
            <w:tcW w:w="2865" w:type="dxa"/>
            <w:vAlign w:val="center"/>
          </w:tcPr>
          <w:p>
            <w:pPr>
              <w:spacing w:line="280" w:lineRule="exact"/>
              <w:rPr>
                <w:rFonts w:ascii="宋体"/>
                <w:szCs w:val="21"/>
              </w:rPr>
            </w:pPr>
            <w:r>
              <w:rPr>
                <w:rFonts w:hint="eastAsia" w:ascii="宋体"/>
                <w:szCs w:val="21"/>
              </w:rPr>
              <w:t>早班</w:t>
            </w:r>
            <w:r>
              <w:rPr>
                <w:rFonts w:ascii="宋体"/>
                <w:szCs w:val="21"/>
              </w:rPr>
              <w:t>3</w:t>
            </w:r>
            <w:r>
              <w:rPr>
                <w:rFonts w:hint="eastAsia" w:ascii="宋体"/>
                <w:szCs w:val="21"/>
              </w:rPr>
              <w:t>人，中班</w:t>
            </w:r>
            <w:r>
              <w:rPr>
                <w:rFonts w:ascii="宋体"/>
                <w:szCs w:val="21"/>
              </w:rPr>
              <w:t>1</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地下室</w:t>
            </w:r>
          </w:p>
        </w:tc>
        <w:tc>
          <w:tcPr>
            <w:tcW w:w="847" w:type="dxa"/>
            <w:vAlign w:val="center"/>
          </w:tcPr>
          <w:p>
            <w:pPr>
              <w:spacing w:line="280" w:lineRule="exact"/>
              <w:jc w:val="center"/>
              <w:rPr>
                <w:rFonts w:ascii="宋体"/>
                <w:szCs w:val="21"/>
              </w:rPr>
            </w:pPr>
            <w:r>
              <w:rPr>
                <w:rFonts w:ascii="宋体"/>
                <w:szCs w:val="21"/>
              </w:rPr>
              <w:t>1</w:t>
            </w:r>
          </w:p>
        </w:tc>
        <w:tc>
          <w:tcPr>
            <w:tcW w:w="3553" w:type="dxa"/>
          </w:tcPr>
          <w:p>
            <w:pPr>
              <w:spacing w:line="280" w:lineRule="exact"/>
              <w:rPr>
                <w:rFonts w:ascii="宋体"/>
                <w:szCs w:val="21"/>
              </w:rPr>
            </w:pPr>
            <w:r>
              <w:rPr>
                <w:rFonts w:hint="eastAsia" w:ascii="宋体"/>
                <w:szCs w:val="21"/>
              </w:rPr>
              <w:t>50周岁以下，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行政班</w:t>
            </w:r>
            <w:r>
              <w:rPr>
                <w:rFonts w:ascii="宋体"/>
                <w:szCs w:val="21"/>
              </w:rPr>
              <w:t>1</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消、监控室</w:t>
            </w:r>
          </w:p>
        </w:tc>
        <w:tc>
          <w:tcPr>
            <w:tcW w:w="847" w:type="dxa"/>
            <w:vAlign w:val="center"/>
          </w:tcPr>
          <w:p>
            <w:pPr>
              <w:spacing w:line="280" w:lineRule="exact"/>
              <w:jc w:val="center"/>
              <w:rPr>
                <w:rFonts w:ascii="宋体"/>
                <w:szCs w:val="21"/>
              </w:rPr>
            </w:pPr>
            <w:r>
              <w:rPr>
                <w:rFonts w:hint="eastAsia" w:ascii="宋体"/>
                <w:szCs w:val="21"/>
              </w:rPr>
              <w:t>9</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年以上工作经验，持消防上岗证，能熟练使用消控设备。</w:t>
            </w:r>
          </w:p>
        </w:tc>
        <w:tc>
          <w:tcPr>
            <w:tcW w:w="2865" w:type="dxa"/>
            <w:vAlign w:val="center"/>
          </w:tcPr>
          <w:p>
            <w:pPr>
              <w:spacing w:line="280" w:lineRule="exact"/>
              <w:rPr>
                <w:rFonts w:ascii="宋体"/>
                <w:szCs w:val="21"/>
              </w:rPr>
            </w:pPr>
            <w:r>
              <w:rPr>
                <w:rFonts w:hint="eastAsia" w:ascii="宋体"/>
                <w:szCs w:val="21"/>
              </w:rPr>
              <w:t>重要岗位，24小时3班次值班，每班3人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ascii="宋体"/>
                <w:szCs w:val="21"/>
              </w:rPr>
              <w:t>9-12</w:t>
            </w:r>
            <w:r>
              <w:rPr>
                <w:rFonts w:hint="eastAsia" w:ascii="宋体"/>
                <w:szCs w:val="21"/>
              </w:rPr>
              <w:t>层巡逻</w:t>
            </w:r>
          </w:p>
        </w:tc>
        <w:tc>
          <w:tcPr>
            <w:tcW w:w="847" w:type="dxa"/>
            <w:vAlign w:val="center"/>
          </w:tcPr>
          <w:p>
            <w:pPr>
              <w:spacing w:line="280" w:lineRule="exact"/>
              <w:jc w:val="center"/>
              <w:rPr>
                <w:rFonts w:ascii="宋体"/>
                <w:szCs w:val="21"/>
              </w:rPr>
            </w:pPr>
            <w:r>
              <w:rPr>
                <w:rFonts w:ascii="宋体"/>
                <w:szCs w:val="21"/>
              </w:rPr>
              <w:t>2</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年以上工作经验，男性，</w:t>
            </w:r>
            <w:r>
              <w:rPr>
                <w:rFonts w:ascii="宋体"/>
                <w:szCs w:val="21"/>
              </w:rPr>
              <w:t>170cm</w:t>
            </w:r>
            <w:r>
              <w:rPr>
                <w:rFonts w:hint="eastAsia" w:ascii="宋体"/>
                <w:szCs w:val="21"/>
              </w:rPr>
              <w:t>以上，形象素质好。</w:t>
            </w:r>
          </w:p>
        </w:tc>
        <w:tc>
          <w:tcPr>
            <w:tcW w:w="2865" w:type="dxa"/>
            <w:vAlign w:val="center"/>
          </w:tcPr>
          <w:p>
            <w:pPr>
              <w:spacing w:line="280" w:lineRule="exact"/>
              <w:rPr>
                <w:rFonts w:ascii="宋体"/>
                <w:szCs w:val="21"/>
              </w:rPr>
            </w:pPr>
            <w:r>
              <w:rPr>
                <w:rFonts w:hint="eastAsia" w:ascii="宋体"/>
                <w:szCs w:val="21"/>
              </w:rPr>
              <w:t>重要岗位，行政班，2人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疫情防控员</w:t>
            </w:r>
          </w:p>
        </w:tc>
        <w:tc>
          <w:tcPr>
            <w:tcW w:w="847" w:type="dxa"/>
            <w:vAlign w:val="center"/>
          </w:tcPr>
          <w:p>
            <w:pPr>
              <w:spacing w:line="280" w:lineRule="exact"/>
              <w:jc w:val="center"/>
              <w:rPr>
                <w:rFonts w:ascii="宋体"/>
                <w:szCs w:val="21"/>
              </w:rPr>
            </w:pPr>
            <w:r>
              <w:rPr>
                <w:rFonts w:hint="eastAsia" w:ascii="宋体"/>
                <w:szCs w:val="21"/>
              </w:rPr>
              <w:t>4</w:t>
            </w:r>
          </w:p>
        </w:tc>
        <w:tc>
          <w:tcPr>
            <w:tcW w:w="3553" w:type="dxa"/>
          </w:tcPr>
          <w:p>
            <w:pPr>
              <w:spacing w:line="280" w:lineRule="exact"/>
              <w:jc w:val="center"/>
              <w:rPr>
                <w:rFonts w:ascii="宋体"/>
                <w:szCs w:val="21"/>
              </w:rPr>
            </w:pPr>
            <w:r>
              <w:rPr>
                <w:rFonts w:hint="eastAsia" w:ascii="宋体"/>
                <w:szCs w:val="21"/>
              </w:rPr>
              <w:t>50周岁以下，1年以上工作经验，男性，高中及以上学历，形象素质好。</w:t>
            </w:r>
          </w:p>
        </w:tc>
        <w:tc>
          <w:tcPr>
            <w:tcW w:w="2865" w:type="dxa"/>
            <w:vAlign w:val="center"/>
          </w:tcPr>
          <w:p>
            <w:pPr>
              <w:spacing w:line="280" w:lineRule="exact"/>
              <w:rPr>
                <w:rFonts w:ascii="宋体"/>
                <w:szCs w:val="21"/>
              </w:rPr>
            </w:pPr>
            <w:r>
              <w:rPr>
                <w:rFonts w:hint="eastAsia" w:ascii="宋体"/>
                <w:szCs w:val="21"/>
              </w:rPr>
              <w:t>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大院巡逻</w:t>
            </w:r>
          </w:p>
        </w:tc>
        <w:tc>
          <w:tcPr>
            <w:tcW w:w="847" w:type="dxa"/>
            <w:vAlign w:val="center"/>
          </w:tcPr>
          <w:p>
            <w:pPr>
              <w:spacing w:line="280" w:lineRule="exact"/>
              <w:jc w:val="center"/>
              <w:rPr>
                <w:rFonts w:ascii="宋体"/>
                <w:szCs w:val="21"/>
              </w:rPr>
            </w:pPr>
            <w:r>
              <w:rPr>
                <w:rFonts w:hint="eastAsia" w:ascii="宋体"/>
                <w:szCs w:val="21"/>
              </w:rPr>
              <w:t>2</w:t>
            </w:r>
          </w:p>
        </w:tc>
        <w:tc>
          <w:tcPr>
            <w:tcW w:w="3553" w:type="dxa"/>
          </w:tcPr>
          <w:p>
            <w:pPr>
              <w:spacing w:line="280" w:lineRule="exact"/>
              <w:rPr>
                <w:rFonts w:ascii="宋体"/>
                <w:szCs w:val="21"/>
              </w:rPr>
            </w:pPr>
            <w:r>
              <w:rPr>
                <w:rFonts w:hint="eastAsia" w:ascii="宋体"/>
                <w:szCs w:val="21"/>
              </w:rPr>
              <w:t>50周岁以下，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夜班，2人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0" w:type="dxa"/>
            <w:vMerge w:val="restart"/>
            <w:vAlign w:val="center"/>
          </w:tcPr>
          <w:p>
            <w:pPr>
              <w:spacing w:line="280" w:lineRule="exact"/>
              <w:rPr>
                <w:rFonts w:ascii="宋体"/>
                <w:szCs w:val="21"/>
              </w:rPr>
            </w:pPr>
            <w:r>
              <w:rPr>
                <w:rFonts w:hint="eastAsia" w:ascii="宋体"/>
                <w:szCs w:val="21"/>
              </w:rPr>
              <w:t>区</w:t>
            </w:r>
          </w:p>
          <w:p>
            <w:pPr>
              <w:spacing w:line="280" w:lineRule="exact"/>
              <w:rPr>
                <w:rFonts w:ascii="宋体"/>
                <w:szCs w:val="21"/>
              </w:rPr>
            </w:pPr>
            <w:r>
              <w:rPr>
                <w:rFonts w:hint="eastAsia" w:ascii="宋体"/>
                <w:szCs w:val="21"/>
              </w:rPr>
              <w:t>文化中心</w:t>
            </w:r>
          </w:p>
        </w:tc>
        <w:tc>
          <w:tcPr>
            <w:tcW w:w="1153" w:type="dxa"/>
            <w:vAlign w:val="center"/>
          </w:tcPr>
          <w:p>
            <w:pPr>
              <w:spacing w:line="280" w:lineRule="exact"/>
              <w:jc w:val="center"/>
              <w:rPr>
                <w:rFonts w:ascii="宋体"/>
                <w:szCs w:val="21"/>
              </w:rPr>
            </w:pPr>
            <w:r>
              <w:rPr>
                <w:rFonts w:hint="eastAsia" w:ascii="宋体"/>
                <w:szCs w:val="21"/>
              </w:rPr>
              <w:t>消、监控室</w:t>
            </w:r>
          </w:p>
        </w:tc>
        <w:tc>
          <w:tcPr>
            <w:tcW w:w="847" w:type="dxa"/>
            <w:vAlign w:val="center"/>
          </w:tcPr>
          <w:p>
            <w:pPr>
              <w:spacing w:line="280" w:lineRule="exact"/>
              <w:jc w:val="center"/>
              <w:rPr>
                <w:rFonts w:ascii="宋体"/>
                <w:szCs w:val="21"/>
              </w:rPr>
            </w:pPr>
            <w:r>
              <w:rPr>
                <w:rFonts w:hint="eastAsia" w:ascii="宋体"/>
                <w:szCs w:val="21"/>
              </w:rPr>
              <w:t>6</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年以上工作经验，持消防上岗证，能熟练使用消控监控设备。</w:t>
            </w:r>
          </w:p>
        </w:tc>
        <w:tc>
          <w:tcPr>
            <w:tcW w:w="2865" w:type="dxa"/>
            <w:vAlign w:val="center"/>
          </w:tcPr>
          <w:p>
            <w:pPr>
              <w:spacing w:line="280" w:lineRule="exact"/>
              <w:rPr>
                <w:rFonts w:ascii="宋体"/>
                <w:szCs w:val="21"/>
              </w:rPr>
            </w:pPr>
            <w:r>
              <w:rPr>
                <w:rFonts w:hint="eastAsia" w:ascii="宋体"/>
                <w:szCs w:val="21"/>
              </w:rPr>
              <w:t>重要岗位，24小时3班次值班，每班</w:t>
            </w:r>
            <w:r>
              <w:rPr>
                <w:rFonts w:ascii="宋体"/>
                <w:szCs w:val="21"/>
              </w:rPr>
              <w:t>2</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巡逻</w:t>
            </w:r>
          </w:p>
        </w:tc>
        <w:tc>
          <w:tcPr>
            <w:tcW w:w="847" w:type="dxa"/>
            <w:vAlign w:val="center"/>
          </w:tcPr>
          <w:p>
            <w:pPr>
              <w:spacing w:line="280" w:lineRule="exact"/>
              <w:jc w:val="center"/>
              <w:rPr>
                <w:rFonts w:ascii="宋体"/>
                <w:szCs w:val="21"/>
              </w:rPr>
            </w:pPr>
            <w:r>
              <w:rPr>
                <w:rFonts w:ascii="宋体"/>
                <w:szCs w:val="21"/>
              </w:rPr>
              <w:t>3</w:t>
            </w:r>
          </w:p>
        </w:tc>
        <w:tc>
          <w:tcPr>
            <w:tcW w:w="3553" w:type="dxa"/>
          </w:tcPr>
          <w:p>
            <w:pPr>
              <w:spacing w:line="280" w:lineRule="exact"/>
              <w:rPr>
                <w:rFonts w:ascii="宋体"/>
                <w:szCs w:val="21"/>
              </w:rPr>
            </w:pPr>
            <w:r>
              <w:rPr>
                <w:rFonts w:hint="eastAsia" w:ascii="宋体"/>
                <w:szCs w:val="21"/>
              </w:rPr>
              <w:t>50周岁以下，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24小时3班次值班，每班</w:t>
            </w:r>
            <w:r>
              <w:rPr>
                <w:rFonts w:ascii="宋体"/>
                <w:szCs w:val="21"/>
              </w:rPr>
              <w:t>1</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40" w:type="dxa"/>
            <w:vMerge w:val="restart"/>
            <w:vAlign w:val="center"/>
          </w:tcPr>
          <w:p>
            <w:pPr>
              <w:spacing w:line="280" w:lineRule="exact"/>
              <w:rPr>
                <w:rFonts w:ascii="宋体"/>
                <w:szCs w:val="21"/>
              </w:rPr>
            </w:pPr>
            <w:r>
              <w:rPr>
                <w:rFonts w:hint="eastAsia" w:ascii="宋体"/>
                <w:szCs w:val="21"/>
              </w:rPr>
              <w:t>市民活动中心</w:t>
            </w:r>
          </w:p>
        </w:tc>
        <w:tc>
          <w:tcPr>
            <w:tcW w:w="1153" w:type="dxa"/>
            <w:vAlign w:val="center"/>
          </w:tcPr>
          <w:p>
            <w:pPr>
              <w:spacing w:line="280" w:lineRule="exact"/>
              <w:jc w:val="center"/>
              <w:rPr>
                <w:rFonts w:ascii="宋体"/>
                <w:szCs w:val="21"/>
              </w:rPr>
            </w:pPr>
            <w:r>
              <w:rPr>
                <w:rFonts w:hint="eastAsia" w:ascii="宋体"/>
                <w:szCs w:val="21"/>
              </w:rPr>
              <w:t>消控、监控室</w:t>
            </w:r>
          </w:p>
        </w:tc>
        <w:tc>
          <w:tcPr>
            <w:tcW w:w="847" w:type="dxa"/>
            <w:vAlign w:val="center"/>
          </w:tcPr>
          <w:p>
            <w:pPr>
              <w:spacing w:line="280" w:lineRule="exact"/>
              <w:jc w:val="center"/>
              <w:rPr>
                <w:rFonts w:ascii="宋体"/>
                <w:szCs w:val="21"/>
              </w:rPr>
            </w:pPr>
            <w:r>
              <w:rPr>
                <w:rFonts w:ascii="宋体"/>
                <w:szCs w:val="21"/>
              </w:rPr>
              <w:t>6</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年以上工作经验，持消防上岗证，能熟练使用消控监控设备。</w:t>
            </w:r>
          </w:p>
        </w:tc>
        <w:tc>
          <w:tcPr>
            <w:tcW w:w="2865" w:type="dxa"/>
            <w:vAlign w:val="center"/>
          </w:tcPr>
          <w:p>
            <w:pPr>
              <w:spacing w:line="280" w:lineRule="exact"/>
              <w:rPr>
                <w:rFonts w:ascii="宋体"/>
                <w:szCs w:val="21"/>
              </w:rPr>
            </w:pPr>
            <w:r>
              <w:rPr>
                <w:rFonts w:hint="eastAsia" w:ascii="宋体"/>
                <w:szCs w:val="21"/>
              </w:rPr>
              <w:t>重要岗位，24小时3班次值班，每班</w:t>
            </w:r>
            <w:r>
              <w:rPr>
                <w:rFonts w:ascii="宋体"/>
                <w:szCs w:val="21"/>
              </w:rPr>
              <w:t>2</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巡逻</w:t>
            </w:r>
          </w:p>
        </w:tc>
        <w:tc>
          <w:tcPr>
            <w:tcW w:w="847" w:type="dxa"/>
            <w:vAlign w:val="center"/>
          </w:tcPr>
          <w:p>
            <w:pPr>
              <w:spacing w:line="280" w:lineRule="exact"/>
              <w:jc w:val="center"/>
              <w:rPr>
                <w:rFonts w:ascii="宋体"/>
                <w:szCs w:val="21"/>
              </w:rPr>
            </w:pPr>
            <w:r>
              <w:rPr>
                <w:rFonts w:ascii="宋体"/>
                <w:szCs w:val="21"/>
              </w:rPr>
              <w:t>3</w:t>
            </w:r>
          </w:p>
        </w:tc>
        <w:tc>
          <w:tcPr>
            <w:tcW w:w="3553" w:type="dxa"/>
          </w:tcPr>
          <w:p>
            <w:pPr>
              <w:spacing w:line="280" w:lineRule="exact"/>
              <w:rPr>
                <w:rFonts w:ascii="宋体"/>
                <w:szCs w:val="21"/>
              </w:rPr>
            </w:pPr>
            <w:r>
              <w:rPr>
                <w:rFonts w:hint="eastAsia" w:ascii="宋体"/>
                <w:szCs w:val="21"/>
              </w:rPr>
              <w:t>50周岁以下，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24小时3班次值班，每班</w:t>
            </w:r>
            <w:r>
              <w:rPr>
                <w:rFonts w:ascii="宋体"/>
                <w:szCs w:val="21"/>
              </w:rPr>
              <w:t>1</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40" w:type="dxa"/>
            <w:vMerge w:val="restart"/>
            <w:vAlign w:val="center"/>
          </w:tcPr>
          <w:p>
            <w:pPr>
              <w:spacing w:line="280" w:lineRule="exact"/>
              <w:jc w:val="center"/>
              <w:rPr>
                <w:rFonts w:ascii="宋体"/>
                <w:szCs w:val="21"/>
              </w:rPr>
            </w:pPr>
            <w:r>
              <w:rPr>
                <w:rFonts w:hint="eastAsia" w:ascii="宋体"/>
                <w:szCs w:val="21"/>
              </w:rPr>
              <w:t>区规划馆</w:t>
            </w:r>
          </w:p>
        </w:tc>
        <w:tc>
          <w:tcPr>
            <w:tcW w:w="1153" w:type="dxa"/>
            <w:vAlign w:val="center"/>
          </w:tcPr>
          <w:p>
            <w:pPr>
              <w:spacing w:line="280" w:lineRule="exact"/>
              <w:jc w:val="center"/>
              <w:rPr>
                <w:rFonts w:ascii="宋体"/>
                <w:szCs w:val="21"/>
              </w:rPr>
            </w:pPr>
            <w:r>
              <w:rPr>
                <w:rFonts w:hint="eastAsia" w:ascii="宋体"/>
                <w:szCs w:val="21"/>
              </w:rPr>
              <w:t>巡逻</w:t>
            </w:r>
          </w:p>
        </w:tc>
        <w:tc>
          <w:tcPr>
            <w:tcW w:w="847" w:type="dxa"/>
            <w:vAlign w:val="center"/>
          </w:tcPr>
          <w:p>
            <w:pPr>
              <w:spacing w:line="280" w:lineRule="exact"/>
              <w:jc w:val="center"/>
              <w:rPr>
                <w:rFonts w:ascii="宋体"/>
                <w:szCs w:val="21"/>
              </w:rPr>
            </w:pPr>
            <w:r>
              <w:rPr>
                <w:rFonts w:ascii="宋体"/>
                <w:szCs w:val="21"/>
              </w:rPr>
              <w:t>3</w:t>
            </w:r>
          </w:p>
        </w:tc>
        <w:tc>
          <w:tcPr>
            <w:tcW w:w="3553" w:type="dxa"/>
          </w:tcPr>
          <w:p>
            <w:pPr>
              <w:spacing w:line="280" w:lineRule="exact"/>
              <w:rPr>
                <w:rFonts w:ascii="宋体"/>
                <w:szCs w:val="21"/>
              </w:rPr>
            </w:pPr>
            <w:r>
              <w:rPr>
                <w:rFonts w:hint="eastAsia" w:ascii="宋体"/>
                <w:szCs w:val="21"/>
              </w:rPr>
              <w:t>50周岁以下，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24小时3班次值班，每班</w:t>
            </w:r>
            <w:r>
              <w:rPr>
                <w:rFonts w:ascii="宋体"/>
                <w:szCs w:val="21"/>
              </w:rPr>
              <w:t>1</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消、监控室</w:t>
            </w:r>
          </w:p>
        </w:tc>
        <w:tc>
          <w:tcPr>
            <w:tcW w:w="847" w:type="dxa"/>
            <w:vAlign w:val="center"/>
          </w:tcPr>
          <w:p>
            <w:pPr>
              <w:spacing w:line="280" w:lineRule="exact"/>
              <w:jc w:val="center"/>
              <w:rPr>
                <w:rFonts w:ascii="宋体"/>
                <w:szCs w:val="21"/>
              </w:rPr>
            </w:pPr>
            <w:r>
              <w:rPr>
                <w:rFonts w:hint="eastAsia" w:ascii="宋体"/>
                <w:szCs w:val="21"/>
              </w:rPr>
              <w:t>6</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年以上工作经验，持消防上岗证，能熟练使用消控监控设备。</w:t>
            </w:r>
          </w:p>
        </w:tc>
        <w:tc>
          <w:tcPr>
            <w:tcW w:w="2865" w:type="dxa"/>
            <w:vAlign w:val="center"/>
          </w:tcPr>
          <w:p>
            <w:pPr>
              <w:spacing w:line="280" w:lineRule="exact"/>
              <w:rPr>
                <w:rFonts w:ascii="宋体"/>
                <w:szCs w:val="21"/>
              </w:rPr>
            </w:pPr>
            <w:r>
              <w:rPr>
                <w:rFonts w:hint="eastAsia" w:ascii="宋体"/>
                <w:szCs w:val="21"/>
              </w:rPr>
              <w:t>重要岗位，24小时3班次值班，每班</w:t>
            </w:r>
            <w:r>
              <w:rPr>
                <w:rFonts w:ascii="宋体"/>
                <w:szCs w:val="21"/>
              </w:rPr>
              <w:t>2</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一楼大厅</w:t>
            </w:r>
          </w:p>
        </w:tc>
        <w:tc>
          <w:tcPr>
            <w:tcW w:w="847" w:type="dxa"/>
            <w:vAlign w:val="center"/>
          </w:tcPr>
          <w:p>
            <w:pPr>
              <w:spacing w:line="280" w:lineRule="exact"/>
              <w:jc w:val="center"/>
              <w:rPr>
                <w:rFonts w:ascii="宋体"/>
                <w:szCs w:val="21"/>
              </w:rPr>
            </w:pPr>
            <w:r>
              <w:rPr>
                <w:rFonts w:hint="eastAsia" w:ascii="宋体"/>
                <w:szCs w:val="21"/>
              </w:rPr>
              <w:t>1</w:t>
            </w:r>
          </w:p>
        </w:tc>
        <w:tc>
          <w:tcPr>
            <w:tcW w:w="3553" w:type="dxa"/>
          </w:tcPr>
          <w:p>
            <w:pPr>
              <w:spacing w:line="280" w:lineRule="exact"/>
              <w:rPr>
                <w:rFonts w:ascii="宋体"/>
                <w:szCs w:val="21"/>
              </w:rPr>
            </w:pPr>
            <w:r>
              <w:rPr>
                <w:rFonts w:hint="eastAsia" w:ascii="宋体"/>
                <w:szCs w:val="21"/>
              </w:rPr>
              <w:t>50周岁以下，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40" w:type="dxa"/>
            <w:vAlign w:val="center"/>
          </w:tcPr>
          <w:p>
            <w:pPr>
              <w:spacing w:line="280" w:lineRule="exact"/>
              <w:jc w:val="center"/>
              <w:rPr>
                <w:rFonts w:ascii="宋体"/>
                <w:szCs w:val="21"/>
              </w:rPr>
            </w:pPr>
            <w:r>
              <w:rPr>
                <w:rFonts w:hint="eastAsia" w:ascii="宋体"/>
                <w:szCs w:val="21"/>
              </w:rPr>
              <w:t>政协书院</w:t>
            </w:r>
          </w:p>
        </w:tc>
        <w:tc>
          <w:tcPr>
            <w:tcW w:w="1153" w:type="dxa"/>
            <w:vAlign w:val="center"/>
          </w:tcPr>
          <w:p>
            <w:pPr>
              <w:spacing w:line="280" w:lineRule="exact"/>
              <w:jc w:val="center"/>
              <w:rPr>
                <w:rFonts w:ascii="宋体"/>
                <w:szCs w:val="21"/>
              </w:rPr>
            </w:pPr>
            <w:r>
              <w:rPr>
                <w:rFonts w:hint="eastAsia" w:ascii="宋体"/>
                <w:szCs w:val="21"/>
              </w:rPr>
              <w:t>一楼</w:t>
            </w:r>
          </w:p>
        </w:tc>
        <w:tc>
          <w:tcPr>
            <w:tcW w:w="847" w:type="dxa"/>
            <w:vAlign w:val="center"/>
          </w:tcPr>
          <w:p>
            <w:pPr>
              <w:spacing w:line="280" w:lineRule="exact"/>
              <w:jc w:val="center"/>
              <w:rPr>
                <w:rFonts w:ascii="宋体"/>
                <w:szCs w:val="21"/>
              </w:rPr>
            </w:pPr>
            <w:r>
              <w:rPr>
                <w:rFonts w:ascii="宋体"/>
                <w:szCs w:val="21"/>
              </w:rPr>
              <w:t>3</w:t>
            </w:r>
          </w:p>
        </w:tc>
        <w:tc>
          <w:tcPr>
            <w:tcW w:w="3553" w:type="dxa"/>
          </w:tcPr>
          <w:p>
            <w:pPr>
              <w:spacing w:line="280" w:lineRule="exact"/>
              <w:rPr>
                <w:rFonts w:ascii="宋体"/>
                <w:szCs w:val="21"/>
              </w:rPr>
            </w:pPr>
            <w:r>
              <w:rPr>
                <w:rFonts w:hint="eastAsia" w:ascii="宋体"/>
                <w:szCs w:val="21"/>
              </w:rPr>
              <w:t>50周岁以下，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24小时3班次值班，每班</w:t>
            </w:r>
            <w:r>
              <w:rPr>
                <w:rFonts w:ascii="宋体"/>
                <w:szCs w:val="21"/>
              </w:rPr>
              <w:t>1</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40" w:type="dxa"/>
            <w:vMerge w:val="restart"/>
            <w:vAlign w:val="center"/>
          </w:tcPr>
          <w:p>
            <w:pPr>
              <w:spacing w:line="280" w:lineRule="exact"/>
              <w:jc w:val="center"/>
              <w:rPr>
                <w:rFonts w:ascii="宋体"/>
                <w:szCs w:val="21"/>
              </w:rPr>
            </w:pPr>
            <w:r>
              <w:rPr>
                <w:rFonts w:hint="eastAsia" w:ascii="宋体"/>
                <w:szCs w:val="21"/>
              </w:rPr>
              <w:t>区人防大楼</w:t>
            </w:r>
          </w:p>
        </w:tc>
        <w:tc>
          <w:tcPr>
            <w:tcW w:w="1153" w:type="dxa"/>
            <w:vAlign w:val="center"/>
          </w:tcPr>
          <w:p>
            <w:pPr>
              <w:spacing w:line="280" w:lineRule="exact"/>
              <w:jc w:val="center"/>
              <w:rPr>
                <w:rFonts w:ascii="宋体"/>
                <w:szCs w:val="21"/>
              </w:rPr>
            </w:pPr>
            <w:r>
              <w:rPr>
                <w:rFonts w:hint="eastAsia" w:ascii="宋体"/>
                <w:szCs w:val="21"/>
              </w:rPr>
              <w:t>消控、监控室</w:t>
            </w:r>
          </w:p>
        </w:tc>
        <w:tc>
          <w:tcPr>
            <w:tcW w:w="847" w:type="dxa"/>
            <w:vAlign w:val="center"/>
          </w:tcPr>
          <w:p>
            <w:pPr>
              <w:spacing w:line="280" w:lineRule="exact"/>
              <w:jc w:val="center"/>
              <w:rPr>
                <w:rFonts w:ascii="宋体"/>
                <w:szCs w:val="21"/>
              </w:rPr>
            </w:pPr>
            <w:r>
              <w:rPr>
                <w:rFonts w:hint="eastAsia" w:ascii="宋体"/>
                <w:szCs w:val="21"/>
              </w:rPr>
              <w:t>6</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年以上工作经验，持消防上岗证，能熟练使用消控监控设备。</w:t>
            </w:r>
          </w:p>
        </w:tc>
        <w:tc>
          <w:tcPr>
            <w:tcW w:w="2865" w:type="dxa"/>
            <w:vAlign w:val="center"/>
          </w:tcPr>
          <w:p>
            <w:pPr>
              <w:spacing w:line="280" w:lineRule="exact"/>
              <w:rPr>
                <w:rFonts w:ascii="宋体"/>
                <w:szCs w:val="21"/>
              </w:rPr>
            </w:pPr>
            <w:r>
              <w:rPr>
                <w:rFonts w:hint="eastAsia" w:ascii="宋体"/>
                <w:szCs w:val="21"/>
              </w:rPr>
              <w:t>重要岗位，24小时3班次值班，每班</w:t>
            </w:r>
            <w:r>
              <w:rPr>
                <w:rFonts w:ascii="宋体"/>
                <w:szCs w:val="21"/>
              </w:rPr>
              <w:t>2</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岗亭</w:t>
            </w:r>
          </w:p>
        </w:tc>
        <w:tc>
          <w:tcPr>
            <w:tcW w:w="847" w:type="dxa"/>
            <w:vAlign w:val="center"/>
          </w:tcPr>
          <w:p>
            <w:pPr>
              <w:spacing w:line="280" w:lineRule="exact"/>
              <w:jc w:val="center"/>
              <w:rPr>
                <w:rFonts w:ascii="宋体"/>
                <w:szCs w:val="21"/>
              </w:rPr>
            </w:pPr>
            <w:r>
              <w:rPr>
                <w:rFonts w:hint="eastAsia" w:ascii="宋体"/>
                <w:szCs w:val="21"/>
              </w:rPr>
              <w:t>6</w:t>
            </w:r>
          </w:p>
        </w:tc>
        <w:tc>
          <w:tcPr>
            <w:tcW w:w="3553" w:type="dxa"/>
          </w:tcPr>
          <w:p>
            <w:pPr>
              <w:spacing w:line="280" w:lineRule="exact"/>
              <w:rPr>
                <w:rFonts w:ascii="宋体"/>
                <w:szCs w:val="21"/>
              </w:rPr>
            </w:pPr>
            <w:r>
              <w:rPr>
                <w:rFonts w:hint="eastAsia" w:ascii="宋体"/>
                <w:szCs w:val="21"/>
              </w:rPr>
              <w:t>45周岁以下，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重要岗位，24小时3班次值班，每班</w:t>
            </w:r>
            <w:r>
              <w:rPr>
                <w:rFonts w:ascii="宋体"/>
                <w:szCs w:val="21"/>
              </w:rPr>
              <w:t>2</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地下室</w:t>
            </w:r>
          </w:p>
        </w:tc>
        <w:tc>
          <w:tcPr>
            <w:tcW w:w="847" w:type="dxa"/>
            <w:vAlign w:val="center"/>
          </w:tcPr>
          <w:p>
            <w:pPr>
              <w:spacing w:line="280" w:lineRule="exact"/>
              <w:jc w:val="center"/>
              <w:rPr>
                <w:rFonts w:ascii="宋体"/>
                <w:szCs w:val="21"/>
              </w:rPr>
            </w:pPr>
            <w:r>
              <w:rPr>
                <w:rFonts w:hint="eastAsia" w:ascii="宋体"/>
                <w:szCs w:val="21"/>
              </w:rPr>
              <w:t>1</w:t>
            </w:r>
          </w:p>
        </w:tc>
        <w:tc>
          <w:tcPr>
            <w:tcW w:w="3553" w:type="dxa"/>
          </w:tcPr>
          <w:p>
            <w:pPr>
              <w:spacing w:line="280" w:lineRule="exact"/>
              <w:rPr>
                <w:rFonts w:ascii="宋体"/>
                <w:szCs w:val="21"/>
              </w:rPr>
            </w:pPr>
            <w:r>
              <w:rPr>
                <w:rFonts w:hint="eastAsia" w:ascii="宋体"/>
                <w:szCs w:val="21"/>
              </w:rPr>
              <w:t>50周岁以下，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信访局</w:t>
            </w:r>
          </w:p>
        </w:tc>
        <w:tc>
          <w:tcPr>
            <w:tcW w:w="847" w:type="dxa"/>
            <w:vAlign w:val="center"/>
          </w:tcPr>
          <w:p>
            <w:pPr>
              <w:spacing w:line="280" w:lineRule="exact"/>
              <w:jc w:val="center"/>
              <w:rPr>
                <w:rFonts w:ascii="宋体"/>
                <w:szCs w:val="21"/>
              </w:rPr>
            </w:pPr>
            <w:r>
              <w:rPr>
                <w:rFonts w:ascii="宋体"/>
                <w:szCs w:val="21"/>
              </w:rPr>
              <w:t>1</w:t>
            </w:r>
          </w:p>
        </w:tc>
        <w:tc>
          <w:tcPr>
            <w:tcW w:w="3553" w:type="dxa"/>
          </w:tcPr>
          <w:p>
            <w:pPr>
              <w:spacing w:line="280" w:lineRule="exact"/>
              <w:rPr>
                <w:rFonts w:ascii="宋体"/>
                <w:szCs w:val="21"/>
              </w:rPr>
            </w:pPr>
            <w:r>
              <w:rPr>
                <w:rFonts w:hint="eastAsia" w:ascii="宋体"/>
                <w:szCs w:val="21"/>
              </w:rPr>
              <w:t>50周岁以下，</w:t>
            </w:r>
            <w:r>
              <w:rPr>
                <w:rFonts w:ascii="宋体"/>
                <w:szCs w:val="21"/>
              </w:rPr>
              <w:t>1</w:t>
            </w:r>
            <w:r>
              <w:rPr>
                <w:rFonts w:hint="eastAsia" w:ascii="宋体"/>
                <w:szCs w:val="21"/>
              </w:rPr>
              <w:t>年以上工作经验，男性。</w:t>
            </w:r>
          </w:p>
        </w:tc>
        <w:tc>
          <w:tcPr>
            <w:tcW w:w="2865" w:type="dxa"/>
            <w:vAlign w:val="center"/>
          </w:tcPr>
          <w:p>
            <w:pPr>
              <w:spacing w:line="280" w:lineRule="exact"/>
              <w:rPr>
                <w:rFonts w:ascii="宋体"/>
                <w:szCs w:val="21"/>
              </w:rPr>
            </w:pPr>
            <w:r>
              <w:rPr>
                <w:rFonts w:hint="eastAsia" w:ascii="宋体"/>
                <w:szCs w:val="21"/>
              </w:rPr>
              <w:t>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疫情防控员</w:t>
            </w:r>
          </w:p>
        </w:tc>
        <w:tc>
          <w:tcPr>
            <w:tcW w:w="847" w:type="dxa"/>
            <w:vAlign w:val="center"/>
          </w:tcPr>
          <w:p>
            <w:pPr>
              <w:spacing w:line="280" w:lineRule="exact"/>
              <w:jc w:val="center"/>
              <w:rPr>
                <w:rFonts w:ascii="宋体"/>
                <w:szCs w:val="21"/>
              </w:rPr>
            </w:pPr>
            <w:r>
              <w:rPr>
                <w:rFonts w:hint="eastAsia" w:ascii="宋体"/>
                <w:szCs w:val="21"/>
              </w:rPr>
              <w:t>1</w:t>
            </w:r>
          </w:p>
        </w:tc>
        <w:tc>
          <w:tcPr>
            <w:tcW w:w="3553" w:type="dxa"/>
          </w:tcPr>
          <w:p>
            <w:pPr>
              <w:spacing w:line="280" w:lineRule="exact"/>
              <w:jc w:val="center"/>
              <w:rPr>
                <w:rFonts w:ascii="宋体"/>
                <w:szCs w:val="21"/>
              </w:rPr>
            </w:pPr>
            <w:r>
              <w:rPr>
                <w:rFonts w:hint="eastAsia" w:ascii="宋体"/>
                <w:szCs w:val="21"/>
              </w:rPr>
              <w:t>50周岁以下，1年以上工作经验，男性，高中及以上学历，形象素质好。</w:t>
            </w:r>
          </w:p>
        </w:tc>
        <w:tc>
          <w:tcPr>
            <w:tcW w:w="2865" w:type="dxa"/>
            <w:vAlign w:val="center"/>
          </w:tcPr>
          <w:p>
            <w:pPr>
              <w:spacing w:line="280" w:lineRule="exact"/>
              <w:rPr>
                <w:rFonts w:ascii="宋体"/>
                <w:szCs w:val="21"/>
              </w:rPr>
            </w:pPr>
            <w:r>
              <w:rPr>
                <w:rFonts w:hint="eastAsia" w:ascii="宋体"/>
                <w:szCs w:val="21"/>
              </w:rPr>
              <w:t>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40" w:type="dxa"/>
            <w:vMerge w:val="continue"/>
            <w:vAlign w:val="center"/>
          </w:tcPr>
          <w:p>
            <w:pPr>
              <w:spacing w:line="280" w:lineRule="exact"/>
              <w:jc w:val="center"/>
              <w:rPr>
                <w:rFonts w:ascii="宋体"/>
                <w:szCs w:val="21"/>
              </w:rPr>
            </w:pPr>
          </w:p>
        </w:tc>
        <w:tc>
          <w:tcPr>
            <w:tcW w:w="1153" w:type="dxa"/>
            <w:vAlign w:val="center"/>
          </w:tcPr>
          <w:p>
            <w:pPr>
              <w:spacing w:line="280" w:lineRule="exact"/>
              <w:jc w:val="center"/>
              <w:rPr>
                <w:rFonts w:ascii="宋体"/>
                <w:szCs w:val="21"/>
              </w:rPr>
            </w:pPr>
            <w:r>
              <w:rPr>
                <w:rFonts w:hint="eastAsia" w:ascii="宋体"/>
                <w:szCs w:val="21"/>
              </w:rPr>
              <w:t>队长</w:t>
            </w:r>
          </w:p>
        </w:tc>
        <w:tc>
          <w:tcPr>
            <w:tcW w:w="847" w:type="dxa"/>
            <w:vAlign w:val="center"/>
          </w:tcPr>
          <w:p>
            <w:pPr>
              <w:spacing w:line="280" w:lineRule="exact"/>
              <w:jc w:val="center"/>
              <w:rPr>
                <w:rFonts w:ascii="宋体"/>
                <w:szCs w:val="21"/>
              </w:rPr>
            </w:pPr>
            <w:r>
              <w:rPr>
                <w:rFonts w:hint="eastAsia" w:ascii="宋体"/>
                <w:szCs w:val="21"/>
              </w:rPr>
              <w:t>1</w:t>
            </w:r>
          </w:p>
        </w:tc>
        <w:tc>
          <w:tcPr>
            <w:tcW w:w="3553" w:type="dxa"/>
          </w:tcPr>
          <w:p>
            <w:pPr>
              <w:spacing w:line="280" w:lineRule="exact"/>
              <w:rPr>
                <w:rFonts w:ascii="宋体"/>
                <w:szCs w:val="21"/>
              </w:rPr>
            </w:pPr>
            <w:r>
              <w:rPr>
                <w:rFonts w:ascii="宋体"/>
                <w:szCs w:val="21"/>
              </w:rPr>
              <w:t>4</w:t>
            </w:r>
            <w:r>
              <w:rPr>
                <w:rFonts w:hint="eastAsia" w:ascii="宋体"/>
                <w:szCs w:val="21"/>
              </w:rPr>
              <w:t>5周岁以下，</w:t>
            </w:r>
            <w:r>
              <w:rPr>
                <w:rFonts w:ascii="宋体"/>
                <w:szCs w:val="21"/>
              </w:rPr>
              <w:t>5</w:t>
            </w:r>
            <w:r>
              <w:rPr>
                <w:rFonts w:hint="eastAsia" w:ascii="宋体"/>
                <w:szCs w:val="21"/>
              </w:rPr>
              <w:t>年以上安全保卫工作管理经验</w:t>
            </w:r>
          </w:p>
        </w:tc>
        <w:tc>
          <w:tcPr>
            <w:tcW w:w="2865" w:type="dxa"/>
            <w:vAlign w:val="center"/>
          </w:tcPr>
          <w:p>
            <w:pPr>
              <w:spacing w:line="280" w:lineRule="exact"/>
              <w:rPr>
                <w:rFonts w:ascii="宋体"/>
                <w:szCs w:val="21"/>
              </w:rPr>
            </w:pPr>
            <w:r>
              <w:rPr>
                <w:rFonts w:hint="eastAsia" w:ascii="宋体"/>
                <w:szCs w:val="21"/>
              </w:rPr>
              <w:t>重要岗位，行政班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40" w:type="dxa"/>
          </w:tcPr>
          <w:p>
            <w:pPr>
              <w:spacing w:line="280" w:lineRule="exact"/>
              <w:jc w:val="center"/>
              <w:rPr>
                <w:rFonts w:ascii="宋体"/>
                <w:szCs w:val="21"/>
              </w:rPr>
            </w:pPr>
            <w:r>
              <w:rPr>
                <w:rFonts w:hint="eastAsia" w:ascii="宋体"/>
                <w:szCs w:val="21"/>
              </w:rPr>
              <w:t>人武部大楼</w:t>
            </w:r>
          </w:p>
        </w:tc>
        <w:tc>
          <w:tcPr>
            <w:tcW w:w="1153" w:type="dxa"/>
            <w:vAlign w:val="center"/>
          </w:tcPr>
          <w:p>
            <w:pPr>
              <w:spacing w:line="280" w:lineRule="exact"/>
              <w:jc w:val="center"/>
              <w:rPr>
                <w:rFonts w:ascii="宋体"/>
                <w:szCs w:val="21"/>
              </w:rPr>
            </w:pPr>
            <w:r>
              <w:rPr>
                <w:rFonts w:hint="eastAsia" w:ascii="宋体"/>
                <w:szCs w:val="21"/>
              </w:rPr>
              <w:t>岗亭</w:t>
            </w:r>
          </w:p>
        </w:tc>
        <w:tc>
          <w:tcPr>
            <w:tcW w:w="847" w:type="dxa"/>
            <w:vAlign w:val="center"/>
          </w:tcPr>
          <w:p>
            <w:pPr>
              <w:spacing w:line="280" w:lineRule="exact"/>
              <w:jc w:val="center"/>
              <w:rPr>
                <w:rFonts w:ascii="宋体"/>
                <w:szCs w:val="21"/>
              </w:rPr>
            </w:pPr>
            <w:r>
              <w:rPr>
                <w:rFonts w:hint="eastAsia" w:ascii="宋体"/>
                <w:szCs w:val="21"/>
              </w:rPr>
              <w:t>6</w:t>
            </w:r>
          </w:p>
        </w:tc>
        <w:tc>
          <w:tcPr>
            <w:tcW w:w="3553" w:type="dxa"/>
            <w:vAlign w:val="center"/>
          </w:tcPr>
          <w:p>
            <w:pPr>
              <w:spacing w:line="280" w:lineRule="exact"/>
              <w:jc w:val="center"/>
              <w:rPr>
                <w:rFonts w:ascii="宋体"/>
                <w:szCs w:val="21"/>
              </w:rPr>
            </w:pPr>
            <w:r>
              <w:rPr>
                <w:rFonts w:hint="eastAsia" w:ascii="宋体"/>
                <w:szCs w:val="21"/>
              </w:rPr>
              <w:t>50周岁以下，1年以上工作经验，男性。</w:t>
            </w:r>
          </w:p>
        </w:tc>
        <w:tc>
          <w:tcPr>
            <w:tcW w:w="2865" w:type="dxa"/>
            <w:vAlign w:val="center"/>
          </w:tcPr>
          <w:p>
            <w:pPr>
              <w:spacing w:line="280" w:lineRule="exact"/>
              <w:jc w:val="center"/>
              <w:rPr>
                <w:rFonts w:ascii="宋体"/>
                <w:szCs w:val="21"/>
              </w:rPr>
            </w:pPr>
            <w:r>
              <w:rPr>
                <w:rFonts w:hint="eastAsia" w:ascii="宋体"/>
                <w:szCs w:val="21"/>
              </w:rPr>
              <w:t>24小时3班次值班，每班2人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793" w:type="dxa"/>
            <w:gridSpan w:val="2"/>
            <w:vAlign w:val="center"/>
          </w:tcPr>
          <w:p>
            <w:pPr>
              <w:spacing w:line="280" w:lineRule="exact"/>
              <w:jc w:val="center"/>
              <w:rPr>
                <w:rFonts w:ascii="宋体"/>
                <w:szCs w:val="21"/>
              </w:rPr>
            </w:pPr>
            <w:r>
              <w:rPr>
                <w:rFonts w:hint="eastAsia" w:ascii="宋体"/>
                <w:szCs w:val="21"/>
              </w:rPr>
              <w:t>合计</w:t>
            </w:r>
          </w:p>
        </w:tc>
        <w:tc>
          <w:tcPr>
            <w:tcW w:w="847" w:type="dxa"/>
            <w:vAlign w:val="center"/>
          </w:tcPr>
          <w:p>
            <w:pPr>
              <w:spacing w:line="280" w:lineRule="exact"/>
              <w:jc w:val="center"/>
              <w:rPr>
                <w:rFonts w:ascii="宋体"/>
                <w:szCs w:val="21"/>
              </w:rPr>
            </w:pPr>
            <w:r>
              <w:rPr>
                <w:rFonts w:hint="eastAsia" w:ascii="宋体"/>
                <w:szCs w:val="21"/>
              </w:rPr>
              <w:t>108</w:t>
            </w:r>
          </w:p>
        </w:tc>
        <w:tc>
          <w:tcPr>
            <w:tcW w:w="3553" w:type="dxa"/>
          </w:tcPr>
          <w:p>
            <w:pPr>
              <w:spacing w:line="280" w:lineRule="exact"/>
              <w:rPr>
                <w:rFonts w:ascii="宋体"/>
                <w:szCs w:val="21"/>
              </w:rPr>
            </w:pPr>
          </w:p>
        </w:tc>
        <w:tc>
          <w:tcPr>
            <w:tcW w:w="2865" w:type="dxa"/>
            <w:vAlign w:val="center"/>
          </w:tcPr>
          <w:p>
            <w:pPr>
              <w:spacing w:line="280" w:lineRule="exact"/>
              <w:rPr>
                <w:rFonts w:ascii="宋体"/>
                <w:szCs w:val="21"/>
              </w:rPr>
            </w:pPr>
          </w:p>
        </w:tc>
      </w:tr>
    </w:tbl>
    <w:p>
      <w:pPr>
        <w:rPr>
          <w:szCs w:val="21"/>
        </w:rPr>
      </w:pPr>
    </w:p>
    <w:p>
      <w:pPr>
        <w:jc w:val="center"/>
        <w:rPr>
          <w:b/>
          <w:bCs/>
          <w:szCs w:val="21"/>
        </w:rPr>
      </w:pPr>
      <w:r>
        <w:rPr>
          <w:rFonts w:hint="eastAsia"/>
          <w:b/>
          <w:bCs/>
          <w:szCs w:val="21"/>
        </w:rPr>
        <w:t>标项2</w:t>
      </w:r>
      <w:r>
        <w:rPr>
          <w:rFonts w:hint="eastAsia" w:ascii="宋体" w:hAnsi="宋体" w:cs="宋体"/>
          <w:b/>
          <w:bCs/>
          <w:szCs w:val="21"/>
        </w:rPr>
        <w:t>岗位配置表：</w:t>
      </w:r>
    </w:p>
    <w:tbl>
      <w:tblPr>
        <w:tblStyle w:val="37"/>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258"/>
        <w:gridCol w:w="933"/>
        <w:gridCol w:w="3425"/>
        <w:gridCol w:w="3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573" w:type="dxa"/>
          </w:tcPr>
          <w:p>
            <w:pPr>
              <w:adjustRightInd w:val="0"/>
              <w:snapToGrid w:val="0"/>
              <w:spacing w:line="420" w:lineRule="exact"/>
              <w:rPr>
                <w:rFonts w:ascii="宋体" w:hAnsi="宋体" w:cs="宋体"/>
                <w:szCs w:val="21"/>
              </w:rPr>
            </w:pPr>
            <w:r>
              <w:rPr>
                <w:rFonts w:hint="eastAsia" w:ascii="宋体" w:hAnsi="宋体" w:cs="宋体"/>
                <w:szCs w:val="21"/>
              </w:rPr>
              <w:t>区域</w:t>
            </w:r>
          </w:p>
        </w:tc>
        <w:tc>
          <w:tcPr>
            <w:tcW w:w="1258"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岗位</w:t>
            </w:r>
          </w:p>
        </w:tc>
        <w:tc>
          <w:tcPr>
            <w:tcW w:w="933" w:type="dxa"/>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班次</w:t>
            </w:r>
          </w:p>
        </w:tc>
        <w:tc>
          <w:tcPr>
            <w:tcW w:w="3425" w:type="dxa"/>
            <w:vAlign w:val="center"/>
          </w:tcPr>
          <w:p>
            <w:pPr>
              <w:adjustRightInd w:val="0"/>
              <w:snapToGrid w:val="0"/>
              <w:spacing w:line="420" w:lineRule="exact"/>
              <w:ind w:firstLine="420" w:firstLineChars="200"/>
              <w:jc w:val="center"/>
              <w:rPr>
                <w:rFonts w:ascii="宋体" w:hAnsi="宋体" w:cs="宋体"/>
                <w:szCs w:val="21"/>
              </w:rPr>
            </w:pPr>
            <w:r>
              <w:rPr>
                <w:rFonts w:hint="eastAsia" w:ascii="宋体" w:hAnsi="宋体" w:cs="宋体"/>
                <w:szCs w:val="21"/>
              </w:rPr>
              <w:t>人员要求</w:t>
            </w:r>
          </w:p>
        </w:tc>
        <w:tc>
          <w:tcPr>
            <w:tcW w:w="3049" w:type="dxa"/>
            <w:vAlign w:val="center"/>
          </w:tcPr>
          <w:p>
            <w:pPr>
              <w:adjustRightInd w:val="0"/>
              <w:snapToGrid w:val="0"/>
              <w:spacing w:line="420" w:lineRule="exact"/>
              <w:ind w:firstLine="420" w:firstLineChars="20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573" w:type="dxa"/>
            <w:vMerge w:val="restart"/>
          </w:tcPr>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r>
              <w:rPr>
                <w:rFonts w:hint="eastAsia" w:ascii="宋体"/>
                <w:szCs w:val="21"/>
              </w:rPr>
              <w:t>行政服务中心</w:t>
            </w:r>
          </w:p>
        </w:tc>
        <w:tc>
          <w:tcPr>
            <w:tcW w:w="1258" w:type="dxa"/>
            <w:vAlign w:val="center"/>
          </w:tcPr>
          <w:p>
            <w:pPr>
              <w:spacing w:line="280" w:lineRule="exact"/>
              <w:jc w:val="center"/>
              <w:rPr>
                <w:rFonts w:ascii="宋体"/>
                <w:szCs w:val="21"/>
              </w:rPr>
            </w:pPr>
            <w:r>
              <w:rPr>
                <w:rFonts w:hint="eastAsia" w:ascii="宋体"/>
                <w:szCs w:val="21"/>
              </w:rPr>
              <w:t>大队长</w:t>
            </w:r>
          </w:p>
        </w:tc>
        <w:tc>
          <w:tcPr>
            <w:tcW w:w="933" w:type="dxa"/>
            <w:vAlign w:val="center"/>
          </w:tcPr>
          <w:p>
            <w:pPr>
              <w:spacing w:line="280" w:lineRule="exact"/>
              <w:jc w:val="center"/>
              <w:rPr>
                <w:rFonts w:ascii="宋体"/>
                <w:szCs w:val="21"/>
              </w:rPr>
            </w:pPr>
            <w:r>
              <w:rPr>
                <w:rFonts w:hint="eastAsia" w:ascii="宋体"/>
                <w:szCs w:val="21"/>
              </w:rPr>
              <w:t>1</w:t>
            </w:r>
          </w:p>
        </w:tc>
        <w:tc>
          <w:tcPr>
            <w:tcW w:w="3425" w:type="dxa"/>
          </w:tcPr>
          <w:p>
            <w:pPr>
              <w:spacing w:line="280" w:lineRule="exact"/>
              <w:jc w:val="center"/>
              <w:rPr>
                <w:rFonts w:ascii="宋体"/>
                <w:szCs w:val="21"/>
              </w:rPr>
            </w:pPr>
            <w:r>
              <w:rPr>
                <w:rFonts w:hint="eastAsia" w:ascii="宋体"/>
                <w:szCs w:val="21"/>
              </w:rPr>
              <w:t>45周岁以下，5年以上安全保卫工作管理经验，大专及以上学历。</w:t>
            </w:r>
          </w:p>
        </w:tc>
        <w:tc>
          <w:tcPr>
            <w:tcW w:w="3049" w:type="dxa"/>
            <w:vAlign w:val="center"/>
          </w:tcPr>
          <w:p>
            <w:pPr>
              <w:spacing w:line="280" w:lineRule="exact"/>
              <w:jc w:val="center"/>
              <w:rPr>
                <w:rFonts w:ascii="宋体"/>
                <w:szCs w:val="21"/>
              </w:rPr>
            </w:pPr>
            <w:r>
              <w:rPr>
                <w:rFonts w:hint="eastAsia" w:ascii="宋体"/>
                <w:szCs w:val="21"/>
              </w:rPr>
              <w:t>重要岗位，行政班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内勤</w:t>
            </w:r>
          </w:p>
        </w:tc>
        <w:tc>
          <w:tcPr>
            <w:tcW w:w="933" w:type="dxa"/>
            <w:vAlign w:val="center"/>
          </w:tcPr>
          <w:p>
            <w:pPr>
              <w:spacing w:line="280" w:lineRule="exact"/>
              <w:jc w:val="center"/>
              <w:rPr>
                <w:rFonts w:ascii="宋体"/>
                <w:szCs w:val="21"/>
              </w:rPr>
            </w:pPr>
            <w:r>
              <w:rPr>
                <w:rFonts w:hint="eastAsia" w:ascii="宋体"/>
                <w:szCs w:val="21"/>
              </w:rPr>
              <w:t>1</w:t>
            </w:r>
          </w:p>
        </w:tc>
        <w:tc>
          <w:tcPr>
            <w:tcW w:w="3425" w:type="dxa"/>
          </w:tcPr>
          <w:p>
            <w:pPr>
              <w:spacing w:line="280" w:lineRule="exact"/>
              <w:jc w:val="center"/>
              <w:rPr>
                <w:rFonts w:ascii="宋体"/>
                <w:szCs w:val="21"/>
              </w:rPr>
            </w:pPr>
            <w:r>
              <w:rPr>
                <w:rFonts w:hint="eastAsia" w:ascii="宋体"/>
                <w:szCs w:val="21"/>
              </w:rPr>
              <w:t>40周岁以下，女性，2年以上文书类工作经验，熟练电脑应用，大专及以上学历。</w:t>
            </w:r>
          </w:p>
        </w:tc>
        <w:tc>
          <w:tcPr>
            <w:tcW w:w="3049" w:type="dxa"/>
            <w:vAlign w:val="center"/>
          </w:tcPr>
          <w:p>
            <w:pPr>
              <w:spacing w:line="280" w:lineRule="exact"/>
              <w:jc w:val="center"/>
              <w:rPr>
                <w:rFonts w:ascii="宋体"/>
                <w:szCs w:val="21"/>
              </w:rPr>
            </w:pPr>
            <w:r>
              <w:rPr>
                <w:rFonts w:hint="eastAsia" w:ascii="宋体"/>
                <w:szCs w:val="21"/>
              </w:rPr>
              <w:t>重要岗位，行政班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监控</w:t>
            </w:r>
          </w:p>
        </w:tc>
        <w:tc>
          <w:tcPr>
            <w:tcW w:w="933" w:type="dxa"/>
            <w:vAlign w:val="center"/>
          </w:tcPr>
          <w:p>
            <w:pPr>
              <w:spacing w:line="280" w:lineRule="exact"/>
              <w:jc w:val="center"/>
              <w:rPr>
                <w:rFonts w:ascii="宋体"/>
                <w:szCs w:val="21"/>
              </w:rPr>
            </w:pPr>
            <w:r>
              <w:rPr>
                <w:rFonts w:hint="eastAsia" w:ascii="宋体"/>
                <w:szCs w:val="21"/>
              </w:rPr>
              <w:t>3</w:t>
            </w:r>
          </w:p>
        </w:tc>
        <w:tc>
          <w:tcPr>
            <w:tcW w:w="3425" w:type="dxa"/>
          </w:tcPr>
          <w:p>
            <w:pPr>
              <w:spacing w:line="280" w:lineRule="exact"/>
              <w:jc w:val="center"/>
              <w:rPr>
                <w:rFonts w:ascii="宋体"/>
                <w:szCs w:val="21"/>
              </w:rPr>
            </w:pPr>
            <w:r>
              <w:rPr>
                <w:rFonts w:hint="eastAsia" w:ascii="宋体"/>
                <w:szCs w:val="21"/>
              </w:rPr>
              <w:t>45周岁以下，1年以上工作经验，能熟练使用监控设备，高中及以上学历。</w:t>
            </w:r>
          </w:p>
        </w:tc>
        <w:tc>
          <w:tcPr>
            <w:tcW w:w="3049" w:type="dxa"/>
            <w:vAlign w:val="center"/>
          </w:tcPr>
          <w:p>
            <w:pPr>
              <w:spacing w:line="280" w:lineRule="exact"/>
              <w:jc w:val="center"/>
              <w:rPr>
                <w:rFonts w:ascii="宋体"/>
                <w:szCs w:val="21"/>
              </w:rPr>
            </w:pPr>
            <w:r>
              <w:rPr>
                <w:rFonts w:hint="eastAsia" w:ascii="宋体"/>
                <w:szCs w:val="21"/>
              </w:rPr>
              <w:t>重要岗位，24小时3班次值班，每班</w:t>
            </w:r>
            <w:r>
              <w:rPr>
                <w:rFonts w:ascii="宋体"/>
                <w:szCs w:val="21"/>
              </w:rPr>
              <w:t>1</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消控</w:t>
            </w:r>
          </w:p>
        </w:tc>
        <w:tc>
          <w:tcPr>
            <w:tcW w:w="933" w:type="dxa"/>
            <w:vAlign w:val="center"/>
          </w:tcPr>
          <w:p>
            <w:pPr>
              <w:spacing w:line="280" w:lineRule="exact"/>
              <w:jc w:val="center"/>
              <w:rPr>
                <w:rFonts w:ascii="宋体"/>
                <w:szCs w:val="21"/>
              </w:rPr>
            </w:pPr>
            <w:r>
              <w:rPr>
                <w:rFonts w:hint="eastAsia" w:ascii="宋体"/>
                <w:szCs w:val="21"/>
              </w:rPr>
              <w:t>3</w:t>
            </w:r>
          </w:p>
        </w:tc>
        <w:tc>
          <w:tcPr>
            <w:tcW w:w="3425" w:type="dxa"/>
          </w:tcPr>
          <w:p>
            <w:pPr>
              <w:spacing w:line="280" w:lineRule="exact"/>
              <w:jc w:val="center"/>
              <w:rPr>
                <w:rFonts w:ascii="宋体"/>
                <w:szCs w:val="21"/>
              </w:rPr>
            </w:pPr>
            <w:r>
              <w:rPr>
                <w:rFonts w:hint="eastAsia" w:ascii="宋体"/>
                <w:szCs w:val="21"/>
              </w:rPr>
              <w:t>45周岁以下，1年以上工作经验，持消控证上岗证，能熟练使用消控设备，高中及以上学历。</w:t>
            </w:r>
          </w:p>
        </w:tc>
        <w:tc>
          <w:tcPr>
            <w:tcW w:w="3049" w:type="dxa"/>
            <w:vAlign w:val="center"/>
          </w:tcPr>
          <w:p>
            <w:pPr>
              <w:spacing w:line="280" w:lineRule="exact"/>
              <w:jc w:val="center"/>
              <w:rPr>
                <w:rFonts w:ascii="宋体"/>
                <w:szCs w:val="21"/>
              </w:rPr>
            </w:pPr>
            <w:r>
              <w:rPr>
                <w:rFonts w:hint="eastAsia" w:ascii="宋体"/>
                <w:szCs w:val="21"/>
              </w:rPr>
              <w:t>重要岗位，24小时3班次值班，每班</w:t>
            </w:r>
            <w:r>
              <w:rPr>
                <w:rFonts w:ascii="宋体"/>
                <w:szCs w:val="21"/>
              </w:rPr>
              <w:t>1</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1、2、3号岗亭</w:t>
            </w:r>
          </w:p>
        </w:tc>
        <w:tc>
          <w:tcPr>
            <w:tcW w:w="933" w:type="dxa"/>
            <w:vAlign w:val="center"/>
          </w:tcPr>
          <w:p>
            <w:pPr>
              <w:spacing w:line="280" w:lineRule="exact"/>
              <w:jc w:val="center"/>
              <w:rPr>
                <w:rFonts w:ascii="宋体"/>
                <w:szCs w:val="21"/>
              </w:rPr>
            </w:pPr>
            <w:r>
              <w:rPr>
                <w:rFonts w:hint="eastAsia" w:ascii="宋体"/>
                <w:szCs w:val="21"/>
              </w:rPr>
              <w:t>18</w:t>
            </w:r>
          </w:p>
        </w:tc>
        <w:tc>
          <w:tcPr>
            <w:tcW w:w="3425" w:type="dxa"/>
          </w:tcPr>
          <w:p>
            <w:pPr>
              <w:spacing w:line="280" w:lineRule="exact"/>
              <w:jc w:val="center"/>
              <w:rPr>
                <w:rFonts w:ascii="宋体"/>
                <w:szCs w:val="21"/>
              </w:rPr>
            </w:pPr>
            <w:r>
              <w:rPr>
                <w:rFonts w:hint="eastAsia" w:ascii="宋体"/>
                <w:szCs w:val="21"/>
              </w:rPr>
              <w:t>45周岁以下，1年以上工作经验，男性，身高173cm以上，高中及以上学历，形象素质好。</w:t>
            </w:r>
          </w:p>
        </w:tc>
        <w:tc>
          <w:tcPr>
            <w:tcW w:w="3049" w:type="dxa"/>
            <w:vAlign w:val="center"/>
          </w:tcPr>
          <w:p>
            <w:pPr>
              <w:spacing w:line="280" w:lineRule="exact"/>
              <w:jc w:val="center"/>
              <w:rPr>
                <w:rFonts w:ascii="宋体"/>
                <w:szCs w:val="21"/>
              </w:rPr>
            </w:pPr>
            <w:r>
              <w:rPr>
                <w:rFonts w:hint="eastAsia" w:ascii="宋体"/>
                <w:szCs w:val="21"/>
              </w:rPr>
              <w:t>重要岗位，24小时3班次值班，每班6人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主楼电梯口</w:t>
            </w:r>
          </w:p>
        </w:tc>
        <w:tc>
          <w:tcPr>
            <w:tcW w:w="933" w:type="dxa"/>
            <w:vAlign w:val="center"/>
          </w:tcPr>
          <w:p>
            <w:pPr>
              <w:spacing w:line="280" w:lineRule="exact"/>
              <w:jc w:val="center"/>
              <w:rPr>
                <w:rFonts w:ascii="宋体"/>
                <w:szCs w:val="21"/>
              </w:rPr>
            </w:pPr>
            <w:r>
              <w:rPr>
                <w:rFonts w:hint="eastAsia" w:ascii="宋体"/>
                <w:szCs w:val="21"/>
              </w:rPr>
              <w:t>3</w:t>
            </w:r>
          </w:p>
        </w:tc>
        <w:tc>
          <w:tcPr>
            <w:tcW w:w="3425" w:type="dxa"/>
          </w:tcPr>
          <w:p>
            <w:pPr>
              <w:spacing w:line="280" w:lineRule="exact"/>
              <w:jc w:val="center"/>
              <w:rPr>
                <w:rFonts w:ascii="宋体"/>
                <w:szCs w:val="21"/>
              </w:rPr>
            </w:pPr>
            <w:r>
              <w:rPr>
                <w:rFonts w:hint="eastAsia" w:ascii="宋体"/>
                <w:szCs w:val="21"/>
              </w:rPr>
              <w:t>45周岁以下，1年以上工作经验，高中及以上学历，形象素质好。</w:t>
            </w:r>
          </w:p>
        </w:tc>
        <w:tc>
          <w:tcPr>
            <w:tcW w:w="3049" w:type="dxa"/>
            <w:vAlign w:val="center"/>
          </w:tcPr>
          <w:p>
            <w:pPr>
              <w:spacing w:line="280" w:lineRule="exact"/>
              <w:jc w:val="center"/>
              <w:rPr>
                <w:rFonts w:ascii="宋体"/>
                <w:szCs w:val="21"/>
              </w:rPr>
            </w:pPr>
            <w:r>
              <w:rPr>
                <w:rFonts w:hint="eastAsia" w:ascii="宋体"/>
                <w:szCs w:val="21"/>
              </w:rPr>
              <w:t>重要岗位，早、中、晚各1名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广场管理疫情防控员</w:t>
            </w:r>
          </w:p>
        </w:tc>
        <w:tc>
          <w:tcPr>
            <w:tcW w:w="933" w:type="dxa"/>
            <w:vAlign w:val="center"/>
          </w:tcPr>
          <w:p>
            <w:pPr>
              <w:spacing w:line="280" w:lineRule="exact"/>
              <w:jc w:val="center"/>
              <w:rPr>
                <w:rFonts w:ascii="宋体"/>
                <w:szCs w:val="21"/>
              </w:rPr>
            </w:pPr>
            <w:r>
              <w:rPr>
                <w:rFonts w:hint="eastAsia" w:ascii="宋体"/>
                <w:szCs w:val="21"/>
              </w:rPr>
              <w:t>3</w:t>
            </w:r>
          </w:p>
        </w:tc>
        <w:tc>
          <w:tcPr>
            <w:tcW w:w="3425" w:type="dxa"/>
          </w:tcPr>
          <w:p>
            <w:pPr>
              <w:spacing w:line="280" w:lineRule="exact"/>
              <w:jc w:val="center"/>
              <w:rPr>
                <w:rFonts w:ascii="宋体"/>
                <w:szCs w:val="21"/>
              </w:rPr>
            </w:pPr>
            <w:r>
              <w:rPr>
                <w:rFonts w:hint="eastAsia" w:ascii="宋体"/>
                <w:szCs w:val="21"/>
              </w:rPr>
              <w:t>50周岁以下，1年以上工作经验，男性，高中及以上学历，形象素质好。</w:t>
            </w:r>
          </w:p>
        </w:tc>
        <w:tc>
          <w:tcPr>
            <w:tcW w:w="3049" w:type="dxa"/>
            <w:vAlign w:val="center"/>
          </w:tcPr>
          <w:p>
            <w:pPr>
              <w:spacing w:line="280" w:lineRule="exact"/>
              <w:jc w:val="center"/>
              <w:rPr>
                <w:rFonts w:ascii="宋体"/>
                <w:szCs w:val="21"/>
              </w:rPr>
            </w:pPr>
            <w:r>
              <w:rPr>
                <w:rFonts w:hint="eastAsia" w:ascii="宋体"/>
                <w:szCs w:val="21"/>
              </w:rPr>
              <w:t>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地下车库</w:t>
            </w:r>
          </w:p>
        </w:tc>
        <w:tc>
          <w:tcPr>
            <w:tcW w:w="933" w:type="dxa"/>
            <w:vAlign w:val="center"/>
          </w:tcPr>
          <w:p>
            <w:pPr>
              <w:spacing w:line="280" w:lineRule="exact"/>
              <w:jc w:val="center"/>
              <w:rPr>
                <w:rFonts w:ascii="宋体"/>
                <w:szCs w:val="21"/>
              </w:rPr>
            </w:pPr>
            <w:r>
              <w:rPr>
                <w:rFonts w:hint="eastAsia" w:ascii="宋体"/>
                <w:szCs w:val="21"/>
              </w:rPr>
              <w:t>5</w:t>
            </w:r>
          </w:p>
        </w:tc>
        <w:tc>
          <w:tcPr>
            <w:tcW w:w="3425" w:type="dxa"/>
          </w:tcPr>
          <w:p>
            <w:pPr>
              <w:spacing w:line="280" w:lineRule="exact"/>
              <w:jc w:val="center"/>
              <w:rPr>
                <w:rFonts w:ascii="宋体"/>
                <w:szCs w:val="21"/>
              </w:rPr>
            </w:pPr>
            <w:r>
              <w:rPr>
                <w:rFonts w:hint="eastAsia" w:ascii="宋体"/>
                <w:szCs w:val="21"/>
              </w:rPr>
              <w:t>50周岁以下，1年以上工作经验，男性，高中及以上学历。</w:t>
            </w:r>
          </w:p>
        </w:tc>
        <w:tc>
          <w:tcPr>
            <w:tcW w:w="3049" w:type="dxa"/>
            <w:vAlign w:val="center"/>
          </w:tcPr>
          <w:p>
            <w:pPr>
              <w:spacing w:line="280" w:lineRule="exact"/>
              <w:jc w:val="center"/>
              <w:rPr>
                <w:rFonts w:ascii="宋体"/>
                <w:szCs w:val="21"/>
              </w:rPr>
            </w:pPr>
            <w:r>
              <w:rPr>
                <w:rFonts w:hint="eastAsia" w:ascii="宋体"/>
                <w:szCs w:val="21"/>
              </w:rPr>
              <w:t>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审批大厅</w:t>
            </w:r>
          </w:p>
        </w:tc>
        <w:tc>
          <w:tcPr>
            <w:tcW w:w="933" w:type="dxa"/>
            <w:vAlign w:val="center"/>
          </w:tcPr>
          <w:p>
            <w:pPr>
              <w:spacing w:line="280" w:lineRule="exact"/>
              <w:jc w:val="center"/>
              <w:rPr>
                <w:rFonts w:ascii="宋体"/>
                <w:szCs w:val="21"/>
              </w:rPr>
            </w:pPr>
            <w:r>
              <w:rPr>
                <w:rFonts w:hint="eastAsia" w:ascii="宋体"/>
                <w:szCs w:val="21"/>
              </w:rPr>
              <w:t>5</w:t>
            </w:r>
          </w:p>
        </w:tc>
        <w:tc>
          <w:tcPr>
            <w:tcW w:w="3425" w:type="dxa"/>
          </w:tcPr>
          <w:p>
            <w:pPr>
              <w:spacing w:line="280" w:lineRule="exact"/>
              <w:jc w:val="center"/>
              <w:rPr>
                <w:rFonts w:ascii="宋体"/>
                <w:szCs w:val="21"/>
              </w:rPr>
            </w:pPr>
            <w:r>
              <w:rPr>
                <w:rFonts w:hint="eastAsia" w:ascii="宋体"/>
                <w:szCs w:val="21"/>
              </w:rPr>
              <w:t>45周岁以下，1年以上工作经验，男性，高中及以上学历。</w:t>
            </w:r>
          </w:p>
        </w:tc>
        <w:tc>
          <w:tcPr>
            <w:tcW w:w="3049" w:type="dxa"/>
            <w:vAlign w:val="center"/>
          </w:tcPr>
          <w:p>
            <w:pPr>
              <w:spacing w:line="280" w:lineRule="exact"/>
              <w:jc w:val="center"/>
              <w:rPr>
                <w:rFonts w:ascii="宋体"/>
                <w:szCs w:val="21"/>
              </w:rPr>
            </w:pPr>
            <w:r>
              <w:rPr>
                <w:rFonts w:hint="eastAsia" w:ascii="宋体"/>
                <w:szCs w:val="21"/>
              </w:rPr>
              <w:t>重要岗位，行政班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监控设备专业技术人员</w:t>
            </w:r>
          </w:p>
        </w:tc>
        <w:tc>
          <w:tcPr>
            <w:tcW w:w="933" w:type="dxa"/>
            <w:vAlign w:val="center"/>
          </w:tcPr>
          <w:p>
            <w:pPr>
              <w:spacing w:line="280" w:lineRule="exact"/>
              <w:jc w:val="center"/>
              <w:rPr>
                <w:rFonts w:ascii="宋体"/>
                <w:szCs w:val="21"/>
              </w:rPr>
            </w:pPr>
            <w:r>
              <w:rPr>
                <w:rFonts w:hint="eastAsia" w:ascii="宋体"/>
                <w:szCs w:val="21"/>
              </w:rPr>
              <w:t>1</w:t>
            </w:r>
          </w:p>
        </w:tc>
        <w:tc>
          <w:tcPr>
            <w:tcW w:w="3425" w:type="dxa"/>
          </w:tcPr>
          <w:p>
            <w:pPr>
              <w:spacing w:line="280" w:lineRule="exact"/>
              <w:jc w:val="center"/>
              <w:rPr>
                <w:rFonts w:ascii="宋体"/>
                <w:szCs w:val="21"/>
              </w:rPr>
            </w:pPr>
            <w:r>
              <w:rPr>
                <w:rFonts w:hint="eastAsia" w:ascii="宋体"/>
                <w:szCs w:val="21"/>
              </w:rPr>
              <w:t>精通监控维修，3年以上工作经验，负责区域内监控巡查、维修工作。</w:t>
            </w:r>
          </w:p>
        </w:tc>
        <w:tc>
          <w:tcPr>
            <w:tcW w:w="3049" w:type="dxa"/>
            <w:vAlign w:val="center"/>
          </w:tcPr>
          <w:p>
            <w:pPr>
              <w:spacing w:line="280" w:lineRule="exact"/>
              <w:jc w:val="center"/>
              <w:rPr>
                <w:rFonts w:ascii="宋体"/>
                <w:szCs w:val="21"/>
              </w:rPr>
            </w:pPr>
            <w:r>
              <w:rPr>
                <w:rFonts w:hint="eastAsia" w:ascii="宋体"/>
                <w:szCs w:val="21"/>
              </w:rPr>
              <w:t>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73" w:type="dxa"/>
            <w:vMerge w:val="restart"/>
          </w:tcPr>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r>
              <w:rPr>
                <w:rFonts w:hint="eastAsia" w:ascii="宋体"/>
                <w:szCs w:val="21"/>
              </w:rPr>
              <w:t>图书馆大楼</w:t>
            </w:r>
          </w:p>
          <w:p>
            <w:pPr>
              <w:spacing w:line="280" w:lineRule="exact"/>
              <w:jc w:val="center"/>
              <w:rPr>
                <w:rFonts w:ascii="宋体"/>
                <w:szCs w:val="21"/>
              </w:rPr>
            </w:pPr>
          </w:p>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队长</w:t>
            </w:r>
          </w:p>
        </w:tc>
        <w:tc>
          <w:tcPr>
            <w:tcW w:w="933" w:type="dxa"/>
            <w:vAlign w:val="center"/>
          </w:tcPr>
          <w:p>
            <w:pPr>
              <w:spacing w:line="280" w:lineRule="exact"/>
              <w:jc w:val="center"/>
              <w:rPr>
                <w:rFonts w:ascii="宋体"/>
                <w:szCs w:val="21"/>
              </w:rPr>
            </w:pPr>
            <w:r>
              <w:rPr>
                <w:rFonts w:hint="eastAsia" w:ascii="宋体"/>
                <w:szCs w:val="21"/>
              </w:rPr>
              <w:t>1</w:t>
            </w:r>
          </w:p>
        </w:tc>
        <w:tc>
          <w:tcPr>
            <w:tcW w:w="3425" w:type="dxa"/>
          </w:tcPr>
          <w:p>
            <w:pPr>
              <w:spacing w:line="280" w:lineRule="exact"/>
              <w:jc w:val="center"/>
              <w:rPr>
                <w:rFonts w:ascii="宋体"/>
                <w:szCs w:val="21"/>
              </w:rPr>
            </w:pPr>
            <w:r>
              <w:rPr>
                <w:rFonts w:hint="eastAsia" w:ascii="宋体"/>
                <w:szCs w:val="21"/>
              </w:rPr>
              <w:t>45周岁以下，5年以上安全保卫工作管理经验，大专及以上学历。</w:t>
            </w:r>
          </w:p>
        </w:tc>
        <w:tc>
          <w:tcPr>
            <w:tcW w:w="3049" w:type="dxa"/>
            <w:vAlign w:val="center"/>
          </w:tcPr>
          <w:p>
            <w:pPr>
              <w:spacing w:line="280" w:lineRule="exact"/>
              <w:jc w:val="center"/>
              <w:rPr>
                <w:rFonts w:ascii="宋体"/>
                <w:szCs w:val="21"/>
              </w:rPr>
            </w:pPr>
            <w:r>
              <w:rPr>
                <w:rFonts w:hint="eastAsia" w:ascii="宋体"/>
                <w:szCs w:val="21"/>
              </w:rPr>
              <w:t>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监控</w:t>
            </w:r>
          </w:p>
        </w:tc>
        <w:tc>
          <w:tcPr>
            <w:tcW w:w="933" w:type="dxa"/>
            <w:vAlign w:val="center"/>
          </w:tcPr>
          <w:p>
            <w:pPr>
              <w:spacing w:line="280" w:lineRule="exact"/>
              <w:jc w:val="center"/>
              <w:rPr>
                <w:rFonts w:ascii="宋体"/>
                <w:szCs w:val="21"/>
              </w:rPr>
            </w:pPr>
            <w:r>
              <w:rPr>
                <w:rFonts w:hint="eastAsia" w:ascii="宋体"/>
                <w:szCs w:val="21"/>
              </w:rPr>
              <w:t>3</w:t>
            </w:r>
          </w:p>
        </w:tc>
        <w:tc>
          <w:tcPr>
            <w:tcW w:w="3425" w:type="dxa"/>
          </w:tcPr>
          <w:p>
            <w:pPr>
              <w:spacing w:line="280" w:lineRule="exact"/>
              <w:jc w:val="center"/>
              <w:rPr>
                <w:rFonts w:ascii="宋体"/>
                <w:szCs w:val="21"/>
              </w:rPr>
            </w:pPr>
            <w:r>
              <w:rPr>
                <w:rFonts w:hint="eastAsia" w:ascii="宋体"/>
                <w:szCs w:val="21"/>
              </w:rPr>
              <w:t>45周岁以下，1年以上工作经验，能熟练使用监控设备。</w:t>
            </w:r>
          </w:p>
        </w:tc>
        <w:tc>
          <w:tcPr>
            <w:tcW w:w="3049" w:type="dxa"/>
            <w:vAlign w:val="center"/>
          </w:tcPr>
          <w:p>
            <w:pPr>
              <w:spacing w:line="280" w:lineRule="exact"/>
              <w:jc w:val="center"/>
              <w:rPr>
                <w:rFonts w:ascii="宋体"/>
                <w:szCs w:val="21"/>
              </w:rPr>
            </w:pPr>
            <w:r>
              <w:rPr>
                <w:rFonts w:hint="eastAsia" w:ascii="宋体"/>
                <w:szCs w:val="21"/>
              </w:rPr>
              <w:t>重要岗位，24小时3班次值班，每班1名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消控</w:t>
            </w:r>
          </w:p>
        </w:tc>
        <w:tc>
          <w:tcPr>
            <w:tcW w:w="933" w:type="dxa"/>
            <w:vAlign w:val="center"/>
          </w:tcPr>
          <w:p>
            <w:pPr>
              <w:spacing w:line="280" w:lineRule="exact"/>
              <w:jc w:val="center"/>
              <w:rPr>
                <w:rFonts w:ascii="宋体"/>
                <w:szCs w:val="21"/>
              </w:rPr>
            </w:pPr>
            <w:r>
              <w:rPr>
                <w:rFonts w:hint="eastAsia" w:ascii="宋体"/>
                <w:szCs w:val="21"/>
              </w:rPr>
              <w:t>3</w:t>
            </w:r>
          </w:p>
        </w:tc>
        <w:tc>
          <w:tcPr>
            <w:tcW w:w="3425" w:type="dxa"/>
          </w:tcPr>
          <w:p>
            <w:pPr>
              <w:spacing w:line="280" w:lineRule="exact"/>
              <w:jc w:val="center"/>
              <w:rPr>
                <w:rFonts w:ascii="宋体"/>
                <w:szCs w:val="21"/>
              </w:rPr>
            </w:pPr>
            <w:r>
              <w:rPr>
                <w:rFonts w:hint="eastAsia" w:ascii="宋体"/>
                <w:szCs w:val="21"/>
              </w:rPr>
              <w:t>45周岁以下，1年以上工作经验，持消防上岗证，能熟练使用消控设备。</w:t>
            </w:r>
          </w:p>
        </w:tc>
        <w:tc>
          <w:tcPr>
            <w:tcW w:w="3049" w:type="dxa"/>
            <w:vAlign w:val="center"/>
          </w:tcPr>
          <w:p>
            <w:pPr>
              <w:spacing w:line="280" w:lineRule="exact"/>
              <w:jc w:val="center"/>
              <w:rPr>
                <w:rFonts w:ascii="宋体"/>
                <w:szCs w:val="21"/>
              </w:rPr>
            </w:pPr>
            <w:r>
              <w:rPr>
                <w:rFonts w:hint="eastAsia" w:ascii="宋体"/>
                <w:szCs w:val="21"/>
              </w:rPr>
              <w:t>重要岗位，24小时3班次值班，每班1人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一楼大门岗亭</w:t>
            </w:r>
          </w:p>
        </w:tc>
        <w:tc>
          <w:tcPr>
            <w:tcW w:w="933" w:type="dxa"/>
            <w:vAlign w:val="center"/>
          </w:tcPr>
          <w:p>
            <w:pPr>
              <w:spacing w:line="280" w:lineRule="exact"/>
              <w:jc w:val="center"/>
              <w:rPr>
                <w:rFonts w:ascii="宋体"/>
                <w:szCs w:val="21"/>
              </w:rPr>
            </w:pPr>
            <w:r>
              <w:rPr>
                <w:rFonts w:hint="eastAsia" w:ascii="宋体"/>
                <w:szCs w:val="21"/>
              </w:rPr>
              <w:t>6</w:t>
            </w:r>
          </w:p>
        </w:tc>
        <w:tc>
          <w:tcPr>
            <w:tcW w:w="3425" w:type="dxa"/>
          </w:tcPr>
          <w:p>
            <w:pPr>
              <w:spacing w:line="280" w:lineRule="exact"/>
              <w:jc w:val="center"/>
              <w:rPr>
                <w:rFonts w:ascii="宋体"/>
                <w:szCs w:val="21"/>
              </w:rPr>
            </w:pPr>
            <w:r>
              <w:rPr>
                <w:rFonts w:hint="eastAsia" w:ascii="宋体"/>
                <w:szCs w:val="21"/>
              </w:rPr>
              <w:t>45周岁以下，1年以上工作经验，男性，身高173cm以上，高中及以上学历，形象素质好。</w:t>
            </w:r>
          </w:p>
        </w:tc>
        <w:tc>
          <w:tcPr>
            <w:tcW w:w="3049" w:type="dxa"/>
            <w:vAlign w:val="center"/>
          </w:tcPr>
          <w:p>
            <w:pPr>
              <w:spacing w:line="280" w:lineRule="exact"/>
              <w:jc w:val="center"/>
              <w:rPr>
                <w:rFonts w:ascii="宋体"/>
                <w:szCs w:val="21"/>
              </w:rPr>
            </w:pPr>
            <w:r>
              <w:rPr>
                <w:rFonts w:hint="eastAsia" w:ascii="宋体"/>
                <w:szCs w:val="21"/>
              </w:rPr>
              <w:t>重要岗位，24小时3班次值班，每班2人，兼广场管理和夜间巡逻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二楼大厅</w:t>
            </w:r>
          </w:p>
        </w:tc>
        <w:tc>
          <w:tcPr>
            <w:tcW w:w="933" w:type="dxa"/>
            <w:vAlign w:val="center"/>
          </w:tcPr>
          <w:p>
            <w:pPr>
              <w:spacing w:line="280" w:lineRule="exact"/>
              <w:jc w:val="center"/>
              <w:rPr>
                <w:rFonts w:ascii="宋体"/>
                <w:szCs w:val="21"/>
              </w:rPr>
            </w:pPr>
            <w:r>
              <w:rPr>
                <w:rFonts w:hint="eastAsia" w:ascii="宋体"/>
                <w:szCs w:val="21"/>
              </w:rPr>
              <w:t>3</w:t>
            </w:r>
          </w:p>
        </w:tc>
        <w:tc>
          <w:tcPr>
            <w:tcW w:w="3425" w:type="dxa"/>
          </w:tcPr>
          <w:p>
            <w:pPr>
              <w:spacing w:line="280" w:lineRule="exact"/>
              <w:jc w:val="center"/>
              <w:rPr>
                <w:rFonts w:ascii="宋体"/>
                <w:szCs w:val="21"/>
              </w:rPr>
            </w:pPr>
            <w:r>
              <w:rPr>
                <w:rFonts w:hint="eastAsia" w:ascii="宋体"/>
                <w:szCs w:val="21"/>
              </w:rPr>
              <w:t>45周岁以下，1年以上工作经验，男性。</w:t>
            </w:r>
          </w:p>
        </w:tc>
        <w:tc>
          <w:tcPr>
            <w:tcW w:w="3049" w:type="dxa"/>
            <w:vAlign w:val="center"/>
          </w:tcPr>
          <w:p>
            <w:pPr>
              <w:spacing w:line="280" w:lineRule="exact"/>
              <w:jc w:val="center"/>
              <w:rPr>
                <w:rFonts w:ascii="宋体"/>
                <w:szCs w:val="21"/>
              </w:rPr>
            </w:pPr>
            <w:r>
              <w:rPr>
                <w:rFonts w:hint="eastAsia" w:ascii="宋体"/>
                <w:szCs w:val="21"/>
              </w:rPr>
              <w:t>重要岗位，24小时3班次值班，每班</w:t>
            </w:r>
            <w:r>
              <w:rPr>
                <w:rFonts w:ascii="宋体"/>
                <w:szCs w:val="21"/>
              </w:rPr>
              <w:t>1</w:t>
            </w:r>
            <w:r>
              <w:rPr>
                <w:rFonts w:hint="eastAsia" w:asci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地下车库</w:t>
            </w:r>
          </w:p>
        </w:tc>
        <w:tc>
          <w:tcPr>
            <w:tcW w:w="933" w:type="dxa"/>
            <w:vAlign w:val="center"/>
          </w:tcPr>
          <w:p>
            <w:pPr>
              <w:spacing w:line="280" w:lineRule="exact"/>
              <w:jc w:val="center"/>
              <w:rPr>
                <w:rFonts w:ascii="宋体"/>
                <w:szCs w:val="21"/>
              </w:rPr>
            </w:pPr>
            <w:r>
              <w:rPr>
                <w:rFonts w:hint="eastAsia" w:ascii="宋体"/>
                <w:szCs w:val="21"/>
              </w:rPr>
              <w:t>1</w:t>
            </w:r>
          </w:p>
        </w:tc>
        <w:tc>
          <w:tcPr>
            <w:tcW w:w="3425" w:type="dxa"/>
          </w:tcPr>
          <w:p>
            <w:pPr>
              <w:spacing w:line="280" w:lineRule="exact"/>
              <w:jc w:val="center"/>
              <w:rPr>
                <w:rFonts w:ascii="宋体"/>
                <w:szCs w:val="21"/>
              </w:rPr>
            </w:pPr>
            <w:r>
              <w:rPr>
                <w:rFonts w:hint="eastAsia" w:ascii="宋体"/>
                <w:szCs w:val="21"/>
              </w:rPr>
              <w:t>50周岁以下，1年以上工作经验，男性。</w:t>
            </w:r>
          </w:p>
        </w:tc>
        <w:tc>
          <w:tcPr>
            <w:tcW w:w="3049" w:type="dxa"/>
            <w:vAlign w:val="center"/>
          </w:tcPr>
          <w:p>
            <w:pPr>
              <w:spacing w:line="280" w:lineRule="exact"/>
              <w:jc w:val="center"/>
              <w:rPr>
                <w:rFonts w:ascii="宋体"/>
                <w:szCs w:val="21"/>
              </w:rPr>
            </w:pPr>
            <w:r>
              <w:rPr>
                <w:rFonts w:hint="eastAsia" w:ascii="宋体"/>
                <w:szCs w:val="21"/>
              </w:rPr>
              <w:t>行政班1名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主楼岗亭</w:t>
            </w:r>
          </w:p>
        </w:tc>
        <w:tc>
          <w:tcPr>
            <w:tcW w:w="933" w:type="dxa"/>
            <w:vAlign w:val="center"/>
          </w:tcPr>
          <w:p>
            <w:pPr>
              <w:spacing w:line="280" w:lineRule="exact"/>
              <w:jc w:val="center"/>
              <w:rPr>
                <w:rFonts w:ascii="宋体"/>
                <w:szCs w:val="21"/>
              </w:rPr>
            </w:pPr>
            <w:r>
              <w:rPr>
                <w:rFonts w:hint="eastAsia" w:ascii="宋体"/>
                <w:szCs w:val="21"/>
              </w:rPr>
              <w:t>3</w:t>
            </w:r>
          </w:p>
        </w:tc>
        <w:tc>
          <w:tcPr>
            <w:tcW w:w="3425" w:type="dxa"/>
          </w:tcPr>
          <w:p>
            <w:pPr>
              <w:spacing w:line="280" w:lineRule="exact"/>
              <w:jc w:val="center"/>
              <w:rPr>
                <w:rFonts w:ascii="宋体"/>
                <w:szCs w:val="21"/>
              </w:rPr>
            </w:pPr>
            <w:r>
              <w:rPr>
                <w:rFonts w:hint="eastAsia" w:ascii="宋体"/>
                <w:szCs w:val="21"/>
              </w:rPr>
              <w:t>45周岁以下，1年以上工作经验，男性，身高173cm以上，高中及以上学历，形象素质好。</w:t>
            </w:r>
          </w:p>
        </w:tc>
        <w:tc>
          <w:tcPr>
            <w:tcW w:w="3049" w:type="dxa"/>
            <w:vAlign w:val="center"/>
          </w:tcPr>
          <w:p>
            <w:pPr>
              <w:spacing w:line="280" w:lineRule="exact"/>
              <w:jc w:val="center"/>
              <w:rPr>
                <w:rFonts w:ascii="宋体"/>
                <w:szCs w:val="21"/>
              </w:rPr>
            </w:pPr>
            <w:r>
              <w:rPr>
                <w:rFonts w:hint="eastAsia" w:ascii="宋体"/>
                <w:szCs w:val="21"/>
              </w:rPr>
              <w:t>重要岗位，早班2名、中班1名，兼广场轶序管理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73" w:type="dxa"/>
            <w:vMerge w:val="continue"/>
          </w:tcPr>
          <w:p>
            <w:pPr>
              <w:spacing w:line="280" w:lineRule="exact"/>
              <w:jc w:val="center"/>
              <w:rPr>
                <w:rFonts w:ascii="宋体"/>
                <w:szCs w:val="21"/>
              </w:rPr>
            </w:pPr>
          </w:p>
        </w:tc>
        <w:tc>
          <w:tcPr>
            <w:tcW w:w="1258" w:type="dxa"/>
            <w:vAlign w:val="center"/>
          </w:tcPr>
          <w:p>
            <w:pPr>
              <w:spacing w:line="280" w:lineRule="exact"/>
              <w:jc w:val="center"/>
              <w:rPr>
                <w:rFonts w:ascii="宋体"/>
                <w:szCs w:val="21"/>
              </w:rPr>
            </w:pPr>
            <w:r>
              <w:rPr>
                <w:rFonts w:hint="eastAsia" w:ascii="宋体"/>
                <w:szCs w:val="21"/>
              </w:rPr>
              <w:t>疫情防控员</w:t>
            </w:r>
          </w:p>
        </w:tc>
        <w:tc>
          <w:tcPr>
            <w:tcW w:w="933" w:type="dxa"/>
            <w:vAlign w:val="center"/>
          </w:tcPr>
          <w:p>
            <w:pPr>
              <w:spacing w:line="280" w:lineRule="exact"/>
              <w:jc w:val="center"/>
              <w:rPr>
                <w:rFonts w:ascii="宋体"/>
                <w:szCs w:val="21"/>
              </w:rPr>
            </w:pPr>
            <w:r>
              <w:rPr>
                <w:rFonts w:hint="eastAsia" w:ascii="宋体"/>
                <w:szCs w:val="21"/>
              </w:rPr>
              <w:t>1</w:t>
            </w:r>
          </w:p>
        </w:tc>
        <w:tc>
          <w:tcPr>
            <w:tcW w:w="3425" w:type="dxa"/>
          </w:tcPr>
          <w:p>
            <w:pPr>
              <w:spacing w:line="280" w:lineRule="exact"/>
              <w:jc w:val="center"/>
              <w:rPr>
                <w:rFonts w:ascii="宋体"/>
                <w:szCs w:val="21"/>
              </w:rPr>
            </w:pPr>
            <w:r>
              <w:rPr>
                <w:rFonts w:hint="eastAsia" w:ascii="宋体"/>
                <w:szCs w:val="21"/>
              </w:rPr>
              <w:t>50周岁以下，1年以上工作经验，男性，高中及以上学历，形象素质好。</w:t>
            </w:r>
          </w:p>
        </w:tc>
        <w:tc>
          <w:tcPr>
            <w:tcW w:w="3049" w:type="dxa"/>
            <w:vAlign w:val="center"/>
          </w:tcPr>
          <w:p>
            <w:pPr>
              <w:spacing w:line="280" w:lineRule="exact"/>
              <w:jc w:val="center"/>
              <w:rPr>
                <w:rFonts w:ascii="宋体"/>
                <w:szCs w:val="21"/>
              </w:rPr>
            </w:pPr>
            <w:r>
              <w:rPr>
                <w:rFonts w:hint="eastAsia" w:ascii="宋体"/>
                <w:szCs w:val="21"/>
              </w:rPr>
              <w:t>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831" w:type="dxa"/>
            <w:gridSpan w:val="2"/>
          </w:tcPr>
          <w:p>
            <w:pPr>
              <w:spacing w:line="280" w:lineRule="exact"/>
              <w:jc w:val="center"/>
              <w:rPr>
                <w:rFonts w:ascii="宋体"/>
                <w:szCs w:val="21"/>
              </w:rPr>
            </w:pPr>
            <w:r>
              <w:rPr>
                <w:rFonts w:hint="eastAsia" w:ascii="宋体"/>
                <w:szCs w:val="21"/>
              </w:rPr>
              <w:t>总计</w:t>
            </w:r>
          </w:p>
        </w:tc>
        <w:tc>
          <w:tcPr>
            <w:tcW w:w="933" w:type="dxa"/>
            <w:vAlign w:val="center"/>
          </w:tcPr>
          <w:p>
            <w:pPr>
              <w:spacing w:line="280" w:lineRule="exact"/>
              <w:jc w:val="center"/>
              <w:rPr>
                <w:rFonts w:ascii="宋体"/>
                <w:szCs w:val="21"/>
              </w:rPr>
            </w:pPr>
            <w:r>
              <w:rPr>
                <w:rFonts w:hint="eastAsia" w:ascii="宋体"/>
                <w:szCs w:val="21"/>
              </w:rPr>
              <w:t>64</w:t>
            </w:r>
          </w:p>
        </w:tc>
        <w:tc>
          <w:tcPr>
            <w:tcW w:w="3425" w:type="dxa"/>
            <w:vAlign w:val="center"/>
          </w:tcPr>
          <w:p>
            <w:pPr>
              <w:spacing w:line="280" w:lineRule="exact"/>
              <w:jc w:val="center"/>
              <w:rPr>
                <w:rFonts w:ascii="宋体"/>
                <w:szCs w:val="21"/>
              </w:rPr>
            </w:pPr>
          </w:p>
        </w:tc>
        <w:tc>
          <w:tcPr>
            <w:tcW w:w="3049" w:type="dxa"/>
            <w:vAlign w:val="center"/>
          </w:tcPr>
          <w:p>
            <w:pPr>
              <w:spacing w:line="280" w:lineRule="exact"/>
              <w:jc w:val="center"/>
              <w:rPr>
                <w:rFonts w:ascii="宋体"/>
                <w:szCs w:val="21"/>
              </w:rPr>
            </w:pPr>
          </w:p>
        </w:tc>
      </w:tr>
    </w:tbl>
    <w:p>
      <w:pPr>
        <w:spacing w:line="280" w:lineRule="exact"/>
        <w:jc w:val="center"/>
        <w:rPr>
          <w:rFonts w:ascii="宋体"/>
          <w:szCs w:val="21"/>
        </w:rPr>
      </w:pP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要求：（1）人员结构合理，分工明确。所有人员要求政治上可靠，无不良行为记录，身体素质好，身心健康（经医院体检合格），体貌端正、无明显疤痕或标志，熟悉安保业务管理相关知识，具备使用基本消防设备、通讯器材、技术防范设施设备和相关防卫器械技能，掌握一定的防卫和擒敌技能。所有人员中退伍军人占总人数比例需达到20%及以上，女性人员占总人数比例不超过10%。</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▲（2）所有相关人员的配备如需经相关主管部门认证发证才能上岗的，必须持证上岗。重要岗位人员配备必须经业主审核，政治审查通过方可录用。</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（3）服务人员应每年一次体检，体检合格报保卫科备案后方可上岗。</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▲（4）工作时间为一周七个工作日，每天上班时间为行政班提前一小时，下班为行政班后移一小时。</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5）在承包区域的各项服务，其工作时间必须满足业主的工作要求，包括休息日及公众假期，无论服务方有什么理由，都不可以停止服务工作。业主认为应提供方便或提高服务质量时，可要求服务方调整工作时间直至全天二十四小时工作。</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（6）中标供应商必须聘请（或指定）一位大队长（项目负责人），全权代表服务方与业主保持密切联系并保证承包区域服务工作。</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7）为承包区域的服务工作配备足够的人员，且聘用的工作人员必须符合劳动部门有关用工规定，并经服务方相关专业考核合格后持证上岗，业主方有权进行审核。服务方须接受业主安排的各类培训，培训费用开支由服务方负担。</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（8）安保人员要求比较固定，必须专职服务，不得兼职。半年内不能更换，确因特殊原因须更换人员，须提前与采购人协商，经同意才能更换。</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9）中标供应商所有工种人员，必须无条件服从采购人管理人员的调度、指挥，如发现不符合采购人管理要求的工作人员，采购人有权提出整改、更换，如3天内整改、更换不及时或不到位，经协商无效，采购人有权终止合同。中标供应商更换或调整人员应提前征求采购人意见，在征得采购人同意后方可更换、调整。未经同意擅自调整人员的，采购人将视情况给予每人10万以上的处罚，情况严重的，采购人可终止合同。</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（10）中标供应商须严格遵守业主方的各种管理制度、规定，严格履行合同要求，接受采购人的考核（具体考核办法、细则见附件）。</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（11）中标供应商工作人员上岗穿戴由采购人确认的制服及采购人许可的装饰物品，费用和制作均由中标供应商负担。</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（12）中标供应商需具备在本项目附近的自用或租赁的员工宿舍。</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（13）新入职重要岗位人员，须提供保险缴纳证明、人员简历表等材料至采购人处备案。</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16.3  采购人提供的相关条件：</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采购人提供主管人员的办公场地。(办公用品由中标供应商自行配备)</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▲16.4要求保安服务人员全部参加至少五险：养老保险、医疗保险、工伤保险、失业保险、生育保险。经费由中标供应商负责。</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16.5 在服务期间，采购人有权根据岗位设置的需要视情对人员增加或减少，合同总价按实际人数结算。投标供应商自行注意报价风险。</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▲16.6中标供应商须每年提供标项1为3.5万元，标项2为2万元，作为保安队员评先评优的奖金，具体评选办法由采购人确认。</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17.服务质量要求</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17.1 各投标人需本着对企业品牌的延伸，以社会化效益为重的原则进行投标。</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17.2各投标人须在对现场、周边环境全面了解的情况下编制科学合理、切实可行的组织实施计划以及具体的保障措施、工作程序。</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17.3投标人应制订具体的质量保证措施和相关服务承诺。如因质量未达到目标，投标人应因此承担责任和经济赔偿。</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17.4投标人须按现代企业制度运行，发挥自身优势，以热心、爱心、专心的服务，为行政中心安保社会化提供全方位、一体化的专业服务保障。确保行政中心正常运转，各项重大活动顺利完成。</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17.5投标人达不到采购人要求及承包商各项服务承诺，采购人有权要求其整改，直至扣款或终止合同。</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17.6投标人所有的工作除应按承包商的内部流程实施外还应接受采购人或第三方的检查。</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17.7投标人需制定消防、抗台、安全、特殊事件、应急事件等紧急预案，并切实培训到每个岗位人员。</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17.8投标人需积极完成政府接待过程中的礼仪（外交、政府级的接待）工作；区行政服务中心、区图书馆重大活动的安保工作。</w:t>
      </w:r>
    </w:p>
    <w:p>
      <w:pPr>
        <w:pStyle w:val="27"/>
        <w:jc w:val="center"/>
        <w:rPr>
          <w:rFonts w:cs="宋体"/>
          <w:b/>
          <w:bCs w:val="0"/>
        </w:rPr>
      </w:pPr>
      <w:r>
        <w:rPr>
          <w:rFonts w:hint="eastAsia" w:cs="宋体"/>
          <w:b/>
          <w:bCs w:val="0"/>
        </w:rPr>
        <w:t>考核办法</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第一条为推进安保服务制度化、规范化、科学化,提升服务质量，实现“精细管理、用心服务、常做常新”，确保服务区域安全、有序、便捷、高效运行，圆满完成安全保卫各项工作目标，特制定本办法。</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第二条考核对象为承担中标服务区域的服务单位。</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第三条考核内容</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共性方面,分值20分。思想作风建设：考核职业道德、文明礼貌、工作作风、办事效率、团队精神、爱岗敬业和培训教育等。组织管理：考核组织框架层级管理、人员素质、人员管理等。制度建设：考核各项规章制度。培训教育：考核培训计划、内容、效果，员工的业务素质提高。能力建设：考核交办任务完成和应急事件处理，奖罚情况和满意率。具体见附件《安保服务考核细则（共性）》。</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2、业务方面，分值80分。考核工作目标、工作机制和各项业务落实及合同约定的各项义务履行情况。具体见附件《安保服务考核细则（业务）》。</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3、加减分方面，按实际情况设定分值。主要设日常督查、问题整改、专项活动、服务满意度回访，领导批示等考核内容。具体见附件《安保服务加减分考核细则》</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4、综合评定。由共性和安保等两部分组成。具体详见《安保服务考核综合评定表》。</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第四条加减分评定</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1、日常督查。配合共性细则出具人员定岗督查，采取定期与不定期、明查和暗访等方式进行督查，具体详见附件《安保服务人员在岗及履职情况督查记录本》。</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2、问题整改。配合共性及业务考核不定期抽查业务执行情况，对日常督促项目发放整改通知，纳入加减分考核项。具体详见附件《安保服务工作情况督查问题整改通知单》</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3、专项活动。根据每月上报的优质项目完成情况和当月举办的大型或重要活动保障情况，视情况加减分。</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4、领导批示。根据事件造成的影响及各级领导的批示，视情况加减分。</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第五条合同约定的各项具体工作任务、目标、要求和标准作为考核依据。</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第六条考核人及考核方式</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区机关事务管理中心保卫科作为考核人负责具体考核，按照考核细则、服务质量要求进行评定。考核采用每月一次，在月初完成上个月的考核。考核突出日常工作，对发现的问题通过现场打分、现场拍照、现场指正等方式记录并发书面整改通知书。考核实行扣分制，打分时按照检查中发现的问题，归入相应条款打分，在综合分中扣相应分数，单项扣分一般不超过标准得分，细则中特别注明的除外。</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第七条考核人应将考核结果书面通知考核对象，考核对象对考核结果有异议的，应在3天内向保卫科提出书面申请，逾期考核结果自动生效。考核人与考核对象无法达成一致意见的，由区机关事务管理中心裁定。</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第八条考核结果应用</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月度考核累计扣分2分（含）以内给予通报批评、限期整改，2分以上5分（含）以内每扣1分按1000元标准累加罚款，5分以上10分（含）以内每扣1分按1500元标准累加罚款， 10分以上每扣1分按2000元标准累加罚款，如果低于85分一次性扣除2.5万元。发生重大责任事故或安全事故，处罚金3万元。罚款金额每月结算一次。</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第九条连续2次或年度累计3次85分以下的，则与服务单位终止承包合同，履约保证金一并没收。</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第十条服务单位工作人员缺勤、缺岗、违章违纪的，按照服务单位相关规定进行相应扣罚服务费，缺编的，按照服务单位相应工资标准进行扣罚服务费。</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第十一条对出现的问题，经指正后不按要求整改的、相关部门及领导反映并核查属实的、发生问题后报告不及时的，除了按规定直接扣分外，另加倍扣分。</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第十二条考核办法未尽事宜，实践中完善补充。</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第十三条本办法由温州市龙湾区机关事务管理中心制定，并负责具体解释。</w:t>
      </w:r>
    </w:p>
    <w:p>
      <w:pPr>
        <w:adjustRightInd w:val="0"/>
        <w:snapToGrid w:val="0"/>
        <w:spacing w:line="420" w:lineRule="exact"/>
        <w:ind w:firstLine="420" w:firstLineChars="200"/>
        <w:rPr>
          <w:rFonts w:ascii="宋体" w:hAnsi="宋体" w:cs="宋体"/>
          <w:szCs w:val="21"/>
        </w:rPr>
      </w:pP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附件：</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表1：龙湾区安保服务考核综合评定表</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表2：考核结果通知书</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表3：龙湾区安保服务考核细则（共性）</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表4：龙湾区安保服务考核细则（业务）</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表5：龙湾区安保服务加减分考核细则</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表6：龙湾区安保服务人员在岗及履职情况督查记录本</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表7：龙湾区安保服务工作情况督查问题整改通知单</w:t>
      </w:r>
    </w:p>
    <w:p>
      <w:pPr>
        <w:adjustRightInd w:val="0"/>
        <w:snapToGrid w:val="0"/>
        <w:spacing w:line="420" w:lineRule="exact"/>
        <w:ind w:firstLine="420" w:firstLineChars="200"/>
        <w:rPr>
          <w:rFonts w:ascii="仿宋" w:hAnsi="仿宋" w:eastAsia="仿宋" w:cs="宋体"/>
          <w:szCs w:val="21"/>
        </w:rPr>
        <w:sectPr>
          <w:footerReference r:id="rId13" w:type="first"/>
          <w:footerReference r:id="rId11" w:type="default"/>
          <w:footerReference r:id="rId12" w:type="even"/>
          <w:pgSz w:w="11906" w:h="16838"/>
          <w:pgMar w:top="1440" w:right="1247" w:bottom="1440" w:left="1247" w:header="851" w:footer="992" w:gutter="0"/>
          <w:cols w:space="720" w:num="1"/>
          <w:titlePg/>
          <w:docGrid w:type="linesAndChars" w:linePitch="312" w:charSpace="0"/>
        </w:sectPr>
      </w:pPr>
    </w:p>
    <w:p>
      <w:pPr>
        <w:adjustRightInd w:val="0"/>
        <w:snapToGrid w:val="0"/>
        <w:spacing w:line="420" w:lineRule="exact"/>
        <w:ind w:firstLine="560" w:firstLineChars="200"/>
        <w:rPr>
          <w:rFonts w:ascii="仿宋" w:hAnsi="仿宋" w:eastAsia="仿宋" w:cs="宋体"/>
          <w:sz w:val="28"/>
          <w:szCs w:val="28"/>
        </w:rPr>
      </w:pPr>
      <w:r>
        <w:rPr>
          <w:rFonts w:hint="eastAsia" w:ascii="仿宋" w:hAnsi="仿宋" w:eastAsia="仿宋" w:cs="宋体"/>
          <w:sz w:val="28"/>
          <w:szCs w:val="28"/>
        </w:rPr>
        <w:t>表1：</w:t>
      </w:r>
    </w:p>
    <w:p>
      <w:pPr>
        <w:adjustRightInd w:val="0"/>
        <w:snapToGrid w:val="0"/>
        <w:spacing w:line="440" w:lineRule="exact"/>
        <w:jc w:val="center"/>
        <w:rPr>
          <w:rFonts w:ascii="宋体" w:hAnsi="宋体" w:cs="宋体"/>
          <w:b/>
          <w:bCs/>
          <w:spacing w:val="-10"/>
          <w:w w:val="90"/>
          <w:sz w:val="36"/>
          <w:szCs w:val="36"/>
        </w:rPr>
      </w:pPr>
      <w:r>
        <w:rPr>
          <w:rFonts w:hint="eastAsia" w:ascii="宋体" w:hAnsi="宋体" w:cs="宋体"/>
          <w:b/>
          <w:bCs/>
          <w:spacing w:val="-10"/>
          <w:w w:val="90"/>
          <w:sz w:val="36"/>
          <w:szCs w:val="36"/>
        </w:rPr>
        <w:t>龙湾区安保服务考核综合评定表</w:t>
      </w:r>
    </w:p>
    <w:p>
      <w:pPr>
        <w:adjustRightInd w:val="0"/>
        <w:jc w:val="center"/>
        <w:rPr>
          <w:rFonts w:ascii="方正小标宋简体" w:hAnsi="黑体" w:eastAsia="方正小标宋简体" w:cs="宋体"/>
          <w:sz w:val="36"/>
          <w:szCs w:val="36"/>
        </w:rPr>
      </w:pPr>
    </w:p>
    <w:p>
      <w:pPr>
        <w:adjustRightInd w:val="0"/>
        <w:rPr>
          <w:rFonts w:ascii="仿宋_GB2312" w:hAnsi="黑体" w:cs="宋体"/>
          <w:szCs w:val="21"/>
          <w:u w:val="single"/>
        </w:rPr>
      </w:pPr>
      <w:r>
        <w:rPr>
          <w:rFonts w:hint="eastAsia" w:ascii="仿宋_GB2312" w:hAnsi="黑体" w:cs="宋体"/>
          <w:szCs w:val="21"/>
        </w:rPr>
        <w:t>考核组成员：</w:t>
      </w:r>
    </w:p>
    <w:p>
      <w:pPr>
        <w:adjustRightInd w:val="0"/>
        <w:rPr>
          <w:rFonts w:ascii="仿宋_GB2312" w:hAnsi="黑体" w:cs="宋体"/>
          <w:szCs w:val="21"/>
        </w:rPr>
      </w:pPr>
      <w:r>
        <w:rPr>
          <w:rFonts w:hint="eastAsia" w:ascii="仿宋_GB2312" w:hAnsi="黑体" w:cs="宋体"/>
          <w:szCs w:val="21"/>
        </w:rPr>
        <w:t>考核项目：考核日期：</w:t>
      </w:r>
    </w:p>
    <w:p>
      <w:pPr>
        <w:adjustRightInd w:val="0"/>
        <w:rPr>
          <w:rFonts w:ascii="仿宋_GB2312" w:hAnsi="黑体" w:cs="宋体"/>
          <w:szCs w:val="21"/>
        </w:rPr>
      </w:pPr>
    </w:p>
    <w:tbl>
      <w:tblPr>
        <w:tblStyle w:val="37"/>
        <w:tblW w:w="8814" w:type="dxa"/>
        <w:jc w:val="center"/>
        <w:tblLayout w:type="fixed"/>
        <w:tblCellMar>
          <w:top w:w="0" w:type="dxa"/>
          <w:left w:w="108" w:type="dxa"/>
          <w:bottom w:w="0" w:type="dxa"/>
          <w:right w:w="108" w:type="dxa"/>
        </w:tblCellMar>
      </w:tblPr>
      <w:tblGrid>
        <w:gridCol w:w="760"/>
        <w:gridCol w:w="1747"/>
        <w:gridCol w:w="1165"/>
        <w:gridCol w:w="2577"/>
        <w:gridCol w:w="2565"/>
      </w:tblGrid>
      <w:tr>
        <w:tblPrEx>
          <w:tblCellMar>
            <w:top w:w="0" w:type="dxa"/>
            <w:left w:w="108" w:type="dxa"/>
            <w:bottom w:w="0" w:type="dxa"/>
            <w:right w:w="108" w:type="dxa"/>
          </w:tblCellMar>
        </w:tblPrEx>
        <w:trPr>
          <w:trHeight w:val="602" w:hRule="atLeast"/>
          <w:jc w:val="center"/>
        </w:trPr>
        <w:tc>
          <w:tcPr>
            <w:tcW w:w="25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考核内容</w:t>
            </w:r>
          </w:p>
        </w:tc>
        <w:tc>
          <w:tcPr>
            <w:tcW w:w="1165"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分值</w:t>
            </w:r>
          </w:p>
        </w:tc>
        <w:tc>
          <w:tcPr>
            <w:tcW w:w="257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得分情况</w:t>
            </w:r>
          </w:p>
        </w:tc>
        <w:tc>
          <w:tcPr>
            <w:tcW w:w="2565"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加减分情况</w:t>
            </w:r>
          </w:p>
        </w:tc>
      </w:tr>
      <w:tr>
        <w:tblPrEx>
          <w:tblCellMar>
            <w:top w:w="0" w:type="dxa"/>
            <w:left w:w="108" w:type="dxa"/>
            <w:bottom w:w="0" w:type="dxa"/>
            <w:right w:w="108" w:type="dxa"/>
          </w:tblCellMar>
        </w:tblPrEx>
        <w:trPr>
          <w:trHeight w:val="1600" w:hRule="atLeast"/>
          <w:jc w:val="center"/>
        </w:trPr>
        <w:tc>
          <w:tcPr>
            <w:tcW w:w="760" w:type="dxa"/>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服务质量评估</w:t>
            </w:r>
          </w:p>
        </w:tc>
        <w:tc>
          <w:tcPr>
            <w:tcW w:w="1747"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共性</w:t>
            </w:r>
          </w:p>
        </w:tc>
        <w:tc>
          <w:tcPr>
            <w:tcW w:w="116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2577" w:type="dxa"/>
            <w:tcBorders>
              <w:top w:val="nil"/>
              <w:left w:val="nil"/>
              <w:bottom w:val="single" w:color="auto" w:sz="4" w:space="0"/>
              <w:right w:val="single" w:color="auto" w:sz="4" w:space="0"/>
            </w:tcBorders>
            <w:vAlign w:val="center"/>
          </w:tcPr>
          <w:p>
            <w:pPr>
              <w:rPr>
                <w:rFonts w:ascii="宋体" w:hAnsi="宋体" w:cs="宋体"/>
                <w:szCs w:val="21"/>
              </w:rPr>
            </w:pPr>
          </w:p>
        </w:tc>
        <w:tc>
          <w:tcPr>
            <w:tcW w:w="2565" w:type="dxa"/>
            <w:tcBorders>
              <w:top w:val="nil"/>
              <w:left w:val="nil"/>
              <w:bottom w:val="single" w:color="auto" w:sz="4" w:space="0"/>
              <w:right w:val="single" w:color="auto" w:sz="4" w:space="0"/>
            </w:tcBorders>
            <w:vAlign w:val="center"/>
          </w:tcPr>
          <w:p>
            <w:pPr>
              <w:rPr>
                <w:rFonts w:ascii="宋体" w:hAnsi="宋体" w:cs="宋体"/>
                <w:szCs w:val="21"/>
              </w:rPr>
            </w:pPr>
          </w:p>
        </w:tc>
      </w:tr>
      <w:tr>
        <w:tblPrEx>
          <w:tblCellMar>
            <w:top w:w="0" w:type="dxa"/>
            <w:left w:w="108" w:type="dxa"/>
            <w:bottom w:w="0" w:type="dxa"/>
            <w:right w:w="108" w:type="dxa"/>
          </w:tblCellMar>
        </w:tblPrEx>
        <w:trPr>
          <w:trHeight w:val="1600" w:hRule="atLeast"/>
          <w:jc w:val="center"/>
        </w:trPr>
        <w:tc>
          <w:tcPr>
            <w:tcW w:w="760" w:type="dxa"/>
            <w:vMerge w:val="continue"/>
            <w:tcBorders>
              <w:left w:val="single" w:color="auto" w:sz="4" w:space="0"/>
              <w:right w:val="single" w:color="auto" w:sz="4" w:space="0"/>
            </w:tcBorders>
            <w:vAlign w:val="center"/>
          </w:tcPr>
          <w:p>
            <w:pPr>
              <w:rPr>
                <w:rFonts w:ascii="宋体" w:hAnsi="宋体" w:cs="宋体"/>
                <w:szCs w:val="21"/>
              </w:rPr>
            </w:pPr>
          </w:p>
        </w:tc>
        <w:tc>
          <w:tcPr>
            <w:tcW w:w="1747" w:type="dxa"/>
            <w:tcBorders>
              <w:top w:val="nil"/>
              <w:left w:val="nil"/>
              <w:right w:val="single" w:color="auto" w:sz="4" w:space="0"/>
            </w:tcBorders>
            <w:vAlign w:val="center"/>
          </w:tcPr>
          <w:p>
            <w:pPr>
              <w:jc w:val="center"/>
              <w:rPr>
                <w:rFonts w:ascii="宋体" w:hAnsi="宋体" w:cs="宋体"/>
                <w:szCs w:val="21"/>
              </w:rPr>
            </w:pPr>
            <w:r>
              <w:rPr>
                <w:rFonts w:hint="eastAsia" w:ascii="宋体" w:hAnsi="宋体" w:cs="宋体"/>
                <w:szCs w:val="21"/>
              </w:rPr>
              <w:t>安全保卫</w:t>
            </w: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80</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25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CellMar>
            <w:top w:w="0" w:type="dxa"/>
            <w:left w:w="108" w:type="dxa"/>
            <w:bottom w:w="0" w:type="dxa"/>
            <w:right w:w="108" w:type="dxa"/>
          </w:tblCellMar>
        </w:tblPrEx>
        <w:trPr>
          <w:trHeight w:val="837" w:hRule="atLeast"/>
          <w:jc w:val="center"/>
        </w:trPr>
        <w:tc>
          <w:tcPr>
            <w:tcW w:w="760" w:type="dxa"/>
            <w:vMerge w:val="continue"/>
            <w:tcBorders>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加减分</w:t>
            </w: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5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CellMar>
            <w:top w:w="0" w:type="dxa"/>
            <w:left w:w="108" w:type="dxa"/>
            <w:bottom w:w="0" w:type="dxa"/>
            <w:right w:w="108" w:type="dxa"/>
          </w:tblCellMar>
        </w:tblPrEx>
        <w:trPr>
          <w:trHeight w:val="837" w:hRule="atLeast"/>
          <w:jc w:val="center"/>
        </w:trPr>
        <w:tc>
          <w:tcPr>
            <w:tcW w:w="25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合计</w:t>
            </w: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25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25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bl>
    <w:p>
      <w:pPr>
        <w:adjustRightInd w:val="0"/>
        <w:ind w:firstLine="837" w:firstLineChars="399"/>
        <w:rPr>
          <w:rFonts w:ascii="宋体" w:hAnsi="宋体" w:cs="宋体"/>
          <w:szCs w:val="21"/>
        </w:rPr>
      </w:pPr>
    </w:p>
    <w:p>
      <w:pPr>
        <w:adjustRightInd w:val="0"/>
        <w:ind w:firstLine="837" w:firstLineChars="399"/>
        <w:rPr>
          <w:rFonts w:ascii="宋体" w:hAnsi="宋体" w:cs="宋体"/>
          <w:szCs w:val="21"/>
        </w:rPr>
      </w:pPr>
      <w:r>
        <w:rPr>
          <w:rFonts w:hint="eastAsia" w:ascii="宋体" w:hAnsi="宋体" w:cs="宋体"/>
          <w:szCs w:val="21"/>
        </w:rPr>
        <w:t>综合评分：等级：</w:t>
      </w:r>
    </w:p>
    <w:p>
      <w:pPr>
        <w:adjustRightInd w:val="0"/>
        <w:ind w:firstLine="525" w:firstLineChars="250"/>
        <w:rPr>
          <w:rFonts w:ascii="宋体" w:hAnsi="宋体" w:cs="宋体"/>
          <w:szCs w:val="21"/>
        </w:rPr>
      </w:pPr>
    </w:p>
    <w:p>
      <w:pPr>
        <w:adjustRightInd w:val="0"/>
        <w:rPr>
          <w:rFonts w:ascii="宋体" w:hAnsi="宋体" w:cs="宋体"/>
          <w:szCs w:val="21"/>
        </w:rPr>
      </w:pPr>
    </w:p>
    <w:p>
      <w:pPr>
        <w:adjustRightInd w:val="0"/>
        <w:ind w:firstLine="525" w:firstLineChars="250"/>
        <w:rPr>
          <w:rFonts w:ascii="宋体" w:hAnsi="宋体" w:cs="宋体"/>
          <w:szCs w:val="21"/>
        </w:rPr>
      </w:pPr>
    </w:p>
    <w:p>
      <w:pPr>
        <w:adjustRightInd w:val="0"/>
        <w:rPr>
          <w:rFonts w:ascii="仿宋" w:hAnsi="仿宋" w:eastAsia="仿宋" w:cs="宋体"/>
          <w:szCs w:val="21"/>
        </w:rPr>
      </w:pPr>
      <w:r>
        <w:rPr>
          <w:rFonts w:hint="eastAsia" w:ascii="仿宋" w:hAnsi="仿宋" w:eastAsia="仿宋" w:cs="宋体"/>
          <w:szCs w:val="21"/>
        </w:rPr>
        <w:t>以上得分及等级情况，如有疑问，请接到反馈表三日内到保卫科进行异议申请，逾期则自动生效。</w:t>
      </w:r>
    </w:p>
    <w:p>
      <w:pPr>
        <w:adjustRightInd w:val="0"/>
        <w:rPr>
          <w:rFonts w:ascii="仿宋" w:hAnsi="仿宋" w:eastAsia="仿宋" w:cs="宋体"/>
          <w:spacing w:val="-6"/>
          <w:szCs w:val="21"/>
        </w:rPr>
      </w:pPr>
      <w:r>
        <w:rPr>
          <w:rFonts w:hint="eastAsia" w:ascii="仿宋" w:hAnsi="仿宋" w:eastAsia="仿宋" w:cs="宋体"/>
          <w:spacing w:val="-6"/>
          <w:szCs w:val="21"/>
        </w:rPr>
        <w:t>评分等级:优秀（80分以上）、达标（85-90分）、不达标（85分以下）</w:t>
      </w:r>
    </w:p>
    <w:p>
      <w:pPr>
        <w:spacing w:line="600" w:lineRule="exact"/>
        <w:rPr>
          <w:rFonts w:ascii="宋体" w:hAnsi="宋体" w:cs="宋体"/>
          <w:sz w:val="28"/>
          <w:szCs w:val="21"/>
        </w:rPr>
      </w:pPr>
      <w:r>
        <w:rPr>
          <w:rFonts w:hint="eastAsia" w:ascii="宋体" w:hAnsi="宋体" w:cs="宋体"/>
          <w:sz w:val="28"/>
          <w:szCs w:val="21"/>
        </w:rPr>
        <w:br w:type="page"/>
      </w:r>
      <w:r>
        <w:rPr>
          <w:rFonts w:hint="eastAsia" w:ascii="宋体" w:hAnsi="宋体" w:cs="宋体"/>
          <w:sz w:val="28"/>
          <w:szCs w:val="21"/>
        </w:rPr>
        <w:t>表2：</w:t>
      </w:r>
    </w:p>
    <w:p>
      <w:pPr>
        <w:spacing w:line="600" w:lineRule="exact"/>
        <w:jc w:val="center"/>
        <w:rPr>
          <w:rFonts w:ascii="宋体" w:hAnsi="宋体" w:cs="宋体"/>
          <w:b/>
          <w:sz w:val="36"/>
          <w:szCs w:val="36"/>
        </w:rPr>
      </w:pPr>
      <w:r>
        <w:rPr>
          <w:rFonts w:hint="eastAsia" w:ascii="宋体" w:hAnsi="宋体" w:cs="宋体"/>
          <w:b/>
          <w:sz w:val="36"/>
          <w:szCs w:val="36"/>
        </w:rPr>
        <w:t>考核结果通知书</w:t>
      </w:r>
    </w:p>
    <w:p>
      <w:pPr>
        <w:spacing w:line="600" w:lineRule="exact"/>
        <w:jc w:val="center"/>
        <w:rPr>
          <w:rFonts w:ascii="仿宋" w:hAnsi="仿宋" w:eastAsia="仿宋" w:cs="宋体"/>
          <w:b/>
          <w:sz w:val="44"/>
          <w:szCs w:val="44"/>
        </w:rPr>
      </w:pPr>
    </w:p>
    <w:p>
      <w:pPr>
        <w:spacing w:line="600" w:lineRule="exact"/>
        <w:rPr>
          <w:rFonts w:ascii="仿宋" w:hAnsi="仿宋" w:eastAsia="仿宋" w:cs="宋体"/>
          <w:szCs w:val="21"/>
        </w:rPr>
      </w:pPr>
      <w:r>
        <w:rPr>
          <w:rFonts w:hint="eastAsia" w:ascii="仿宋" w:hAnsi="仿宋" w:eastAsia="仿宋" w:cs="宋体"/>
          <w:szCs w:val="21"/>
        </w:rPr>
        <w:t>XX：</w:t>
      </w:r>
    </w:p>
    <w:p>
      <w:pPr>
        <w:spacing w:line="600" w:lineRule="exact"/>
        <w:ind w:firstLine="645"/>
        <w:rPr>
          <w:rFonts w:ascii="仿宋" w:hAnsi="仿宋" w:eastAsia="仿宋" w:cs="宋体"/>
          <w:szCs w:val="21"/>
        </w:rPr>
      </w:pPr>
      <w:r>
        <w:rPr>
          <w:rFonts w:hint="eastAsia" w:ascii="仿宋" w:hAnsi="仿宋" w:eastAsia="仿宋" w:cs="宋体"/>
          <w:szCs w:val="21"/>
        </w:rPr>
        <w:t>根据合同和《龙湾区安保服务考核办法及细则相关标准及要求》，保卫科对大楼XX月份服务情况进行考核，XX月份考核得分XX分，按照得分情况支付合同服务费XX元，详见附件。</w:t>
      </w:r>
    </w:p>
    <w:p>
      <w:pPr>
        <w:spacing w:line="600" w:lineRule="exact"/>
        <w:ind w:firstLine="645"/>
        <w:rPr>
          <w:rFonts w:ascii="仿宋" w:hAnsi="仿宋" w:eastAsia="仿宋" w:cs="宋体"/>
          <w:szCs w:val="21"/>
        </w:rPr>
      </w:pPr>
    </w:p>
    <w:p>
      <w:pPr>
        <w:spacing w:after="120"/>
        <w:rPr>
          <w:rFonts w:ascii="Calibri" w:hAnsi="Calibri"/>
          <w:szCs w:val="21"/>
          <w:lang w:val="zh-CN"/>
        </w:rPr>
      </w:pPr>
    </w:p>
    <w:p>
      <w:pPr>
        <w:spacing w:line="600" w:lineRule="exact"/>
        <w:ind w:firstLine="645"/>
        <w:rPr>
          <w:rFonts w:ascii="仿宋" w:hAnsi="仿宋" w:eastAsia="仿宋" w:cs="宋体"/>
          <w:szCs w:val="21"/>
        </w:rPr>
      </w:pPr>
      <w:r>
        <w:rPr>
          <w:rFonts w:hint="eastAsia" w:ascii="仿宋" w:hAnsi="仿宋" w:eastAsia="仿宋" w:cs="宋体"/>
          <w:szCs w:val="21"/>
        </w:rPr>
        <w:t>附件：安保服务考核综合评定表</w:t>
      </w:r>
    </w:p>
    <w:p>
      <w:pPr>
        <w:spacing w:line="600" w:lineRule="exact"/>
        <w:ind w:firstLine="645"/>
        <w:rPr>
          <w:rFonts w:ascii="仿宋" w:hAnsi="仿宋" w:eastAsia="仿宋" w:cs="宋体"/>
          <w:szCs w:val="21"/>
        </w:rPr>
      </w:pPr>
    </w:p>
    <w:p>
      <w:pPr>
        <w:spacing w:line="600" w:lineRule="exact"/>
        <w:ind w:firstLine="645"/>
        <w:rPr>
          <w:rFonts w:ascii="仿宋" w:hAnsi="仿宋" w:eastAsia="仿宋" w:cs="宋体"/>
          <w:szCs w:val="21"/>
        </w:rPr>
      </w:pPr>
      <w:r>
        <w:rPr>
          <w:rFonts w:hint="eastAsia" w:ascii="仿宋" w:hAnsi="仿宋" w:eastAsia="仿宋" w:cs="宋体"/>
          <w:szCs w:val="21"/>
        </w:rPr>
        <w:t>抄送：中心领导</w:t>
      </w:r>
    </w:p>
    <w:p>
      <w:pPr>
        <w:spacing w:line="600" w:lineRule="exact"/>
        <w:ind w:firstLine="645"/>
        <w:rPr>
          <w:rFonts w:ascii="仿宋" w:hAnsi="仿宋" w:eastAsia="仿宋" w:cs="宋体"/>
          <w:szCs w:val="21"/>
        </w:rPr>
      </w:pPr>
    </w:p>
    <w:p>
      <w:pPr>
        <w:spacing w:line="600" w:lineRule="exact"/>
        <w:ind w:firstLine="645"/>
        <w:rPr>
          <w:rFonts w:ascii="仿宋" w:hAnsi="仿宋" w:eastAsia="仿宋" w:cs="宋体"/>
          <w:szCs w:val="21"/>
        </w:rPr>
      </w:pPr>
    </w:p>
    <w:p>
      <w:pPr>
        <w:spacing w:line="600" w:lineRule="exact"/>
        <w:ind w:firstLine="645"/>
        <w:rPr>
          <w:rFonts w:ascii="仿宋" w:hAnsi="仿宋" w:eastAsia="仿宋" w:cs="宋体"/>
          <w:szCs w:val="21"/>
        </w:rPr>
      </w:pPr>
    </w:p>
    <w:p>
      <w:pPr>
        <w:spacing w:line="600" w:lineRule="exact"/>
        <w:ind w:firstLine="645"/>
        <w:rPr>
          <w:rFonts w:ascii="仿宋" w:hAnsi="仿宋" w:eastAsia="仿宋" w:cs="宋体"/>
          <w:szCs w:val="21"/>
        </w:rPr>
      </w:pPr>
    </w:p>
    <w:p>
      <w:pPr>
        <w:spacing w:line="600" w:lineRule="exact"/>
        <w:ind w:firstLine="645"/>
        <w:rPr>
          <w:rFonts w:ascii="仿宋" w:hAnsi="仿宋" w:eastAsia="仿宋" w:cs="宋体"/>
          <w:szCs w:val="21"/>
        </w:rPr>
      </w:pPr>
    </w:p>
    <w:p>
      <w:pPr>
        <w:spacing w:line="600" w:lineRule="exact"/>
        <w:ind w:firstLine="645"/>
        <w:rPr>
          <w:rFonts w:ascii="仿宋" w:hAnsi="仿宋" w:eastAsia="仿宋" w:cs="宋体"/>
          <w:szCs w:val="21"/>
        </w:rPr>
      </w:pPr>
    </w:p>
    <w:p>
      <w:pPr>
        <w:spacing w:line="600" w:lineRule="exact"/>
        <w:ind w:firstLine="645"/>
        <w:jc w:val="right"/>
        <w:rPr>
          <w:rFonts w:ascii="仿宋" w:hAnsi="仿宋" w:eastAsia="仿宋" w:cs="宋体"/>
          <w:szCs w:val="21"/>
        </w:rPr>
      </w:pPr>
      <w:r>
        <w:rPr>
          <w:rFonts w:hint="eastAsia" w:ascii="仿宋" w:hAnsi="仿宋" w:eastAsia="仿宋" w:cs="宋体"/>
          <w:szCs w:val="21"/>
        </w:rPr>
        <w:t>龙湾区机关事务管理中心保卫科</w:t>
      </w:r>
    </w:p>
    <w:p>
      <w:pPr>
        <w:spacing w:line="600" w:lineRule="exact"/>
        <w:ind w:right="480" w:firstLine="645"/>
        <w:jc w:val="right"/>
        <w:rPr>
          <w:rFonts w:ascii="仿宋" w:hAnsi="仿宋" w:eastAsia="仿宋" w:cs="宋体"/>
          <w:szCs w:val="21"/>
        </w:rPr>
      </w:pPr>
      <w:r>
        <w:rPr>
          <w:rFonts w:ascii="仿宋" w:hAnsi="仿宋" w:eastAsia="仿宋" w:cs="宋体"/>
          <w:szCs w:val="21"/>
        </w:rPr>
        <w:t>年月日</w:t>
      </w:r>
    </w:p>
    <w:p>
      <w:pPr>
        <w:adjustRightInd w:val="0"/>
        <w:rPr>
          <w:rFonts w:ascii="宋体" w:hAnsi="宋体" w:cs="宋体"/>
          <w:sz w:val="28"/>
          <w:szCs w:val="21"/>
        </w:rPr>
      </w:pPr>
    </w:p>
    <w:p>
      <w:pPr>
        <w:adjustRightInd w:val="0"/>
        <w:snapToGrid w:val="0"/>
        <w:spacing w:line="440" w:lineRule="exact"/>
        <w:rPr>
          <w:rFonts w:ascii="仿宋" w:hAnsi="仿宋" w:eastAsia="仿宋" w:cs="宋体"/>
          <w:sz w:val="28"/>
          <w:szCs w:val="28"/>
        </w:rPr>
      </w:pPr>
      <w:r>
        <w:rPr>
          <w:rFonts w:ascii="仿宋" w:hAnsi="仿宋" w:eastAsia="仿宋" w:cs="宋体"/>
          <w:sz w:val="28"/>
          <w:szCs w:val="28"/>
        </w:rPr>
        <w:br w:type="page"/>
      </w:r>
      <w:r>
        <w:rPr>
          <w:rFonts w:hint="eastAsia" w:ascii="仿宋" w:hAnsi="仿宋" w:eastAsia="仿宋" w:cs="宋体"/>
          <w:sz w:val="28"/>
          <w:szCs w:val="28"/>
        </w:rPr>
        <w:t>表3：</w:t>
      </w:r>
    </w:p>
    <w:p>
      <w:pPr>
        <w:adjustRightInd w:val="0"/>
        <w:spacing w:afterLines="50" w:line="440" w:lineRule="exact"/>
        <w:jc w:val="center"/>
        <w:outlineLvl w:val="1"/>
        <w:rPr>
          <w:rFonts w:ascii="宋体" w:hAnsi="宋体" w:cs="新宋体"/>
          <w:b/>
          <w:sz w:val="36"/>
          <w:szCs w:val="36"/>
        </w:rPr>
      </w:pPr>
      <w:r>
        <w:rPr>
          <w:rFonts w:hint="eastAsia" w:ascii="宋体" w:hAnsi="宋体" w:cs="新宋体"/>
          <w:b/>
          <w:sz w:val="36"/>
          <w:szCs w:val="36"/>
        </w:rPr>
        <w:t>龙湾区安保服务考核细则（共性）</w:t>
      </w:r>
    </w:p>
    <w:tbl>
      <w:tblPr>
        <w:tblStyle w:val="37"/>
        <w:tblW w:w="9100" w:type="dxa"/>
        <w:tblInd w:w="0" w:type="dxa"/>
        <w:tblLayout w:type="fixed"/>
        <w:tblCellMar>
          <w:top w:w="15" w:type="dxa"/>
          <w:left w:w="15" w:type="dxa"/>
          <w:bottom w:w="15" w:type="dxa"/>
          <w:right w:w="15" w:type="dxa"/>
        </w:tblCellMar>
      </w:tblPr>
      <w:tblGrid>
        <w:gridCol w:w="505"/>
        <w:gridCol w:w="630"/>
        <w:gridCol w:w="6455"/>
        <w:gridCol w:w="1510"/>
      </w:tblGrid>
      <w:tr>
        <w:tblPrEx>
          <w:tblCellMar>
            <w:top w:w="15" w:type="dxa"/>
            <w:left w:w="15" w:type="dxa"/>
            <w:bottom w:w="15" w:type="dxa"/>
            <w:right w:w="15" w:type="dxa"/>
          </w:tblCellMar>
        </w:tblPrEx>
        <w:trPr>
          <w:trHeight w:val="343"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黑体"/>
                <w:szCs w:val="21"/>
              </w:rPr>
            </w:pPr>
            <w:r>
              <w:rPr>
                <w:rFonts w:hint="eastAsia" w:ascii="仿宋" w:hAnsi="仿宋" w:eastAsia="仿宋" w:cs="黑体"/>
                <w:szCs w:val="21"/>
              </w:rPr>
              <w:t>序号</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黑体"/>
                <w:szCs w:val="21"/>
              </w:rPr>
            </w:pPr>
            <w:r>
              <w:rPr>
                <w:rFonts w:hint="eastAsia" w:ascii="仿宋" w:hAnsi="仿宋" w:eastAsia="仿宋" w:cs="黑体"/>
                <w:szCs w:val="21"/>
              </w:rPr>
              <w:t>内容</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黑体"/>
                <w:szCs w:val="21"/>
              </w:rPr>
            </w:pPr>
            <w:r>
              <w:rPr>
                <w:rFonts w:hint="eastAsia" w:ascii="仿宋" w:hAnsi="仿宋" w:eastAsia="仿宋" w:cs="黑体"/>
                <w:szCs w:val="21"/>
              </w:rPr>
              <w:t>考评内容</w:t>
            </w:r>
          </w:p>
        </w:tc>
        <w:tc>
          <w:tcPr>
            <w:tcW w:w="151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黑体"/>
                <w:szCs w:val="21"/>
              </w:rPr>
            </w:pPr>
            <w:r>
              <w:rPr>
                <w:rFonts w:hint="eastAsia" w:ascii="仿宋" w:hAnsi="仿宋" w:eastAsia="仿宋" w:cs="黑体"/>
                <w:szCs w:val="21"/>
              </w:rPr>
              <w:t>扣分标准</w:t>
            </w:r>
          </w:p>
        </w:tc>
      </w:tr>
      <w:tr>
        <w:tblPrEx>
          <w:tblCellMar>
            <w:top w:w="15" w:type="dxa"/>
            <w:left w:w="15" w:type="dxa"/>
            <w:bottom w:w="15" w:type="dxa"/>
            <w:right w:w="15" w:type="dxa"/>
          </w:tblCellMar>
        </w:tblPrEx>
        <w:trPr>
          <w:trHeight w:val="538"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1</w:t>
            </w:r>
          </w:p>
        </w:tc>
        <w:tc>
          <w:tcPr>
            <w:tcW w:w="630" w:type="dxa"/>
            <w:tcBorders>
              <w:top w:val="single" w:color="000000" w:sz="4" w:space="0"/>
              <w:left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思想作风建设</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仿宋" w:hAnsi="仿宋" w:eastAsia="仿宋" w:cs="宋体"/>
                <w:szCs w:val="21"/>
              </w:rPr>
            </w:pPr>
            <w:r>
              <w:rPr>
                <w:rFonts w:hint="eastAsia" w:ascii="仿宋" w:hAnsi="仿宋" w:eastAsia="仿宋" w:cs="宋体"/>
                <w:szCs w:val="21"/>
              </w:rPr>
              <w:t>员工的职业道德、工作作风、办事效率等良好，能爱岗敬业、遵章守纪、仪表端正、语言得当、举止得体，态度友善；团结、和谐。不从事非法违规活动，不从事有损委托方利益的活动。</w:t>
            </w:r>
          </w:p>
        </w:tc>
        <w:tc>
          <w:tcPr>
            <w:tcW w:w="151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每发现一例扣0.5分</w:t>
            </w:r>
          </w:p>
        </w:tc>
      </w:tr>
      <w:tr>
        <w:tblPrEx>
          <w:tblCellMar>
            <w:top w:w="15" w:type="dxa"/>
            <w:left w:w="15" w:type="dxa"/>
            <w:bottom w:w="15" w:type="dxa"/>
            <w:right w:w="15" w:type="dxa"/>
          </w:tblCellMar>
        </w:tblPrEx>
        <w:trPr>
          <w:trHeight w:val="832"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2</w:t>
            </w:r>
          </w:p>
        </w:tc>
        <w:tc>
          <w:tcPr>
            <w:tcW w:w="630" w:type="dxa"/>
            <w:tcBorders>
              <w:top w:val="single" w:color="000000" w:sz="4" w:space="0"/>
              <w:left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组织管理</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仿宋" w:hAnsi="仿宋" w:eastAsia="仿宋" w:cs="宋体"/>
                <w:szCs w:val="21"/>
              </w:rPr>
            </w:pPr>
            <w:r>
              <w:rPr>
                <w:rFonts w:hint="eastAsia" w:ascii="仿宋" w:hAnsi="仿宋" w:eastAsia="仿宋" w:cs="宋体"/>
                <w:szCs w:val="21"/>
              </w:rPr>
              <w:t>组织框架层级结构合理，人员素质满足要求，配备的人员符合有关用工规定，满足岗位要求，应持证的持证上岗。人员配置到位、变动备案及时，人员工资设置合理。</w:t>
            </w:r>
          </w:p>
        </w:tc>
        <w:tc>
          <w:tcPr>
            <w:tcW w:w="151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每发现一例扣0.5分</w:t>
            </w:r>
          </w:p>
        </w:tc>
      </w:tr>
      <w:tr>
        <w:tblPrEx>
          <w:tblCellMar>
            <w:top w:w="15" w:type="dxa"/>
            <w:left w:w="15" w:type="dxa"/>
            <w:bottom w:w="15" w:type="dxa"/>
            <w:right w:w="15" w:type="dxa"/>
          </w:tblCellMar>
        </w:tblPrEx>
        <w:trPr>
          <w:trHeight w:val="1083"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3</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制度建设</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仿宋" w:hAnsi="仿宋" w:eastAsia="仿宋" w:cs="宋体"/>
                <w:szCs w:val="21"/>
              </w:rPr>
            </w:pPr>
            <w:r>
              <w:rPr>
                <w:rFonts w:hint="eastAsia" w:ascii="仿宋" w:hAnsi="仿宋" w:eastAsia="仿宋" w:cs="宋体"/>
                <w:szCs w:val="21"/>
              </w:rPr>
              <w:t>已制订工作目标、年度计划和具体实施方案，已建立各项制度、各岗位职责、工作标准，编制了各类操作规程、安全规程，制度完善且落实到位，建立的检查制度、例会制度等落实记录齐全，考核激励措施有效。</w:t>
            </w:r>
          </w:p>
        </w:tc>
        <w:tc>
          <w:tcPr>
            <w:tcW w:w="151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每发现一例扣0.5分</w:t>
            </w:r>
          </w:p>
        </w:tc>
      </w:tr>
      <w:tr>
        <w:tblPrEx>
          <w:tblCellMar>
            <w:top w:w="15" w:type="dxa"/>
            <w:left w:w="15" w:type="dxa"/>
            <w:bottom w:w="15" w:type="dxa"/>
            <w:right w:w="15" w:type="dxa"/>
          </w:tblCellMar>
        </w:tblPrEx>
        <w:trPr>
          <w:trHeight w:val="1019"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4</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培训教育</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仿宋" w:hAnsi="仿宋" w:eastAsia="仿宋" w:cs="宋体"/>
                <w:szCs w:val="21"/>
              </w:rPr>
            </w:pPr>
            <w:r>
              <w:rPr>
                <w:rFonts w:hint="eastAsia" w:ascii="仿宋" w:hAnsi="仿宋" w:eastAsia="仿宋" w:cs="宋体"/>
                <w:szCs w:val="21"/>
              </w:rPr>
              <w:t>制定完整的培训计划，有明确的培训内容、培训对象，使新老员工的业务素质不断提高。培训记录规范、齐全、真实，积极组织考察学习，进一步开展项目部文化建设。</w:t>
            </w:r>
          </w:p>
        </w:tc>
        <w:tc>
          <w:tcPr>
            <w:tcW w:w="151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每发现一例扣0.5分</w:t>
            </w:r>
          </w:p>
        </w:tc>
      </w:tr>
      <w:tr>
        <w:tblPrEx>
          <w:tblCellMar>
            <w:top w:w="15" w:type="dxa"/>
            <w:left w:w="15" w:type="dxa"/>
            <w:bottom w:w="15" w:type="dxa"/>
            <w:right w:w="15" w:type="dxa"/>
          </w:tblCellMar>
        </w:tblPrEx>
        <w:trPr>
          <w:trHeight w:val="580"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5</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节能管理</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仿宋" w:hAnsi="仿宋" w:eastAsia="仿宋" w:cs="宋体"/>
                <w:szCs w:val="21"/>
              </w:rPr>
            </w:pPr>
            <w:r>
              <w:rPr>
                <w:rFonts w:hint="eastAsia" w:ascii="仿宋" w:hAnsi="仿宋" w:eastAsia="仿宋" w:cs="宋体"/>
                <w:szCs w:val="21"/>
              </w:rPr>
              <w:t>加强节能管理，落实节能措施和节能技改，报告完善。</w:t>
            </w:r>
          </w:p>
        </w:tc>
        <w:tc>
          <w:tcPr>
            <w:tcW w:w="151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楷体"/>
                <w:szCs w:val="21"/>
              </w:rPr>
            </w:pPr>
            <w:r>
              <w:rPr>
                <w:rFonts w:hint="eastAsia" w:ascii="仿宋" w:hAnsi="仿宋" w:eastAsia="仿宋" w:cs="宋体"/>
                <w:szCs w:val="21"/>
              </w:rPr>
              <w:t>每发现一例扣0.5分</w:t>
            </w:r>
          </w:p>
        </w:tc>
      </w:tr>
      <w:tr>
        <w:tblPrEx>
          <w:tblCellMar>
            <w:top w:w="15" w:type="dxa"/>
            <w:left w:w="15" w:type="dxa"/>
            <w:bottom w:w="15" w:type="dxa"/>
            <w:right w:w="15" w:type="dxa"/>
          </w:tblCellMar>
        </w:tblPrEx>
        <w:trPr>
          <w:trHeight w:val="1588" w:hRule="atLeast"/>
        </w:trPr>
        <w:tc>
          <w:tcPr>
            <w:tcW w:w="505"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6</w:t>
            </w:r>
          </w:p>
        </w:tc>
        <w:tc>
          <w:tcPr>
            <w:tcW w:w="630"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人员管理</w:t>
            </w:r>
          </w:p>
        </w:tc>
        <w:tc>
          <w:tcPr>
            <w:tcW w:w="6455" w:type="dxa"/>
            <w:tcBorders>
              <w:top w:val="single" w:color="auto" w:sz="4" w:space="0"/>
              <w:left w:val="single" w:color="000000" w:sz="4" w:space="0"/>
              <w:bottom w:val="single" w:color="000000" w:sz="4" w:space="0"/>
              <w:right w:val="single" w:color="000000" w:sz="4" w:space="0"/>
            </w:tcBorders>
            <w:vAlign w:val="center"/>
          </w:tcPr>
          <w:p>
            <w:pPr>
              <w:numPr>
                <w:ilvl w:val="0"/>
                <w:numId w:val="7"/>
              </w:numPr>
              <w:adjustRightInd w:val="0"/>
              <w:spacing w:line="260" w:lineRule="exact"/>
              <w:textAlignment w:val="center"/>
              <w:rPr>
                <w:rFonts w:ascii="仿宋" w:hAnsi="仿宋" w:eastAsia="仿宋" w:cs="宋体"/>
                <w:szCs w:val="21"/>
              </w:rPr>
            </w:pPr>
            <w:r>
              <w:rPr>
                <w:rFonts w:hint="eastAsia" w:ascii="仿宋" w:hAnsi="仿宋" w:eastAsia="仿宋" w:cs="宋体"/>
                <w:szCs w:val="21"/>
              </w:rPr>
              <w:t>有考核激励办法和稳定人员、提升人员素质的具体措施，并严格履行、落实到位；</w:t>
            </w:r>
          </w:p>
          <w:p>
            <w:pPr>
              <w:numPr>
                <w:ilvl w:val="0"/>
                <w:numId w:val="7"/>
              </w:numPr>
              <w:adjustRightInd w:val="0"/>
              <w:spacing w:line="260" w:lineRule="exact"/>
              <w:textAlignment w:val="center"/>
              <w:rPr>
                <w:rFonts w:ascii="仿宋" w:hAnsi="仿宋" w:eastAsia="仿宋" w:cs="宋体"/>
                <w:szCs w:val="21"/>
              </w:rPr>
            </w:pPr>
            <w:r>
              <w:rPr>
                <w:rFonts w:hint="eastAsia" w:ascii="仿宋" w:hAnsi="仿宋" w:eastAsia="仿宋" w:cs="宋体"/>
                <w:szCs w:val="21"/>
              </w:rPr>
              <w:t>人员薪金体系合理，支出备案及时</w:t>
            </w:r>
          </w:p>
          <w:p>
            <w:pPr>
              <w:numPr>
                <w:ilvl w:val="0"/>
                <w:numId w:val="7"/>
              </w:numPr>
              <w:adjustRightInd w:val="0"/>
              <w:spacing w:line="260" w:lineRule="exact"/>
              <w:textAlignment w:val="center"/>
              <w:rPr>
                <w:rFonts w:ascii="仿宋" w:hAnsi="仿宋" w:eastAsia="仿宋" w:cs="宋体"/>
                <w:szCs w:val="21"/>
              </w:rPr>
            </w:pPr>
            <w:r>
              <w:rPr>
                <w:rFonts w:hint="eastAsia" w:ascii="仿宋" w:hAnsi="仿宋" w:eastAsia="仿宋" w:cs="宋体"/>
                <w:szCs w:val="21"/>
              </w:rPr>
              <w:t>服装和劳保用品发放满足委托方要求，材料和样式经审核同意；</w:t>
            </w:r>
          </w:p>
          <w:p>
            <w:pPr>
              <w:numPr>
                <w:ilvl w:val="0"/>
                <w:numId w:val="7"/>
              </w:numPr>
              <w:adjustRightInd w:val="0"/>
              <w:spacing w:line="260" w:lineRule="exact"/>
              <w:textAlignment w:val="center"/>
              <w:rPr>
                <w:rFonts w:ascii="仿宋" w:hAnsi="仿宋" w:eastAsia="仿宋" w:cs="宋体"/>
                <w:szCs w:val="21"/>
              </w:rPr>
            </w:pPr>
            <w:r>
              <w:rPr>
                <w:rFonts w:hint="eastAsia" w:ascii="仿宋" w:hAnsi="仿宋" w:eastAsia="仿宋" w:cs="宋体"/>
                <w:szCs w:val="21"/>
              </w:rPr>
              <w:t>执勤着装不规范，仪容仪表不端庄等员工工作状态较差的；</w:t>
            </w:r>
          </w:p>
          <w:p>
            <w:pPr>
              <w:numPr>
                <w:ilvl w:val="0"/>
                <w:numId w:val="7"/>
              </w:numPr>
              <w:adjustRightInd w:val="0"/>
              <w:spacing w:line="260" w:lineRule="exact"/>
              <w:textAlignment w:val="center"/>
              <w:rPr>
                <w:rFonts w:ascii="仿宋" w:hAnsi="仿宋" w:eastAsia="仿宋" w:cs="宋体"/>
                <w:szCs w:val="21"/>
              </w:rPr>
            </w:pPr>
            <w:r>
              <w:rPr>
                <w:rFonts w:hint="eastAsia" w:ascii="仿宋" w:hAnsi="仿宋" w:eastAsia="仿宋" w:cs="宋体"/>
                <w:szCs w:val="21"/>
              </w:rPr>
              <w:t>加强人员入职政审、培训教育活动；</w:t>
            </w:r>
          </w:p>
          <w:p>
            <w:pPr>
              <w:adjustRightInd w:val="0"/>
              <w:spacing w:line="260" w:lineRule="exact"/>
              <w:textAlignment w:val="center"/>
              <w:rPr>
                <w:rFonts w:ascii="仿宋" w:hAnsi="仿宋" w:eastAsia="仿宋" w:cs="宋体"/>
                <w:szCs w:val="21"/>
              </w:rPr>
            </w:pPr>
            <w:r>
              <w:rPr>
                <w:rFonts w:hint="eastAsia" w:ascii="仿宋" w:hAnsi="仿宋" w:eastAsia="仿宋" w:cs="宋体"/>
                <w:szCs w:val="21"/>
              </w:rPr>
              <w:t>6、办公室、值班室（亭）及周边脏、乱、差的等员工办公环境无序的；</w:t>
            </w:r>
          </w:p>
          <w:p>
            <w:pPr>
              <w:adjustRightInd w:val="0"/>
              <w:spacing w:line="260" w:lineRule="exact"/>
              <w:textAlignment w:val="center"/>
              <w:rPr>
                <w:rFonts w:ascii="宋体" w:hAnsi="宋体" w:cs="宋体"/>
                <w:szCs w:val="21"/>
              </w:rPr>
            </w:pPr>
            <w:r>
              <w:rPr>
                <w:rFonts w:hint="eastAsia" w:ascii="仿宋" w:hAnsi="仿宋" w:eastAsia="仿宋" w:cs="宋体"/>
                <w:szCs w:val="21"/>
              </w:rPr>
              <w:t>7、无故脱岗、串岗，迟到早退，服务态度差，不服从上级指挥管理，酒后上班，私自带人等违反劳动纪律的；</w:t>
            </w:r>
          </w:p>
        </w:tc>
        <w:tc>
          <w:tcPr>
            <w:tcW w:w="1510"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楷体"/>
                <w:szCs w:val="21"/>
              </w:rPr>
            </w:pPr>
            <w:r>
              <w:rPr>
                <w:rFonts w:hint="eastAsia" w:ascii="仿宋" w:hAnsi="仿宋" w:eastAsia="仿宋" w:cs="宋体"/>
                <w:szCs w:val="21"/>
              </w:rPr>
              <w:t>每发现一例扣0.5分</w:t>
            </w:r>
          </w:p>
        </w:tc>
      </w:tr>
      <w:tr>
        <w:tblPrEx>
          <w:tblCellMar>
            <w:top w:w="15" w:type="dxa"/>
            <w:left w:w="15" w:type="dxa"/>
            <w:bottom w:w="15" w:type="dxa"/>
            <w:right w:w="15" w:type="dxa"/>
          </w:tblCellMar>
        </w:tblPrEx>
        <w:trPr>
          <w:trHeight w:val="992"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7</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相关方面管理</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仿宋" w:hAnsi="仿宋" w:eastAsia="仿宋" w:cs="宋体"/>
                <w:szCs w:val="21"/>
              </w:rPr>
            </w:pPr>
            <w:r>
              <w:rPr>
                <w:rFonts w:hint="eastAsia" w:ascii="仿宋" w:hAnsi="仿宋" w:eastAsia="仿宋" w:cs="宋体"/>
                <w:szCs w:val="21"/>
              </w:rPr>
              <w:t>严格落实维保单位及其他服务单位考核制度，定期对维保单位、外来施工单位、领导服务员进行帮助、指导、监督、考核，保证服务质量。</w:t>
            </w:r>
          </w:p>
        </w:tc>
        <w:tc>
          <w:tcPr>
            <w:tcW w:w="151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楷体"/>
                <w:szCs w:val="21"/>
              </w:rPr>
            </w:pPr>
            <w:r>
              <w:rPr>
                <w:rFonts w:hint="eastAsia" w:ascii="仿宋" w:hAnsi="仿宋" w:eastAsia="仿宋" w:cs="宋体"/>
                <w:szCs w:val="21"/>
              </w:rPr>
              <w:t>每发现一例扣0.5分</w:t>
            </w:r>
          </w:p>
        </w:tc>
      </w:tr>
      <w:tr>
        <w:tblPrEx>
          <w:tblCellMar>
            <w:top w:w="15" w:type="dxa"/>
            <w:left w:w="15" w:type="dxa"/>
            <w:bottom w:w="15" w:type="dxa"/>
            <w:right w:w="15" w:type="dxa"/>
          </w:tblCellMar>
        </w:tblPrEx>
        <w:trPr>
          <w:trHeight w:val="886"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8</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持续改进</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仿宋" w:hAnsi="仿宋" w:eastAsia="仿宋" w:cs="宋体"/>
                <w:szCs w:val="21"/>
              </w:rPr>
            </w:pPr>
            <w:r>
              <w:rPr>
                <w:rFonts w:hint="eastAsia" w:ascii="仿宋" w:hAnsi="仿宋" w:eastAsia="仿宋" w:cs="宋体"/>
                <w:szCs w:val="21"/>
              </w:rPr>
              <w:t>定期向相关方征询意见，自觉配合考核，并根据反馈意见、考核结果及时调整改进、优化提高。员工合理化建议积极，及时落实有效可行建议。</w:t>
            </w:r>
          </w:p>
        </w:tc>
        <w:tc>
          <w:tcPr>
            <w:tcW w:w="151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每发现一例扣0.5分</w:t>
            </w:r>
          </w:p>
        </w:tc>
      </w:tr>
      <w:tr>
        <w:tblPrEx>
          <w:tblCellMar>
            <w:top w:w="15" w:type="dxa"/>
            <w:left w:w="15" w:type="dxa"/>
            <w:bottom w:w="15" w:type="dxa"/>
            <w:right w:w="15" w:type="dxa"/>
          </w:tblCellMar>
        </w:tblPrEx>
        <w:trPr>
          <w:trHeight w:val="832"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9</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应急能力</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仿宋" w:hAnsi="仿宋" w:eastAsia="仿宋" w:cs="宋体"/>
                <w:szCs w:val="21"/>
              </w:rPr>
            </w:pPr>
            <w:r>
              <w:rPr>
                <w:rFonts w:hint="eastAsia" w:ascii="仿宋" w:hAnsi="仿宋" w:eastAsia="仿宋" w:cs="宋体"/>
                <w:szCs w:val="21"/>
              </w:rPr>
              <w:t>应急事件处理合理、效果良好，临时交办的任务及时完成、完成结果令人满意。重大任务必须事先制订周密的工作计划，并按照计划实施。</w:t>
            </w:r>
          </w:p>
        </w:tc>
        <w:tc>
          <w:tcPr>
            <w:tcW w:w="151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每发现一例扣</w:t>
            </w:r>
          </w:p>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1分</w:t>
            </w:r>
          </w:p>
        </w:tc>
      </w:tr>
      <w:tr>
        <w:tblPrEx>
          <w:tblCellMar>
            <w:top w:w="15" w:type="dxa"/>
            <w:left w:w="15" w:type="dxa"/>
            <w:bottom w:w="15" w:type="dxa"/>
            <w:right w:w="15" w:type="dxa"/>
          </w:tblCellMar>
        </w:tblPrEx>
        <w:trPr>
          <w:trHeight w:val="832"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10</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完成任务</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仿宋" w:hAnsi="仿宋" w:eastAsia="仿宋" w:cs="宋体"/>
                <w:szCs w:val="21"/>
              </w:rPr>
            </w:pPr>
            <w:r>
              <w:rPr>
                <w:rFonts w:hint="eastAsia" w:ascii="仿宋" w:hAnsi="仿宋" w:eastAsia="仿宋" w:cs="宋体"/>
                <w:szCs w:val="21"/>
              </w:rPr>
              <w:t>严格遵守委托方的各种制度、规定，以创建节约型文明机关为核心，不断深化服务管理，推行标准化服务，不断提升服务质量、服务管理水平，开展文明大院、平安大院、智能安保创建，安保服务管理达到省内领先。创建物业管理创优示范项目。完成月度服务、管理任务。</w:t>
            </w:r>
          </w:p>
        </w:tc>
        <w:tc>
          <w:tcPr>
            <w:tcW w:w="151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楷体"/>
                <w:szCs w:val="21"/>
              </w:rPr>
            </w:pPr>
            <w:r>
              <w:rPr>
                <w:rFonts w:hint="eastAsia" w:ascii="仿宋" w:hAnsi="仿宋" w:eastAsia="仿宋" w:cs="宋体"/>
                <w:szCs w:val="21"/>
              </w:rPr>
              <w:t>每发现一例扣0.5分</w:t>
            </w:r>
          </w:p>
        </w:tc>
      </w:tr>
      <w:tr>
        <w:tblPrEx>
          <w:tblCellMar>
            <w:top w:w="15" w:type="dxa"/>
            <w:left w:w="15" w:type="dxa"/>
            <w:bottom w:w="15" w:type="dxa"/>
            <w:right w:w="15" w:type="dxa"/>
          </w:tblCellMar>
        </w:tblPrEx>
        <w:trPr>
          <w:trHeight w:val="832"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11</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福利承诺</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仿宋" w:hAnsi="仿宋" w:eastAsia="仿宋" w:cs="宋体"/>
                <w:szCs w:val="21"/>
              </w:rPr>
            </w:pPr>
            <w:r>
              <w:rPr>
                <w:rFonts w:hint="eastAsia" w:ascii="仿宋" w:hAnsi="仿宋" w:eastAsia="仿宋" w:cs="宋体"/>
                <w:szCs w:val="21"/>
              </w:rPr>
              <w:t>对投标承诺投入福利落实情况。</w:t>
            </w:r>
          </w:p>
        </w:tc>
        <w:tc>
          <w:tcPr>
            <w:tcW w:w="151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每发现一例未落实扣0.5分</w:t>
            </w:r>
          </w:p>
        </w:tc>
      </w:tr>
      <w:tr>
        <w:tblPrEx>
          <w:tblCellMar>
            <w:top w:w="15" w:type="dxa"/>
            <w:left w:w="15" w:type="dxa"/>
            <w:bottom w:w="15" w:type="dxa"/>
            <w:right w:w="15" w:type="dxa"/>
          </w:tblCellMar>
        </w:tblPrEx>
        <w:trPr>
          <w:trHeight w:val="677" w:hRule="atLeast"/>
        </w:trPr>
        <w:tc>
          <w:tcPr>
            <w:tcW w:w="9100"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总分值20分，每发现一个不符合项，按照0.5、1、1.5三档酌情扣分。</w:t>
            </w:r>
          </w:p>
        </w:tc>
      </w:tr>
    </w:tbl>
    <w:p>
      <w:pPr>
        <w:adjustRightInd w:val="0"/>
        <w:spacing w:line="500" w:lineRule="exact"/>
        <w:outlineLvl w:val="1"/>
        <w:rPr>
          <w:rFonts w:ascii="仿宋" w:hAnsi="仿宋" w:eastAsia="仿宋" w:cs="新宋体"/>
          <w:sz w:val="28"/>
          <w:szCs w:val="28"/>
        </w:rPr>
      </w:pPr>
      <w:r>
        <w:rPr>
          <w:rFonts w:hint="eastAsia" w:ascii="仿宋" w:hAnsi="仿宋" w:eastAsia="仿宋" w:cs="新宋体"/>
          <w:szCs w:val="21"/>
        </w:rPr>
        <w:br w:type="page"/>
      </w:r>
      <w:bookmarkStart w:id="42" w:name="_Toc42068316"/>
      <w:r>
        <w:rPr>
          <w:rFonts w:hint="eastAsia" w:ascii="仿宋" w:hAnsi="仿宋" w:eastAsia="仿宋" w:cs="新宋体"/>
          <w:sz w:val="28"/>
          <w:szCs w:val="28"/>
        </w:rPr>
        <w:t>表4：</w:t>
      </w:r>
      <w:bookmarkEnd w:id="42"/>
    </w:p>
    <w:p>
      <w:pPr>
        <w:adjustRightInd w:val="0"/>
        <w:spacing w:afterLines="50" w:line="440" w:lineRule="exact"/>
        <w:jc w:val="center"/>
        <w:outlineLvl w:val="1"/>
        <w:rPr>
          <w:rFonts w:ascii="宋体" w:hAnsi="宋体" w:cs="新宋体"/>
          <w:b/>
          <w:sz w:val="36"/>
          <w:szCs w:val="36"/>
        </w:rPr>
      </w:pPr>
      <w:bookmarkStart w:id="43" w:name="_Toc42068317"/>
      <w:r>
        <w:rPr>
          <w:rFonts w:hint="eastAsia" w:ascii="宋体" w:hAnsi="宋体" w:cs="新宋体"/>
          <w:b/>
          <w:sz w:val="36"/>
          <w:szCs w:val="36"/>
        </w:rPr>
        <w:t>区安保服务考核细则（业务）</w:t>
      </w:r>
      <w:bookmarkEnd w:id="43"/>
    </w:p>
    <w:tbl>
      <w:tblPr>
        <w:tblStyle w:val="37"/>
        <w:tblW w:w="9162" w:type="dxa"/>
        <w:jc w:val="center"/>
        <w:tblLayout w:type="fixed"/>
        <w:tblCellMar>
          <w:top w:w="28" w:type="dxa"/>
          <w:left w:w="15" w:type="dxa"/>
          <w:bottom w:w="28" w:type="dxa"/>
          <w:right w:w="15" w:type="dxa"/>
        </w:tblCellMar>
      </w:tblPr>
      <w:tblGrid>
        <w:gridCol w:w="556"/>
        <w:gridCol w:w="453"/>
        <w:gridCol w:w="7201"/>
        <w:gridCol w:w="952"/>
      </w:tblGrid>
      <w:tr>
        <w:tblPrEx>
          <w:tblCellMar>
            <w:top w:w="28" w:type="dxa"/>
            <w:left w:w="15" w:type="dxa"/>
            <w:bottom w:w="28" w:type="dxa"/>
            <w:right w:w="15" w:type="dxa"/>
          </w:tblCellMar>
        </w:tblPrEx>
        <w:trPr>
          <w:trHeight w:val="140" w:hRule="atLeast"/>
          <w:jc w:val="center"/>
        </w:trPr>
        <w:tc>
          <w:tcPr>
            <w:tcW w:w="556" w:type="dxa"/>
            <w:tcBorders>
              <w:top w:val="single" w:color="auto" w:sz="4" w:space="0"/>
              <w:left w:val="single" w:color="000000" w:sz="4" w:space="0"/>
              <w:bottom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序号</w:t>
            </w:r>
          </w:p>
        </w:tc>
        <w:tc>
          <w:tcPr>
            <w:tcW w:w="453" w:type="dxa"/>
            <w:tcBorders>
              <w:top w:val="single" w:color="auto" w:sz="4" w:space="0"/>
              <w:left w:val="single" w:color="000000" w:sz="4" w:space="0"/>
              <w:bottom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内容</w:t>
            </w:r>
          </w:p>
        </w:tc>
        <w:tc>
          <w:tcPr>
            <w:tcW w:w="7201" w:type="dxa"/>
            <w:tcBorders>
              <w:top w:val="single" w:color="auto" w:sz="4" w:space="0"/>
              <w:left w:val="single" w:color="000000" w:sz="4" w:space="0"/>
              <w:bottom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考评内容</w:t>
            </w:r>
          </w:p>
        </w:tc>
        <w:tc>
          <w:tcPr>
            <w:tcW w:w="952" w:type="dxa"/>
            <w:tcBorders>
              <w:top w:val="single" w:color="auto" w:sz="4" w:space="0"/>
              <w:left w:val="single" w:color="000000" w:sz="4" w:space="0"/>
              <w:bottom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扣分标准</w:t>
            </w:r>
          </w:p>
        </w:tc>
      </w:tr>
      <w:tr>
        <w:tblPrEx>
          <w:tblCellMar>
            <w:top w:w="28" w:type="dxa"/>
            <w:left w:w="15" w:type="dxa"/>
            <w:bottom w:w="28" w:type="dxa"/>
            <w:right w:w="15" w:type="dxa"/>
          </w:tblCellMar>
        </w:tblPrEx>
        <w:trPr>
          <w:jc w:val="center"/>
        </w:trPr>
        <w:tc>
          <w:tcPr>
            <w:tcW w:w="556" w:type="dxa"/>
            <w:vMerge w:val="restart"/>
            <w:tcBorders>
              <w:top w:val="single" w:color="000000" w:sz="4" w:space="0"/>
              <w:left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1</w:t>
            </w:r>
          </w:p>
        </w:tc>
        <w:tc>
          <w:tcPr>
            <w:tcW w:w="453" w:type="dxa"/>
            <w:vMerge w:val="restart"/>
            <w:tcBorders>
              <w:top w:val="single" w:color="000000" w:sz="4" w:space="0"/>
              <w:left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人员配备</w:t>
            </w: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人员、岗位配置合理，配备的人员符合有关用工规定，满足岗位要求，应持证的持证上岗；整个队伍保持稳定，人员流动率小于20%/年；</w:t>
            </w:r>
          </w:p>
        </w:tc>
        <w:tc>
          <w:tcPr>
            <w:tcW w:w="952" w:type="dxa"/>
            <w:vMerge w:val="restart"/>
            <w:tcBorders>
              <w:top w:val="single" w:color="000000" w:sz="4" w:space="0"/>
              <w:left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每发现一例扣1分</w:t>
            </w: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消控人员经政审合格，持证上岗，了解设备工作原理，能处理一些简单问题，熟悉掌握操作规程，及时消除故障；</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一般岗位：男性身高1.72米，体重55公斤以上，女性身高1.6米、体重45公斤以上，具有高中以上学历，45周岁以下（经验丰富者、退伍军人、管理者可适当放宽），女性身高达到1.6米以上，女性安保人人员比例不超过7%；</w:t>
            </w:r>
          </w:p>
          <w:p>
            <w:pPr>
              <w:textAlignment w:val="center"/>
              <w:rPr>
                <w:rFonts w:ascii="仿宋" w:hAnsi="仿宋" w:eastAsia="仿宋" w:cs="宋体"/>
                <w:sz w:val="20"/>
              </w:rPr>
            </w:pPr>
            <w:r>
              <w:rPr>
                <w:rFonts w:hint="eastAsia" w:ascii="仿宋" w:hAnsi="仿宋" w:eastAsia="仿宋" w:cs="宋体"/>
                <w:sz w:val="20"/>
              </w:rPr>
              <w:t>重点岗位：男性，40周岁以内，身高175cm以上，高中及以上学历。</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2</w:t>
            </w:r>
          </w:p>
        </w:tc>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制度建设</w:t>
            </w: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消防安全管理、巡逻检查、门卫管理、车辆管理、秩序管理等制度完善；</w:t>
            </w:r>
          </w:p>
        </w:tc>
        <w:tc>
          <w:tcPr>
            <w:tcW w:w="952" w:type="dxa"/>
            <w:vMerge w:val="restart"/>
            <w:tcBorders>
              <w:top w:val="single" w:color="000000" w:sz="4" w:space="0"/>
              <w:left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每发现一例扣1分</w:t>
            </w:r>
          </w:p>
        </w:tc>
      </w:tr>
      <w:tr>
        <w:tblPrEx>
          <w:tblCellMar>
            <w:top w:w="28" w:type="dxa"/>
            <w:left w:w="15" w:type="dxa"/>
            <w:bottom w:w="28" w:type="dxa"/>
            <w:right w:w="15" w:type="dxa"/>
          </w:tblCellMar>
        </w:tblPrEx>
        <w:trPr>
          <w:trHeight w:val="445"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管理人员分工明确、合理，岗位职责明确，落实到位，能根据实际情况和要求对制度进行更新；</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人员守则、纪律、权限、保密制度完善；</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交接班制度、考勤制度、物资管理制度完善，记录齐全；</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消控室制度、监控室制度、电视监控系统的维护管理制度完善；</w:t>
            </w:r>
          </w:p>
        </w:tc>
        <w:tc>
          <w:tcPr>
            <w:tcW w:w="952" w:type="dxa"/>
            <w:vMerge w:val="continue"/>
            <w:tcBorders>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3</w:t>
            </w:r>
          </w:p>
        </w:tc>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管理成效</w:t>
            </w: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每一个队员熟悉各项制度，尤其是与自身岗位相关的制度；</w:t>
            </w:r>
          </w:p>
        </w:tc>
        <w:tc>
          <w:tcPr>
            <w:tcW w:w="952" w:type="dxa"/>
            <w:vMerge w:val="restart"/>
            <w:tcBorders>
              <w:top w:val="single" w:color="000000" w:sz="4" w:space="0"/>
              <w:left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每发现一例扣1分</w:t>
            </w: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各类登记本记录完整、清晰、准确，各类台帐齐完；</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保安人员各项教育、专业技能培训有计划进行，落实到位，有成效；</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穿着统一的制服及许可装饰品，需经审核同意；装备设施良好，满足要求；</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人员进出、工资备案及时，重要人事变动要提前报备；</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trHeight w:val="213"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定期向队员了解工作意见和建议，向业主汇报工作，对发现问题及时处理并上报，形成畅通的沟通渠道；</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trHeight w:val="377"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遇突发事件或安全检查时，积极配合有关部门执行任务，并指定专职人员协助工作，直至完成任务；</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管理层以身作则，经常性开展认真检查和指导，发现问题及时整改或报告；</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宋体"/>
                <w:sz w:val="20"/>
              </w:rPr>
            </w:pPr>
            <w:r>
              <w:rPr>
                <w:rFonts w:hint="eastAsia" w:ascii="仿宋" w:hAnsi="仿宋" w:eastAsia="仿宋" w:cs="宋体"/>
                <w:sz w:val="20"/>
              </w:rPr>
              <w:t>有稳定有效的提升人员素质的考核激励办法和具体措施，履行、落实到位；</w:t>
            </w:r>
          </w:p>
        </w:tc>
        <w:tc>
          <w:tcPr>
            <w:tcW w:w="952" w:type="dxa"/>
            <w:vMerge w:val="continue"/>
            <w:tcBorders>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4</w:t>
            </w:r>
          </w:p>
        </w:tc>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日常服务情况</w:t>
            </w:r>
          </w:p>
        </w:tc>
        <w:tc>
          <w:tcPr>
            <w:tcW w:w="7201" w:type="dxa"/>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textAlignment w:val="center"/>
              <w:rPr>
                <w:rFonts w:ascii="仿宋" w:hAnsi="仿宋" w:eastAsia="仿宋" w:cs="宋体"/>
                <w:szCs w:val="21"/>
              </w:rPr>
            </w:pPr>
            <w:r>
              <w:rPr>
                <w:rFonts w:hint="eastAsia" w:ascii="仿宋" w:hAnsi="仿宋" w:eastAsia="仿宋" w:cs="宋体"/>
                <w:szCs w:val="21"/>
              </w:rPr>
              <w:t>管理区域内工作生活秩序正常；</w:t>
            </w:r>
          </w:p>
        </w:tc>
        <w:tc>
          <w:tcPr>
            <w:tcW w:w="952" w:type="dxa"/>
            <w:vMerge w:val="restart"/>
            <w:tcBorders>
              <w:top w:val="single" w:color="000000" w:sz="4" w:space="0"/>
              <w:left w:val="single" w:color="000000" w:sz="4" w:space="0"/>
              <w:right w:val="single" w:color="000000" w:sz="4" w:space="0"/>
            </w:tcBorders>
            <w:vAlign w:val="center"/>
          </w:tcPr>
          <w:p>
            <w:pPr>
              <w:adjustRightInd w:val="0"/>
              <w:spacing w:line="280" w:lineRule="exact"/>
              <w:jc w:val="center"/>
              <w:textAlignment w:val="center"/>
              <w:rPr>
                <w:rFonts w:ascii="仿宋" w:hAnsi="仿宋" w:eastAsia="仿宋" w:cs="宋体"/>
                <w:szCs w:val="21"/>
              </w:rPr>
            </w:pPr>
            <w:r>
              <w:rPr>
                <w:rFonts w:hint="eastAsia" w:ascii="仿宋" w:hAnsi="仿宋" w:eastAsia="仿宋" w:cs="宋体"/>
                <w:szCs w:val="21"/>
              </w:rPr>
              <w:t>每发现一例扣1分</w:t>
            </w: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textAlignment w:val="center"/>
              <w:rPr>
                <w:rFonts w:ascii="仿宋" w:hAnsi="仿宋" w:eastAsia="仿宋" w:cs="宋体"/>
                <w:szCs w:val="21"/>
              </w:rPr>
            </w:pPr>
            <w:r>
              <w:rPr>
                <w:rFonts w:hint="eastAsia" w:ascii="仿宋" w:hAnsi="仿宋" w:eastAsia="仿宋" w:cs="宋体"/>
                <w:szCs w:val="21"/>
              </w:rPr>
              <w:t>监控工作到位，按时做好消防巡查，消防装置完好；</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textAlignment w:val="center"/>
              <w:rPr>
                <w:rFonts w:ascii="仿宋" w:hAnsi="仿宋" w:eastAsia="仿宋" w:cs="宋体"/>
                <w:szCs w:val="21"/>
              </w:rPr>
            </w:pPr>
            <w:r>
              <w:rPr>
                <w:rFonts w:hint="eastAsia" w:ascii="仿宋" w:hAnsi="仿宋" w:eastAsia="仿宋" w:cs="宋体"/>
                <w:szCs w:val="21"/>
              </w:rPr>
              <w:t>维持停车库（场）秩序（含锈山路段停车场）良好；</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textAlignment w:val="center"/>
              <w:rPr>
                <w:rFonts w:ascii="仿宋" w:hAnsi="仿宋" w:eastAsia="仿宋" w:cs="宋体"/>
                <w:szCs w:val="21"/>
              </w:rPr>
            </w:pPr>
            <w:r>
              <w:rPr>
                <w:rFonts w:hint="eastAsia" w:ascii="仿宋" w:hAnsi="仿宋" w:eastAsia="仿宋" w:cs="宋体"/>
                <w:szCs w:val="21"/>
              </w:rPr>
              <w:t>人员、车辆及物资出入管理，大楼内重要部位和附属设备的安全管理到位；</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textAlignment w:val="center"/>
              <w:rPr>
                <w:rFonts w:ascii="仿宋" w:hAnsi="仿宋" w:eastAsia="仿宋" w:cs="宋体"/>
                <w:szCs w:val="21"/>
              </w:rPr>
            </w:pPr>
            <w:r>
              <w:rPr>
                <w:rFonts w:hint="eastAsia" w:ascii="仿宋" w:hAnsi="仿宋" w:eastAsia="仿宋" w:cs="宋体"/>
                <w:szCs w:val="21"/>
              </w:rPr>
              <w:t>服务良好，执勤文明，廉洁自律；</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textAlignment w:val="center"/>
              <w:rPr>
                <w:rFonts w:ascii="仿宋" w:hAnsi="仿宋" w:eastAsia="仿宋" w:cs="宋体"/>
                <w:szCs w:val="21"/>
              </w:rPr>
            </w:pPr>
            <w:r>
              <w:rPr>
                <w:rFonts w:hint="eastAsia" w:ascii="仿宋" w:hAnsi="仿宋" w:eastAsia="仿宋" w:cs="宋体"/>
                <w:szCs w:val="21"/>
              </w:rPr>
              <w:t>及时、出色的完成业主交办的临时性任务；</w:t>
            </w:r>
          </w:p>
        </w:tc>
        <w:tc>
          <w:tcPr>
            <w:tcW w:w="952" w:type="dxa"/>
            <w:vMerge w:val="continue"/>
            <w:tcBorders>
              <w:left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trHeight w:val="415" w:hRule="atLeast"/>
          <w:jc w:val="center"/>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c>
          <w:tcPr>
            <w:tcW w:w="7201" w:type="dxa"/>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textAlignment w:val="center"/>
              <w:rPr>
                <w:rFonts w:ascii="仿宋" w:hAnsi="仿宋" w:eastAsia="仿宋" w:cs="宋体"/>
                <w:szCs w:val="21"/>
              </w:rPr>
            </w:pPr>
            <w:r>
              <w:rPr>
                <w:rFonts w:hint="eastAsia" w:ascii="仿宋" w:hAnsi="仿宋" w:eastAsia="仿宋" w:cs="宋体"/>
                <w:szCs w:val="21"/>
              </w:rPr>
              <w:t>意外突发事件处置和报告正确、及时，避免或减少损失、危害，能堵截、防范案件、事故；</w:t>
            </w:r>
          </w:p>
        </w:tc>
        <w:tc>
          <w:tcPr>
            <w:tcW w:w="952" w:type="dxa"/>
            <w:vMerge w:val="continue"/>
            <w:tcBorders>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p>
        </w:tc>
      </w:tr>
      <w:tr>
        <w:tblPrEx>
          <w:tblCellMar>
            <w:top w:w="28" w:type="dxa"/>
            <w:left w:w="15" w:type="dxa"/>
            <w:bottom w:w="28" w:type="dxa"/>
            <w:right w:w="15" w:type="dxa"/>
          </w:tblCellMar>
        </w:tblPrEx>
        <w:trPr>
          <w:trHeight w:val="257" w:hRule="atLeast"/>
          <w:jc w:val="center"/>
        </w:trPr>
        <w:tc>
          <w:tcPr>
            <w:tcW w:w="556" w:type="dxa"/>
            <w:vMerge w:val="continue"/>
            <w:tcBorders>
              <w:left w:val="single" w:color="000000" w:sz="4" w:space="0"/>
              <w:bottom w:val="single" w:color="000000" w:sz="4" w:space="0"/>
              <w:right w:val="single" w:color="000000" w:sz="4" w:space="0"/>
            </w:tcBorders>
            <w:vAlign w:val="center"/>
          </w:tcPr>
          <w:p>
            <w:pPr>
              <w:adjustRightInd w:val="0"/>
              <w:spacing w:line="280" w:lineRule="exact"/>
              <w:textAlignment w:val="center"/>
              <w:rPr>
                <w:rFonts w:ascii="Calibri" w:hAnsi="Calibri" w:cs="宋体"/>
              </w:rPr>
            </w:pPr>
          </w:p>
        </w:tc>
        <w:tc>
          <w:tcPr>
            <w:tcW w:w="453" w:type="dxa"/>
            <w:vMerge w:val="continue"/>
            <w:tcBorders>
              <w:left w:val="single" w:color="000000" w:sz="4" w:space="0"/>
              <w:bottom w:val="single" w:color="000000" w:sz="4" w:space="0"/>
              <w:right w:val="single" w:color="000000" w:sz="4" w:space="0"/>
            </w:tcBorders>
            <w:vAlign w:val="center"/>
          </w:tcPr>
          <w:p>
            <w:pPr>
              <w:adjustRightInd w:val="0"/>
              <w:spacing w:line="280" w:lineRule="exact"/>
              <w:textAlignment w:val="center"/>
              <w:rPr>
                <w:rFonts w:ascii="Calibri" w:hAnsi="Calibri" w:cs="宋体"/>
              </w:rPr>
            </w:pPr>
          </w:p>
        </w:tc>
        <w:tc>
          <w:tcPr>
            <w:tcW w:w="7201" w:type="dxa"/>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textAlignment w:val="center"/>
              <w:rPr>
                <w:rFonts w:ascii="仿宋" w:hAnsi="仿宋" w:eastAsia="仿宋" w:cs="宋体"/>
                <w:szCs w:val="21"/>
              </w:rPr>
            </w:pPr>
            <w:r>
              <w:rPr>
                <w:rFonts w:hint="eastAsia" w:ascii="仿宋" w:hAnsi="仿宋" w:eastAsia="仿宋" w:cs="宋体"/>
                <w:szCs w:val="21"/>
              </w:rPr>
              <w:t>监视监控、日常巡查、消防管理等日常管理到位的；</w:t>
            </w:r>
          </w:p>
        </w:tc>
        <w:tc>
          <w:tcPr>
            <w:tcW w:w="952" w:type="dxa"/>
            <w:vMerge w:val="continue"/>
            <w:tcBorders>
              <w:left w:val="single" w:color="000000" w:sz="4" w:space="0"/>
              <w:bottom w:val="single" w:color="000000" w:sz="4" w:space="0"/>
              <w:right w:val="single" w:color="000000" w:sz="4" w:space="0"/>
            </w:tcBorders>
            <w:vAlign w:val="center"/>
          </w:tcPr>
          <w:p>
            <w:pPr>
              <w:adjustRightInd w:val="0"/>
              <w:spacing w:line="280" w:lineRule="exact"/>
              <w:textAlignment w:val="center"/>
              <w:rPr>
                <w:rFonts w:ascii="仿宋" w:hAnsi="仿宋" w:eastAsia="仿宋" w:cs="宋体"/>
                <w:szCs w:val="21"/>
              </w:rPr>
            </w:pPr>
          </w:p>
        </w:tc>
      </w:tr>
      <w:tr>
        <w:tblPrEx>
          <w:tblCellMar>
            <w:top w:w="28" w:type="dxa"/>
            <w:left w:w="15" w:type="dxa"/>
            <w:bottom w:w="28" w:type="dxa"/>
            <w:right w:w="15" w:type="dxa"/>
          </w:tblCellMar>
        </w:tblPrEx>
        <w:trPr>
          <w:trHeight w:val="96" w:hRule="atLeast"/>
          <w:jc w:val="center"/>
        </w:trPr>
        <w:tc>
          <w:tcPr>
            <w:tcW w:w="916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line="280" w:lineRule="exact"/>
              <w:jc w:val="center"/>
              <w:rPr>
                <w:rFonts w:ascii="仿宋" w:hAnsi="仿宋" w:eastAsia="仿宋" w:cs="宋体"/>
                <w:szCs w:val="21"/>
              </w:rPr>
            </w:pPr>
            <w:r>
              <w:rPr>
                <w:rFonts w:hint="eastAsia" w:ascii="仿宋" w:hAnsi="仿宋" w:eastAsia="仿宋" w:cs="宋体"/>
                <w:szCs w:val="21"/>
              </w:rPr>
              <w:t>总分值80分，每发现一个不符合项，扣1分。</w:t>
            </w:r>
          </w:p>
        </w:tc>
      </w:tr>
    </w:tbl>
    <w:p>
      <w:pPr>
        <w:adjustRightInd w:val="0"/>
        <w:snapToGrid w:val="0"/>
        <w:spacing w:line="440" w:lineRule="exact"/>
        <w:rPr>
          <w:rFonts w:ascii="仿宋" w:hAnsi="仿宋" w:eastAsia="仿宋" w:cs="宋体"/>
          <w:sz w:val="28"/>
          <w:szCs w:val="28"/>
        </w:rPr>
      </w:pPr>
      <w:r>
        <w:rPr>
          <w:rFonts w:hint="eastAsia" w:ascii="仿宋" w:hAnsi="仿宋" w:eastAsia="仿宋" w:cs="宋体"/>
          <w:sz w:val="28"/>
          <w:szCs w:val="28"/>
        </w:rPr>
        <w:t>表5：</w:t>
      </w:r>
    </w:p>
    <w:p>
      <w:pPr>
        <w:adjustRightInd w:val="0"/>
        <w:snapToGrid w:val="0"/>
        <w:spacing w:afterLines="50" w:line="440" w:lineRule="exact"/>
        <w:jc w:val="center"/>
        <w:rPr>
          <w:rFonts w:ascii="宋体" w:hAnsi="宋体" w:cs="宋体"/>
          <w:b/>
          <w:sz w:val="32"/>
          <w:szCs w:val="32"/>
        </w:rPr>
      </w:pPr>
      <w:r>
        <w:rPr>
          <w:rFonts w:hint="eastAsia" w:ascii="宋体" w:hAnsi="宋体" w:cs="宋体"/>
          <w:b/>
          <w:bCs/>
          <w:sz w:val="32"/>
          <w:szCs w:val="32"/>
        </w:rPr>
        <w:t>龙湾区安保服务加减分考核细则</w:t>
      </w:r>
    </w:p>
    <w:tbl>
      <w:tblPr>
        <w:tblStyle w:val="37"/>
        <w:tblW w:w="8678" w:type="dxa"/>
        <w:tblInd w:w="157" w:type="dxa"/>
        <w:tblLayout w:type="fixed"/>
        <w:tblCellMar>
          <w:top w:w="15" w:type="dxa"/>
          <w:left w:w="15" w:type="dxa"/>
          <w:bottom w:w="15" w:type="dxa"/>
          <w:right w:w="15" w:type="dxa"/>
        </w:tblCellMar>
      </w:tblPr>
      <w:tblGrid>
        <w:gridCol w:w="477"/>
        <w:gridCol w:w="597"/>
        <w:gridCol w:w="6737"/>
        <w:gridCol w:w="867"/>
      </w:tblGrid>
      <w:tr>
        <w:tblPrEx>
          <w:tblCellMar>
            <w:top w:w="15" w:type="dxa"/>
            <w:left w:w="15" w:type="dxa"/>
            <w:bottom w:w="15" w:type="dxa"/>
            <w:right w:w="15" w:type="dxa"/>
          </w:tblCellMar>
        </w:tblPrEx>
        <w:trPr>
          <w:trHeight w:val="385" w:hRule="atLeast"/>
        </w:trPr>
        <w:tc>
          <w:tcPr>
            <w:tcW w:w="47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黑体"/>
                <w:szCs w:val="21"/>
              </w:rPr>
            </w:pPr>
            <w:r>
              <w:rPr>
                <w:rFonts w:hint="eastAsia" w:ascii="仿宋" w:hAnsi="仿宋" w:eastAsia="仿宋" w:cs="黑体"/>
                <w:szCs w:val="21"/>
              </w:rPr>
              <w:t>序号</w:t>
            </w:r>
          </w:p>
        </w:tc>
        <w:tc>
          <w:tcPr>
            <w:tcW w:w="59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黑体"/>
                <w:szCs w:val="21"/>
              </w:rPr>
            </w:pPr>
            <w:r>
              <w:rPr>
                <w:rFonts w:hint="eastAsia" w:ascii="仿宋" w:hAnsi="仿宋" w:eastAsia="仿宋" w:cs="黑体"/>
                <w:szCs w:val="21"/>
              </w:rPr>
              <w:t>内容</w:t>
            </w:r>
          </w:p>
        </w:tc>
        <w:tc>
          <w:tcPr>
            <w:tcW w:w="673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黑体"/>
                <w:szCs w:val="21"/>
              </w:rPr>
            </w:pPr>
            <w:r>
              <w:rPr>
                <w:rFonts w:hint="eastAsia" w:ascii="仿宋" w:hAnsi="仿宋" w:eastAsia="仿宋" w:cs="黑体"/>
                <w:szCs w:val="21"/>
              </w:rPr>
              <w:t>考评内容</w:t>
            </w:r>
          </w:p>
        </w:tc>
        <w:tc>
          <w:tcPr>
            <w:tcW w:w="86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黑体"/>
                <w:szCs w:val="21"/>
              </w:rPr>
            </w:pPr>
            <w:r>
              <w:rPr>
                <w:rFonts w:hint="eastAsia" w:ascii="仿宋" w:hAnsi="仿宋" w:eastAsia="仿宋" w:cs="黑体"/>
                <w:szCs w:val="21"/>
              </w:rPr>
              <w:t>扣分标准</w:t>
            </w:r>
          </w:p>
        </w:tc>
      </w:tr>
      <w:tr>
        <w:tblPrEx>
          <w:tblCellMar>
            <w:top w:w="15" w:type="dxa"/>
            <w:left w:w="15" w:type="dxa"/>
            <w:bottom w:w="15" w:type="dxa"/>
            <w:right w:w="15" w:type="dxa"/>
          </w:tblCellMar>
        </w:tblPrEx>
        <w:trPr>
          <w:trHeight w:val="2683" w:hRule="atLeast"/>
        </w:trPr>
        <w:tc>
          <w:tcPr>
            <w:tcW w:w="47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1</w:t>
            </w:r>
          </w:p>
        </w:tc>
        <w:tc>
          <w:tcPr>
            <w:tcW w:w="59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日常督查</w:t>
            </w:r>
          </w:p>
        </w:tc>
        <w:tc>
          <w:tcPr>
            <w:tcW w:w="6737" w:type="dxa"/>
            <w:tcBorders>
              <w:top w:val="single" w:color="000000" w:sz="4" w:space="0"/>
              <w:left w:val="single" w:color="000000" w:sz="4" w:space="0"/>
              <w:bottom w:val="single" w:color="000000" w:sz="4" w:space="0"/>
              <w:right w:val="single" w:color="000000" w:sz="4" w:space="0"/>
            </w:tcBorders>
            <w:vAlign w:val="center"/>
          </w:tcPr>
          <w:p>
            <w:pPr>
              <w:numPr>
                <w:ilvl w:val="0"/>
                <w:numId w:val="8"/>
              </w:numPr>
              <w:adjustRightInd w:val="0"/>
              <w:textAlignment w:val="center"/>
              <w:rPr>
                <w:rFonts w:ascii="仿宋" w:hAnsi="仿宋" w:eastAsia="仿宋" w:cs="新宋体"/>
                <w:szCs w:val="21"/>
              </w:rPr>
            </w:pPr>
            <w:r>
              <w:rPr>
                <w:rFonts w:hint="eastAsia" w:ascii="仿宋" w:hAnsi="仿宋" w:eastAsia="仿宋" w:cs="新宋体"/>
                <w:szCs w:val="21"/>
              </w:rPr>
              <w:t>因员工个人素质、工作能力、服务态度等原因，影响大楼正常办公或造成损失的，</w:t>
            </w:r>
            <w:r>
              <w:rPr>
                <w:rFonts w:hint="eastAsia" w:ascii="仿宋" w:hAnsi="仿宋" w:eastAsia="仿宋" w:cs="宋体"/>
                <w:szCs w:val="21"/>
              </w:rPr>
              <w:t>受到通报批评，被有效投诉或被第三方单位报道引发信访的，扣0.5-1.5分；</w:t>
            </w:r>
          </w:p>
          <w:p>
            <w:pPr>
              <w:numPr>
                <w:ilvl w:val="0"/>
                <w:numId w:val="8"/>
              </w:numPr>
              <w:adjustRightInd w:val="0"/>
              <w:textAlignment w:val="center"/>
              <w:rPr>
                <w:rFonts w:ascii="仿宋" w:hAnsi="仿宋" w:eastAsia="仿宋" w:cs="新宋体"/>
                <w:szCs w:val="21"/>
              </w:rPr>
            </w:pPr>
            <w:r>
              <w:rPr>
                <w:rFonts w:hint="eastAsia" w:ascii="仿宋" w:hAnsi="仿宋" w:eastAsia="仿宋" w:cs="宋体"/>
                <w:szCs w:val="21"/>
              </w:rPr>
              <w:t>工作成绩突出，好人好事受表扬的，加0.5-1.5；</w:t>
            </w:r>
          </w:p>
          <w:p>
            <w:pPr>
              <w:numPr>
                <w:ilvl w:val="0"/>
                <w:numId w:val="8"/>
              </w:numPr>
              <w:adjustRightInd w:val="0"/>
              <w:textAlignment w:val="center"/>
              <w:rPr>
                <w:rFonts w:ascii="仿宋" w:hAnsi="仿宋" w:eastAsia="仿宋" w:cs="新宋体"/>
                <w:szCs w:val="21"/>
              </w:rPr>
            </w:pPr>
            <w:r>
              <w:rPr>
                <w:rFonts w:hint="eastAsia" w:ascii="仿宋" w:hAnsi="仿宋" w:eastAsia="仿宋" w:cs="新宋体"/>
                <w:szCs w:val="21"/>
              </w:rPr>
              <w:t>定期人员岗位巡查，采取定期与不定期、明查和暗访等方式进行督查，发现缺勤或在岗违规行为的，每次扣0.5分；</w:t>
            </w:r>
          </w:p>
        </w:tc>
        <w:tc>
          <w:tcPr>
            <w:tcW w:w="86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仿宋" w:hAnsi="仿宋" w:eastAsia="仿宋" w:cs="宋体"/>
                <w:szCs w:val="21"/>
              </w:rPr>
            </w:pPr>
          </w:p>
        </w:tc>
      </w:tr>
      <w:tr>
        <w:trPr>
          <w:trHeight w:val="1703" w:hRule="atLeast"/>
        </w:trPr>
        <w:tc>
          <w:tcPr>
            <w:tcW w:w="47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2</w:t>
            </w:r>
          </w:p>
        </w:tc>
        <w:tc>
          <w:tcPr>
            <w:tcW w:w="59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问题整改</w:t>
            </w:r>
          </w:p>
        </w:tc>
        <w:tc>
          <w:tcPr>
            <w:tcW w:w="6737" w:type="dxa"/>
            <w:tcBorders>
              <w:top w:val="single" w:color="000000" w:sz="4" w:space="0"/>
              <w:left w:val="single" w:color="000000" w:sz="4" w:space="0"/>
              <w:bottom w:val="single" w:color="000000" w:sz="4" w:space="0"/>
              <w:right w:val="single" w:color="000000" w:sz="4" w:space="0"/>
            </w:tcBorders>
            <w:vAlign w:val="center"/>
          </w:tcPr>
          <w:p>
            <w:pPr>
              <w:adjustRightInd w:val="0"/>
              <w:textAlignment w:val="center"/>
              <w:rPr>
                <w:rFonts w:ascii="仿宋" w:hAnsi="仿宋" w:eastAsia="仿宋" w:cs="新宋体"/>
                <w:szCs w:val="21"/>
              </w:rPr>
            </w:pPr>
            <w:r>
              <w:rPr>
                <w:rFonts w:hint="eastAsia" w:ascii="仿宋" w:hAnsi="仿宋" w:eastAsia="仿宋" w:cs="新宋体"/>
                <w:szCs w:val="21"/>
              </w:rPr>
              <w:t>1、日常巡查发现问题的，核实后，以整改通知单形式告知标段，未按时处理或未处理无说明回复的，酌情扣分0.5-3分；</w:t>
            </w:r>
          </w:p>
          <w:p>
            <w:pPr>
              <w:adjustRightInd w:val="0"/>
              <w:textAlignment w:val="center"/>
              <w:rPr>
                <w:rFonts w:ascii="仿宋" w:hAnsi="仿宋" w:eastAsia="仿宋"/>
                <w:sz w:val="22"/>
                <w:szCs w:val="21"/>
              </w:rPr>
            </w:pPr>
            <w:r>
              <w:rPr>
                <w:rFonts w:hint="eastAsia" w:ascii="仿宋" w:hAnsi="仿宋" w:eastAsia="仿宋" w:cs="新宋体"/>
                <w:szCs w:val="21"/>
              </w:rPr>
              <w:t>2、第三方投诉、第三方质检问题反馈、12345信访件等，以整改通知单形式告知标段，但不能及时整改的，酌情扣分0.5-3分；</w:t>
            </w:r>
          </w:p>
        </w:tc>
        <w:tc>
          <w:tcPr>
            <w:tcW w:w="86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仿宋" w:hAnsi="仿宋" w:eastAsia="仿宋" w:cs="宋体"/>
                <w:szCs w:val="21"/>
              </w:rPr>
            </w:pPr>
          </w:p>
        </w:tc>
      </w:tr>
      <w:tr>
        <w:trPr>
          <w:trHeight w:val="1575" w:hRule="atLeast"/>
        </w:trPr>
        <w:tc>
          <w:tcPr>
            <w:tcW w:w="47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3</w:t>
            </w:r>
          </w:p>
        </w:tc>
        <w:tc>
          <w:tcPr>
            <w:tcW w:w="59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专项活动</w:t>
            </w:r>
          </w:p>
        </w:tc>
        <w:tc>
          <w:tcPr>
            <w:tcW w:w="6737" w:type="dxa"/>
            <w:tcBorders>
              <w:top w:val="single" w:color="000000" w:sz="4" w:space="0"/>
              <w:left w:val="single" w:color="000000" w:sz="4" w:space="0"/>
              <w:bottom w:val="single" w:color="000000" w:sz="4" w:space="0"/>
              <w:right w:val="single" w:color="000000" w:sz="4" w:space="0"/>
            </w:tcBorders>
            <w:vAlign w:val="center"/>
          </w:tcPr>
          <w:p>
            <w:pPr>
              <w:adjustRightInd w:val="0"/>
              <w:textAlignment w:val="center"/>
              <w:rPr>
                <w:rFonts w:ascii="仿宋" w:hAnsi="仿宋" w:eastAsia="仿宋" w:cs="宋体"/>
                <w:szCs w:val="21"/>
              </w:rPr>
            </w:pPr>
            <w:r>
              <w:rPr>
                <w:rFonts w:hint="eastAsia" w:ascii="仿宋" w:hAnsi="仿宋" w:eastAsia="仿宋"/>
                <w:sz w:val="22"/>
                <w:szCs w:val="21"/>
              </w:rPr>
              <w:t>1、</w:t>
            </w:r>
            <w:r>
              <w:rPr>
                <w:rFonts w:hint="eastAsia" w:ascii="仿宋" w:hAnsi="仿宋" w:eastAsia="仿宋" w:cs="宋体"/>
                <w:szCs w:val="21"/>
              </w:rPr>
              <w:t>考核小组每月初按照上报的优质项目赋分，根据每月优质项目完成情况，酌情进行加减分，共计不超过10分；</w:t>
            </w:r>
          </w:p>
          <w:p>
            <w:pPr>
              <w:adjustRightInd w:val="0"/>
              <w:textAlignment w:val="center"/>
              <w:rPr>
                <w:rFonts w:ascii="仿宋" w:hAnsi="仿宋" w:eastAsia="仿宋"/>
                <w:sz w:val="22"/>
                <w:szCs w:val="21"/>
              </w:rPr>
            </w:pPr>
            <w:r>
              <w:rPr>
                <w:rFonts w:hint="eastAsia" w:ascii="仿宋" w:hAnsi="仿宋" w:eastAsia="仿宋" w:cs="宋体"/>
                <w:szCs w:val="21"/>
              </w:rPr>
              <w:t>2、当月区委、区政府举办的大型或重要活动保障情况，视情况进行加减分，每项加1-5分。</w:t>
            </w:r>
          </w:p>
        </w:tc>
        <w:tc>
          <w:tcPr>
            <w:tcW w:w="86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仿宋" w:hAnsi="仿宋" w:eastAsia="仿宋" w:cs="宋体"/>
                <w:szCs w:val="21"/>
              </w:rPr>
            </w:pPr>
          </w:p>
        </w:tc>
      </w:tr>
      <w:tr>
        <w:trPr>
          <w:trHeight w:val="3483" w:hRule="atLeast"/>
        </w:trPr>
        <w:tc>
          <w:tcPr>
            <w:tcW w:w="47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4</w:t>
            </w:r>
          </w:p>
        </w:tc>
        <w:tc>
          <w:tcPr>
            <w:tcW w:w="59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仿宋" w:hAnsi="仿宋" w:eastAsia="仿宋" w:cs="宋体"/>
                <w:szCs w:val="21"/>
              </w:rPr>
            </w:pPr>
            <w:r>
              <w:rPr>
                <w:rFonts w:hint="eastAsia" w:ascii="仿宋" w:hAnsi="仿宋" w:eastAsia="仿宋" w:cs="宋体"/>
                <w:szCs w:val="21"/>
              </w:rPr>
              <w:t>领导批示</w:t>
            </w:r>
          </w:p>
        </w:tc>
        <w:tc>
          <w:tcPr>
            <w:tcW w:w="6737" w:type="dxa"/>
            <w:tcBorders>
              <w:top w:val="single" w:color="000000" w:sz="4" w:space="0"/>
              <w:left w:val="single" w:color="000000" w:sz="4" w:space="0"/>
              <w:bottom w:val="single" w:color="000000" w:sz="4" w:space="0"/>
              <w:right w:val="single" w:color="000000" w:sz="4" w:space="0"/>
            </w:tcBorders>
            <w:vAlign w:val="center"/>
          </w:tcPr>
          <w:p>
            <w:pPr>
              <w:adjustRightInd w:val="0"/>
              <w:textAlignment w:val="center"/>
              <w:rPr>
                <w:rFonts w:ascii="仿宋" w:hAnsi="仿宋" w:eastAsia="仿宋" w:cs="新宋体"/>
                <w:szCs w:val="21"/>
              </w:rPr>
            </w:pPr>
            <w:r>
              <w:rPr>
                <w:rFonts w:hint="eastAsia" w:ascii="仿宋" w:hAnsi="仿宋" w:eastAsia="仿宋" w:cs="新宋体"/>
                <w:szCs w:val="21"/>
              </w:rPr>
              <w:t>1、发生事件造成重大影响的，区领导有口头或书面指示的，视造成后果情况，依次扣15-20分；</w:t>
            </w:r>
          </w:p>
          <w:p>
            <w:pPr>
              <w:adjustRightInd w:val="0"/>
              <w:textAlignment w:val="center"/>
              <w:rPr>
                <w:rFonts w:ascii="仿宋" w:hAnsi="仿宋" w:eastAsia="仿宋" w:cs="新宋体"/>
                <w:szCs w:val="21"/>
              </w:rPr>
            </w:pPr>
            <w:r>
              <w:rPr>
                <w:rFonts w:hint="eastAsia" w:ascii="仿宋" w:hAnsi="仿宋" w:eastAsia="仿宋" w:cs="新宋体"/>
                <w:szCs w:val="21"/>
              </w:rPr>
              <w:t>2、发生事件造成严重影响的，中心主要领导有口头或书面指示的，视造成后果情况，依次扣10-15分；</w:t>
            </w:r>
          </w:p>
          <w:p>
            <w:pPr>
              <w:adjustRightInd w:val="0"/>
              <w:textAlignment w:val="center"/>
              <w:rPr>
                <w:rFonts w:ascii="仿宋" w:hAnsi="仿宋" w:eastAsia="仿宋" w:cs="新宋体"/>
                <w:szCs w:val="21"/>
              </w:rPr>
            </w:pPr>
            <w:r>
              <w:rPr>
                <w:rFonts w:hint="eastAsia" w:ascii="仿宋" w:hAnsi="仿宋" w:eastAsia="仿宋" w:cs="新宋体"/>
                <w:szCs w:val="21"/>
              </w:rPr>
              <w:t>3、发生事件造成较大影响的，中心分管领导有口头或书面指示的，视造成后果情况，依次扣5-10分；</w:t>
            </w:r>
          </w:p>
          <w:p>
            <w:pPr>
              <w:adjustRightInd w:val="0"/>
              <w:textAlignment w:val="center"/>
              <w:rPr>
                <w:rFonts w:ascii="仿宋" w:hAnsi="仿宋" w:eastAsia="仿宋" w:cs="新宋体"/>
                <w:szCs w:val="21"/>
              </w:rPr>
            </w:pPr>
            <w:r>
              <w:rPr>
                <w:rFonts w:hint="eastAsia" w:ascii="仿宋" w:hAnsi="仿宋" w:eastAsia="仿宋" w:cs="新宋体"/>
                <w:szCs w:val="21"/>
              </w:rPr>
              <w:t>4、发生事件造成一般影响的，科室有口头或书面指示的，视造成后果情况，依次扣2-5分；</w:t>
            </w:r>
          </w:p>
          <w:p>
            <w:pPr>
              <w:adjustRightInd w:val="0"/>
              <w:textAlignment w:val="center"/>
              <w:rPr>
                <w:rFonts w:ascii="仿宋" w:hAnsi="仿宋" w:eastAsia="仿宋" w:cs="新宋体"/>
                <w:szCs w:val="21"/>
              </w:rPr>
            </w:pPr>
            <w:r>
              <w:rPr>
                <w:rFonts w:hint="eastAsia" w:ascii="仿宋" w:hAnsi="仿宋" w:eastAsia="仿宋" w:cs="新宋体"/>
                <w:szCs w:val="21"/>
              </w:rPr>
              <w:t>5、服务工作得到各级领导口头或书面表扬的，视情况加1-15分；</w:t>
            </w:r>
          </w:p>
        </w:tc>
        <w:tc>
          <w:tcPr>
            <w:tcW w:w="86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仿宋" w:hAnsi="仿宋" w:eastAsia="仿宋" w:cs="宋体"/>
                <w:szCs w:val="21"/>
              </w:rPr>
            </w:pPr>
          </w:p>
        </w:tc>
      </w:tr>
      <w:tr>
        <w:trPr>
          <w:trHeight w:val="794" w:hRule="atLeast"/>
        </w:trPr>
        <w:tc>
          <w:tcPr>
            <w:tcW w:w="867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仿宋" w:hAnsi="仿宋" w:eastAsia="仿宋" w:cs="宋体"/>
                <w:szCs w:val="21"/>
              </w:rPr>
            </w:pPr>
          </w:p>
        </w:tc>
      </w:tr>
    </w:tbl>
    <w:p>
      <w:pPr>
        <w:rPr>
          <w:rFonts w:ascii="仿宋" w:hAnsi="仿宋" w:eastAsia="仿宋" w:cs="宋体"/>
          <w:sz w:val="28"/>
          <w:szCs w:val="28"/>
        </w:rPr>
      </w:pPr>
      <w:r>
        <w:rPr>
          <w:rFonts w:hint="eastAsia" w:ascii="仿宋" w:hAnsi="仿宋" w:eastAsia="仿宋" w:cs="宋体"/>
          <w:sz w:val="28"/>
          <w:szCs w:val="28"/>
        </w:rPr>
        <w:br w:type="page"/>
      </w:r>
      <w:r>
        <w:rPr>
          <w:rFonts w:hint="eastAsia" w:ascii="仿宋" w:hAnsi="仿宋" w:eastAsia="仿宋" w:cs="宋体"/>
          <w:sz w:val="28"/>
          <w:szCs w:val="28"/>
        </w:rPr>
        <w:t>表6：</w:t>
      </w:r>
    </w:p>
    <w:p>
      <w:pPr>
        <w:jc w:val="center"/>
        <w:rPr>
          <w:rFonts w:ascii="宋体" w:hAnsi="宋体" w:cs="新宋体"/>
          <w:b/>
          <w:w w:val="90"/>
          <w:sz w:val="32"/>
          <w:szCs w:val="32"/>
        </w:rPr>
      </w:pPr>
      <w:r>
        <w:rPr>
          <w:rFonts w:hint="eastAsia" w:ascii="宋体" w:hAnsi="宋体" w:cs="新宋体"/>
          <w:b/>
          <w:w w:val="90"/>
          <w:sz w:val="36"/>
          <w:szCs w:val="36"/>
        </w:rPr>
        <w:t>区安保服务人员在岗及履职情况督查记录本</w:t>
      </w:r>
    </w:p>
    <w:tbl>
      <w:tblPr>
        <w:tblStyle w:val="37"/>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793"/>
        <w:gridCol w:w="680"/>
        <w:gridCol w:w="1359"/>
        <w:gridCol w:w="888"/>
        <w:gridCol w:w="1083"/>
        <w:gridCol w:w="974"/>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74" w:type="dxa"/>
            <w:vAlign w:val="center"/>
          </w:tcPr>
          <w:p>
            <w:pPr>
              <w:jc w:val="center"/>
              <w:rPr>
                <w:rFonts w:ascii="新宋体" w:hAnsi="新宋体" w:eastAsia="新宋体" w:cs="新宋体"/>
                <w:szCs w:val="21"/>
              </w:rPr>
            </w:pPr>
            <w:r>
              <w:rPr>
                <w:rFonts w:hint="eastAsia" w:ascii="新宋体" w:hAnsi="新宋体" w:eastAsia="新宋体" w:cs="新宋体"/>
                <w:szCs w:val="21"/>
              </w:rPr>
              <w:t>岗位</w:t>
            </w:r>
          </w:p>
        </w:tc>
        <w:tc>
          <w:tcPr>
            <w:tcW w:w="793" w:type="dxa"/>
            <w:vAlign w:val="center"/>
          </w:tcPr>
          <w:p>
            <w:pPr>
              <w:jc w:val="center"/>
              <w:rPr>
                <w:rFonts w:ascii="新宋体" w:hAnsi="新宋体" w:eastAsia="新宋体" w:cs="新宋体"/>
                <w:szCs w:val="21"/>
              </w:rPr>
            </w:pPr>
            <w:r>
              <w:rPr>
                <w:rFonts w:hint="eastAsia" w:ascii="新宋体" w:hAnsi="新宋体" w:eastAsia="新宋体" w:cs="新宋体"/>
                <w:szCs w:val="21"/>
              </w:rPr>
              <w:t>查岗时间</w:t>
            </w:r>
          </w:p>
        </w:tc>
        <w:tc>
          <w:tcPr>
            <w:tcW w:w="680" w:type="dxa"/>
            <w:vAlign w:val="center"/>
          </w:tcPr>
          <w:p>
            <w:pPr>
              <w:jc w:val="center"/>
              <w:rPr>
                <w:rFonts w:ascii="新宋体" w:hAnsi="新宋体" w:eastAsia="新宋体" w:cs="新宋体"/>
                <w:szCs w:val="21"/>
              </w:rPr>
            </w:pPr>
            <w:r>
              <w:rPr>
                <w:rFonts w:hint="eastAsia" w:ascii="新宋体" w:hAnsi="新宋体" w:eastAsia="新宋体" w:cs="新宋体"/>
                <w:szCs w:val="21"/>
              </w:rPr>
              <w:t>是否异常</w:t>
            </w:r>
          </w:p>
        </w:tc>
        <w:tc>
          <w:tcPr>
            <w:tcW w:w="1359" w:type="dxa"/>
            <w:vAlign w:val="center"/>
          </w:tcPr>
          <w:p>
            <w:pPr>
              <w:jc w:val="center"/>
              <w:rPr>
                <w:rFonts w:ascii="新宋体" w:hAnsi="新宋体" w:eastAsia="新宋体" w:cs="新宋体"/>
                <w:szCs w:val="21"/>
              </w:rPr>
            </w:pPr>
            <w:r>
              <w:rPr>
                <w:rFonts w:hint="eastAsia" w:ascii="新宋体" w:hAnsi="新宋体" w:eastAsia="新宋体" w:cs="新宋体"/>
                <w:szCs w:val="21"/>
              </w:rPr>
              <w:t>异常情况</w:t>
            </w:r>
          </w:p>
        </w:tc>
        <w:tc>
          <w:tcPr>
            <w:tcW w:w="888" w:type="dxa"/>
            <w:vAlign w:val="center"/>
          </w:tcPr>
          <w:p>
            <w:pPr>
              <w:jc w:val="center"/>
              <w:rPr>
                <w:rFonts w:ascii="新宋体" w:hAnsi="新宋体" w:eastAsia="新宋体" w:cs="新宋体"/>
                <w:szCs w:val="21"/>
              </w:rPr>
            </w:pPr>
            <w:r>
              <w:rPr>
                <w:rFonts w:hint="eastAsia" w:ascii="新宋体" w:hAnsi="新宋体" w:eastAsia="新宋体" w:cs="新宋体"/>
                <w:szCs w:val="21"/>
              </w:rPr>
              <w:t>应在岗人数</w:t>
            </w:r>
          </w:p>
        </w:tc>
        <w:tc>
          <w:tcPr>
            <w:tcW w:w="1083" w:type="dxa"/>
            <w:vAlign w:val="center"/>
          </w:tcPr>
          <w:p>
            <w:pPr>
              <w:jc w:val="center"/>
              <w:rPr>
                <w:rFonts w:ascii="新宋体" w:hAnsi="新宋体" w:eastAsia="新宋体" w:cs="新宋体"/>
                <w:szCs w:val="21"/>
              </w:rPr>
            </w:pPr>
            <w:r>
              <w:rPr>
                <w:rFonts w:hint="eastAsia" w:ascii="新宋体" w:hAnsi="新宋体" w:eastAsia="新宋体" w:cs="新宋体"/>
                <w:szCs w:val="21"/>
              </w:rPr>
              <w:t>实际在岗人数</w:t>
            </w:r>
          </w:p>
        </w:tc>
        <w:tc>
          <w:tcPr>
            <w:tcW w:w="974" w:type="dxa"/>
            <w:vAlign w:val="center"/>
          </w:tcPr>
          <w:p>
            <w:pPr>
              <w:jc w:val="center"/>
              <w:rPr>
                <w:rFonts w:ascii="新宋体" w:hAnsi="新宋体" w:eastAsia="新宋体" w:cs="新宋体"/>
                <w:szCs w:val="21"/>
              </w:rPr>
            </w:pPr>
            <w:r>
              <w:rPr>
                <w:rFonts w:hint="eastAsia" w:ascii="新宋体" w:hAnsi="新宋体" w:eastAsia="新宋体" w:cs="新宋体"/>
                <w:szCs w:val="21"/>
              </w:rPr>
              <w:t>在岗人员签字</w:t>
            </w:r>
          </w:p>
        </w:tc>
        <w:tc>
          <w:tcPr>
            <w:tcW w:w="2169" w:type="dxa"/>
            <w:vAlign w:val="center"/>
          </w:tcPr>
          <w:p>
            <w:pPr>
              <w:jc w:val="center"/>
              <w:rPr>
                <w:rFonts w:ascii="新宋体" w:hAnsi="新宋体" w:eastAsia="新宋体" w:cs="新宋体"/>
                <w:szCs w:val="21"/>
              </w:rPr>
            </w:pPr>
            <w:r>
              <w:rPr>
                <w:rFonts w:hint="eastAsia" w:ascii="新宋体" w:hAnsi="新宋体" w:eastAsia="新宋体" w:cs="新宋体"/>
                <w:szCs w:val="21"/>
              </w:rPr>
              <w:t>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4" w:type="dxa"/>
          </w:tcPr>
          <w:p>
            <w:pPr>
              <w:rPr>
                <w:rFonts w:ascii="仿宋_GB2312" w:hAnsi="仿宋_GB2312" w:eastAsia="仿宋_GB2312" w:cs="宋体"/>
                <w:szCs w:val="21"/>
              </w:rPr>
            </w:pPr>
          </w:p>
        </w:tc>
        <w:tc>
          <w:tcPr>
            <w:tcW w:w="793" w:type="dxa"/>
          </w:tcPr>
          <w:p>
            <w:pPr>
              <w:rPr>
                <w:rFonts w:ascii="仿宋_GB2312" w:hAnsi="仿宋_GB2312" w:eastAsia="仿宋_GB2312" w:cs="宋体"/>
                <w:szCs w:val="21"/>
              </w:rPr>
            </w:pPr>
          </w:p>
        </w:tc>
        <w:tc>
          <w:tcPr>
            <w:tcW w:w="680" w:type="dxa"/>
          </w:tcPr>
          <w:p>
            <w:pPr>
              <w:rPr>
                <w:rFonts w:ascii="仿宋_GB2312" w:hAnsi="仿宋_GB2312" w:eastAsia="仿宋_GB2312" w:cs="宋体"/>
                <w:szCs w:val="21"/>
              </w:rPr>
            </w:pPr>
          </w:p>
        </w:tc>
        <w:tc>
          <w:tcPr>
            <w:tcW w:w="1359" w:type="dxa"/>
          </w:tcPr>
          <w:p>
            <w:pPr>
              <w:rPr>
                <w:rFonts w:ascii="仿宋_GB2312" w:hAnsi="仿宋_GB2312" w:eastAsia="仿宋_GB2312" w:cs="宋体"/>
                <w:szCs w:val="21"/>
              </w:rPr>
            </w:pPr>
          </w:p>
        </w:tc>
        <w:tc>
          <w:tcPr>
            <w:tcW w:w="888" w:type="dxa"/>
          </w:tcPr>
          <w:p>
            <w:pPr>
              <w:rPr>
                <w:rFonts w:ascii="仿宋_GB2312" w:hAnsi="仿宋_GB2312" w:eastAsia="仿宋_GB2312" w:cs="宋体"/>
                <w:szCs w:val="21"/>
              </w:rPr>
            </w:pPr>
          </w:p>
        </w:tc>
        <w:tc>
          <w:tcPr>
            <w:tcW w:w="1083" w:type="dxa"/>
          </w:tcPr>
          <w:p>
            <w:pPr>
              <w:rPr>
                <w:rFonts w:ascii="仿宋_GB2312" w:hAnsi="仿宋_GB2312" w:eastAsia="仿宋_GB2312" w:cs="宋体"/>
                <w:szCs w:val="21"/>
              </w:rPr>
            </w:pPr>
          </w:p>
        </w:tc>
        <w:tc>
          <w:tcPr>
            <w:tcW w:w="974" w:type="dxa"/>
          </w:tcPr>
          <w:p>
            <w:pPr>
              <w:rPr>
                <w:rFonts w:ascii="仿宋_GB2312" w:hAnsi="仿宋_GB2312" w:eastAsia="仿宋_GB2312" w:cs="宋体"/>
                <w:szCs w:val="21"/>
              </w:rPr>
            </w:pPr>
          </w:p>
        </w:tc>
        <w:tc>
          <w:tcPr>
            <w:tcW w:w="2169" w:type="dxa"/>
          </w:tcPr>
          <w:p>
            <w:pPr>
              <w:rPr>
                <w:rFonts w:ascii="仿宋_GB2312" w:hAns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4" w:type="dxa"/>
          </w:tcPr>
          <w:p>
            <w:pPr>
              <w:rPr>
                <w:rFonts w:ascii="仿宋_GB2312" w:hAnsi="仿宋_GB2312" w:eastAsia="仿宋_GB2312" w:cs="宋体"/>
                <w:szCs w:val="21"/>
              </w:rPr>
            </w:pPr>
          </w:p>
        </w:tc>
        <w:tc>
          <w:tcPr>
            <w:tcW w:w="793" w:type="dxa"/>
          </w:tcPr>
          <w:p>
            <w:pPr>
              <w:rPr>
                <w:rFonts w:ascii="仿宋_GB2312" w:hAnsi="仿宋_GB2312" w:eastAsia="仿宋_GB2312" w:cs="宋体"/>
                <w:szCs w:val="21"/>
              </w:rPr>
            </w:pPr>
          </w:p>
        </w:tc>
        <w:tc>
          <w:tcPr>
            <w:tcW w:w="680" w:type="dxa"/>
          </w:tcPr>
          <w:p>
            <w:pPr>
              <w:rPr>
                <w:rFonts w:ascii="仿宋_GB2312" w:hAnsi="仿宋_GB2312" w:eastAsia="仿宋_GB2312" w:cs="宋体"/>
                <w:szCs w:val="21"/>
              </w:rPr>
            </w:pPr>
          </w:p>
        </w:tc>
        <w:tc>
          <w:tcPr>
            <w:tcW w:w="1359" w:type="dxa"/>
          </w:tcPr>
          <w:p>
            <w:pPr>
              <w:rPr>
                <w:rFonts w:ascii="仿宋_GB2312" w:hAnsi="仿宋_GB2312" w:eastAsia="仿宋_GB2312" w:cs="宋体"/>
                <w:szCs w:val="21"/>
              </w:rPr>
            </w:pPr>
          </w:p>
        </w:tc>
        <w:tc>
          <w:tcPr>
            <w:tcW w:w="888" w:type="dxa"/>
          </w:tcPr>
          <w:p>
            <w:pPr>
              <w:rPr>
                <w:rFonts w:ascii="仿宋_GB2312" w:hAnsi="仿宋_GB2312" w:eastAsia="仿宋_GB2312" w:cs="宋体"/>
                <w:szCs w:val="21"/>
              </w:rPr>
            </w:pPr>
          </w:p>
        </w:tc>
        <w:tc>
          <w:tcPr>
            <w:tcW w:w="1083" w:type="dxa"/>
          </w:tcPr>
          <w:p>
            <w:pPr>
              <w:rPr>
                <w:rFonts w:ascii="仿宋_GB2312" w:hAnsi="仿宋_GB2312" w:eastAsia="仿宋_GB2312" w:cs="宋体"/>
                <w:szCs w:val="21"/>
              </w:rPr>
            </w:pPr>
          </w:p>
        </w:tc>
        <w:tc>
          <w:tcPr>
            <w:tcW w:w="974" w:type="dxa"/>
          </w:tcPr>
          <w:p>
            <w:pPr>
              <w:rPr>
                <w:rFonts w:ascii="仿宋_GB2312" w:hAnsi="仿宋_GB2312" w:eastAsia="仿宋_GB2312" w:cs="宋体"/>
                <w:szCs w:val="21"/>
              </w:rPr>
            </w:pPr>
          </w:p>
        </w:tc>
        <w:tc>
          <w:tcPr>
            <w:tcW w:w="2169" w:type="dxa"/>
          </w:tcPr>
          <w:p>
            <w:pPr>
              <w:rPr>
                <w:rFonts w:ascii="仿宋_GB2312" w:hAns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4" w:type="dxa"/>
          </w:tcPr>
          <w:p>
            <w:pPr>
              <w:rPr>
                <w:rFonts w:ascii="仿宋_GB2312" w:hAnsi="仿宋_GB2312" w:eastAsia="仿宋_GB2312" w:cs="宋体"/>
                <w:szCs w:val="21"/>
              </w:rPr>
            </w:pPr>
          </w:p>
        </w:tc>
        <w:tc>
          <w:tcPr>
            <w:tcW w:w="793" w:type="dxa"/>
          </w:tcPr>
          <w:p>
            <w:pPr>
              <w:rPr>
                <w:rFonts w:ascii="仿宋_GB2312" w:hAnsi="仿宋_GB2312" w:eastAsia="仿宋_GB2312" w:cs="宋体"/>
                <w:szCs w:val="21"/>
              </w:rPr>
            </w:pPr>
          </w:p>
        </w:tc>
        <w:tc>
          <w:tcPr>
            <w:tcW w:w="680" w:type="dxa"/>
          </w:tcPr>
          <w:p>
            <w:pPr>
              <w:rPr>
                <w:rFonts w:ascii="仿宋_GB2312" w:hAnsi="仿宋_GB2312" w:eastAsia="仿宋_GB2312" w:cs="宋体"/>
                <w:szCs w:val="21"/>
              </w:rPr>
            </w:pPr>
          </w:p>
        </w:tc>
        <w:tc>
          <w:tcPr>
            <w:tcW w:w="1359" w:type="dxa"/>
          </w:tcPr>
          <w:p>
            <w:pPr>
              <w:rPr>
                <w:rFonts w:ascii="仿宋_GB2312" w:hAnsi="仿宋_GB2312" w:eastAsia="仿宋_GB2312" w:cs="宋体"/>
                <w:szCs w:val="21"/>
              </w:rPr>
            </w:pPr>
          </w:p>
        </w:tc>
        <w:tc>
          <w:tcPr>
            <w:tcW w:w="888" w:type="dxa"/>
          </w:tcPr>
          <w:p>
            <w:pPr>
              <w:rPr>
                <w:rFonts w:ascii="仿宋_GB2312" w:hAnsi="仿宋_GB2312" w:eastAsia="仿宋_GB2312" w:cs="宋体"/>
                <w:szCs w:val="21"/>
              </w:rPr>
            </w:pPr>
          </w:p>
        </w:tc>
        <w:tc>
          <w:tcPr>
            <w:tcW w:w="1083" w:type="dxa"/>
          </w:tcPr>
          <w:p>
            <w:pPr>
              <w:rPr>
                <w:rFonts w:ascii="仿宋_GB2312" w:hAnsi="仿宋_GB2312" w:eastAsia="仿宋_GB2312" w:cs="宋体"/>
                <w:szCs w:val="21"/>
              </w:rPr>
            </w:pPr>
          </w:p>
        </w:tc>
        <w:tc>
          <w:tcPr>
            <w:tcW w:w="974" w:type="dxa"/>
          </w:tcPr>
          <w:p>
            <w:pPr>
              <w:rPr>
                <w:rFonts w:ascii="仿宋_GB2312" w:hAnsi="仿宋_GB2312" w:eastAsia="仿宋_GB2312" w:cs="宋体"/>
                <w:szCs w:val="21"/>
              </w:rPr>
            </w:pPr>
          </w:p>
        </w:tc>
        <w:tc>
          <w:tcPr>
            <w:tcW w:w="2169" w:type="dxa"/>
          </w:tcPr>
          <w:p>
            <w:pPr>
              <w:rPr>
                <w:rFonts w:ascii="仿宋_GB2312" w:hAns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4" w:type="dxa"/>
          </w:tcPr>
          <w:p>
            <w:pPr>
              <w:rPr>
                <w:rFonts w:ascii="仿宋_GB2312" w:hAnsi="仿宋_GB2312" w:eastAsia="仿宋_GB2312" w:cs="宋体"/>
                <w:szCs w:val="21"/>
              </w:rPr>
            </w:pPr>
          </w:p>
        </w:tc>
        <w:tc>
          <w:tcPr>
            <w:tcW w:w="793" w:type="dxa"/>
          </w:tcPr>
          <w:p>
            <w:pPr>
              <w:rPr>
                <w:rFonts w:ascii="仿宋_GB2312" w:hAnsi="仿宋_GB2312" w:eastAsia="仿宋_GB2312" w:cs="宋体"/>
                <w:szCs w:val="21"/>
              </w:rPr>
            </w:pPr>
          </w:p>
        </w:tc>
        <w:tc>
          <w:tcPr>
            <w:tcW w:w="680" w:type="dxa"/>
          </w:tcPr>
          <w:p>
            <w:pPr>
              <w:rPr>
                <w:rFonts w:ascii="仿宋_GB2312" w:hAnsi="仿宋_GB2312" w:eastAsia="仿宋_GB2312" w:cs="宋体"/>
                <w:szCs w:val="21"/>
              </w:rPr>
            </w:pPr>
          </w:p>
        </w:tc>
        <w:tc>
          <w:tcPr>
            <w:tcW w:w="1359" w:type="dxa"/>
          </w:tcPr>
          <w:p>
            <w:pPr>
              <w:rPr>
                <w:rFonts w:ascii="仿宋_GB2312" w:hAnsi="仿宋_GB2312" w:eastAsia="仿宋_GB2312" w:cs="宋体"/>
                <w:szCs w:val="21"/>
              </w:rPr>
            </w:pPr>
          </w:p>
        </w:tc>
        <w:tc>
          <w:tcPr>
            <w:tcW w:w="888" w:type="dxa"/>
          </w:tcPr>
          <w:p>
            <w:pPr>
              <w:rPr>
                <w:rFonts w:ascii="仿宋_GB2312" w:hAnsi="仿宋_GB2312" w:eastAsia="仿宋_GB2312" w:cs="宋体"/>
                <w:szCs w:val="21"/>
              </w:rPr>
            </w:pPr>
          </w:p>
        </w:tc>
        <w:tc>
          <w:tcPr>
            <w:tcW w:w="1083" w:type="dxa"/>
          </w:tcPr>
          <w:p>
            <w:pPr>
              <w:rPr>
                <w:rFonts w:ascii="仿宋_GB2312" w:hAnsi="仿宋_GB2312" w:eastAsia="仿宋_GB2312" w:cs="宋体"/>
                <w:szCs w:val="21"/>
              </w:rPr>
            </w:pPr>
          </w:p>
        </w:tc>
        <w:tc>
          <w:tcPr>
            <w:tcW w:w="974" w:type="dxa"/>
          </w:tcPr>
          <w:p>
            <w:pPr>
              <w:rPr>
                <w:rFonts w:ascii="仿宋_GB2312" w:hAnsi="仿宋_GB2312" w:eastAsia="仿宋_GB2312" w:cs="宋体"/>
                <w:szCs w:val="21"/>
              </w:rPr>
            </w:pPr>
          </w:p>
        </w:tc>
        <w:tc>
          <w:tcPr>
            <w:tcW w:w="2169" w:type="dxa"/>
          </w:tcPr>
          <w:p>
            <w:pPr>
              <w:rPr>
                <w:rFonts w:ascii="仿宋_GB2312" w:hAns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4" w:type="dxa"/>
          </w:tcPr>
          <w:p>
            <w:pPr>
              <w:rPr>
                <w:rFonts w:ascii="仿宋_GB2312" w:hAnsi="仿宋_GB2312" w:eastAsia="仿宋_GB2312" w:cs="宋体"/>
                <w:szCs w:val="21"/>
              </w:rPr>
            </w:pPr>
          </w:p>
        </w:tc>
        <w:tc>
          <w:tcPr>
            <w:tcW w:w="793" w:type="dxa"/>
          </w:tcPr>
          <w:p>
            <w:pPr>
              <w:rPr>
                <w:rFonts w:ascii="仿宋_GB2312" w:hAnsi="仿宋_GB2312" w:eastAsia="仿宋_GB2312" w:cs="宋体"/>
                <w:szCs w:val="21"/>
              </w:rPr>
            </w:pPr>
          </w:p>
        </w:tc>
        <w:tc>
          <w:tcPr>
            <w:tcW w:w="680" w:type="dxa"/>
          </w:tcPr>
          <w:p>
            <w:pPr>
              <w:rPr>
                <w:rFonts w:ascii="仿宋_GB2312" w:hAnsi="仿宋_GB2312" w:eastAsia="仿宋_GB2312" w:cs="宋体"/>
                <w:szCs w:val="21"/>
              </w:rPr>
            </w:pPr>
          </w:p>
        </w:tc>
        <w:tc>
          <w:tcPr>
            <w:tcW w:w="1359" w:type="dxa"/>
          </w:tcPr>
          <w:p>
            <w:pPr>
              <w:rPr>
                <w:rFonts w:ascii="仿宋_GB2312" w:hAnsi="仿宋_GB2312" w:eastAsia="仿宋_GB2312" w:cs="宋体"/>
                <w:szCs w:val="21"/>
              </w:rPr>
            </w:pPr>
          </w:p>
        </w:tc>
        <w:tc>
          <w:tcPr>
            <w:tcW w:w="888" w:type="dxa"/>
          </w:tcPr>
          <w:p>
            <w:pPr>
              <w:rPr>
                <w:rFonts w:ascii="仿宋_GB2312" w:hAnsi="仿宋_GB2312" w:eastAsia="仿宋_GB2312" w:cs="宋体"/>
                <w:szCs w:val="21"/>
              </w:rPr>
            </w:pPr>
          </w:p>
        </w:tc>
        <w:tc>
          <w:tcPr>
            <w:tcW w:w="1083" w:type="dxa"/>
          </w:tcPr>
          <w:p>
            <w:pPr>
              <w:rPr>
                <w:rFonts w:ascii="仿宋_GB2312" w:hAnsi="仿宋_GB2312" w:eastAsia="仿宋_GB2312" w:cs="宋体"/>
                <w:szCs w:val="21"/>
              </w:rPr>
            </w:pPr>
          </w:p>
        </w:tc>
        <w:tc>
          <w:tcPr>
            <w:tcW w:w="974" w:type="dxa"/>
          </w:tcPr>
          <w:p>
            <w:pPr>
              <w:rPr>
                <w:rFonts w:ascii="仿宋_GB2312" w:hAnsi="仿宋_GB2312" w:eastAsia="仿宋_GB2312" w:cs="宋体"/>
                <w:szCs w:val="21"/>
              </w:rPr>
            </w:pPr>
          </w:p>
        </w:tc>
        <w:tc>
          <w:tcPr>
            <w:tcW w:w="2169" w:type="dxa"/>
          </w:tcPr>
          <w:p>
            <w:pPr>
              <w:rPr>
                <w:rFonts w:ascii="仿宋_GB2312" w:hAns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4" w:type="dxa"/>
          </w:tcPr>
          <w:p>
            <w:pPr>
              <w:rPr>
                <w:rFonts w:ascii="仿宋_GB2312" w:hAnsi="仿宋_GB2312" w:eastAsia="仿宋_GB2312" w:cs="宋体"/>
                <w:szCs w:val="21"/>
              </w:rPr>
            </w:pPr>
          </w:p>
        </w:tc>
        <w:tc>
          <w:tcPr>
            <w:tcW w:w="793" w:type="dxa"/>
          </w:tcPr>
          <w:p>
            <w:pPr>
              <w:rPr>
                <w:rFonts w:ascii="仿宋_GB2312" w:hAnsi="仿宋_GB2312" w:eastAsia="仿宋_GB2312" w:cs="宋体"/>
                <w:szCs w:val="21"/>
              </w:rPr>
            </w:pPr>
          </w:p>
        </w:tc>
        <w:tc>
          <w:tcPr>
            <w:tcW w:w="680" w:type="dxa"/>
          </w:tcPr>
          <w:p>
            <w:pPr>
              <w:rPr>
                <w:rFonts w:ascii="仿宋_GB2312" w:hAnsi="仿宋_GB2312" w:eastAsia="仿宋_GB2312" w:cs="宋体"/>
                <w:szCs w:val="21"/>
              </w:rPr>
            </w:pPr>
          </w:p>
        </w:tc>
        <w:tc>
          <w:tcPr>
            <w:tcW w:w="1359" w:type="dxa"/>
          </w:tcPr>
          <w:p>
            <w:pPr>
              <w:rPr>
                <w:rFonts w:ascii="仿宋_GB2312" w:hAnsi="仿宋_GB2312" w:eastAsia="仿宋_GB2312" w:cs="宋体"/>
                <w:szCs w:val="21"/>
              </w:rPr>
            </w:pPr>
          </w:p>
        </w:tc>
        <w:tc>
          <w:tcPr>
            <w:tcW w:w="888" w:type="dxa"/>
          </w:tcPr>
          <w:p>
            <w:pPr>
              <w:rPr>
                <w:rFonts w:ascii="仿宋_GB2312" w:hAnsi="仿宋_GB2312" w:eastAsia="仿宋_GB2312" w:cs="宋体"/>
                <w:szCs w:val="21"/>
              </w:rPr>
            </w:pPr>
          </w:p>
        </w:tc>
        <w:tc>
          <w:tcPr>
            <w:tcW w:w="1083" w:type="dxa"/>
          </w:tcPr>
          <w:p>
            <w:pPr>
              <w:rPr>
                <w:rFonts w:ascii="仿宋_GB2312" w:hAnsi="仿宋_GB2312" w:eastAsia="仿宋_GB2312" w:cs="宋体"/>
                <w:szCs w:val="21"/>
              </w:rPr>
            </w:pPr>
          </w:p>
        </w:tc>
        <w:tc>
          <w:tcPr>
            <w:tcW w:w="974" w:type="dxa"/>
          </w:tcPr>
          <w:p>
            <w:pPr>
              <w:rPr>
                <w:rFonts w:ascii="仿宋_GB2312" w:hAnsi="仿宋_GB2312" w:eastAsia="仿宋_GB2312" w:cs="宋体"/>
                <w:szCs w:val="21"/>
              </w:rPr>
            </w:pPr>
          </w:p>
        </w:tc>
        <w:tc>
          <w:tcPr>
            <w:tcW w:w="2169" w:type="dxa"/>
          </w:tcPr>
          <w:p>
            <w:pPr>
              <w:rPr>
                <w:rFonts w:ascii="仿宋_GB2312" w:hAns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4" w:type="dxa"/>
          </w:tcPr>
          <w:p>
            <w:pPr>
              <w:rPr>
                <w:rFonts w:ascii="仿宋_GB2312" w:hAnsi="仿宋_GB2312" w:eastAsia="仿宋_GB2312" w:cs="宋体"/>
                <w:szCs w:val="21"/>
              </w:rPr>
            </w:pPr>
          </w:p>
        </w:tc>
        <w:tc>
          <w:tcPr>
            <w:tcW w:w="793" w:type="dxa"/>
          </w:tcPr>
          <w:p>
            <w:pPr>
              <w:rPr>
                <w:rFonts w:ascii="仿宋_GB2312" w:hAnsi="仿宋_GB2312" w:eastAsia="仿宋_GB2312" w:cs="宋体"/>
                <w:szCs w:val="21"/>
              </w:rPr>
            </w:pPr>
          </w:p>
        </w:tc>
        <w:tc>
          <w:tcPr>
            <w:tcW w:w="680" w:type="dxa"/>
          </w:tcPr>
          <w:p>
            <w:pPr>
              <w:rPr>
                <w:rFonts w:ascii="仿宋_GB2312" w:hAnsi="仿宋_GB2312" w:eastAsia="仿宋_GB2312" w:cs="宋体"/>
                <w:szCs w:val="21"/>
              </w:rPr>
            </w:pPr>
          </w:p>
        </w:tc>
        <w:tc>
          <w:tcPr>
            <w:tcW w:w="1359" w:type="dxa"/>
          </w:tcPr>
          <w:p>
            <w:pPr>
              <w:rPr>
                <w:rFonts w:ascii="仿宋_GB2312" w:hAnsi="仿宋_GB2312" w:eastAsia="仿宋_GB2312" w:cs="宋体"/>
                <w:szCs w:val="21"/>
              </w:rPr>
            </w:pPr>
          </w:p>
        </w:tc>
        <w:tc>
          <w:tcPr>
            <w:tcW w:w="888" w:type="dxa"/>
          </w:tcPr>
          <w:p>
            <w:pPr>
              <w:rPr>
                <w:rFonts w:ascii="仿宋_GB2312" w:hAnsi="仿宋_GB2312" w:eastAsia="仿宋_GB2312" w:cs="宋体"/>
                <w:szCs w:val="21"/>
              </w:rPr>
            </w:pPr>
          </w:p>
        </w:tc>
        <w:tc>
          <w:tcPr>
            <w:tcW w:w="1083" w:type="dxa"/>
          </w:tcPr>
          <w:p>
            <w:pPr>
              <w:rPr>
                <w:rFonts w:ascii="仿宋_GB2312" w:hAnsi="仿宋_GB2312" w:eastAsia="仿宋_GB2312" w:cs="宋体"/>
                <w:szCs w:val="21"/>
              </w:rPr>
            </w:pPr>
          </w:p>
        </w:tc>
        <w:tc>
          <w:tcPr>
            <w:tcW w:w="974" w:type="dxa"/>
          </w:tcPr>
          <w:p>
            <w:pPr>
              <w:rPr>
                <w:rFonts w:ascii="仿宋_GB2312" w:hAnsi="仿宋_GB2312" w:eastAsia="仿宋_GB2312" w:cs="宋体"/>
                <w:szCs w:val="21"/>
              </w:rPr>
            </w:pPr>
          </w:p>
        </w:tc>
        <w:tc>
          <w:tcPr>
            <w:tcW w:w="2169" w:type="dxa"/>
          </w:tcPr>
          <w:p>
            <w:pPr>
              <w:rPr>
                <w:rFonts w:ascii="仿宋_GB2312" w:hAns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4" w:type="dxa"/>
          </w:tcPr>
          <w:p>
            <w:pPr>
              <w:rPr>
                <w:rFonts w:ascii="仿宋_GB2312" w:hAnsi="仿宋_GB2312" w:eastAsia="仿宋_GB2312" w:cs="宋体"/>
                <w:szCs w:val="21"/>
              </w:rPr>
            </w:pPr>
          </w:p>
        </w:tc>
        <w:tc>
          <w:tcPr>
            <w:tcW w:w="793" w:type="dxa"/>
          </w:tcPr>
          <w:p>
            <w:pPr>
              <w:rPr>
                <w:rFonts w:ascii="仿宋_GB2312" w:hAnsi="仿宋_GB2312" w:eastAsia="仿宋_GB2312" w:cs="宋体"/>
                <w:szCs w:val="21"/>
              </w:rPr>
            </w:pPr>
          </w:p>
        </w:tc>
        <w:tc>
          <w:tcPr>
            <w:tcW w:w="680" w:type="dxa"/>
          </w:tcPr>
          <w:p>
            <w:pPr>
              <w:rPr>
                <w:rFonts w:ascii="仿宋_GB2312" w:hAnsi="仿宋_GB2312" w:eastAsia="仿宋_GB2312" w:cs="宋体"/>
                <w:szCs w:val="21"/>
              </w:rPr>
            </w:pPr>
          </w:p>
        </w:tc>
        <w:tc>
          <w:tcPr>
            <w:tcW w:w="1359" w:type="dxa"/>
          </w:tcPr>
          <w:p>
            <w:pPr>
              <w:rPr>
                <w:rFonts w:ascii="仿宋_GB2312" w:hAnsi="仿宋_GB2312" w:eastAsia="仿宋_GB2312" w:cs="宋体"/>
                <w:szCs w:val="21"/>
              </w:rPr>
            </w:pPr>
          </w:p>
        </w:tc>
        <w:tc>
          <w:tcPr>
            <w:tcW w:w="888" w:type="dxa"/>
          </w:tcPr>
          <w:p>
            <w:pPr>
              <w:rPr>
                <w:rFonts w:ascii="仿宋_GB2312" w:hAnsi="仿宋_GB2312" w:eastAsia="仿宋_GB2312" w:cs="宋体"/>
                <w:szCs w:val="21"/>
              </w:rPr>
            </w:pPr>
          </w:p>
        </w:tc>
        <w:tc>
          <w:tcPr>
            <w:tcW w:w="1083" w:type="dxa"/>
          </w:tcPr>
          <w:p>
            <w:pPr>
              <w:rPr>
                <w:rFonts w:ascii="仿宋_GB2312" w:hAnsi="仿宋_GB2312" w:eastAsia="仿宋_GB2312" w:cs="宋体"/>
                <w:szCs w:val="21"/>
              </w:rPr>
            </w:pPr>
          </w:p>
        </w:tc>
        <w:tc>
          <w:tcPr>
            <w:tcW w:w="974" w:type="dxa"/>
          </w:tcPr>
          <w:p>
            <w:pPr>
              <w:rPr>
                <w:rFonts w:ascii="仿宋_GB2312" w:hAnsi="仿宋_GB2312" w:eastAsia="仿宋_GB2312" w:cs="宋体"/>
                <w:szCs w:val="21"/>
              </w:rPr>
            </w:pPr>
          </w:p>
        </w:tc>
        <w:tc>
          <w:tcPr>
            <w:tcW w:w="2169" w:type="dxa"/>
          </w:tcPr>
          <w:p>
            <w:pPr>
              <w:rPr>
                <w:rFonts w:ascii="仿宋_GB2312" w:hAns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4" w:type="dxa"/>
          </w:tcPr>
          <w:p>
            <w:pPr>
              <w:rPr>
                <w:rFonts w:ascii="仿宋_GB2312" w:hAnsi="仿宋_GB2312" w:eastAsia="仿宋_GB2312" w:cs="宋体"/>
                <w:szCs w:val="21"/>
              </w:rPr>
            </w:pPr>
          </w:p>
        </w:tc>
        <w:tc>
          <w:tcPr>
            <w:tcW w:w="793" w:type="dxa"/>
          </w:tcPr>
          <w:p>
            <w:pPr>
              <w:rPr>
                <w:rFonts w:ascii="仿宋_GB2312" w:hAnsi="仿宋_GB2312" w:eastAsia="仿宋_GB2312" w:cs="宋体"/>
                <w:szCs w:val="21"/>
              </w:rPr>
            </w:pPr>
          </w:p>
        </w:tc>
        <w:tc>
          <w:tcPr>
            <w:tcW w:w="680" w:type="dxa"/>
          </w:tcPr>
          <w:p>
            <w:pPr>
              <w:rPr>
                <w:rFonts w:ascii="仿宋_GB2312" w:hAnsi="仿宋_GB2312" w:eastAsia="仿宋_GB2312" w:cs="宋体"/>
                <w:szCs w:val="21"/>
              </w:rPr>
            </w:pPr>
          </w:p>
        </w:tc>
        <w:tc>
          <w:tcPr>
            <w:tcW w:w="1359" w:type="dxa"/>
          </w:tcPr>
          <w:p>
            <w:pPr>
              <w:rPr>
                <w:rFonts w:ascii="仿宋_GB2312" w:hAnsi="仿宋_GB2312" w:eastAsia="仿宋_GB2312" w:cs="宋体"/>
                <w:szCs w:val="21"/>
              </w:rPr>
            </w:pPr>
          </w:p>
        </w:tc>
        <w:tc>
          <w:tcPr>
            <w:tcW w:w="888" w:type="dxa"/>
          </w:tcPr>
          <w:p>
            <w:pPr>
              <w:rPr>
                <w:rFonts w:ascii="仿宋_GB2312" w:hAnsi="仿宋_GB2312" w:eastAsia="仿宋_GB2312" w:cs="宋体"/>
                <w:szCs w:val="21"/>
              </w:rPr>
            </w:pPr>
          </w:p>
        </w:tc>
        <w:tc>
          <w:tcPr>
            <w:tcW w:w="1083" w:type="dxa"/>
          </w:tcPr>
          <w:p>
            <w:pPr>
              <w:rPr>
                <w:rFonts w:ascii="仿宋_GB2312" w:hAnsi="仿宋_GB2312" w:eastAsia="仿宋_GB2312" w:cs="宋体"/>
                <w:szCs w:val="21"/>
              </w:rPr>
            </w:pPr>
          </w:p>
        </w:tc>
        <w:tc>
          <w:tcPr>
            <w:tcW w:w="974" w:type="dxa"/>
          </w:tcPr>
          <w:p>
            <w:pPr>
              <w:rPr>
                <w:rFonts w:ascii="仿宋_GB2312" w:hAnsi="仿宋_GB2312" w:eastAsia="仿宋_GB2312" w:cs="宋体"/>
                <w:szCs w:val="21"/>
              </w:rPr>
            </w:pPr>
          </w:p>
        </w:tc>
        <w:tc>
          <w:tcPr>
            <w:tcW w:w="2169" w:type="dxa"/>
          </w:tcPr>
          <w:p>
            <w:pPr>
              <w:rPr>
                <w:rFonts w:ascii="仿宋_GB2312" w:hAns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4" w:type="dxa"/>
          </w:tcPr>
          <w:p>
            <w:pPr>
              <w:rPr>
                <w:rFonts w:ascii="仿宋_GB2312" w:hAnsi="仿宋_GB2312" w:eastAsia="仿宋_GB2312" w:cs="宋体"/>
                <w:szCs w:val="21"/>
              </w:rPr>
            </w:pPr>
          </w:p>
        </w:tc>
        <w:tc>
          <w:tcPr>
            <w:tcW w:w="793" w:type="dxa"/>
          </w:tcPr>
          <w:p>
            <w:pPr>
              <w:rPr>
                <w:rFonts w:ascii="仿宋_GB2312" w:hAnsi="仿宋_GB2312" w:eastAsia="仿宋_GB2312" w:cs="宋体"/>
                <w:szCs w:val="21"/>
              </w:rPr>
            </w:pPr>
          </w:p>
        </w:tc>
        <w:tc>
          <w:tcPr>
            <w:tcW w:w="680" w:type="dxa"/>
          </w:tcPr>
          <w:p>
            <w:pPr>
              <w:rPr>
                <w:rFonts w:ascii="仿宋_GB2312" w:hAnsi="仿宋_GB2312" w:eastAsia="仿宋_GB2312" w:cs="宋体"/>
                <w:szCs w:val="21"/>
              </w:rPr>
            </w:pPr>
          </w:p>
        </w:tc>
        <w:tc>
          <w:tcPr>
            <w:tcW w:w="1359" w:type="dxa"/>
          </w:tcPr>
          <w:p>
            <w:pPr>
              <w:rPr>
                <w:rFonts w:ascii="仿宋_GB2312" w:hAnsi="仿宋_GB2312" w:eastAsia="仿宋_GB2312" w:cs="宋体"/>
                <w:szCs w:val="21"/>
              </w:rPr>
            </w:pPr>
          </w:p>
        </w:tc>
        <w:tc>
          <w:tcPr>
            <w:tcW w:w="888" w:type="dxa"/>
          </w:tcPr>
          <w:p>
            <w:pPr>
              <w:rPr>
                <w:rFonts w:ascii="仿宋_GB2312" w:hAnsi="仿宋_GB2312" w:eastAsia="仿宋_GB2312" w:cs="宋体"/>
                <w:szCs w:val="21"/>
              </w:rPr>
            </w:pPr>
          </w:p>
        </w:tc>
        <w:tc>
          <w:tcPr>
            <w:tcW w:w="1083" w:type="dxa"/>
          </w:tcPr>
          <w:p>
            <w:pPr>
              <w:rPr>
                <w:rFonts w:ascii="仿宋_GB2312" w:hAnsi="仿宋_GB2312" w:eastAsia="仿宋_GB2312" w:cs="宋体"/>
                <w:szCs w:val="21"/>
              </w:rPr>
            </w:pPr>
          </w:p>
        </w:tc>
        <w:tc>
          <w:tcPr>
            <w:tcW w:w="974" w:type="dxa"/>
          </w:tcPr>
          <w:p>
            <w:pPr>
              <w:rPr>
                <w:rFonts w:ascii="仿宋_GB2312" w:hAnsi="仿宋_GB2312" w:eastAsia="仿宋_GB2312" w:cs="宋体"/>
                <w:szCs w:val="21"/>
              </w:rPr>
            </w:pPr>
          </w:p>
        </w:tc>
        <w:tc>
          <w:tcPr>
            <w:tcW w:w="2169" w:type="dxa"/>
          </w:tcPr>
          <w:p>
            <w:pPr>
              <w:rPr>
                <w:rFonts w:ascii="仿宋_GB2312" w:hAnsi="仿宋_GB2312"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74" w:type="dxa"/>
          </w:tcPr>
          <w:p>
            <w:pPr>
              <w:rPr>
                <w:rFonts w:ascii="仿宋_GB2312" w:hAnsi="仿宋_GB2312" w:eastAsia="仿宋_GB2312" w:cs="宋体"/>
                <w:szCs w:val="21"/>
              </w:rPr>
            </w:pPr>
          </w:p>
        </w:tc>
        <w:tc>
          <w:tcPr>
            <w:tcW w:w="793" w:type="dxa"/>
          </w:tcPr>
          <w:p>
            <w:pPr>
              <w:rPr>
                <w:rFonts w:ascii="仿宋_GB2312" w:hAnsi="仿宋_GB2312" w:eastAsia="仿宋_GB2312" w:cs="宋体"/>
                <w:szCs w:val="21"/>
              </w:rPr>
            </w:pPr>
          </w:p>
        </w:tc>
        <w:tc>
          <w:tcPr>
            <w:tcW w:w="680" w:type="dxa"/>
          </w:tcPr>
          <w:p>
            <w:pPr>
              <w:rPr>
                <w:rFonts w:ascii="仿宋_GB2312" w:hAnsi="仿宋_GB2312" w:eastAsia="仿宋_GB2312" w:cs="宋体"/>
                <w:szCs w:val="21"/>
              </w:rPr>
            </w:pPr>
          </w:p>
        </w:tc>
        <w:tc>
          <w:tcPr>
            <w:tcW w:w="1359" w:type="dxa"/>
          </w:tcPr>
          <w:p>
            <w:pPr>
              <w:rPr>
                <w:rFonts w:ascii="仿宋_GB2312" w:hAnsi="仿宋_GB2312" w:eastAsia="仿宋_GB2312" w:cs="宋体"/>
                <w:szCs w:val="21"/>
              </w:rPr>
            </w:pPr>
          </w:p>
        </w:tc>
        <w:tc>
          <w:tcPr>
            <w:tcW w:w="888" w:type="dxa"/>
          </w:tcPr>
          <w:p>
            <w:pPr>
              <w:rPr>
                <w:rFonts w:ascii="仿宋_GB2312" w:hAnsi="仿宋_GB2312" w:eastAsia="仿宋_GB2312" w:cs="宋体"/>
                <w:szCs w:val="21"/>
              </w:rPr>
            </w:pPr>
          </w:p>
        </w:tc>
        <w:tc>
          <w:tcPr>
            <w:tcW w:w="1083" w:type="dxa"/>
          </w:tcPr>
          <w:p>
            <w:pPr>
              <w:rPr>
                <w:rFonts w:ascii="仿宋_GB2312" w:hAnsi="仿宋_GB2312" w:eastAsia="仿宋_GB2312" w:cs="宋体"/>
                <w:szCs w:val="21"/>
              </w:rPr>
            </w:pPr>
          </w:p>
        </w:tc>
        <w:tc>
          <w:tcPr>
            <w:tcW w:w="974" w:type="dxa"/>
          </w:tcPr>
          <w:p>
            <w:pPr>
              <w:rPr>
                <w:rFonts w:ascii="仿宋_GB2312" w:hAnsi="仿宋_GB2312" w:eastAsia="仿宋_GB2312" w:cs="宋体"/>
                <w:szCs w:val="21"/>
              </w:rPr>
            </w:pPr>
          </w:p>
        </w:tc>
        <w:tc>
          <w:tcPr>
            <w:tcW w:w="2169" w:type="dxa"/>
          </w:tcPr>
          <w:p>
            <w:pPr>
              <w:rPr>
                <w:rFonts w:ascii="仿宋_GB2312" w:hAnsi="仿宋_GB2312" w:eastAsia="仿宋_GB2312" w:cs="宋体"/>
                <w:szCs w:val="21"/>
              </w:rPr>
            </w:pPr>
          </w:p>
        </w:tc>
      </w:tr>
    </w:tbl>
    <w:p>
      <w:pPr>
        <w:adjustRightInd w:val="0"/>
        <w:snapToGrid w:val="0"/>
        <w:spacing w:line="440" w:lineRule="exact"/>
        <w:rPr>
          <w:rFonts w:ascii="仿宋" w:hAnsi="仿宋" w:eastAsia="仿宋" w:cs="宋体"/>
          <w:sz w:val="28"/>
          <w:szCs w:val="28"/>
        </w:rPr>
      </w:pPr>
      <w:r>
        <w:rPr>
          <w:rFonts w:hint="eastAsia" w:ascii="仿宋" w:hAnsi="仿宋" w:eastAsia="仿宋" w:cs="宋体"/>
          <w:sz w:val="28"/>
          <w:szCs w:val="28"/>
        </w:rPr>
        <w:br w:type="page"/>
      </w:r>
      <w:r>
        <w:rPr>
          <w:rFonts w:hint="eastAsia" w:ascii="仿宋" w:hAnsi="仿宋" w:eastAsia="仿宋" w:cs="宋体"/>
          <w:sz w:val="28"/>
          <w:szCs w:val="28"/>
        </w:rPr>
        <w:t>表7：</w:t>
      </w:r>
    </w:p>
    <w:p>
      <w:pPr>
        <w:adjustRightInd w:val="0"/>
        <w:snapToGrid w:val="0"/>
        <w:spacing w:line="440" w:lineRule="exact"/>
        <w:jc w:val="center"/>
        <w:rPr>
          <w:rFonts w:ascii="宋体" w:hAnsi="宋体" w:cs="宋体"/>
          <w:b/>
          <w:sz w:val="36"/>
          <w:szCs w:val="36"/>
        </w:rPr>
      </w:pPr>
      <w:r>
        <w:rPr>
          <w:rFonts w:hint="eastAsia" w:ascii="宋体" w:hAnsi="宋体" w:cs="新宋体"/>
          <w:b/>
          <w:sz w:val="36"/>
          <w:szCs w:val="36"/>
        </w:rPr>
        <w:t>区安保服务工作情况督查问题整改通知单</w:t>
      </w:r>
    </w:p>
    <w:p>
      <w:pPr>
        <w:adjustRightInd w:val="0"/>
        <w:snapToGrid w:val="0"/>
        <w:spacing w:line="440" w:lineRule="exact"/>
        <w:jc w:val="center"/>
        <w:rPr>
          <w:rFonts w:ascii="仿宋" w:hAnsi="仿宋" w:eastAsia="仿宋" w:cs="宋体"/>
          <w:b/>
          <w:sz w:val="32"/>
          <w:szCs w:val="32"/>
        </w:rPr>
      </w:pPr>
    </w:p>
    <w:tbl>
      <w:tblPr>
        <w:tblStyle w:val="37"/>
        <w:tblW w:w="880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2313"/>
        <w:gridCol w:w="1433"/>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849" w:type="dxa"/>
            <w:vAlign w:val="center"/>
          </w:tcPr>
          <w:p>
            <w:pPr>
              <w:rPr>
                <w:rFonts w:ascii="Calibri" w:hAnsi="Calibri" w:cs="宋体"/>
                <w:szCs w:val="21"/>
              </w:rPr>
            </w:pPr>
            <w:r>
              <w:rPr>
                <w:rFonts w:hint="eastAsia" w:ascii="Calibri" w:hAnsi="Calibri" w:cs="宋体"/>
                <w:szCs w:val="21"/>
              </w:rPr>
              <w:t>检查时间</w:t>
            </w:r>
          </w:p>
        </w:tc>
        <w:tc>
          <w:tcPr>
            <w:tcW w:w="2313" w:type="dxa"/>
            <w:vAlign w:val="center"/>
          </w:tcPr>
          <w:p>
            <w:pPr>
              <w:rPr>
                <w:rFonts w:ascii="Calibri" w:hAnsi="Calibri" w:cs="宋体"/>
                <w:szCs w:val="21"/>
              </w:rPr>
            </w:pPr>
          </w:p>
        </w:tc>
        <w:tc>
          <w:tcPr>
            <w:tcW w:w="1433" w:type="dxa"/>
            <w:vAlign w:val="center"/>
          </w:tcPr>
          <w:p>
            <w:pPr>
              <w:rPr>
                <w:rFonts w:ascii="Calibri" w:hAnsi="Calibri" w:cs="宋体"/>
                <w:szCs w:val="21"/>
              </w:rPr>
            </w:pPr>
            <w:r>
              <w:rPr>
                <w:rFonts w:hint="eastAsia" w:ascii="Calibri" w:hAnsi="Calibri" w:cs="宋体"/>
                <w:szCs w:val="21"/>
              </w:rPr>
              <w:t>检查地点</w:t>
            </w:r>
          </w:p>
        </w:tc>
        <w:tc>
          <w:tcPr>
            <w:tcW w:w="3205" w:type="dxa"/>
            <w:vAlign w:val="center"/>
          </w:tcPr>
          <w:p>
            <w:pPr>
              <w:rPr>
                <w:rFonts w:ascii="Calibri"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1849" w:type="dxa"/>
            <w:vAlign w:val="center"/>
          </w:tcPr>
          <w:p>
            <w:pPr>
              <w:rPr>
                <w:rFonts w:ascii="Calibri" w:hAnsi="Calibri" w:cs="宋体"/>
                <w:szCs w:val="21"/>
              </w:rPr>
            </w:pPr>
            <w:r>
              <w:rPr>
                <w:rFonts w:hint="eastAsia" w:ascii="Calibri" w:hAnsi="Calibri" w:cs="宋体"/>
                <w:szCs w:val="21"/>
              </w:rPr>
              <w:t>检查中发现的问题</w:t>
            </w:r>
          </w:p>
        </w:tc>
        <w:tc>
          <w:tcPr>
            <w:tcW w:w="6951" w:type="dxa"/>
            <w:gridSpan w:val="3"/>
            <w:vAlign w:val="center"/>
          </w:tcPr>
          <w:p>
            <w:pPr>
              <w:rPr>
                <w:rFonts w:ascii="Calibri" w:hAnsi="Calibri" w:cs="宋体"/>
                <w:szCs w:val="21"/>
              </w:rPr>
            </w:pPr>
          </w:p>
          <w:p>
            <w:pPr>
              <w:rPr>
                <w:rFonts w:ascii="Calibri" w:hAnsi="Calibri" w:cs="宋体"/>
                <w:szCs w:val="21"/>
              </w:rPr>
            </w:pPr>
          </w:p>
          <w:p>
            <w:pPr>
              <w:rPr>
                <w:rFonts w:ascii="Calibri" w:hAnsi="Calibri" w:cs="宋体"/>
                <w:szCs w:val="21"/>
              </w:rPr>
            </w:pPr>
          </w:p>
          <w:p>
            <w:pPr>
              <w:rPr>
                <w:rFonts w:ascii="Calibri" w:hAnsi="Calibri" w:cs="宋体"/>
                <w:szCs w:val="21"/>
              </w:rPr>
            </w:pPr>
          </w:p>
          <w:p>
            <w:pPr>
              <w:rPr>
                <w:rFonts w:ascii="Calibri" w:hAnsi="Calibri" w:cs="宋体"/>
                <w:szCs w:val="21"/>
              </w:rPr>
            </w:pPr>
          </w:p>
          <w:p>
            <w:pPr>
              <w:rPr>
                <w:rFonts w:ascii="Calibri"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9" w:hRule="atLeast"/>
        </w:trPr>
        <w:tc>
          <w:tcPr>
            <w:tcW w:w="1849" w:type="dxa"/>
            <w:vAlign w:val="center"/>
          </w:tcPr>
          <w:p>
            <w:pPr>
              <w:rPr>
                <w:rFonts w:ascii="Calibri" w:hAnsi="Calibri" w:cs="宋体"/>
                <w:szCs w:val="21"/>
              </w:rPr>
            </w:pPr>
            <w:r>
              <w:rPr>
                <w:rFonts w:hint="eastAsia" w:ascii="Calibri" w:hAnsi="Calibri" w:cs="宋体"/>
                <w:szCs w:val="21"/>
              </w:rPr>
              <w:t>限期整改日期及处理意见反馈</w:t>
            </w:r>
          </w:p>
        </w:tc>
        <w:tc>
          <w:tcPr>
            <w:tcW w:w="6951" w:type="dxa"/>
            <w:gridSpan w:val="3"/>
            <w:vAlign w:val="center"/>
          </w:tcPr>
          <w:p>
            <w:pPr>
              <w:rPr>
                <w:rFonts w:ascii="Calibri" w:hAnsi="Calibri" w:cs="宋体"/>
                <w:szCs w:val="21"/>
              </w:rPr>
            </w:pPr>
          </w:p>
          <w:p>
            <w:pPr>
              <w:rPr>
                <w:rFonts w:ascii="Calibri"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3" w:hRule="atLeast"/>
        </w:trPr>
        <w:tc>
          <w:tcPr>
            <w:tcW w:w="1849" w:type="dxa"/>
            <w:vAlign w:val="center"/>
          </w:tcPr>
          <w:p>
            <w:pPr>
              <w:rPr>
                <w:rFonts w:ascii="Calibri" w:hAnsi="Calibri" w:cs="宋体"/>
                <w:szCs w:val="21"/>
              </w:rPr>
            </w:pPr>
            <w:r>
              <w:rPr>
                <w:rFonts w:hint="eastAsia" w:ascii="Calibri" w:hAnsi="Calibri" w:cs="宋体"/>
                <w:szCs w:val="21"/>
              </w:rPr>
              <w:t>领导复查结果及意见</w:t>
            </w:r>
          </w:p>
        </w:tc>
        <w:tc>
          <w:tcPr>
            <w:tcW w:w="6951" w:type="dxa"/>
            <w:gridSpan w:val="3"/>
            <w:vAlign w:val="center"/>
          </w:tcPr>
          <w:p>
            <w:pPr>
              <w:rPr>
                <w:rFonts w:ascii="Calibri" w:hAnsi="Calibri" w:cs="宋体"/>
                <w:szCs w:val="21"/>
              </w:rPr>
            </w:pPr>
          </w:p>
        </w:tc>
      </w:tr>
    </w:tbl>
    <w:p/>
    <w:p>
      <w:pPr>
        <w:pStyle w:val="27"/>
        <w:jc w:val="center"/>
        <w:rPr>
          <w:rFonts w:cs="宋体"/>
          <w:b/>
          <w:bCs w:val="0"/>
          <w:sz w:val="24"/>
          <w:szCs w:val="24"/>
        </w:rPr>
        <w:sectPr>
          <w:pgSz w:w="11906" w:h="16838"/>
          <w:pgMar w:top="1440" w:right="1247" w:bottom="1440" w:left="1247" w:header="851" w:footer="992" w:gutter="0"/>
          <w:cols w:space="720" w:num="1"/>
          <w:titlePg/>
          <w:docGrid w:type="linesAndChars" w:linePitch="312" w:charSpace="0"/>
        </w:sectPr>
      </w:pPr>
    </w:p>
    <w:p>
      <w:pPr>
        <w:pStyle w:val="27"/>
        <w:jc w:val="center"/>
        <w:rPr>
          <w:rFonts w:cs="宋体"/>
          <w:b/>
          <w:bCs w:val="0"/>
          <w:sz w:val="28"/>
          <w:szCs w:val="28"/>
        </w:rPr>
      </w:pPr>
      <w:r>
        <w:rPr>
          <w:rFonts w:hint="eastAsia" w:cs="宋体"/>
          <w:b/>
          <w:bCs w:val="0"/>
          <w:sz w:val="28"/>
          <w:szCs w:val="28"/>
        </w:rPr>
        <w:t>（二）消防设备维保要求</w:t>
      </w:r>
    </w:p>
    <w:p>
      <w:pPr>
        <w:spacing w:line="460" w:lineRule="exact"/>
        <w:ind w:right="-176" w:rightChars="-84"/>
        <w:jc w:val="center"/>
        <w:rPr>
          <w:rFonts w:ascii="宋体" w:hAnsi="宋体"/>
          <w:b/>
          <w:szCs w:val="21"/>
        </w:rPr>
      </w:pPr>
      <w:r>
        <w:rPr>
          <w:rFonts w:hint="eastAsia" w:ascii="宋体" w:hAnsi="宋体"/>
          <w:b/>
          <w:szCs w:val="21"/>
        </w:rPr>
        <w:t>项目概述</w:t>
      </w:r>
    </w:p>
    <w:p>
      <w:pPr>
        <w:spacing w:line="460" w:lineRule="exact"/>
        <w:ind w:firstLine="420" w:firstLineChars="200"/>
        <w:rPr>
          <w:rFonts w:ascii="宋体" w:hAnsi="宋体"/>
          <w:bCs/>
          <w:szCs w:val="21"/>
        </w:rPr>
      </w:pPr>
      <w:r>
        <w:rPr>
          <w:rFonts w:hint="eastAsia" w:ascii="宋体" w:hAnsi="宋体"/>
          <w:bCs/>
          <w:szCs w:val="21"/>
        </w:rPr>
        <w:t>龙湾区行政管理中心消防设备设施于2015年11月进行线路维修和更换消控主机两台，区文化中心消防设施设备于2017年8月更换消控主机一台，CRT一套及所有的烟感温感的等设施，龙湾区市民活动中心消防设备设施于2012年投入使用，龙湾区图书馆大楼消防设施设备于2015年5月投入使用，龙湾区人防大楼消防设施设备于2015年10月投入使用。龙湾区行政服务中心消防设施设备于2018年5月投入使用，龙湾区规划展示大楼消防设施设备于 2017年12月投入使用，根据公安部《关于抓紧建立和认真落实建筑消防设施检查维修保养管理制度的通知》的要求，为保证大楼内的消防设施正常运行，发挥其有效的安全预警功能，确保大楼的人身和财产安全，进行本次区行政管理中心、区文化中心、区市民活动中心、区图书馆大楼和区人防大楼、区行政服务中心、区规划馆展示大楼消防设施维护保养采购。</w:t>
      </w:r>
    </w:p>
    <w:p>
      <w:pPr>
        <w:spacing w:line="460" w:lineRule="exact"/>
        <w:ind w:right="-176" w:rightChars="-84"/>
        <w:jc w:val="center"/>
        <w:rPr>
          <w:rFonts w:ascii="宋体" w:hAnsi="宋体"/>
          <w:b/>
          <w:szCs w:val="21"/>
        </w:rPr>
      </w:pPr>
      <w:r>
        <w:rPr>
          <w:rFonts w:hint="eastAsia" w:ascii="宋体" w:hAnsi="宋体"/>
          <w:b/>
          <w:szCs w:val="21"/>
        </w:rPr>
        <w:t>维护保养内容</w:t>
      </w:r>
    </w:p>
    <w:p>
      <w:pPr>
        <w:spacing w:line="460" w:lineRule="exact"/>
        <w:ind w:right="-176" w:rightChars="-84"/>
        <w:rPr>
          <w:rFonts w:ascii="宋体" w:hAnsi="宋体"/>
          <w:bCs/>
          <w:szCs w:val="21"/>
        </w:rPr>
      </w:pPr>
      <w:r>
        <w:rPr>
          <w:rFonts w:hint="eastAsia" w:ascii="宋体" w:hAnsi="宋体"/>
          <w:bCs/>
          <w:szCs w:val="21"/>
        </w:rPr>
        <w:t>（1）火灾自动报警系统；</w:t>
      </w:r>
    </w:p>
    <w:p>
      <w:pPr>
        <w:spacing w:line="460" w:lineRule="exact"/>
        <w:ind w:right="-176" w:rightChars="-84"/>
        <w:rPr>
          <w:rFonts w:ascii="宋体" w:hAnsi="宋体"/>
          <w:bCs/>
          <w:szCs w:val="21"/>
        </w:rPr>
      </w:pPr>
      <w:r>
        <w:rPr>
          <w:rFonts w:hint="eastAsia" w:ascii="宋体" w:hAnsi="宋体"/>
          <w:bCs/>
          <w:szCs w:val="21"/>
        </w:rPr>
        <w:t>（2）自动喷水灭火系统；</w:t>
      </w:r>
    </w:p>
    <w:p>
      <w:pPr>
        <w:spacing w:line="460" w:lineRule="exact"/>
        <w:ind w:right="-176" w:rightChars="-84"/>
        <w:rPr>
          <w:rFonts w:ascii="宋体" w:hAnsi="宋体"/>
          <w:bCs/>
          <w:szCs w:val="21"/>
        </w:rPr>
      </w:pPr>
      <w:r>
        <w:rPr>
          <w:rFonts w:hint="eastAsia" w:ascii="宋体" w:hAnsi="宋体"/>
          <w:bCs/>
          <w:szCs w:val="21"/>
        </w:rPr>
        <w:t>（3）消火栓系统；</w:t>
      </w:r>
    </w:p>
    <w:p>
      <w:pPr>
        <w:spacing w:line="460" w:lineRule="exact"/>
        <w:ind w:right="-176" w:rightChars="-84"/>
        <w:rPr>
          <w:rFonts w:ascii="宋体" w:hAnsi="宋体"/>
          <w:bCs/>
          <w:szCs w:val="21"/>
        </w:rPr>
      </w:pPr>
      <w:r>
        <w:rPr>
          <w:rFonts w:hint="eastAsia" w:ascii="宋体" w:hAnsi="宋体"/>
          <w:bCs/>
          <w:szCs w:val="21"/>
        </w:rPr>
        <w:t>（4）防排烟系统；</w:t>
      </w:r>
    </w:p>
    <w:p>
      <w:pPr>
        <w:spacing w:line="460" w:lineRule="exact"/>
        <w:ind w:right="-176" w:rightChars="-84"/>
        <w:rPr>
          <w:rFonts w:ascii="宋体" w:hAnsi="宋体"/>
          <w:bCs/>
          <w:szCs w:val="21"/>
        </w:rPr>
      </w:pPr>
      <w:r>
        <w:rPr>
          <w:rFonts w:hint="eastAsia" w:ascii="宋体" w:hAnsi="宋体"/>
          <w:bCs/>
          <w:szCs w:val="21"/>
        </w:rPr>
        <w:t>（5）防火分区；</w:t>
      </w:r>
    </w:p>
    <w:p>
      <w:pPr>
        <w:spacing w:line="460" w:lineRule="exact"/>
        <w:ind w:right="-176" w:rightChars="-84"/>
        <w:rPr>
          <w:rFonts w:ascii="宋体" w:hAnsi="宋体"/>
          <w:bCs/>
          <w:szCs w:val="21"/>
        </w:rPr>
      </w:pPr>
      <w:r>
        <w:rPr>
          <w:rFonts w:hint="eastAsia" w:ascii="宋体" w:hAnsi="宋体"/>
          <w:bCs/>
          <w:szCs w:val="21"/>
        </w:rPr>
        <w:t>（6）消防广播系统；</w:t>
      </w:r>
    </w:p>
    <w:p>
      <w:pPr>
        <w:spacing w:line="460" w:lineRule="exact"/>
        <w:ind w:right="-176" w:rightChars="-84" w:firstLine="105" w:firstLineChars="50"/>
        <w:rPr>
          <w:rFonts w:ascii="宋体" w:hAnsi="宋体"/>
          <w:bCs/>
          <w:szCs w:val="21"/>
        </w:rPr>
      </w:pPr>
      <w:r>
        <w:rPr>
          <w:rFonts w:hint="eastAsia" w:ascii="宋体" w:hAnsi="宋体"/>
          <w:bCs/>
          <w:szCs w:val="21"/>
        </w:rPr>
        <w:t>(7)应急照明疏散指示。</w:t>
      </w:r>
    </w:p>
    <w:p>
      <w:pPr>
        <w:spacing w:line="460" w:lineRule="exact"/>
        <w:ind w:right="-176" w:rightChars="-84" w:firstLine="203" w:firstLineChars="97"/>
        <w:rPr>
          <w:rFonts w:ascii="宋体" w:hAnsi="宋体"/>
          <w:bCs/>
          <w:szCs w:val="21"/>
        </w:rPr>
      </w:pPr>
      <w:r>
        <w:rPr>
          <w:rFonts w:hint="eastAsia" w:ascii="宋体" w:hAnsi="宋体"/>
          <w:bCs/>
          <w:szCs w:val="21"/>
        </w:rPr>
        <w:t>设备详细清单</w:t>
      </w:r>
    </w:p>
    <w:p>
      <w:pPr>
        <w:spacing w:line="460" w:lineRule="exact"/>
        <w:ind w:right="-176" w:rightChars="-84" w:firstLine="105" w:firstLineChars="50"/>
        <w:rPr>
          <w:rFonts w:ascii="宋体" w:hAnsi="宋体"/>
          <w:bCs/>
          <w:szCs w:val="21"/>
        </w:rPr>
      </w:pPr>
      <w:r>
        <w:rPr>
          <w:rFonts w:hint="eastAsia" w:ascii="宋体" w:hAnsi="宋体"/>
          <w:bCs/>
          <w:szCs w:val="21"/>
        </w:rPr>
        <w:t>1）火灾自动报警系统</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57"/>
        <w:gridCol w:w="1231"/>
        <w:gridCol w:w="2405"/>
        <w:gridCol w:w="1917"/>
        <w:gridCol w:w="877"/>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序号</w:t>
            </w:r>
          </w:p>
        </w:tc>
        <w:tc>
          <w:tcPr>
            <w:tcW w:w="1988" w:type="dxa"/>
            <w:gridSpan w:val="2"/>
            <w:vAlign w:val="center"/>
          </w:tcPr>
          <w:p>
            <w:pPr>
              <w:spacing w:line="400" w:lineRule="exact"/>
              <w:jc w:val="center"/>
              <w:rPr>
                <w:rFonts w:ascii="宋体" w:hAnsi="宋体"/>
                <w:bCs/>
                <w:szCs w:val="21"/>
              </w:rPr>
            </w:pPr>
            <w:r>
              <w:rPr>
                <w:rFonts w:hint="eastAsia" w:ascii="宋体" w:hAnsi="宋体"/>
                <w:bCs/>
                <w:szCs w:val="21"/>
              </w:rPr>
              <w:t>区域</w:t>
            </w:r>
          </w:p>
        </w:tc>
        <w:tc>
          <w:tcPr>
            <w:tcW w:w="2405" w:type="dxa"/>
            <w:vAlign w:val="center"/>
          </w:tcPr>
          <w:p>
            <w:pPr>
              <w:spacing w:line="400" w:lineRule="exact"/>
              <w:jc w:val="center"/>
              <w:rPr>
                <w:rFonts w:ascii="宋体" w:hAnsi="宋体"/>
                <w:bCs/>
                <w:szCs w:val="21"/>
              </w:rPr>
            </w:pPr>
            <w:r>
              <w:rPr>
                <w:rFonts w:hint="eastAsia" w:ascii="宋体" w:hAnsi="宋体"/>
                <w:bCs/>
                <w:szCs w:val="21"/>
              </w:rPr>
              <w:t>设备名称</w:t>
            </w:r>
          </w:p>
        </w:tc>
        <w:tc>
          <w:tcPr>
            <w:tcW w:w="1917" w:type="dxa"/>
            <w:vAlign w:val="center"/>
          </w:tcPr>
          <w:p>
            <w:pPr>
              <w:spacing w:line="400" w:lineRule="exact"/>
              <w:jc w:val="center"/>
              <w:rPr>
                <w:rFonts w:ascii="宋体" w:hAnsi="宋体"/>
                <w:bCs/>
                <w:szCs w:val="21"/>
              </w:rPr>
            </w:pPr>
            <w:r>
              <w:rPr>
                <w:rFonts w:hint="eastAsia" w:ascii="宋体" w:hAnsi="宋体"/>
                <w:bCs/>
                <w:szCs w:val="21"/>
              </w:rPr>
              <w:t>型号规格</w:t>
            </w:r>
          </w:p>
        </w:tc>
        <w:tc>
          <w:tcPr>
            <w:tcW w:w="877" w:type="dxa"/>
            <w:vAlign w:val="center"/>
          </w:tcPr>
          <w:p>
            <w:pPr>
              <w:spacing w:line="400" w:lineRule="exact"/>
              <w:jc w:val="center"/>
              <w:rPr>
                <w:rFonts w:ascii="宋体" w:hAnsi="宋体"/>
                <w:bCs/>
                <w:szCs w:val="21"/>
              </w:rPr>
            </w:pPr>
            <w:r>
              <w:rPr>
                <w:rFonts w:hint="eastAsia" w:ascii="宋体" w:hAnsi="宋体"/>
                <w:bCs/>
                <w:szCs w:val="21"/>
              </w:rPr>
              <w:t>单位</w:t>
            </w:r>
          </w:p>
        </w:tc>
        <w:tc>
          <w:tcPr>
            <w:tcW w:w="864" w:type="dxa"/>
            <w:vAlign w:val="center"/>
          </w:tcPr>
          <w:p>
            <w:pPr>
              <w:spacing w:line="400" w:lineRule="exact"/>
              <w:jc w:val="center"/>
              <w:rPr>
                <w:rFonts w:ascii="宋体" w:hAnsi="宋体"/>
                <w:bCs/>
                <w:szCs w:val="21"/>
              </w:rPr>
            </w:pPr>
            <w:r>
              <w:rPr>
                <w:rFonts w:hint="eastAsia" w:ascii="宋体" w:hAnsi="宋体"/>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1</w:t>
            </w:r>
          </w:p>
        </w:tc>
        <w:tc>
          <w:tcPr>
            <w:tcW w:w="1988" w:type="dxa"/>
            <w:gridSpan w:val="2"/>
            <w:vAlign w:val="center"/>
          </w:tcPr>
          <w:p>
            <w:pPr>
              <w:spacing w:line="400" w:lineRule="exact"/>
              <w:jc w:val="center"/>
              <w:rPr>
                <w:rFonts w:ascii="宋体" w:hAnsi="宋体"/>
                <w:bCs/>
                <w:szCs w:val="21"/>
              </w:rPr>
            </w:pPr>
            <w:r>
              <w:rPr>
                <w:rFonts w:hint="eastAsia" w:ascii="宋体" w:hAnsi="宋体"/>
                <w:bCs/>
                <w:szCs w:val="21"/>
              </w:rPr>
              <w:t>区行政管理中心</w:t>
            </w:r>
          </w:p>
        </w:tc>
        <w:tc>
          <w:tcPr>
            <w:tcW w:w="2405" w:type="dxa"/>
            <w:vAlign w:val="center"/>
          </w:tcPr>
          <w:p>
            <w:pPr>
              <w:spacing w:line="400" w:lineRule="exact"/>
              <w:jc w:val="center"/>
              <w:rPr>
                <w:rFonts w:ascii="宋体" w:hAnsi="宋体"/>
                <w:bCs/>
                <w:szCs w:val="21"/>
              </w:rPr>
            </w:pPr>
            <w:r>
              <w:rPr>
                <w:rFonts w:hint="eastAsia" w:ascii="宋体" w:hAnsi="宋体"/>
                <w:bCs/>
                <w:szCs w:val="21"/>
              </w:rPr>
              <w:t>火灾报警控制器</w:t>
            </w:r>
          </w:p>
        </w:tc>
        <w:tc>
          <w:tcPr>
            <w:tcW w:w="1917" w:type="dxa"/>
            <w:vAlign w:val="center"/>
          </w:tcPr>
          <w:p>
            <w:pPr>
              <w:spacing w:line="400" w:lineRule="exact"/>
              <w:jc w:val="center"/>
              <w:rPr>
                <w:rFonts w:ascii="宋体" w:hAnsi="宋体"/>
                <w:bCs/>
                <w:szCs w:val="21"/>
              </w:rPr>
            </w:pPr>
            <w:r>
              <w:rPr>
                <w:rFonts w:hint="eastAsia" w:ascii="宋体" w:hAnsi="宋体"/>
                <w:bCs/>
                <w:szCs w:val="21"/>
              </w:rPr>
              <w:t>松江JB-3208型</w:t>
            </w:r>
          </w:p>
        </w:tc>
        <w:tc>
          <w:tcPr>
            <w:tcW w:w="877" w:type="dxa"/>
            <w:vAlign w:val="center"/>
          </w:tcPr>
          <w:p>
            <w:pPr>
              <w:spacing w:line="400" w:lineRule="exact"/>
              <w:jc w:val="center"/>
              <w:rPr>
                <w:rFonts w:ascii="宋体" w:hAnsi="宋体"/>
                <w:bCs/>
                <w:szCs w:val="21"/>
              </w:rPr>
            </w:pPr>
            <w:r>
              <w:rPr>
                <w:rFonts w:hint="eastAsia" w:ascii="宋体" w:hAnsi="宋体"/>
                <w:bCs/>
                <w:szCs w:val="21"/>
              </w:rPr>
              <w:t>台</w:t>
            </w:r>
          </w:p>
        </w:tc>
        <w:tc>
          <w:tcPr>
            <w:tcW w:w="864" w:type="dxa"/>
            <w:vAlign w:val="center"/>
          </w:tcPr>
          <w:p>
            <w:pPr>
              <w:spacing w:line="40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2</w:t>
            </w:r>
          </w:p>
        </w:tc>
        <w:tc>
          <w:tcPr>
            <w:tcW w:w="757" w:type="dxa"/>
            <w:vMerge w:val="restart"/>
            <w:vAlign w:val="center"/>
          </w:tcPr>
          <w:p>
            <w:pPr>
              <w:spacing w:line="400" w:lineRule="exact"/>
              <w:jc w:val="center"/>
              <w:rPr>
                <w:rFonts w:ascii="宋体" w:hAnsi="宋体"/>
                <w:bCs/>
                <w:szCs w:val="21"/>
              </w:rPr>
            </w:pPr>
          </w:p>
          <w:p>
            <w:pPr>
              <w:spacing w:line="400" w:lineRule="exact"/>
              <w:jc w:val="center"/>
              <w:rPr>
                <w:rFonts w:ascii="宋体" w:hAnsi="宋体"/>
                <w:bCs/>
                <w:szCs w:val="21"/>
              </w:rPr>
            </w:pPr>
            <w:r>
              <w:rPr>
                <w:rFonts w:hint="eastAsia" w:ascii="宋体" w:hAnsi="宋体"/>
                <w:bCs/>
                <w:szCs w:val="21"/>
              </w:rPr>
              <w:t>区</w:t>
            </w:r>
          </w:p>
          <w:p>
            <w:pPr>
              <w:spacing w:line="400" w:lineRule="exact"/>
              <w:jc w:val="center"/>
              <w:rPr>
                <w:rFonts w:ascii="宋体" w:hAnsi="宋体"/>
                <w:bCs/>
                <w:szCs w:val="21"/>
              </w:rPr>
            </w:pPr>
            <w:r>
              <w:rPr>
                <w:rFonts w:hint="eastAsia" w:ascii="宋体" w:hAnsi="宋体"/>
                <w:bCs/>
                <w:szCs w:val="21"/>
              </w:rPr>
              <w:t>行</w:t>
            </w:r>
          </w:p>
          <w:p>
            <w:pPr>
              <w:spacing w:line="400" w:lineRule="exact"/>
              <w:jc w:val="center"/>
              <w:rPr>
                <w:rFonts w:ascii="宋体" w:hAnsi="宋体"/>
                <w:bCs/>
                <w:szCs w:val="21"/>
              </w:rPr>
            </w:pPr>
            <w:r>
              <w:rPr>
                <w:rFonts w:hint="eastAsia" w:ascii="宋体" w:hAnsi="宋体"/>
                <w:bCs/>
                <w:szCs w:val="21"/>
              </w:rPr>
              <w:t>政</w:t>
            </w:r>
          </w:p>
          <w:p>
            <w:pPr>
              <w:spacing w:line="400" w:lineRule="exact"/>
              <w:jc w:val="center"/>
              <w:rPr>
                <w:rFonts w:ascii="宋体" w:hAnsi="宋体"/>
                <w:bCs/>
                <w:szCs w:val="21"/>
              </w:rPr>
            </w:pPr>
            <w:r>
              <w:rPr>
                <w:rFonts w:hint="eastAsia" w:ascii="宋体" w:hAnsi="宋体"/>
                <w:bCs/>
                <w:szCs w:val="21"/>
              </w:rPr>
              <w:t>管</w:t>
            </w:r>
          </w:p>
          <w:p>
            <w:pPr>
              <w:spacing w:line="400" w:lineRule="exact"/>
              <w:jc w:val="center"/>
              <w:rPr>
                <w:rFonts w:ascii="宋体" w:hAnsi="宋体"/>
                <w:bCs/>
                <w:szCs w:val="21"/>
              </w:rPr>
            </w:pPr>
            <w:r>
              <w:rPr>
                <w:rFonts w:hint="eastAsia" w:ascii="宋体" w:hAnsi="宋体"/>
                <w:bCs/>
                <w:szCs w:val="21"/>
              </w:rPr>
              <w:t>理</w:t>
            </w:r>
          </w:p>
          <w:p>
            <w:pPr>
              <w:spacing w:line="400" w:lineRule="exact"/>
              <w:jc w:val="center"/>
              <w:rPr>
                <w:rFonts w:ascii="宋体" w:hAnsi="宋体"/>
                <w:bCs/>
                <w:szCs w:val="21"/>
              </w:rPr>
            </w:pPr>
            <w:r>
              <w:rPr>
                <w:rFonts w:hint="eastAsia" w:ascii="宋体" w:hAnsi="宋体"/>
                <w:bCs/>
                <w:szCs w:val="21"/>
              </w:rPr>
              <w:t>中</w:t>
            </w:r>
          </w:p>
          <w:p>
            <w:pPr>
              <w:spacing w:line="400" w:lineRule="exact"/>
              <w:jc w:val="center"/>
              <w:rPr>
                <w:rFonts w:ascii="宋体" w:hAnsi="宋体"/>
                <w:bCs/>
                <w:szCs w:val="21"/>
              </w:rPr>
            </w:pPr>
            <w:r>
              <w:rPr>
                <w:rFonts w:hint="eastAsia" w:ascii="宋体" w:hAnsi="宋体"/>
                <w:bCs/>
                <w:szCs w:val="21"/>
              </w:rPr>
              <w:t>心</w:t>
            </w:r>
          </w:p>
          <w:p>
            <w:pPr>
              <w:spacing w:line="400" w:lineRule="exact"/>
              <w:jc w:val="center"/>
              <w:rPr>
                <w:rFonts w:ascii="宋体" w:hAnsi="宋体"/>
                <w:bCs/>
                <w:szCs w:val="21"/>
              </w:rPr>
            </w:pPr>
            <w:r>
              <w:rPr>
                <w:rFonts w:hint="eastAsia" w:ascii="宋体" w:hAnsi="宋体"/>
                <w:bCs/>
                <w:szCs w:val="21"/>
              </w:rPr>
              <w:t>区</w:t>
            </w:r>
          </w:p>
          <w:p>
            <w:pPr>
              <w:spacing w:line="400" w:lineRule="exact"/>
              <w:jc w:val="center"/>
              <w:rPr>
                <w:rFonts w:ascii="宋体" w:hAnsi="宋体"/>
                <w:bCs/>
                <w:szCs w:val="21"/>
              </w:rPr>
            </w:pPr>
            <w:r>
              <w:rPr>
                <w:rFonts w:hint="eastAsia" w:ascii="宋体" w:hAnsi="宋体"/>
                <w:bCs/>
                <w:szCs w:val="21"/>
              </w:rPr>
              <w:t>行</w:t>
            </w:r>
          </w:p>
          <w:p>
            <w:pPr>
              <w:spacing w:line="400" w:lineRule="exact"/>
              <w:jc w:val="center"/>
              <w:rPr>
                <w:rFonts w:ascii="宋体" w:hAnsi="宋体"/>
                <w:bCs/>
                <w:szCs w:val="21"/>
              </w:rPr>
            </w:pPr>
            <w:r>
              <w:rPr>
                <w:rFonts w:hint="eastAsia" w:ascii="宋体" w:hAnsi="宋体"/>
                <w:bCs/>
                <w:szCs w:val="21"/>
              </w:rPr>
              <w:t>政</w:t>
            </w:r>
          </w:p>
          <w:p>
            <w:pPr>
              <w:spacing w:line="400" w:lineRule="exact"/>
              <w:jc w:val="center"/>
              <w:rPr>
                <w:rFonts w:ascii="宋体" w:hAnsi="宋体"/>
                <w:bCs/>
                <w:szCs w:val="21"/>
              </w:rPr>
            </w:pPr>
            <w:r>
              <w:rPr>
                <w:rFonts w:hint="eastAsia" w:ascii="宋体" w:hAnsi="宋体"/>
                <w:bCs/>
                <w:szCs w:val="21"/>
              </w:rPr>
              <w:t>管</w:t>
            </w:r>
          </w:p>
          <w:p>
            <w:pPr>
              <w:spacing w:line="400" w:lineRule="exact"/>
              <w:jc w:val="center"/>
              <w:rPr>
                <w:rFonts w:ascii="宋体" w:hAnsi="宋体"/>
                <w:bCs/>
                <w:szCs w:val="21"/>
              </w:rPr>
            </w:pPr>
            <w:r>
              <w:rPr>
                <w:rFonts w:hint="eastAsia" w:ascii="宋体" w:hAnsi="宋体"/>
                <w:bCs/>
                <w:szCs w:val="21"/>
              </w:rPr>
              <w:t>理</w:t>
            </w:r>
          </w:p>
          <w:p>
            <w:pPr>
              <w:spacing w:line="400" w:lineRule="exact"/>
              <w:jc w:val="center"/>
              <w:rPr>
                <w:rFonts w:ascii="宋体" w:hAnsi="宋体"/>
                <w:bCs/>
                <w:szCs w:val="21"/>
              </w:rPr>
            </w:pPr>
            <w:r>
              <w:rPr>
                <w:rFonts w:hint="eastAsia" w:ascii="宋体" w:hAnsi="宋体"/>
                <w:bCs/>
                <w:szCs w:val="21"/>
              </w:rPr>
              <w:t>中</w:t>
            </w:r>
          </w:p>
          <w:p>
            <w:pPr>
              <w:spacing w:line="400" w:lineRule="exact"/>
              <w:jc w:val="center"/>
              <w:rPr>
                <w:rFonts w:ascii="宋体" w:hAnsi="宋体"/>
                <w:bCs/>
                <w:szCs w:val="21"/>
              </w:rPr>
            </w:pPr>
            <w:r>
              <w:rPr>
                <w:rFonts w:hint="eastAsia" w:ascii="宋体" w:hAnsi="宋体"/>
                <w:bCs/>
                <w:szCs w:val="21"/>
              </w:rPr>
              <w:t>心</w:t>
            </w:r>
          </w:p>
          <w:p>
            <w:pPr>
              <w:spacing w:line="400" w:lineRule="exact"/>
              <w:jc w:val="center"/>
              <w:rPr>
                <w:rFonts w:ascii="宋体" w:hAnsi="宋体"/>
                <w:bCs/>
                <w:szCs w:val="21"/>
              </w:rPr>
            </w:pPr>
          </w:p>
        </w:tc>
        <w:tc>
          <w:tcPr>
            <w:tcW w:w="1231" w:type="dxa"/>
            <w:vMerge w:val="restart"/>
            <w:vAlign w:val="center"/>
          </w:tcPr>
          <w:p>
            <w:pPr>
              <w:spacing w:line="400" w:lineRule="exact"/>
              <w:jc w:val="center"/>
              <w:rPr>
                <w:rFonts w:ascii="宋体" w:hAnsi="宋体"/>
                <w:bCs/>
                <w:szCs w:val="21"/>
              </w:rPr>
            </w:pPr>
            <w:r>
              <w:rPr>
                <w:rFonts w:hint="eastAsia" w:ascii="宋体" w:hAnsi="宋体"/>
                <w:bCs/>
                <w:szCs w:val="21"/>
              </w:rPr>
              <w:t>主楼</w:t>
            </w:r>
          </w:p>
        </w:tc>
        <w:tc>
          <w:tcPr>
            <w:tcW w:w="2405" w:type="dxa"/>
            <w:vAlign w:val="center"/>
          </w:tcPr>
          <w:p>
            <w:pPr>
              <w:spacing w:line="400" w:lineRule="exact"/>
              <w:jc w:val="center"/>
              <w:rPr>
                <w:rFonts w:ascii="宋体" w:hAnsi="宋体"/>
                <w:bCs/>
                <w:szCs w:val="21"/>
              </w:rPr>
            </w:pPr>
            <w:r>
              <w:rPr>
                <w:rFonts w:hint="eastAsia" w:ascii="宋体" w:hAnsi="宋体"/>
                <w:bCs/>
                <w:szCs w:val="21"/>
              </w:rPr>
              <w:t>烟感</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3</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温感</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4</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底座</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5</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手报按钮</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6</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区域输出模块</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7</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区域输入模块</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8</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区域输入输出模块</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9</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声光报警器</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10</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楼层显示器</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11</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固定电话分机</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只</w:t>
            </w:r>
          </w:p>
        </w:tc>
        <w:tc>
          <w:tcPr>
            <w:tcW w:w="864" w:type="dxa"/>
            <w:vAlign w:val="center"/>
          </w:tcPr>
          <w:p>
            <w:pPr>
              <w:spacing w:line="400" w:lineRule="exact"/>
              <w:jc w:val="center"/>
              <w:rPr>
                <w:rFonts w:ascii="宋体" w:hAnsi="宋体"/>
                <w:bCs/>
                <w:szCs w:val="21"/>
              </w:rPr>
            </w:pPr>
            <w:r>
              <w:rPr>
                <w:rFonts w:hint="eastAsia" w:ascii="宋体" w:hAnsi="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12</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集中供电电源</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组</w:t>
            </w:r>
          </w:p>
        </w:tc>
        <w:tc>
          <w:tcPr>
            <w:tcW w:w="864" w:type="dxa"/>
            <w:vAlign w:val="center"/>
          </w:tcPr>
          <w:p>
            <w:pPr>
              <w:spacing w:line="40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Merge w:val="restart"/>
            <w:vAlign w:val="center"/>
          </w:tcPr>
          <w:p>
            <w:pPr>
              <w:spacing w:line="400" w:lineRule="exact"/>
              <w:jc w:val="center"/>
              <w:rPr>
                <w:rFonts w:ascii="宋体" w:hAnsi="宋体"/>
                <w:bCs/>
                <w:szCs w:val="21"/>
              </w:rPr>
            </w:pPr>
            <w:r>
              <w:rPr>
                <w:rFonts w:hint="eastAsia" w:ascii="宋体" w:hAnsi="宋体"/>
                <w:bCs/>
                <w:szCs w:val="21"/>
              </w:rPr>
              <w:t>13</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回路</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Merge w:val="continue"/>
            <w:vAlign w:val="center"/>
          </w:tcPr>
          <w:p>
            <w:pPr>
              <w:spacing w:line="400" w:lineRule="exact"/>
              <w:jc w:val="center"/>
              <w:rPr>
                <w:rFonts w:ascii="宋体" w:hAnsi="宋体"/>
                <w:bCs/>
                <w:szCs w:val="21"/>
              </w:rPr>
            </w:pP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消防广播</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14</w:t>
            </w:r>
          </w:p>
        </w:tc>
        <w:tc>
          <w:tcPr>
            <w:tcW w:w="757" w:type="dxa"/>
            <w:vMerge w:val="continue"/>
            <w:vAlign w:val="center"/>
          </w:tcPr>
          <w:p>
            <w:pPr>
              <w:spacing w:line="400" w:lineRule="exact"/>
              <w:jc w:val="center"/>
              <w:rPr>
                <w:rFonts w:ascii="宋体" w:hAnsi="宋体"/>
                <w:bCs/>
                <w:szCs w:val="21"/>
              </w:rPr>
            </w:pPr>
          </w:p>
        </w:tc>
        <w:tc>
          <w:tcPr>
            <w:tcW w:w="1231" w:type="dxa"/>
            <w:vMerge w:val="restart"/>
            <w:vAlign w:val="center"/>
          </w:tcPr>
          <w:p>
            <w:pPr>
              <w:spacing w:line="400" w:lineRule="exact"/>
              <w:jc w:val="center"/>
              <w:rPr>
                <w:rFonts w:ascii="宋体" w:hAnsi="宋体"/>
                <w:bCs/>
                <w:szCs w:val="21"/>
              </w:rPr>
            </w:pPr>
            <w:r>
              <w:rPr>
                <w:rFonts w:hint="eastAsia" w:ascii="宋体" w:hAnsi="宋体"/>
                <w:bCs/>
                <w:szCs w:val="21"/>
              </w:rPr>
              <w:t>档案馆</w:t>
            </w:r>
          </w:p>
        </w:tc>
        <w:tc>
          <w:tcPr>
            <w:tcW w:w="2405" w:type="dxa"/>
            <w:vAlign w:val="center"/>
          </w:tcPr>
          <w:p>
            <w:pPr>
              <w:spacing w:line="400" w:lineRule="exact"/>
              <w:jc w:val="center"/>
              <w:rPr>
                <w:rFonts w:ascii="宋体" w:hAnsi="宋体"/>
                <w:bCs/>
                <w:szCs w:val="21"/>
              </w:rPr>
            </w:pPr>
            <w:r>
              <w:rPr>
                <w:rFonts w:hint="eastAsia" w:ascii="宋体" w:hAnsi="宋体"/>
                <w:bCs/>
                <w:szCs w:val="21"/>
              </w:rPr>
              <w:t>烟感</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15</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湿式报警器</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16</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温感</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17</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底座</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18</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手报按钮</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19</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消防广播</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20</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声光报警器</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21</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楼层显示器</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22</w:t>
            </w:r>
          </w:p>
        </w:tc>
        <w:tc>
          <w:tcPr>
            <w:tcW w:w="757" w:type="dxa"/>
            <w:vMerge w:val="continue"/>
            <w:vAlign w:val="center"/>
          </w:tcPr>
          <w:p>
            <w:pPr>
              <w:spacing w:line="400" w:lineRule="exact"/>
              <w:jc w:val="center"/>
              <w:rPr>
                <w:rFonts w:ascii="宋体" w:hAnsi="宋体"/>
                <w:bCs/>
                <w:szCs w:val="21"/>
              </w:rPr>
            </w:pPr>
          </w:p>
        </w:tc>
        <w:tc>
          <w:tcPr>
            <w:tcW w:w="1231" w:type="dxa"/>
            <w:vMerge w:val="restart"/>
            <w:vAlign w:val="center"/>
          </w:tcPr>
          <w:p>
            <w:pPr>
              <w:spacing w:line="400" w:lineRule="exact"/>
              <w:jc w:val="center"/>
              <w:rPr>
                <w:rFonts w:ascii="宋体" w:hAnsi="宋体"/>
                <w:bCs/>
                <w:szCs w:val="21"/>
              </w:rPr>
            </w:pPr>
            <w:r>
              <w:rPr>
                <w:rFonts w:hint="eastAsia" w:ascii="宋体" w:hAnsi="宋体"/>
                <w:bCs/>
                <w:szCs w:val="21"/>
              </w:rPr>
              <w:t>食堂</w:t>
            </w:r>
          </w:p>
        </w:tc>
        <w:tc>
          <w:tcPr>
            <w:tcW w:w="2405" w:type="dxa"/>
            <w:vAlign w:val="center"/>
          </w:tcPr>
          <w:p>
            <w:pPr>
              <w:spacing w:line="400" w:lineRule="exact"/>
              <w:jc w:val="center"/>
              <w:rPr>
                <w:rFonts w:ascii="宋体" w:hAnsi="宋体"/>
                <w:bCs/>
                <w:szCs w:val="21"/>
              </w:rPr>
            </w:pPr>
            <w:r>
              <w:rPr>
                <w:rFonts w:hint="eastAsia" w:ascii="宋体" w:hAnsi="宋体"/>
                <w:bCs/>
                <w:szCs w:val="21"/>
              </w:rPr>
              <w:t>烟感</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23</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温感</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24</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底座</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25</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手报按钮</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27</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消防广播</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28</w:t>
            </w:r>
          </w:p>
        </w:tc>
        <w:tc>
          <w:tcPr>
            <w:tcW w:w="757" w:type="dxa"/>
            <w:vMerge w:val="continue"/>
            <w:vAlign w:val="center"/>
          </w:tcPr>
          <w:p>
            <w:pPr>
              <w:spacing w:line="400" w:lineRule="exact"/>
              <w:jc w:val="center"/>
              <w:rPr>
                <w:rFonts w:ascii="宋体" w:hAnsi="宋体"/>
                <w:bCs/>
                <w:szCs w:val="21"/>
              </w:rPr>
            </w:pPr>
          </w:p>
        </w:tc>
        <w:tc>
          <w:tcPr>
            <w:tcW w:w="1231" w:type="dxa"/>
            <w:vMerge w:val="continue"/>
            <w:vAlign w:val="center"/>
          </w:tcPr>
          <w:p>
            <w:pPr>
              <w:spacing w:line="400" w:lineRule="exact"/>
              <w:jc w:val="center"/>
              <w:rPr>
                <w:rFonts w:ascii="宋体" w:hAnsi="宋体"/>
                <w:bCs/>
                <w:szCs w:val="21"/>
              </w:rPr>
            </w:pPr>
          </w:p>
        </w:tc>
        <w:tc>
          <w:tcPr>
            <w:tcW w:w="2405" w:type="dxa"/>
            <w:vAlign w:val="center"/>
          </w:tcPr>
          <w:p>
            <w:pPr>
              <w:spacing w:line="400" w:lineRule="exact"/>
              <w:jc w:val="center"/>
              <w:rPr>
                <w:rFonts w:ascii="宋体" w:hAnsi="宋体"/>
                <w:bCs/>
                <w:szCs w:val="21"/>
              </w:rPr>
            </w:pPr>
            <w:r>
              <w:rPr>
                <w:rFonts w:hint="eastAsia" w:ascii="宋体" w:hAnsi="宋体"/>
                <w:bCs/>
                <w:szCs w:val="21"/>
              </w:rPr>
              <w:t>声光报警器</w:t>
            </w:r>
          </w:p>
        </w:tc>
        <w:tc>
          <w:tcPr>
            <w:tcW w:w="1917" w:type="dxa"/>
            <w:vAlign w:val="center"/>
          </w:tcPr>
          <w:p>
            <w:pPr>
              <w:spacing w:line="400" w:lineRule="exact"/>
              <w:jc w:val="center"/>
              <w:rPr>
                <w:rFonts w:ascii="宋体" w:hAnsi="宋体"/>
                <w:bCs/>
                <w:szCs w:val="21"/>
              </w:rPr>
            </w:pPr>
          </w:p>
        </w:tc>
        <w:tc>
          <w:tcPr>
            <w:tcW w:w="877" w:type="dxa"/>
            <w:vAlign w:val="center"/>
          </w:tcPr>
          <w:p>
            <w:pPr>
              <w:spacing w:line="400" w:lineRule="exact"/>
              <w:jc w:val="center"/>
              <w:rPr>
                <w:rFonts w:ascii="宋体" w:hAnsi="宋体"/>
                <w:bCs/>
                <w:szCs w:val="21"/>
              </w:rPr>
            </w:pPr>
            <w:r>
              <w:rPr>
                <w:rFonts w:hint="eastAsia" w:ascii="宋体" w:hAnsi="宋体"/>
                <w:bCs/>
                <w:szCs w:val="21"/>
              </w:rPr>
              <w:t>个</w:t>
            </w:r>
          </w:p>
        </w:tc>
        <w:tc>
          <w:tcPr>
            <w:tcW w:w="864" w:type="dxa"/>
            <w:vAlign w:val="center"/>
          </w:tcPr>
          <w:p>
            <w:pPr>
              <w:spacing w:line="400" w:lineRule="exact"/>
              <w:jc w:val="center"/>
              <w:rPr>
                <w:rFonts w:ascii="宋体" w:hAnsi="宋体"/>
                <w:bCs/>
                <w:szCs w:val="21"/>
              </w:rPr>
            </w:pPr>
            <w:r>
              <w:rPr>
                <w:rFonts w:hint="eastAsia" w:ascii="宋体" w:hAnsi="宋体"/>
                <w:bCs/>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29</w:t>
            </w:r>
          </w:p>
        </w:tc>
        <w:tc>
          <w:tcPr>
            <w:tcW w:w="1988" w:type="dxa"/>
            <w:gridSpan w:val="2"/>
            <w:vMerge w:val="restart"/>
            <w:vAlign w:val="center"/>
          </w:tcPr>
          <w:p>
            <w:pPr>
              <w:spacing w:line="400" w:lineRule="exact"/>
              <w:jc w:val="center"/>
              <w:rPr>
                <w:rFonts w:ascii="宋体" w:hAnsi="宋体"/>
                <w:bCs/>
                <w:szCs w:val="21"/>
              </w:rPr>
            </w:pPr>
          </w:p>
          <w:p>
            <w:pPr>
              <w:spacing w:line="400" w:lineRule="exact"/>
              <w:jc w:val="center"/>
              <w:rPr>
                <w:rFonts w:ascii="宋体" w:hAnsi="宋体"/>
                <w:bCs/>
                <w:szCs w:val="21"/>
              </w:rPr>
            </w:pPr>
          </w:p>
          <w:p>
            <w:pPr>
              <w:spacing w:line="400" w:lineRule="exact"/>
              <w:jc w:val="center"/>
              <w:rPr>
                <w:rFonts w:ascii="宋体" w:hAnsi="宋体"/>
                <w:bCs/>
                <w:szCs w:val="21"/>
              </w:rPr>
            </w:pPr>
          </w:p>
          <w:p>
            <w:pPr>
              <w:spacing w:line="400" w:lineRule="exact"/>
              <w:jc w:val="center"/>
              <w:rPr>
                <w:rFonts w:ascii="宋体" w:hAnsi="宋体"/>
                <w:bCs/>
                <w:szCs w:val="21"/>
              </w:rPr>
            </w:pPr>
            <w:r>
              <w:rPr>
                <w:rFonts w:hint="eastAsia" w:ascii="宋体" w:hAnsi="宋体"/>
                <w:bCs/>
                <w:szCs w:val="21"/>
              </w:rPr>
              <w:t>区文化中心</w:t>
            </w:r>
          </w:p>
          <w:p>
            <w:pPr>
              <w:spacing w:line="400" w:lineRule="exact"/>
              <w:jc w:val="center"/>
              <w:rPr>
                <w:rFonts w:ascii="宋体" w:hAnsi="宋体"/>
                <w:bCs/>
                <w:szCs w:val="21"/>
              </w:rPr>
            </w:pPr>
          </w:p>
          <w:p>
            <w:pPr>
              <w:spacing w:line="400" w:lineRule="exact"/>
              <w:jc w:val="center"/>
              <w:rPr>
                <w:rFonts w:ascii="宋体" w:hAnsi="宋体"/>
                <w:bCs/>
                <w:szCs w:val="21"/>
              </w:rPr>
            </w:pPr>
          </w:p>
          <w:p>
            <w:pPr>
              <w:spacing w:line="400" w:lineRule="exact"/>
              <w:jc w:val="center"/>
              <w:rPr>
                <w:rFonts w:ascii="宋体" w:hAnsi="宋体"/>
                <w:bCs/>
                <w:szCs w:val="21"/>
              </w:rPr>
            </w:pPr>
          </w:p>
          <w:p>
            <w:pPr>
              <w:spacing w:line="400" w:lineRule="exact"/>
              <w:jc w:val="center"/>
              <w:rPr>
                <w:rFonts w:ascii="宋体" w:hAnsi="宋体"/>
                <w:bCs/>
                <w:szCs w:val="21"/>
              </w:rPr>
            </w:pPr>
          </w:p>
          <w:p>
            <w:pPr>
              <w:spacing w:line="400" w:lineRule="exact"/>
              <w:jc w:val="center"/>
              <w:rPr>
                <w:rFonts w:ascii="宋体" w:hAnsi="宋体"/>
                <w:bCs/>
                <w:szCs w:val="21"/>
              </w:rPr>
            </w:pPr>
            <w:r>
              <w:rPr>
                <w:rFonts w:hint="eastAsia" w:ascii="宋体" w:hAnsi="宋体"/>
                <w:bCs/>
                <w:szCs w:val="21"/>
              </w:rPr>
              <w:t>区文化中心</w:t>
            </w:r>
          </w:p>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火灾报警控制器</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套</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30</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烟感</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31</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温感</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32</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底座</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33</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手报按钮</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34</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区域输入模块</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35</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区域输入输出模块</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36</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声光报警器</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只</w:t>
            </w:r>
          </w:p>
        </w:tc>
        <w:tc>
          <w:tcPr>
            <w:tcW w:w="864" w:type="dxa"/>
            <w:vAlign w:val="center"/>
          </w:tcPr>
          <w:p>
            <w:pPr>
              <w:jc w:val="center"/>
              <w:rPr>
                <w:rFonts w:ascii="宋体" w:hAnsi="宋体"/>
                <w:bCs/>
                <w:szCs w:val="21"/>
              </w:rPr>
            </w:pPr>
            <w:r>
              <w:rPr>
                <w:rFonts w:hint="eastAsia" w:ascii="宋体" w:hAnsi="宋体"/>
                <w:bCs/>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37</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固定电话分机</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部</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38</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电话调试分机</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部</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39</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集中供电电源</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组</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40</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回路</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41</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CRT显示系统</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套</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42</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电脑主机</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台</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43</w:t>
            </w:r>
          </w:p>
        </w:tc>
        <w:tc>
          <w:tcPr>
            <w:tcW w:w="1988" w:type="dxa"/>
            <w:gridSpan w:val="2"/>
            <w:vMerge w:val="restart"/>
            <w:vAlign w:val="center"/>
          </w:tcPr>
          <w:p>
            <w:pPr>
              <w:spacing w:line="400" w:lineRule="exact"/>
              <w:jc w:val="center"/>
              <w:rPr>
                <w:rFonts w:ascii="宋体" w:hAnsi="宋体"/>
                <w:bCs/>
                <w:szCs w:val="21"/>
              </w:rPr>
            </w:pPr>
            <w:r>
              <w:rPr>
                <w:rFonts w:hint="eastAsia" w:ascii="宋体" w:hAnsi="宋体"/>
                <w:bCs/>
                <w:szCs w:val="21"/>
              </w:rPr>
              <w:t>市民活动中心</w:t>
            </w:r>
          </w:p>
        </w:tc>
        <w:tc>
          <w:tcPr>
            <w:tcW w:w="2405" w:type="dxa"/>
            <w:vAlign w:val="center"/>
          </w:tcPr>
          <w:p>
            <w:pPr>
              <w:jc w:val="center"/>
              <w:rPr>
                <w:rFonts w:ascii="宋体" w:hAnsi="宋体"/>
                <w:bCs/>
                <w:szCs w:val="21"/>
              </w:rPr>
            </w:pPr>
            <w:r>
              <w:rPr>
                <w:rFonts w:hint="eastAsia" w:ascii="宋体" w:hAnsi="宋体"/>
                <w:bCs/>
                <w:szCs w:val="21"/>
              </w:rPr>
              <w:t>火灾报警控制器</w:t>
            </w:r>
          </w:p>
        </w:tc>
        <w:tc>
          <w:tcPr>
            <w:tcW w:w="1917" w:type="dxa"/>
            <w:vAlign w:val="center"/>
          </w:tcPr>
          <w:p>
            <w:pPr>
              <w:spacing w:line="400" w:lineRule="exact"/>
              <w:jc w:val="center"/>
              <w:rPr>
                <w:rFonts w:ascii="宋体" w:hAnsi="宋体"/>
                <w:bCs/>
                <w:szCs w:val="21"/>
              </w:rPr>
            </w:pPr>
            <w:r>
              <w:rPr>
                <w:rFonts w:hint="eastAsia" w:ascii="宋体" w:hAnsi="宋体"/>
                <w:bCs/>
                <w:szCs w:val="21"/>
              </w:rPr>
              <w:t>松江JB-3101G型</w:t>
            </w:r>
          </w:p>
        </w:tc>
        <w:tc>
          <w:tcPr>
            <w:tcW w:w="877" w:type="dxa"/>
            <w:vAlign w:val="center"/>
          </w:tcPr>
          <w:p>
            <w:pPr>
              <w:spacing w:line="400" w:lineRule="exact"/>
              <w:jc w:val="center"/>
              <w:rPr>
                <w:rFonts w:ascii="宋体" w:hAnsi="宋体"/>
                <w:bCs/>
                <w:szCs w:val="21"/>
              </w:rPr>
            </w:pPr>
            <w:r>
              <w:rPr>
                <w:rFonts w:hint="eastAsia" w:ascii="宋体" w:hAnsi="宋体"/>
                <w:bCs/>
                <w:szCs w:val="21"/>
              </w:rPr>
              <w:t>台</w:t>
            </w:r>
          </w:p>
        </w:tc>
        <w:tc>
          <w:tcPr>
            <w:tcW w:w="864" w:type="dxa"/>
            <w:vAlign w:val="center"/>
          </w:tcPr>
          <w:p>
            <w:pPr>
              <w:spacing w:line="40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44</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烟感</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45</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温感</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46</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底座</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47</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手报按钮</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48</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区域输出模块</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49</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区域输入模块</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50</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区域输入输出模块</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51</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声光报警器</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52</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固定电话分机</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部</w:t>
            </w:r>
          </w:p>
        </w:tc>
        <w:tc>
          <w:tcPr>
            <w:tcW w:w="864" w:type="dxa"/>
            <w:vAlign w:val="center"/>
          </w:tcPr>
          <w:p>
            <w:pPr>
              <w:jc w:val="center"/>
              <w:rPr>
                <w:rFonts w:ascii="宋体" w:hAnsi="宋体"/>
                <w:bCs/>
                <w:szCs w:val="21"/>
              </w:rPr>
            </w:pPr>
            <w:r>
              <w:rPr>
                <w:rFonts w:hint="eastAsia" w:ascii="宋体" w:hAnsi="宋体"/>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53</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集中供电电源</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组</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54</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消火栓按钮</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55</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防火控制系统装置调试</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56</w:t>
            </w:r>
          </w:p>
        </w:tc>
        <w:tc>
          <w:tcPr>
            <w:tcW w:w="1988" w:type="dxa"/>
            <w:gridSpan w:val="2"/>
            <w:vMerge w:val="restart"/>
            <w:vAlign w:val="center"/>
          </w:tcPr>
          <w:p>
            <w:pPr>
              <w:spacing w:line="400" w:lineRule="exact"/>
              <w:jc w:val="center"/>
              <w:rPr>
                <w:rFonts w:ascii="宋体" w:hAnsi="宋体"/>
                <w:bCs/>
                <w:szCs w:val="21"/>
              </w:rPr>
            </w:pPr>
          </w:p>
          <w:p>
            <w:pPr>
              <w:spacing w:line="400" w:lineRule="exact"/>
              <w:jc w:val="center"/>
              <w:rPr>
                <w:rFonts w:ascii="宋体" w:hAnsi="宋体"/>
                <w:bCs/>
                <w:szCs w:val="21"/>
              </w:rPr>
            </w:pPr>
            <w:r>
              <w:rPr>
                <w:rFonts w:hint="eastAsia" w:ascii="宋体" w:hAnsi="宋体"/>
                <w:bCs/>
                <w:szCs w:val="21"/>
              </w:rPr>
              <w:t>人防大楼</w:t>
            </w:r>
          </w:p>
          <w:p>
            <w:pPr>
              <w:spacing w:line="400" w:lineRule="exact"/>
              <w:jc w:val="center"/>
              <w:rPr>
                <w:rFonts w:ascii="宋体" w:hAnsi="宋体"/>
                <w:bCs/>
                <w:szCs w:val="21"/>
              </w:rPr>
            </w:pPr>
          </w:p>
          <w:p>
            <w:pPr>
              <w:spacing w:line="400" w:lineRule="exact"/>
              <w:jc w:val="center"/>
              <w:rPr>
                <w:rFonts w:ascii="宋体" w:hAnsi="宋体"/>
                <w:bCs/>
                <w:szCs w:val="21"/>
              </w:rPr>
            </w:pPr>
          </w:p>
          <w:p>
            <w:pPr>
              <w:spacing w:line="400" w:lineRule="exact"/>
              <w:jc w:val="center"/>
              <w:rPr>
                <w:rFonts w:ascii="宋体" w:hAnsi="宋体"/>
                <w:bCs/>
                <w:szCs w:val="21"/>
              </w:rPr>
            </w:pPr>
            <w:r>
              <w:rPr>
                <w:rFonts w:hint="eastAsia" w:ascii="宋体" w:hAnsi="宋体"/>
                <w:bCs/>
                <w:szCs w:val="21"/>
              </w:rPr>
              <w:t>人防大楼</w:t>
            </w:r>
          </w:p>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火灾报警控制器</w:t>
            </w:r>
          </w:p>
        </w:tc>
        <w:tc>
          <w:tcPr>
            <w:tcW w:w="1917" w:type="dxa"/>
            <w:vAlign w:val="center"/>
          </w:tcPr>
          <w:p>
            <w:pPr>
              <w:jc w:val="center"/>
              <w:rPr>
                <w:rFonts w:ascii="宋体" w:hAnsi="宋体"/>
                <w:bCs/>
                <w:szCs w:val="21"/>
              </w:rPr>
            </w:pPr>
            <w:r>
              <w:rPr>
                <w:rFonts w:hint="eastAsia" w:ascii="宋体" w:hAnsi="宋体"/>
                <w:bCs/>
                <w:szCs w:val="21"/>
              </w:rPr>
              <w:t>北大青鸟</w:t>
            </w:r>
          </w:p>
        </w:tc>
        <w:tc>
          <w:tcPr>
            <w:tcW w:w="877" w:type="dxa"/>
            <w:vAlign w:val="center"/>
          </w:tcPr>
          <w:p>
            <w:pPr>
              <w:jc w:val="center"/>
              <w:rPr>
                <w:rFonts w:ascii="宋体" w:hAnsi="宋体"/>
                <w:bCs/>
                <w:szCs w:val="21"/>
              </w:rPr>
            </w:pPr>
            <w:r>
              <w:rPr>
                <w:rFonts w:hint="eastAsia" w:ascii="宋体" w:hAnsi="宋体"/>
                <w:bCs/>
                <w:szCs w:val="21"/>
              </w:rPr>
              <w:t>台</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57</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烟感</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58</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温感</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59</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底座</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60</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手报按钮</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61</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区域输入模块</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62</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区域输入输出模块</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63</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声光报警器</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64</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固定电话分机</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65</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集中供电电源</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组</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66</w:t>
            </w:r>
          </w:p>
        </w:tc>
        <w:tc>
          <w:tcPr>
            <w:tcW w:w="1988" w:type="dxa"/>
            <w:gridSpan w:val="2"/>
            <w:vMerge w:val="restart"/>
            <w:vAlign w:val="center"/>
          </w:tcPr>
          <w:p>
            <w:pPr>
              <w:spacing w:line="400" w:lineRule="exact"/>
              <w:jc w:val="center"/>
              <w:rPr>
                <w:rFonts w:ascii="宋体" w:hAnsi="宋体"/>
                <w:bCs/>
                <w:szCs w:val="21"/>
              </w:rPr>
            </w:pPr>
            <w:r>
              <w:rPr>
                <w:rFonts w:hint="eastAsia" w:ascii="宋体" w:hAnsi="宋体"/>
                <w:bCs/>
                <w:szCs w:val="21"/>
              </w:rPr>
              <w:t>图书馆</w:t>
            </w:r>
          </w:p>
        </w:tc>
        <w:tc>
          <w:tcPr>
            <w:tcW w:w="2405" w:type="dxa"/>
            <w:vAlign w:val="center"/>
          </w:tcPr>
          <w:p>
            <w:pPr>
              <w:jc w:val="center"/>
              <w:rPr>
                <w:rFonts w:ascii="宋体" w:hAnsi="宋体"/>
                <w:bCs/>
                <w:szCs w:val="21"/>
              </w:rPr>
            </w:pPr>
            <w:r>
              <w:rPr>
                <w:rFonts w:hint="eastAsia" w:ascii="宋体" w:hAnsi="宋体"/>
                <w:bCs/>
                <w:szCs w:val="21"/>
              </w:rPr>
              <w:t>火灾报警控制器</w:t>
            </w:r>
          </w:p>
        </w:tc>
        <w:tc>
          <w:tcPr>
            <w:tcW w:w="1917" w:type="dxa"/>
            <w:vAlign w:val="center"/>
          </w:tcPr>
          <w:p>
            <w:pPr>
              <w:jc w:val="center"/>
              <w:rPr>
                <w:rFonts w:ascii="宋体" w:hAnsi="宋体"/>
                <w:bCs/>
                <w:szCs w:val="21"/>
              </w:rPr>
            </w:pPr>
            <w:r>
              <w:rPr>
                <w:rFonts w:hint="eastAsia" w:ascii="宋体" w:hAnsi="宋体"/>
                <w:bCs/>
                <w:szCs w:val="21"/>
              </w:rPr>
              <w:t>松江JB-3208G</w:t>
            </w:r>
          </w:p>
        </w:tc>
        <w:tc>
          <w:tcPr>
            <w:tcW w:w="877" w:type="dxa"/>
            <w:vAlign w:val="center"/>
          </w:tcPr>
          <w:p>
            <w:pPr>
              <w:jc w:val="center"/>
              <w:rPr>
                <w:rFonts w:ascii="宋体" w:hAnsi="宋体"/>
                <w:bCs/>
                <w:szCs w:val="21"/>
              </w:rPr>
            </w:pPr>
            <w:r>
              <w:rPr>
                <w:rFonts w:hint="eastAsia" w:ascii="宋体" w:hAnsi="宋体"/>
                <w:bCs/>
                <w:szCs w:val="21"/>
              </w:rPr>
              <w:t>台</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67</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烟感</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68</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温感</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69</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底座</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70</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手报按钮</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71</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区域输入模块</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72</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区域输入输出模块</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73</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声光报警器</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74</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固定电话分机</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75</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ascii="宋体" w:hAnsi="宋体"/>
                <w:bCs/>
                <w:szCs w:val="21"/>
              </w:rPr>
              <w:t>集中供电电源</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组</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76</w:t>
            </w:r>
          </w:p>
        </w:tc>
        <w:tc>
          <w:tcPr>
            <w:tcW w:w="1988" w:type="dxa"/>
            <w:gridSpan w:val="2"/>
            <w:vMerge w:val="restart"/>
            <w:vAlign w:val="center"/>
          </w:tcPr>
          <w:p>
            <w:pPr>
              <w:spacing w:line="400" w:lineRule="exact"/>
              <w:jc w:val="center"/>
              <w:rPr>
                <w:rFonts w:ascii="宋体" w:hAnsi="宋体"/>
                <w:bCs/>
                <w:szCs w:val="21"/>
              </w:rPr>
            </w:pPr>
            <w:r>
              <w:rPr>
                <w:rFonts w:hint="eastAsia" w:ascii="宋体" w:hAnsi="宋体"/>
                <w:bCs/>
                <w:szCs w:val="21"/>
              </w:rPr>
              <w:t>区行政服务中心</w:t>
            </w:r>
          </w:p>
        </w:tc>
        <w:tc>
          <w:tcPr>
            <w:tcW w:w="2405" w:type="dxa"/>
            <w:vAlign w:val="center"/>
          </w:tcPr>
          <w:p>
            <w:pPr>
              <w:spacing w:beforeLines="15" w:afterLines="20"/>
              <w:ind w:left="-52" w:leftChars="-25" w:right="-52" w:rightChars="-25"/>
              <w:jc w:val="center"/>
              <w:rPr>
                <w:rFonts w:ascii="宋体"/>
                <w:szCs w:val="21"/>
              </w:rPr>
            </w:pPr>
            <w:r>
              <w:rPr>
                <w:rFonts w:hint="eastAsia" w:ascii="宋体" w:hAnsi="宋体"/>
                <w:bCs/>
                <w:szCs w:val="21"/>
              </w:rPr>
              <w:t>火灾报警控制器</w:t>
            </w:r>
          </w:p>
        </w:tc>
        <w:tc>
          <w:tcPr>
            <w:tcW w:w="1917" w:type="dxa"/>
            <w:vAlign w:val="center"/>
          </w:tcPr>
          <w:p>
            <w:pPr>
              <w:spacing w:beforeLines="15" w:afterLines="20"/>
              <w:ind w:left="-52" w:leftChars="-25" w:right="-52" w:rightChars="-25"/>
              <w:jc w:val="center"/>
              <w:rPr>
                <w:rFonts w:ascii="宋体" w:hAnsi="宋体"/>
                <w:b/>
                <w:szCs w:val="21"/>
              </w:rPr>
            </w:pPr>
            <w:r>
              <w:rPr>
                <w:rFonts w:hint="eastAsia" w:ascii="宋体" w:hAnsi="宋体"/>
                <w:b/>
                <w:szCs w:val="21"/>
              </w:rPr>
              <w:t>JB-QL-ADL88</w:t>
            </w:r>
          </w:p>
        </w:tc>
        <w:tc>
          <w:tcPr>
            <w:tcW w:w="877" w:type="dxa"/>
            <w:vAlign w:val="center"/>
          </w:tcPr>
          <w:p>
            <w:pPr>
              <w:spacing w:line="400" w:lineRule="exact"/>
              <w:ind w:left="-25" w:right="-25"/>
              <w:jc w:val="center"/>
              <w:rPr>
                <w:rFonts w:ascii="宋体" w:hAnsi="宋体"/>
                <w:b/>
                <w:szCs w:val="21"/>
              </w:rPr>
            </w:pPr>
            <w:r>
              <w:rPr>
                <w:rFonts w:hint="eastAsia" w:ascii="宋体" w:hAnsi="宋体"/>
                <w:b/>
                <w:szCs w:val="21"/>
              </w:rPr>
              <w:t>台</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77</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szCs w:val="21"/>
              </w:rPr>
              <w:t>感烟探测器</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
                <w:szCs w:val="21"/>
              </w:rPr>
              <w:t>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78</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szCs w:val="21"/>
              </w:rPr>
              <w:t>感温探测器</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
                <w:szCs w:val="21"/>
              </w:rPr>
              <w:t>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79</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szCs w:val="21"/>
              </w:rPr>
              <w:t>手动报警按钮</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80</w:t>
            </w:r>
          </w:p>
        </w:tc>
        <w:tc>
          <w:tcPr>
            <w:tcW w:w="1988" w:type="dxa"/>
            <w:gridSpan w:val="2"/>
            <w:vMerge w:val="restart"/>
            <w:vAlign w:val="center"/>
          </w:tcPr>
          <w:p>
            <w:pPr>
              <w:spacing w:line="400" w:lineRule="exact"/>
              <w:jc w:val="center"/>
              <w:rPr>
                <w:rFonts w:ascii="宋体" w:hAnsi="宋体"/>
                <w:bCs/>
                <w:szCs w:val="21"/>
              </w:rPr>
            </w:pPr>
            <w:r>
              <w:rPr>
                <w:rFonts w:hint="eastAsia" w:ascii="宋体" w:hAnsi="宋体"/>
                <w:bCs/>
                <w:szCs w:val="21"/>
              </w:rPr>
              <w:t>区规划馆展示大楼</w:t>
            </w:r>
          </w:p>
        </w:tc>
        <w:tc>
          <w:tcPr>
            <w:tcW w:w="2405" w:type="dxa"/>
            <w:vAlign w:val="center"/>
          </w:tcPr>
          <w:p>
            <w:pPr>
              <w:spacing w:beforeLines="15" w:afterLines="20"/>
              <w:ind w:left="-52" w:leftChars="-25" w:right="-52" w:rightChars="-25"/>
              <w:jc w:val="center"/>
              <w:rPr>
                <w:rFonts w:ascii="宋体"/>
                <w:szCs w:val="21"/>
              </w:rPr>
            </w:pPr>
            <w:r>
              <w:rPr>
                <w:rFonts w:hint="eastAsia" w:ascii="宋体" w:hAnsi="宋体"/>
                <w:bCs/>
                <w:szCs w:val="21"/>
              </w:rPr>
              <w:t>火灾报警控制器</w:t>
            </w:r>
          </w:p>
        </w:tc>
        <w:tc>
          <w:tcPr>
            <w:tcW w:w="1917" w:type="dxa"/>
            <w:vAlign w:val="center"/>
          </w:tcPr>
          <w:p>
            <w:pPr>
              <w:jc w:val="center"/>
              <w:rPr>
                <w:rFonts w:ascii="宋体" w:hAnsi="宋体"/>
                <w:bCs/>
                <w:szCs w:val="21"/>
              </w:rPr>
            </w:pPr>
          </w:p>
        </w:tc>
        <w:tc>
          <w:tcPr>
            <w:tcW w:w="877" w:type="dxa"/>
            <w:vAlign w:val="center"/>
          </w:tcPr>
          <w:p>
            <w:pPr>
              <w:spacing w:line="400" w:lineRule="exact"/>
              <w:ind w:left="-25" w:right="-25"/>
              <w:jc w:val="center"/>
              <w:rPr>
                <w:rFonts w:ascii="宋体" w:hAnsi="宋体"/>
                <w:b/>
                <w:szCs w:val="21"/>
              </w:rPr>
            </w:pPr>
            <w:r>
              <w:rPr>
                <w:rFonts w:hint="eastAsia" w:ascii="宋体" w:hAnsi="宋体"/>
                <w:b/>
                <w:szCs w:val="21"/>
              </w:rPr>
              <w:t>台</w:t>
            </w:r>
          </w:p>
        </w:tc>
        <w:tc>
          <w:tcPr>
            <w:tcW w:w="864"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81</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szCs w:val="21"/>
              </w:rPr>
              <w:t>感烟探测器</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ascii="宋体" w:hAnsi="宋体"/>
                <w:bCs/>
                <w:szCs w:val="21"/>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82</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szCs w:val="21"/>
              </w:rPr>
              <w:t>感温探测器</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26" w:type="dxa"/>
            <w:vAlign w:val="center"/>
          </w:tcPr>
          <w:p>
            <w:pPr>
              <w:spacing w:line="400" w:lineRule="exact"/>
              <w:jc w:val="center"/>
              <w:rPr>
                <w:rFonts w:ascii="宋体" w:hAnsi="宋体"/>
                <w:bCs/>
                <w:szCs w:val="21"/>
              </w:rPr>
            </w:pPr>
            <w:r>
              <w:rPr>
                <w:rFonts w:hint="eastAsia" w:ascii="宋体" w:hAnsi="宋体"/>
                <w:bCs/>
                <w:szCs w:val="21"/>
              </w:rPr>
              <w:t>83</w:t>
            </w:r>
          </w:p>
        </w:tc>
        <w:tc>
          <w:tcPr>
            <w:tcW w:w="1988" w:type="dxa"/>
            <w:gridSpan w:val="2"/>
            <w:vMerge w:val="continue"/>
            <w:vAlign w:val="center"/>
          </w:tcPr>
          <w:p>
            <w:pPr>
              <w:spacing w:line="400" w:lineRule="exact"/>
              <w:jc w:val="center"/>
              <w:rPr>
                <w:rFonts w:ascii="宋体" w:hAnsi="宋体"/>
                <w:bCs/>
                <w:szCs w:val="21"/>
              </w:rPr>
            </w:pPr>
          </w:p>
        </w:tc>
        <w:tc>
          <w:tcPr>
            <w:tcW w:w="2405" w:type="dxa"/>
            <w:vAlign w:val="center"/>
          </w:tcPr>
          <w:p>
            <w:pPr>
              <w:jc w:val="center"/>
              <w:rPr>
                <w:rFonts w:ascii="宋体" w:hAnsi="宋体"/>
                <w:bCs/>
                <w:szCs w:val="21"/>
              </w:rPr>
            </w:pPr>
            <w:r>
              <w:rPr>
                <w:rFonts w:hint="eastAsia"/>
                <w:szCs w:val="21"/>
              </w:rPr>
              <w:t>手动报警按钮</w:t>
            </w:r>
          </w:p>
        </w:tc>
        <w:tc>
          <w:tcPr>
            <w:tcW w:w="1917" w:type="dxa"/>
            <w:vAlign w:val="center"/>
          </w:tcPr>
          <w:p>
            <w:pPr>
              <w:jc w:val="center"/>
              <w:rPr>
                <w:rFonts w:ascii="宋体" w:hAnsi="宋体"/>
                <w:bCs/>
                <w:szCs w:val="21"/>
              </w:rPr>
            </w:pPr>
          </w:p>
        </w:tc>
        <w:tc>
          <w:tcPr>
            <w:tcW w:w="877" w:type="dxa"/>
            <w:vAlign w:val="center"/>
          </w:tcPr>
          <w:p>
            <w:pPr>
              <w:jc w:val="center"/>
              <w:rPr>
                <w:rFonts w:ascii="宋体" w:hAnsi="宋体"/>
                <w:bCs/>
                <w:szCs w:val="21"/>
              </w:rPr>
            </w:pPr>
            <w:r>
              <w:rPr>
                <w:rFonts w:hint="eastAsia" w:ascii="宋体" w:hAnsi="宋体"/>
                <w:bCs/>
                <w:szCs w:val="21"/>
              </w:rPr>
              <w:t>个</w:t>
            </w:r>
          </w:p>
        </w:tc>
        <w:tc>
          <w:tcPr>
            <w:tcW w:w="864" w:type="dxa"/>
            <w:vAlign w:val="center"/>
          </w:tcPr>
          <w:p>
            <w:pPr>
              <w:jc w:val="center"/>
              <w:rPr>
                <w:rFonts w:ascii="宋体" w:hAnsi="宋体"/>
                <w:bCs/>
                <w:szCs w:val="21"/>
              </w:rPr>
            </w:pPr>
            <w:r>
              <w:rPr>
                <w:rFonts w:hint="eastAsia" w:ascii="宋体" w:hAnsi="宋体"/>
                <w:bCs/>
                <w:szCs w:val="21"/>
              </w:rPr>
              <w:t>55</w:t>
            </w:r>
          </w:p>
        </w:tc>
      </w:tr>
    </w:tbl>
    <w:p>
      <w:pPr>
        <w:spacing w:line="540" w:lineRule="exact"/>
        <w:rPr>
          <w:rFonts w:ascii="宋体" w:hAnsi="宋体"/>
          <w:bCs/>
          <w:szCs w:val="21"/>
        </w:rPr>
      </w:pPr>
      <w:r>
        <w:rPr>
          <w:rFonts w:hint="eastAsia" w:ascii="宋体" w:hAnsi="宋体"/>
          <w:bCs/>
          <w:szCs w:val="21"/>
        </w:rPr>
        <w:t>2）自动喷水灭火系统</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27"/>
        <w:gridCol w:w="2351"/>
        <w:gridCol w:w="1997"/>
        <w:gridCol w:w="855"/>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序号</w:t>
            </w:r>
          </w:p>
        </w:tc>
        <w:tc>
          <w:tcPr>
            <w:tcW w:w="2027" w:type="dxa"/>
            <w:vAlign w:val="center"/>
          </w:tcPr>
          <w:p>
            <w:pPr>
              <w:spacing w:line="360" w:lineRule="exact"/>
              <w:jc w:val="center"/>
              <w:rPr>
                <w:rFonts w:ascii="宋体" w:hAnsi="宋体"/>
                <w:bCs/>
                <w:szCs w:val="21"/>
              </w:rPr>
            </w:pPr>
            <w:r>
              <w:rPr>
                <w:rFonts w:hint="eastAsia" w:ascii="宋体" w:hAnsi="宋体"/>
                <w:bCs/>
                <w:szCs w:val="21"/>
              </w:rPr>
              <w:t>区域</w:t>
            </w:r>
          </w:p>
        </w:tc>
        <w:tc>
          <w:tcPr>
            <w:tcW w:w="2351" w:type="dxa"/>
            <w:vAlign w:val="center"/>
          </w:tcPr>
          <w:p>
            <w:pPr>
              <w:spacing w:line="360" w:lineRule="exact"/>
              <w:jc w:val="center"/>
              <w:rPr>
                <w:rFonts w:ascii="宋体" w:hAnsi="宋体"/>
                <w:bCs/>
                <w:szCs w:val="21"/>
              </w:rPr>
            </w:pPr>
            <w:r>
              <w:rPr>
                <w:rFonts w:hint="eastAsia" w:ascii="宋体" w:hAnsi="宋体"/>
                <w:bCs/>
                <w:szCs w:val="21"/>
              </w:rPr>
              <w:t>设备名称</w:t>
            </w:r>
          </w:p>
        </w:tc>
        <w:tc>
          <w:tcPr>
            <w:tcW w:w="1997" w:type="dxa"/>
            <w:vAlign w:val="center"/>
          </w:tcPr>
          <w:p>
            <w:pPr>
              <w:spacing w:line="360" w:lineRule="exact"/>
              <w:jc w:val="center"/>
              <w:rPr>
                <w:rFonts w:ascii="宋体" w:hAnsi="宋体"/>
                <w:bCs/>
                <w:szCs w:val="21"/>
              </w:rPr>
            </w:pPr>
            <w:r>
              <w:rPr>
                <w:rFonts w:hint="eastAsia" w:ascii="宋体" w:hAnsi="宋体"/>
                <w:bCs/>
                <w:szCs w:val="21"/>
              </w:rPr>
              <w:t>型号规格</w:t>
            </w:r>
          </w:p>
        </w:tc>
        <w:tc>
          <w:tcPr>
            <w:tcW w:w="855" w:type="dxa"/>
            <w:vAlign w:val="center"/>
          </w:tcPr>
          <w:p>
            <w:pPr>
              <w:spacing w:line="360" w:lineRule="exact"/>
              <w:jc w:val="center"/>
              <w:rPr>
                <w:rFonts w:ascii="宋体" w:hAnsi="宋体"/>
                <w:bCs/>
                <w:szCs w:val="21"/>
              </w:rPr>
            </w:pPr>
            <w:r>
              <w:rPr>
                <w:rFonts w:hint="eastAsia" w:ascii="宋体" w:hAnsi="宋体"/>
                <w:bCs/>
                <w:szCs w:val="21"/>
              </w:rPr>
              <w:t>单位</w:t>
            </w:r>
          </w:p>
        </w:tc>
        <w:tc>
          <w:tcPr>
            <w:tcW w:w="893" w:type="dxa"/>
            <w:vAlign w:val="center"/>
          </w:tcPr>
          <w:p>
            <w:pPr>
              <w:spacing w:line="360" w:lineRule="exact"/>
              <w:jc w:val="center"/>
              <w:rPr>
                <w:rFonts w:ascii="宋体" w:hAnsi="宋体"/>
                <w:bCs/>
                <w:szCs w:val="21"/>
              </w:rPr>
            </w:pPr>
            <w:r>
              <w:rPr>
                <w:rFonts w:hint="eastAsia" w:ascii="宋体" w:hAnsi="宋体"/>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1</w:t>
            </w:r>
          </w:p>
        </w:tc>
        <w:tc>
          <w:tcPr>
            <w:tcW w:w="2027" w:type="dxa"/>
            <w:vMerge w:val="restart"/>
            <w:vAlign w:val="center"/>
          </w:tcPr>
          <w:p>
            <w:pPr>
              <w:spacing w:line="360" w:lineRule="exact"/>
              <w:jc w:val="center"/>
              <w:rPr>
                <w:rFonts w:ascii="宋体" w:hAnsi="宋体"/>
                <w:bCs/>
                <w:szCs w:val="21"/>
              </w:rPr>
            </w:pPr>
            <w:r>
              <w:rPr>
                <w:rFonts w:hint="eastAsia" w:ascii="宋体" w:hAnsi="宋体"/>
                <w:bCs/>
                <w:szCs w:val="21"/>
              </w:rPr>
              <w:t>区行政管理中心</w:t>
            </w:r>
          </w:p>
          <w:p>
            <w:pPr>
              <w:spacing w:line="360" w:lineRule="exact"/>
              <w:jc w:val="center"/>
              <w:rPr>
                <w:rFonts w:ascii="宋体" w:hAnsi="宋体"/>
                <w:bCs/>
                <w:szCs w:val="21"/>
              </w:rPr>
            </w:pPr>
            <w:r>
              <w:rPr>
                <w:rFonts w:hint="eastAsia" w:ascii="宋体" w:hAnsi="宋体"/>
                <w:bCs/>
                <w:szCs w:val="21"/>
              </w:rPr>
              <w:t>(含食堂、档案馆)</w:t>
            </w:r>
          </w:p>
        </w:tc>
        <w:tc>
          <w:tcPr>
            <w:tcW w:w="2351" w:type="dxa"/>
            <w:vAlign w:val="center"/>
          </w:tcPr>
          <w:p>
            <w:pPr>
              <w:spacing w:line="360" w:lineRule="exact"/>
              <w:jc w:val="center"/>
              <w:rPr>
                <w:rFonts w:ascii="宋体" w:hAnsi="宋体"/>
                <w:bCs/>
                <w:szCs w:val="21"/>
              </w:rPr>
            </w:pPr>
            <w:r>
              <w:rPr>
                <w:rFonts w:hint="eastAsia" w:ascii="宋体" w:hAnsi="宋体"/>
                <w:bCs/>
                <w:szCs w:val="21"/>
              </w:rPr>
              <w:t>喷淋水泵</w:t>
            </w:r>
          </w:p>
        </w:tc>
        <w:tc>
          <w:tcPr>
            <w:tcW w:w="1997" w:type="dxa"/>
            <w:vAlign w:val="center"/>
          </w:tcPr>
          <w:p>
            <w:pPr>
              <w:spacing w:line="360" w:lineRule="exact"/>
              <w:jc w:val="center"/>
              <w:rPr>
                <w:rFonts w:ascii="宋体" w:hAnsi="宋体"/>
                <w:bCs/>
                <w:szCs w:val="21"/>
              </w:rPr>
            </w:pPr>
            <w:r>
              <w:rPr>
                <w:rFonts w:hint="eastAsia" w:ascii="宋体" w:hAnsi="宋体"/>
                <w:bCs/>
                <w:szCs w:val="21"/>
              </w:rPr>
              <w:t>Y250M---2v1</w:t>
            </w:r>
          </w:p>
        </w:tc>
        <w:tc>
          <w:tcPr>
            <w:tcW w:w="855" w:type="dxa"/>
            <w:vAlign w:val="center"/>
          </w:tcPr>
          <w:p>
            <w:pPr>
              <w:spacing w:line="360" w:lineRule="exact"/>
              <w:jc w:val="center"/>
              <w:rPr>
                <w:rFonts w:ascii="宋体" w:hAnsi="宋体"/>
                <w:bCs/>
                <w:szCs w:val="21"/>
              </w:rPr>
            </w:pPr>
            <w:r>
              <w:rPr>
                <w:rFonts w:hint="eastAsia" w:ascii="宋体" w:hAnsi="宋体"/>
                <w:bCs/>
                <w:szCs w:val="21"/>
              </w:rPr>
              <w:t>台</w:t>
            </w:r>
          </w:p>
        </w:tc>
        <w:tc>
          <w:tcPr>
            <w:tcW w:w="893" w:type="dxa"/>
            <w:vAlign w:val="center"/>
          </w:tcPr>
          <w:p>
            <w:pPr>
              <w:spacing w:line="36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2</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喷淋泵控制柜</w:t>
            </w:r>
          </w:p>
        </w:tc>
        <w:tc>
          <w:tcPr>
            <w:tcW w:w="1997" w:type="dxa"/>
            <w:vAlign w:val="center"/>
          </w:tcPr>
          <w:p>
            <w:pPr>
              <w:spacing w:line="360" w:lineRule="exact"/>
              <w:jc w:val="center"/>
              <w:rPr>
                <w:rFonts w:ascii="宋体" w:hAnsi="宋体"/>
                <w:bCs/>
                <w:szCs w:val="21"/>
              </w:rPr>
            </w:pPr>
            <w:r>
              <w:rPr>
                <w:rFonts w:hint="eastAsia" w:ascii="宋体" w:hAnsi="宋体"/>
                <w:bCs/>
                <w:szCs w:val="21"/>
              </w:rPr>
              <w:t>NGC3---XF2</w:t>
            </w: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3</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消防水箱</w:t>
            </w:r>
          </w:p>
        </w:tc>
        <w:tc>
          <w:tcPr>
            <w:tcW w:w="1997" w:type="dxa"/>
            <w:vAlign w:val="center"/>
          </w:tcPr>
          <w:p>
            <w:pPr>
              <w:spacing w:line="360" w:lineRule="exact"/>
              <w:jc w:val="center"/>
              <w:rPr>
                <w:rFonts w:ascii="宋体" w:hAnsi="宋体"/>
                <w:bCs/>
                <w:szCs w:val="21"/>
              </w:rPr>
            </w:pPr>
            <w:r>
              <w:rPr>
                <w:rFonts w:hint="eastAsia" w:ascii="宋体" w:hAnsi="宋体"/>
                <w:bCs/>
                <w:szCs w:val="21"/>
              </w:rPr>
              <w:t>18T</w:t>
            </w: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4</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消防水池</w:t>
            </w:r>
          </w:p>
        </w:tc>
        <w:tc>
          <w:tcPr>
            <w:tcW w:w="1997" w:type="dxa"/>
            <w:vAlign w:val="center"/>
          </w:tcPr>
          <w:p>
            <w:pPr>
              <w:spacing w:line="360" w:lineRule="exact"/>
              <w:jc w:val="center"/>
              <w:rPr>
                <w:rFonts w:ascii="宋体" w:hAnsi="宋体"/>
                <w:bCs/>
                <w:szCs w:val="21"/>
              </w:rPr>
            </w:pPr>
            <w:r>
              <w:rPr>
                <w:rFonts w:hint="eastAsia" w:ascii="宋体" w:hAnsi="宋体"/>
                <w:bCs/>
                <w:szCs w:val="21"/>
              </w:rPr>
              <w:t>540T</w:t>
            </w: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5</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喷淋稳压系统</w:t>
            </w:r>
          </w:p>
        </w:tc>
        <w:tc>
          <w:tcPr>
            <w:tcW w:w="1997" w:type="dxa"/>
            <w:vAlign w:val="center"/>
          </w:tcPr>
          <w:p>
            <w:pPr>
              <w:spacing w:line="360" w:lineRule="exact"/>
              <w:jc w:val="center"/>
              <w:rPr>
                <w:rFonts w:ascii="宋体" w:hAnsi="宋体"/>
                <w:bCs/>
                <w:szCs w:val="21"/>
              </w:rPr>
            </w:pPr>
            <w:r>
              <w:rPr>
                <w:rFonts w:hint="eastAsia" w:ascii="宋体" w:hAnsi="宋体"/>
                <w:bCs/>
                <w:szCs w:val="21"/>
              </w:rPr>
              <w:t>JXF1</w:t>
            </w:r>
          </w:p>
        </w:tc>
        <w:tc>
          <w:tcPr>
            <w:tcW w:w="855" w:type="dxa"/>
            <w:vAlign w:val="center"/>
          </w:tcPr>
          <w:p>
            <w:pPr>
              <w:spacing w:line="360" w:lineRule="exact"/>
              <w:jc w:val="center"/>
              <w:rPr>
                <w:rFonts w:ascii="宋体" w:hAnsi="宋体"/>
                <w:bCs/>
                <w:szCs w:val="21"/>
              </w:rPr>
            </w:pPr>
            <w:r>
              <w:rPr>
                <w:rFonts w:hint="eastAsia" w:ascii="宋体" w:hAnsi="宋体"/>
                <w:bCs/>
                <w:szCs w:val="21"/>
              </w:rPr>
              <w:t>套</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6</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室外喷淋结合器</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7</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喷淋头</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6620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8</w:t>
            </w:r>
          </w:p>
        </w:tc>
        <w:tc>
          <w:tcPr>
            <w:tcW w:w="2027" w:type="dxa"/>
            <w:vMerge w:val="restart"/>
            <w:vAlign w:val="center"/>
          </w:tcPr>
          <w:p>
            <w:pPr>
              <w:spacing w:line="360" w:lineRule="exact"/>
              <w:jc w:val="center"/>
              <w:rPr>
                <w:rFonts w:ascii="宋体" w:hAnsi="宋体"/>
                <w:bCs/>
                <w:szCs w:val="21"/>
              </w:rPr>
            </w:pPr>
          </w:p>
          <w:p>
            <w:pPr>
              <w:spacing w:line="360" w:lineRule="exact"/>
              <w:jc w:val="center"/>
              <w:rPr>
                <w:rFonts w:ascii="宋体" w:hAnsi="宋体"/>
                <w:bCs/>
                <w:szCs w:val="21"/>
              </w:rPr>
            </w:pPr>
            <w:r>
              <w:rPr>
                <w:rFonts w:hint="eastAsia" w:ascii="宋体" w:hAnsi="宋体"/>
                <w:bCs/>
                <w:szCs w:val="21"/>
              </w:rPr>
              <w:t>区文化中心</w:t>
            </w:r>
          </w:p>
          <w:p>
            <w:pPr>
              <w:spacing w:line="360" w:lineRule="exact"/>
              <w:jc w:val="center"/>
              <w:rPr>
                <w:rFonts w:ascii="宋体" w:hAnsi="宋体"/>
                <w:bCs/>
                <w:szCs w:val="21"/>
              </w:rPr>
            </w:pPr>
          </w:p>
          <w:p>
            <w:pPr>
              <w:spacing w:line="360" w:lineRule="exact"/>
              <w:jc w:val="center"/>
              <w:rPr>
                <w:rFonts w:ascii="宋体" w:hAnsi="宋体"/>
                <w:bCs/>
                <w:szCs w:val="21"/>
              </w:rPr>
            </w:pPr>
          </w:p>
          <w:p>
            <w:pPr>
              <w:spacing w:line="360" w:lineRule="exact"/>
              <w:jc w:val="center"/>
              <w:rPr>
                <w:rFonts w:ascii="宋体" w:hAnsi="宋体"/>
                <w:bCs/>
                <w:szCs w:val="21"/>
              </w:rPr>
            </w:pPr>
          </w:p>
          <w:p>
            <w:pPr>
              <w:spacing w:line="360" w:lineRule="exact"/>
              <w:jc w:val="center"/>
              <w:rPr>
                <w:rFonts w:ascii="宋体" w:hAnsi="宋体"/>
                <w:bCs/>
                <w:szCs w:val="21"/>
              </w:rPr>
            </w:pPr>
          </w:p>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喷淋水泵</w:t>
            </w:r>
          </w:p>
        </w:tc>
        <w:tc>
          <w:tcPr>
            <w:tcW w:w="1997" w:type="dxa"/>
            <w:vAlign w:val="center"/>
          </w:tcPr>
          <w:p>
            <w:pPr>
              <w:spacing w:line="360" w:lineRule="exact"/>
              <w:jc w:val="center"/>
              <w:rPr>
                <w:rFonts w:ascii="宋体" w:hAnsi="宋体"/>
                <w:bCs/>
                <w:szCs w:val="21"/>
              </w:rPr>
            </w:pPr>
            <w:r>
              <w:rPr>
                <w:rFonts w:hint="eastAsia" w:ascii="宋体" w:hAnsi="宋体"/>
                <w:bCs/>
                <w:szCs w:val="21"/>
              </w:rPr>
              <w:t>XBD—100DL×2</w:t>
            </w:r>
          </w:p>
        </w:tc>
        <w:tc>
          <w:tcPr>
            <w:tcW w:w="855" w:type="dxa"/>
            <w:vAlign w:val="center"/>
          </w:tcPr>
          <w:p>
            <w:pPr>
              <w:spacing w:line="360" w:lineRule="exact"/>
              <w:jc w:val="center"/>
              <w:rPr>
                <w:rFonts w:ascii="宋体" w:hAnsi="宋体"/>
                <w:bCs/>
                <w:szCs w:val="21"/>
              </w:rPr>
            </w:pPr>
            <w:r>
              <w:rPr>
                <w:rFonts w:hint="eastAsia" w:ascii="宋体" w:hAnsi="宋体"/>
                <w:bCs/>
                <w:szCs w:val="21"/>
              </w:rPr>
              <w:t>台</w:t>
            </w:r>
          </w:p>
        </w:tc>
        <w:tc>
          <w:tcPr>
            <w:tcW w:w="893" w:type="dxa"/>
            <w:vAlign w:val="center"/>
          </w:tcPr>
          <w:p>
            <w:pPr>
              <w:spacing w:line="36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9</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喷淋泵控制柜</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10</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消防水箱</w:t>
            </w:r>
          </w:p>
        </w:tc>
        <w:tc>
          <w:tcPr>
            <w:tcW w:w="1997" w:type="dxa"/>
            <w:vAlign w:val="center"/>
          </w:tcPr>
          <w:p>
            <w:pPr>
              <w:spacing w:line="360" w:lineRule="exact"/>
              <w:jc w:val="center"/>
              <w:rPr>
                <w:rFonts w:ascii="宋体" w:hAnsi="宋体"/>
                <w:bCs/>
                <w:szCs w:val="21"/>
              </w:rPr>
            </w:pPr>
            <w:r>
              <w:rPr>
                <w:rFonts w:hint="eastAsia" w:ascii="宋体" w:hAnsi="宋体"/>
                <w:bCs/>
                <w:szCs w:val="21"/>
              </w:rPr>
              <w:t>SY—21T</w:t>
            </w: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11</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消防水池</w:t>
            </w:r>
          </w:p>
        </w:tc>
        <w:tc>
          <w:tcPr>
            <w:tcW w:w="1997" w:type="dxa"/>
            <w:vAlign w:val="center"/>
          </w:tcPr>
          <w:p>
            <w:pPr>
              <w:spacing w:line="360" w:lineRule="exact"/>
              <w:jc w:val="center"/>
              <w:rPr>
                <w:rFonts w:ascii="宋体" w:hAnsi="宋体"/>
                <w:bCs/>
                <w:szCs w:val="21"/>
              </w:rPr>
            </w:pPr>
            <w:r>
              <w:rPr>
                <w:rFonts w:hint="eastAsia" w:ascii="宋体" w:hAnsi="宋体"/>
                <w:bCs/>
                <w:szCs w:val="21"/>
              </w:rPr>
              <w:t>30T</w:t>
            </w: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12</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喷淋稳压系统</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13</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室外喷淋结合器</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14</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喷淋头</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15</w:t>
            </w:r>
          </w:p>
        </w:tc>
        <w:tc>
          <w:tcPr>
            <w:tcW w:w="2027" w:type="dxa"/>
            <w:vMerge w:val="restart"/>
            <w:vAlign w:val="center"/>
          </w:tcPr>
          <w:p>
            <w:pPr>
              <w:spacing w:line="360" w:lineRule="exact"/>
              <w:jc w:val="center"/>
              <w:rPr>
                <w:rFonts w:ascii="宋体" w:hAnsi="宋体"/>
                <w:bCs/>
                <w:szCs w:val="21"/>
              </w:rPr>
            </w:pPr>
            <w:r>
              <w:rPr>
                <w:rFonts w:hint="eastAsia" w:ascii="宋体" w:hAnsi="宋体"/>
                <w:bCs/>
                <w:szCs w:val="21"/>
              </w:rPr>
              <w:t>市民活动中心</w:t>
            </w:r>
          </w:p>
        </w:tc>
        <w:tc>
          <w:tcPr>
            <w:tcW w:w="2351" w:type="dxa"/>
            <w:vAlign w:val="center"/>
          </w:tcPr>
          <w:p>
            <w:pPr>
              <w:spacing w:line="360" w:lineRule="exact"/>
              <w:jc w:val="center"/>
              <w:rPr>
                <w:rFonts w:ascii="宋体" w:hAnsi="宋体"/>
                <w:bCs/>
                <w:szCs w:val="21"/>
              </w:rPr>
            </w:pPr>
            <w:r>
              <w:rPr>
                <w:rFonts w:hint="eastAsia" w:ascii="宋体" w:hAnsi="宋体"/>
                <w:bCs/>
                <w:szCs w:val="21"/>
              </w:rPr>
              <w:t>喷淋水泵</w:t>
            </w:r>
          </w:p>
        </w:tc>
        <w:tc>
          <w:tcPr>
            <w:tcW w:w="1997" w:type="dxa"/>
            <w:vAlign w:val="center"/>
          </w:tcPr>
          <w:p>
            <w:pPr>
              <w:spacing w:line="360" w:lineRule="exact"/>
              <w:jc w:val="center"/>
              <w:rPr>
                <w:rFonts w:ascii="宋体" w:hAnsi="宋体"/>
                <w:bCs/>
                <w:szCs w:val="21"/>
              </w:rPr>
            </w:pPr>
            <w:r>
              <w:rPr>
                <w:rFonts w:hint="eastAsia" w:ascii="宋体" w:hAnsi="宋体"/>
                <w:bCs/>
                <w:szCs w:val="21"/>
              </w:rPr>
              <w:t>XBD4/30-SLH</w:t>
            </w:r>
          </w:p>
        </w:tc>
        <w:tc>
          <w:tcPr>
            <w:tcW w:w="855" w:type="dxa"/>
            <w:vAlign w:val="center"/>
          </w:tcPr>
          <w:p>
            <w:pPr>
              <w:spacing w:line="360" w:lineRule="exact"/>
              <w:jc w:val="center"/>
              <w:rPr>
                <w:rFonts w:ascii="宋体" w:hAnsi="宋体"/>
                <w:bCs/>
                <w:szCs w:val="21"/>
              </w:rPr>
            </w:pPr>
            <w:r>
              <w:rPr>
                <w:rFonts w:hint="eastAsia" w:ascii="宋体" w:hAnsi="宋体"/>
                <w:bCs/>
                <w:szCs w:val="21"/>
              </w:rPr>
              <w:t>台</w:t>
            </w:r>
          </w:p>
        </w:tc>
        <w:tc>
          <w:tcPr>
            <w:tcW w:w="893" w:type="dxa"/>
            <w:vAlign w:val="center"/>
          </w:tcPr>
          <w:p>
            <w:pPr>
              <w:spacing w:line="36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16</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喷淋泵控制柜</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17</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消防水箱</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18</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消防水池</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19</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喷淋稳压系统</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20</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室外喷淋结合器</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21</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喷淋头</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22</w:t>
            </w:r>
          </w:p>
        </w:tc>
        <w:tc>
          <w:tcPr>
            <w:tcW w:w="2027" w:type="dxa"/>
            <w:vMerge w:val="restart"/>
            <w:vAlign w:val="center"/>
          </w:tcPr>
          <w:p>
            <w:pPr>
              <w:spacing w:line="360" w:lineRule="exact"/>
              <w:jc w:val="center"/>
              <w:rPr>
                <w:rFonts w:ascii="宋体" w:hAnsi="宋体"/>
                <w:bCs/>
                <w:szCs w:val="21"/>
              </w:rPr>
            </w:pPr>
            <w:r>
              <w:rPr>
                <w:rFonts w:hint="eastAsia" w:ascii="宋体" w:hAnsi="宋体"/>
                <w:bCs/>
                <w:szCs w:val="21"/>
              </w:rPr>
              <w:t>人防大楼</w:t>
            </w:r>
          </w:p>
        </w:tc>
        <w:tc>
          <w:tcPr>
            <w:tcW w:w="2351" w:type="dxa"/>
            <w:vAlign w:val="center"/>
          </w:tcPr>
          <w:p>
            <w:pPr>
              <w:spacing w:line="360" w:lineRule="exact"/>
              <w:jc w:val="center"/>
              <w:rPr>
                <w:rFonts w:ascii="宋体" w:hAnsi="宋体"/>
                <w:bCs/>
                <w:szCs w:val="21"/>
              </w:rPr>
            </w:pPr>
            <w:r>
              <w:rPr>
                <w:rFonts w:hint="eastAsia" w:ascii="宋体" w:hAnsi="宋体"/>
                <w:bCs/>
                <w:szCs w:val="21"/>
              </w:rPr>
              <w:t>喷淋水泵</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台</w:t>
            </w:r>
          </w:p>
        </w:tc>
        <w:tc>
          <w:tcPr>
            <w:tcW w:w="893" w:type="dxa"/>
            <w:vAlign w:val="center"/>
          </w:tcPr>
          <w:p>
            <w:pPr>
              <w:spacing w:line="36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23</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喷淋泵控制柜</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24</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消防水箱</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25</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消防水池</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26</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喷淋稳压系统</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27</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室外喷淋结合器</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28</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喷淋头</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29</w:t>
            </w:r>
          </w:p>
        </w:tc>
        <w:tc>
          <w:tcPr>
            <w:tcW w:w="2027" w:type="dxa"/>
            <w:vMerge w:val="restart"/>
            <w:vAlign w:val="center"/>
          </w:tcPr>
          <w:p>
            <w:pPr>
              <w:spacing w:line="360" w:lineRule="exact"/>
              <w:jc w:val="center"/>
              <w:rPr>
                <w:rFonts w:ascii="宋体" w:hAnsi="宋体"/>
                <w:bCs/>
                <w:szCs w:val="21"/>
              </w:rPr>
            </w:pPr>
            <w:r>
              <w:rPr>
                <w:rFonts w:hint="eastAsia" w:ascii="宋体" w:hAnsi="宋体"/>
                <w:bCs/>
                <w:szCs w:val="21"/>
              </w:rPr>
              <w:t>图书馆</w:t>
            </w:r>
          </w:p>
        </w:tc>
        <w:tc>
          <w:tcPr>
            <w:tcW w:w="2351" w:type="dxa"/>
            <w:vAlign w:val="center"/>
          </w:tcPr>
          <w:p>
            <w:pPr>
              <w:spacing w:line="360" w:lineRule="exact"/>
              <w:jc w:val="center"/>
              <w:rPr>
                <w:rFonts w:ascii="宋体" w:hAnsi="宋体"/>
                <w:bCs/>
                <w:szCs w:val="21"/>
              </w:rPr>
            </w:pPr>
            <w:r>
              <w:rPr>
                <w:rFonts w:hint="eastAsia" w:ascii="宋体" w:hAnsi="宋体"/>
                <w:bCs/>
                <w:szCs w:val="21"/>
              </w:rPr>
              <w:t>喷淋水泵</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台</w:t>
            </w:r>
          </w:p>
        </w:tc>
        <w:tc>
          <w:tcPr>
            <w:tcW w:w="893" w:type="dxa"/>
            <w:vAlign w:val="center"/>
          </w:tcPr>
          <w:p>
            <w:pPr>
              <w:spacing w:line="36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30</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喷淋泵控制柜</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31</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消防水箱</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32</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消防水池</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33</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喷淋稳压系统</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34</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室外喷淋结合器</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35</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喷淋头</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36</w:t>
            </w:r>
          </w:p>
        </w:tc>
        <w:tc>
          <w:tcPr>
            <w:tcW w:w="2027" w:type="dxa"/>
            <w:vMerge w:val="restart"/>
            <w:vAlign w:val="center"/>
          </w:tcPr>
          <w:p>
            <w:pPr>
              <w:spacing w:line="360" w:lineRule="exact"/>
              <w:jc w:val="center"/>
              <w:rPr>
                <w:rFonts w:ascii="宋体" w:hAnsi="宋体"/>
                <w:bCs/>
                <w:szCs w:val="21"/>
              </w:rPr>
            </w:pPr>
            <w:r>
              <w:rPr>
                <w:rFonts w:hint="eastAsia" w:ascii="宋体" w:hAnsi="宋体"/>
                <w:bCs/>
                <w:szCs w:val="21"/>
              </w:rPr>
              <w:t>区行政服务中心</w:t>
            </w:r>
          </w:p>
        </w:tc>
        <w:tc>
          <w:tcPr>
            <w:tcW w:w="2351" w:type="dxa"/>
            <w:vAlign w:val="center"/>
          </w:tcPr>
          <w:p>
            <w:pPr>
              <w:spacing w:line="360" w:lineRule="exact"/>
              <w:jc w:val="center"/>
              <w:rPr>
                <w:rFonts w:ascii="宋体" w:hAnsi="宋体"/>
                <w:bCs/>
                <w:szCs w:val="21"/>
              </w:rPr>
            </w:pPr>
            <w:r>
              <w:rPr>
                <w:rFonts w:hint="eastAsia" w:ascii="宋体" w:hAnsi="宋体"/>
                <w:bCs/>
                <w:szCs w:val="21"/>
              </w:rPr>
              <w:t>喷淋水泵</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台</w:t>
            </w:r>
          </w:p>
        </w:tc>
        <w:tc>
          <w:tcPr>
            <w:tcW w:w="893" w:type="dxa"/>
            <w:vAlign w:val="center"/>
          </w:tcPr>
          <w:p>
            <w:pPr>
              <w:spacing w:line="36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喷淋泵控制柜</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37</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喷淋头</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38</w:t>
            </w:r>
          </w:p>
        </w:tc>
        <w:tc>
          <w:tcPr>
            <w:tcW w:w="2027" w:type="dxa"/>
            <w:vMerge w:val="continue"/>
            <w:vAlign w:val="center"/>
          </w:tcPr>
          <w:p>
            <w:pPr>
              <w:spacing w:line="36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水流指示器</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39</w:t>
            </w:r>
          </w:p>
        </w:tc>
        <w:tc>
          <w:tcPr>
            <w:tcW w:w="2027" w:type="dxa"/>
            <w:vMerge w:val="restart"/>
            <w:vAlign w:val="center"/>
          </w:tcPr>
          <w:p>
            <w:pPr>
              <w:spacing w:line="360" w:lineRule="exact"/>
              <w:jc w:val="center"/>
              <w:rPr>
                <w:rFonts w:ascii="宋体" w:hAnsi="宋体"/>
                <w:bCs/>
                <w:szCs w:val="21"/>
              </w:rPr>
            </w:pPr>
            <w:r>
              <w:rPr>
                <w:rFonts w:hint="eastAsia" w:ascii="宋体" w:hAnsi="宋体"/>
                <w:bCs/>
                <w:szCs w:val="21"/>
              </w:rPr>
              <w:t>区规划馆展示大楼</w:t>
            </w:r>
          </w:p>
        </w:tc>
        <w:tc>
          <w:tcPr>
            <w:tcW w:w="2351" w:type="dxa"/>
            <w:vAlign w:val="center"/>
          </w:tcPr>
          <w:p>
            <w:pPr>
              <w:spacing w:line="360" w:lineRule="exact"/>
              <w:jc w:val="center"/>
              <w:rPr>
                <w:rFonts w:ascii="宋体" w:hAnsi="宋体"/>
                <w:bCs/>
                <w:szCs w:val="21"/>
              </w:rPr>
            </w:pPr>
            <w:r>
              <w:rPr>
                <w:rFonts w:hint="eastAsia" w:ascii="宋体" w:hAnsi="宋体"/>
                <w:bCs/>
                <w:szCs w:val="21"/>
              </w:rPr>
              <w:t>喷淋水泵</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台</w:t>
            </w:r>
          </w:p>
        </w:tc>
        <w:tc>
          <w:tcPr>
            <w:tcW w:w="893" w:type="dxa"/>
            <w:vAlign w:val="center"/>
          </w:tcPr>
          <w:p>
            <w:pPr>
              <w:spacing w:line="36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40</w:t>
            </w:r>
          </w:p>
        </w:tc>
        <w:tc>
          <w:tcPr>
            <w:tcW w:w="2027" w:type="dxa"/>
            <w:vMerge w:val="continue"/>
            <w:vAlign w:val="center"/>
          </w:tcPr>
          <w:p>
            <w:pPr>
              <w:spacing w:line="40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喷淋泵控制柜</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组</w:t>
            </w:r>
          </w:p>
        </w:tc>
        <w:tc>
          <w:tcPr>
            <w:tcW w:w="893"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41</w:t>
            </w:r>
          </w:p>
        </w:tc>
        <w:tc>
          <w:tcPr>
            <w:tcW w:w="2027" w:type="dxa"/>
            <w:vMerge w:val="continue"/>
            <w:vAlign w:val="center"/>
          </w:tcPr>
          <w:p>
            <w:pPr>
              <w:spacing w:line="40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喷淋头</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line="360" w:lineRule="exact"/>
              <w:jc w:val="center"/>
              <w:rPr>
                <w:rFonts w:ascii="宋体" w:hAnsi="宋体"/>
                <w:bCs/>
                <w:szCs w:val="21"/>
              </w:rPr>
            </w:pPr>
            <w:r>
              <w:rPr>
                <w:rFonts w:hint="eastAsia" w:ascii="宋体" w:hAnsi="宋体"/>
                <w:bCs/>
                <w:szCs w:val="21"/>
              </w:rPr>
              <w:t>42</w:t>
            </w:r>
          </w:p>
        </w:tc>
        <w:tc>
          <w:tcPr>
            <w:tcW w:w="2027" w:type="dxa"/>
            <w:vMerge w:val="continue"/>
            <w:vAlign w:val="center"/>
          </w:tcPr>
          <w:p>
            <w:pPr>
              <w:spacing w:line="400" w:lineRule="exact"/>
              <w:jc w:val="center"/>
              <w:rPr>
                <w:rFonts w:ascii="宋体" w:hAnsi="宋体"/>
                <w:bCs/>
                <w:szCs w:val="21"/>
              </w:rPr>
            </w:pPr>
          </w:p>
        </w:tc>
        <w:tc>
          <w:tcPr>
            <w:tcW w:w="2351" w:type="dxa"/>
            <w:vAlign w:val="center"/>
          </w:tcPr>
          <w:p>
            <w:pPr>
              <w:spacing w:line="360" w:lineRule="exact"/>
              <w:jc w:val="center"/>
              <w:rPr>
                <w:rFonts w:ascii="宋体" w:hAnsi="宋体"/>
                <w:bCs/>
                <w:szCs w:val="21"/>
              </w:rPr>
            </w:pPr>
            <w:r>
              <w:rPr>
                <w:rFonts w:hint="eastAsia" w:ascii="宋体" w:hAnsi="宋体"/>
                <w:bCs/>
                <w:szCs w:val="21"/>
              </w:rPr>
              <w:t>水流指示器</w:t>
            </w:r>
          </w:p>
        </w:tc>
        <w:tc>
          <w:tcPr>
            <w:tcW w:w="1997" w:type="dxa"/>
            <w:vAlign w:val="center"/>
          </w:tcPr>
          <w:p>
            <w:pPr>
              <w:spacing w:line="360" w:lineRule="exact"/>
              <w:jc w:val="center"/>
              <w:rPr>
                <w:rFonts w:ascii="宋体" w:hAnsi="宋体"/>
                <w:bCs/>
                <w:szCs w:val="21"/>
              </w:rPr>
            </w:pPr>
          </w:p>
        </w:tc>
        <w:tc>
          <w:tcPr>
            <w:tcW w:w="855" w:type="dxa"/>
            <w:vAlign w:val="center"/>
          </w:tcPr>
          <w:p>
            <w:pPr>
              <w:spacing w:line="360" w:lineRule="exact"/>
              <w:jc w:val="center"/>
              <w:rPr>
                <w:rFonts w:ascii="宋体" w:hAnsi="宋体"/>
                <w:bCs/>
                <w:szCs w:val="21"/>
              </w:rPr>
            </w:pPr>
            <w:r>
              <w:rPr>
                <w:rFonts w:hint="eastAsia" w:ascii="宋体" w:hAnsi="宋体"/>
                <w:bCs/>
                <w:szCs w:val="21"/>
              </w:rPr>
              <w:t>个</w:t>
            </w:r>
          </w:p>
        </w:tc>
        <w:tc>
          <w:tcPr>
            <w:tcW w:w="893" w:type="dxa"/>
            <w:vAlign w:val="center"/>
          </w:tcPr>
          <w:p>
            <w:pPr>
              <w:spacing w:line="360" w:lineRule="exact"/>
              <w:jc w:val="center"/>
              <w:rPr>
                <w:rFonts w:ascii="宋体" w:hAnsi="宋体"/>
                <w:bCs/>
                <w:szCs w:val="21"/>
              </w:rPr>
            </w:pPr>
            <w:r>
              <w:rPr>
                <w:rFonts w:hint="eastAsia" w:ascii="宋体" w:hAnsi="宋体"/>
                <w:bCs/>
                <w:szCs w:val="21"/>
              </w:rPr>
              <w:t>6</w:t>
            </w:r>
          </w:p>
        </w:tc>
      </w:tr>
    </w:tbl>
    <w:p>
      <w:pPr>
        <w:spacing w:line="540" w:lineRule="exact"/>
        <w:rPr>
          <w:rFonts w:ascii="宋体" w:hAnsi="宋体"/>
          <w:bCs/>
          <w:szCs w:val="21"/>
        </w:rPr>
      </w:pPr>
      <w:r>
        <w:rPr>
          <w:rFonts w:hint="eastAsia" w:ascii="宋体" w:hAnsi="宋体"/>
          <w:bCs/>
          <w:szCs w:val="21"/>
        </w:rPr>
        <w:t>3）消火栓系统</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999"/>
        <w:gridCol w:w="2319"/>
        <w:gridCol w:w="1970"/>
        <w:gridCol w:w="844"/>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序号</w:t>
            </w:r>
          </w:p>
        </w:tc>
        <w:tc>
          <w:tcPr>
            <w:tcW w:w="1999" w:type="dxa"/>
            <w:vAlign w:val="center"/>
          </w:tcPr>
          <w:p>
            <w:pPr>
              <w:spacing w:line="400" w:lineRule="exact"/>
              <w:jc w:val="center"/>
              <w:rPr>
                <w:rFonts w:ascii="宋体" w:hAnsi="宋体"/>
                <w:bCs/>
                <w:szCs w:val="21"/>
              </w:rPr>
            </w:pPr>
            <w:r>
              <w:rPr>
                <w:rFonts w:hint="eastAsia" w:ascii="宋体" w:hAnsi="宋体"/>
                <w:bCs/>
                <w:szCs w:val="21"/>
              </w:rPr>
              <w:t>区域</w:t>
            </w:r>
          </w:p>
        </w:tc>
        <w:tc>
          <w:tcPr>
            <w:tcW w:w="2319" w:type="dxa"/>
            <w:vAlign w:val="center"/>
          </w:tcPr>
          <w:p>
            <w:pPr>
              <w:spacing w:line="400" w:lineRule="exact"/>
              <w:jc w:val="center"/>
              <w:rPr>
                <w:rFonts w:ascii="宋体" w:hAnsi="宋体"/>
                <w:bCs/>
                <w:szCs w:val="21"/>
              </w:rPr>
            </w:pPr>
            <w:r>
              <w:rPr>
                <w:rFonts w:hint="eastAsia" w:ascii="宋体" w:hAnsi="宋体"/>
                <w:bCs/>
                <w:szCs w:val="21"/>
              </w:rPr>
              <w:t>设备名称</w:t>
            </w:r>
          </w:p>
        </w:tc>
        <w:tc>
          <w:tcPr>
            <w:tcW w:w="1970" w:type="dxa"/>
            <w:vAlign w:val="center"/>
          </w:tcPr>
          <w:p>
            <w:pPr>
              <w:spacing w:line="400" w:lineRule="exact"/>
              <w:jc w:val="center"/>
              <w:rPr>
                <w:rFonts w:ascii="宋体" w:hAnsi="宋体"/>
                <w:bCs/>
                <w:szCs w:val="21"/>
              </w:rPr>
            </w:pPr>
            <w:r>
              <w:rPr>
                <w:rFonts w:hint="eastAsia" w:ascii="宋体" w:hAnsi="宋体"/>
                <w:bCs/>
                <w:szCs w:val="21"/>
              </w:rPr>
              <w:t>型号规格</w:t>
            </w:r>
          </w:p>
        </w:tc>
        <w:tc>
          <w:tcPr>
            <w:tcW w:w="844" w:type="dxa"/>
            <w:vAlign w:val="center"/>
          </w:tcPr>
          <w:p>
            <w:pPr>
              <w:spacing w:line="400" w:lineRule="exact"/>
              <w:jc w:val="center"/>
              <w:rPr>
                <w:rFonts w:ascii="宋体" w:hAnsi="宋体"/>
                <w:bCs/>
                <w:szCs w:val="21"/>
              </w:rPr>
            </w:pPr>
            <w:r>
              <w:rPr>
                <w:rFonts w:hint="eastAsia" w:ascii="宋体" w:hAnsi="宋体"/>
                <w:bCs/>
                <w:szCs w:val="21"/>
              </w:rPr>
              <w:t>单位</w:t>
            </w:r>
          </w:p>
        </w:tc>
        <w:tc>
          <w:tcPr>
            <w:tcW w:w="880" w:type="dxa"/>
            <w:vAlign w:val="center"/>
          </w:tcPr>
          <w:p>
            <w:pPr>
              <w:spacing w:line="400" w:lineRule="exact"/>
              <w:jc w:val="center"/>
              <w:rPr>
                <w:rFonts w:ascii="宋体" w:hAnsi="宋体"/>
                <w:bCs/>
                <w:szCs w:val="21"/>
              </w:rPr>
            </w:pPr>
            <w:r>
              <w:rPr>
                <w:rFonts w:hint="eastAsia" w:ascii="宋体" w:hAnsi="宋体"/>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1</w:t>
            </w:r>
          </w:p>
        </w:tc>
        <w:tc>
          <w:tcPr>
            <w:tcW w:w="1999" w:type="dxa"/>
            <w:vMerge w:val="restart"/>
            <w:vAlign w:val="center"/>
          </w:tcPr>
          <w:p>
            <w:pPr>
              <w:spacing w:line="400" w:lineRule="exact"/>
              <w:jc w:val="center"/>
              <w:rPr>
                <w:rFonts w:ascii="宋体" w:hAnsi="宋体"/>
                <w:bCs/>
                <w:szCs w:val="21"/>
              </w:rPr>
            </w:pPr>
            <w:r>
              <w:rPr>
                <w:rFonts w:hint="eastAsia" w:ascii="宋体" w:hAnsi="宋体"/>
                <w:bCs/>
                <w:szCs w:val="21"/>
              </w:rPr>
              <w:t>区行政管理中心</w:t>
            </w:r>
          </w:p>
          <w:p>
            <w:pPr>
              <w:spacing w:line="400" w:lineRule="exact"/>
              <w:jc w:val="center"/>
              <w:rPr>
                <w:rFonts w:ascii="宋体" w:hAnsi="宋体"/>
                <w:bCs/>
                <w:szCs w:val="21"/>
              </w:rPr>
            </w:pPr>
            <w:r>
              <w:rPr>
                <w:rFonts w:hint="eastAsia" w:ascii="宋体" w:hAnsi="宋体"/>
                <w:bCs/>
                <w:szCs w:val="21"/>
              </w:rPr>
              <w:t>(含食堂、档案馆)</w:t>
            </w:r>
          </w:p>
          <w:p>
            <w:pPr>
              <w:spacing w:line="400" w:lineRule="exact"/>
              <w:jc w:val="center"/>
              <w:rPr>
                <w:rFonts w:ascii="宋体" w:hAnsi="宋体"/>
                <w:bCs/>
                <w:szCs w:val="21"/>
              </w:rPr>
            </w:pPr>
            <w:r>
              <w:rPr>
                <w:rFonts w:hint="eastAsia" w:ascii="宋体" w:hAnsi="宋体"/>
                <w:bCs/>
                <w:szCs w:val="21"/>
              </w:rPr>
              <w:t>区行政管理中心</w:t>
            </w:r>
          </w:p>
          <w:p>
            <w:pPr>
              <w:spacing w:line="400" w:lineRule="exact"/>
              <w:jc w:val="center"/>
              <w:rPr>
                <w:rFonts w:ascii="宋体" w:hAnsi="宋体"/>
                <w:bCs/>
                <w:szCs w:val="21"/>
              </w:rPr>
            </w:pPr>
            <w:r>
              <w:rPr>
                <w:rFonts w:hint="eastAsia" w:ascii="宋体" w:hAnsi="宋体"/>
                <w:bCs/>
                <w:szCs w:val="21"/>
              </w:rPr>
              <w:t>(含食堂、档案馆)</w:t>
            </w:r>
          </w:p>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消防水泵</w:t>
            </w:r>
          </w:p>
        </w:tc>
        <w:tc>
          <w:tcPr>
            <w:tcW w:w="1970" w:type="dxa"/>
            <w:vAlign w:val="center"/>
          </w:tcPr>
          <w:p>
            <w:pPr>
              <w:jc w:val="center"/>
              <w:rPr>
                <w:rFonts w:ascii="宋体" w:hAnsi="宋体"/>
                <w:bCs/>
                <w:szCs w:val="21"/>
              </w:rPr>
            </w:pPr>
            <w:r>
              <w:rPr>
                <w:rFonts w:hint="eastAsia" w:ascii="宋体" w:hAnsi="宋体"/>
                <w:bCs/>
                <w:szCs w:val="21"/>
              </w:rPr>
              <w:t>Y250M---4v1</w:t>
            </w:r>
          </w:p>
        </w:tc>
        <w:tc>
          <w:tcPr>
            <w:tcW w:w="844" w:type="dxa"/>
            <w:vAlign w:val="center"/>
          </w:tcPr>
          <w:p>
            <w:pPr>
              <w:jc w:val="center"/>
              <w:rPr>
                <w:rFonts w:ascii="宋体" w:hAnsi="宋体"/>
                <w:bCs/>
                <w:szCs w:val="21"/>
              </w:rPr>
            </w:pPr>
            <w:r>
              <w:rPr>
                <w:rFonts w:hint="eastAsia" w:ascii="宋体" w:hAnsi="宋体"/>
                <w:bCs/>
                <w:szCs w:val="21"/>
              </w:rPr>
              <w:t>台</w:t>
            </w:r>
          </w:p>
        </w:tc>
        <w:tc>
          <w:tcPr>
            <w:tcW w:w="880" w:type="dxa"/>
            <w:vAlign w:val="center"/>
          </w:tcPr>
          <w:p>
            <w:pPr>
              <w:spacing w:line="40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2</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消防泵控制柜</w:t>
            </w:r>
          </w:p>
        </w:tc>
        <w:tc>
          <w:tcPr>
            <w:tcW w:w="1970" w:type="dxa"/>
            <w:vAlign w:val="center"/>
          </w:tcPr>
          <w:p>
            <w:pPr>
              <w:jc w:val="center"/>
              <w:rPr>
                <w:rFonts w:ascii="宋体" w:hAnsi="宋体"/>
                <w:bCs/>
                <w:szCs w:val="21"/>
              </w:rPr>
            </w:pPr>
            <w:r>
              <w:rPr>
                <w:rFonts w:hint="eastAsia" w:ascii="宋体" w:hAnsi="宋体"/>
                <w:bCs/>
                <w:szCs w:val="21"/>
              </w:rPr>
              <w:t>NGC3---XF3</w:t>
            </w:r>
          </w:p>
        </w:tc>
        <w:tc>
          <w:tcPr>
            <w:tcW w:w="844" w:type="dxa"/>
            <w:vAlign w:val="center"/>
          </w:tcPr>
          <w:p>
            <w:pPr>
              <w:jc w:val="center"/>
              <w:rPr>
                <w:rFonts w:ascii="宋体" w:hAnsi="宋体"/>
                <w:bCs/>
                <w:szCs w:val="21"/>
              </w:rPr>
            </w:pPr>
            <w:r>
              <w:rPr>
                <w:rFonts w:hint="eastAsia" w:ascii="宋体" w:hAnsi="宋体"/>
                <w:bCs/>
                <w:szCs w:val="21"/>
              </w:rPr>
              <w:t>组</w:t>
            </w:r>
          </w:p>
        </w:tc>
        <w:tc>
          <w:tcPr>
            <w:tcW w:w="880"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3</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spacing w:line="400" w:lineRule="exact"/>
              <w:jc w:val="center"/>
              <w:rPr>
                <w:rFonts w:ascii="宋体" w:hAnsi="宋体"/>
                <w:bCs/>
                <w:szCs w:val="21"/>
              </w:rPr>
            </w:pPr>
            <w:r>
              <w:rPr>
                <w:rFonts w:hint="eastAsia" w:ascii="宋体" w:hAnsi="宋体"/>
                <w:bCs/>
                <w:szCs w:val="21"/>
              </w:rPr>
              <w:t>室内消火栓</w:t>
            </w:r>
          </w:p>
        </w:tc>
        <w:tc>
          <w:tcPr>
            <w:tcW w:w="1970" w:type="dxa"/>
            <w:vAlign w:val="center"/>
          </w:tcPr>
          <w:p>
            <w:pPr>
              <w:spacing w:line="400" w:lineRule="exact"/>
              <w:jc w:val="center"/>
              <w:rPr>
                <w:rFonts w:ascii="宋体" w:hAnsi="宋体"/>
                <w:bCs/>
                <w:szCs w:val="21"/>
              </w:rPr>
            </w:pPr>
          </w:p>
        </w:tc>
        <w:tc>
          <w:tcPr>
            <w:tcW w:w="844" w:type="dxa"/>
            <w:vAlign w:val="center"/>
          </w:tcPr>
          <w:p>
            <w:pPr>
              <w:spacing w:line="400" w:lineRule="exact"/>
              <w:jc w:val="center"/>
              <w:rPr>
                <w:rFonts w:ascii="宋体" w:hAnsi="宋体"/>
                <w:bCs/>
                <w:szCs w:val="21"/>
              </w:rPr>
            </w:pPr>
            <w:r>
              <w:rPr>
                <w:rFonts w:hint="eastAsia" w:ascii="宋体" w:hAnsi="宋体"/>
                <w:bCs/>
                <w:szCs w:val="21"/>
              </w:rPr>
              <w:t>个</w:t>
            </w:r>
          </w:p>
        </w:tc>
        <w:tc>
          <w:tcPr>
            <w:tcW w:w="880" w:type="dxa"/>
            <w:vAlign w:val="center"/>
          </w:tcPr>
          <w:p>
            <w:pPr>
              <w:spacing w:line="400" w:lineRule="exact"/>
              <w:jc w:val="center"/>
              <w:rPr>
                <w:rFonts w:ascii="宋体" w:hAnsi="宋体"/>
                <w:bCs/>
                <w:szCs w:val="21"/>
              </w:rPr>
            </w:pPr>
            <w:r>
              <w:rPr>
                <w:rFonts w:hint="eastAsia" w:ascii="宋体" w:hAnsi="宋体"/>
                <w:bCs/>
                <w:szCs w:val="21"/>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4</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室外消火栓</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5</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干粉灭火器</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只</w:t>
            </w:r>
          </w:p>
        </w:tc>
        <w:tc>
          <w:tcPr>
            <w:tcW w:w="880" w:type="dxa"/>
            <w:vAlign w:val="center"/>
          </w:tcPr>
          <w:p>
            <w:pPr>
              <w:jc w:val="center"/>
              <w:rPr>
                <w:rFonts w:ascii="宋体" w:hAnsi="宋体"/>
                <w:bCs/>
                <w:szCs w:val="21"/>
              </w:rPr>
            </w:pPr>
            <w:r>
              <w:rPr>
                <w:rFonts w:hint="eastAsia" w:ascii="宋体" w:hAnsi="宋体"/>
                <w:bCs/>
                <w:szCs w:val="21"/>
              </w:rPr>
              <w:t>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6</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室外消水结合器</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7</w:t>
            </w:r>
          </w:p>
        </w:tc>
        <w:tc>
          <w:tcPr>
            <w:tcW w:w="1999" w:type="dxa"/>
            <w:vMerge w:val="restart"/>
            <w:vAlign w:val="center"/>
          </w:tcPr>
          <w:p>
            <w:pPr>
              <w:spacing w:line="400" w:lineRule="exact"/>
              <w:jc w:val="center"/>
              <w:rPr>
                <w:rFonts w:ascii="宋体" w:hAnsi="宋体"/>
                <w:bCs/>
                <w:szCs w:val="21"/>
              </w:rPr>
            </w:pPr>
            <w:r>
              <w:rPr>
                <w:rFonts w:hint="eastAsia" w:ascii="宋体" w:hAnsi="宋体"/>
                <w:bCs/>
                <w:szCs w:val="21"/>
              </w:rPr>
              <w:t>区文化中心</w:t>
            </w:r>
          </w:p>
        </w:tc>
        <w:tc>
          <w:tcPr>
            <w:tcW w:w="2319" w:type="dxa"/>
            <w:vAlign w:val="center"/>
          </w:tcPr>
          <w:p>
            <w:pPr>
              <w:jc w:val="center"/>
              <w:rPr>
                <w:rFonts w:ascii="宋体" w:hAnsi="宋体"/>
                <w:bCs/>
                <w:szCs w:val="21"/>
              </w:rPr>
            </w:pPr>
            <w:r>
              <w:rPr>
                <w:rFonts w:hint="eastAsia" w:ascii="宋体" w:hAnsi="宋体"/>
                <w:bCs/>
                <w:szCs w:val="21"/>
              </w:rPr>
              <w:t>消防水泵</w:t>
            </w:r>
          </w:p>
        </w:tc>
        <w:tc>
          <w:tcPr>
            <w:tcW w:w="1970" w:type="dxa"/>
            <w:vAlign w:val="center"/>
          </w:tcPr>
          <w:p>
            <w:pPr>
              <w:jc w:val="center"/>
              <w:rPr>
                <w:rFonts w:ascii="宋体" w:hAnsi="宋体"/>
                <w:bCs/>
                <w:szCs w:val="21"/>
              </w:rPr>
            </w:pPr>
            <w:r>
              <w:rPr>
                <w:rFonts w:hint="eastAsia" w:ascii="宋体" w:hAnsi="宋体"/>
                <w:bCs/>
                <w:szCs w:val="21"/>
              </w:rPr>
              <w:t>XBD—100DL×2</w:t>
            </w:r>
          </w:p>
        </w:tc>
        <w:tc>
          <w:tcPr>
            <w:tcW w:w="844" w:type="dxa"/>
            <w:vAlign w:val="center"/>
          </w:tcPr>
          <w:p>
            <w:pPr>
              <w:jc w:val="center"/>
              <w:rPr>
                <w:rFonts w:ascii="宋体" w:hAnsi="宋体"/>
                <w:bCs/>
                <w:szCs w:val="21"/>
              </w:rPr>
            </w:pPr>
            <w:r>
              <w:rPr>
                <w:rFonts w:hint="eastAsia" w:ascii="宋体" w:hAnsi="宋体"/>
                <w:bCs/>
                <w:szCs w:val="21"/>
              </w:rPr>
              <w:t>台</w:t>
            </w:r>
          </w:p>
        </w:tc>
        <w:tc>
          <w:tcPr>
            <w:tcW w:w="880" w:type="dxa"/>
            <w:vAlign w:val="center"/>
          </w:tcPr>
          <w:p>
            <w:pPr>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8</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室内消防栓</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9</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室外消防栓</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10</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室外消水结合器</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11</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干粉灭火器</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只</w:t>
            </w:r>
          </w:p>
        </w:tc>
        <w:tc>
          <w:tcPr>
            <w:tcW w:w="880" w:type="dxa"/>
            <w:vAlign w:val="center"/>
          </w:tcPr>
          <w:p>
            <w:pPr>
              <w:jc w:val="center"/>
              <w:rPr>
                <w:rFonts w:ascii="宋体" w:hAnsi="宋体"/>
                <w:bCs/>
                <w:szCs w:val="21"/>
              </w:rPr>
            </w:pPr>
            <w:r>
              <w:rPr>
                <w:rFonts w:hint="eastAsia" w:ascii="宋体" w:hAnsi="宋体"/>
                <w:bCs/>
                <w:szCs w:val="21"/>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12</w:t>
            </w:r>
          </w:p>
        </w:tc>
        <w:tc>
          <w:tcPr>
            <w:tcW w:w="1999" w:type="dxa"/>
            <w:vMerge w:val="restart"/>
            <w:vAlign w:val="center"/>
          </w:tcPr>
          <w:p>
            <w:pPr>
              <w:spacing w:line="400" w:lineRule="exact"/>
              <w:jc w:val="center"/>
              <w:rPr>
                <w:rFonts w:ascii="宋体" w:hAnsi="宋体"/>
                <w:bCs/>
                <w:szCs w:val="21"/>
              </w:rPr>
            </w:pPr>
            <w:r>
              <w:rPr>
                <w:rFonts w:hint="eastAsia" w:ascii="宋体" w:hAnsi="宋体"/>
                <w:bCs/>
                <w:szCs w:val="21"/>
              </w:rPr>
              <w:t>市民活动中心</w:t>
            </w:r>
          </w:p>
        </w:tc>
        <w:tc>
          <w:tcPr>
            <w:tcW w:w="2319" w:type="dxa"/>
            <w:vAlign w:val="center"/>
          </w:tcPr>
          <w:p>
            <w:pPr>
              <w:jc w:val="center"/>
              <w:rPr>
                <w:rFonts w:ascii="宋体" w:hAnsi="宋体"/>
                <w:bCs/>
                <w:szCs w:val="21"/>
              </w:rPr>
            </w:pPr>
            <w:r>
              <w:rPr>
                <w:rFonts w:hint="eastAsia" w:ascii="宋体" w:hAnsi="宋体"/>
                <w:bCs/>
                <w:szCs w:val="21"/>
              </w:rPr>
              <w:t>消防水泵</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台</w:t>
            </w:r>
          </w:p>
        </w:tc>
        <w:tc>
          <w:tcPr>
            <w:tcW w:w="880" w:type="dxa"/>
            <w:vAlign w:val="center"/>
          </w:tcPr>
          <w:p>
            <w:pPr>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13</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增压稳压装置</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组</w:t>
            </w:r>
          </w:p>
        </w:tc>
        <w:tc>
          <w:tcPr>
            <w:tcW w:w="880"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14</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室内消防栓</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15</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室外消水结合器</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16</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干粉灭火器</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只</w:t>
            </w:r>
          </w:p>
        </w:tc>
        <w:tc>
          <w:tcPr>
            <w:tcW w:w="880" w:type="dxa"/>
            <w:vAlign w:val="center"/>
          </w:tcPr>
          <w:p>
            <w:pPr>
              <w:jc w:val="center"/>
              <w:rPr>
                <w:rFonts w:ascii="宋体" w:hAnsi="宋体"/>
                <w:bCs/>
                <w:szCs w:val="21"/>
              </w:rPr>
            </w:pPr>
            <w:r>
              <w:rPr>
                <w:rFonts w:hint="eastAsia" w:ascii="宋体" w:hAnsi="宋体"/>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17</w:t>
            </w:r>
          </w:p>
        </w:tc>
        <w:tc>
          <w:tcPr>
            <w:tcW w:w="1999" w:type="dxa"/>
            <w:vMerge w:val="restart"/>
            <w:vAlign w:val="center"/>
          </w:tcPr>
          <w:p>
            <w:pPr>
              <w:spacing w:line="400" w:lineRule="exact"/>
              <w:jc w:val="center"/>
              <w:rPr>
                <w:rFonts w:ascii="宋体" w:hAnsi="宋体"/>
                <w:bCs/>
                <w:szCs w:val="21"/>
              </w:rPr>
            </w:pPr>
            <w:r>
              <w:rPr>
                <w:rFonts w:hint="eastAsia" w:ascii="宋体" w:hAnsi="宋体"/>
                <w:bCs/>
                <w:szCs w:val="21"/>
              </w:rPr>
              <w:t>人防大楼</w:t>
            </w:r>
          </w:p>
        </w:tc>
        <w:tc>
          <w:tcPr>
            <w:tcW w:w="2319" w:type="dxa"/>
            <w:vAlign w:val="center"/>
          </w:tcPr>
          <w:p>
            <w:pPr>
              <w:jc w:val="center"/>
              <w:rPr>
                <w:rFonts w:ascii="宋体" w:hAnsi="宋体"/>
                <w:bCs/>
                <w:szCs w:val="21"/>
              </w:rPr>
            </w:pPr>
            <w:r>
              <w:rPr>
                <w:rFonts w:hint="eastAsia" w:ascii="宋体" w:hAnsi="宋体"/>
                <w:bCs/>
                <w:szCs w:val="21"/>
              </w:rPr>
              <w:t>消防水泵</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台</w:t>
            </w:r>
          </w:p>
        </w:tc>
        <w:tc>
          <w:tcPr>
            <w:tcW w:w="880" w:type="dxa"/>
            <w:vAlign w:val="center"/>
          </w:tcPr>
          <w:p>
            <w:pPr>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18</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增压稳压装置</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组</w:t>
            </w:r>
          </w:p>
        </w:tc>
        <w:tc>
          <w:tcPr>
            <w:tcW w:w="880"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19</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室内消防栓</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20</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干粉灭火器</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只</w:t>
            </w:r>
          </w:p>
        </w:tc>
        <w:tc>
          <w:tcPr>
            <w:tcW w:w="880" w:type="dxa"/>
            <w:vAlign w:val="center"/>
          </w:tcPr>
          <w:p>
            <w:pPr>
              <w:jc w:val="center"/>
              <w:rPr>
                <w:rFonts w:ascii="宋体" w:hAnsi="宋体"/>
                <w:bCs/>
                <w:szCs w:val="21"/>
              </w:rPr>
            </w:pPr>
            <w:r>
              <w:rPr>
                <w:rFonts w:hint="eastAsia" w:ascii="宋体" w:hAnsi="宋体"/>
                <w:bCs/>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21</w:t>
            </w:r>
          </w:p>
        </w:tc>
        <w:tc>
          <w:tcPr>
            <w:tcW w:w="1999" w:type="dxa"/>
            <w:vMerge w:val="restart"/>
            <w:vAlign w:val="center"/>
          </w:tcPr>
          <w:p>
            <w:pPr>
              <w:spacing w:line="400" w:lineRule="exact"/>
              <w:jc w:val="center"/>
              <w:rPr>
                <w:rFonts w:ascii="宋体" w:hAnsi="宋体"/>
                <w:bCs/>
                <w:szCs w:val="21"/>
              </w:rPr>
            </w:pPr>
            <w:r>
              <w:rPr>
                <w:rFonts w:hint="eastAsia" w:ascii="宋体" w:hAnsi="宋体"/>
                <w:bCs/>
                <w:szCs w:val="21"/>
              </w:rPr>
              <w:t>图书馆</w:t>
            </w:r>
          </w:p>
        </w:tc>
        <w:tc>
          <w:tcPr>
            <w:tcW w:w="2319" w:type="dxa"/>
            <w:vAlign w:val="center"/>
          </w:tcPr>
          <w:p>
            <w:pPr>
              <w:jc w:val="center"/>
              <w:rPr>
                <w:rFonts w:ascii="宋体" w:hAnsi="宋体"/>
                <w:bCs/>
                <w:szCs w:val="21"/>
              </w:rPr>
            </w:pPr>
            <w:r>
              <w:rPr>
                <w:rFonts w:hint="eastAsia" w:ascii="宋体" w:hAnsi="宋体"/>
                <w:bCs/>
                <w:szCs w:val="21"/>
              </w:rPr>
              <w:t>消防水泵</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台</w:t>
            </w:r>
          </w:p>
        </w:tc>
        <w:tc>
          <w:tcPr>
            <w:tcW w:w="880" w:type="dxa"/>
            <w:vAlign w:val="center"/>
          </w:tcPr>
          <w:p>
            <w:pPr>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22</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增压稳压装置</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组</w:t>
            </w:r>
          </w:p>
        </w:tc>
        <w:tc>
          <w:tcPr>
            <w:tcW w:w="880"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23</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室内消防栓</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24</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干粉灭火器</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只</w:t>
            </w:r>
          </w:p>
        </w:tc>
        <w:tc>
          <w:tcPr>
            <w:tcW w:w="880" w:type="dxa"/>
            <w:vAlign w:val="center"/>
          </w:tcPr>
          <w:p>
            <w:pPr>
              <w:jc w:val="center"/>
              <w:rPr>
                <w:rFonts w:ascii="宋体" w:hAnsi="宋体"/>
                <w:bCs/>
                <w:szCs w:val="21"/>
              </w:rPr>
            </w:pPr>
            <w:r>
              <w:rPr>
                <w:rFonts w:hint="eastAsia" w:ascii="宋体" w:hAnsi="宋体"/>
                <w:bCs/>
                <w:szCs w:val="21"/>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25</w:t>
            </w:r>
          </w:p>
        </w:tc>
        <w:tc>
          <w:tcPr>
            <w:tcW w:w="1999" w:type="dxa"/>
            <w:vMerge w:val="restart"/>
            <w:vAlign w:val="center"/>
          </w:tcPr>
          <w:p>
            <w:pPr>
              <w:spacing w:line="400" w:lineRule="exact"/>
              <w:jc w:val="center"/>
              <w:rPr>
                <w:rFonts w:ascii="宋体" w:hAnsi="宋体"/>
                <w:bCs/>
                <w:szCs w:val="21"/>
              </w:rPr>
            </w:pPr>
            <w:r>
              <w:rPr>
                <w:rFonts w:hint="eastAsia" w:ascii="宋体" w:hAnsi="宋体"/>
                <w:bCs/>
                <w:szCs w:val="21"/>
              </w:rPr>
              <w:t>区行政服务中心</w:t>
            </w:r>
          </w:p>
        </w:tc>
        <w:tc>
          <w:tcPr>
            <w:tcW w:w="2319" w:type="dxa"/>
            <w:vAlign w:val="center"/>
          </w:tcPr>
          <w:p>
            <w:pPr>
              <w:jc w:val="center"/>
              <w:rPr>
                <w:rFonts w:ascii="宋体" w:hAnsi="宋体"/>
                <w:bCs/>
                <w:szCs w:val="21"/>
              </w:rPr>
            </w:pPr>
            <w:r>
              <w:rPr>
                <w:rFonts w:hint="eastAsia" w:ascii="宋体" w:hAnsi="宋体"/>
                <w:bCs/>
                <w:szCs w:val="21"/>
              </w:rPr>
              <w:t>室内消火栓</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26</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消防水泵</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27</w:t>
            </w:r>
          </w:p>
        </w:tc>
        <w:tc>
          <w:tcPr>
            <w:tcW w:w="1999" w:type="dxa"/>
            <w:vMerge w:val="restart"/>
            <w:vAlign w:val="center"/>
          </w:tcPr>
          <w:p>
            <w:pPr>
              <w:spacing w:line="400" w:lineRule="exact"/>
              <w:jc w:val="center"/>
              <w:rPr>
                <w:rFonts w:ascii="宋体" w:hAnsi="宋体"/>
                <w:bCs/>
                <w:szCs w:val="21"/>
              </w:rPr>
            </w:pPr>
            <w:r>
              <w:rPr>
                <w:rFonts w:hint="eastAsia" w:ascii="宋体" w:hAnsi="宋体"/>
                <w:bCs/>
                <w:szCs w:val="21"/>
              </w:rPr>
              <w:t>区规划展示大楼</w:t>
            </w:r>
          </w:p>
        </w:tc>
        <w:tc>
          <w:tcPr>
            <w:tcW w:w="2319" w:type="dxa"/>
            <w:vAlign w:val="center"/>
          </w:tcPr>
          <w:p>
            <w:pPr>
              <w:jc w:val="center"/>
              <w:rPr>
                <w:rFonts w:ascii="宋体" w:hAnsi="宋体"/>
                <w:bCs/>
                <w:szCs w:val="21"/>
              </w:rPr>
            </w:pPr>
            <w:r>
              <w:rPr>
                <w:rFonts w:hint="eastAsia" w:ascii="宋体" w:hAnsi="宋体"/>
                <w:bCs/>
                <w:szCs w:val="21"/>
              </w:rPr>
              <w:t>室内消火栓</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5" w:type="dxa"/>
            <w:vAlign w:val="center"/>
          </w:tcPr>
          <w:p>
            <w:pPr>
              <w:spacing w:line="400" w:lineRule="exact"/>
              <w:jc w:val="center"/>
              <w:rPr>
                <w:rFonts w:ascii="宋体" w:hAnsi="宋体"/>
                <w:bCs/>
                <w:szCs w:val="21"/>
              </w:rPr>
            </w:pPr>
            <w:r>
              <w:rPr>
                <w:rFonts w:hint="eastAsia" w:ascii="宋体" w:hAnsi="宋体"/>
                <w:bCs/>
                <w:szCs w:val="21"/>
              </w:rPr>
              <w:t>28</w:t>
            </w:r>
          </w:p>
        </w:tc>
        <w:tc>
          <w:tcPr>
            <w:tcW w:w="1999" w:type="dxa"/>
            <w:vMerge w:val="continue"/>
            <w:vAlign w:val="center"/>
          </w:tcPr>
          <w:p>
            <w:pPr>
              <w:spacing w:line="400" w:lineRule="exact"/>
              <w:jc w:val="center"/>
              <w:rPr>
                <w:rFonts w:ascii="宋体" w:hAnsi="宋体"/>
                <w:bCs/>
                <w:szCs w:val="21"/>
              </w:rPr>
            </w:pPr>
          </w:p>
        </w:tc>
        <w:tc>
          <w:tcPr>
            <w:tcW w:w="2319" w:type="dxa"/>
            <w:vAlign w:val="center"/>
          </w:tcPr>
          <w:p>
            <w:pPr>
              <w:jc w:val="center"/>
              <w:rPr>
                <w:rFonts w:ascii="宋体" w:hAnsi="宋体"/>
                <w:bCs/>
                <w:szCs w:val="21"/>
              </w:rPr>
            </w:pPr>
            <w:r>
              <w:rPr>
                <w:rFonts w:hint="eastAsia" w:ascii="宋体" w:hAnsi="宋体"/>
                <w:bCs/>
                <w:szCs w:val="21"/>
              </w:rPr>
              <w:t>消防水泵</w:t>
            </w:r>
          </w:p>
        </w:tc>
        <w:tc>
          <w:tcPr>
            <w:tcW w:w="1970" w:type="dxa"/>
            <w:vAlign w:val="center"/>
          </w:tcPr>
          <w:p>
            <w:pPr>
              <w:jc w:val="center"/>
              <w:rPr>
                <w:rFonts w:ascii="宋体" w:hAnsi="宋体"/>
                <w:bCs/>
                <w:szCs w:val="21"/>
              </w:rPr>
            </w:pPr>
          </w:p>
        </w:tc>
        <w:tc>
          <w:tcPr>
            <w:tcW w:w="844" w:type="dxa"/>
            <w:vAlign w:val="center"/>
          </w:tcPr>
          <w:p>
            <w:pPr>
              <w:jc w:val="center"/>
              <w:rPr>
                <w:rFonts w:ascii="宋体" w:hAnsi="宋体"/>
                <w:bCs/>
                <w:szCs w:val="21"/>
              </w:rPr>
            </w:pPr>
            <w:r>
              <w:rPr>
                <w:rFonts w:hint="eastAsia" w:ascii="宋体" w:hAnsi="宋体"/>
                <w:bCs/>
                <w:szCs w:val="21"/>
              </w:rPr>
              <w:t>个</w:t>
            </w:r>
          </w:p>
        </w:tc>
        <w:tc>
          <w:tcPr>
            <w:tcW w:w="880" w:type="dxa"/>
            <w:vAlign w:val="center"/>
          </w:tcPr>
          <w:p>
            <w:pPr>
              <w:jc w:val="center"/>
              <w:rPr>
                <w:rFonts w:ascii="宋体" w:hAnsi="宋体"/>
                <w:bCs/>
                <w:szCs w:val="21"/>
              </w:rPr>
            </w:pPr>
            <w:r>
              <w:rPr>
                <w:rFonts w:hint="eastAsia" w:ascii="宋体" w:hAnsi="宋体"/>
                <w:bCs/>
                <w:szCs w:val="21"/>
              </w:rPr>
              <w:t>2</w:t>
            </w:r>
          </w:p>
        </w:tc>
      </w:tr>
    </w:tbl>
    <w:p>
      <w:pPr>
        <w:spacing w:line="540" w:lineRule="exact"/>
        <w:rPr>
          <w:rFonts w:ascii="宋体" w:hAnsi="宋体"/>
          <w:bCs/>
          <w:szCs w:val="21"/>
        </w:rPr>
      </w:pPr>
      <w:r>
        <w:rPr>
          <w:rFonts w:hint="eastAsia" w:ascii="宋体" w:hAnsi="宋体"/>
          <w:bCs/>
          <w:szCs w:val="21"/>
        </w:rPr>
        <w:t>4）防排烟系统</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009"/>
        <w:gridCol w:w="2330"/>
        <w:gridCol w:w="1979"/>
        <w:gridCol w:w="847"/>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序号</w:t>
            </w:r>
          </w:p>
        </w:tc>
        <w:tc>
          <w:tcPr>
            <w:tcW w:w="2009" w:type="dxa"/>
            <w:vAlign w:val="center"/>
          </w:tcPr>
          <w:p>
            <w:pPr>
              <w:spacing w:line="360" w:lineRule="exact"/>
              <w:jc w:val="center"/>
              <w:rPr>
                <w:rFonts w:ascii="宋体" w:hAnsi="宋体"/>
                <w:bCs/>
                <w:szCs w:val="21"/>
              </w:rPr>
            </w:pPr>
            <w:r>
              <w:rPr>
                <w:rFonts w:hint="eastAsia" w:ascii="宋体" w:hAnsi="宋体"/>
                <w:bCs/>
                <w:szCs w:val="21"/>
              </w:rPr>
              <w:t>区域</w:t>
            </w:r>
          </w:p>
        </w:tc>
        <w:tc>
          <w:tcPr>
            <w:tcW w:w="2330" w:type="dxa"/>
            <w:vAlign w:val="center"/>
          </w:tcPr>
          <w:p>
            <w:pPr>
              <w:spacing w:line="360" w:lineRule="exact"/>
              <w:jc w:val="center"/>
              <w:rPr>
                <w:rFonts w:ascii="宋体" w:hAnsi="宋体"/>
                <w:bCs/>
                <w:szCs w:val="21"/>
              </w:rPr>
            </w:pPr>
            <w:r>
              <w:rPr>
                <w:rFonts w:hint="eastAsia" w:ascii="宋体" w:hAnsi="宋体"/>
                <w:bCs/>
                <w:szCs w:val="21"/>
              </w:rPr>
              <w:t>设备名称</w:t>
            </w:r>
          </w:p>
        </w:tc>
        <w:tc>
          <w:tcPr>
            <w:tcW w:w="1979" w:type="dxa"/>
            <w:vAlign w:val="center"/>
          </w:tcPr>
          <w:p>
            <w:pPr>
              <w:spacing w:line="360" w:lineRule="exact"/>
              <w:jc w:val="center"/>
              <w:rPr>
                <w:rFonts w:ascii="宋体" w:hAnsi="宋体"/>
                <w:bCs/>
                <w:szCs w:val="21"/>
              </w:rPr>
            </w:pPr>
            <w:r>
              <w:rPr>
                <w:rFonts w:hint="eastAsia" w:ascii="宋体" w:hAnsi="宋体"/>
                <w:bCs/>
                <w:szCs w:val="21"/>
              </w:rPr>
              <w:t>型号规格</w:t>
            </w:r>
          </w:p>
        </w:tc>
        <w:tc>
          <w:tcPr>
            <w:tcW w:w="847" w:type="dxa"/>
            <w:vAlign w:val="center"/>
          </w:tcPr>
          <w:p>
            <w:pPr>
              <w:spacing w:line="360" w:lineRule="exact"/>
              <w:jc w:val="center"/>
              <w:rPr>
                <w:rFonts w:ascii="宋体" w:hAnsi="宋体"/>
                <w:bCs/>
                <w:szCs w:val="21"/>
              </w:rPr>
            </w:pPr>
            <w:r>
              <w:rPr>
                <w:rFonts w:hint="eastAsia" w:ascii="宋体" w:hAnsi="宋体"/>
                <w:bCs/>
                <w:szCs w:val="21"/>
              </w:rPr>
              <w:t>单位</w:t>
            </w:r>
          </w:p>
        </w:tc>
        <w:tc>
          <w:tcPr>
            <w:tcW w:w="885" w:type="dxa"/>
            <w:vAlign w:val="center"/>
          </w:tcPr>
          <w:p>
            <w:pPr>
              <w:spacing w:line="360" w:lineRule="exact"/>
              <w:jc w:val="center"/>
              <w:rPr>
                <w:rFonts w:ascii="宋体" w:hAnsi="宋体"/>
                <w:bCs/>
                <w:szCs w:val="21"/>
              </w:rPr>
            </w:pPr>
            <w:r>
              <w:rPr>
                <w:rFonts w:hint="eastAsia" w:ascii="宋体" w:hAnsi="宋体"/>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1</w:t>
            </w:r>
          </w:p>
        </w:tc>
        <w:tc>
          <w:tcPr>
            <w:tcW w:w="2009" w:type="dxa"/>
            <w:vMerge w:val="restart"/>
            <w:vAlign w:val="center"/>
          </w:tcPr>
          <w:p>
            <w:pPr>
              <w:spacing w:line="360" w:lineRule="exact"/>
              <w:jc w:val="center"/>
              <w:rPr>
                <w:rFonts w:ascii="宋体" w:hAnsi="宋体"/>
                <w:bCs/>
                <w:szCs w:val="21"/>
              </w:rPr>
            </w:pPr>
          </w:p>
          <w:p>
            <w:pPr>
              <w:spacing w:line="360" w:lineRule="exact"/>
              <w:jc w:val="center"/>
              <w:rPr>
                <w:rFonts w:ascii="宋体" w:hAnsi="宋体"/>
                <w:bCs/>
                <w:szCs w:val="21"/>
              </w:rPr>
            </w:pPr>
            <w:r>
              <w:rPr>
                <w:rFonts w:hint="eastAsia" w:ascii="宋体" w:hAnsi="宋体"/>
                <w:bCs/>
                <w:szCs w:val="21"/>
              </w:rPr>
              <w:t>区行政管理中心</w:t>
            </w:r>
          </w:p>
          <w:p>
            <w:pPr>
              <w:spacing w:line="360" w:lineRule="exact"/>
              <w:jc w:val="center"/>
              <w:rPr>
                <w:rFonts w:ascii="宋体" w:hAnsi="宋体"/>
                <w:bCs/>
                <w:szCs w:val="21"/>
              </w:rPr>
            </w:pPr>
            <w:r>
              <w:rPr>
                <w:rFonts w:hint="eastAsia" w:ascii="宋体" w:hAnsi="宋体"/>
                <w:bCs/>
                <w:szCs w:val="21"/>
              </w:rPr>
              <w:t>(含食堂、档案馆)</w:t>
            </w:r>
          </w:p>
          <w:p>
            <w:pPr>
              <w:spacing w:line="360" w:lineRule="exact"/>
              <w:jc w:val="center"/>
              <w:rPr>
                <w:rFonts w:ascii="宋体" w:hAnsi="宋体"/>
                <w:bCs/>
                <w:szCs w:val="21"/>
              </w:rPr>
            </w:pPr>
            <w:r>
              <w:rPr>
                <w:rFonts w:hint="eastAsia" w:ascii="宋体" w:hAnsi="宋体"/>
                <w:bCs/>
                <w:szCs w:val="21"/>
              </w:rPr>
              <w:t>区行政管理中心</w:t>
            </w:r>
          </w:p>
          <w:p>
            <w:pPr>
              <w:spacing w:line="360" w:lineRule="exact"/>
              <w:jc w:val="center"/>
              <w:rPr>
                <w:rFonts w:ascii="宋体" w:hAnsi="宋体"/>
                <w:bCs/>
                <w:szCs w:val="21"/>
              </w:rPr>
            </w:pPr>
            <w:r>
              <w:rPr>
                <w:rFonts w:hint="eastAsia" w:ascii="宋体" w:hAnsi="宋体"/>
                <w:bCs/>
                <w:szCs w:val="21"/>
              </w:rPr>
              <w:t>(含食堂、档案馆)</w:t>
            </w:r>
          </w:p>
        </w:tc>
        <w:tc>
          <w:tcPr>
            <w:tcW w:w="2330" w:type="dxa"/>
            <w:vAlign w:val="center"/>
          </w:tcPr>
          <w:p>
            <w:pPr>
              <w:jc w:val="center"/>
              <w:rPr>
                <w:rFonts w:ascii="宋体" w:hAnsi="宋体"/>
                <w:bCs/>
                <w:szCs w:val="21"/>
              </w:rPr>
            </w:pPr>
            <w:r>
              <w:rPr>
                <w:rFonts w:hint="eastAsia" w:ascii="宋体" w:hAnsi="宋体"/>
                <w:bCs/>
                <w:szCs w:val="21"/>
              </w:rPr>
              <w:t>排烟风机控制柜</w:t>
            </w:r>
          </w:p>
        </w:tc>
        <w:tc>
          <w:tcPr>
            <w:tcW w:w="1979" w:type="dxa"/>
            <w:vAlign w:val="center"/>
          </w:tcPr>
          <w:p>
            <w:pPr>
              <w:jc w:val="center"/>
              <w:rPr>
                <w:rFonts w:ascii="宋体" w:hAnsi="宋体"/>
                <w:bCs/>
                <w:szCs w:val="21"/>
              </w:rPr>
            </w:pPr>
          </w:p>
        </w:tc>
        <w:tc>
          <w:tcPr>
            <w:tcW w:w="847" w:type="dxa"/>
            <w:vAlign w:val="center"/>
          </w:tcPr>
          <w:p>
            <w:pPr>
              <w:jc w:val="center"/>
              <w:rPr>
                <w:rFonts w:ascii="宋体" w:hAnsi="宋体"/>
                <w:bCs/>
                <w:szCs w:val="21"/>
              </w:rPr>
            </w:pPr>
            <w:r>
              <w:rPr>
                <w:rFonts w:hint="eastAsia" w:ascii="宋体" w:hAnsi="宋体"/>
                <w:bCs/>
                <w:szCs w:val="21"/>
              </w:rPr>
              <w:t>组</w:t>
            </w:r>
          </w:p>
        </w:tc>
        <w:tc>
          <w:tcPr>
            <w:tcW w:w="885" w:type="dxa"/>
            <w:vAlign w:val="center"/>
          </w:tcPr>
          <w:p>
            <w:pPr>
              <w:jc w:val="center"/>
              <w:rPr>
                <w:rFonts w:ascii="宋体" w:hAnsi="宋体"/>
                <w:bCs/>
                <w:szCs w:val="21"/>
              </w:rPr>
            </w:pPr>
            <w:r>
              <w:rPr>
                <w:rFonts w:hint="eastAsia" w:ascii="宋体" w:hAnsi="宋体"/>
                <w:bCs/>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2</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正压风机控制柜</w:t>
            </w:r>
          </w:p>
        </w:tc>
        <w:tc>
          <w:tcPr>
            <w:tcW w:w="1979" w:type="dxa"/>
            <w:vAlign w:val="center"/>
          </w:tcPr>
          <w:p>
            <w:pPr>
              <w:jc w:val="center"/>
              <w:rPr>
                <w:rFonts w:ascii="宋体" w:hAnsi="宋体"/>
                <w:bCs/>
                <w:szCs w:val="21"/>
              </w:rPr>
            </w:pPr>
          </w:p>
        </w:tc>
        <w:tc>
          <w:tcPr>
            <w:tcW w:w="847" w:type="dxa"/>
            <w:vAlign w:val="center"/>
          </w:tcPr>
          <w:p>
            <w:pPr>
              <w:jc w:val="center"/>
              <w:rPr>
                <w:rFonts w:ascii="宋体" w:hAnsi="宋体"/>
                <w:bCs/>
                <w:szCs w:val="21"/>
              </w:rPr>
            </w:pPr>
            <w:r>
              <w:rPr>
                <w:rFonts w:hint="eastAsia" w:ascii="宋体" w:hAnsi="宋体"/>
                <w:bCs/>
                <w:szCs w:val="21"/>
              </w:rPr>
              <w:t>组</w:t>
            </w:r>
          </w:p>
        </w:tc>
        <w:tc>
          <w:tcPr>
            <w:tcW w:w="885" w:type="dxa"/>
            <w:vAlign w:val="center"/>
          </w:tcPr>
          <w:p>
            <w:pPr>
              <w:jc w:val="center"/>
              <w:rPr>
                <w:rFonts w:ascii="宋体" w:hAnsi="宋体"/>
                <w:bCs/>
                <w:szCs w:val="21"/>
              </w:rPr>
            </w:pPr>
            <w:r>
              <w:rPr>
                <w:rFonts w:hint="eastAsia" w:ascii="宋体" w:hAnsi="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3</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排烟风机、风管</w:t>
            </w:r>
          </w:p>
        </w:tc>
        <w:tc>
          <w:tcPr>
            <w:tcW w:w="1979" w:type="dxa"/>
            <w:vAlign w:val="center"/>
          </w:tcPr>
          <w:p>
            <w:pPr>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jc w:val="center"/>
              <w:rPr>
                <w:rFonts w:ascii="宋体" w:hAnsi="宋体"/>
                <w:bCs/>
                <w:szCs w:val="21"/>
              </w:rPr>
            </w:pPr>
            <w:r>
              <w:rPr>
                <w:rFonts w:hint="eastAsia" w:ascii="宋体" w:hAnsi="宋体"/>
                <w:bCs/>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4</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正压风机、风管</w:t>
            </w:r>
          </w:p>
        </w:tc>
        <w:tc>
          <w:tcPr>
            <w:tcW w:w="1979" w:type="dxa"/>
            <w:vAlign w:val="center"/>
          </w:tcPr>
          <w:p>
            <w:pPr>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jc w:val="center"/>
              <w:rPr>
                <w:rFonts w:ascii="宋体" w:hAnsi="宋体"/>
                <w:bCs/>
                <w:szCs w:val="21"/>
              </w:rPr>
            </w:pPr>
            <w:r>
              <w:rPr>
                <w:rFonts w:hint="eastAsia" w:ascii="宋体" w:hAnsi="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5</w:t>
            </w:r>
          </w:p>
        </w:tc>
        <w:tc>
          <w:tcPr>
            <w:tcW w:w="2009" w:type="dxa"/>
            <w:vMerge w:val="restart"/>
            <w:vAlign w:val="center"/>
          </w:tcPr>
          <w:p>
            <w:pPr>
              <w:spacing w:line="360" w:lineRule="exact"/>
              <w:jc w:val="center"/>
              <w:rPr>
                <w:rFonts w:ascii="宋体" w:hAnsi="宋体"/>
                <w:bCs/>
                <w:szCs w:val="21"/>
              </w:rPr>
            </w:pPr>
            <w:r>
              <w:rPr>
                <w:rFonts w:hint="eastAsia" w:ascii="宋体" w:hAnsi="宋体"/>
                <w:bCs/>
                <w:szCs w:val="21"/>
              </w:rPr>
              <w:t>区文化中心</w:t>
            </w:r>
          </w:p>
        </w:tc>
        <w:tc>
          <w:tcPr>
            <w:tcW w:w="2330" w:type="dxa"/>
            <w:vAlign w:val="center"/>
          </w:tcPr>
          <w:p>
            <w:pPr>
              <w:jc w:val="center"/>
              <w:rPr>
                <w:rFonts w:ascii="宋体" w:hAnsi="宋体"/>
                <w:bCs/>
                <w:szCs w:val="21"/>
              </w:rPr>
            </w:pPr>
            <w:r>
              <w:rPr>
                <w:rFonts w:hint="eastAsia" w:ascii="宋体" w:hAnsi="宋体"/>
                <w:bCs/>
                <w:szCs w:val="21"/>
              </w:rPr>
              <w:t>排烟风机控制柜</w:t>
            </w:r>
          </w:p>
        </w:tc>
        <w:tc>
          <w:tcPr>
            <w:tcW w:w="1979" w:type="dxa"/>
            <w:vAlign w:val="center"/>
          </w:tcPr>
          <w:p>
            <w:pPr>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6</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正压风机控制柜</w:t>
            </w:r>
          </w:p>
        </w:tc>
        <w:tc>
          <w:tcPr>
            <w:tcW w:w="1979" w:type="dxa"/>
            <w:vAlign w:val="center"/>
          </w:tcPr>
          <w:p>
            <w:pPr>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7</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排烟风机、风管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8</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9</w:t>
            </w:r>
          </w:p>
        </w:tc>
        <w:tc>
          <w:tcPr>
            <w:tcW w:w="2009" w:type="dxa"/>
            <w:vMerge w:val="restart"/>
            <w:vAlign w:val="center"/>
          </w:tcPr>
          <w:p>
            <w:pPr>
              <w:spacing w:line="360" w:lineRule="exact"/>
              <w:jc w:val="center"/>
              <w:rPr>
                <w:rFonts w:ascii="宋体" w:hAnsi="宋体"/>
                <w:bCs/>
                <w:szCs w:val="21"/>
              </w:rPr>
            </w:pPr>
            <w:r>
              <w:rPr>
                <w:rFonts w:hint="eastAsia" w:ascii="宋体" w:hAnsi="宋体"/>
                <w:bCs/>
                <w:szCs w:val="21"/>
              </w:rPr>
              <w:t>市民活动中心</w:t>
            </w:r>
          </w:p>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排烟风机控制柜</w:t>
            </w:r>
          </w:p>
        </w:tc>
        <w:tc>
          <w:tcPr>
            <w:tcW w:w="1979" w:type="dxa"/>
            <w:vAlign w:val="center"/>
          </w:tcPr>
          <w:p>
            <w:pPr>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10</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正压风机控制柜</w:t>
            </w:r>
          </w:p>
        </w:tc>
        <w:tc>
          <w:tcPr>
            <w:tcW w:w="1979" w:type="dxa"/>
            <w:vAlign w:val="center"/>
          </w:tcPr>
          <w:p>
            <w:pPr>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11</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排烟风机、风管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12</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13</w:t>
            </w:r>
          </w:p>
        </w:tc>
        <w:tc>
          <w:tcPr>
            <w:tcW w:w="2009" w:type="dxa"/>
            <w:vMerge w:val="restart"/>
            <w:vAlign w:val="center"/>
          </w:tcPr>
          <w:p>
            <w:pPr>
              <w:spacing w:line="360" w:lineRule="exact"/>
              <w:jc w:val="center"/>
              <w:rPr>
                <w:rFonts w:ascii="宋体" w:hAnsi="宋体"/>
                <w:bCs/>
                <w:szCs w:val="21"/>
              </w:rPr>
            </w:pPr>
            <w:r>
              <w:rPr>
                <w:rFonts w:hint="eastAsia" w:ascii="宋体" w:hAnsi="宋体"/>
                <w:bCs/>
                <w:szCs w:val="21"/>
              </w:rPr>
              <w:t>人防大楼</w:t>
            </w:r>
          </w:p>
        </w:tc>
        <w:tc>
          <w:tcPr>
            <w:tcW w:w="2330" w:type="dxa"/>
            <w:vAlign w:val="center"/>
          </w:tcPr>
          <w:p>
            <w:pPr>
              <w:jc w:val="center"/>
              <w:rPr>
                <w:rFonts w:ascii="宋体" w:hAnsi="宋体"/>
                <w:bCs/>
                <w:szCs w:val="21"/>
              </w:rPr>
            </w:pPr>
            <w:r>
              <w:rPr>
                <w:rFonts w:hint="eastAsia" w:ascii="宋体" w:hAnsi="宋体"/>
                <w:bCs/>
                <w:szCs w:val="21"/>
              </w:rPr>
              <w:t>排烟风机控制柜</w:t>
            </w:r>
          </w:p>
        </w:tc>
        <w:tc>
          <w:tcPr>
            <w:tcW w:w="1979" w:type="dxa"/>
            <w:vAlign w:val="center"/>
          </w:tcPr>
          <w:p>
            <w:pPr>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jc w:val="center"/>
              <w:rPr>
                <w:rFonts w:ascii="宋体" w:hAnsi="宋体"/>
                <w:bCs/>
                <w:szCs w:val="21"/>
              </w:rPr>
            </w:pPr>
            <w:r>
              <w:rPr>
                <w:rFonts w:hint="eastAsia" w:ascii="宋体" w:hAnsi="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14</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正压风机控制柜</w:t>
            </w:r>
          </w:p>
        </w:tc>
        <w:tc>
          <w:tcPr>
            <w:tcW w:w="1979" w:type="dxa"/>
            <w:vAlign w:val="center"/>
          </w:tcPr>
          <w:p>
            <w:pPr>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jc w:val="center"/>
              <w:rPr>
                <w:rFonts w:ascii="宋体" w:hAnsi="宋体"/>
                <w:bCs/>
                <w:szCs w:val="21"/>
              </w:rPr>
            </w:pPr>
            <w:r>
              <w:rPr>
                <w:rFonts w:hint="eastAsia" w:ascii="宋体" w:hAnsi="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15</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排烟风机、风管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16</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17</w:t>
            </w:r>
          </w:p>
        </w:tc>
        <w:tc>
          <w:tcPr>
            <w:tcW w:w="2009" w:type="dxa"/>
            <w:vMerge w:val="restart"/>
            <w:vAlign w:val="center"/>
          </w:tcPr>
          <w:p>
            <w:pPr>
              <w:spacing w:line="360" w:lineRule="exact"/>
              <w:jc w:val="center"/>
              <w:rPr>
                <w:rFonts w:ascii="宋体" w:hAnsi="宋体"/>
                <w:bCs/>
                <w:szCs w:val="21"/>
              </w:rPr>
            </w:pPr>
            <w:r>
              <w:rPr>
                <w:rFonts w:hint="eastAsia" w:ascii="宋体" w:hAnsi="宋体"/>
                <w:bCs/>
                <w:szCs w:val="21"/>
              </w:rPr>
              <w:t>图书馆</w:t>
            </w:r>
          </w:p>
        </w:tc>
        <w:tc>
          <w:tcPr>
            <w:tcW w:w="2330" w:type="dxa"/>
            <w:vAlign w:val="center"/>
          </w:tcPr>
          <w:p>
            <w:pPr>
              <w:jc w:val="center"/>
              <w:rPr>
                <w:rFonts w:ascii="宋体" w:hAnsi="宋体"/>
                <w:bCs/>
                <w:szCs w:val="21"/>
              </w:rPr>
            </w:pPr>
            <w:r>
              <w:rPr>
                <w:rFonts w:hint="eastAsia" w:ascii="宋体" w:hAnsi="宋体"/>
                <w:bCs/>
                <w:szCs w:val="21"/>
              </w:rPr>
              <w:t>排烟风机控制柜</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spacing w:line="360" w:lineRule="exact"/>
              <w:jc w:val="center"/>
              <w:rPr>
                <w:rFonts w:ascii="宋体" w:hAnsi="宋体"/>
                <w:bCs/>
                <w:szCs w:val="21"/>
              </w:rPr>
            </w:pPr>
            <w:r>
              <w:rPr>
                <w:rFonts w:hint="eastAsia"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18</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正压风机控制柜</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spacing w:line="360" w:lineRule="exact"/>
              <w:jc w:val="center"/>
              <w:rPr>
                <w:rFonts w:ascii="宋体" w:hAnsi="宋体"/>
                <w:bCs/>
                <w:szCs w:val="21"/>
              </w:rPr>
            </w:pPr>
            <w:r>
              <w:rPr>
                <w:rFonts w:hint="eastAsia" w:ascii="宋体" w:hAnsi="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19</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排烟风机、风管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20</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21</w:t>
            </w:r>
          </w:p>
        </w:tc>
        <w:tc>
          <w:tcPr>
            <w:tcW w:w="2009" w:type="dxa"/>
            <w:vMerge w:val="restart"/>
            <w:vAlign w:val="center"/>
          </w:tcPr>
          <w:p>
            <w:pPr>
              <w:spacing w:line="360" w:lineRule="exact"/>
              <w:jc w:val="center"/>
              <w:rPr>
                <w:rFonts w:ascii="宋体" w:hAnsi="宋体"/>
                <w:bCs/>
                <w:szCs w:val="21"/>
              </w:rPr>
            </w:pPr>
            <w:r>
              <w:rPr>
                <w:rFonts w:hint="eastAsia" w:ascii="宋体" w:hAnsi="宋体"/>
                <w:bCs/>
                <w:szCs w:val="21"/>
              </w:rPr>
              <w:t>区行政服务中心</w:t>
            </w:r>
          </w:p>
        </w:tc>
        <w:tc>
          <w:tcPr>
            <w:tcW w:w="2330" w:type="dxa"/>
            <w:vAlign w:val="center"/>
          </w:tcPr>
          <w:p>
            <w:pPr>
              <w:jc w:val="center"/>
              <w:rPr>
                <w:rFonts w:ascii="宋体" w:hAnsi="宋体"/>
                <w:bCs/>
                <w:szCs w:val="21"/>
              </w:rPr>
            </w:pPr>
            <w:r>
              <w:rPr>
                <w:rFonts w:hint="eastAsia" w:ascii="宋体" w:hAnsi="宋体"/>
                <w:bCs/>
                <w:szCs w:val="21"/>
              </w:rPr>
              <w:t>排烟风机控制柜</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spacing w:line="360" w:lineRule="exact"/>
              <w:jc w:val="center"/>
              <w:rPr>
                <w:rFonts w:ascii="宋体" w:hAnsi="宋体"/>
                <w:bCs/>
                <w:szCs w:val="21"/>
              </w:rPr>
            </w:pPr>
            <w:r>
              <w:rPr>
                <w:rFonts w:hint="eastAsia" w:ascii="宋体" w:hAnsi="宋体"/>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22</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正压风机控制柜</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spacing w:line="360" w:lineRule="exact"/>
              <w:jc w:val="center"/>
              <w:rPr>
                <w:rFonts w:ascii="宋体" w:hAnsi="宋体"/>
                <w:bCs/>
                <w:szCs w:val="21"/>
              </w:rPr>
            </w:pPr>
            <w:r>
              <w:rPr>
                <w:rFonts w:hint="eastAsia" w:ascii="宋体" w:hAnsi="宋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23</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排烟风机、风管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24</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25</w:t>
            </w:r>
          </w:p>
        </w:tc>
        <w:tc>
          <w:tcPr>
            <w:tcW w:w="2009" w:type="dxa"/>
            <w:vMerge w:val="restart"/>
            <w:vAlign w:val="center"/>
          </w:tcPr>
          <w:p>
            <w:pPr>
              <w:spacing w:line="360" w:lineRule="exact"/>
              <w:jc w:val="center"/>
              <w:rPr>
                <w:rFonts w:ascii="宋体" w:hAnsi="宋体"/>
                <w:bCs/>
                <w:szCs w:val="21"/>
              </w:rPr>
            </w:pPr>
            <w:r>
              <w:rPr>
                <w:rFonts w:hint="eastAsia" w:ascii="宋体" w:hAnsi="宋体"/>
                <w:bCs/>
                <w:szCs w:val="21"/>
              </w:rPr>
              <w:t>区规划展示大楼</w:t>
            </w:r>
          </w:p>
        </w:tc>
        <w:tc>
          <w:tcPr>
            <w:tcW w:w="2330" w:type="dxa"/>
            <w:vAlign w:val="center"/>
          </w:tcPr>
          <w:p>
            <w:pPr>
              <w:jc w:val="center"/>
              <w:rPr>
                <w:rFonts w:ascii="宋体" w:hAnsi="宋体"/>
                <w:bCs/>
                <w:szCs w:val="21"/>
              </w:rPr>
            </w:pPr>
            <w:r>
              <w:rPr>
                <w:rFonts w:hint="eastAsia" w:ascii="宋体" w:hAnsi="宋体"/>
                <w:bCs/>
                <w:szCs w:val="21"/>
              </w:rPr>
              <w:t>排烟风机控制柜</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spacing w:line="36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26</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正压风机控制柜</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组</w:t>
            </w:r>
          </w:p>
        </w:tc>
        <w:tc>
          <w:tcPr>
            <w:tcW w:w="885" w:type="dxa"/>
            <w:vAlign w:val="center"/>
          </w:tcPr>
          <w:p>
            <w:pPr>
              <w:spacing w:line="360" w:lineRule="exact"/>
              <w:jc w:val="center"/>
              <w:rPr>
                <w:rFonts w:ascii="宋体" w:hAnsi="宋体"/>
                <w:bCs/>
                <w:szCs w:val="21"/>
              </w:rPr>
            </w:pPr>
            <w:r>
              <w:rPr>
                <w:rFonts w:hint="eastAsia" w:ascii="宋体" w:hAnsi="宋体"/>
                <w:bCs/>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27</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排烟风机、风管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28" w:type="dxa"/>
            <w:vAlign w:val="center"/>
          </w:tcPr>
          <w:p>
            <w:pPr>
              <w:spacing w:line="360" w:lineRule="exact"/>
              <w:jc w:val="center"/>
              <w:rPr>
                <w:rFonts w:ascii="宋体" w:hAnsi="宋体"/>
                <w:bCs/>
                <w:szCs w:val="21"/>
              </w:rPr>
            </w:pPr>
            <w:r>
              <w:rPr>
                <w:rFonts w:hint="eastAsia" w:ascii="宋体" w:hAnsi="宋体"/>
                <w:bCs/>
                <w:szCs w:val="21"/>
              </w:rPr>
              <w:t>28</w:t>
            </w:r>
          </w:p>
        </w:tc>
        <w:tc>
          <w:tcPr>
            <w:tcW w:w="2009" w:type="dxa"/>
            <w:vMerge w:val="continue"/>
            <w:vAlign w:val="center"/>
          </w:tcPr>
          <w:p>
            <w:pPr>
              <w:spacing w:line="360" w:lineRule="exact"/>
              <w:jc w:val="center"/>
              <w:rPr>
                <w:rFonts w:ascii="宋体" w:hAnsi="宋体"/>
                <w:bCs/>
                <w:szCs w:val="21"/>
              </w:rPr>
            </w:pPr>
          </w:p>
        </w:tc>
        <w:tc>
          <w:tcPr>
            <w:tcW w:w="2330" w:type="dxa"/>
            <w:vAlign w:val="center"/>
          </w:tcPr>
          <w:p>
            <w:pPr>
              <w:jc w:val="center"/>
              <w:rPr>
                <w:rFonts w:ascii="宋体" w:hAnsi="宋体"/>
                <w:bCs/>
                <w:szCs w:val="21"/>
              </w:rPr>
            </w:pPr>
            <w:r>
              <w:rPr>
                <w:rFonts w:hint="eastAsia" w:ascii="宋体" w:hAnsi="宋体"/>
                <w:bCs/>
                <w:szCs w:val="21"/>
              </w:rPr>
              <w:t>正压风机、风管</w:t>
            </w:r>
          </w:p>
        </w:tc>
        <w:tc>
          <w:tcPr>
            <w:tcW w:w="1979" w:type="dxa"/>
            <w:vAlign w:val="center"/>
          </w:tcPr>
          <w:p>
            <w:pPr>
              <w:spacing w:line="360" w:lineRule="exact"/>
              <w:jc w:val="center"/>
              <w:rPr>
                <w:rFonts w:ascii="宋体" w:hAnsi="宋体"/>
                <w:bCs/>
                <w:szCs w:val="21"/>
              </w:rPr>
            </w:pPr>
          </w:p>
        </w:tc>
        <w:tc>
          <w:tcPr>
            <w:tcW w:w="847" w:type="dxa"/>
            <w:vAlign w:val="center"/>
          </w:tcPr>
          <w:p>
            <w:pPr>
              <w:spacing w:line="360" w:lineRule="exact"/>
              <w:jc w:val="center"/>
              <w:rPr>
                <w:rFonts w:ascii="宋体" w:hAnsi="宋体"/>
                <w:bCs/>
                <w:szCs w:val="21"/>
              </w:rPr>
            </w:pPr>
            <w:r>
              <w:rPr>
                <w:rFonts w:hint="eastAsia" w:ascii="宋体" w:hAnsi="宋体"/>
                <w:bCs/>
                <w:szCs w:val="21"/>
              </w:rPr>
              <w:t>台</w:t>
            </w:r>
          </w:p>
        </w:tc>
        <w:tc>
          <w:tcPr>
            <w:tcW w:w="885" w:type="dxa"/>
            <w:vAlign w:val="center"/>
          </w:tcPr>
          <w:p>
            <w:pPr>
              <w:spacing w:line="360" w:lineRule="exact"/>
              <w:jc w:val="center"/>
              <w:rPr>
                <w:rFonts w:ascii="宋体" w:hAnsi="宋体"/>
                <w:bCs/>
                <w:szCs w:val="21"/>
              </w:rPr>
            </w:pPr>
            <w:r>
              <w:rPr>
                <w:rFonts w:hint="eastAsia" w:ascii="宋体" w:hAnsi="宋体"/>
                <w:bCs/>
                <w:szCs w:val="21"/>
              </w:rPr>
              <w:t>11</w:t>
            </w:r>
          </w:p>
        </w:tc>
      </w:tr>
    </w:tbl>
    <w:p>
      <w:pPr>
        <w:spacing w:line="540" w:lineRule="exact"/>
        <w:rPr>
          <w:rFonts w:ascii="宋体" w:hAnsi="宋体"/>
          <w:bCs/>
          <w:szCs w:val="21"/>
        </w:rPr>
      </w:pPr>
      <w:r>
        <w:rPr>
          <w:rFonts w:hint="eastAsia" w:ascii="宋体" w:hAnsi="宋体"/>
          <w:bCs/>
          <w:szCs w:val="21"/>
        </w:rPr>
        <w:t>5）防火分区</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068"/>
        <w:gridCol w:w="2400"/>
        <w:gridCol w:w="2037"/>
        <w:gridCol w:w="872"/>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49" w:type="dxa"/>
            <w:vAlign w:val="center"/>
          </w:tcPr>
          <w:p>
            <w:pPr>
              <w:spacing w:line="360" w:lineRule="exact"/>
              <w:jc w:val="center"/>
              <w:rPr>
                <w:rFonts w:ascii="宋体" w:hAnsi="宋体"/>
                <w:bCs/>
                <w:szCs w:val="21"/>
              </w:rPr>
            </w:pPr>
            <w:r>
              <w:rPr>
                <w:rFonts w:hint="eastAsia" w:ascii="宋体" w:hAnsi="宋体"/>
                <w:bCs/>
                <w:szCs w:val="21"/>
              </w:rPr>
              <w:t>序号</w:t>
            </w:r>
          </w:p>
        </w:tc>
        <w:tc>
          <w:tcPr>
            <w:tcW w:w="2068" w:type="dxa"/>
            <w:vAlign w:val="center"/>
          </w:tcPr>
          <w:p>
            <w:pPr>
              <w:spacing w:line="360" w:lineRule="exact"/>
              <w:jc w:val="center"/>
              <w:rPr>
                <w:rFonts w:ascii="宋体" w:hAnsi="宋体"/>
                <w:bCs/>
                <w:szCs w:val="21"/>
              </w:rPr>
            </w:pPr>
            <w:r>
              <w:rPr>
                <w:rFonts w:hint="eastAsia" w:ascii="宋体" w:hAnsi="宋体"/>
                <w:bCs/>
                <w:szCs w:val="21"/>
              </w:rPr>
              <w:t>区域</w:t>
            </w:r>
          </w:p>
        </w:tc>
        <w:tc>
          <w:tcPr>
            <w:tcW w:w="2400" w:type="dxa"/>
            <w:vAlign w:val="center"/>
          </w:tcPr>
          <w:p>
            <w:pPr>
              <w:spacing w:line="360" w:lineRule="exact"/>
              <w:jc w:val="center"/>
              <w:rPr>
                <w:rFonts w:ascii="宋体" w:hAnsi="宋体"/>
                <w:bCs/>
                <w:szCs w:val="21"/>
              </w:rPr>
            </w:pPr>
            <w:r>
              <w:rPr>
                <w:rFonts w:hint="eastAsia" w:ascii="宋体" w:hAnsi="宋体"/>
                <w:bCs/>
                <w:szCs w:val="21"/>
              </w:rPr>
              <w:t>设备名称</w:t>
            </w:r>
          </w:p>
        </w:tc>
        <w:tc>
          <w:tcPr>
            <w:tcW w:w="2037" w:type="dxa"/>
            <w:vAlign w:val="center"/>
          </w:tcPr>
          <w:p>
            <w:pPr>
              <w:spacing w:line="360" w:lineRule="exact"/>
              <w:jc w:val="center"/>
              <w:rPr>
                <w:rFonts w:ascii="宋体" w:hAnsi="宋体"/>
                <w:bCs/>
                <w:szCs w:val="21"/>
              </w:rPr>
            </w:pPr>
            <w:r>
              <w:rPr>
                <w:rFonts w:hint="eastAsia" w:ascii="宋体" w:hAnsi="宋体"/>
                <w:bCs/>
                <w:szCs w:val="21"/>
              </w:rPr>
              <w:t>型号规格</w:t>
            </w:r>
          </w:p>
        </w:tc>
        <w:tc>
          <w:tcPr>
            <w:tcW w:w="872" w:type="dxa"/>
            <w:vAlign w:val="center"/>
          </w:tcPr>
          <w:p>
            <w:pPr>
              <w:spacing w:line="360" w:lineRule="exact"/>
              <w:jc w:val="center"/>
              <w:rPr>
                <w:rFonts w:ascii="宋体" w:hAnsi="宋体"/>
                <w:bCs/>
                <w:szCs w:val="21"/>
              </w:rPr>
            </w:pPr>
            <w:r>
              <w:rPr>
                <w:rFonts w:hint="eastAsia" w:ascii="宋体" w:hAnsi="宋体"/>
                <w:bCs/>
                <w:szCs w:val="21"/>
              </w:rPr>
              <w:t>单位</w:t>
            </w:r>
          </w:p>
        </w:tc>
        <w:tc>
          <w:tcPr>
            <w:tcW w:w="911" w:type="dxa"/>
            <w:vAlign w:val="center"/>
          </w:tcPr>
          <w:p>
            <w:pPr>
              <w:spacing w:line="360" w:lineRule="exact"/>
              <w:jc w:val="center"/>
              <w:rPr>
                <w:rFonts w:ascii="宋体" w:hAnsi="宋体"/>
                <w:bCs/>
                <w:szCs w:val="21"/>
              </w:rPr>
            </w:pPr>
            <w:r>
              <w:rPr>
                <w:rFonts w:hint="eastAsia" w:ascii="宋体" w:hAnsi="宋体"/>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49" w:type="dxa"/>
            <w:vAlign w:val="center"/>
          </w:tcPr>
          <w:p>
            <w:pPr>
              <w:spacing w:line="360" w:lineRule="exact"/>
              <w:jc w:val="center"/>
              <w:rPr>
                <w:rFonts w:ascii="宋体" w:hAnsi="宋体"/>
                <w:bCs/>
                <w:szCs w:val="21"/>
              </w:rPr>
            </w:pPr>
            <w:r>
              <w:rPr>
                <w:rFonts w:hint="eastAsia" w:ascii="宋体" w:hAnsi="宋体"/>
                <w:bCs/>
                <w:szCs w:val="21"/>
              </w:rPr>
              <w:t>1</w:t>
            </w:r>
          </w:p>
        </w:tc>
        <w:tc>
          <w:tcPr>
            <w:tcW w:w="2068" w:type="dxa"/>
            <w:vAlign w:val="center"/>
          </w:tcPr>
          <w:p>
            <w:pPr>
              <w:spacing w:line="360" w:lineRule="exact"/>
              <w:jc w:val="center"/>
              <w:rPr>
                <w:rFonts w:ascii="宋体" w:hAnsi="宋体"/>
                <w:bCs/>
                <w:szCs w:val="21"/>
              </w:rPr>
            </w:pPr>
            <w:r>
              <w:rPr>
                <w:rFonts w:hint="eastAsia" w:ascii="宋体" w:hAnsi="宋体"/>
                <w:bCs/>
                <w:szCs w:val="21"/>
              </w:rPr>
              <w:t>区行政管理中心</w:t>
            </w:r>
          </w:p>
        </w:tc>
        <w:tc>
          <w:tcPr>
            <w:tcW w:w="2400" w:type="dxa"/>
            <w:vAlign w:val="center"/>
          </w:tcPr>
          <w:p>
            <w:pPr>
              <w:jc w:val="center"/>
              <w:rPr>
                <w:rFonts w:ascii="宋体" w:hAnsi="宋体"/>
                <w:bCs/>
                <w:szCs w:val="21"/>
              </w:rPr>
            </w:pPr>
            <w:r>
              <w:rPr>
                <w:rFonts w:hint="eastAsia" w:ascii="宋体" w:hAnsi="宋体"/>
                <w:bCs/>
                <w:szCs w:val="21"/>
              </w:rPr>
              <w:t>防火卷帘门</w:t>
            </w:r>
          </w:p>
        </w:tc>
        <w:tc>
          <w:tcPr>
            <w:tcW w:w="2037" w:type="dxa"/>
            <w:vAlign w:val="center"/>
          </w:tcPr>
          <w:p>
            <w:pPr>
              <w:jc w:val="center"/>
              <w:rPr>
                <w:rFonts w:ascii="宋体" w:hAnsi="宋体"/>
                <w:bCs/>
                <w:szCs w:val="21"/>
              </w:rPr>
            </w:pPr>
          </w:p>
        </w:tc>
        <w:tc>
          <w:tcPr>
            <w:tcW w:w="872" w:type="dxa"/>
            <w:vAlign w:val="center"/>
          </w:tcPr>
          <w:p>
            <w:pPr>
              <w:jc w:val="center"/>
              <w:rPr>
                <w:rFonts w:ascii="宋体" w:hAnsi="宋体"/>
                <w:bCs/>
                <w:szCs w:val="21"/>
              </w:rPr>
            </w:pPr>
            <w:r>
              <w:rPr>
                <w:rFonts w:hint="eastAsia" w:ascii="宋体" w:hAnsi="宋体"/>
                <w:bCs/>
                <w:szCs w:val="21"/>
              </w:rPr>
              <w:t>个</w:t>
            </w:r>
          </w:p>
        </w:tc>
        <w:tc>
          <w:tcPr>
            <w:tcW w:w="911" w:type="dxa"/>
            <w:vAlign w:val="center"/>
          </w:tcPr>
          <w:p>
            <w:pPr>
              <w:jc w:val="center"/>
              <w:rPr>
                <w:rFonts w:ascii="宋体" w:hAnsi="宋体"/>
                <w:bCs/>
                <w:szCs w:val="21"/>
              </w:rPr>
            </w:pPr>
            <w:r>
              <w:rPr>
                <w:rFonts w:hint="eastAsia" w:ascii="宋体" w:hAnsi="宋体"/>
                <w:bCs/>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49" w:type="dxa"/>
            <w:vAlign w:val="center"/>
          </w:tcPr>
          <w:p>
            <w:pPr>
              <w:spacing w:line="360" w:lineRule="exact"/>
              <w:jc w:val="center"/>
              <w:rPr>
                <w:rFonts w:ascii="宋体" w:hAnsi="宋体"/>
                <w:bCs/>
                <w:szCs w:val="21"/>
              </w:rPr>
            </w:pPr>
            <w:r>
              <w:rPr>
                <w:rFonts w:hint="eastAsia" w:ascii="宋体" w:hAnsi="宋体"/>
                <w:bCs/>
                <w:szCs w:val="21"/>
              </w:rPr>
              <w:t>2</w:t>
            </w:r>
          </w:p>
        </w:tc>
        <w:tc>
          <w:tcPr>
            <w:tcW w:w="2068" w:type="dxa"/>
            <w:vAlign w:val="center"/>
          </w:tcPr>
          <w:p>
            <w:pPr>
              <w:spacing w:line="360" w:lineRule="exact"/>
              <w:jc w:val="center"/>
              <w:rPr>
                <w:rFonts w:ascii="宋体" w:hAnsi="宋体"/>
                <w:bCs/>
                <w:szCs w:val="21"/>
              </w:rPr>
            </w:pPr>
            <w:r>
              <w:rPr>
                <w:rFonts w:hint="eastAsia" w:ascii="宋体" w:hAnsi="宋体"/>
                <w:bCs/>
                <w:szCs w:val="21"/>
              </w:rPr>
              <w:t>市民活动中心</w:t>
            </w:r>
          </w:p>
        </w:tc>
        <w:tc>
          <w:tcPr>
            <w:tcW w:w="2400" w:type="dxa"/>
            <w:vAlign w:val="center"/>
          </w:tcPr>
          <w:p>
            <w:pPr>
              <w:jc w:val="center"/>
              <w:rPr>
                <w:rFonts w:ascii="宋体" w:hAnsi="宋体"/>
                <w:bCs/>
                <w:szCs w:val="21"/>
              </w:rPr>
            </w:pPr>
            <w:r>
              <w:rPr>
                <w:rFonts w:hint="eastAsia" w:ascii="宋体" w:hAnsi="宋体"/>
                <w:bCs/>
                <w:szCs w:val="21"/>
              </w:rPr>
              <w:t>防火卷帘门</w:t>
            </w:r>
          </w:p>
        </w:tc>
        <w:tc>
          <w:tcPr>
            <w:tcW w:w="2037" w:type="dxa"/>
            <w:vAlign w:val="center"/>
          </w:tcPr>
          <w:p>
            <w:pPr>
              <w:jc w:val="center"/>
              <w:rPr>
                <w:rFonts w:ascii="宋体" w:hAnsi="宋体"/>
                <w:bCs/>
                <w:szCs w:val="21"/>
              </w:rPr>
            </w:pPr>
          </w:p>
        </w:tc>
        <w:tc>
          <w:tcPr>
            <w:tcW w:w="872" w:type="dxa"/>
            <w:vAlign w:val="center"/>
          </w:tcPr>
          <w:p>
            <w:pPr>
              <w:jc w:val="center"/>
              <w:rPr>
                <w:rFonts w:ascii="宋体" w:hAnsi="宋体"/>
                <w:bCs/>
                <w:szCs w:val="21"/>
              </w:rPr>
            </w:pPr>
            <w:r>
              <w:rPr>
                <w:rFonts w:hint="eastAsia" w:ascii="宋体" w:hAnsi="宋体"/>
                <w:bCs/>
                <w:szCs w:val="21"/>
              </w:rPr>
              <w:t>个</w:t>
            </w:r>
          </w:p>
        </w:tc>
        <w:tc>
          <w:tcPr>
            <w:tcW w:w="911" w:type="dxa"/>
            <w:vAlign w:val="center"/>
          </w:tcPr>
          <w:p>
            <w:pPr>
              <w:jc w:val="center"/>
              <w:rPr>
                <w:rFonts w:ascii="宋体" w:hAnsi="宋体"/>
                <w:bCs/>
                <w:szCs w:val="21"/>
              </w:rPr>
            </w:pPr>
            <w:r>
              <w:rPr>
                <w:rFonts w:hint="eastAsia" w:ascii="宋体" w:hAnsi="宋体"/>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749" w:type="dxa"/>
            <w:vAlign w:val="center"/>
          </w:tcPr>
          <w:p>
            <w:pPr>
              <w:spacing w:line="360" w:lineRule="exact"/>
              <w:jc w:val="center"/>
              <w:rPr>
                <w:rFonts w:ascii="宋体" w:hAnsi="宋体"/>
                <w:bCs/>
                <w:szCs w:val="21"/>
              </w:rPr>
            </w:pPr>
            <w:r>
              <w:rPr>
                <w:rFonts w:hint="eastAsia" w:ascii="宋体" w:hAnsi="宋体"/>
                <w:bCs/>
                <w:szCs w:val="21"/>
              </w:rPr>
              <w:t>3</w:t>
            </w:r>
          </w:p>
        </w:tc>
        <w:tc>
          <w:tcPr>
            <w:tcW w:w="2068" w:type="dxa"/>
            <w:vAlign w:val="center"/>
          </w:tcPr>
          <w:p>
            <w:pPr>
              <w:spacing w:line="360" w:lineRule="exact"/>
              <w:jc w:val="center"/>
              <w:rPr>
                <w:rFonts w:ascii="宋体" w:hAnsi="宋体"/>
                <w:bCs/>
                <w:szCs w:val="21"/>
              </w:rPr>
            </w:pPr>
            <w:r>
              <w:rPr>
                <w:rFonts w:hint="eastAsia" w:ascii="宋体" w:hAnsi="宋体"/>
                <w:bCs/>
                <w:szCs w:val="21"/>
              </w:rPr>
              <w:t>人防大楼</w:t>
            </w:r>
          </w:p>
        </w:tc>
        <w:tc>
          <w:tcPr>
            <w:tcW w:w="2400" w:type="dxa"/>
            <w:vAlign w:val="center"/>
          </w:tcPr>
          <w:p>
            <w:pPr>
              <w:jc w:val="center"/>
              <w:rPr>
                <w:rFonts w:ascii="宋体" w:hAnsi="宋体"/>
                <w:bCs/>
                <w:szCs w:val="21"/>
              </w:rPr>
            </w:pPr>
            <w:r>
              <w:rPr>
                <w:rFonts w:hint="eastAsia" w:ascii="宋体" w:hAnsi="宋体"/>
                <w:bCs/>
                <w:szCs w:val="21"/>
              </w:rPr>
              <w:t>防火卷帘门</w:t>
            </w:r>
          </w:p>
        </w:tc>
        <w:tc>
          <w:tcPr>
            <w:tcW w:w="2037" w:type="dxa"/>
            <w:vAlign w:val="center"/>
          </w:tcPr>
          <w:p>
            <w:pPr>
              <w:jc w:val="center"/>
              <w:rPr>
                <w:rFonts w:ascii="宋体" w:hAnsi="宋体"/>
                <w:bCs/>
                <w:szCs w:val="21"/>
              </w:rPr>
            </w:pPr>
          </w:p>
        </w:tc>
        <w:tc>
          <w:tcPr>
            <w:tcW w:w="872" w:type="dxa"/>
            <w:vAlign w:val="center"/>
          </w:tcPr>
          <w:p>
            <w:pPr>
              <w:jc w:val="center"/>
              <w:rPr>
                <w:rFonts w:ascii="宋体" w:hAnsi="宋体"/>
                <w:bCs/>
                <w:szCs w:val="21"/>
              </w:rPr>
            </w:pPr>
            <w:r>
              <w:rPr>
                <w:rFonts w:hint="eastAsia" w:ascii="宋体" w:hAnsi="宋体"/>
                <w:bCs/>
                <w:szCs w:val="21"/>
              </w:rPr>
              <w:t>个</w:t>
            </w:r>
          </w:p>
        </w:tc>
        <w:tc>
          <w:tcPr>
            <w:tcW w:w="911" w:type="dxa"/>
            <w:vAlign w:val="center"/>
          </w:tcPr>
          <w:p>
            <w:pPr>
              <w:jc w:val="center"/>
              <w:rPr>
                <w:rFonts w:ascii="宋体" w:hAnsi="宋体"/>
                <w:bCs/>
                <w:szCs w:val="21"/>
              </w:rPr>
            </w:pPr>
            <w:r>
              <w:rPr>
                <w:rFonts w:hint="eastAsia" w:ascii="宋体" w:hAnsi="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749" w:type="dxa"/>
            <w:vAlign w:val="center"/>
          </w:tcPr>
          <w:p>
            <w:pPr>
              <w:spacing w:line="360" w:lineRule="exact"/>
              <w:jc w:val="center"/>
              <w:rPr>
                <w:rFonts w:ascii="宋体" w:hAnsi="宋体"/>
                <w:bCs/>
                <w:szCs w:val="21"/>
              </w:rPr>
            </w:pPr>
            <w:r>
              <w:rPr>
                <w:rFonts w:hint="eastAsia" w:ascii="宋体" w:hAnsi="宋体"/>
                <w:bCs/>
                <w:szCs w:val="21"/>
              </w:rPr>
              <w:t>4</w:t>
            </w:r>
          </w:p>
        </w:tc>
        <w:tc>
          <w:tcPr>
            <w:tcW w:w="2068" w:type="dxa"/>
            <w:vAlign w:val="center"/>
          </w:tcPr>
          <w:p>
            <w:pPr>
              <w:spacing w:line="360" w:lineRule="exact"/>
              <w:jc w:val="center"/>
              <w:rPr>
                <w:rFonts w:ascii="宋体" w:hAnsi="宋体"/>
                <w:bCs/>
                <w:szCs w:val="21"/>
              </w:rPr>
            </w:pPr>
            <w:r>
              <w:rPr>
                <w:rFonts w:hint="eastAsia" w:ascii="宋体" w:hAnsi="宋体"/>
                <w:bCs/>
                <w:szCs w:val="21"/>
              </w:rPr>
              <w:t>图书馆</w:t>
            </w:r>
          </w:p>
        </w:tc>
        <w:tc>
          <w:tcPr>
            <w:tcW w:w="2400" w:type="dxa"/>
            <w:vAlign w:val="center"/>
          </w:tcPr>
          <w:p>
            <w:pPr>
              <w:jc w:val="center"/>
              <w:rPr>
                <w:rFonts w:ascii="宋体" w:hAnsi="宋体"/>
                <w:bCs/>
                <w:szCs w:val="21"/>
              </w:rPr>
            </w:pPr>
            <w:r>
              <w:rPr>
                <w:rFonts w:hint="eastAsia" w:ascii="宋体" w:hAnsi="宋体"/>
                <w:bCs/>
                <w:szCs w:val="21"/>
              </w:rPr>
              <w:t>防火卷帘门</w:t>
            </w:r>
          </w:p>
        </w:tc>
        <w:tc>
          <w:tcPr>
            <w:tcW w:w="2037" w:type="dxa"/>
            <w:vAlign w:val="center"/>
          </w:tcPr>
          <w:p>
            <w:pPr>
              <w:jc w:val="center"/>
              <w:rPr>
                <w:rFonts w:ascii="宋体" w:hAnsi="宋体"/>
                <w:bCs/>
                <w:szCs w:val="21"/>
              </w:rPr>
            </w:pPr>
          </w:p>
        </w:tc>
        <w:tc>
          <w:tcPr>
            <w:tcW w:w="872" w:type="dxa"/>
            <w:vAlign w:val="center"/>
          </w:tcPr>
          <w:p>
            <w:pPr>
              <w:jc w:val="center"/>
              <w:rPr>
                <w:rFonts w:ascii="宋体" w:hAnsi="宋体"/>
                <w:bCs/>
                <w:szCs w:val="21"/>
              </w:rPr>
            </w:pPr>
            <w:r>
              <w:rPr>
                <w:rFonts w:hint="eastAsia" w:ascii="宋体" w:hAnsi="宋体"/>
                <w:bCs/>
                <w:szCs w:val="21"/>
              </w:rPr>
              <w:t>个</w:t>
            </w:r>
          </w:p>
        </w:tc>
        <w:tc>
          <w:tcPr>
            <w:tcW w:w="911" w:type="dxa"/>
            <w:vAlign w:val="center"/>
          </w:tcPr>
          <w:p>
            <w:pPr>
              <w:jc w:val="center"/>
              <w:rPr>
                <w:rFonts w:ascii="宋体" w:hAnsi="宋体"/>
                <w:bCs/>
                <w:szCs w:val="21"/>
              </w:rPr>
            </w:pPr>
            <w:r>
              <w:rPr>
                <w:rFonts w:hint="eastAsia" w:ascii="宋体" w:hAnsi="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749" w:type="dxa"/>
            <w:vAlign w:val="center"/>
          </w:tcPr>
          <w:p>
            <w:pPr>
              <w:spacing w:line="360" w:lineRule="exact"/>
              <w:jc w:val="center"/>
              <w:rPr>
                <w:rFonts w:ascii="宋体" w:hAnsi="宋体"/>
                <w:bCs/>
                <w:szCs w:val="21"/>
              </w:rPr>
            </w:pPr>
            <w:r>
              <w:rPr>
                <w:rFonts w:hint="eastAsia" w:ascii="宋体" w:hAnsi="宋体"/>
                <w:bCs/>
                <w:szCs w:val="21"/>
              </w:rPr>
              <w:t>5</w:t>
            </w:r>
          </w:p>
        </w:tc>
        <w:tc>
          <w:tcPr>
            <w:tcW w:w="2068" w:type="dxa"/>
            <w:vAlign w:val="center"/>
          </w:tcPr>
          <w:p>
            <w:pPr>
              <w:spacing w:line="400" w:lineRule="exact"/>
              <w:jc w:val="center"/>
              <w:rPr>
                <w:rFonts w:ascii="宋体" w:hAnsi="宋体"/>
                <w:bCs/>
                <w:szCs w:val="21"/>
              </w:rPr>
            </w:pPr>
            <w:r>
              <w:rPr>
                <w:rFonts w:hint="eastAsia" w:ascii="宋体" w:hAnsi="宋体"/>
                <w:bCs/>
                <w:szCs w:val="21"/>
              </w:rPr>
              <w:t>区行政服务中心</w:t>
            </w:r>
          </w:p>
        </w:tc>
        <w:tc>
          <w:tcPr>
            <w:tcW w:w="2400" w:type="dxa"/>
            <w:vAlign w:val="center"/>
          </w:tcPr>
          <w:p>
            <w:pPr>
              <w:jc w:val="center"/>
              <w:rPr>
                <w:rFonts w:ascii="宋体" w:hAnsi="宋体"/>
                <w:bCs/>
                <w:szCs w:val="21"/>
              </w:rPr>
            </w:pPr>
            <w:r>
              <w:rPr>
                <w:rFonts w:hint="eastAsia" w:ascii="宋体" w:hAnsi="宋体"/>
                <w:bCs/>
                <w:szCs w:val="21"/>
              </w:rPr>
              <w:t>防火卷帘门</w:t>
            </w:r>
          </w:p>
        </w:tc>
        <w:tc>
          <w:tcPr>
            <w:tcW w:w="2037" w:type="dxa"/>
            <w:vAlign w:val="center"/>
          </w:tcPr>
          <w:p>
            <w:pPr>
              <w:jc w:val="center"/>
              <w:rPr>
                <w:rFonts w:ascii="宋体" w:hAnsi="宋体"/>
                <w:bCs/>
                <w:szCs w:val="21"/>
              </w:rPr>
            </w:pPr>
          </w:p>
        </w:tc>
        <w:tc>
          <w:tcPr>
            <w:tcW w:w="872" w:type="dxa"/>
            <w:vAlign w:val="center"/>
          </w:tcPr>
          <w:p>
            <w:pPr>
              <w:jc w:val="center"/>
              <w:rPr>
                <w:rFonts w:ascii="宋体" w:hAnsi="宋体"/>
                <w:bCs/>
                <w:szCs w:val="21"/>
              </w:rPr>
            </w:pPr>
            <w:r>
              <w:rPr>
                <w:rFonts w:hint="eastAsia" w:ascii="宋体" w:hAnsi="宋体"/>
                <w:bCs/>
                <w:szCs w:val="21"/>
              </w:rPr>
              <w:t>个</w:t>
            </w:r>
          </w:p>
        </w:tc>
        <w:tc>
          <w:tcPr>
            <w:tcW w:w="911" w:type="dxa"/>
            <w:vAlign w:val="center"/>
          </w:tcPr>
          <w:p>
            <w:pPr>
              <w:jc w:val="center"/>
              <w:rPr>
                <w:rFonts w:ascii="宋体" w:hAnsi="宋体"/>
                <w:bCs/>
                <w:szCs w:val="21"/>
              </w:rPr>
            </w:pPr>
            <w:r>
              <w:rPr>
                <w:rFonts w:hint="eastAsia" w:ascii="宋体" w:hAnsi="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749" w:type="dxa"/>
            <w:vAlign w:val="center"/>
          </w:tcPr>
          <w:p>
            <w:pPr>
              <w:spacing w:line="360" w:lineRule="exact"/>
              <w:jc w:val="center"/>
              <w:rPr>
                <w:rFonts w:ascii="宋体" w:hAnsi="宋体"/>
                <w:bCs/>
                <w:szCs w:val="21"/>
              </w:rPr>
            </w:pPr>
            <w:r>
              <w:rPr>
                <w:rFonts w:hint="eastAsia" w:ascii="宋体" w:hAnsi="宋体"/>
                <w:bCs/>
                <w:szCs w:val="21"/>
              </w:rPr>
              <w:t>6</w:t>
            </w:r>
          </w:p>
        </w:tc>
        <w:tc>
          <w:tcPr>
            <w:tcW w:w="2068" w:type="dxa"/>
            <w:vAlign w:val="center"/>
          </w:tcPr>
          <w:p>
            <w:pPr>
              <w:spacing w:line="400" w:lineRule="exact"/>
              <w:jc w:val="center"/>
              <w:rPr>
                <w:rFonts w:ascii="宋体" w:hAnsi="宋体"/>
                <w:bCs/>
                <w:szCs w:val="21"/>
              </w:rPr>
            </w:pPr>
            <w:r>
              <w:rPr>
                <w:rFonts w:hint="eastAsia" w:ascii="宋体" w:hAnsi="宋体"/>
                <w:bCs/>
                <w:szCs w:val="21"/>
              </w:rPr>
              <w:t>区规划展示大楼</w:t>
            </w:r>
          </w:p>
        </w:tc>
        <w:tc>
          <w:tcPr>
            <w:tcW w:w="2400" w:type="dxa"/>
            <w:vAlign w:val="center"/>
          </w:tcPr>
          <w:p>
            <w:pPr>
              <w:jc w:val="center"/>
              <w:rPr>
                <w:rFonts w:ascii="宋体" w:hAnsi="宋体"/>
                <w:bCs/>
                <w:szCs w:val="21"/>
              </w:rPr>
            </w:pPr>
            <w:r>
              <w:rPr>
                <w:rFonts w:hint="eastAsia" w:ascii="宋体" w:hAnsi="宋体"/>
                <w:bCs/>
                <w:szCs w:val="21"/>
              </w:rPr>
              <w:t>防火卷帘</w:t>
            </w:r>
          </w:p>
        </w:tc>
        <w:tc>
          <w:tcPr>
            <w:tcW w:w="2037" w:type="dxa"/>
            <w:vAlign w:val="center"/>
          </w:tcPr>
          <w:p>
            <w:pPr>
              <w:jc w:val="center"/>
              <w:rPr>
                <w:rFonts w:ascii="宋体" w:hAnsi="宋体"/>
                <w:bCs/>
                <w:szCs w:val="21"/>
              </w:rPr>
            </w:pPr>
          </w:p>
        </w:tc>
        <w:tc>
          <w:tcPr>
            <w:tcW w:w="872" w:type="dxa"/>
            <w:vAlign w:val="center"/>
          </w:tcPr>
          <w:p>
            <w:pPr>
              <w:jc w:val="center"/>
              <w:rPr>
                <w:rFonts w:ascii="宋体" w:hAnsi="宋体"/>
                <w:bCs/>
                <w:szCs w:val="21"/>
              </w:rPr>
            </w:pPr>
            <w:r>
              <w:rPr>
                <w:rFonts w:hint="eastAsia" w:ascii="宋体" w:hAnsi="宋体"/>
                <w:bCs/>
                <w:szCs w:val="21"/>
              </w:rPr>
              <w:t>个</w:t>
            </w:r>
          </w:p>
        </w:tc>
        <w:tc>
          <w:tcPr>
            <w:tcW w:w="911" w:type="dxa"/>
            <w:vAlign w:val="center"/>
          </w:tcPr>
          <w:p>
            <w:pPr>
              <w:jc w:val="center"/>
              <w:rPr>
                <w:rFonts w:ascii="宋体" w:hAnsi="宋体"/>
                <w:bCs/>
                <w:szCs w:val="21"/>
              </w:rPr>
            </w:pPr>
            <w:r>
              <w:rPr>
                <w:rFonts w:hint="eastAsia" w:ascii="宋体" w:hAnsi="宋体"/>
                <w:bCs/>
                <w:szCs w:val="21"/>
              </w:rPr>
              <w:t>19</w:t>
            </w:r>
          </w:p>
        </w:tc>
      </w:tr>
    </w:tbl>
    <w:p>
      <w:pPr>
        <w:spacing w:line="540" w:lineRule="exact"/>
        <w:rPr>
          <w:rFonts w:ascii="宋体" w:hAnsi="宋体"/>
          <w:bCs/>
          <w:szCs w:val="21"/>
        </w:rPr>
      </w:pPr>
      <w:r>
        <w:rPr>
          <w:rFonts w:hint="eastAsia" w:ascii="宋体" w:hAnsi="宋体"/>
          <w:bCs/>
          <w:szCs w:val="21"/>
        </w:rPr>
        <w:t>6)消防广播系统</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393"/>
        <w:gridCol w:w="2173"/>
        <w:gridCol w:w="1964"/>
        <w:gridCol w:w="884"/>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序号</w:t>
            </w:r>
          </w:p>
        </w:tc>
        <w:tc>
          <w:tcPr>
            <w:tcW w:w="2393" w:type="dxa"/>
            <w:vAlign w:val="center"/>
          </w:tcPr>
          <w:p>
            <w:pPr>
              <w:spacing w:line="540" w:lineRule="exact"/>
              <w:jc w:val="center"/>
              <w:rPr>
                <w:rFonts w:ascii="宋体" w:hAnsi="宋体"/>
                <w:bCs/>
                <w:szCs w:val="21"/>
              </w:rPr>
            </w:pPr>
            <w:r>
              <w:rPr>
                <w:rFonts w:hint="eastAsia" w:ascii="宋体" w:hAnsi="宋体"/>
                <w:bCs/>
                <w:szCs w:val="21"/>
              </w:rPr>
              <w:t>区域</w:t>
            </w:r>
          </w:p>
        </w:tc>
        <w:tc>
          <w:tcPr>
            <w:tcW w:w="2173" w:type="dxa"/>
            <w:vAlign w:val="center"/>
          </w:tcPr>
          <w:p>
            <w:pPr>
              <w:spacing w:line="540" w:lineRule="exact"/>
              <w:jc w:val="center"/>
              <w:rPr>
                <w:rFonts w:ascii="宋体" w:hAnsi="宋体"/>
                <w:bCs/>
                <w:szCs w:val="21"/>
              </w:rPr>
            </w:pPr>
            <w:r>
              <w:rPr>
                <w:rFonts w:hint="eastAsia" w:ascii="宋体" w:hAnsi="宋体"/>
                <w:bCs/>
                <w:szCs w:val="21"/>
              </w:rPr>
              <w:t>设备名称</w:t>
            </w:r>
          </w:p>
        </w:tc>
        <w:tc>
          <w:tcPr>
            <w:tcW w:w="1964" w:type="dxa"/>
            <w:vAlign w:val="center"/>
          </w:tcPr>
          <w:p>
            <w:pPr>
              <w:spacing w:line="540" w:lineRule="exact"/>
              <w:jc w:val="center"/>
              <w:rPr>
                <w:rFonts w:ascii="宋体" w:hAnsi="宋体"/>
                <w:bCs/>
                <w:szCs w:val="21"/>
              </w:rPr>
            </w:pPr>
            <w:r>
              <w:rPr>
                <w:rFonts w:hint="eastAsia" w:ascii="宋体" w:hAnsi="宋体"/>
                <w:bCs/>
                <w:szCs w:val="21"/>
              </w:rPr>
              <w:t>型号规格</w:t>
            </w:r>
          </w:p>
        </w:tc>
        <w:tc>
          <w:tcPr>
            <w:tcW w:w="884" w:type="dxa"/>
            <w:vAlign w:val="center"/>
          </w:tcPr>
          <w:p>
            <w:pPr>
              <w:spacing w:line="540" w:lineRule="exact"/>
              <w:jc w:val="center"/>
              <w:rPr>
                <w:rFonts w:ascii="宋体" w:hAnsi="宋体"/>
                <w:bCs/>
                <w:szCs w:val="21"/>
              </w:rPr>
            </w:pPr>
            <w:r>
              <w:rPr>
                <w:rFonts w:hint="eastAsia" w:ascii="宋体" w:hAnsi="宋体"/>
                <w:bCs/>
                <w:szCs w:val="21"/>
              </w:rPr>
              <w:t>单位</w:t>
            </w:r>
          </w:p>
        </w:tc>
        <w:tc>
          <w:tcPr>
            <w:tcW w:w="924" w:type="dxa"/>
            <w:vAlign w:val="center"/>
          </w:tcPr>
          <w:p>
            <w:pPr>
              <w:spacing w:line="540" w:lineRule="exact"/>
              <w:jc w:val="center"/>
              <w:rPr>
                <w:rFonts w:ascii="宋体" w:hAnsi="宋体"/>
                <w:bCs/>
                <w:szCs w:val="21"/>
              </w:rPr>
            </w:pPr>
            <w:r>
              <w:rPr>
                <w:rFonts w:hint="eastAsia" w:ascii="宋体" w:hAnsi="宋体"/>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1</w:t>
            </w:r>
          </w:p>
        </w:tc>
        <w:tc>
          <w:tcPr>
            <w:tcW w:w="2393" w:type="dxa"/>
            <w:vMerge w:val="restart"/>
            <w:vAlign w:val="center"/>
          </w:tcPr>
          <w:p>
            <w:pPr>
              <w:spacing w:line="360" w:lineRule="exact"/>
              <w:jc w:val="center"/>
              <w:rPr>
                <w:rFonts w:ascii="宋体" w:hAnsi="宋体"/>
                <w:bCs/>
                <w:szCs w:val="21"/>
              </w:rPr>
            </w:pPr>
            <w:r>
              <w:rPr>
                <w:rFonts w:hint="eastAsia" w:ascii="宋体" w:hAnsi="宋体"/>
                <w:bCs/>
                <w:szCs w:val="21"/>
              </w:rPr>
              <w:t>区行政管理中心</w:t>
            </w:r>
          </w:p>
          <w:p>
            <w:pPr>
              <w:spacing w:line="360" w:lineRule="exact"/>
              <w:jc w:val="center"/>
              <w:rPr>
                <w:rFonts w:ascii="宋体" w:hAnsi="宋体"/>
                <w:bCs/>
                <w:szCs w:val="21"/>
              </w:rPr>
            </w:pPr>
            <w:r>
              <w:rPr>
                <w:rFonts w:hint="eastAsia" w:ascii="宋体" w:hAnsi="宋体"/>
                <w:bCs/>
                <w:szCs w:val="21"/>
              </w:rPr>
              <w:t>(含食堂、档案馆)</w:t>
            </w: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消防广播功放机</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台</w:t>
            </w:r>
          </w:p>
        </w:tc>
        <w:tc>
          <w:tcPr>
            <w:tcW w:w="924" w:type="dxa"/>
            <w:vAlign w:val="center"/>
          </w:tcPr>
          <w:p>
            <w:pPr>
              <w:spacing w:line="540" w:lineRule="exact"/>
              <w:jc w:val="center"/>
              <w:rPr>
                <w:rFonts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2</w:t>
            </w:r>
          </w:p>
        </w:tc>
        <w:tc>
          <w:tcPr>
            <w:tcW w:w="2393" w:type="dxa"/>
            <w:vMerge w:val="continue"/>
            <w:vAlign w:val="center"/>
          </w:tcPr>
          <w:p>
            <w:pPr>
              <w:spacing w:line="540" w:lineRule="exact"/>
              <w:jc w:val="center"/>
              <w:rPr>
                <w:rFonts w:ascii="宋体" w:hAnsi="宋体"/>
                <w:bCs/>
                <w:szCs w:val="21"/>
              </w:rPr>
            </w:pP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消防广播扬声器</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个</w:t>
            </w:r>
          </w:p>
        </w:tc>
        <w:tc>
          <w:tcPr>
            <w:tcW w:w="924" w:type="dxa"/>
            <w:vAlign w:val="center"/>
          </w:tcPr>
          <w:p>
            <w:pPr>
              <w:spacing w:line="540" w:lineRule="exact"/>
              <w:jc w:val="center"/>
              <w:rPr>
                <w:rFonts w:ascii="宋体" w:hAnsi="宋体"/>
                <w:bCs/>
                <w:szCs w:val="21"/>
              </w:rPr>
            </w:pPr>
            <w:r>
              <w:rPr>
                <w:rFonts w:hint="eastAsia" w:ascii="宋体" w:hAnsi="宋体"/>
                <w:bCs/>
                <w:szCs w:val="21"/>
              </w:rPr>
              <w:t>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3</w:t>
            </w:r>
          </w:p>
        </w:tc>
        <w:tc>
          <w:tcPr>
            <w:tcW w:w="2393" w:type="dxa"/>
            <w:vMerge w:val="restart"/>
            <w:vAlign w:val="center"/>
          </w:tcPr>
          <w:p>
            <w:pPr>
              <w:spacing w:line="540" w:lineRule="exact"/>
              <w:jc w:val="center"/>
              <w:rPr>
                <w:rFonts w:ascii="宋体" w:hAnsi="宋体"/>
                <w:bCs/>
                <w:szCs w:val="21"/>
              </w:rPr>
            </w:pPr>
            <w:r>
              <w:rPr>
                <w:rFonts w:hint="eastAsia" w:ascii="宋体" w:hAnsi="宋体"/>
                <w:bCs/>
                <w:szCs w:val="21"/>
              </w:rPr>
              <w:t>区文化中心</w:t>
            </w:r>
          </w:p>
          <w:p>
            <w:pPr>
              <w:spacing w:line="540" w:lineRule="exact"/>
              <w:jc w:val="center"/>
              <w:rPr>
                <w:rFonts w:ascii="宋体" w:hAnsi="宋体"/>
                <w:bCs/>
                <w:szCs w:val="21"/>
              </w:rPr>
            </w:pP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消防广播通讯柜</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套</w:t>
            </w:r>
          </w:p>
        </w:tc>
        <w:tc>
          <w:tcPr>
            <w:tcW w:w="924" w:type="dxa"/>
            <w:vAlign w:val="center"/>
          </w:tcPr>
          <w:p>
            <w:pPr>
              <w:spacing w:line="54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4</w:t>
            </w:r>
          </w:p>
        </w:tc>
        <w:tc>
          <w:tcPr>
            <w:tcW w:w="2393" w:type="dxa"/>
            <w:vMerge w:val="continue"/>
            <w:vAlign w:val="center"/>
          </w:tcPr>
          <w:p>
            <w:pPr>
              <w:spacing w:line="540" w:lineRule="exact"/>
              <w:jc w:val="center"/>
              <w:rPr>
                <w:rFonts w:ascii="宋体" w:hAnsi="宋体"/>
                <w:bCs/>
                <w:szCs w:val="21"/>
              </w:rPr>
            </w:pP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消防广播扬声器</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个</w:t>
            </w:r>
          </w:p>
        </w:tc>
        <w:tc>
          <w:tcPr>
            <w:tcW w:w="924" w:type="dxa"/>
            <w:vAlign w:val="center"/>
          </w:tcPr>
          <w:p>
            <w:pPr>
              <w:spacing w:line="540" w:lineRule="exact"/>
              <w:jc w:val="center"/>
              <w:rPr>
                <w:rFonts w:ascii="宋体" w:hAnsi="宋体"/>
                <w:bCs/>
                <w:szCs w:val="21"/>
              </w:rPr>
            </w:pPr>
            <w:r>
              <w:rPr>
                <w:rFonts w:hint="eastAsia" w:ascii="宋体" w:hAnsi="宋体"/>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5</w:t>
            </w:r>
          </w:p>
        </w:tc>
        <w:tc>
          <w:tcPr>
            <w:tcW w:w="2393" w:type="dxa"/>
            <w:vMerge w:val="restart"/>
            <w:vAlign w:val="center"/>
          </w:tcPr>
          <w:p>
            <w:pPr>
              <w:spacing w:line="540" w:lineRule="exact"/>
              <w:jc w:val="center"/>
              <w:rPr>
                <w:rFonts w:ascii="宋体" w:hAnsi="宋体"/>
                <w:bCs/>
                <w:szCs w:val="21"/>
              </w:rPr>
            </w:pPr>
            <w:r>
              <w:rPr>
                <w:rFonts w:hint="eastAsia" w:ascii="宋体" w:hAnsi="宋体"/>
                <w:bCs/>
                <w:szCs w:val="21"/>
              </w:rPr>
              <w:t>市民活动中心</w:t>
            </w: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消防广播通讯柜</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套</w:t>
            </w:r>
          </w:p>
        </w:tc>
        <w:tc>
          <w:tcPr>
            <w:tcW w:w="924" w:type="dxa"/>
            <w:vAlign w:val="center"/>
          </w:tcPr>
          <w:p>
            <w:pPr>
              <w:spacing w:line="54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6</w:t>
            </w:r>
          </w:p>
        </w:tc>
        <w:tc>
          <w:tcPr>
            <w:tcW w:w="2393" w:type="dxa"/>
            <w:vMerge w:val="continue"/>
            <w:vAlign w:val="center"/>
          </w:tcPr>
          <w:p>
            <w:pPr>
              <w:spacing w:line="540" w:lineRule="exact"/>
              <w:jc w:val="center"/>
              <w:rPr>
                <w:rFonts w:ascii="宋体" w:hAnsi="宋体"/>
                <w:bCs/>
                <w:szCs w:val="21"/>
              </w:rPr>
            </w:pP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消防广播扬声器</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个</w:t>
            </w:r>
          </w:p>
        </w:tc>
        <w:tc>
          <w:tcPr>
            <w:tcW w:w="924" w:type="dxa"/>
            <w:vAlign w:val="center"/>
          </w:tcPr>
          <w:p>
            <w:pPr>
              <w:spacing w:line="540" w:lineRule="exact"/>
              <w:jc w:val="center"/>
              <w:rPr>
                <w:rFonts w:ascii="宋体" w:hAnsi="宋体"/>
                <w:bCs/>
                <w:szCs w:val="21"/>
              </w:rPr>
            </w:pPr>
            <w:r>
              <w:rPr>
                <w:rFonts w:hint="eastAsia" w:ascii="宋体" w:hAnsi="宋体"/>
                <w:bCs/>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7</w:t>
            </w:r>
          </w:p>
        </w:tc>
        <w:tc>
          <w:tcPr>
            <w:tcW w:w="2393" w:type="dxa"/>
            <w:vMerge w:val="restart"/>
            <w:vAlign w:val="center"/>
          </w:tcPr>
          <w:p>
            <w:pPr>
              <w:spacing w:line="540" w:lineRule="exact"/>
              <w:jc w:val="center"/>
              <w:rPr>
                <w:rFonts w:ascii="宋体" w:hAnsi="宋体"/>
                <w:bCs/>
                <w:szCs w:val="21"/>
              </w:rPr>
            </w:pPr>
            <w:r>
              <w:rPr>
                <w:rFonts w:hint="eastAsia" w:ascii="宋体" w:hAnsi="宋体"/>
                <w:bCs/>
                <w:szCs w:val="21"/>
              </w:rPr>
              <w:t>人防大楼</w:t>
            </w: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消防广播通讯柜</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套</w:t>
            </w:r>
          </w:p>
        </w:tc>
        <w:tc>
          <w:tcPr>
            <w:tcW w:w="924" w:type="dxa"/>
            <w:vAlign w:val="center"/>
          </w:tcPr>
          <w:p>
            <w:pPr>
              <w:spacing w:line="54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8</w:t>
            </w:r>
          </w:p>
        </w:tc>
        <w:tc>
          <w:tcPr>
            <w:tcW w:w="2393" w:type="dxa"/>
            <w:vMerge w:val="continue"/>
            <w:vAlign w:val="center"/>
          </w:tcPr>
          <w:p>
            <w:pPr>
              <w:spacing w:line="540" w:lineRule="exact"/>
              <w:jc w:val="center"/>
              <w:rPr>
                <w:rFonts w:ascii="宋体" w:hAnsi="宋体"/>
                <w:bCs/>
                <w:szCs w:val="21"/>
              </w:rPr>
            </w:pP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消防广播扬声器</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个</w:t>
            </w:r>
          </w:p>
        </w:tc>
        <w:tc>
          <w:tcPr>
            <w:tcW w:w="924" w:type="dxa"/>
            <w:vAlign w:val="center"/>
          </w:tcPr>
          <w:p>
            <w:pPr>
              <w:spacing w:line="540" w:lineRule="exact"/>
              <w:jc w:val="center"/>
              <w:rPr>
                <w:rFonts w:ascii="宋体" w:hAnsi="宋体"/>
                <w:bCs/>
                <w:szCs w:val="21"/>
              </w:rPr>
            </w:pPr>
            <w:r>
              <w:rPr>
                <w:rFonts w:hint="eastAsia" w:ascii="宋体" w:hAnsi="宋体"/>
                <w:bCs/>
                <w:szCs w:val="21"/>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9</w:t>
            </w:r>
          </w:p>
        </w:tc>
        <w:tc>
          <w:tcPr>
            <w:tcW w:w="2393" w:type="dxa"/>
            <w:vMerge w:val="restart"/>
            <w:vAlign w:val="center"/>
          </w:tcPr>
          <w:p>
            <w:pPr>
              <w:spacing w:line="540" w:lineRule="exact"/>
              <w:jc w:val="center"/>
              <w:rPr>
                <w:rFonts w:ascii="宋体" w:hAnsi="宋体"/>
                <w:bCs/>
                <w:szCs w:val="21"/>
              </w:rPr>
            </w:pPr>
            <w:r>
              <w:rPr>
                <w:rFonts w:hint="eastAsia" w:ascii="宋体" w:hAnsi="宋体"/>
                <w:bCs/>
                <w:szCs w:val="21"/>
              </w:rPr>
              <w:t>图书馆</w:t>
            </w: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消防广播通讯柜</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套</w:t>
            </w:r>
          </w:p>
        </w:tc>
        <w:tc>
          <w:tcPr>
            <w:tcW w:w="924" w:type="dxa"/>
            <w:vAlign w:val="center"/>
          </w:tcPr>
          <w:p>
            <w:pPr>
              <w:spacing w:line="54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10</w:t>
            </w:r>
          </w:p>
        </w:tc>
        <w:tc>
          <w:tcPr>
            <w:tcW w:w="2393" w:type="dxa"/>
            <w:vMerge w:val="continue"/>
            <w:vAlign w:val="center"/>
          </w:tcPr>
          <w:p>
            <w:pPr>
              <w:spacing w:line="540" w:lineRule="exact"/>
              <w:jc w:val="center"/>
              <w:rPr>
                <w:rFonts w:ascii="宋体" w:hAnsi="宋体"/>
                <w:bCs/>
                <w:szCs w:val="21"/>
              </w:rPr>
            </w:pP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消防广播扬声器</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个</w:t>
            </w:r>
          </w:p>
        </w:tc>
        <w:tc>
          <w:tcPr>
            <w:tcW w:w="924" w:type="dxa"/>
            <w:vAlign w:val="center"/>
          </w:tcPr>
          <w:p>
            <w:pPr>
              <w:spacing w:line="540" w:lineRule="exact"/>
              <w:jc w:val="center"/>
              <w:rPr>
                <w:rFonts w:ascii="宋体" w:hAnsi="宋体"/>
                <w:bCs/>
                <w:szCs w:val="21"/>
              </w:rPr>
            </w:pPr>
            <w:r>
              <w:rPr>
                <w:rFonts w:hint="eastAsia" w:ascii="宋体" w:hAnsi="宋体"/>
                <w:bCs/>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11</w:t>
            </w:r>
          </w:p>
        </w:tc>
        <w:tc>
          <w:tcPr>
            <w:tcW w:w="2393" w:type="dxa"/>
            <w:vMerge w:val="restart"/>
            <w:vAlign w:val="center"/>
          </w:tcPr>
          <w:p>
            <w:pPr>
              <w:spacing w:line="540" w:lineRule="exact"/>
              <w:jc w:val="center"/>
              <w:rPr>
                <w:rFonts w:ascii="宋体" w:hAnsi="宋体"/>
                <w:bCs/>
                <w:szCs w:val="21"/>
              </w:rPr>
            </w:pPr>
            <w:r>
              <w:rPr>
                <w:rFonts w:hint="eastAsia" w:ascii="宋体" w:hAnsi="宋体"/>
                <w:bCs/>
                <w:szCs w:val="21"/>
              </w:rPr>
              <w:t>区行政服务中心</w:t>
            </w: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消防广播通讯柜</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台</w:t>
            </w:r>
          </w:p>
        </w:tc>
        <w:tc>
          <w:tcPr>
            <w:tcW w:w="924" w:type="dxa"/>
            <w:vAlign w:val="center"/>
          </w:tcPr>
          <w:p>
            <w:pPr>
              <w:spacing w:line="54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12</w:t>
            </w:r>
          </w:p>
        </w:tc>
        <w:tc>
          <w:tcPr>
            <w:tcW w:w="2393" w:type="dxa"/>
            <w:vMerge w:val="continue"/>
            <w:vAlign w:val="center"/>
          </w:tcPr>
          <w:p>
            <w:pPr>
              <w:spacing w:line="540" w:lineRule="exact"/>
              <w:jc w:val="center"/>
              <w:rPr>
                <w:rFonts w:ascii="宋体" w:hAnsi="宋体"/>
                <w:bCs/>
                <w:szCs w:val="21"/>
              </w:rPr>
            </w:pP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消防广播扬声器</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个</w:t>
            </w:r>
          </w:p>
        </w:tc>
        <w:tc>
          <w:tcPr>
            <w:tcW w:w="924" w:type="dxa"/>
            <w:vAlign w:val="center"/>
          </w:tcPr>
          <w:p>
            <w:pPr>
              <w:spacing w:line="540" w:lineRule="exact"/>
              <w:jc w:val="center"/>
              <w:rPr>
                <w:rFonts w:ascii="宋体" w:hAnsi="宋体"/>
                <w:bCs/>
                <w:szCs w:val="21"/>
              </w:rPr>
            </w:pPr>
            <w:r>
              <w:rPr>
                <w:rFonts w:hint="eastAsia" w:ascii="宋体" w:hAnsi="宋体"/>
                <w:bCs/>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13</w:t>
            </w:r>
          </w:p>
        </w:tc>
        <w:tc>
          <w:tcPr>
            <w:tcW w:w="2393" w:type="dxa"/>
            <w:vMerge w:val="restart"/>
            <w:vAlign w:val="center"/>
          </w:tcPr>
          <w:p>
            <w:pPr>
              <w:spacing w:line="540" w:lineRule="exact"/>
              <w:jc w:val="center"/>
              <w:rPr>
                <w:rFonts w:ascii="宋体" w:hAnsi="宋体"/>
                <w:bCs/>
                <w:szCs w:val="21"/>
              </w:rPr>
            </w:pPr>
            <w:r>
              <w:rPr>
                <w:rFonts w:hint="eastAsia" w:ascii="宋体" w:hAnsi="宋体"/>
                <w:bCs/>
                <w:szCs w:val="21"/>
              </w:rPr>
              <w:t>区规划展示大楼</w:t>
            </w: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消防广播通讯柜</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台</w:t>
            </w:r>
          </w:p>
        </w:tc>
        <w:tc>
          <w:tcPr>
            <w:tcW w:w="924" w:type="dxa"/>
            <w:vAlign w:val="center"/>
          </w:tcPr>
          <w:p>
            <w:pPr>
              <w:spacing w:line="540" w:lineRule="exact"/>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39" w:type="dxa"/>
            <w:vAlign w:val="center"/>
          </w:tcPr>
          <w:p>
            <w:pPr>
              <w:spacing w:line="540" w:lineRule="exact"/>
              <w:jc w:val="center"/>
              <w:rPr>
                <w:rFonts w:ascii="宋体" w:hAnsi="宋体"/>
                <w:bCs/>
                <w:szCs w:val="21"/>
              </w:rPr>
            </w:pPr>
            <w:r>
              <w:rPr>
                <w:rFonts w:hint="eastAsia" w:ascii="宋体" w:hAnsi="宋体"/>
                <w:bCs/>
                <w:szCs w:val="21"/>
              </w:rPr>
              <w:t>14</w:t>
            </w:r>
          </w:p>
        </w:tc>
        <w:tc>
          <w:tcPr>
            <w:tcW w:w="2393" w:type="dxa"/>
            <w:vMerge w:val="continue"/>
            <w:vAlign w:val="center"/>
          </w:tcPr>
          <w:p>
            <w:pPr>
              <w:spacing w:line="540" w:lineRule="exact"/>
              <w:jc w:val="center"/>
              <w:rPr>
                <w:rFonts w:ascii="宋体" w:hAnsi="宋体"/>
                <w:bCs/>
                <w:szCs w:val="21"/>
              </w:rPr>
            </w:pPr>
          </w:p>
        </w:tc>
        <w:tc>
          <w:tcPr>
            <w:tcW w:w="2173" w:type="dxa"/>
            <w:vAlign w:val="center"/>
          </w:tcPr>
          <w:p>
            <w:pPr>
              <w:spacing w:line="540" w:lineRule="exact"/>
              <w:jc w:val="center"/>
              <w:rPr>
                <w:rFonts w:ascii="宋体" w:hAnsi="宋体"/>
                <w:bCs/>
                <w:szCs w:val="21"/>
              </w:rPr>
            </w:pPr>
            <w:r>
              <w:rPr>
                <w:rFonts w:hint="eastAsia" w:ascii="宋体" w:hAnsi="宋体"/>
                <w:bCs/>
                <w:szCs w:val="21"/>
              </w:rPr>
              <w:t>消防广播扬声器</w:t>
            </w:r>
          </w:p>
        </w:tc>
        <w:tc>
          <w:tcPr>
            <w:tcW w:w="1964" w:type="dxa"/>
            <w:vAlign w:val="center"/>
          </w:tcPr>
          <w:p>
            <w:pPr>
              <w:spacing w:line="540" w:lineRule="exact"/>
              <w:jc w:val="center"/>
              <w:rPr>
                <w:rFonts w:ascii="宋体" w:hAnsi="宋体"/>
                <w:bCs/>
                <w:szCs w:val="21"/>
              </w:rPr>
            </w:pPr>
          </w:p>
        </w:tc>
        <w:tc>
          <w:tcPr>
            <w:tcW w:w="884" w:type="dxa"/>
            <w:vAlign w:val="center"/>
          </w:tcPr>
          <w:p>
            <w:pPr>
              <w:spacing w:line="540" w:lineRule="exact"/>
              <w:jc w:val="center"/>
              <w:rPr>
                <w:rFonts w:ascii="宋体" w:hAnsi="宋体"/>
                <w:bCs/>
                <w:szCs w:val="21"/>
              </w:rPr>
            </w:pPr>
            <w:r>
              <w:rPr>
                <w:rFonts w:hint="eastAsia" w:ascii="宋体" w:hAnsi="宋体"/>
                <w:bCs/>
                <w:szCs w:val="21"/>
              </w:rPr>
              <w:t>个</w:t>
            </w:r>
          </w:p>
        </w:tc>
        <w:tc>
          <w:tcPr>
            <w:tcW w:w="924" w:type="dxa"/>
            <w:vAlign w:val="center"/>
          </w:tcPr>
          <w:p>
            <w:pPr>
              <w:spacing w:line="540" w:lineRule="exact"/>
              <w:jc w:val="center"/>
              <w:rPr>
                <w:rFonts w:ascii="宋体" w:hAnsi="宋体"/>
                <w:bCs/>
                <w:szCs w:val="21"/>
              </w:rPr>
            </w:pPr>
            <w:r>
              <w:rPr>
                <w:rFonts w:hint="eastAsia" w:ascii="宋体" w:hAnsi="宋体"/>
                <w:bCs/>
                <w:szCs w:val="21"/>
              </w:rPr>
              <w:t>39</w:t>
            </w:r>
          </w:p>
        </w:tc>
      </w:tr>
    </w:tbl>
    <w:p>
      <w:pPr>
        <w:spacing w:line="540" w:lineRule="exact"/>
        <w:rPr>
          <w:rFonts w:ascii="宋体" w:hAnsi="宋体"/>
          <w:bCs/>
          <w:szCs w:val="21"/>
        </w:rPr>
      </w:pPr>
      <w:r>
        <w:rPr>
          <w:rFonts w:hint="eastAsia" w:ascii="宋体" w:hAnsi="宋体"/>
          <w:bCs/>
          <w:szCs w:val="21"/>
        </w:rPr>
        <w:t>7)应急照明疏散指示</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297"/>
        <w:gridCol w:w="2131"/>
        <w:gridCol w:w="2019"/>
        <w:gridCol w:w="8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序号</w:t>
            </w:r>
          </w:p>
        </w:tc>
        <w:tc>
          <w:tcPr>
            <w:tcW w:w="2297" w:type="dxa"/>
            <w:vAlign w:val="center"/>
          </w:tcPr>
          <w:p>
            <w:pPr>
              <w:spacing w:line="360" w:lineRule="exact"/>
              <w:jc w:val="center"/>
              <w:rPr>
                <w:rFonts w:ascii="宋体" w:hAnsi="宋体"/>
                <w:bCs/>
                <w:szCs w:val="21"/>
              </w:rPr>
            </w:pPr>
            <w:r>
              <w:rPr>
                <w:rFonts w:hint="eastAsia" w:ascii="宋体" w:hAnsi="宋体"/>
                <w:bCs/>
                <w:szCs w:val="21"/>
              </w:rPr>
              <w:t>区域</w:t>
            </w:r>
          </w:p>
        </w:tc>
        <w:tc>
          <w:tcPr>
            <w:tcW w:w="2131" w:type="dxa"/>
            <w:vAlign w:val="center"/>
          </w:tcPr>
          <w:p>
            <w:pPr>
              <w:spacing w:line="360" w:lineRule="exact"/>
              <w:jc w:val="center"/>
              <w:rPr>
                <w:rFonts w:ascii="宋体" w:hAnsi="宋体"/>
                <w:bCs/>
                <w:szCs w:val="21"/>
              </w:rPr>
            </w:pPr>
            <w:r>
              <w:rPr>
                <w:rFonts w:hint="eastAsia" w:ascii="宋体" w:hAnsi="宋体"/>
                <w:bCs/>
                <w:szCs w:val="21"/>
              </w:rPr>
              <w:t>设备名称</w:t>
            </w:r>
          </w:p>
        </w:tc>
        <w:tc>
          <w:tcPr>
            <w:tcW w:w="2019" w:type="dxa"/>
            <w:vAlign w:val="center"/>
          </w:tcPr>
          <w:p>
            <w:pPr>
              <w:spacing w:line="360" w:lineRule="exact"/>
              <w:jc w:val="center"/>
              <w:rPr>
                <w:rFonts w:ascii="宋体" w:hAnsi="宋体"/>
                <w:bCs/>
                <w:szCs w:val="21"/>
              </w:rPr>
            </w:pPr>
            <w:r>
              <w:rPr>
                <w:rFonts w:hint="eastAsia" w:ascii="宋体" w:hAnsi="宋体"/>
                <w:bCs/>
                <w:szCs w:val="21"/>
              </w:rPr>
              <w:t>型号规格</w:t>
            </w:r>
          </w:p>
        </w:tc>
        <w:tc>
          <w:tcPr>
            <w:tcW w:w="865" w:type="dxa"/>
            <w:vAlign w:val="center"/>
          </w:tcPr>
          <w:p>
            <w:pPr>
              <w:spacing w:line="360" w:lineRule="exact"/>
              <w:jc w:val="center"/>
              <w:rPr>
                <w:rFonts w:ascii="宋体" w:hAnsi="宋体"/>
                <w:bCs/>
                <w:szCs w:val="21"/>
              </w:rPr>
            </w:pPr>
            <w:r>
              <w:rPr>
                <w:rFonts w:hint="eastAsia" w:ascii="宋体" w:hAnsi="宋体"/>
                <w:bCs/>
                <w:szCs w:val="21"/>
              </w:rPr>
              <w:t>单位</w:t>
            </w:r>
          </w:p>
        </w:tc>
        <w:tc>
          <w:tcPr>
            <w:tcW w:w="903" w:type="dxa"/>
            <w:vAlign w:val="center"/>
          </w:tcPr>
          <w:p>
            <w:pPr>
              <w:spacing w:line="360" w:lineRule="exact"/>
              <w:jc w:val="center"/>
              <w:rPr>
                <w:rFonts w:ascii="宋体" w:hAnsi="宋体"/>
                <w:bCs/>
                <w:szCs w:val="21"/>
              </w:rPr>
            </w:pPr>
            <w:r>
              <w:rPr>
                <w:rFonts w:hint="eastAsia" w:ascii="宋体" w:hAnsi="宋体"/>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1</w:t>
            </w:r>
          </w:p>
        </w:tc>
        <w:tc>
          <w:tcPr>
            <w:tcW w:w="2297" w:type="dxa"/>
            <w:vMerge w:val="restart"/>
            <w:vAlign w:val="center"/>
          </w:tcPr>
          <w:p>
            <w:pPr>
              <w:spacing w:line="360" w:lineRule="exact"/>
              <w:jc w:val="center"/>
              <w:rPr>
                <w:rFonts w:ascii="宋体" w:hAnsi="宋体"/>
                <w:bCs/>
                <w:szCs w:val="21"/>
              </w:rPr>
            </w:pPr>
            <w:r>
              <w:rPr>
                <w:rFonts w:hint="eastAsia" w:ascii="宋体" w:hAnsi="宋体"/>
                <w:bCs/>
                <w:szCs w:val="21"/>
              </w:rPr>
              <w:t>区行政管理中心</w:t>
            </w:r>
          </w:p>
          <w:p>
            <w:pPr>
              <w:spacing w:line="360" w:lineRule="exact"/>
              <w:jc w:val="center"/>
              <w:rPr>
                <w:rFonts w:ascii="宋体" w:hAnsi="宋体"/>
                <w:bCs/>
                <w:szCs w:val="21"/>
              </w:rPr>
            </w:pPr>
            <w:r>
              <w:rPr>
                <w:rFonts w:hint="eastAsia" w:ascii="宋体" w:hAnsi="宋体"/>
                <w:bCs/>
                <w:szCs w:val="21"/>
              </w:rPr>
              <w:t>(含食堂、档案馆)</w:t>
            </w:r>
          </w:p>
        </w:tc>
        <w:tc>
          <w:tcPr>
            <w:tcW w:w="2131" w:type="dxa"/>
            <w:vAlign w:val="center"/>
          </w:tcPr>
          <w:p>
            <w:pPr>
              <w:spacing w:line="540" w:lineRule="exact"/>
              <w:jc w:val="center"/>
              <w:rPr>
                <w:rFonts w:ascii="宋体" w:hAnsi="宋体"/>
                <w:bCs/>
                <w:szCs w:val="21"/>
              </w:rPr>
            </w:pPr>
            <w:r>
              <w:rPr>
                <w:rFonts w:hint="eastAsia" w:ascii="宋体" w:hAnsi="宋体"/>
                <w:bCs/>
                <w:szCs w:val="21"/>
              </w:rPr>
              <w:t>应急照明灯</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2</w:t>
            </w:r>
          </w:p>
        </w:tc>
        <w:tc>
          <w:tcPr>
            <w:tcW w:w="2297" w:type="dxa"/>
            <w:vMerge w:val="continue"/>
            <w:vAlign w:val="center"/>
          </w:tcPr>
          <w:p>
            <w:pPr>
              <w:spacing w:line="360" w:lineRule="exact"/>
              <w:jc w:val="center"/>
              <w:rPr>
                <w:rFonts w:ascii="宋体" w:hAnsi="宋体"/>
                <w:bCs/>
                <w:szCs w:val="21"/>
              </w:rPr>
            </w:pPr>
          </w:p>
        </w:tc>
        <w:tc>
          <w:tcPr>
            <w:tcW w:w="2131" w:type="dxa"/>
            <w:vAlign w:val="center"/>
          </w:tcPr>
          <w:p>
            <w:pPr>
              <w:spacing w:line="540" w:lineRule="exact"/>
              <w:jc w:val="center"/>
              <w:rPr>
                <w:rFonts w:ascii="宋体" w:hAnsi="宋体"/>
                <w:bCs/>
                <w:szCs w:val="21"/>
              </w:rPr>
            </w:pPr>
            <w:r>
              <w:rPr>
                <w:rFonts w:hint="eastAsia" w:ascii="宋体" w:hAnsi="宋体"/>
                <w:bCs/>
                <w:szCs w:val="21"/>
              </w:rPr>
              <w:t>疏散指示标志</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3</w:t>
            </w:r>
          </w:p>
        </w:tc>
        <w:tc>
          <w:tcPr>
            <w:tcW w:w="2297" w:type="dxa"/>
            <w:vMerge w:val="restart"/>
            <w:vAlign w:val="center"/>
          </w:tcPr>
          <w:p>
            <w:pPr>
              <w:spacing w:line="360" w:lineRule="exact"/>
              <w:jc w:val="center"/>
              <w:rPr>
                <w:rFonts w:ascii="宋体" w:hAnsi="宋体"/>
                <w:bCs/>
                <w:szCs w:val="21"/>
              </w:rPr>
            </w:pPr>
            <w:r>
              <w:rPr>
                <w:rFonts w:hint="eastAsia" w:ascii="宋体" w:hAnsi="宋体"/>
                <w:bCs/>
                <w:szCs w:val="21"/>
              </w:rPr>
              <w:t>区文化中心</w:t>
            </w:r>
          </w:p>
        </w:tc>
        <w:tc>
          <w:tcPr>
            <w:tcW w:w="2131" w:type="dxa"/>
            <w:vAlign w:val="center"/>
          </w:tcPr>
          <w:p>
            <w:pPr>
              <w:spacing w:line="540" w:lineRule="exact"/>
              <w:jc w:val="center"/>
              <w:rPr>
                <w:rFonts w:ascii="宋体" w:hAnsi="宋体"/>
                <w:bCs/>
                <w:szCs w:val="21"/>
              </w:rPr>
            </w:pPr>
            <w:r>
              <w:rPr>
                <w:rFonts w:hint="eastAsia" w:ascii="宋体" w:hAnsi="宋体"/>
                <w:bCs/>
                <w:szCs w:val="21"/>
              </w:rPr>
              <w:t>应急照明灯</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4</w:t>
            </w:r>
          </w:p>
        </w:tc>
        <w:tc>
          <w:tcPr>
            <w:tcW w:w="2297" w:type="dxa"/>
            <w:vMerge w:val="continue"/>
            <w:vAlign w:val="center"/>
          </w:tcPr>
          <w:p>
            <w:pPr>
              <w:spacing w:line="360" w:lineRule="exact"/>
              <w:jc w:val="center"/>
              <w:rPr>
                <w:rFonts w:ascii="宋体" w:hAnsi="宋体"/>
                <w:bCs/>
                <w:szCs w:val="21"/>
              </w:rPr>
            </w:pPr>
          </w:p>
        </w:tc>
        <w:tc>
          <w:tcPr>
            <w:tcW w:w="2131" w:type="dxa"/>
            <w:vAlign w:val="center"/>
          </w:tcPr>
          <w:p>
            <w:pPr>
              <w:spacing w:line="540" w:lineRule="exact"/>
              <w:jc w:val="center"/>
              <w:rPr>
                <w:rFonts w:ascii="宋体" w:hAnsi="宋体"/>
                <w:bCs/>
                <w:szCs w:val="21"/>
              </w:rPr>
            </w:pPr>
            <w:r>
              <w:rPr>
                <w:rFonts w:hint="eastAsia" w:ascii="宋体" w:hAnsi="宋体"/>
                <w:bCs/>
                <w:szCs w:val="21"/>
              </w:rPr>
              <w:t>疏散指示标志</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5</w:t>
            </w:r>
          </w:p>
        </w:tc>
        <w:tc>
          <w:tcPr>
            <w:tcW w:w="2297" w:type="dxa"/>
            <w:vMerge w:val="restart"/>
            <w:vAlign w:val="center"/>
          </w:tcPr>
          <w:p>
            <w:pPr>
              <w:spacing w:line="360" w:lineRule="exact"/>
              <w:jc w:val="center"/>
              <w:rPr>
                <w:rFonts w:ascii="宋体" w:hAnsi="宋体"/>
                <w:bCs/>
                <w:szCs w:val="21"/>
              </w:rPr>
            </w:pPr>
            <w:r>
              <w:rPr>
                <w:rFonts w:hint="eastAsia" w:ascii="宋体" w:hAnsi="宋体"/>
                <w:bCs/>
                <w:szCs w:val="21"/>
              </w:rPr>
              <w:t>市民活动中心</w:t>
            </w:r>
          </w:p>
        </w:tc>
        <w:tc>
          <w:tcPr>
            <w:tcW w:w="2131" w:type="dxa"/>
            <w:vAlign w:val="center"/>
          </w:tcPr>
          <w:p>
            <w:pPr>
              <w:spacing w:line="540" w:lineRule="exact"/>
              <w:jc w:val="center"/>
              <w:rPr>
                <w:rFonts w:ascii="宋体" w:hAnsi="宋体"/>
                <w:bCs/>
                <w:szCs w:val="21"/>
              </w:rPr>
            </w:pPr>
            <w:r>
              <w:rPr>
                <w:rFonts w:hint="eastAsia" w:ascii="宋体" w:hAnsi="宋体"/>
                <w:bCs/>
                <w:szCs w:val="21"/>
              </w:rPr>
              <w:t>应急照明灯</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6</w:t>
            </w:r>
          </w:p>
        </w:tc>
        <w:tc>
          <w:tcPr>
            <w:tcW w:w="2297" w:type="dxa"/>
            <w:vMerge w:val="continue"/>
            <w:vAlign w:val="center"/>
          </w:tcPr>
          <w:p>
            <w:pPr>
              <w:spacing w:line="360" w:lineRule="exact"/>
              <w:jc w:val="center"/>
              <w:rPr>
                <w:rFonts w:ascii="宋体" w:hAnsi="宋体"/>
                <w:bCs/>
                <w:szCs w:val="21"/>
              </w:rPr>
            </w:pPr>
          </w:p>
        </w:tc>
        <w:tc>
          <w:tcPr>
            <w:tcW w:w="2131" w:type="dxa"/>
            <w:vAlign w:val="center"/>
          </w:tcPr>
          <w:p>
            <w:pPr>
              <w:spacing w:line="540" w:lineRule="exact"/>
              <w:jc w:val="center"/>
              <w:rPr>
                <w:rFonts w:ascii="宋体" w:hAnsi="宋体"/>
                <w:bCs/>
                <w:szCs w:val="21"/>
              </w:rPr>
            </w:pPr>
            <w:r>
              <w:rPr>
                <w:rFonts w:hint="eastAsia" w:ascii="宋体" w:hAnsi="宋体"/>
                <w:bCs/>
                <w:szCs w:val="21"/>
              </w:rPr>
              <w:t>疏散指示标志</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7</w:t>
            </w:r>
          </w:p>
        </w:tc>
        <w:tc>
          <w:tcPr>
            <w:tcW w:w="2297" w:type="dxa"/>
            <w:vMerge w:val="restart"/>
            <w:vAlign w:val="center"/>
          </w:tcPr>
          <w:p>
            <w:pPr>
              <w:spacing w:line="360" w:lineRule="exact"/>
              <w:jc w:val="center"/>
              <w:rPr>
                <w:rFonts w:ascii="宋体" w:hAnsi="宋体"/>
                <w:bCs/>
                <w:szCs w:val="21"/>
              </w:rPr>
            </w:pPr>
            <w:r>
              <w:rPr>
                <w:rFonts w:hint="eastAsia" w:ascii="宋体" w:hAnsi="宋体"/>
                <w:bCs/>
                <w:szCs w:val="21"/>
              </w:rPr>
              <w:t>人防大楼</w:t>
            </w:r>
          </w:p>
        </w:tc>
        <w:tc>
          <w:tcPr>
            <w:tcW w:w="2131" w:type="dxa"/>
            <w:vAlign w:val="center"/>
          </w:tcPr>
          <w:p>
            <w:pPr>
              <w:spacing w:line="540" w:lineRule="exact"/>
              <w:jc w:val="center"/>
              <w:rPr>
                <w:rFonts w:ascii="宋体" w:hAnsi="宋体"/>
                <w:bCs/>
                <w:szCs w:val="21"/>
              </w:rPr>
            </w:pPr>
            <w:r>
              <w:rPr>
                <w:rFonts w:hint="eastAsia" w:ascii="宋体" w:hAnsi="宋体"/>
                <w:bCs/>
                <w:szCs w:val="21"/>
              </w:rPr>
              <w:t>应急照明灯</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8</w:t>
            </w:r>
          </w:p>
        </w:tc>
        <w:tc>
          <w:tcPr>
            <w:tcW w:w="2297" w:type="dxa"/>
            <w:vMerge w:val="continue"/>
            <w:vAlign w:val="center"/>
          </w:tcPr>
          <w:p>
            <w:pPr>
              <w:spacing w:line="360" w:lineRule="exact"/>
              <w:jc w:val="center"/>
              <w:rPr>
                <w:rFonts w:ascii="宋体" w:hAnsi="宋体"/>
                <w:bCs/>
                <w:szCs w:val="21"/>
              </w:rPr>
            </w:pPr>
          </w:p>
        </w:tc>
        <w:tc>
          <w:tcPr>
            <w:tcW w:w="2131" w:type="dxa"/>
            <w:vAlign w:val="center"/>
          </w:tcPr>
          <w:p>
            <w:pPr>
              <w:spacing w:line="540" w:lineRule="exact"/>
              <w:jc w:val="center"/>
              <w:rPr>
                <w:rFonts w:ascii="宋体" w:hAnsi="宋体"/>
                <w:bCs/>
                <w:szCs w:val="21"/>
              </w:rPr>
            </w:pPr>
            <w:r>
              <w:rPr>
                <w:rFonts w:hint="eastAsia" w:ascii="宋体" w:hAnsi="宋体"/>
                <w:bCs/>
                <w:szCs w:val="21"/>
              </w:rPr>
              <w:t>疏散指示标志</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9</w:t>
            </w:r>
          </w:p>
        </w:tc>
        <w:tc>
          <w:tcPr>
            <w:tcW w:w="2297" w:type="dxa"/>
            <w:vMerge w:val="restart"/>
            <w:vAlign w:val="center"/>
          </w:tcPr>
          <w:p>
            <w:pPr>
              <w:spacing w:line="360" w:lineRule="exact"/>
              <w:jc w:val="center"/>
              <w:rPr>
                <w:rFonts w:ascii="宋体" w:hAnsi="宋体"/>
                <w:bCs/>
                <w:szCs w:val="21"/>
              </w:rPr>
            </w:pPr>
            <w:r>
              <w:rPr>
                <w:rFonts w:hint="eastAsia" w:ascii="宋体" w:hAnsi="宋体"/>
                <w:bCs/>
                <w:szCs w:val="21"/>
              </w:rPr>
              <w:t>图书馆</w:t>
            </w:r>
          </w:p>
        </w:tc>
        <w:tc>
          <w:tcPr>
            <w:tcW w:w="2131" w:type="dxa"/>
            <w:vAlign w:val="center"/>
          </w:tcPr>
          <w:p>
            <w:pPr>
              <w:spacing w:line="540" w:lineRule="exact"/>
              <w:jc w:val="center"/>
              <w:rPr>
                <w:rFonts w:ascii="宋体" w:hAnsi="宋体"/>
                <w:bCs/>
                <w:szCs w:val="21"/>
              </w:rPr>
            </w:pPr>
            <w:r>
              <w:rPr>
                <w:rFonts w:hint="eastAsia" w:ascii="宋体" w:hAnsi="宋体"/>
                <w:bCs/>
                <w:szCs w:val="21"/>
              </w:rPr>
              <w:t>应急照明灯</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10</w:t>
            </w:r>
          </w:p>
        </w:tc>
        <w:tc>
          <w:tcPr>
            <w:tcW w:w="2297" w:type="dxa"/>
            <w:vMerge w:val="continue"/>
            <w:vAlign w:val="center"/>
          </w:tcPr>
          <w:p>
            <w:pPr>
              <w:spacing w:line="360" w:lineRule="exact"/>
              <w:jc w:val="center"/>
              <w:rPr>
                <w:rFonts w:ascii="宋体" w:hAnsi="宋体"/>
                <w:bCs/>
                <w:szCs w:val="21"/>
              </w:rPr>
            </w:pPr>
          </w:p>
        </w:tc>
        <w:tc>
          <w:tcPr>
            <w:tcW w:w="2131" w:type="dxa"/>
            <w:vAlign w:val="center"/>
          </w:tcPr>
          <w:p>
            <w:pPr>
              <w:spacing w:line="540" w:lineRule="exact"/>
              <w:jc w:val="center"/>
              <w:rPr>
                <w:rFonts w:ascii="宋体" w:hAnsi="宋体"/>
                <w:bCs/>
                <w:szCs w:val="21"/>
              </w:rPr>
            </w:pPr>
            <w:r>
              <w:rPr>
                <w:rFonts w:hint="eastAsia" w:ascii="宋体" w:hAnsi="宋体"/>
                <w:bCs/>
                <w:szCs w:val="21"/>
              </w:rPr>
              <w:t>疏散指示标志</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11</w:t>
            </w:r>
          </w:p>
        </w:tc>
        <w:tc>
          <w:tcPr>
            <w:tcW w:w="2297" w:type="dxa"/>
            <w:vMerge w:val="restart"/>
            <w:vAlign w:val="center"/>
          </w:tcPr>
          <w:p>
            <w:pPr>
              <w:spacing w:line="540" w:lineRule="exact"/>
              <w:jc w:val="center"/>
              <w:rPr>
                <w:rFonts w:ascii="宋体" w:hAnsi="宋体"/>
                <w:bCs/>
                <w:szCs w:val="21"/>
              </w:rPr>
            </w:pPr>
            <w:r>
              <w:rPr>
                <w:rFonts w:hint="eastAsia" w:ascii="宋体" w:hAnsi="宋体"/>
                <w:bCs/>
                <w:szCs w:val="21"/>
              </w:rPr>
              <w:t>区行政服务中心</w:t>
            </w:r>
          </w:p>
        </w:tc>
        <w:tc>
          <w:tcPr>
            <w:tcW w:w="2131" w:type="dxa"/>
            <w:vAlign w:val="center"/>
          </w:tcPr>
          <w:p>
            <w:pPr>
              <w:spacing w:line="540" w:lineRule="exact"/>
              <w:jc w:val="center"/>
              <w:rPr>
                <w:rFonts w:ascii="宋体" w:hAnsi="宋体"/>
                <w:bCs/>
                <w:szCs w:val="21"/>
              </w:rPr>
            </w:pPr>
            <w:r>
              <w:rPr>
                <w:rFonts w:hint="eastAsia" w:ascii="宋体" w:hAnsi="宋体"/>
                <w:bCs/>
                <w:szCs w:val="21"/>
              </w:rPr>
              <w:t>应急照明灯</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12</w:t>
            </w:r>
          </w:p>
        </w:tc>
        <w:tc>
          <w:tcPr>
            <w:tcW w:w="2297" w:type="dxa"/>
            <w:vMerge w:val="continue"/>
            <w:vAlign w:val="center"/>
          </w:tcPr>
          <w:p>
            <w:pPr>
              <w:spacing w:line="360" w:lineRule="exact"/>
              <w:jc w:val="center"/>
              <w:rPr>
                <w:rFonts w:ascii="宋体" w:hAnsi="宋体"/>
                <w:bCs/>
                <w:szCs w:val="21"/>
              </w:rPr>
            </w:pPr>
          </w:p>
        </w:tc>
        <w:tc>
          <w:tcPr>
            <w:tcW w:w="2131" w:type="dxa"/>
            <w:vAlign w:val="center"/>
          </w:tcPr>
          <w:p>
            <w:pPr>
              <w:spacing w:line="540" w:lineRule="exact"/>
              <w:jc w:val="center"/>
              <w:rPr>
                <w:rFonts w:ascii="宋体" w:hAnsi="宋体"/>
                <w:bCs/>
                <w:szCs w:val="21"/>
              </w:rPr>
            </w:pPr>
            <w:r>
              <w:rPr>
                <w:rFonts w:hint="eastAsia" w:ascii="宋体" w:hAnsi="宋体"/>
                <w:bCs/>
                <w:szCs w:val="21"/>
              </w:rPr>
              <w:t>疏散指示标志</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13</w:t>
            </w:r>
          </w:p>
        </w:tc>
        <w:tc>
          <w:tcPr>
            <w:tcW w:w="2297" w:type="dxa"/>
            <w:vMerge w:val="restart"/>
            <w:vAlign w:val="center"/>
          </w:tcPr>
          <w:p>
            <w:pPr>
              <w:spacing w:line="540" w:lineRule="exact"/>
              <w:jc w:val="center"/>
              <w:rPr>
                <w:rFonts w:ascii="宋体" w:hAnsi="宋体"/>
                <w:bCs/>
                <w:szCs w:val="21"/>
              </w:rPr>
            </w:pPr>
            <w:r>
              <w:rPr>
                <w:rFonts w:hint="eastAsia" w:ascii="宋体" w:hAnsi="宋体"/>
                <w:bCs/>
                <w:szCs w:val="21"/>
              </w:rPr>
              <w:t>区规划展示大楼</w:t>
            </w:r>
          </w:p>
        </w:tc>
        <w:tc>
          <w:tcPr>
            <w:tcW w:w="2131" w:type="dxa"/>
            <w:vAlign w:val="center"/>
          </w:tcPr>
          <w:p>
            <w:pPr>
              <w:spacing w:line="540" w:lineRule="exact"/>
              <w:jc w:val="center"/>
              <w:rPr>
                <w:rFonts w:ascii="宋体" w:hAnsi="宋体"/>
                <w:bCs/>
                <w:szCs w:val="21"/>
              </w:rPr>
            </w:pPr>
            <w:r>
              <w:rPr>
                <w:rFonts w:hint="eastAsia" w:ascii="宋体" w:hAnsi="宋体"/>
                <w:bCs/>
                <w:szCs w:val="21"/>
              </w:rPr>
              <w:t>应急照明灯</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43" w:type="dxa"/>
            <w:vAlign w:val="center"/>
          </w:tcPr>
          <w:p>
            <w:pPr>
              <w:spacing w:line="360" w:lineRule="exact"/>
              <w:jc w:val="center"/>
              <w:rPr>
                <w:rFonts w:ascii="宋体" w:hAnsi="宋体"/>
                <w:bCs/>
                <w:szCs w:val="21"/>
              </w:rPr>
            </w:pPr>
            <w:r>
              <w:rPr>
                <w:rFonts w:hint="eastAsia" w:ascii="宋体" w:hAnsi="宋体"/>
                <w:bCs/>
                <w:szCs w:val="21"/>
              </w:rPr>
              <w:t>14</w:t>
            </w:r>
          </w:p>
        </w:tc>
        <w:tc>
          <w:tcPr>
            <w:tcW w:w="2297" w:type="dxa"/>
            <w:vMerge w:val="continue"/>
            <w:vAlign w:val="center"/>
          </w:tcPr>
          <w:p>
            <w:pPr>
              <w:spacing w:line="360" w:lineRule="exact"/>
              <w:jc w:val="center"/>
              <w:rPr>
                <w:rFonts w:ascii="宋体" w:hAnsi="宋体"/>
                <w:bCs/>
                <w:szCs w:val="21"/>
              </w:rPr>
            </w:pPr>
          </w:p>
        </w:tc>
        <w:tc>
          <w:tcPr>
            <w:tcW w:w="2131" w:type="dxa"/>
            <w:vAlign w:val="center"/>
          </w:tcPr>
          <w:p>
            <w:pPr>
              <w:spacing w:line="540" w:lineRule="exact"/>
              <w:jc w:val="center"/>
              <w:rPr>
                <w:rFonts w:ascii="宋体" w:hAnsi="宋体"/>
                <w:bCs/>
                <w:szCs w:val="21"/>
              </w:rPr>
            </w:pPr>
            <w:r>
              <w:rPr>
                <w:rFonts w:hint="eastAsia" w:ascii="宋体" w:hAnsi="宋体"/>
                <w:bCs/>
                <w:szCs w:val="21"/>
              </w:rPr>
              <w:t>疏散指示标志</w:t>
            </w:r>
          </w:p>
        </w:tc>
        <w:tc>
          <w:tcPr>
            <w:tcW w:w="2019" w:type="dxa"/>
            <w:vAlign w:val="center"/>
          </w:tcPr>
          <w:p>
            <w:pPr>
              <w:spacing w:line="540" w:lineRule="exact"/>
              <w:jc w:val="center"/>
              <w:rPr>
                <w:rFonts w:ascii="宋体" w:hAnsi="宋体"/>
                <w:bCs/>
                <w:szCs w:val="21"/>
              </w:rPr>
            </w:pPr>
          </w:p>
        </w:tc>
        <w:tc>
          <w:tcPr>
            <w:tcW w:w="865" w:type="dxa"/>
            <w:vAlign w:val="center"/>
          </w:tcPr>
          <w:p>
            <w:pPr>
              <w:jc w:val="center"/>
              <w:rPr>
                <w:rFonts w:ascii="宋体" w:hAnsi="宋体"/>
                <w:bCs/>
                <w:szCs w:val="21"/>
              </w:rPr>
            </w:pPr>
            <w:r>
              <w:rPr>
                <w:rFonts w:hint="eastAsia" w:ascii="宋体" w:hAnsi="宋体"/>
                <w:bCs/>
                <w:szCs w:val="21"/>
              </w:rPr>
              <w:t>个</w:t>
            </w:r>
          </w:p>
        </w:tc>
        <w:tc>
          <w:tcPr>
            <w:tcW w:w="903" w:type="dxa"/>
            <w:vAlign w:val="center"/>
          </w:tcPr>
          <w:p>
            <w:pPr>
              <w:jc w:val="center"/>
              <w:rPr>
                <w:rFonts w:ascii="宋体" w:hAnsi="宋体"/>
                <w:bCs/>
                <w:szCs w:val="21"/>
              </w:rPr>
            </w:pPr>
            <w:r>
              <w:rPr>
                <w:rFonts w:hint="eastAsia" w:ascii="宋体" w:hAnsi="宋体"/>
                <w:bCs/>
                <w:szCs w:val="21"/>
              </w:rPr>
              <w:t>75</w:t>
            </w:r>
          </w:p>
        </w:tc>
      </w:tr>
    </w:tbl>
    <w:p>
      <w:pPr>
        <w:spacing w:beforeLines="50" w:line="360" w:lineRule="auto"/>
        <w:rPr>
          <w:rFonts w:ascii="宋体" w:hAnsi="宋体"/>
          <w:bCs/>
          <w:szCs w:val="21"/>
        </w:rPr>
      </w:pPr>
      <w:r>
        <w:rPr>
          <w:rFonts w:hint="eastAsia" w:ascii="宋体" w:hAnsi="宋体"/>
          <w:bCs/>
          <w:szCs w:val="21"/>
        </w:rPr>
        <w:t>具体内容以现场实际设施为准，本表数量和系统仅供参考。</w:t>
      </w:r>
    </w:p>
    <w:p>
      <w:pPr>
        <w:spacing w:line="460" w:lineRule="exact"/>
        <w:ind w:right="-176" w:rightChars="-84"/>
        <w:jc w:val="center"/>
        <w:rPr>
          <w:rFonts w:ascii="宋体" w:hAnsi="宋体"/>
          <w:b/>
          <w:sz w:val="24"/>
          <w:szCs w:val="24"/>
        </w:rPr>
      </w:pPr>
      <w:r>
        <w:rPr>
          <w:rFonts w:hint="eastAsia" w:ascii="宋体" w:hAnsi="宋体"/>
          <w:b/>
          <w:sz w:val="24"/>
          <w:szCs w:val="24"/>
        </w:rPr>
        <w:t>维护保养服务范围</w:t>
      </w:r>
    </w:p>
    <w:p>
      <w:pPr>
        <w:spacing w:line="460" w:lineRule="exact"/>
        <w:ind w:right="-176" w:rightChars="-84"/>
        <w:rPr>
          <w:rFonts w:ascii="宋体" w:hAnsi="宋体"/>
          <w:bCs/>
          <w:szCs w:val="21"/>
        </w:rPr>
      </w:pPr>
      <w:r>
        <w:rPr>
          <w:rFonts w:hint="eastAsia" w:ascii="宋体" w:hAnsi="宋体"/>
          <w:bCs/>
          <w:szCs w:val="21"/>
        </w:rPr>
        <w:t>1. 火灾自动报警系统</w:t>
      </w:r>
    </w:p>
    <w:p>
      <w:pPr>
        <w:spacing w:line="460" w:lineRule="exact"/>
        <w:ind w:right="-176" w:rightChars="-84"/>
        <w:rPr>
          <w:rFonts w:ascii="宋体" w:hAnsi="宋体"/>
          <w:bCs/>
          <w:szCs w:val="21"/>
        </w:rPr>
      </w:pPr>
      <w:r>
        <w:rPr>
          <w:rFonts w:hint="eastAsia" w:ascii="宋体" w:hAnsi="宋体"/>
          <w:bCs/>
          <w:szCs w:val="21"/>
        </w:rPr>
        <w:t>（1）对火灾报警系统作定期检查和试验。对火灾报警控制器的各功能进行试验；采用专用检测仪器分期分批试验探测器的动作及确认灯显示；每年对备用电源进行2次充放电试验，3次主电源和备用电源自动切换试验。</w:t>
      </w:r>
    </w:p>
    <w:p>
      <w:pPr>
        <w:spacing w:line="460" w:lineRule="exact"/>
        <w:ind w:right="-176" w:rightChars="-84"/>
        <w:rPr>
          <w:rFonts w:ascii="宋体" w:hAnsi="宋体"/>
          <w:bCs/>
          <w:szCs w:val="21"/>
        </w:rPr>
      </w:pPr>
      <w:r>
        <w:rPr>
          <w:rFonts w:hint="eastAsia" w:ascii="宋体" w:hAnsi="宋体"/>
          <w:bCs/>
          <w:szCs w:val="21"/>
        </w:rPr>
        <w:t>（2）对消防系统联动设备作定期检查和试验。每年对防排烟设备、防火卷帘门等控制设备做消防联动试验两次；每年对火灾事故广播进行消防联动试验两次；每年对电梯进行强制停于首层消防联动试验两次；每年对消防通讯设备在消防控制室进行对讲通话试验两次；每年进行强制切断非消防电源消防联动试验两次。</w:t>
      </w:r>
    </w:p>
    <w:p>
      <w:pPr>
        <w:spacing w:line="460" w:lineRule="exact"/>
        <w:ind w:right="-176" w:rightChars="-84"/>
        <w:rPr>
          <w:rFonts w:ascii="宋体" w:hAnsi="宋体"/>
          <w:bCs/>
          <w:szCs w:val="21"/>
        </w:rPr>
      </w:pPr>
      <w:r>
        <w:rPr>
          <w:rFonts w:hint="eastAsia" w:ascii="宋体" w:hAnsi="宋体"/>
          <w:bCs/>
          <w:szCs w:val="21"/>
        </w:rPr>
        <w:t>（3）对火灾自动报警系统控制线路及联动线路的故障进行维修，其中消防联动设备的维护维修负责到消防联动设备的接口。</w:t>
      </w:r>
    </w:p>
    <w:p>
      <w:pPr>
        <w:spacing w:line="460" w:lineRule="exact"/>
        <w:ind w:right="-176" w:rightChars="-84"/>
        <w:rPr>
          <w:rFonts w:ascii="宋体" w:hAnsi="宋体"/>
          <w:bCs/>
          <w:szCs w:val="21"/>
        </w:rPr>
      </w:pPr>
      <w:r>
        <w:rPr>
          <w:rFonts w:hint="eastAsia" w:ascii="宋体" w:hAnsi="宋体"/>
          <w:bCs/>
          <w:szCs w:val="21"/>
        </w:rPr>
        <w:t>（4）对火灾自动报警系统的故障进行维修。</w:t>
      </w:r>
    </w:p>
    <w:p>
      <w:pPr>
        <w:spacing w:line="460" w:lineRule="exact"/>
        <w:ind w:right="-176" w:rightChars="-84"/>
        <w:rPr>
          <w:rFonts w:ascii="宋体" w:hAnsi="宋体"/>
          <w:bCs/>
          <w:szCs w:val="21"/>
        </w:rPr>
      </w:pPr>
      <w:r>
        <w:rPr>
          <w:rFonts w:hint="eastAsia" w:ascii="宋体" w:hAnsi="宋体"/>
          <w:bCs/>
          <w:szCs w:val="21"/>
        </w:rPr>
        <w:t>（5）对火灾自动报警系统的消防通讯线路、消防电话、消防主机电源检查及消防主机接地线路的故障的检查及维修。</w:t>
      </w:r>
    </w:p>
    <w:p>
      <w:pPr>
        <w:spacing w:line="460" w:lineRule="exact"/>
        <w:ind w:right="-176" w:rightChars="-84"/>
        <w:rPr>
          <w:rFonts w:ascii="宋体" w:hAnsi="宋体"/>
          <w:bCs/>
          <w:szCs w:val="21"/>
        </w:rPr>
      </w:pPr>
      <w:r>
        <w:rPr>
          <w:rFonts w:hint="eastAsia" w:ascii="宋体" w:hAnsi="宋体"/>
          <w:bCs/>
          <w:szCs w:val="21"/>
        </w:rPr>
        <w:t>2. 自动喷水灭火系统</w:t>
      </w:r>
    </w:p>
    <w:p>
      <w:pPr>
        <w:spacing w:line="460" w:lineRule="exact"/>
        <w:ind w:right="-176" w:rightChars="-84"/>
        <w:rPr>
          <w:rFonts w:ascii="宋体" w:hAnsi="宋体"/>
          <w:bCs/>
          <w:szCs w:val="21"/>
        </w:rPr>
      </w:pPr>
      <w:r>
        <w:rPr>
          <w:rFonts w:hint="eastAsia" w:ascii="宋体" w:hAnsi="宋体"/>
          <w:bCs/>
          <w:szCs w:val="21"/>
        </w:rPr>
        <w:t>（1）每月对水源控制阀、报警阀组进行检查，保证系统各种阀门处于工作状态。</w:t>
      </w:r>
    </w:p>
    <w:p>
      <w:pPr>
        <w:spacing w:line="460" w:lineRule="exact"/>
        <w:ind w:right="-176" w:rightChars="-84"/>
        <w:rPr>
          <w:rFonts w:ascii="宋体" w:hAnsi="宋体"/>
          <w:bCs/>
          <w:szCs w:val="21"/>
        </w:rPr>
      </w:pPr>
      <w:r>
        <w:rPr>
          <w:rFonts w:hint="eastAsia" w:ascii="宋体" w:hAnsi="宋体"/>
          <w:bCs/>
          <w:szCs w:val="21"/>
        </w:rPr>
        <w:t>（2）每月对喷淋水泵进行启动运转试验一次。</w:t>
      </w:r>
    </w:p>
    <w:p>
      <w:pPr>
        <w:spacing w:line="460" w:lineRule="exact"/>
        <w:ind w:right="-176" w:rightChars="-84"/>
        <w:rPr>
          <w:rFonts w:ascii="宋体" w:hAnsi="宋体"/>
          <w:bCs/>
          <w:szCs w:val="21"/>
        </w:rPr>
      </w:pPr>
      <w:r>
        <w:rPr>
          <w:rFonts w:hint="eastAsia" w:ascii="宋体" w:hAnsi="宋体"/>
          <w:bCs/>
          <w:szCs w:val="21"/>
        </w:rPr>
        <w:t>（3）每月对电磁阀作启动试验一次，动作失常时及时维修更换。</w:t>
      </w:r>
    </w:p>
    <w:p>
      <w:pPr>
        <w:spacing w:line="460" w:lineRule="exact"/>
        <w:ind w:right="-176" w:rightChars="-84"/>
        <w:rPr>
          <w:rFonts w:ascii="宋体" w:hAnsi="宋体"/>
          <w:bCs/>
          <w:szCs w:val="21"/>
        </w:rPr>
      </w:pPr>
      <w:r>
        <w:rPr>
          <w:rFonts w:hint="eastAsia" w:ascii="宋体" w:hAnsi="宋体"/>
          <w:bCs/>
          <w:szCs w:val="21"/>
        </w:rPr>
        <w:t>（4）每月对喷头进行外观检查，发现有不正常的喷头及时更换，当喷头上有异物时及时清除。</w:t>
      </w:r>
    </w:p>
    <w:p>
      <w:pPr>
        <w:spacing w:line="460" w:lineRule="exact"/>
        <w:ind w:right="-176" w:rightChars="-84"/>
        <w:rPr>
          <w:rFonts w:ascii="宋体" w:hAnsi="宋体"/>
          <w:bCs/>
          <w:szCs w:val="21"/>
        </w:rPr>
      </w:pPr>
      <w:r>
        <w:rPr>
          <w:rFonts w:hint="eastAsia" w:ascii="宋体" w:hAnsi="宋体"/>
          <w:bCs/>
          <w:szCs w:val="21"/>
        </w:rPr>
        <w:t>（5）每季度对湿式报警阀旁的放水试验阀进行泄水试验，验证湿式报警阀的供水能力。</w:t>
      </w:r>
    </w:p>
    <w:p>
      <w:pPr>
        <w:spacing w:line="460" w:lineRule="exact"/>
        <w:ind w:right="-176" w:rightChars="-84"/>
        <w:rPr>
          <w:rFonts w:ascii="宋体" w:hAnsi="宋体"/>
          <w:bCs/>
          <w:szCs w:val="21"/>
        </w:rPr>
      </w:pPr>
      <w:r>
        <w:rPr>
          <w:rFonts w:hint="eastAsia" w:ascii="宋体" w:hAnsi="宋体"/>
          <w:bCs/>
          <w:szCs w:val="21"/>
        </w:rPr>
        <w:t>（6）每半年利用末端试水装置对水流指示器进行试验。</w:t>
      </w:r>
    </w:p>
    <w:p>
      <w:pPr>
        <w:spacing w:line="460" w:lineRule="exact"/>
        <w:ind w:right="-176" w:rightChars="-84"/>
        <w:rPr>
          <w:rFonts w:ascii="宋体" w:hAnsi="宋体"/>
          <w:bCs/>
          <w:szCs w:val="21"/>
        </w:rPr>
      </w:pPr>
      <w:r>
        <w:rPr>
          <w:rFonts w:hint="eastAsia" w:ascii="宋体" w:hAnsi="宋体"/>
          <w:bCs/>
          <w:szCs w:val="21"/>
        </w:rPr>
        <w:t>（7）每年对水泵接合器的接口及附件进行检查并进行维护。</w:t>
      </w:r>
    </w:p>
    <w:p>
      <w:pPr>
        <w:spacing w:line="460" w:lineRule="exact"/>
        <w:ind w:right="-176" w:rightChars="-84"/>
        <w:rPr>
          <w:rFonts w:ascii="宋体" w:hAnsi="宋体"/>
          <w:bCs/>
          <w:szCs w:val="21"/>
        </w:rPr>
      </w:pPr>
      <w:r>
        <w:rPr>
          <w:rFonts w:hint="eastAsia" w:ascii="宋体" w:hAnsi="宋体"/>
          <w:bCs/>
          <w:szCs w:val="21"/>
        </w:rPr>
        <w:t>（8）每年对消防水池、消防水箱及消防气压给水设备的消防储水位及消防气压给水设备的压力进行检查，发现问题及时处理。</w:t>
      </w:r>
    </w:p>
    <w:p>
      <w:pPr>
        <w:spacing w:line="460" w:lineRule="exact"/>
        <w:ind w:right="-176" w:rightChars="-84"/>
        <w:rPr>
          <w:rFonts w:ascii="宋体" w:hAnsi="宋体"/>
          <w:bCs/>
          <w:szCs w:val="21"/>
        </w:rPr>
      </w:pPr>
      <w:r>
        <w:rPr>
          <w:rFonts w:hint="eastAsia" w:ascii="宋体" w:hAnsi="宋体"/>
          <w:bCs/>
          <w:szCs w:val="21"/>
        </w:rPr>
        <w:t>3.消火栓系统</w:t>
      </w:r>
    </w:p>
    <w:p>
      <w:pPr>
        <w:spacing w:line="460" w:lineRule="exact"/>
        <w:ind w:right="-176" w:rightChars="-84"/>
        <w:rPr>
          <w:rFonts w:ascii="宋体" w:hAnsi="宋体"/>
          <w:bCs/>
          <w:szCs w:val="21"/>
        </w:rPr>
      </w:pPr>
      <w:r>
        <w:rPr>
          <w:rFonts w:hint="eastAsia" w:ascii="宋体" w:hAnsi="宋体"/>
          <w:bCs/>
          <w:szCs w:val="21"/>
        </w:rPr>
        <w:t>（1）每月对消防泵进行启动运转试验，并对消防泵进行消火栓按钮联动启泵试验。</w:t>
      </w:r>
    </w:p>
    <w:p>
      <w:pPr>
        <w:spacing w:line="460" w:lineRule="exact"/>
        <w:ind w:right="-176" w:rightChars="-84"/>
        <w:rPr>
          <w:rFonts w:ascii="宋体" w:hAnsi="宋体"/>
          <w:bCs/>
          <w:szCs w:val="21"/>
        </w:rPr>
      </w:pPr>
      <w:r>
        <w:rPr>
          <w:rFonts w:hint="eastAsia" w:ascii="宋体" w:hAnsi="宋体"/>
          <w:bCs/>
          <w:szCs w:val="21"/>
        </w:rPr>
        <w:t>（2）每月对系统上所有的控制阀门进行检查，保证控制阀门处于正常工作状态。</w:t>
      </w:r>
    </w:p>
    <w:p>
      <w:pPr>
        <w:spacing w:line="460" w:lineRule="exact"/>
        <w:ind w:right="-176" w:rightChars="-84"/>
        <w:rPr>
          <w:rFonts w:ascii="宋体" w:hAnsi="宋体"/>
          <w:bCs/>
          <w:szCs w:val="21"/>
        </w:rPr>
      </w:pPr>
      <w:r>
        <w:rPr>
          <w:rFonts w:hint="eastAsia" w:ascii="宋体" w:hAnsi="宋体"/>
          <w:bCs/>
          <w:szCs w:val="21"/>
        </w:rPr>
        <w:t>（3）每月对消火栓进行检查，发现问题及时处理。</w:t>
      </w:r>
    </w:p>
    <w:p>
      <w:pPr>
        <w:spacing w:line="460" w:lineRule="exact"/>
        <w:ind w:right="-176" w:rightChars="-84"/>
        <w:rPr>
          <w:rFonts w:ascii="宋体" w:hAnsi="宋体"/>
          <w:bCs/>
          <w:szCs w:val="21"/>
        </w:rPr>
      </w:pPr>
      <w:r>
        <w:rPr>
          <w:rFonts w:hint="eastAsia" w:ascii="宋体" w:hAnsi="宋体"/>
          <w:bCs/>
          <w:szCs w:val="21"/>
        </w:rPr>
        <w:t>（4）每月对室内消火栓箱内的水枪、水带等设备进行检查，发现问题及时维修更换。</w:t>
      </w:r>
    </w:p>
    <w:p>
      <w:pPr>
        <w:spacing w:line="460" w:lineRule="exact"/>
        <w:ind w:right="-176" w:rightChars="-84"/>
        <w:rPr>
          <w:rFonts w:ascii="宋体" w:hAnsi="宋体"/>
          <w:bCs/>
          <w:szCs w:val="21"/>
        </w:rPr>
      </w:pPr>
      <w:r>
        <w:rPr>
          <w:rFonts w:hint="eastAsia" w:ascii="宋体" w:hAnsi="宋体"/>
          <w:bCs/>
          <w:szCs w:val="21"/>
        </w:rPr>
        <w:t>（5）每季度对最不利点消火栓进行静压压力试验。</w:t>
      </w:r>
    </w:p>
    <w:p>
      <w:pPr>
        <w:spacing w:line="460" w:lineRule="exact"/>
        <w:ind w:right="-176" w:rightChars="-84"/>
        <w:rPr>
          <w:rFonts w:ascii="宋体" w:hAnsi="宋体"/>
          <w:bCs/>
          <w:szCs w:val="21"/>
        </w:rPr>
      </w:pPr>
      <w:r>
        <w:rPr>
          <w:rFonts w:hint="eastAsia" w:ascii="宋体" w:hAnsi="宋体"/>
          <w:bCs/>
          <w:szCs w:val="21"/>
        </w:rPr>
        <w:t>（6）每年对水泵接合器的接口及附件进行检查。</w:t>
      </w:r>
    </w:p>
    <w:p>
      <w:pPr>
        <w:spacing w:line="460" w:lineRule="exact"/>
        <w:ind w:right="-176" w:rightChars="-84"/>
        <w:rPr>
          <w:rFonts w:ascii="宋体" w:hAnsi="宋体"/>
          <w:bCs/>
          <w:szCs w:val="21"/>
        </w:rPr>
      </w:pPr>
      <w:r>
        <w:rPr>
          <w:rFonts w:hint="eastAsia" w:ascii="宋体" w:hAnsi="宋体"/>
          <w:bCs/>
          <w:szCs w:val="21"/>
        </w:rPr>
        <w:t>（7）每年抽查消火栓的出水情况对重点部位的消火栓每年进行出水检查。</w:t>
      </w:r>
    </w:p>
    <w:p>
      <w:pPr>
        <w:spacing w:line="460" w:lineRule="exact"/>
        <w:ind w:right="-176" w:rightChars="-84"/>
        <w:rPr>
          <w:rFonts w:ascii="宋体" w:hAnsi="宋体"/>
          <w:bCs/>
          <w:szCs w:val="21"/>
        </w:rPr>
      </w:pPr>
      <w:r>
        <w:rPr>
          <w:rFonts w:hint="eastAsia" w:ascii="宋体" w:hAnsi="宋体"/>
          <w:bCs/>
          <w:szCs w:val="21"/>
        </w:rPr>
        <w:t>（8）每月检查干粉灭火器的压力、重量、有效期等，必要时做喷射试验，不合格干粉灭火器必须及时更换。</w:t>
      </w:r>
    </w:p>
    <w:p>
      <w:pPr>
        <w:spacing w:line="460" w:lineRule="exact"/>
        <w:ind w:right="-176" w:rightChars="-84"/>
        <w:rPr>
          <w:rFonts w:ascii="宋体" w:hAnsi="宋体"/>
          <w:bCs/>
          <w:szCs w:val="21"/>
        </w:rPr>
      </w:pPr>
      <w:r>
        <w:rPr>
          <w:rFonts w:hint="eastAsia" w:ascii="宋体" w:hAnsi="宋体"/>
          <w:bCs/>
          <w:szCs w:val="21"/>
        </w:rPr>
        <w:t>4. 防排烟系统</w:t>
      </w:r>
    </w:p>
    <w:p>
      <w:pPr>
        <w:spacing w:line="460" w:lineRule="exact"/>
        <w:ind w:right="-176" w:rightChars="-84"/>
        <w:rPr>
          <w:rFonts w:ascii="宋体" w:hAnsi="宋体"/>
          <w:bCs/>
          <w:szCs w:val="21"/>
        </w:rPr>
      </w:pPr>
      <w:r>
        <w:rPr>
          <w:rFonts w:hint="eastAsia" w:ascii="宋体" w:hAnsi="宋体"/>
          <w:bCs/>
          <w:szCs w:val="21"/>
        </w:rPr>
        <w:t>（1）每周检查送风、排烟机房工作环境以及送风机、排烟机、电源控制柜、送风阀、排烟阀等是否处于正常完好状态。</w:t>
      </w:r>
    </w:p>
    <w:p>
      <w:pPr>
        <w:spacing w:line="460" w:lineRule="exact"/>
        <w:ind w:right="-176" w:rightChars="-84"/>
        <w:rPr>
          <w:rFonts w:ascii="宋体" w:hAnsi="宋体"/>
          <w:bCs/>
          <w:szCs w:val="21"/>
        </w:rPr>
      </w:pPr>
      <w:r>
        <w:rPr>
          <w:rFonts w:hint="eastAsia" w:ascii="宋体" w:hAnsi="宋体"/>
          <w:bCs/>
          <w:szCs w:val="21"/>
        </w:rPr>
        <w:t>（2）每月手动或自动打开排烟阀、启/停送风机、排烟机查看其性能。</w:t>
      </w:r>
    </w:p>
    <w:p>
      <w:pPr>
        <w:spacing w:line="460" w:lineRule="exact"/>
        <w:ind w:right="-176" w:rightChars="-84"/>
        <w:rPr>
          <w:rFonts w:ascii="宋体" w:hAnsi="宋体"/>
          <w:bCs/>
          <w:szCs w:val="21"/>
        </w:rPr>
      </w:pPr>
      <w:r>
        <w:rPr>
          <w:rFonts w:hint="eastAsia" w:ascii="宋体" w:hAnsi="宋体"/>
          <w:bCs/>
          <w:szCs w:val="21"/>
        </w:rPr>
        <w:t>（3）每半年手动或自动方式关闭空调通风系统、电动防火阀试验，检查其性能。</w:t>
      </w:r>
    </w:p>
    <w:p>
      <w:pPr>
        <w:spacing w:line="460" w:lineRule="exact"/>
        <w:ind w:right="-176" w:rightChars="-84"/>
        <w:rPr>
          <w:rFonts w:ascii="宋体" w:hAnsi="宋体"/>
          <w:bCs/>
          <w:szCs w:val="21"/>
        </w:rPr>
      </w:pPr>
      <w:r>
        <w:rPr>
          <w:rFonts w:hint="eastAsia" w:ascii="宋体" w:hAnsi="宋体"/>
          <w:bCs/>
          <w:szCs w:val="21"/>
        </w:rPr>
        <w:t>5.防火分区</w:t>
      </w:r>
    </w:p>
    <w:p>
      <w:pPr>
        <w:spacing w:line="460" w:lineRule="exact"/>
        <w:ind w:right="-176" w:rightChars="-84"/>
        <w:rPr>
          <w:rFonts w:ascii="宋体" w:hAnsi="宋体"/>
          <w:bCs/>
          <w:szCs w:val="21"/>
        </w:rPr>
      </w:pPr>
      <w:r>
        <w:rPr>
          <w:rFonts w:hint="eastAsia" w:ascii="宋体" w:hAnsi="宋体"/>
          <w:bCs/>
          <w:szCs w:val="21"/>
        </w:rPr>
        <w:t>（1）每周检查木质防火门、防火卷帘门、电动防火门等的完好情况。</w:t>
      </w:r>
    </w:p>
    <w:p>
      <w:pPr>
        <w:spacing w:line="460" w:lineRule="exact"/>
        <w:ind w:right="-176" w:rightChars="-84"/>
        <w:rPr>
          <w:rFonts w:ascii="宋体" w:hAnsi="宋体"/>
          <w:bCs/>
          <w:szCs w:val="21"/>
        </w:rPr>
      </w:pPr>
      <w:r>
        <w:rPr>
          <w:rFonts w:hint="eastAsia" w:ascii="宋体" w:hAnsi="宋体"/>
          <w:bCs/>
          <w:szCs w:val="21"/>
        </w:rPr>
        <w:t>（2）每月手动或自动启停防火卷帘门、电动防火门试验.检查其性能。</w:t>
      </w:r>
    </w:p>
    <w:p>
      <w:pPr>
        <w:spacing w:line="460" w:lineRule="exact"/>
        <w:ind w:right="-176" w:rightChars="-84"/>
        <w:rPr>
          <w:rFonts w:ascii="宋体" w:hAnsi="宋体"/>
          <w:bCs/>
          <w:szCs w:val="21"/>
        </w:rPr>
      </w:pPr>
      <w:r>
        <w:rPr>
          <w:rFonts w:hint="eastAsia" w:ascii="宋体" w:hAnsi="宋体"/>
          <w:bCs/>
          <w:szCs w:val="21"/>
        </w:rPr>
        <w:t>6.消防广播系统</w:t>
      </w:r>
    </w:p>
    <w:p>
      <w:pPr>
        <w:spacing w:line="460" w:lineRule="exact"/>
        <w:ind w:right="-176" w:rightChars="-84"/>
        <w:rPr>
          <w:rFonts w:ascii="宋体" w:hAnsi="宋体"/>
          <w:bCs/>
          <w:szCs w:val="21"/>
        </w:rPr>
      </w:pPr>
      <w:r>
        <w:rPr>
          <w:rFonts w:hint="eastAsia" w:ascii="宋体" w:hAnsi="宋体"/>
          <w:bCs/>
          <w:szCs w:val="21"/>
        </w:rPr>
        <w:t>（1）每月检查消防广播音源设备、广播功率放大器、火灾报警控制器（联动型）等设备，保证设备处于正常工作状态。</w:t>
      </w:r>
    </w:p>
    <w:p>
      <w:pPr>
        <w:spacing w:line="460" w:lineRule="exact"/>
        <w:ind w:right="-176" w:rightChars="-84"/>
        <w:rPr>
          <w:rFonts w:ascii="宋体" w:hAnsi="宋体"/>
          <w:bCs/>
          <w:szCs w:val="21"/>
        </w:rPr>
      </w:pPr>
      <w:r>
        <w:rPr>
          <w:rFonts w:hint="eastAsia" w:ascii="宋体" w:hAnsi="宋体"/>
          <w:bCs/>
          <w:szCs w:val="21"/>
        </w:rPr>
        <w:t>（2）每月对输出模块、扬声器进行检查，发现故障及时维修处理。</w:t>
      </w:r>
    </w:p>
    <w:p>
      <w:pPr>
        <w:spacing w:line="460" w:lineRule="exact"/>
        <w:ind w:right="-176" w:rightChars="-84"/>
        <w:rPr>
          <w:rFonts w:ascii="宋体" w:hAnsi="宋体"/>
          <w:bCs/>
          <w:szCs w:val="21"/>
        </w:rPr>
      </w:pPr>
      <w:r>
        <w:rPr>
          <w:rFonts w:hint="eastAsia" w:ascii="宋体" w:hAnsi="宋体"/>
          <w:bCs/>
          <w:szCs w:val="21"/>
        </w:rPr>
        <w:t>（3）每季度启动消防广播，进行试运行测试，确保系统完整性。</w:t>
      </w:r>
    </w:p>
    <w:p>
      <w:pPr>
        <w:spacing w:line="460" w:lineRule="exact"/>
        <w:ind w:right="-176" w:rightChars="-84"/>
        <w:rPr>
          <w:rFonts w:ascii="宋体" w:hAnsi="宋体"/>
          <w:bCs/>
          <w:szCs w:val="21"/>
        </w:rPr>
      </w:pPr>
      <w:r>
        <w:rPr>
          <w:rFonts w:hint="eastAsia" w:ascii="宋体" w:hAnsi="宋体"/>
          <w:bCs/>
          <w:szCs w:val="21"/>
        </w:rPr>
        <w:t>7.应急照明疏散指示</w:t>
      </w:r>
    </w:p>
    <w:p>
      <w:pPr>
        <w:spacing w:line="460" w:lineRule="exact"/>
        <w:ind w:right="-176" w:rightChars="-84"/>
        <w:rPr>
          <w:rFonts w:ascii="宋体" w:hAnsi="宋体"/>
          <w:bCs/>
          <w:szCs w:val="21"/>
        </w:rPr>
      </w:pPr>
      <w:r>
        <w:rPr>
          <w:rFonts w:hint="eastAsia" w:ascii="宋体" w:hAnsi="宋体"/>
          <w:bCs/>
          <w:szCs w:val="21"/>
        </w:rPr>
        <w:t>（1）每周检查安全出口、疏散通道、重要场所的应急照明和疏散指示标志是否处于正常完好使用状态。</w:t>
      </w:r>
    </w:p>
    <w:p>
      <w:pPr>
        <w:spacing w:line="460" w:lineRule="exact"/>
        <w:ind w:right="-176" w:rightChars="-84"/>
        <w:rPr>
          <w:rFonts w:ascii="宋体" w:hAnsi="宋体"/>
          <w:bCs/>
          <w:szCs w:val="21"/>
        </w:rPr>
      </w:pPr>
      <w:r>
        <w:rPr>
          <w:rFonts w:hint="eastAsia" w:ascii="宋体" w:hAnsi="宋体"/>
          <w:bCs/>
          <w:szCs w:val="21"/>
        </w:rPr>
        <w:t>（2）每月试验应急照明灯和疏散指示灯切断电源后是否能正常工作。</w:t>
      </w:r>
    </w:p>
    <w:p>
      <w:pPr>
        <w:spacing w:line="460" w:lineRule="exact"/>
        <w:ind w:right="-176" w:rightChars="-84"/>
        <w:jc w:val="center"/>
        <w:rPr>
          <w:rFonts w:ascii="宋体" w:hAnsi="宋体"/>
          <w:b/>
          <w:sz w:val="24"/>
          <w:szCs w:val="24"/>
        </w:rPr>
      </w:pPr>
      <w:r>
        <w:rPr>
          <w:rFonts w:hint="eastAsia" w:ascii="宋体" w:hAnsi="宋体"/>
          <w:b/>
          <w:sz w:val="24"/>
          <w:szCs w:val="24"/>
        </w:rPr>
        <w:t>维护保养标准</w:t>
      </w:r>
    </w:p>
    <w:p>
      <w:pPr>
        <w:spacing w:line="460" w:lineRule="exact"/>
        <w:ind w:right="-176" w:rightChars="-84"/>
        <w:rPr>
          <w:rFonts w:ascii="宋体" w:hAnsi="宋体"/>
          <w:bCs/>
          <w:szCs w:val="21"/>
        </w:rPr>
      </w:pPr>
      <w:r>
        <w:rPr>
          <w:rFonts w:hint="eastAsia" w:ascii="宋体" w:hAnsi="宋体"/>
          <w:bCs/>
          <w:szCs w:val="21"/>
        </w:rPr>
        <w:t>1.保证各项系统正常工作。</w:t>
      </w:r>
    </w:p>
    <w:p>
      <w:pPr>
        <w:spacing w:line="460" w:lineRule="exact"/>
        <w:ind w:right="-176" w:rightChars="-84"/>
        <w:rPr>
          <w:rFonts w:ascii="宋体" w:hAnsi="宋体"/>
          <w:bCs/>
          <w:szCs w:val="21"/>
        </w:rPr>
      </w:pPr>
      <w:r>
        <w:rPr>
          <w:rFonts w:hint="eastAsia" w:ascii="宋体" w:hAnsi="宋体"/>
          <w:bCs/>
          <w:szCs w:val="21"/>
        </w:rPr>
        <w:t>2.维护质量必须符合经双方核定的竣工图纸的要求，并且满足现行消防规范的要求。</w:t>
      </w:r>
    </w:p>
    <w:p>
      <w:pPr>
        <w:spacing w:line="460" w:lineRule="exact"/>
        <w:ind w:right="-176" w:rightChars="-84"/>
        <w:rPr>
          <w:rFonts w:ascii="宋体" w:hAnsi="宋体"/>
          <w:bCs/>
          <w:szCs w:val="21"/>
        </w:rPr>
      </w:pPr>
      <w:r>
        <w:rPr>
          <w:rFonts w:hint="eastAsia" w:ascii="宋体" w:hAnsi="宋体"/>
          <w:bCs/>
          <w:szCs w:val="21"/>
        </w:rPr>
        <w:t>3.成交人安排一名持消防专业上岗证书的专业人员驻守龙湾区行政管理中心，按标准工时制负责日常运行，节假日及夜间如有设备发生故障时，中标单位需在发生故障后1小时内派维修小组到达采购人处提供服务，检查故障后1小时内提出修复方案并报招标单位同意，小故障在2小时内修复完毕。</w:t>
      </w:r>
    </w:p>
    <w:p>
      <w:pPr>
        <w:spacing w:line="460" w:lineRule="exact"/>
        <w:ind w:right="-176" w:rightChars="-84"/>
        <w:rPr>
          <w:rFonts w:ascii="宋体" w:hAnsi="宋体"/>
          <w:bCs/>
          <w:szCs w:val="21"/>
        </w:rPr>
      </w:pPr>
      <w:r>
        <w:rPr>
          <w:rFonts w:hint="eastAsia" w:ascii="宋体" w:hAnsi="宋体"/>
          <w:bCs/>
          <w:szCs w:val="21"/>
        </w:rPr>
        <w:t>4.成交人在维修过程中，需更换配件的可提出详细维修方案并上报采购人同意，由采购人采购解决。</w:t>
      </w:r>
    </w:p>
    <w:p>
      <w:pPr>
        <w:spacing w:line="460" w:lineRule="exact"/>
        <w:ind w:right="-176" w:rightChars="-84"/>
        <w:rPr>
          <w:rFonts w:ascii="宋体" w:hAnsi="宋体"/>
          <w:bCs/>
          <w:szCs w:val="21"/>
        </w:rPr>
      </w:pPr>
      <w:r>
        <w:rPr>
          <w:rFonts w:hint="eastAsia" w:ascii="宋体" w:hAnsi="宋体"/>
          <w:bCs/>
          <w:szCs w:val="21"/>
        </w:rPr>
        <w:t>5.成交人必须在现场办公地点配备维保项目内常用工具，防止出现无工具而延迟维修时间的情况发生。</w:t>
      </w:r>
    </w:p>
    <w:p>
      <w:pPr>
        <w:spacing w:line="460" w:lineRule="exact"/>
        <w:ind w:right="-176" w:rightChars="-84"/>
        <w:rPr>
          <w:rFonts w:ascii="宋体" w:hAnsi="宋体"/>
          <w:bCs/>
          <w:szCs w:val="21"/>
        </w:rPr>
      </w:pPr>
      <w:r>
        <w:rPr>
          <w:rFonts w:hint="eastAsia" w:ascii="宋体" w:hAnsi="宋体"/>
          <w:bCs/>
          <w:szCs w:val="21"/>
        </w:rPr>
        <w:t>6.成交人提供详细的月检、季检及建筑消防设施年度检测报告，并做好备案工作。</w:t>
      </w:r>
    </w:p>
    <w:p>
      <w:pPr>
        <w:spacing w:line="460" w:lineRule="exact"/>
        <w:ind w:right="-176" w:rightChars="-84"/>
        <w:jc w:val="center"/>
        <w:rPr>
          <w:rFonts w:ascii="宋体" w:hAnsi="宋体"/>
          <w:b/>
          <w:szCs w:val="21"/>
        </w:rPr>
      </w:pPr>
    </w:p>
    <w:p>
      <w:pPr>
        <w:spacing w:line="460" w:lineRule="exact"/>
        <w:ind w:right="-176" w:rightChars="-84"/>
        <w:jc w:val="center"/>
        <w:rPr>
          <w:rFonts w:ascii="宋体" w:hAnsi="宋体"/>
          <w:b/>
          <w:szCs w:val="21"/>
        </w:rPr>
      </w:pPr>
      <w:r>
        <w:rPr>
          <w:rFonts w:hint="eastAsia" w:ascii="宋体" w:hAnsi="宋体"/>
          <w:b/>
          <w:szCs w:val="21"/>
        </w:rPr>
        <w:t>故障处理具体要求</w:t>
      </w:r>
    </w:p>
    <w:p>
      <w:pPr>
        <w:spacing w:line="360" w:lineRule="auto"/>
        <w:rPr>
          <w:rFonts w:ascii="宋体" w:hAnsi="宋体"/>
          <w:bCs/>
          <w:szCs w:val="21"/>
        </w:rPr>
      </w:pPr>
      <w:r>
        <w:rPr>
          <w:rFonts w:hint="eastAsia" w:ascii="宋体" w:hAnsi="宋体"/>
          <w:bCs/>
          <w:szCs w:val="21"/>
        </w:rPr>
        <w:t>1.报警功能故障处理</w:t>
      </w:r>
    </w:p>
    <w:p>
      <w:pPr>
        <w:spacing w:line="360" w:lineRule="auto"/>
        <w:rPr>
          <w:rFonts w:ascii="宋体" w:hAnsi="宋体"/>
          <w:bCs/>
          <w:szCs w:val="21"/>
        </w:rPr>
      </w:pPr>
      <w:r>
        <w:rPr>
          <w:rFonts w:hint="eastAsia" w:ascii="宋体" w:hAnsi="宋体"/>
          <w:bCs/>
          <w:szCs w:val="21"/>
        </w:rPr>
        <w:t>1.1点位故障（烟感、温感、模块等）-----------1小时内处理正常。</w:t>
      </w:r>
    </w:p>
    <w:p>
      <w:pPr>
        <w:spacing w:line="360" w:lineRule="auto"/>
        <w:rPr>
          <w:rFonts w:ascii="宋体" w:hAnsi="宋体"/>
          <w:bCs/>
          <w:szCs w:val="21"/>
        </w:rPr>
      </w:pPr>
      <w:r>
        <w:rPr>
          <w:rFonts w:hint="eastAsia" w:ascii="宋体" w:hAnsi="宋体"/>
          <w:bCs/>
          <w:szCs w:val="21"/>
        </w:rPr>
        <w:t>1.2回路故障--------------------------------------------当日处理正常</w:t>
      </w:r>
    </w:p>
    <w:p>
      <w:pPr>
        <w:spacing w:line="360" w:lineRule="auto"/>
        <w:rPr>
          <w:rFonts w:ascii="宋体" w:hAnsi="宋体"/>
          <w:bCs/>
          <w:szCs w:val="21"/>
        </w:rPr>
      </w:pPr>
      <w:r>
        <w:rPr>
          <w:rFonts w:hint="eastAsia" w:ascii="宋体" w:hAnsi="宋体"/>
          <w:bCs/>
          <w:szCs w:val="21"/>
        </w:rPr>
        <w:t>1.3主机故障--------------------------------------------5日内处理正常</w:t>
      </w:r>
    </w:p>
    <w:p>
      <w:pPr>
        <w:spacing w:line="360" w:lineRule="auto"/>
        <w:rPr>
          <w:rFonts w:ascii="宋体" w:hAnsi="宋体"/>
          <w:bCs/>
          <w:szCs w:val="21"/>
        </w:rPr>
      </w:pPr>
      <w:r>
        <w:rPr>
          <w:rFonts w:hint="eastAsia" w:ascii="宋体" w:hAnsi="宋体"/>
          <w:bCs/>
          <w:szCs w:val="21"/>
        </w:rPr>
        <w:t>1.4线路故障--------------------------------------------3日内处理正常</w:t>
      </w:r>
    </w:p>
    <w:p>
      <w:pPr>
        <w:spacing w:line="360" w:lineRule="auto"/>
        <w:rPr>
          <w:rFonts w:ascii="宋体" w:hAnsi="宋体"/>
          <w:bCs/>
          <w:szCs w:val="21"/>
        </w:rPr>
      </w:pPr>
      <w:r>
        <w:rPr>
          <w:rFonts w:hint="eastAsia" w:ascii="宋体" w:hAnsi="宋体"/>
          <w:bCs/>
          <w:szCs w:val="21"/>
        </w:rPr>
        <w:t>2.设备故障处理</w:t>
      </w:r>
    </w:p>
    <w:p>
      <w:pPr>
        <w:spacing w:line="360" w:lineRule="auto"/>
        <w:rPr>
          <w:rFonts w:ascii="宋体" w:hAnsi="宋体"/>
          <w:bCs/>
          <w:szCs w:val="21"/>
        </w:rPr>
      </w:pPr>
      <w:r>
        <w:rPr>
          <w:rFonts w:hint="eastAsia" w:ascii="宋体" w:hAnsi="宋体"/>
          <w:bCs/>
          <w:szCs w:val="21"/>
        </w:rPr>
        <w:t>2.1水泵泵体故障--------------------------------------2日内处理正常</w:t>
      </w:r>
    </w:p>
    <w:p>
      <w:pPr>
        <w:spacing w:line="360" w:lineRule="auto"/>
        <w:rPr>
          <w:rFonts w:ascii="宋体" w:hAnsi="宋体"/>
          <w:bCs/>
          <w:szCs w:val="21"/>
        </w:rPr>
      </w:pPr>
      <w:r>
        <w:rPr>
          <w:rFonts w:hint="eastAsia" w:ascii="宋体" w:hAnsi="宋体"/>
          <w:bCs/>
          <w:szCs w:val="21"/>
        </w:rPr>
        <w:t>2.2水泵电气故障--------------------------------------当日处理正常</w:t>
      </w:r>
    </w:p>
    <w:p>
      <w:pPr>
        <w:spacing w:line="360" w:lineRule="auto"/>
        <w:rPr>
          <w:rFonts w:ascii="宋体" w:hAnsi="宋体"/>
          <w:bCs/>
          <w:szCs w:val="21"/>
        </w:rPr>
      </w:pPr>
      <w:r>
        <w:rPr>
          <w:rFonts w:hint="eastAsia" w:ascii="宋体" w:hAnsi="宋体"/>
          <w:bCs/>
          <w:szCs w:val="21"/>
        </w:rPr>
        <w:t>2.3管网渗漏水-----------------------------------------当日处理正常</w:t>
      </w:r>
    </w:p>
    <w:p>
      <w:pPr>
        <w:spacing w:line="360" w:lineRule="auto"/>
        <w:rPr>
          <w:rFonts w:ascii="宋体" w:hAnsi="宋体"/>
          <w:bCs/>
          <w:szCs w:val="21"/>
        </w:rPr>
      </w:pPr>
      <w:r>
        <w:rPr>
          <w:rFonts w:hint="eastAsia" w:ascii="宋体" w:hAnsi="宋体"/>
          <w:bCs/>
          <w:szCs w:val="21"/>
        </w:rPr>
        <w:t>2.4防排烟风机电机故障-----------------------------2日内处理正常</w:t>
      </w:r>
    </w:p>
    <w:p>
      <w:pPr>
        <w:spacing w:line="360" w:lineRule="auto"/>
        <w:rPr>
          <w:rFonts w:ascii="宋体" w:hAnsi="宋体"/>
          <w:bCs/>
          <w:szCs w:val="21"/>
        </w:rPr>
      </w:pPr>
      <w:r>
        <w:rPr>
          <w:rFonts w:hint="eastAsia" w:ascii="宋体" w:hAnsi="宋体"/>
          <w:bCs/>
          <w:szCs w:val="21"/>
        </w:rPr>
        <w:t>2.5防火卷帘门故障-----------------------------------当日处理正常</w:t>
      </w:r>
    </w:p>
    <w:p>
      <w:pPr>
        <w:spacing w:line="460" w:lineRule="exact"/>
        <w:ind w:right="-176" w:rightChars="-84"/>
        <w:jc w:val="center"/>
        <w:rPr>
          <w:rFonts w:ascii="宋体" w:hAnsi="宋体"/>
          <w:b/>
          <w:szCs w:val="21"/>
        </w:rPr>
      </w:pPr>
      <w:r>
        <w:rPr>
          <w:rFonts w:hint="eastAsia" w:ascii="宋体" w:hAnsi="宋体"/>
          <w:b/>
          <w:szCs w:val="21"/>
        </w:rPr>
        <w:t>项目的管理服务要求</w:t>
      </w:r>
    </w:p>
    <w:p>
      <w:pPr>
        <w:overflowPunct w:val="0"/>
        <w:topLinePunct/>
        <w:spacing w:line="360" w:lineRule="auto"/>
        <w:ind w:firstLine="420" w:firstLineChars="200"/>
        <w:rPr>
          <w:rFonts w:ascii="宋体" w:hAnsi="宋体"/>
          <w:bCs/>
          <w:szCs w:val="21"/>
        </w:rPr>
      </w:pPr>
      <w:r>
        <w:rPr>
          <w:rFonts w:hint="eastAsia" w:ascii="宋体" w:hAnsi="宋体"/>
          <w:bCs/>
          <w:szCs w:val="21"/>
        </w:rPr>
        <w:t>1. 中标单位承担独立法人单位应该承担的全部责任,包括综合治刑事、民事、工伤、社保、员工劳保福利等一切责任。如中标人的工作人员在招标单位内发生违法违规行为，所造成一切后果及损失，由中标人承担责任和负责赔偿；</w:t>
      </w:r>
    </w:p>
    <w:p>
      <w:pPr>
        <w:overflowPunct w:val="0"/>
        <w:topLinePunct/>
        <w:spacing w:line="360" w:lineRule="auto"/>
        <w:ind w:firstLine="420" w:firstLineChars="200"/>
        <w:rPr>
          <w:rFonts w:ascii="宋体" w:hAnsi="宋体"/>
          <w:bCs/>
          <w:szCs w:val="21"/>
        </w:rPr>
      </w:pPr>
      <w:r>
        <w:rPr>
          <w:rFonts w:hint="eastAsia" w:ascii="宋体" w:hAnsi="宋体"/>
          <w:bCs/>
          <w:szCs w:val="21"/>
        </w:rPr>
        <w:t>2．中标单位对所管项目的管理方案、组织架构、人员录用等建立健全规章制度和岗位工作标准，在实施或更改前必须经招标人审核。工程师及重要岗位人员须经招标人审查同意后方能任用或变更。经招标人核定后的岗位及人员数量要保证到位，如有减少要经招标人同意；</w:t>
      </w:r>
    </w:p>
    <w:p>
      <w:pPr>
        <w:overflowPunct w:val="0"/>
        <w:topLinePunct/>
        <w:spacing w:line="360" w:lineRule="auto"/>
        <w:ind w:firstLine="420" w:firstLineChars="200"/>
        <w:rPr>
          <w:rFonts w:ascii="宋体" w:hAnsi="宋体"/>
          <w:bCs/>
          <w:szCs w:val="21"/>
        </w:rPr>
      </w:pPr>
      <w:r>
        <w:rPr>
          <w:rFonts w:hint="eastAsia" w:ascii="宋体" w:hAnsi="宋体"/>
          <w:bCs/>
          <w:szCs w:val="21"/>
        </w:rPr>
        <w:t>3．在处理特殊事件和紧急突发事故时，招标人对中标单位的工作人员有直接指挥权；</w:t>
      </w:r>
    </w:p>
    <w:p>
      <w:pPr>
        <w:overflowPunct w:val="0"/>
        <w:topLinePunct/>
        <w:spacing w:line="360" w:lineRule="auto"/>
        <w:ind w:firstLine="420" w:firstLineChars="200"/>
        <w:rPr>
          <w:rFonts w:ascii="宋体" w:hAnsi="宋体"/>
          <w:bCs/>
          <w:szCs w:val="21"/>
        </w:rPr>
      </w:pPr>
      <w:r>
        <w:rPr>
          <w:rFonts w:hint="eastAsia" w:ascii="宋体" w:hAnsi="宋体"/>
          <w:bCs/>
          <w:szCs w:val="21"/>
        </w:rPr>
        <w:t>4．中标单位对所录用人员要严格审核，保证录用人员没有违法犯罪记录、持有所从事岗位的上岗资格，并保持人员相对稳定；</w:t>
      </w:r>
    </w:p>
    <w:p>
      <w:pPr>
        <w:overflowPunct w:val="0"/>
        <w:topLinePunct/>
        <w:spacing w:line="360" w:lineRule="auto"/>
        <w:ind w:firstLine="420" w:firstLineChars="200"/>
        <w:rPr>
          <w:rFonts w:ascii="宋体" w:hAnsi="宋体"/>
          <w:bCs/>
          <w:szCs w:val="21"/>
        </w:rPr>
      </w:pPr>
      <w:r>
        <w:rPr>
          <w:rFonts w:hint="eastAsia" w:ascii="宋体" w:hAnsi="宋体"/>
          <w:bCs/>
          <w:szCs w:val="21"/>
        </w:rPr>
        <w:t>5．中标单位各类人员按岗位着装要求统一着装，佩带工作号牌，言行举止规范，文明礼貌，保持仪容仪表，树立公众形象，作风严谨，公众岗位的工作人员形象、身高要符合服务要求；</w:t>
      </w:r>
    </w:p>
    <w:p>
      <w:pPr>
        <w:overflowPunct w:val="0"/>
        <w:topLinePunct/>
        <w:spacing w:line="360" w:lineRule="auto"/>
        <w:ind w:firstLine="420" w:firstLineChars="200"/>
        <w:rPr>
          <w:rFonts w:ascii="宋体" w:hAnsi="宋体"/>
          <w:bCs/>
          <w:szCs w:val="21"/>
        </w:rPr>
      </w:pPr>
      <w:r>
        <w:rPr>
          <w:rFonts w:hint="eastAsia" w:ascii="宋体" w:hAnsi="宋体"/>
          <w:bCs/>
          <w:szCs w:val="21"/>
        </w:rPr>
        <w:t>6．投标人必须对本项目进行整体投标。未经招标人书面同意，中标方不得将管理责任转让给第三方；</w:t>
      </w:r>
    </w:p>
    <w:p>
      <w:pPr>
        <w:overflowPunct w:val="0"/>
        <w:topLinePunct/>
        <w:spacing w:line="360" w:lineRule="auto"/>
        <w:ind w:firstLine="420" w:firstLineChars="200"/>
        <w:rPr>
          <w:rFonts w:ascii="宋体" w:hAnsi="宋体"/>
          <w:bCs/>
          <w:szCs w:val="21"/>
        </w:rPr>
      </w:pPr>
      <w:r>
        <w:rPr>
          <w:rFonts w:hint="eastAsia" w:ascii="宋体" w:hAnsi="宋体"/>
          <w:bCs/>
          <w:szCs w:val="21"/>
        </w:rPr>
        <w:t>7．合同期满后，中标人与新接管企业须绝对服从招标人的指挥，进行设备清点、登记、移交，确保完好无损，并需将运营管理有关资料整理封存，无条件完整地移交，不得以任何理由、借口缓交或不交。</w:t>
      </w:r>
    </w:p>
    <w:p>
      <w:pPr>
        <w:overflowPunct w:val="0"/>
        <w:topLinePunct/>
        <w:spacing w:line="360" w:lineRule="auto"/>
        <w:ind w:firstLine="420" w:firstLineChars="200"/>
        <w:rPr>
          <w:rFonts w:ascii="宋体" w:hAnsi="宋体"/>
          <w:bCs/>
          <w:szCs w:val="21"/>
        </w:rPr>
      </w:pPr>
      <w:r>
        <w:rPr>
          <w:rFonts w:hint="eastAsia" w:ascii="宋体" w:hAnsi="宋体"/>
          <w:bCs/>
          <w:szCs w:val="21"/>
        </w:rPr>
        <w:t>8、中标单位项目经理必须具有相关专业工程师资质，值班、维护与操作人员具备相关职业资格或者上岗证。</w:t>
      </w:r>
    </w:p>
    <w:p>
      <w:pPr>
        <w:spacing w:line="460" w:lineRule="exact"/>
        <w:ind w:right="-176" w:rightChars="-84" w:firstLine="420" w:firstLineChars="200"/>
        <w:rPr>
          <w:rFonts w:ascii="宋体" w:hAnsi="宋体"/>
          <w:bCs/>
          <w:szCs w:val="21"/>
        </w:rPr>
      </w:pPr>
      <w:r>
        <w:rPr>
          <w:rFonts w:hint="eastAsia" w:ascii="宋体" w:hAnsi="宋体"/>
          <w:bCs/>
          <w:szCs w:val="21"/>
        </w:rPr>
        <w:t>9、中标单位派驻现场人员必须服从招标人的管理要求，包括紧急情况调用中标人的人员。</w:t>
      </w:r>
    </w:p>
    <w:p>
      <w:pPr>
        <w:spacing w:line="460" w:lineRule="exact"/>
        <w:ind w:right="-176" w:rightChars="-84"/>
        <w:jc w:val="center"/>
        <w:rPr>
          <w:rFonts w:ascii="宋体" w:hAnsi="宋体"/>
          <w:b/>
          <w:szCs w:val="21"/>
        </w:rPr>
      </w:pPr>
      <w:r>
        <w:rPr>
          <w:rFonts w:hint="eastAsia" w:ascii="宋体" w:hAnsi="宋体"/>
          <w:b/>
          <w:szCs w:val="21"/>
        </w:rPr>
        <w:t>管理服务质量指标</w:t>
      </w:r>
    </w:p>
    <w:p>
      <w:pPr>
        <w:overflowPunct w:val="0"/>
        <w:topLinePunct/>
        <w:spacing w:line="360" w:lineRule="auto"/>
        <w:ind w:firstLine="420" w:firstLineChars="200"/>
        <w:rPr>
          <w:rFonts w:ascii="宋体" w:hAnsi="宋体"/>
          <w:bCs/>
          <w:szCs w:val="21"/>
        </w:rPr>
      </w:pPr>
      <w:r>
        <w:rPr>
          <w:rFonts w:hint="eastAsia" w:ascii="宋体" w:hAnsi="宋体"/>
          <w:bCs/>
          <w:szCs w:val="21"/>
        </w:rPr>
        <w:t>1．消防设施设备完好率99%以上；</w:t>
      </w:r>
    </w:p>
    <w:p>
      <w:pPr>
        <w:overflowPunct w:val="0"/>
        <w:topLinePunct/>
        <w:spacing w:line="360" w:lineRule="auto"/>
        <w:ind w:firstLine="420" w:firstLineChars="200"/>
        <w:rPr>
          <w:rFonts w:ascii="宋体" w:hAnsi="宋体"/>
          <w:bCs/>
          <w:szCs w:val="21"/>
        </w:rPr>
      </w:pPr>
      <w:r>
        <w:rPr>
          <w:rFonts w:hint="eastAsia" w:ascii="宋体" w:hAnsi="宋体"/>
          <w:bCs/>
          <w:szCs w:val="21"/>
        </w:rPr>
        <w:t>2．违章作业发生次数少于2次，并确保处理率100%；</w:t>
      </w:r>
    </w:p>
    <w:p>
      <w:pPr>
        <w:overflowPunct w:val="0"/>
        <w:topLinePunct/>
        <w:spacing w:line="360" w:lineRule="auto"/>
        <w:ind w:firstLine="420" w:firstLineChars="200"/>
        <w:rPr>
          <w:rFonts w:ascii="宋体" w:hAnsi="宋体"/>
          <w:bCs/>
          <w:szCs w:val="21"/>
        </w:rPr>
      </w:pPr>
      <w:r>
        <w:rPr>
          <w:rFonts w:hint="eastAsia" w:ascii="宋体" w:hAnsi="宋体"/>
          <w:bCs/>
          <w:szCs w:val="21"/>
        </w:rPr>
        <w:t>3．每年有效投诉率少于2宗，并确保处理率100%；</w:t>
      </w:r>
    </w:p>
    <w:p>
      <w:pPr>
        <w:overflowPunct w:val="0"/>
        <w:topLinePunct/>
        <w:spacing w:line="360" w:lineRule="auto"/>
        <w:ind w:firstLine="420" w:firstLineChars="200"/>
        <w:rPr>
          <w:rFonts w:ascii="宋体" w:hAnsi="宋体"/>
          <w:bCs/>
          <w:szCs w:val="21"/>
        </w:rPr>
      </w:pPr>
      <w:r>
        <w:rPr>
          <w:rFonts w:hint="eastAsia" w:ascii="宋体" w:hAnsi="宋体"/>
          <w:bCs/>
          <w:szCs w:val="21"/>
        </w:rPr>
        <w:t>4．业主、管理方和使用单位对管理满意率90%以上；</w:t>
      </w:r>
    </w:p>
    <w:p>
      <w:pPr>
        <w:spacing w:line="360" w:lineRule="auto"/>
        <w:ind w:firstLine="420" w:firstLineChars="200"/>
        <w:rPr>
          <w:rFonts w:ascii="宋体" w:hAnsi="宋体"/>
          <w:bCs/>
          <w:szCs w:val="21"/>
        </w:rPr>
      </w:pPr>
      <w:r>
        <w:rPr>
          <w:rFonts w:hint="eastAsia" w:ascii="宋体" w:hAnsi="宋体"/>
          <w:bCs/>
          <w:szCs w:val="21"/>
        </w:rPr>
        <w:t>5. 必须满足消防主管部门对本项目的管理要求；</w:t>
      </w:r>
    </w:p>
    <w:p>
      <w:pPr>
        <w:spacing w:line="460" w:lineRule="exact"/>
        <w:ind w:right="-176" w:rightChars="-84"/>
        <w:jc w:val="center"/>
        <w:rPr>
          <w:rFonts w:ascii="宋体" w:hAnsi="宋体"/>
          <w:b/>
          <w:szCs w:val="21"/>
        </w:rPr>
      </w:pPr>
      <w:r>
        <w:rPr>
          <w:rFonts w:hint="eastAsia" w:ascii="宋体" w:hAnsi="宋体"/>
          <w:b/>
          <w:szCs w:val="21"/>
        </w:rPr>
        <w:t>考核要求</w:t>
      </w:r>
    </w:p>
    <w:p>
      <w:pPr>
        <w:spacing w:line="360" w:lineRule="auto"/>
        <w:ind w:firstLine="420" w:firstLineChars="200"/>
        <w:rPr>
          <w:rFonts w:ascii="宋体" w:hAnsi="宋体"/>
          <w:bCs/>
          <w:szCs w:val="21"/>
        </w:rPr>
      </w:pPr>
      <w:r>
        <w:rPr>
          <w:rFonts w:hint="eastAsia" w:ascii="宋体" w:hAnsi="宋体"/>
          <w:bCs/>
          <w:szCs w:val="21"/>
        </w:rPr>
        <w:t>考核按季度实施，每季度考核总分为100分。采购人负责组建考核小组定期考核。考核小组将每季考核结果通报服务单位。季度考核累计扣分5分以内给予通报批评、限期整改，5分以上10分以内每扣1分按100元标准累加罚款， 10分以上每扣1分按200元标准累加罚款。罚款金额每季度结算一次，在服务费中进行扣除。服务单位在考核期限内被有效投诉二次以上的或造成外部不良影响的，发生重大责任事故或安全事故，终止合同，并没收履约保证金。</w:t>
      </w:r>
    </w:p>
    <w:tbl>
      <w:tblPr>
        <w:tblStyle w:val="37"/>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4"/>
        <w:gridCol w:w="3805"/>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114" w:type="dxa"/>
          </w:tcPr>
          <w:p>
            <w:pPr>
              <w:pStyle w:val="2"/>
              <w:ind w:firstLine="210"/>
              <w:rPr>
                <w:rFonts w:ascii="宋体" w:hAnsi="宋体" w:eastAsia="宋体" w:cs="宋体"/>
                <w:szCs w:val="21"/>
              </w:rPr>
            </w:pPr>
            <w:r>
              <w:rPr>
                <w:rFonts w:hint="eastAsia" w:ascii="宋体" w:hAnsi="宋体" w:eastAsia="宋体" w:cs="宋体"/>
                <w:szCs w:val="21"/>
              </w:rPr>
              <w:t>考核内容</w:t>
            </w:r>
          </w:p>
        </w:tc>
        <w:tc>
          <w:tcPr>
            <w:tcW w:w="3805" w:type="dxa"/>
          </w:tcPr>
          <w:p>
            <w:pPr>
              <w:pStyle w:val="2"/>
              <w:ind w:firstLine="210"/>
              <w:jc w:val="center"/>
              <w:rPr>
                <w:rFonts w:ascii="宋体" w:hAnsi="宋体" w:eastAsia="宋体" w:cs="宋体"/>
                <w:szCs w:val="21"/>
              </w:rPr>
            </w:pPr>
            <w:r>
              <w:rPr>
                <w:rFonts w:hint="eastAsia" w:ascii="宋体" w:hAnsi="宋体" w:eastAsia="宋体" w:cs="宋体"/>
                <w:szCs w:val="21"/>
              </w:rPr>
              <w:t>目标要求</w:t>
            </w:r>
          </w:p>
        </w:tc>
        <w:tc>
          <w:tcPr>
            <w:tcW w:w="2960" w:type="dxa"/>
          </w:tcPr>
          <w:p>
            <w:pPr>
              <w:pStyle w:val="2"/>
              <w:ind w:firstLine="0" w:firstLineChars="0"/>
              <w:jc w:val="center"/>
              <w:rPr>
                <w:rFonts w:ascii="宋体" w:hAnsi="宋体" w:eastAsia="宋体" w:cs="宋体"/>
                <w:szCs w:val="21"/>
              </w:rPr>
            </w:pPr>
            <w:r>
              <w:rPr>
                <w:rFonts w:hint="eastAsia" w:ascii="宋体" w:hAnsi="宋体" w:eastAsia="宋体" w:cs="宋体"/>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4" w:type="dxa"/>
          </w:tcPr>
          <w:p>
            <w:pPr>
              <w:pStyle w:val="2"/>
              <w:ind w:firstLine="0" w:firstLineChars="0"/>
              <w:rPr>
                <w:rFonts w:ascii="宋体" w:hAnsi="宋体" w:eastAsia="宋体" w:cs="宋体"/>
                <w:szCs w:val="21"/>
              </w:rPr>
            </w:pPr>
            <w:r>
              <w:rPr>
                <w:rFonts w:hint="eastAsia" w:ascii="宋体" w:hAnsi="宋体" w:eastAsia="宋体" w:cs="宋体"/>
                <w:bCs/>
                <w:szCs w:val="21"/>
              </w:rPr>
              <w:t>消防设施设备完好率</w:t>
            </w:r>
          </w:p>
        </w:tc>
        <w:tc>
          <w:tcPr>
            <w:tcW w:w="3805" w:type="dxa"/>
          </w:tcPr>
          <w:p>
            <w:pPr>
              <w:pStyle w:val="2"/>
              <w:ind w:firstLine="0" w:firstLineChars="0"/>
              <w:rPr>
                <w:rFonts w:ascii="宋体" w:hAnsi="宋体" w:eastAsia="宋体" w:cs="宋体"/>
                <w:szCs w:val="21"/>
              </w:rPr>
            </w:pPr>
            <w:r>
              <w:rPr>
                <w:rFonts w:hint="eastAsia" w:ascii="宋体" w:hAnsi="宋体" w:eastAsia="宋体" w:cs="宋体"/>
                <w:bCs/>
                <w:szCs w:val="21"/>
              </w:rPr>
              <w:t>消防设施设备完好率99%以上</w:t>
            </w:r>
          </w:p>
        </w:tc>
        <w:tc>
          <w:tcPr>
            <w:tcW w:w="2960" w:type="dxa"/>
          </w:tcPr>
          <w:p>
            <w:pPr>
              <w:pStyle w:val="2"/>
              <w:ind w:firstLine="0" w:firstLineChars="0"/>
              <w:rPr>
                <w:rFonts w:ascii="宋体" w:hAnsi="宋体" w:eastAsia="宋体" w:cs="宋体"/>
                <w:szCs w:val="21"/>
              </w:rPr>
            </w:pPr>
            <w:r>
              <w:rPr>
                <w:rFonts w:hint="eastAsia" w:ascii="宋体" w:hAnsi="宋体" w:eastAsia="宋体" w:cs="宋体"/>
                <w:szCs w:val="21"/>
              </w:rPr>
              <w:t>随时抽查，发现一次扣除2分。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2114" w:type="dxa"/>
          </w:tcPr>
          <w:p>
            <w:pPr>
              <w:pStyle w:val="2"/>
              <w:ind w:firstLine="0" w:firstLineChars="0"/>
              <w:rPr>
                <w:rFonts w:ascii="宋体" w:hAnsi="宋体" w:eastAsia="宋体" w:cs="宋体"/>
                <w:szCs w:val="21"/>
              </w:rPr>
            </w:pPr>
            <w:r>
              <w:rPr>
                <w:rFonts w:hint="eastAsia" w:ascii="宋体" w:hAnsi="宋体" w:eastAsia="宋体" w:cs="宋体"/>
                <w:bCs/>
                <w:szCs w:val="21"/>
              </w:rPr>
              <w:t>违章作业发生次数</w:t>
            </w:r>
          </w:p>
        </w:tc>
        <w:tc>
          <w:tcPr>
            <w:tcW w:w="3805" w:type="dxa"/>
          </w:tcPr>
          <w:p>
            <w:pPr>
              <w:pStyle w:val="2"/>
              <w:ind w:firstLine="0" w:firstLineChars="0"/>
              <w:rPr>
                <w:rFonts w:ascii="宋体" w:hAnsi="宋体" w:eastAsia="宋体" w:cs="宋体"/>
                <w:szCs w:val="21"/>
              </w:rPr>
            </w:pPr>
            <w:r>
              <w:rPr>
                <w:rFonts w:hint="eastAsia" w:ascii="宋体" w:hAnsi="宋体" w:eastAsia="宋体" w:cs="宋体"/>
                <w:bCs/>
                <w:szCs w:val="21"/>
              </w:rPr>
              <w:t>违章作业发生次数少于2次，并确保处理率100%</w:t>
            </w:r>
          </w:p>
        </w:tc>
        <w:tc>
          <w:tcPr>
            <w:tcW w:w="2960" w:type="dxa"/>
          </w:tcPr>
          <w:p>
            <w:pPr>
              <w:pStyle w:val="2"/>
              <w:ind w:firstLine="0" w:firstLineChars="0"/>
              <w:rPr>
                <w:rFonts w:ascii="宋体" w:hAnsi="宋体" w:eastAsia="宋体" w:cs="宋体"/>
                <w:szCs w:val="21"/>
              </w:rPr>
            </w:pPr>
            <w:r>
              <w:rPr>
                <w:rFonts w:hint="eastAsia" w:ascii="宋体" w:hAnsi="宋体" w:eastAsia="宋体" w:cs="宋体"/>
                <w:szCs w:val="21"/>
              </w:rPr>
              <w:t>随时抽查+季度考核</w:t>
            </w:r>
          </w:p>
          <w:p>
            <w:pPr>
              <w:pStyle w:val="2"/>
              <w:ind w:firstLine="0" w:firstLineChars="0"/>
              <w:rPr>
                <w:rFonts w:ascii="宋体" w:hAnsi="宋体" w:eastAsia="宋体" w:cs="宋体"/>
                <w:szCs w:val="21"/>
              </w:rPr>
            </w:pPr>
            <w:r>
              <w:rPr>
                <w:rFonts w:hint="eastAsia" w:ascii="宋体" w:hAnsi="宋体" w:eastAsia="宋体" w:cs="宋体"/>
                <w:szCs w:val="21"/>
              </w:rPr>
              <w:t>发现一次扣除4分。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4" w:type="dxa"/>
          </w:tcPr>
          <w:p>
            <w:pPr>
              <w:pStyle w:val="2"/>
              <w:ind w:firstLine="0" w:firstLineChars="0"/>
              <w:rPr>
                <w:rFonts w:ascii="宋体" w:hAnsi="宋体" w:eastAsia="宋体" w:cs="宋体"/>
                <w:szCs w:val="21"/>
              </w:rPr>
            </w:pPr>
            <w:r>
              <w:rPr>
                <w:rFonts w:hint="eastAsia" w:ascii="宋体" w:hAnsi="宋体" w:eastAsia="宋体" w:cs="宋体"/>
                <w:bCs/>
                <w:szCs w:val="21"/>
              </w:rPr>
              <w:t>每年有效投诉率</w:t>
            </w:r>
          </w:p>
        </w:tc>
        <w:tc>
          <w:tcPr>
            <w:tcW w:w="3805" w:type="dxa"/>
          </w:tcPr>
          <w:p>
            <w:pPr>
              <w:pStyle w:val="2"/>
              <w:ind w:firstLine="0" w:firstLineChars="0"/>
              <w:rPr>
                <w:rFonts w:ascii="宋体" w:hAnsi="宋体" w:eastAsia="宋体" w:cs="宋体"/>
                <w:szCs w:val="21"/>
              </w:rPr>
            </w:pPr>
            <w:r>
              <w:rPr>
                <w:rFonts w:hint="eastAsia" w:ascii="宋体" w:hAnsi="宋体" w:eastAsia="宋体" w:cs="宋体"/>
                <w:bCs/>
                <w:szCs w:val="21"/>
              </w:rPr>
              <w:t>每年有效投诉率少于2宗，并确保处理率100%</w:t>
            </w:r>
          </w:p>
        </w:tc>
        <w:tc>
          <w:tcPr>
            <w:tcW w:w="2960" w:type="dxa"/>
          </w:tcPr>
          <w:p>
            <w:pPr>
              <w:pStyle w:val="2"/>
              <w:ind w:firstLine="0" w:firstLineChars="0"/>
              <w:rPr>
                <w:rFonts w:ascii="宋体" w:hAnsi="宋体" w:eastAsia="宋体" w:cs="宋体"/>
                <w:szCs w:val="21"/>
              </w:rPr>
            </w:pPr>
            <w:r>
              <w:rPr>
                <w:rFonts w:hint="eastAsia" w:ascii="宋体" w:hAnsi="宋体" w:eastAsia="宋体" w:cs="宋体"/>
                <w:szCs w:val="21"/>
              </w:rPr>
              <w:t>有一宗投诉扣除6分。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4" w:type="dxa"/>
            <w:vAlign w:val="center"/>
          </w:tcPr>
          <w:p>
            <w:pPr>
              <w:rPr>
                <w:rFonts w:ascii="宋体" w:hAnsi="宋体" w:cs="宋体"/>
                <w:szCs w:val="21"/>
              </w:rPr>
            </w:pPr>
            <w:r>
              <w:rPr>
                <w:rFonts w:hint="eastAsia" w:ascii="宋体" w:hAnsi="宋体" w:cs="宋体"/>
                <w:bCs/>
                <w:szCs w:val="21"/>
              </w:rPr>
              <w:t>火灾自动报警系统维保</w:t>
            </w:r>
          </w:p>
        </w:tc>
        <w:tc>
          <w:tcPr>
            <w:tcW w:w="3805" w:type="dxa"/>
            <w:vAlign w:val="center"/>
          </w:tcPr>
          <w:p>
            <w:pPr>
              <w:pStyle w:val="2"/>
              <w:ind w:firstLine="0" w:firstLineChars="0"/>
              <w:jc w:val="left"/>
              <w:rPr>
                <w:rFonts w:ascii="宋体" w:hAnsi="宋体" w:eastAsia="宋体" w:cs="宋体"/>
                <w:szCs w:val="21"/>
              </w:rPr>
            </w:pPr>
            <w:r>
              <w:rPr>
                <w:rFonts w:hint="eastAsia" w:ascii="宋体" w:hAnsi="宋体" w:eastAsia="宋体" w:cs="宋体"/>
                <w:szCs w:val="21"/>
              </w:rPr>
              <w:t>根据采购内容要求进行维保</w:t>
            </w:r>
          </w:p>
        </w:tc>
        <w:tc>
          <w:tcPr>
            <w:tcW w:w="2960" w:type="dxa"/>
          </w:tcPr>
          <w:p>
            <w:pPr>
              <w:pStyle w:val="2"/>
              <w:ind w:firstLine="0" w:firstLineChars="0"/>
              <w:rPr>
                <w:rFonts w:ascii="宋体" w:hAnsi="宋体" w:eastAsia="宋体" w:cs="宋体"/>
                <w:szCs w:val="21"/>
              </w:rPr>
            </w:pPr>
            <w:r>
              <w:rPr>
                <w:rFonts w:hint="eastAsia" w:ascii="宋体" w:hAnsi="宋体" w:eastAsia="宋体" w:cs="宋体"/>
                <w:szCs w:val="21"/>
              </w:rPr>
              <w:t>随时抽查，发现不满足一项扣0.5分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4" w:type="dxa"/>
          </w:tcPr>
          <w:p>
            <w:pPr>
              <w:rPr>
                <w:rFonts w:ascii="宋体" w:hAnsi="宋体" w:cs="宋体"/>
                <w:szCs w:val="21"/>
              </w:rPr>
            </w:pPr>
            <w:r>
              <w:rPr>
                <w:rFonts w:hint="eastAsia" w:ascii="宋体" w:hAnsi="宋体" w:cs="宋体"/>
                <w:bCs/>
                <w:szCs w:val="21"/>
              </w:rPr>
              <w:t>自动喷水灭火系统维保</w:t>
            </w:r>
          </w:p>
        </w:tc>
        <w:tc>
          <w:tcPr>
            <w:tcW w:w="3805" w:type="dxa"/>
            <w:vAlign w:val="center"/>
          </w:tcPr>
          <w:p>
            <w:pPr>
              <w:rPr>
                <w:rFonts w:ascii="宋体" w:hAnsi="宋体" w:cs="宋体"/>
                <w:szCs w:val="21"/>
              </w:rPr>
            </w:pPr>
            <w:r>
              <w:rPr>
                <w:rFonts w:hint="eastAsia" w:ascii="宋体" w:hAnsi="宋体" w:cs="宋体"/>
                <w:szCs w:val="21"/>
              </w:rPr>
              <w:t>根据采购内容要求进行维保</w:t>
            </w:r>
          </w:p>
        </w:tc>
        <w:tc>
          <w:tcPr>
            <w:tcW w:w="2960" w:type="dxa"/>
          </w:tcPr>
          <w:p>
            <w:pPr>
              <w:pStyle w:val="2"/>
              <w:ind w:firstLine="0" w:firstLineChars="0"/>
              <w:rPr>
                <w:rFonts w:ascii="宋体" w:hAnsi="宋体" w:eastAsia="宋体" w:cs="宋体"/>
                <w:szCs w:val="21"/>
              </w:rPr>
            </w:pPr>
            <w:r>
              <w:rPr>
                <w:rFonts w:hint="eastAsia" w:ascii="宋体" w:hAnsi="宋体" w:eastAsia="宋体" w:cs="宋体"/>
                <w:szCs w:val="21"/>
              </w:rPr>
              <w:t>随时抽查，发现不满足一项扣0.5分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114" w:type="dxa"/>
          </w:tcPr>
          <w:p>
            <w:pPr>
              <w:rPr>
                <w:rFonts w:ascii="宋体" w:hAnsi="宋体" w:cs="宋体"/>
                <w:szCs w:val="21"/>
              </w:rPr>
            </w:pPr>
            <w:r>
              <w:rPr>
                <w:rFonts w:hint="eastAsia" w:ascii="宋体" w:hAnsi="宋体" w:cs="宋体"/>
                <w:bCs/>
                <w:szCs w:val="21"/>
              </w:rPr>
              <w:t>消火栓系统维保</w:t>
            </w:r>
          </w:p>
        </w:tc>
        <w:tc>
          <w:tcPr>
            <w:tcW w:w="3805" w:type="dxa"/>
            <w:vAlign w:val="center"/>
          </w:tcPr>
          <w:p>
            <w:pPr>
              <w:rPr>
                <w:rFonts w:ascii="宋体" w:hAnsi="宋体" w:cs="宋体"/>
                <w:szCs w:val="21"/>
              </w:rPr>
            </w:pPr>
            <w:r>
              <w:rPr>
                <w:rFonts w:hint="eastAsia" w:ascii="宋体" w:hAnsi="宋体" w:cs="宋体"/>
                <w:szCs w:val="21"/>
              </w:rPr>
              <w:t>根据采购内容要求进行维保</w:t>
            </w:r>
          </w:p>
        </w:tc>
        <w:tc>
          <w:tcPr>
            <w:tcW w:w="2960" w:type="dxa"/>
          </w:tcPr>
          <w:p>
            <w:pPr>
              <w:rPr>
                <w:rFonts w:ascii="宋体" w:hAnsi="宋体" w:cs="宋体"/>
                <w:szCs w:val="21"/>
              </w:rPr>
            </w:pPr>
            <w:r>
              <w:rPr>
                <w:rFonts w:hint="eastAsia" w:ascii="宋体" w:hAnsi="宋体" w:cs="宋体"/>
                <w:szCs w:val="21"/>
              </w:rPr>
              <w:t>随时抽查，发现不满足一项扣1分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4" w:type="dxa"/>
          </w:tcPr>
          <w:p>
            <w:pPr>
              <w:rPr>
                <w:rFonts w:ascii="宋体" w:hAnsi="宋体" w:cs="宋体"/>
                <w:szCs w:val="21"/>
              </w:rPr>
            </w:pPr>
            <w:r>
              <w:rPr>
                <w:rFonts w:hint="eastAsia" w:ascii="宋体" w:hAnsi="宋体" w:cs="宋体"/>
                <w:bCs/>
                <w:szCs w:val="21"/>
              </w:rPr>
              <w:t>防排烟系统维保</w:t>
            </w:r>
          </w:p>
        </w:tc>
        <w:tc>
          <w:tcPr>
            <w:tcW w:w="3805" w:type="dxa"/>
            <w:vAlign w:val="center"/>
          </w:tcPr>
          <w:p>
            <w:pPr>
              <w:rPr>
                <w:rFonts w:ascii="宋体" w:hAnsi="宋体" w:cs="宋体"/>
                <w:szCs w:val="21"/>
              </w:rPr>
            </w:pPr>
            <w:r>
              <w:rPr>
                <w:rFonts w:hint="eastAsia" w:ascii="宋体" w:hAnsi="宋体" w:cs="宋体"/>
                <w:szCs w:val="21"/>
              </w:rPr>
              <w:t>根据采购内容要求进行维保</w:t>
            </w:r>
          </w:p>
        </w:tc>
        <w:tc>
          <w:tcPr>
            <w:tcW w:w="2960" w:type="dxa"/>
          </w:tcPr>
          <w:p>
            <w:pPr>
              <w:pStyle w:val="2"/>
              <w:ind w:firstLine="0" w:firstLineChars="0"/>
              <w:rPr>
                <w:rFonts w:ascii="宋体" w:hAnsi="宋体" w:eastAsia="宋体" w:cs="宋体"/>
                <w:szCs w:val="21"/>
              </w:rPr>
            </w:pPr>
            <w:r>
              <w:rPr>
                <w:rFonts w:hint="eastAsia" w:ascii="宋体" w:hAnsi="宋体" w:eastAsia="宋体" w:cs="宋体"/>
                <w:szCs w:val="21"/>
              </w:rPr>
              <w:t>随时抽查，发现不满足一项扣1分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114" w:type="dxa"/>
          </w:tcPr>
          <w:p>
            <w:pPr>
              <w:rPr>
                <w:rFonts w:ascii="宋体" w:hAnsi="宋体" w:cs="宋体"/>
                <w:szCs w:val="21"/>
              </w:rPr>
            </w:pPr>
            <w:r>
              <w:rPr>
                <w:rFonts w:hint="eastAsia" w:ascii="宋体" w:hAnsi="宋体" w:cs="宋体"/>
                <w:bCs/>
                <w:szCs w:val="21"/>
              </w:rPr>
              <w:t>防火分区维保</w:t>
            </w:r>
          </w:p>
        </w:tc>
        <w:tc>
          <w:tcPr>
            <w:tcW w:w="3805" w:type="dxa"/>
            <w:vAlign w:val="center"/>
          </w:tcPr>
          <w:p>
            <w:pPr>
              <w:rPr>
                <w:rFonts w:ascii="宋体" w:hAnsi="宋体" w:cs="宋体"/>
                <w:szCs w:val="21"/>
              </w:rPr>
            </w:pPr>
            <w:r>
              <w:rPr>
                <w:rFonts w:hint="eastAsia" w:ascii="宋体" w:hAnsi="宋体" w:cs="宋体"/>
                <w:szCs w:val="21"/>
              </w:rPr>
              <w:t>根据采购内容要求进行维保</w:t>
            </w:r>
          </w:p>
        </w:tc>
        <w:tc>
          <w:tcPr>
            <w:tcW w:w="2960" w:type="dxa"/>
          </w:tcPr>
          <w:p>
            <w:pPr>
              <w:rPr>
                <w:rFonts w:ascii="宋体" w:hAnsi="宋体" w:cs="宋体"/>
                <w:szCs w:val="21"/>
              </w:rPr>
            </w:pPr>
            <w:r>
              <w:rPr>
                <w:rFonts w:hint="eastAsia" w:ascii="宋体" w:hAnsi="宋体" w:cs="宋体"/>
                <w:szCs w:val="21"/>
              </w:rPr>
              <w:t>随时抽查，发现不满足一项扣0.5分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4" w:type="dxa"/>
          </w:tcPr>
          <w:p>
            <w:pPr>
              <w:rPr>
                <w:rFonts w:ascii="宋体" w:hAnsi="宋体" w:cs="宋体"/>
                <w:szCs w:val="21"/>
              </w:rPr>
            </w:pPr>
            <w:r>
              <w:rPr>
                <w:rFonts w:hint="eastAsia" w:ascii="宋体" w:hAnsi="宋体" w:cs="宋体"/>
                <w:bCs/>
                <w:szCs w:val="21"/>
              </w:rPr>
              <w:t>消防广播系统维保</w:t>
            </w:r>
          </w:p>
        </w:tc>
        <w:tc>
          <w:tcPr>
            <w:tcW w:w="3805" w:type="dxa"/>
            <w:vAlign w:val="center"/>
          </w:tcPr>
          <w:p>
            <w:pPr>
              <w:rPr>
                <w:rFonts w:ascii="宋体" w:hAnsi="宋体" w:cs="宋体"/>
                <w:szCs w:val="21"/>
              </w:rPr>
            </w:pPr>
            <w:r>
              <w:rPr>
                <w:rFonts w:hint="eastAsia" w:ascii="宋体" w:hAnsi="宋体" w:cs="宋体"/>
                <w:szCs w:val="21"/>
              </w:rPr>
              <w:t>根据采购内容要求进行维保</w:t>
            </w:r>
          </w:p>
        </w:tc>
        <w:tc>
          <w:tcPr>
            <w:tcW w:w="2960" w:type="dxa"/>
          </w:tcPr>
          <w:p>
            <w:pPr>
              <w:pStyle w:val="2"/>
              <w:ind w:firstLine="0" w:firstLineChars="0"/>
              <w:rPr>
                <w:rFonts w:ascii="宋体" w:hAnsi="宋体" w:eastAsia="宋体" w:cs="宋体"/>
                <w:szCs w:val="21"/>
              </w:rPr>
            </w:pPr>
            <w:r>
              <w:rPr>
                <w:rFonts w:hint="eastAsia" w:ascii="宋体" w:hAnsi="宋体" w:eastAsia="宋体" w:cs="宋体"/>
                <w:szCs w:val="21"/>
              </w:rPr>
              <w:t>随时抽查，发现不满足一项扣0.5分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114" w:type="dxa"/>
          </w:tcPr>
          <w:p>
            <w:pPr>
              <w:rPr>
                <w:rFonts w:ascii="宋体" w:hAnsi="宋体" w:cs="宋体"/>
                <w:szCs w:val="21"/>
              </w:rPr>
            </w:pPr>
            <w:r>
              <w:rPr>
                <w:rFonts w:hint="eastAsia" w:ascii="宋体" w:hAnsi="宋体" w:cs="宋体"/>
                <w:bCs/>
                <w:szCs w:val="21"/>
              </w:rPr>
              <w:t>应急照明疏散指示维保</w:t>
            </w:r>
          </w:p>
        </w:tc>
        <w:tc>
          <w:tcPr>
            <w:tcW w:w="3805" w:type="dxa"/>
            <w:vAlign w:val="center"/>
          </w:tcPr>
          <w:p>
            <w:pPr>
              <w:rPr>
                <w:rFonts w:ascii="宋体" w:hAnsi="宋体" w:cs="宋体"/>
                <w:szCs w:val="21"/>
              </w:rPr>
            </w:pPr>
            <w:r>
              <w:rPr>
                <w:rFonts w:hint="eastAsia" w:ascii="宋体" w:hAnsi="宋体" w:cs="宋体"/>
                <w:szCs w:val="21"/>
              </w:rPr>
              <w:t>根据采购内容要求进行维保</w:t>
            </w:r>
          </w:p>
        </w:tc>
        <w:tc>
          <w:tcPr>
            <w:tcW w:w="2960" w:type="dxa"/>
          </w:tcPr>
          <w:p>
            <w:pPr>
              <w:rPr>
                <w:rFonts w:ascii="宋体" w:hAnsi="宋体" w:cs="宋体"/>
                <w:szCs w:val="21"/>
              </w:rPr>
            </w:pPr>
            <w:r>
              <w:rPr>
                <w:rFonts w:hint="eastAsia" w:ascii="宋体" w:hAnsi="宋体" w:cs="宋体"/>
                <w:szCs w:val="21"/>
              </w:rPr>
              <w:t>随时抽查，发现不满足一项扣0.5分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114" w:type="dxa"/>
          </w:tcPr>
          <w:p>
            <w:pPr>
              <w:rPr>
                <w:rFonts w:ascii="宋体" w:hAnsi="宋体" w:cs="宋体"/>
                <w:bCs/>
                <w:szCs w:val="21"/>
              </w:rPr>
            </w:pPr>
            <w:r>
              <w:rPr>
                <w:rFonts w:hint="eastAsia" w:ascii="宋体" w:hAnsi="宋体" w:cs="宋体"/>
                <w:bCs/>
                <w:szCs w:val="21"/>
              </w:rPr>
              <w:t>故障处理具体要求</w:t>
            </w:r>
          </w:p>
        </w:tc>
        <w:tc>
          <w:tcPr>
            <w:tcW w:w="3805" w:type="dxa"/>
            <w:vAlign w:val="center"/>
          </w:tcPr>
          <w:p>
            <w:pPr>
              <w:rPr>
                <w:rFonts w:ascii="宋体" w:hAnsi="宋体" w:cs="宋体"/>
                <w:szCs w:val="21"/>
              </w:rPr>
            </w:pPr>
            <w:r>
              <w:rPr>
                <w:rFonts w:hint="eastAsia" w:ascii="宋体" w:hAnsi="宋体" w:cs="宋体"/>
                <w:szCs w:val="21"/>
              </w:rPr>
              <w:t>根据采购内容要求进行</w:t>
            </w:r>
          </w:p>
        </w:tc>
        <w:tc>
          <w:tcPr>
            <w:tcW w:w="2960" w:type="dxa"/>
          </w:tcPr>
          <w:p>
            <w:pPr>
              <w:rPr>
                <w:rFonts w:ascii="宋体" w:hAnsi="宋体" w:cs="宋体"/>
                <w:szCs w:val="21"/>
              </w:rPr>
            </w:pPr>
            <w:r>
              <w:rPr>
                <w:rFonts w:hint="eastAsia" w:ascii="宋体" w:hAnsi="宋体" w:cs="宋体"/>
                <w:szCs w:val="21"/>
              </w:rPr>
              <w:t>随时抽查，发现不满足一项扣0.5分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114" w:type="dxa"/>
          </w:tcPr>
          <w:p>
            <w:pPr>
              <w:pStyle w:val="2"/>
              <w:ind w:firstLine="0" w:firstLineChars="0"/>
              <w:rPr>
                <w:rFonts w:ascii="宋体" w:hAnsi="宋体" w:eastAsia="宋体" w:cs="宋体"/>
                <w:szCs w:val="21"/>
              </w:rPr>
            </w:pPr>
            <w:r>
              <w:rPr>
                <w:rFonts w:hint="eastAsia" w:ascii="宋体" w:hAnsi="宋体" w:eastAsia="宋体" w:cs="宋体"/>
                <w:bCs/>
                <w:szCs w:val="21"/>
              </w:rPr>
              <w:t>项目的管理服务要求</w:t>
            </w:r>
          </w:p>
        </w:tc>
        <w:tc>
          <w:tcPr>
            <w:tcW w:w="3805" w:type="dxa"/>
            <w:vAlign w:val="center"/>
          </w:tcPr>
          <w:p>
            <w:pPr>
              <w:rPr>
                <w:rFonts w:ascii="宋体" w:hAnsi="宋体" w:cs="宋体"/>
                <w:szCs w:val="21"/>
              </w:rPr>
            </w:pPr>
            <w:r>
              <w:rPr>
                <w:rFonts w:hint="eastAsia" w:ascii="宋体" w:hAnsi="宋体" w:cs="宋体"/>
                <w:szCs w:val="21"/>
              </w:rPr>
              <w:t>人员在岗在位情况及采购内容要求进行</w:t>
            </w:r>
          </w:p>
        </w:tc>
        <w:tc>
          <w:tcPr>
            <w:tcW w:w="2960" w:type="dxa"/>
          </w:tcPr>
          <w:p>
            <w:pPr>
              <w:rPr>
                <w:rFonts w:ascii="宋体" w:hAnsi="宋体" w:cs="宋体"/>
                <w:szCs w:val="21"/>
              </w:rPr>
            </w:pPr>
            <w:r>
              <w:rPr>
                <w:rFonts w:hint="eastAsia" w:ascii="宋体" w:hAnsi="宋体" w:cs="宋体"/>
                <w:szCs w:val="21"/>
              </w:rPr>
              <w:t>随时抽查，发现不满足一项扣0.5分</w:t>
            </w:r>
          </w:p>
        </w:tc>
      </w:tr>
    </w:tbl>
    <w:p>
      <w:pPr>
        <w:pStyle w:val="27"/>
        <w:rPr>
          <w:rFonts w:cs="宋体"/>
        </w:rPr>
      </w:pPr>
    </w:p>
    <w:p>
      <w:pPr>
        <w:pStyle w:val="27"/>
        <w:jc w:val="center"/>
        <w:rPr>
          <w:rFonts w:cs="宋体"/>
          <w:sz w:val="24"/>
          <w:szCs w:val="24"/>
        </w:rPr>
      </w:pPr>
    </w:p>
    <w:p>
      <w:pPr>
        <w:pStyle w:val="27"/>
        <w:jc w:val="center"/>
        <w:rPr>
          <w:sz w:val="24"/>
          <w:szCs w:val="24"/>
        </w:rPr>
      </w:pPr>
      <w:r>
        <w:rPr>
          <w:rFonts w:hint="eastAsia" w:cs="宋体"/>
          <w:sz w:val="24"/>
          <w:szCs w:val="24"/>
        </w:rPr>
        <w:t>（三）停车库（场）、机械车库设备维保要求</w:t>
      </w:r>
    </w:p>
    <w:p/>
    <w:p>
      <w:pPr>
        <w:autoSpaceDE w:val="0"/>
        <w:autoSpaceDN w:val="0"/>
        <w:adjustRightInd w:val="0"/>
        <w:spacing w:line="360" w:lineRule="auto"/>
        <w:ind w:left="3990"/>
        <w:jc w:val="both"/>
        <w:textAlignment w:val="bottom"/>
        <w:rPr>
          <w:rFonts w:ascii="宋体" w:hAnsi="宋体" w:cs="宋体"/>
          <w:b/>
          <w:bCs/>
          <w:sz w:val="24"/>
          <w:szCs w:val="24"/>
        </w:rPr>
      </w:pPr>
      <w:r>
        <w:rPr>
          <w:rFonts w:hint="eastAsia" w:ascii="宋体" w:hAnsi="宋体" w:cs="宋体"/>
          <w:b/>
          <w:bCs/>
          <w:sz w:val="24"/>
          <w:szCs w:val="24"/>
        </w:rPr>
        <w:t>采购要求</w:t>
      </w:r>
    </w:p>
    <w:p>
      <w:pPr>
        <w:pStyle w:val="33"/>
        <w:shd w:val="clear" w:color="auto" w:fill="FFFFFF"/>
        <w:spacing w:before="0" w:beforeAutospacing="0" w:after="0" w:afterAutospacing="0" w:line="54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（一）维保范围和模式：龙湾区行政服务中心地下室541个立体机械车位。全包服务模式，</w:t>
      </w:r>
    </w:p>
    <w:p>
      <w:pPr>
        <w:spacing w:line="540" w:lineRule="exact"/>
        <w:ind w:firstLine="560"/>
        <w:rPr>
          <w:rFonts w:ascii="宋体" w:hAnsi="宋体" w:cs="宋体"/>
          <w:szCs w:val="21"/>
        </w:rPr>
      </w:pPr>
      <w:r>
        <w:rPr>
          <w:rFonts w:hint="eastAsia" w:ascii="宋体" w:hAnsi="宋体" w:cs="宋体"/>
          <w:szCs w:val="21"/>
        </w:rPr>
        <w:t>包含技术服务费、设备日常维护及故障维修处理及车库运行过程中因零部件自然损耗或者损坏引起的更换、购置配件的费用，不含人为损坏，但维保单位人为因素造成的除外。</w:t>
      </w:r>
    </w:p>
    <w:p>
      <w:pPr>
        <w:pStyle w:val="33"/>
        <w:shd w:val="clear" w:color="auto" w:fill="FFFFFF"/>
        <w:spacing w:before="0" w:beforeAutospacing="0" w:after="0" w:afterAutospacing="0" w:line="540" w:lineRule="exact"/>
        <w:ind w:firstLine="480"/>
        <w:rPr>
          <w:rFonts w:ascii="宋体" w:hAnsi="宋体" w:eastAsia="宋体" w:cs="宋体"/>
          <w:color w:val="auto"/>
          <w:sz w:val="21"/>
          <w:szCs w:val="21"/>
        </w:rPr>
      </w:pPr>
      <w:r>
        <w:rPr>
          <w:rFonts w:hint="eastAsia" w:ascii="宋体" w:hAnsi="宋体" w:eastAsia="宋体" w:cs="宋体"/>
          <w:color w:val="auto"/>
          <w:sz w:val="21"/>
          <w:szCs w:val="21"/>
        </w:rPr>
        <w:t>（二）维保要求：</w:t>
      </w:r>
    </w:p>
    <w:p>
      <w:pPr>
        <w:pStyle w:val="33"/>
        <w:shd w:val="clear" w:color="auto" w:fill="FFFFFF"/>
        <w:spacing w:before="0" w:beforeAutospacing="0" w:after="0" w:afterAutospacing="0" w:line="540" w:lineRule="exact"/>
        <w:ind w:firstLine="480"/>
        <w:rPr>
          <w:rFonts w:ascii="宋体" w:hAnsi="宋体" w:eastAsia="宋体" w:cs="宋体"/>
          <w:color w:val="auto"/>
          <w:sz w:val="21"/>
          <w:szCs w:val="21"/>
        </w:rPr>
      </w:pPr>
      <w:r>
        <w:rPr>
          <w:rFonts w:hint="eastAsia" w:ascii="宋体" w:hAnsi="宋体" w:eastAsia="宋体" w:cs="宋体"/>
          <w:color w:val="auto"/>
          <w:sz w:val="21"/>
          <w:szCs w:val="21"/>
        </w:rPr>
        <w:t>1.全年365天响应服务，全天24小时应急处理，保证在报修后15分钟内到达现场，进行应急处理的救援人员须在二人以上,应急救援人员须持证上岗。</w:t>
      </w:r>
    </w:p>
    <w:p>
      <w:pPr>
        <w:pStyle w:val="33"/>
        <w:shd w:val="clear" w:color="auto" w:fill="FFFFFF"/>
        <w:spacing w:before="0" w:beforeAutospacing="0" w:after="0" w:afterAutospacing="0" w:line="540" w:lineRule="exact"/>
        <w:ind w:firstLine="480"/>
        <w:rPr>
          <w:rFonts w:ascii="宋体" w:hAnsi="宋体" w:eastAsia="宋体" w:cs="宋体"/>
          <w:color w:val="auto"/>
          <w:sz w:val="21"/>
          <w:szCs w:val="21"/>
        </w:rPr>
      </w:pPr>
      <w:r>
        <w:rPr>
          <w:rFonts w:hint="eastAsia" w:ascii="宋体" w:hAnsi="宋体" w:eastAsia="宋体" w:cs="宋体"/>
          <w:color w:val="auto"/>
          <w:sz w:val="21"/>
          <w:szCs w:val="21"/>
        </w:rPr>
        <w:t>2.每月不少于2次保养，有巡检记录，并有业主方负责人签字；</w:t>
      </w:r>
    </w:p>
    <w:p>
      <w:pPr>
        <w:pStyle w:val="33"/>
        <w:shd w:val="clear" w:color="auto" w:fill="FFFFFF"/>
        <w:spacing w:before="0" w:beforeAutospacing="0" w:after="0" w:afterAutospacing="0" w:line="540" w:lineRule="exact"/>
        <w:ind w:firstLine="480"/>
        <w:rPr>
          <w:rFonts w:ascii="宋体" w:hAnsi="宋体" w:eastAsia="宋体" w:cs="宋体"/>
          <w:color w:val="auto"/>
          <w:sz w:val="21"/>
          <w:szCs w:val="21"/>
        </w:rPr>
      </w:pPr>
      <w:r>
        <w:rPr>
          <w:rFonts w:hint="eastAsia" w:ascii="宋体" w:hAnsi="宋体" w:eastAsia="宋体" w:cs="宋体"/>
          <w:color w:val="auto"/>
          <w:sz w:val="21"/>
          <w:szCs w:val="21"/>
        </w:rPr>
        <w:t>3.保证所提供的零配件为所维保立体机械车位的正品配件，特殊零配件（原厂配件）的更换在48小时内完成，常用零配件随时更换；</w:t>
      </w:r>
    </w:p>
    <w:p>
      <w:pPr>
        <w:pStyle w:val="33"/>
        <w:shd w:val="clear" w:color="auto" w:fill="FFFFFF"/>
        <w:spacing w:before="0" w:beforeAutospacing="0" w:after="0" w:afterAutospacing="0" w:line="540" w:lineRule="exact"/>
        <w:ind w:firstLine="480"/>
        <w:rPr>
          <w:rFonts w:ascii="宋体" w:hAnsi="宋体" w:eastAsia="宋体" w:cs="宋体"/>
          <w:color w:val="auto"/>
          <w:sz w:val="21"/>
          <w:szCs w:val="21"/>
        </w:rPr>
      </w:pPr>
      <w:r>
        <w:rPr>
          <w:rFonts w:hint="eastAsia" w:ascii="宋体" w:hAnsi="宋体" w:eastAsia="宋体" w:cs="宋体"/>
          <w:color w:val="auto"/>
          <w:sz w:val="21"/>
          <w:szCs w:val="21"/>
        </w:rPr>
        <w:t>4.配合完成立体机械车位年检、大修及升级改造工作；</w:t>
      </w:r>
    </w:p>
    <w:p>
      <w:pPr>
        <w:pStyle w:val="33"/>
        <w:shd w:val="clear" w:color="auto" w:fill="FFFFFF"/>
        <w:spacing w:before="0" w:beforeAutospacing="0" w:after="0" w:afterAutospacing="0" w:line="540" w:lineRule="exact"/>
        <w:ind w:firstLine="480"/>
        <w:rPr>
          <w:rFonts w:ascii="宋体" w:hAnsi="宋体" w:eastAsia="宋体" w:cs="宋体"/>
          <w:color w:val="auto"/>
          <w:sz w:val="21"/>
          <w:szCs w:val="21"/>
        </w:rPr>
      </w:pPr>
      <w:r>
        <w:rPr>
          <w:rFonts w:hint="eastAsia" w:ascii="宋体" w:hAnsi="宋体" w:eastAsia="宋体" w:cs="宋体"/>
          <w:color w:val="auto"/>
          <w:sz w:val="21"/>
          <w:szCs w:val="21"/>
        </w:rPr>
        <w:t>5.配合使用单位完成机械车库软件升级；</w:t>
      </w:r>
    </w:p>
    <w:p>
      <w:pPr>
        <w:pStyle w:val="33"/>
        <w:shd w:val="clear" w:color="auto" w:fill="FFFFFF"/>
        <w:spacing w:before="0" w:beforeAutospacing="0" w:after="0" w:afterAutospacing="0" w:line="540" w:lineRule="exact"/>
        <w:ind w:firstLine="480"/>
        <w:rPr>
          <w:rFonts w:ascii="宋体" w:hAnsi="宋体" w:eastAsia="宋体" w:cs="宋体"/>
          <w:color w:val="auto"/>
          <w:sz w:val="21"/>
          <w:szCs w:val="21"/>
        </w:rPr>
      </w:pPr>
      <w:r>
        <w:rPr>
          <w:rFonts w:hint="eastAsia" w:ascii="宋体" w:hAnsi="宋体" w:eastAsia="宋体" w:cs="宋体"/>
          <w:color w:val="auto"/>
          <w:sz w:val="21"/>
          <w:szCs w:val="21"/>
        </w:rPr>
        <w:t>6.按规定购买特种设备责任险。</w:t>
      </w:r>
    </w:p>
    <w:p>
      <w:pPr>
        <w:pStyle w:val="33"/>
        <w:shd w:val="clear" w:color="auto" w:fill="FFFFFF"/>
        <w:spacing w:before="0" w:beforeAutospacing="0" w:after="0" w:afterAutospacing="0" w:line="540" w:lineRule="exact"/>
        <w:ind w:firstLine="480"/>
        <w:rPr>
          <w:rFonts w:ascii="宋体" w:hAnsi="宋体" w:eastAsia="宋体" w:cs="宋体"/>
          <w:color w:val="auto"/>
          <w:sz w:val="21"/>
          <w:szCs w:val="21"/>
        </w:rPr>
      </w:pPr>
      <w:r>
        <w:rPr>
          <w:rFonts w:hint="eastAsia" w:ascii="宋体" w:hAnsi="宋体" w:eastAsia="宋体" w:cs="宋体"/>
          <w:color w:val="auto"/>
          <w:sz w:val="21"/>
          <w:szCs w:val="21"/>
        </w:rPr>
        <w:t>（三）例行维护保养时间与内容</w:t>
      </w:r>
    </w:p>
    <w:p>
      <w:pPr>
        <w:spacing w:line="540" w:lineRule="exact"/>
        <w:ind w:firstLine="420" w:firstLineChars="200"/>
        <w:rPr>
          <w:rFonts w:ascii="宋体" w:hAnsi="宋体" w:cs="宋体"/>
          <w:szCs w:val="21"/>
        </w:rPr>
      </w:pPr>
      <w:r>
        <w:rPr>
          <w:rFonts w:hint="eastAsia" w:ascii="宋体" w:hAnsi="宋体" w:cs="宋体"/>
          <w:szCs w:val="21"/>
        </w:rPr>
        <w:t>1.月检查保养：</w:t>
      </w:r>
    </w:p>
    <w:p>
      <w:pPr>
        <w:spacing w:line="540" w:lineRule="exact"/>
        <w:ind w:firstLine="420" w:firstLineChars="200"/>
        <w:rPr>
          <w:rFonts w:ascii="宋体" w:hAnsi="宋体" w:cs="宋体"/>
          <w:szCs w:val="21"/>
        </w:rPr>
      </w:pPr>
      <w:r>
        <w:rPr>
          <w:rFonts w:hint="eastAsia" w:ascii="宋体" w:hAnsi="宋体" w:cs="宋体"/>
          <w:szCs w:val="21"/>
        </w:rPr>
        <w:t>车库及其安全设施间隔半个月内，应进行一次清洁、润滑、调整和检查。尤其应对车库的主要安全装置的工作状况及电气控制系统的工作状态，作一次仔细的观察，发现问题及时处理。对各润滑部位进行一次检查，视需补油。</w:t>
      </w:r>
    </w:p>
    <w:p>
      <w:pPr>
        <w:spacing w:line="540" w:lineRule="exact"/>
        <w:ind w:firstLine="420" w:firstLineChars="200"/>
        <w:rPr>
          <w:rFonts w:ascii="宋体" w:hAnsi="宋体" w:cs="宋体"/>
          <w:szCs w:val="21"/>
        </w:rPr>
      </w:pPr>
      <w:r>
        <w:rPr>
          <w:rFonts w:hint="eastAsia" w:ascii="宋体" w:hAnsi="宋体" w:cs="宋体"/>
          <w:szCs w:val="21"/>
        </w:rPr>
        <w:t>2.季检查保养：</w:t>
      </w:r>
    </w:p>
    <w:p>
      <w:pPr>
        <w:spacing w:line="540" w:lineRule="exact"/>
        <w:ind w:firstLine="420" w:firstLineChars="200"/>
        <w:rPr>
          <w:rFonts w:ascii="宋体" w:hAnsi="宋体" w:cs="宋体"/>
          <w:szCs w:val="21"/>
        </w:rPr>
      </w:pPr>
      <w:r>
        <w:rPr>
          <w:rFonts w:hint="eastAsia" w:ascii="宋体" w:hAnsi="宋体" w:cs="宋体"/>
          <w:szCs w:val="21"/>
        </w:rPr>
        <w:t>应对车库各传动部分（牵引机、平移链条、定位锁、平移滑板、导向轮、导引轨等）进行全面检查，并进行必要的调整与维修。对各安全装置进行必要的调整。对电气控制系统进行工作情况。</w:t>
      </w:r>
    </w:p>
    <w:p>
      <w:pPr>
        <w:spacing w:line="540" w:lineRule="exact"/>
        <w:ind w:firstLine="420" w:firstLineChars="200"/>
        <w:rPr>
          <w:rFonts w:ascii="宋体" w:hAnsi="宋体" w:cs="宋体"/>
          <w:szCs w:val="21"/>
        </w:rPr>
      </w:pPr>
      <w:r>
        <w:rPr>
          <w:rFonts w:hint="eastAsia" w:ascii="宋体" w:hAnsi="宋体" w:cs="宋体"/>
          <w:szCs w:val="21"/>
        </w:rPr>
        <w:t>3.年检查保养：</w:t>
      </w:r>
    </w:p>
    <w:p>
      <w:pPr>
        <w:spacing w:line="540" w:lineRule="exact"/>
        <w:ind w:firstLine="420" w:firstLineChars="200"/>
        <w:rPr>
          <w:rFonts w:ascii="宋体" w:hAnsi="宋体" w:cs="宋体"/>
          <w:szCs w:val="21"/>
        </w:rPr>
      </w:pPr>
      <w:r>
        <w:rPr>
          <w:rFonts w:hint="eastAsia" w:ascii="宋体" w:hAnsi="宋体" w:cs="宋体"/>
          <w:szCs w:val="21"/>
        </w:rPr>
        <w:t>每年应对维修保养的车库进行一次检测。年度检测由维修保养企业的安全员实施并签署检测报告，应作一次全面性的技术检查（包括接地及电器耐压等），并对车库的工作状态作出评价，制订年保养计划。修理及更换磨损的主要部件。</w:t>
      </w:r>
    </w:p>
    <w:p>
      <w:pPr>
        <w:spacing w:line="540" w:lineRule="exact"/>
        <w:ind w:firstLine="420" w:firstLineChars="200"/>
        <w:rPr>
          <w:rFonts w:ascii="宋体" w:hAnsi="宋体" w:cs="宋体"/>
          <w:szCs w:val="21"/>
        </w:rPr>
      </w:pPr>
      <w:r>
        <w:rPr>
          <w:rFonts w:hint="eastAsia" w:ascii="宋体" w:hAnsi="宋体" w:cs="宋体"/>
          <w:szCs w:val="21"/>
        </w:rPr>
        <w:t>4.特殊检查保养：</w:t>
      </w:r>
    </w:p>
    <w:p>
      <w:pPr>
        <w:spacing w:line="540" w:lineRule="exact"/>
        <w:ind w:firstLine="420" w:firstLineChars="200"/>
        <w:rPr>
          <w:rFonts w:ascii="宋体" w:hAnsi="宋体" w:cs="宋体"/>
          <w:szCs w:val="21"/>
        </w:rPr>
      </w:pPr>
      <w:r>
        <w:rPr>
          <w:rFonts w:hint="eastAsia" w:ascii="宋体" w:hAnsi="宋体" w:cs="宋体"/>
          <w:szCs w:val="21"/>
        </w:rPr>
        <w:t>在车库停用较长时间及地震、火灾后，需进行全面性的详细检查才能投入使用。车库每隔五年必须进行一次负荷校试验，负荷校调试验由安全员实施并签署试验报告。</w:t>
      </w:r>
    </w:p>
    <w:tbl>
      <w:tblPr>
        <w:tblStyle w:val="37"/>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235"/>
        <w:gridCol w:w="6617"/>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806"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养周期</w:t>
            </w:r>
          </w:p>
        </w:tc>
        <w:tc>
          <w:tcPr>
            <w:tcW w:w="1235"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保养部位</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保养内容</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restart"/>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p>
          <w:p>
            <w:pPr>
              <w:spacing w:line="540" w:lineRule="exact"/>
              <w:ind w:left="105" w:hanging="105" w:hangingChars="50"/>
              <w:rPr>
                <w:rFonts w:ascii="宋体" w:hAnsi="宋体" w:cs="宋体"/>
                <w:szCs w:val="21"/>
              </w:rPr>
            </w:pPr>
            <w:r>
              <w:rPr>
                <w:rFonts w:hint="eastAsia" w:ascii="宋体" w:hAnsi="宋体" w:cs="宋体"/>
                <w:szCs w:val="21"/>
              </w:rPr>
              <w:t>一级</w:t>
            </w:r>
          </w:p>
          <w:p>
            <w:pPr>
              <w:spacing w:line="540" w:lineRule="exact"/>
              <w:ind w:left="105" w:hanging="105" w:hangingChars="50"/>
              <w:rPr>
                <w:rFonts w:ascii="宋体" w:hAnsi="宋体" w:cs="宋体"/>
                <w:szCs w:val="21"/>
              </w:rPr>
            </w:pPr>
          </w:p>
          <w:p>
            <w:pPr>
              <w:spacing w:line="540" w:lineRule="exact"/>
              <w:ind w:firstLine="105" w:firstLineChars="50"/>
              <w:rPr>
                <w:rFonts w:ascii="宋体" w:hAnsi="宋体" w:cs="宋体"/>
                <w:szCs w:val="21"/>
              </w:rPr>
            </w:pPr>
            <w:r>
              <w:rPr>
                <w:rFonts w:hint="eastAsia" w:ascii="宋体" w:hAnsi="宋体" w:cs="宋体"/>
                <w:szCs w:val="21"/>
              </w:rPr>
              <w:t>每</w:t>
            </w:r>
          </w:p>
          <w:p>
            <w:pPr>
              <w:spacing w:line="540" w:lineRule="exact"/>
              <w:ind w:firstLine="105" w:firstLineChars="50"/>
              <w:rPr>
                <w:rFonts w:ascii="宋体" w:hAnsi="宋体" w:cs="宋体"/>
                <w:szCs w:val="21"/>
              </w:rPr>
            </w:pPr>
            <w:r>
              <w:rPr>
                <w:rFonts w:hint="eastAsia" w:ascii="宋体" w:hAnsi="宋体" w:cs="宋体"/>
                <w:szCs w:val="21"/>
              </w:rPr>
              <w:t>月</w:t>
            </w:r>
          </w:p>
          <w:p>
            <w:pPr>
              <w:spacing w:line="540" w:lineRule="exact"/>
              <w:ind w:firstLine="105" w:firstLineChars="50"/>
              <w:rPr>
                <w:rFonts w:ascii="宋体" w:hAnsi="宋体" w:cs="宋体"/>
                <w:szCs w:val="21"/>
              </w:rPr>
            </w:pPr>
            <w:r>
              <w:rPr>
                <w:rFonts w:hint="eastAsia" w:ascii="宋体" w:hAnsi="宋体" w:cs="宋体"/>
                <w:szCs w:val="21"/>
              </w:rPr>
              <w:t>两</w:t>
            </w:r>
          </w:p>
          <w:p>
            <w:pPr>
              <w:spacing w:line="540" w:lineRule="exact"/>
              <w:ind w:firstLine="105" w:firstLineChars="50"/>
              <w:rPr>
                <w:rFonts w:ascii="宋体" w:hAnsi="宋体" w:cs="宋体"/>
                <w:szCs w:val="21"/>
              </w:rPr>
            </w:pPr>
            <w:r>
              <w:rPr>
                <w:rFonts w:hint="eastAsia" w:ascii="宋体" w:hAnsi="宋体" w:cs="宋体"/>
                <w:szCs w:val="21"/>
              </w:rPr>
              <w:t>次</w:t>
            </w:r>
          </w:p>
        </w:tc>
        <w:tc>
          <w:tcPr>
            <w:tcW w:w="1235"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光电开关</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检测光电开关是否定位可靠、无松动，阻光测试是否正常</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电气式安全挂钩</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1、安全挂钩动作检查（动作灵活可靠，闭合后钩合量≥20mm，张开后安全间隙≥10-15mm）</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2、安全钩轴固定检查（卡环无松动或脱落，无锈蚀）</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3、拨块检查（位置正确，固定可靠）</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r>
              <w:rPr>
                <w:rFonts w:hint="eastAsia" w:ascii="宋体" w:hAnsi="宋体" w:cs="宋体"/>
                <w:szCs w:val="21"/>
              </w:rPr>
              <w:t>升</w:t>
            </w:r>
          </w:p>
          <w:p>
            <w:pPr>
              <w:spacing w:line="540" w:lineRule="exact"/>
              <w:ind w:firstLine="105" w:firstLineChars="50"/>
              <w:rPr>
                <w:rFonts w:ascii="宋体" w:hAnsi="宋体" w:cs="宋体"/>
                <w:szCs w:val="21"/>
              </w:rPr>
            </w:pPr>
            <w:r>
              <w:rPr>
                <w:rFonts w:hint="eastAsia" w:ascii="宋体" w:hAnsi="宋体" w:cs="宋体"/>
                <w:szCs w:val="21"/>
              </w:rPr>
              <w:t>降</w:t>
            </w:r>
          </w:p>
          <w:p>
            <w:pPr>
              <w:spacing w:line="540" w:lineRule="exact"/>
              <w:ind w:firstLine="105" w:firstLineChars="50"/>
              <w:rPr>
                <w:rFonts w:ascii="宋体" w:hAnsi="宋体" w:cs="宋体"/>
                <w:szCs w:val="21"/>
              </w:rPr>
            </w:pPr>
            <w:r>
              <w:rPr>
                <w:rFonts w:hint="eastAsia" w:ascii="宋体" w:hAnsi="宋体" w:cs="宋体"/>
                <w:szCs w:val="21"/>
              </w:rPr>
              <w:t>系</w:t>
            </w:r>
          </w:p>
          <w:p>
            <w:pPr>
              <w:spacing w:line="540" w:lineRule="exact"/>
              <w:ind w:firstLine="105" w:firstLineChars="50"/>
              <w:rPr>
                <w:rFonts w:ascii="宋体" w:hAnsi="宋体" w:cs="宋体"/>
                <w:szCs w:val="21"/>
              </w:rPr>
            </w:pPr>
            <w:r>
              <w:rPr>
                <w:rFonts w:hint="eastAsia" w:ascii="宋体" w:hAnsi="宋体" w:cs="宋体"/>
                <w:szCs w:val="21"/>
              </w:rPr>
              <w:t>统</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1、升降电机检查（安装牢固、无异常发热及噪音、耳座无裂纹）</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2、链条检查（外观正常，无失效情况、润滑正常）</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3、链条两连接端连接检查（连接可靠、无松动）</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4、链轮检查（固定可靠、转动灵活、转动时无异常声音）</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5、2F平衡链检查（链条表面无锈蚀、两端固定牢固、升降时无明显抖动及异常声音）.</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7、传动轴承检查（固定牢固、无裂纹、润滑正常）。</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8、限位装置检查（无缺损、松动及明显错位）。</w:t>
            </w:r>
          </w:p>
          <w:p>
            <w:pPr>
              <w:spacing w:line="540" w:lineRule="exact"/>
              <w:rPr>
                <w:rFonts w:ascii="宋体" w:hAnsi="宋体" w:cs="宋体"/>
                <w:szCs w:val="21"/>
              </w:rPr>
            </w:pPr>
            <w:r>
              <w:rPr>
                <w:rFonts w:hint="eastAsia" w:ascii="宋体" w:hAnsi="宋体" w:cs="宋体"/>
                <w:szCs w:val="21"/>
              </w:rPr>
              <w:t>1）外观检查（电机罩、限位支架位置正确、横移电缆无松动脱落、台板外观无明显变形和损伤）。</w:t>
            </w:r>
          </w:p>
          <w:p>
            <w:pPr>
              <w:spacing w:line="540" w:lineRule="exact"/>
              <w:rPr>
                <w:rFonts w:ascii="宋体" w:hAnsi="宋体" w:cs="宋体"/>
                <w:szCs w:val="21"/>
              </w:rPr>
            </w:pPr>
            <w:r>
              <w:rPr>
                <w:rFonts w:hint="eastAsia" w:ascii="宋体" w:hAnsi="宋体" w:cs="宋体"/>
                <w:szCs w:val="21"/>
              </w:rPr>
              <w:t>2）移动检查（起停位置正确、无异常声音、抖动、滑行等异常现象）.</w:t>
            </w:r>
          </w:p>
          <w:p>
            <w:pPr>
              <w:spacing w:line="540" w:lineRule="exact"/>
              <w:rPr>
                <w:rFonts w:ascii="宋体" w:hAnsi="宋体" w:cs="宋体"/>
                <w:szCs w:val="21"/>
              </w:rPr>
            </w:pPr>
            <w:r>
              <w:rPr>
                <w:rFonts w:hint="eastAsia" w:ascii="宋体" w:hAnsi="宋体" w:cs="宋体"/>
                <w:szCs w:val="21"/>
              </w:rPr>
              <w:t>3）移动速度检查（横移速度应为18±2秒，无明显追车现象）。</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p>
          <w:p>
            <w:pPr>
              <w:spacing w:line="540" w:lineRule="exact"/>
              <w:ind w:firstLine="105" w:firstLineChars="50"/>
              <w:rPr>
                <w:rFonts w:ascii="宋体" w:hAnsi="宋体" w:cs="宋体"/>
                <w:szCs w:val="21"/>
              </w:rPr>
            </w:pPr>
            <w:r>
              <w:rPr>
                <w:rFonts w:hint="eastAsia" w:ascii="宋体" w:hAnsi="宋体" w:cs="宋体"/>
                <w:szCs w:val="21"/>
              </w:rPr>
              <w:t>钢</w:t>
            </w:r>
          </w:p>
          <w:p>
            <w:pPr>
              <w:spacing w:line="540" w:lineRule="exact"/>
              <w:ind w:firstLine="105" w:firstLineChars="50"/>
              <w:rPr>
                <w:rFonts w:ascii="宋体" w:hAnsi="宋体" w:cs="宋体"/>
                <w:szCs w:val="21"/>
              </w:rPr>
            </w:pPr>
            <w:r>
              <w:rPr>
                <w:rFonts w:hint="eastAsia" w:ascii="宋体" w:hAnsi="宋体" w:cs="宋体"/>
                <w:szCs w:val="21"/>
              </w:rPr>
              <w:t>结</w:t>
            </w:r>
          </w:p>
          <w:p>
            <w:pPr>
              <w:spacing w:line="540" w:lineRule="exact"/>
              <w:ind w:firstLine="105" w:firstLineChars="50"/>
              <w:rPr>
                <w:rFonts w:ascii="宋体" w:hAnsi="宋体" w:cs="宋体"/>
                <w:szCs w:val="21"/>
              </w:rPr>
            </w:pPr>
            <w:r>
              <w:rPr>
                <w:rFonts w:hint="eastAsia" w:ascii="宋体" w:hAnsi="宋体" w:cs="宋体"/>
                <w:szCs w:val="21"/>
              </w:rPr>
              <w:t>构</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1、钢结构外观检查（无污损、无明显变形及涂层脱落、无焊缝开裂）。</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2、导轨检查（无砂土及多余物、与其他运动部位无干涉）。</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3、地脚检查（无松动）。</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r>
              <w:rPr>
                <w:rFonts w:hint="eastAsia" w:ascii="宋体" w:hAnsi="宋体" w:cs="宋体"/>
                <w:szCs w:val="21"/>
              </w:rPr>
              <w:t>电</w:t>
            </w:r>
          </w:p>
          <w:p>
            <w:pPr>
              <w:spacing w:line="540" w:lineRule="exact"/>
              <w:ind w:firstLine="105" w:firstLineChars="50"/>
              <w:rPr>
                <w:rFonts w:ascii="宋体" w:hAnsi="宋体" w:cs="宋体"/>
                <w:szCs w:val="21"/>
              </w:rPr>
            </w:pPr>
            <w:r>
              <w:rPr>
                <w:rFonts w:hint="eastAsia" w:ascii="宋体" w:hAnsi="宋体" w:cs="宋体"/>
                <w:szCs w:val="21"/>
              </w:rPr>
              <w:t>气</w:t>
            </w:r>
          </w:p>
          <w:p>
            <w:pPr>
              <w:spacing w:line="540" w:lineRule="exact"/>
              <w:ind w:firstLine="105" w:firstLineChars="50"/>
              <w:rPr>
                <w:rFonts w:ascii="宋体" w:hAnsi="宋体" w:cs="宋体"/>
                <w:szCs w:val="21"/>
              </w:rPr>
            </w:pPr>
            <w:r>
              <w:rPr>
                <w:rFonts w:hint="eastAsia" w:ascii="宋体" w:hAnsi="宋体" w:cs="宋体"/>
                <w:szCs w:val="21"/>
              </w:rPr>
              <w:t>系</w:t>
            </w:r>
          </w:p>
          <w:p>
            <w:pPr>
              <w:spacing w:line="540" w:lineRule="exact"/>
              <w:ind w:firstLine="105" w:firstLineChars="50"/>
              <w:rPr>
                <w:rFonts w:ascii="宋体" w:hAnsi="宋体" w:cs="宋体"/>
                <w:szCs w:val="21"/>
              </w:rPr>
            </w:pPr>
            <w:r>
              <w:rPr>
                <w:rFonts w:hint="eastAsia" w:ascii="宋体" w:hAnsi="宋体" w:cs="宋体"/>
                <w:szCs w:val="21"/>
              </w:rPr>
              <w:t>统</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1、操作盘检查（盘面整洁、按钮指示灯无缺损、只是或开关正常）。</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2、控制柜检查（柜内干燥、整洁、无松动或脱落、操作试验正常）。</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3、布线检查（无松动或非常外露）。</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4、各处行程开关检查（外置正确、动作可靠、电线接头固定可靠）。</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5、检查更换照明灯管</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restart"/>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ind w:firstLine="105" w:firstLineChars="50"/>
              <w:rPr>
                <w:rFonts w:ascii="宋体" w:hAnsi="宋体" w:cs="宋体"/>
                <w:szCs w:val="21"/>
              </w:rPr>
            </w:pPr>
            <w:r>
              <w:rPr>
                <w:rFonts w:hint="eastAsia" w:ascii="宋体" w:hAnsi="宋体" w:cs="宋体"/>
                <w:szCs w:val="21"/>
              </w:rPr>
              <w:t>每</w:t>
            </w:r>
          </w:p>
          <w:p>
            <w:pPr>
              <w:spacing w:line="540" w:lineRule="exact"/>
              <w:ind w:firstLine="105" w:firstLineChars="50"/>
              <w:rPr>
                <w:rFonts w:ascii="宋体" w:hAnsi="宋体" w:cs="宋体"/>
                <w:szCs w:val="21"/>
              </w:rPr>
            </w:pPr>
            <w:r>
              <w:rPr>
                <w:rFonts w:hint="eastAsia" w:ascii="宋体" w:hAnsi="宋体" w:cs="宋体"/>
                <w:szCs w:val="21"/>
              </w:rPr>
              <w:t>月</w:t>
            </w:r>
          </w:p>
          <w:p>
            <w:pPr>
              <w:spacing w:line="540" w:lineRule="exact"/>
              <w:ind w:firstLine="105" w:firstLineChars="50"/>
              <w:rPr>
                <w:rFonts w:ascii="宋体" w:hAnsi="宋体" w:cs="宋体"/>
                <w:szCs w:val="21"/>
              </w:rPr>
            </w:pPr>
            <w:r>
              <w:rPr>
                <w:rFonts w:hint="eastAsia" w:ascii="宋体" w:hAnsi="宋体" w:cs="宋体"/>
                <w:szCs w:val="21"/>
              </w:rPr>
              <w:t>两</w:t>
            </w:r>
          </w:p>
          <w:p>
            <w:pPr>
              <w:spacing w:line="540" w:lineRule="exact"/>
              <w:ind w:firstLine="105" w:firstLineChars="50"/>
              <w:rPr>
                <w:rFonts w:ascii="宋体" w:hAnsi="宋体" w:cs="宋体"/>
                <w:szCs w:val="21"/>
              </w:rPr>
            </w:pPr>
            <w:r>
              <w:rPr>
                <w:rFonts w:hint="eastAsia" w:ascii="宋体" w:hAnsi="宋体" w:cs="宋体"/>
                <w:szCs w:val="21"/>
              </w:rPr>
              <w:t>次</w:t>
            </w:r>
          </w:p>
        </w:tc>
        <w:tc>
          <w:tcPr>
            <w:tcW w:w="1235"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光电开关</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检测光电开关是否定位可靠、无松动，阻光测试是否正常。</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r>
              <w:rPr>
                <w:rFonts w:hint="eastAsia" w:ascii="宋体" w:hAnsi="宋体" w:cs="宋体"/>
                <w:szCs w:val="21"/>
              </w:rPr>
              <w:t>安</w:t>
            </w:r>
          </w:p>
          <w:p>
            <w:pPr>
              <w:spacing w:line="540" w:lineRule="exact"/>
              <w:ind w:firstLine="105" w:firstLineChars="50"/>
              <w:rPr>
                <w:rFonts w:ascii="宋体" w:hAnsi="宋体" w:cs="宋体"/>
                <w:szCs w:val="21"/>
              </w:rPr>
            </w:pPr>
            <w:r>
              <w:rPr>
                <w:rFonts w:hint="eastAsia" w:ascii="宋体" w:hAnsi="宋体" w:cs="宋体"/>
                <w:szCs w:val="21"/>
              </w:rPr>
              <w:t>全</w:t>
            </w:r>
          </w:p>
          <w:p>
            <w:pPr>
              <w:spacing w:line="540" w:lineRule="exact"/>
              <w:ind w:firstLine="105" w:firstLineChars="50"/>
              <w:rPr>
                <w:rFonts w:ascii="宋体" w:hAnsi="宋体" w:cs="宋体"/>
                <w:szCs w:val="21"/>
              </w:rPr>
            </w:pPr>
            <w:r>
              <w:rPr>
                <w:rFonts w:hint="eastAsia" w:ascii="宋体" w:hAnsi="宋体" w:cs="宋体"/>
                <w:szCs w:val="21"/>
              </w:rPr>
              <w:t>钩</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1、安全钩动作检查（动作灵活可靠、闭合后钩合量≥20㎜；张开后安全间隙≥10—15㎜），转动部位加油。</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2、拨块检查调整。</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3、调整钢丝绳及张紧装置。</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p>
          <w:p>
            <w:pPr>
              <w:spacing w:line="540" w:lineRule="exact"/>
              <w:ind w:firstLine="105" w:firstLineChars="50"/>
              <w:rPr>
                <w:rFonts w:ascii="宋体" w:hAnsi="宋体" w:cs="宋体"/>
                <w:szCs w:val="21"/>
              </w:rPr>
            </w:pPr>
            <w:r>
              <w:rPr>
                <w:rFonts w:hint="eastAsia" w:ascii="宋体" w:hAnsi="宋体" w:cs="宋体"/>
                <w:szCs w:val="21"/>
              </w:rPr>
              <w:t>升</w:t>
            </w:r>
          </w:p>
          <w:p>
            <w:pPr>
              <w:spacing w:line="540" w:lineRule="exact"/>
              <w:ind w:firstLine="105" w:firstLineChars="50"/>
              <w:rPr>
                <w:rFonts w:ascii="宋体" w:hAnsi="宋体" w:cs="宋体"/>
                <w:szCs w:val="21"/>
              </w:rPr>
            </w:pPr>
            <w:r>
              <w:rPr>
                <w:rFonts w:hint="eastAsia" w:ascii="宋体" w:hAnsi="宋体" w:cs="宋体"/>
                <w:szCs w:val="21"/>
              </w:rPr>
              <w:t>降</w:t>
            </w:r>
          </w:p>
          <w:p>
            <w:pPr>
              <w:spacing w:line="540" w:lineRule="exact"/>
              <w:ind w:firstLine="105" w:firstLineChars="50"/>
              <w:rPr>
                <w:rFonts w:ascii="宋体" w:hAnsi="宋体" w:cs="宋体"/>
                <w:szCs w:val="21"/>
              </w:rPr>
            </w:pPr>
            <w:r>
              <w:rPr>
                <w:rFonts w:hint="eastAsia" w:ascii="宋体" w:hAnsi="宋体" w:cs="宋体"/>
                <w:szCs w:val="21"/>
              </w:rPr>
              <w:t>系</w:t>
            </w:r>
          </w:p>
          <w:p>
            <w:pPr>
              <w:spacing w:line="540" w:lineRule="exact"/>
              <w:ind w:firstLine="105" w:firstLineChars="50"/>
              <w:rPr>
                <w:rFonts w:ascii="宋体" w:hAnsi="宋体" w:cs="宋体"/>
                <w:szCs w:val="21"/>
              </w:rPr>
            </w:pPr>
            <w:r>
              <w:rPr>
                <w:rFonts w:hint="eastAsia" w:ascii="宋体" w:hAnsi="宋体" w:cs="宋体"/>
                <w:szCs w:val="21"/>
              </w:rPr>
              <w:t>统</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1、升降电机拆罩检查，坚固螺钉，清理卷筒部位多余油泥。</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2、链条检查，清理链条表面油泥。</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4、检查弹簧表面，涂润滑油。</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5、检查链条、清除油泥、涂刷润滑油。</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6、传动轴带座轴承检查、加注润滑油（脂）。</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r>
              <w:rPr>
                <w:rFonts w:hint="eastAsia" w:ascii="宋体" w:hAnsi="宋体" w:cs="宋体"/>
                <w:szCs w:val="21"/>
              </w:rPr>
              <w:t>横移</w:t>
            </w:r>
          </w:p>
          <w:p>
            <w:pPr>
              <w:spacing w:line="540" w:lineRule="exact"/>
              <w:ind w:firstLine="105" w:firstLineChars="50"/>
              <w:rPr>
                <w:rFonts w:ascii="宋体" w:hAnsi="宋体" w:cs="宋体"/>
                <w:szCs w:val="21"/>
              </w:rPr>
            </w:pPr>
            <w:r>
              <w:rPr>
                <w:rFonts w:hint="eastAsia" w:ascii="宋体" w:hAnsi="宋体" w:cs="宋体"/>
                <w:szCs w:val="21"/>
              </w:rPr>
              <w:t>系统</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1、检查横移电机，清理多余油泥、加注润滑油（脂）。</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2、移动检查、调整横移行程开关碰块。</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3、检查横移电机制动力，并做相应调整。</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r>
              <w:rPr>
                <w:rFonts w:hint="eastAsia" w:ascii="宋体" w:hAnsi="宋体" w:cs="宋体"/>
                <w:szCs w:val="21"/>
              </w:rPr>
              <w:t>钢</w:t>
            </w:r>
          </w:p>
          <w:p>
            <w:pPr>
              <w:spacing w:line="540" w:lineRule="exact"/>
              <w:ind w:firstLine="105" w:firstLineChars="50"/>
              <w:rPr>
                <w:rFonts w:ascii="宋体" w:hAnsi="宋体" w:cs="宋体"/>
                <w:szCs w:val="21"/>
              </w:rPr>
            </w:pPr>
            <w:r>
              <w:rPr>
                <w:rFonts w:hint="eastAsia" w:ascii="宋体" w:hAnsi="宋体" w:cs="宋体"/>
                <w:szCs w:val="21"/>
              </w:rPr>
              <w:t>结</w:t>
            </w:r>
          </w:p>
          <w:p>
            <w:pPr>
              <w:spacing w:line="540" w:lineRule="exact"/>
              <w:ind w:firstLine="105" w:firstLineChars="50"/>
              <w:rPr>
                <w:rFonts w:ascii="宋体" w:hAnsi="宋体" w:cs="宋体"/>
                <w:szCs w:val="21"/>
              </w:rPr>
            </w:pPr>
            <w:r>
              <w:rPr>
                <w:rFonts w:hint="eastAsia" w:ascii="宋体" w:hAnsi="宋体" w:cs="宋体"/>
                <w:szCs w:val="21"/>
              </w:rPr>
              <w:t>构</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1、钢结构外观检查，涂层脱落及锈蚀部位进行维修。</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2、清理钢结构表面油污。</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3、地脚检查、紧固。</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r>
              <w:rPr>
                <w:rFonts w:hint="eastAsia" w:ascii="宋体" w:hAnsi="宋体" w:cs="宋体"/>
                <w:szCs w:val="21"/>
              </w:rPr>
              <w:t>电</w:t>
            </w:r>
          </w:p>
          <w:p>
            <w:pPr>
              <w:spacing w:line="540" w:lineRule="exact"/>
              <w:ind w:firstLine="105" w:firstLineChars="50"/>
              <w:rPr>
                <w:rFonts w:ascii="宋体" w:hAnsi="宋体" w:cs="宋体"/>
                <w:szCs w:val="21"/>
              </w:rPr>
            </w:pPr>
            <w:r>
              <w:rPr>
                <w:rFonts w:hint="eastAsia" w:ascii="宋体" w:hAnsi="宋体" w:cs="宋体"/>
                <w:szCs w:val="21"/>
              </w:rPr>
              <w:t>气</w:t>
            </w:r>
          </w:p>
          <w:p>
            <w:pPr>
              <w:spacing w:line="540" w:lineRule="exact"/>
              <w:ind w:firstLine="105" w:firstLineChars="50"/>
              <w:rPr>
                <w:rFonts w:ascii="宋体" w:hAnsi="宋体" w:cs="宋体"/>
                <w:szCs w:val="21"/>
              </w:rPr>
            </w:pPr>
            <w:r>
              <w:rPr>
                <w:rFonts w:hint="eastAsia" w:ascii="宋体" w:hAnsi="宋体" w:cs="宋体"/>
                <w:szCs w:val="21"/>
              </w:rPr>
              <w:t>系</w:t>
            </w:r>
          </w:p>
          <w:p>
            <w:pPr>
              <w:spacing w:line="540" w:lineRule="exact"/>
              <w:ind w:firstLine="105" w:firstLineChars="50"/>
              <w:rPr>
                <w:rFonts w:ascii="宋体" w:hAnsi="宋体" w:cs="宋体"/>
                <w:szCs w:val="21"/>
              </w:rPr>
            </w:pPr>
            <w:r>
              <w:rPr>
                <w:rFonts w:hint="eastAsia" w:ascii="宋体" w:hAnsi="宋体" w:cs="宋体"/>
                <w:szCs w:val="21"/>
              </w:rPr>
              <w:t>统</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1、操作盘检查，并进行操作试验。</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2、控制柜检查、并清理柜内灰尘、坚固接线端子。</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3、检查电气安全装置的可靠性。</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4、检查电线电缆、松动部位进行固定。</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restart"/>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rPr>
                <w:rFonts w:ascii="宋体" w:hAnsi="宋体" w:cs="宋体"/>
                <w:szCs w:val="21"/>
              </w:rPr>
            </w:pPr>
          </w:p>
          <w:p>
            <w:pPr>
              <w:spacing w:line="540" w:lineRule="exact"/>
              <w:ind w:firstLine="105" w:firstLineChars="50"/>
              <w:rPr>
                <w:rFonts w:ascii="宋体" w:hAnsi="宋体" w:cs="宋体"/>
                <w:szCs w:val="21"/>
              </w:rPr>
            </w:pPr>
            <w:r>
              <w:rPr>
                <w:rFonts w:hint="eastAsia" w:ascii="宋体" w:hAnsi="宋体" w:cs="宋体"/>
                <w:szCs w:val="21"/>
              </w:rPr>
              <w:t>每</w:t>
            </w:r>
          </w:p>
          <w:p>
            <w:pPr>
              <w:spacing w:line="540" w:lineRule="exact"/>
              <w:ind w:firstLine="105" w:firstLineChars="50"/>
              <w:rPr>
                <w:rFonts w:ascii="宋体" w:hAnsi="宋体" w:cs="宋体"/>
                <w:szCs w:val="21"/>
              </w:rPr>
            </w:pPr>
            <w:r>
              <w:rPr>
                <w:rFonts w:hint="eastAsia" w:ascii="宋体" w:hAnsi="宋体" w:cs="宋体"/>
                <w:szCs w:val="21"/>
              </w:rPr>
              <w:t>三</w:t>
            </w:r>
          </w:p>
          <w:p>
            <w:pPr>
              <w:spacing w:line="540" w:lineRule="exact"/>
              <w:ind w:firstLine="105" w:firstLineChars="50"/>
              <w:rPr>
                <w:rFonts w:ascii="宋体" w:hAnsi="宋体" w:cs="宋体"/>
                <w:szCs w:val="21"/>
              </w:rPr>
            </w:pPr>
            <w:r>
              <w:rPr>
                <w:rFonts w:hint="eastAsia" w:ascii="宋体" w:hAnsi="宋体" w:cs="宋体"/>
                <w:szCs w:val="21"/>
              </w:rPr>
              <w:t>月</w:t>
            </w:r>
          </w:p>
          <w:p>
            <w:pPr>
              <w:spacing w:line="540" w:lineRule="exact"/>
              <w:ind w:firstLine="105" w:firstLineChars="50"/>
              <w:rPr>
                <w:rFonts w:ascii="宋体" w:hAnsi="宋体" w:cs="宋体"/>
                <w:szCs w:val="21"/>
              </w:rPr>
            </w:pPr>
            <w:r>
              <w:rPr>
                <w:rFonts w:hint="eastAsia" w:ascii="宋体" w:hAnsi="宋体" w:cs="宋体"/>
                <w:szCs w:val="21"/>
              </w:rPr>
              <w:t>一</w:t>
            </w:r>
          </w:p>
          <w:p>
            <w:pPr>
              <w:spacing w:line="540" w:lineRule="exact"/>
              <w:ind w:firstLine="105" w:firstLineChars="50"/>
              <w:rPr>
                <w:rFonts w:ascii="宋体" w:hAnsi="宋体" w:cs="宋体"/>
                <w:szCs w:val="21"/>
              </w:rPr>
            </w:pPr>
            <w:r>
              <w:rPr>
                <w:rFonts w:hint="eastAsia" w:ascii="宋体" w:hAnsi="宋体" w:cs="宋体"/>
                <w:szCs w:val="21"/>
              </w:rPr>
              <w:t>次</w:t>
            </w:r>
          </w:p>
        </w:tc>
        <w:tc>
          <w:tcPr>
            <w:tcW w:w="1235"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光电开关</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检测光电开关是否定位可靠、无松动，阻光测试是否正常。</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r>
              <w:rPr>
                <w:rFonts w:hint="eastAsia" w:ascii="宋体" w:hAnsi="宋体" w:cs="宋体"/>
                <w:szCs w:val="21"/>
              </w:rPr>
              <w:t>安</w:t>
            </w:r>
          </w:p>
          <w:p>
            <w:pPr>
              <w:spacing w:line="540" w:lineRule="exact"/>
              <w:ind w:firstLine="105" w:firstLineChars="50"/>
              <w:rPr>
                <w:rFonts w:ascii="宋体" w:hAnsi="宋体" w:cs="宋体"/>
                <w:szCs w:val="21"/>
              </w:rPr>
            </w:pPr>
            <w:r>
              <w:rPr>
                <w:rFonts w:hint="eastAsia" w:ascii="宋体" w:hAnsi="宋体" w:cs="宋体"/>
                <w:szCs w:val="21"/>
              </w:rPr>
              <w:t>全</w:t>
            </w:r>
          </w:p>
          <w:p>
            <w:pPr>
              <w:spacing w:line="540" w:lineRule="exact"/>
              <w:ind w:firstLine="105" w:firstLineChars="50"/>
              <w:rPr>
                <w:rFonts w:ascii="宋体" w:hAnsi="宋体" w:cs="宋体"/>
                <w:szCs w:val="21"/>
              </w:rPr>
            </w:pPr>
            <w:r>
              <w:rPr>
                <w:rFonts w:hint="eastAsia" w:ascii="宋体" w:hAnsi="宋体" w:cs="宋体"/>
                <w:szCs w:val="21"/>
              </w:rPr>
              <w:t>钩</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1、安全钩动作检查（动作灵活可靠、闭合后钩合量≥20㎜；张开后安全间隙≥10—15㎜），转动部位加油，发现有转动不灵或卡滞时应拆卸检查。</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2、拨块检查调整。</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3、调整钢丝绳及张紧装置，发现钢丝绳有重要缺陷时应及时更换。</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p>
          <w:p>
            <w:pPr>
              <w:spacing w:line="540" w:lineRule="exact"/>
              <w:rPr>
                <w:rFonts w:ascii="宋体" w:hAnsi="宋体" w:cs="宋体"/>
                <w:szCs w:val="21"/>
              </w:rPr>
            </w:pPr>
          </w:p>
          <w:p>
            <w:pPr>
              <w:spacing w:line="540" w:lineRule="exact"/>
              <w:ind w:firstLine="105" w:firstLineChars="50"/>
              <w:rPr>
                <w:rFonts w:ascii="宋体" w:hAnsi="宋体" w:cs="宋体"/>
                <w:szCs w:val="21"/>
              </w:rPr>
            </w:pPr>
            <w:r>
              <w:rPr>
                <w:rFonts w:hint="eastAsia" w:ascii="宋体" w:hAnsi="宋体" w:cs="宋体"/>
                <w:szCs w:val="21"/>
              </w:rPr>
              <w:t>升</w:t>
            </w:r>
          </w:p>
          <w:p>
            <w:pPr>
              <w:spacing w:line="540" w:lineRule="exact"/>
              <w:ind w:firstLine="105" w:firstLineChars="50"/>
              <w:rPr>
                <w:rFonts w:ascii="宋体" w:hAnsi="宋体" w:cs="宋体"/>
                <w:szCs w:val="21"/>
              </w:rPr>
            </w:pPr>
            <w:r>
              <w:rPr>
                <w:rFonts w:hint="eastAsia" w:ascii="宋体" w:hAnsi="宋体" w:cs="宋体"/>
                <w:szCs w:val="21"/>
              </w:rPr>
              <w:t>降</w:t>
            </w:r>
          </w:p>
          <w:p>
            <w:pPr>
              <w:spacing w:line="540" w:lineRule="exact"/>
              <w:ind w:firstLine="105" w:firstLineChars="50"/>
              <w:rPr>
                <w:rFonts w:ascii="宋体" w:hAnsi="宋体" w:cs="宋体"/>
                <w:szCs w:val="21"/>
              </w:rPr>
            </w:pPr>
            <w:r>
              <w:rPr>
                <w:rFonts w:hint="eastAsia" w:ascii="宋体" w:hAnsi="宋体" w:cs="宋体"/>
                <w:szCs w:val="21"/>
              </w:rPr>
              <w:t>系</w:t>
            </w:r>
          </w:p>
          <w:p>
            <w:pPr>
              <w:spacing w:line="540" w:lineRule="exact"/>
              <w:ind w:firstLine="105" w:firstLineChars="50"/>
              <w:rPr>
                <w:rFonts w:ascii="宋体" w:hAnsi="宋体" w:cs="宋体"/>
                <w:szCs w:val="21"/>
              </w:rPr>
            </w:pPr>
            <w:r>
              <w:rPr>
                <w:rFonts w:hint="eastAsia" w:ascii="宋体" w:hAnsi="宋体" w:cs="宋体"/>
                <w:szCs w:val="21"/>
              </w:rPr>
              <w:t>统</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1、升降电机拆罩检查，坚固螺钉，检查油标只是，不足量时应及时补加。</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2、链条检查，清理链条及链轮部位表面油泥。</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3、拉力传感器拆罩检查，清理灰尘，滑动配合部位加注润滑油；调整接近开关间隙。</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4、检查弹簧表面，涂润滑油。</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5、2F、3F平衡链检查、清除油泥、涂刷润滑油。</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6、传动轴带座轴承检查、加注润滑油（脂）。</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p>
          <w:p>
            <w:pPr>
              <w:spacing w:line="540" w:lineRule="exact"/>
              <w:ind w:firstLine="105" w:firstLineChars="50"/>
              <w:rPr>
                <w:rFonts w:ascii="宋体" w:hAnsi="宋体" w:cs="宋体"/>
                <w:szCs w:val="21"/>
              </w:rPr>
            </w:pPr>
            <w:r>
              <w:rPr>
                <w:rFonts w:hint="eastAsia" w:ascii="宋体" w:hAnsi="宋体" w:cs="宋体"/>
                <w:szCs w:val="21"/>
              </w:rPr>
              <w:t>横</w:t>
            </w:r>
          </w:p>
          <w:p>
            <w:pPr>
              <w:spacing w:line="540" w:lineRule="exact"/>
              <w:ind w:firstLine="105" w:firstLineChars="50"/>
              <w:rPr>
                <w:rFonts w:ascii="宋体" w:hAnsi="宋体" w:cs="宋体"/>
                <w:szCs w:val="21"/>
              </w:rPr>
            </w:pPr>
            <w:r>
              <w:rPr>
                <w:rFonts w:hint="eastAsia" w:ascii="宋体" w:hAnsi="宋体" w:cs="宋体"/>
                <w:szCs w:val="21"/>
              </w:rPr>
              <w:t>移</w:t>
            </w:r>
          </w:p>
          <w:p>
            <w:pPr>
              <w:spacing w:line="540" w:lineRule="exact"/>
              <w:ind w:firstLine="105" w:firstLineChars="50"/>
              <w:rPr>
                <w:rFonts w:ascii="宋体" w:hAnsi="宋体" w:cs="宋体"/>
                <w:szCs w:val="21"/>
              </w:rPr>
            </w:pPr>
            <w:r>
              <w:rPr>
                <w:rFonts w:hint="eastAsia" w:ascii="宋体" w:hAnsi="宋体" w:cs="宋体"/>
                <w:szCs w:val="21"/>
              </w:rPr>
              <w:t>系</w:t>
            </w:r>
          </w:p>
          <w:p>
            <w:pPr>
              <w:spacing w:line="540" w:lineRule="exact"/>
              <w:ind w:firstLine="105" w:firstLineChars="50"/>
              <w:rPr>
                <w:rFonts w:ascii="宋体" w:hAnsi="宋体" w:cs="宋体"/>
                <w:szCs w:val="21"/>
              </w:rPr>
            </w:pPr>
            <w:r>
              <w:rPr>
                <w:rFonts w:hint="eastAsia" w:ascii="宋体" w:hAnsi="宋体" w:cs="宋体"/>
                <w:szCs w:val="21"/>
              </w:rPr>
              <w:t>统</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1、检查横移电机，清理多余油泥、加注润滑油（脂），调整齿轮啮合间隙。</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2、移动检查、调整横移行程开关碰块，横移行走轮加注润滑油，同时检查轴承工作情况，发现有异常声音时应分解检查。</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3、检查调整限位支架。</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r>
              <w:rPr>
                <w:rFonts w:hint="eastAsia" w:ascii="宋体" w:hAnsi="宋体" w:cs="宋体"/>
                <w:szCs w:val="21"/>
              </w:rPr>
              <w:t>钢</w:t>
            </w:r>
          </w:p>
          <w:p>
            <w:pPr>
              <w:spacing w:line="540" w:lineRule="exact"/>
              <w:ind w:firstLine="105" w:firstLineChars="50"/>
              <w:rPr>
                <w:rFonts w:ascii="宋体" w:hAnsi="宋体" w:cs="宋体"/>
                <w:szCs w:val="21"/>
              </w:rPr>
            </w:pPr>
            <w:r>
              <w:rPr>
                <w:rFonts w:hint="eastAsia" w:ascii="宋体" w:hAnsi="宋体" w:cs="宋体"/>
                <w:szCs w:val="21"/>
              </w:rPr>
              <w:t>结</w:t>
            </w:r>
          </w:p>
          <w:p>
            <w:pPr>
              <w:spacing w:line="540" w:lineRule="exact"/>
              <w:ind w:firstLine="105" w:firstLineChars="50"/>
              <w:rPr>
                <w:rFonts w:ascii="宋体" w:hAnsi="宋体" w:cs="宋体"/>
                <w:szCs w:val="21"/>
              </w:rPr>
            </w:pPr>
            <w:r>
              <w:rPr>
                <w:rFonts w:hint="eastAsia" w:ascii="宋体" w:hAnsi="宋体" w:cs="宋体"/>
                <w:szCs w:val="21"/>
              </w:rPr>
              <w:t>构</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1、按一、二级保养方法进行全面检查和保养。</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2、每组车库抽查2-3个间口，测量后柱柱间距及垂直度。</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r>
              <w:rPr>
                <w:rFonts w:hint="eastAsia" w:ascii="宋体" w:hAnsi="宋体" w:cs="宋体"/>
                <w:szCs w:val="21"/>
              </w:rPr>
              <w:t>电</w:t>
            </w:r>
          </w:p>
          <w:p>
            <w:pPr>
              <w:spacing w:line="540" w:lineRule="exact"/>
              <w:ind w:firstLine="105" w:firstLineChars="50"/>
              <w:rPr>
                <w:rFonts w:ascii="宋体" w:hAnsi="宋体" w:cs="宋体"/>
                <w:szCs w:val="21"/>
              </w:rPr>
            </w:pPr>
            <w:r>
              <w:rPr>
                <w:rFonts w:hint="eastAsia" w:ascii="宋体" w:hAnsi="宋体" w:cs="宋体"/>
                <w:szCs w:val="21"/>
              </w:rPr>
              <w:t>气</w:t>
            </w:r>
          </w:p>
          <w:p>
            <w:pPr>
              <w:spacing w:line="540" w:lineRule="exact"/>
              <w:ind w:firstLine="105" w:firstLineChars="50"/>
              <w:rPr>
                <w:rFonts w:ascii="宋体" w:hAnsi="宋体" w:cs="宋体"/>
                <w:szCs w:val="21"/>
              </w:rPr>
            </w:pPr>
            <w:r>
              <w:rPr>
                <w:rFonts w:hint="eastAsia" w:ascii="宋体" w:hAnsi="宋体" w:cs="宋体"/>
                <w:szCs w:val="21"/>
              </w:rPr>
              <w:t>系</w:t>
            </w:r>
          </w:p>
          <w:p>
            <w:pPr>
              <w:spacing w:line="540" w:lineRule="exact"/>
              <w:ind w:firstLine="105" w:firstLineChars="50"/>
              <w:rPr>
                <w:rFonts w:ascii="宋体" w:hAnsi="宋体" w:cs="宋体"/>
                <w:szCs w:val="21"/>
              </w:rPr>
            </w:pPr>
            <w:r>
              <w:rPr>
                <w:rFonts w:hint="eastAsia" w:ascii="宋体" w:hAnsi="宋体" w:cs="宋体"/>
                <w:szCs w:val="21"/>
              </w:rPr>
              <w:t>统</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1、按一、二级保养方法进行全面维护保养。</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2、全面检查电气操作系统，每个2F、3F逐个试行，不符合设计要求的部位应重新进行调试。</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3、检查更换照明灯管。</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806"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r>
              <w:rPr>
                <w:rFonts w:hint="eastAsia" w:ascii="宋体" w:hAnsi="宋体" w:cs="宋体"/>
                <w:szCs w:val="21"/>
              </w:rPr>
              <w:t>一</w:t>
            </w:r>
          </w:p>
          <w:p>
            <w:pPr>
              <w:spacing w:line="540" w:lineRule="exact"/>
              <w:ind w:firstLine="105" w:firstLineChars="50"/>
              <w:rPr>
                <w:rFonts w:ascii="宋体" w:hAnsi="宋体" w:cs="宋体"/>
                <w:szCs w:val="21"/>
              </w:rPr>
            </w:pPr>
            <w:r>
              <w:rPr>
                <w:rFonts w:hint="eastAsia" w:ascii="宋体" w:hAnsi="宋体" w:cs="宋体"/>
                <w:szCs w:val="21"/>
              </w:rPr>
              <w:t>年</w:t>
            </w:r>
          </w:p>
          <w:p>
            <w:pPr>
              <w:spacing w:line="540" w:lineRule="exact"/>
              <w:ind w:firstLine="105" w:firstLineChars="50"/>
              <w:rPr>
                <w:rFonts w:ascii="宋体" w:hAnsi="宋体" w:cs="宋体"/>
                <w:szCs w:val="21"/>
              </w:rPr>
            </w:pPr>
            <w:r>
              <w:rPr>
                <w:rFonts w:hint="eastAsia" w:ascii="宋体" w:hAnsi="宋体" w:cs="宋体"/>
                <w:szCs w:val="21"/>
              </w:rPr>
              <w:t>一</w:t>
            </w:r>
          </w:p>
          <w:p>
            <w:pPr>
              <w:spacing w:line="540" w:lineRule="exact"/>
              <w:ind w:firstLine="105" w:firstLineChars="50"/>
              <w:rPr>
                <w:rFonts w:ascii="宋体" w:hAnsi="宋体" w:cs="宋体"/>
                <w:szCs w:val="21"/>
              </w:rPr>
            </w:pPr>
            <w:r>
              <w:rPr>
                <w:rFonts w:hint="eastAsia" w:ascii="宋体" w:hAnsi="宋体" w:cs="宋体"/>
                <w:szCs w:val="21"/>
              </w:rPr>
              <w:t>次</w:t>
            </w: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r>
              <w:rPr>
                <w:rFonts w:hint="eastAsia" w:ascii="宋体" w:hAnsi="宋体" w:cs="宋体"/>
                <w:szCs w:val="21"/>
              </w:rPr>
              <w:t>加</w:t>
            </w:r>
          </w:p>
          <w:p>
            <w:pPr>
              <w:spacing w:line="540" w:lineRule="exact"/>
              <w:ind w:firstLine="105" w:firstLineChars="50"/>
              <w:rPr>
                <w:rFonts w:ascii="宋体" w:hAnsi="宋体" w:cs="宋体"/>
                <w:szCs w:val="21"/>
              </w:rPr>
            </w:pPr>
            <w:r>
              <w:rPr>
                <w:rFonts w:hint="eastAsia" w:ascii="宋体" w:hAnsi="宋体" w:cs="宋体"/>
                <w:szCs w:val="21"/>
              </w:rPr>
              <w:t>油</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1、连续运行一年以上的车库，所有钢丝绳应清理油污，重新涂刷一次润滑油。</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2、拉力传感器滑动部位每年清理一次油泥，并加注新润滑油（脂）。</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restart"/>
            <w:tcBorders>
              <w:top w:val="single" w:color="auto" w:sz="4" w:space="0"/>
              <w:left w:val="single" w:color="auto" w:sz="4" w:space="0"/>
              <w:bottom w:val="single" w:color="auto" w:sz="4" w:space="0"/>
              <w:right w:val="single" w:color="auto" w:sz="4" w:space="0"/>
            </w:tcBorders>
          </w:tcPr>
          <w:p>
            <w:pPr>
              <w:spacing w:line="540" w:lineRule="exact"/>
              <w:ind w:firstLine="105" w:firstLineChars="50"/>
              <w:rPr>
                <w:rFonts w:ascii="宋体" w:hAnsi="宋体" w:cs="宋体"/>
                <w:szCs w:val="21"/>
              </w:rPr>
            </w:pPr>
            <w:r>
              <w:rPr>
                <w:rFonts w:hint="eastAsia" w:ascii="宋体" w:hAnsi="宋体" w:cs="宋体"/>
                <w:szCs w:val="21"/>
              </w:rPr>
              <w:t>调</w:t>
            </w:r>
          </w:p>
          <w:p>
            <w:pPr>
              <w:spacing w:line="540" w:lineRule="exact"/>
              <w:ind w:firstLine="105" w:firstLineChars="50"/>
              <w:rPr>
                <w:rFonts w:ascii="宋体" w:hAnsi="宋体" w:cs="宋体"/>
                <w:szCs w:val="21"/>
              </w:rPr>
            </w:pPr>
            <w:r>
              <w:rPr>
                <w:rFonts w:hint="eastAsia" w:ascii="宋体" w:hAnsi="宋体" w:cs="宋体"/>
                <w:szCs w:val="21"/>
              </w:rPr>
              <w:t>整</w:t>
            </w: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1、拉力传感器每年重新标校一次。</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s="宋体"/>
                <w:szCs w:val="21"/>
              </w:rPr>
            </w:pPr>
          </w:p>
        </w:tc>
        <w:tc>
          <w:tcPr>
            <w:tcW w:w="6617"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r>
              <w:rPr>
                <w:rFonts w:hint="eastAsia" w:ascii="宋体" w:hAnsi="宋体" w:cs="宋体"/>
                <w:szCs w:val="21"/>
              </w:rPr>
              <w:t>2、钢结构每年校对主要安装尺寸。</w:t>
            </w:r>
          </w:p>
        </w:tc>
        <w:tc>
          <w:tcPr>
            <w:tcW w:w="560"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Cs w:val="21"/>
              </w:rPr>
            </w:pPr>
          </w:p>
        </w:tc>
      </w:tr>
    </w:tbl>
    <w:p>
      <w:pPr>
        <w:autoSpaceDE w:val="0"/>
        <w:autoSpaceDN w:val="0"/>
        <w:adjustRightInd w:val="0"/>
        <w:spacing w:line="360" w:lineRule="auto"/>
        <w:ind w:left="3990"/>
        <w:textAlignment w:val="bottom"/>
        <w:rPr>
          <w:rFonts w:ascii="宋体" w:hAnsi="宋体" w:cs="宋体"/>
          <w:b/>
          <w:bCs/>
          <w:szCs w:val="21"/>
        </w:rPr>
      </w:pPr>
      <w:r>
        <w:rPr>
          <w:rFonts w:hint="eastAsia" w:ascii="宋体" w:hAnsi="宋体" w:cs="宋体"/>
          <w:b/>
          <w:bCs/>
          <w:szCs w:val="21"/>
        </w:rPr>
        <w:t>质量要求</w:t>
      </w:r>
    </w:p>
    <w:p>
      <w:pPr>
        <w:spacing w:line="540" w:lineRule="exact"/>
        <w:ind w:firstLine="420" w:firstLineChars="200"/>
        <w:rPr>
          <w:rFonts w:ascii="宋体" w:hAnsi="宋体" w:cs="宋体"/>
          <w:szCs w:val="21"/>
        </w:rPr>
      </w:pPr>
      <w:r>
        <w:rPr>
          <w:rFonts w:hint="eastAsia" w:ascii="宋体" w:hAnsi="宋体" w:cs="宋体"/>
          <w:szCs w:val="21"/>
        </w:rPr>
        <w:t>1、工作质量考核必须达到采购人要求。</w:t>
      </w:r>
    </w:p>
    <w:p>
      <w:pPr>
        <w:spacing w:line="540" w:lineRule="exact"/>
        <w:ind w:firstLine="420" w:firstLineChars="200"/>
        <w:rPr>
          <w:rFonts w:ascii="宋体" w:hAnsi="宋体" w:cs="宋体"/>
          <w:szCs w:val="21"/>
        </w:rPr>
      </w:pPr>
      <w:r>
        <w:rPr>
          <w:rFonts w:hint="eastAsia" w:ascii="宋体" w:hAnsi="宋体" w:cs="宋体"/>
          <w:szCs w:val="21"/>
        </w:rPr>
        <w:t>2、因成交人原因维保质量达不到约定的管理工作要求和技术标准的，采购人有权要求成交人返工直至符合协议要求为止，由此造成的费用由成交人承担。</w:t>
      </w:r>
    </w:p>
    <w:p>
      <w:pPr>
        <w:autoSpaceDE w:val="0"/>
        <w:autoSpaceDN w:val="0"/>
        <w:adjustRightInd w:val="0"/>
        <w:spacing w:line="360" w:lineRule="auto"/>
        <w:ind w:left="3990"/>
        <w:textAlignment w:val="bottom"/>
        <w:rPr>
          <w:rFonts w:ascii="宋体" w:hAnsi="宋体" w:cs="宋体"/>
          <w:b/>
          <w:bCs/>
          <w:szCs w:val="21"/>
        </w:rPr>
      </w:pPr>
      <w:r>
        <w:rPr>
          <w:rFonts w:hint="eastAsia" w:ascii="宋体" w:hAnsi="宋体" w:cs="宋体"/>
          <w:b/>
          <w:bCs/>
          <w:szCs w:val="21"/>
        </w:rPr>
        <w:t>安全生产</w:t>
      </w:r>
    </w:p>
    <w:p>
      <w:pPr>
        <w:spacing w:line="540" w:lineRule="exact"/>
        <w:rPr>
          <w:rFonts w:ascii="宋体" w:hAnsi="宋体" w:cs="宋体"/>
          <w:szCs w:val="21"/>
        </w:rPr>
      </w:pPr>
      <w:r>
        <w:rPr>
          <w:rFonts w:hint="eastAsia" w:ascii="宋体" w:hAnsi="宋体" w:cs="宋体"/>
          <w:szCs w:val="21"/>
        </w:rPr>
        <w:t>在服务期间，承包单位应加强安全管理，服务期间的安全责任由成交人自行承担。</w:t>
      </w:r>
    </w:p>
    <w:p>
      <w:pPr>
        <w:spacing w:line="540" w:lineRule="exact"/>
        <w:rPr>
          <w:rFonts w:ascii="宋体" w:hAnsi="宋体" w:cs="宋体"/>
          <w:b/>
          <w:bCs/>
          <w:szCs w:val="21"/>
          <w:u w:val="single"/>
        </w:rPr>
      </w:pPr>
      <w:r>
        <w:rPr>
          <w:rFonts w:hint="eastAsia" w:ascii="宋体" w:hAnsi="宋体" w:cs="宋体"/>
          <w:b/>
          <w:bCs/>
          <w:szCs w:val="21"/>
          <w:u w:val="single"/>
        </w:rPr>
        <w:t>▲中标后须取得设备生产厂家自主非标部件采购授权；</w:t>
      </w:r>
    </w:p>
    <w:p>
      <w:pPr>
        <w:autoSpaceDE w:val="0"/>
        <w:autoSpaceDN w:val="0"/>
        <w:adjustRightInd w:val="0"/>
        <w:spacing w:line="360" w:lineRule="auto"/>
        <w:ind w:left="3990"/>
        <w:textAlignment w:val="bottom"/>
        <w:rPr>
          <w:rFonts w:ascii="宋体" w:hAnsi="宋体" w:cs="宋体"/>
          <w:b/>
          <w:bCs/>
          <w:szCs w:val="21"/>
        </w:rPr>
      </w:pPr>
    </w:p>
    <w:p>
      <w:pPr>
        <w:autoSpaceDE w:val="0"/>
        <w:autoSpaceDN w:val="0"/>
        <w:adjustRightInd w:val="0"/>
        <w:spacing w:line="360" w:lineRule="auto"/>
        <w:ind w:left="3990"/>
        <w:textAlignment w:val="bottom"/>
        <w:rPr>
          <w:rFonts w:ascii="宋体" w:hAnsi="宋体" w:cs="宋体"/>
          <w:b/>
          <w:bCs/>
          <w:szCs w:val="21"/>
        </w:rPr>
      </w:pPr>
    </w:p>
    <w:p>
      <w:pPr>
        <w:autoSpaceDE w:val="0"/>
        <w:autoSpaceDN w:val="0"/>
        <w:adjustRightInd w:val="0"/>
        <w:spacing w:line="360" w:lineRule="auto"/>
        <w:ind w:left="3990"/>
        <w:textAlignment w:val="bottom"/>
        <w:rPr>
          <w:rFonts w:ascii="宋体" w:hAnsi="宋体" w:cs="宋体"/>
          <w:b/>
          <w:bCs/>
          <w:szCs w:val="21"/>
        </w:rPr>
      </w:pPr>
      <w:r>
        <w:rPr>
          <w:rFonts w:hint="eastAsia" w:ascii="宋体" w:hAnsi="宋体" w:cs="宋体"/>
          <w:b/>
          <w:bCs/>
          <w:szCs w:val="21"/>
        </w:rPr>
        <w:t>考核要求</w:t>
      </w:r>
    </w:p>
    <w:p>
      <w:pPr>
        <w:spacing w:line="540" w:lineRule="exact"/>
        <w:ind w:firstLine="420" w:firstLineChars="200"/>
        <w:rPr>
          <w:rFonts w:ascii="宋体" w:hAnsi="宋体" w:cs="宋体"/>
          <w:szCs w:val="21"/>
        </w:rPr>
      </w:pPr>
      <w:r>
        <w:rPr>
          <w:rFonts w:hint="eastAsia" w:ascii="宋体" w:hAnsi="宋体" w:cs="宋体"/>
          <w:szCs w:val="21"/>
        </w:rPr>
        <w:t>考核按季度实施，每季度考核总分为100分。采购人负责组建考核小组定期考核。考核小组将每季考核结果通报服务单位。季度考核累计扣分5分以内给予通报批评、限期整改，5分以上10分以内每扣1分按100元标准累加罚款， 10分以上每扣1分按200元标准累加罚款。罚款金额每季度结算一次，在服务费中进行扣除。服务单位在考核期限内被有效投诉二次以上的或造成外部不良影响的，发生重大责任事故或安全事故，终止合同，并没收履约保证金。</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3102"/>
        <w:gridCol w:w="2756"/>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625" w:type="dxa"/>
            <w:vAlign w:val="center"/>
          </w:tcPr>
          <w:p>
            <w:pPr>
              <w:pStyle w:val="2"/>
              <w:ind w:firstLine="210"/>
              <w:jc w:val="center"/>
              <w:rPr>
                <w:rFonts w:ascii="宋体" w:hAnsi="宋体" w:eastAsia="宋体" w:cs="宋体"/>
                <w:szCs w:val="21"/>
              </w:rPr>
            </w:pPr>
            <w:r>
              <w:rPr>
                <w:rFonts w:hint="eastAsia" w:ascii="宋体" w:hAnsi="宋体" w:eastAsia="宋体" w:cs="宋体"/>
                <w:szCs w:val="21"/>
              </w:rPr>
              <w:t>考核内容</w:t>
            </w:r>
          </w:p>
        </w:tc>
        <w:tc>
          <w:tcPr>
            <w:tcW w:w="3102" w:type="dxa"/>
            <w:vAlign w:val="center"/>
          </w:tcPr>
          <w:p>
            <w:pPr>
              <w:pStyle w:val="2"/>
              <w:ind w:firstLine="210"/>
              <w:jc w:val="center"/>
              <w:rPr>
                <w:rFonts w:ascii="宋体" w:hAnsi="宋体" w:eastAsia="宋体" w:cs="宋体"/>
                <w:szCs w:val="21"/>
              </w:rPr>
            </w:pPr>
            <w:r>
              <w:rPr>
                <w:rFonts w:hint="eastAsia" w:ascii="宋体" w:hAnsi="宋体" w:eastAsia="宋体" w:cs="宋体"/>
                <w:szCs w:val="21"/>
              </w:rPr>
              <w:t>目标要求</w:t>
            </w:r>
          </w:p>
        </w:tc>
        <w:tc>
          <w:tcPr>
            <w:tcW w:w="2756" w:type="dxa"/>
            <w:vAlign w:val="center"/>
          </w:tcPr>
          <w:p>
            <w:pPr>
              <w:pStyle w:val="2"/>
              <w:ind w:firstLine="210"/>
              <w:jc w:val="center"/>
              <w:rPr>
                <w:rFonts w:ascii="宋体" w:hAnsi="宋体" w:eastAsia="宋体" w:cs="宋体"/>
                <w:szCs w:val="21"/>
              </w:rPr>
            </w:pPr>
            <w:r>
              <w:rPr>
                <w:rFonts w:hint="eastAsia" w:ascii="宋体" w:hAnsi="宋体" w:eastAsia="宋体" w:cs="宋体"/>
                <w:szCs w:val="21"/>
              </w:rPr>
              <w:t>考核标准</w:t>
            </w:r>
          </w:p>
        </w:tc>
        <w:tc>
          <w:tcPr>
            <w:tcW w:w="1617" w:type="dxa"/>
            <w:vAlign w:val="center"/>
          </w:tcPr>
          <w:p>
            <w:pPr>
              <w:pStyle w:val="2"/>
              <w:ind w:firstLine="21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625"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响应时间</w:t>
            </w:r>
          </w:p>
        </w:tc>
        <w:tc>
          <w:tcPr>
            <w:tcW w:w="3102"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报修后15分钟到达现场</w:t>
            </w:r>
          </w:p>
        </w:tc>
        <w:tc>
          <w:tcPr>
            <w:tcW w:w="2756"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登记表统计，发生一例扣1分</w:t>
            </w:r>
          </w:p>
        </w:tc>
        <w:tc>
          <w:tcPr>
            <w:tcW w:w="1617" w:type="dxa"/>
            <w:vAlign w:val="center"/>
          </w:tcPr>
          <w:p>
            <w:pPr>
              <w:pStyle w:val="2"/>
              <w:ind w:firstLine="21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25" w:type="dxa"/>
            <w:vMerge w:val="restart"/>
            <w:vAlign w:val="center"/>
          </w:tcPr>
          <w:p>
            <w:pPr>
              <w:pStyle w:val="2"/>
              <w:ind w:firstLine="0" w:firstLineChars="0"/>
              <w:rPr>
                <w:rFonts w:ascii="宋体" w:hAnsi="宋体" w:eastAsia="宋体" w:cs="宋体"/>
                <w:szCs w:val="21"/>
              </w:rPr>
            </w:pPr>
          </w:p>
          <w:p>
            <w:pPr>
              <w:pStyle w:val="2"/>
              <w:ind w:firstLine="0" w:firstLineChars="0"/>
              <w:rPr>
                <w:rFonts w:ascii="宋体" w:hAnsi="宋体" w:eastAsia="宋体" w:cs="宋体"/>
                <w:szCs w:val="21"/>
              </w:rPr>
            </w:pPr>
            <w:r>
              <w:rPr>
                <w:rFonts w:hint="eastAsia" w:ascii="宋体" w:hAnsi="宋体" w:eastAsia="宋体" w:cs="宋体"/>
                <w:szCs w:val="21"/>
              </w:rPr>
              <w:t>例行维护保养</w:t>
            </w:r>
          </w:p>
          <w:p>
            <w:pPr>
              <w:pStyle w:val="2"/>
              <w:ind w:firstLine="210"/>
              <w:rPr>
                <w:rFonts w:ascii="宋体" w:hAnsi="宋体" w:eastAsia="宋体" w:cs="宋体"/>
                <w:szCs w:val="21"/>
              </w:rPr>
            </w:pPr>
          </w:p>
        </w:tc>
        <w:tc>
          <w:tcPr>
            <w:tcW w:w="3102"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维保的部位是否按保养周期定时保养，</w:t>
            </w:r>
          </w:p>
        </w:tc>
        <w:tc>
          <w:tcPr>
            <w:tcW w:w="2756"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发现不满足一项扣2分</w:t>
            </w:r>
          </w:p>
        </w:tc>
        <w:tc>
          <w:tcPr>
            <w:tcW w:w="1617" w:type="dxa"/>
            <w:vAlign w:val="center"/>
          </w:tcPr>
          <w:p>
            <w:pPr>
              <w:pStyle w:val="2"/>
              <w:ind w:firstLine="21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25" w:type="dxa"/>
            <w:vMerge w:val="continue"/>
            <w:vAlign w:val="center"/>
          </w:tcPr>
          <w:p>
            <w:pPr>
              <w:pStyle w:val="2"/>
              <w:ind w:firstLine="210"/>
              <w:rPr>
                <w:rFonts w:ascii="宋体" w:hAnsi="宋体" w:eastAsia="宋体" w:cs="宋体"/>
                <w:szCs w:val="21"/>
              </w:rPr>
            </w:pPr>
          </w:p>
        </w:tc>
        <w:tc>
          <w:tcPr>
            <w:tcW w:w="3102" w:type="dxa"/>
            <w:vAlign w:val="center"/>
          </w:tcPr>
          <w:p>
            <w:pPr>
              <w:rPr>
                <w:rFonts w:ascii="宋体" w:hAnsi="宋体" w:cs="宋体"/>
                <w:szCs w:val="21"/>
              </w:rPr>
            </w:pPr>
            <w:r>
              <w:rPr>
                <w:rFonts w:hint="eastAsia" w:ascii="宋体" w:hAnsi="宋体" w:cs="宋体"/>
                <w:szCs w:val="21"/>
              </w:rPr>
              <w:t>现场服务、技术故障解决时间的情况</w:t>
            </w:r>
          </w:p>
        </w:tc>
        <w:tc>
          <w:tcPr>
            <w:tcW w:w="2756"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发现与采购内容要求不符一项扣2分</w:t>
            </w:r>
          </w:p>
        </w:tc>
        <w:tc>
          <w:tcPr>
            <w:tcW w:w="1617" w:type="dxa"/>
            <w:vAlign w:val="center"/>
          </w:tcPr>
          <w:p>
            <w:pPr>
              <w:pStyle w:val="2"/>
              <w:ind w:firstLine="21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25" w:type="dxa"/>
            <w:vMerge w:val="continue"/>
            <w:vAlign w:val="center"/>
          </w:tcPr>
          <w:p>
            <w:pPr>
              <w:pStyle w:val="2"/>
              <w:ind w:firstLine="210"/>
              <w:rPr>
                <w:rFonts w:ascii="宋体" w:hAnsi="宋体" w:eastAsia="宋体" w:cs="宋体"/>
                <w:szCs w:val="21"/>
              </w:rPr>
            </w:pPr>
          </w:p>
        </w:tc>
        <w:tc>
          <w:tcPr>
            <w:tcW w:w="3102" w:type="dxa"/>
            <w:vAlign w:val="center"/>
          </w:tcPr>
          <w:p>
            <w:pPr>
              <w:rPr>
                <w:rFonts w:ascii="宋体" w:hAnsi="宋体" w:cs="宋体"/>
                <w:szCs w:val="21"/>
              </w:rPr>
            </w:pPr>
            <w:r>
              <w:rPr>
                <w:rFonts w:hint="eastAsia" w:ascii="宋体" w:hAnsi="宋体" w:cs="宋体"/>
                <w:szCs w:val="21"/>
              </w:rPr>
              <w:t>对本项目各种备品备件储备的情况</w:t>
            </w:r>
          </w:p>
        </w:tc>
        <w:tc>
          <w:tcPr>
            <w:tcW w:w="2756"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发现采购内容要求不符项扣2分</w:t>
            </w:r>
          </w:p>
        </w:tc>
        <w:tc>
          <w:tcPr>
            <w:tcW w:w="1617" w:type="dxa"/>
            <w:vAlign w:val="center"/>
          </w:tcPr>
          <w:p>
            <w:pPr>
              <w:pStyle w:val="2"/>
              <w:ind w:firstLine="21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25" w:type="dxa"/>
            <w:vMerge w:val="continue"/>
            <w:vAlign w:val="center"/>
          </w:tcPr>
          <w:p>
            <w:pPr>
              <w:pStyle w:val="2"/>
              <w:ind w:firstLine="0" w:firstLineChars="0"/>
              <w:rPr>
                <w:rFonts w:ascii="宋体" w:hAnsi="宋体" w:eastAsia="宋体" w:cs="宋体"/>
                <w:szCs w:val="21"/>
              </w:rPr>
            </w:pPr>
          </w:p>
        </w:tc>
        <w:tc>
          <w:tcPr>
            <w:tcW w:w="3102" w:type="dxa"/>
            <w:vAlign w:val="center"/>
          </w:tcPr>
          <w:p>
            <w:pPr>
              <w:rPr>
                <w:rFonts w:ascii="宋体" w:hAnsi="宋体" w:cs="宋体"/>
                <w:szCs w:val="21"/>
              </w:rPr>
            </w:pPr>
            <w:r>
              <w:rPr>
                <w:rFonts w:hint="eastAsia" w:ascii="宋体" w:hAnsi="宋体" w:cs="宋体"/>
                <w:szCs w:val="21"/>
              </w:rPr>
              <w:t>技术力量及技术支持情况，应提供充足的技术支持</w:t>
            </w:r>
          </w:p>
        </w:tc>
        <w:tc>
          <w:tcPr>
            <w:tcW w:w="2756"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发生一例扣2分</w:t>
            </w:r>
          </w:p>
        </w:tc>
        <w:tc>
          <w:tcPr>
            <w:tcW w:w="1617" w:type="dxa"/>
            <w:vAlign w:val="center"/>
          </w:tcPr>
          <w:p>
            <w:pPr>
              <w:pStyle w:val="2"/>
              <w:ind w:firstLine="21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25" w:type="dxa"/>
            <w:vMerge w:val="restart"/>
            <w:vAlign w:val="center"/>
          </w:tcPr>
          <w:p>
            <w:pPr>
              <w:pStyle w:val="2"/>
              <w:ind w:firstLine="0" w:firstLineChars="0"/>
              <w:rPr>
                <w:rFonts w:ascii="宋体" w:hAnsi="宋体" w:eastAsia="宋体" w:cs="宋体"/>
                <w:szCs w:val="21"/>
              </w:rPr>
            </w:pPr>
            <w:r>
              <w:rPr>
                <w:rFonts w:hint="eastAsia" w:ascii="宋体" w:hAnsi="宋体" w:eastAsia="宋体" w:cs="宋体"/>
                <w:szCs w:val="21"/>
              </w:rPr>
              <w:t>维保人员要求</w:t>
            </w:r>
          </w:p>
        </w:tc>
        <w:tc>
          <w:tcPr>
            <w:tcW w:w="3102" w:type="dxa"/>
            <w:vAlign w:val="center"/>
          </w:tcPr>
          <w:p>
            <w:pPr>
              <w:rPr>
                <w:rFonts w:ascii="宋体" w:hAnsi="宋体" w:cs="宋体"/>
                <w:szCs w:val="21"/>
              </w:rPr>
            </w:pPr>
            <w:r>
              <w:rPr>
                <w:rFonts w:hint="eastAsia" w:ascii="宋体" w:hAnsi="宋体" w:cs="宋体"/>
                <w:szCs w:val="21"/>
              </w:rPr>
              <w:t>现场维保人员应提供特种设备安全监督管理部门颁发的“特种设备作业人员证书”予保卫科备案。</w:t>
            </w:r>
          </w:p>
        </w:tc>
        <w:tc>
          <w:tcPr>
            <w:tcW w:w="2756"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发现一例扣1分</w:t>
            </w:r>
          </w:p>
        </w:tc>
        <w:tc>
          <w:tcPr>
            <w:tcW w:w="1617" w:type="dxa"/>
            <w:vAlign w:val="center"/>
          </w:tcPr>
          <w:p>
            <w:pPr>
              <w:pStyle w:val="2"/>
              <w:ind w:firstLine="21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25" w:type="dxa"/>
            <w:vMerge w:val="continue"/>
            <w:vAlign w:val="center"/>
          </w:tcPr>
          <w:p>
            <w:pPr>
              <w:pStyle w:val="2"/>
              <w:ind w:firstLine="0" w:firstLineChars="0"/>
              <w:rPr>
                <w:rFonts w:ascii="宋体" w:hAnsi="宋体" w:eastAsia="宋体" w:cs="宋体"/>
                <w:szCs w:val="21"/>
              </w:rPr>
            </w:pPr>
          </w:p>
        </w:tc>
        <w:tc>
          <w:tcPr>
            <w:tcW w:w="3102" w:type="dxa"/>
            <w:vAlign w:val="center"/>
          </w:tcPr>
          <w:p>
            <w:pPr>
              <w:rPr>
                <w:rFonts w:ascii="宋体" w:hAnsi="宋体" w:cs="宋体"/>
                <w:szCs w:val="21"/>
              </w:rPr>
            </w:pPr>
            <w:r>
              <w:rPr>
                <w:rFonts w:hint="eastAsia" w:ascii="宋体" w:hAnsi="宋体" w:cs="宋体"/>
                <w:szCs w:val="21"/>
              </w:rPr>
              <w:t>按照特种设备维保的法律法规、操作规程以及本单位的有关规章制度合理施工。</w:t>
            </w:r>
          </w:p>
        </w:tc>
        <w:tc>
          <w:tcPr>
            <w:tcW w:w="2756"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违规一例扣1分</w:t>
            </w:r>
          </w:p>
        </w:tc>
        <w:tc>
          <w:tcPr>
            <w:tcW w:w="1617" w:type="dxa"/>
            <w:vAlign w:val="center"/>
          </w:tcPr>
          <w:p>
            <w:pPr>
              <w:pStyle w:val="2"/>
              <w:ind w:firstLine="21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25" w:type="dxa"/>
            <w:vMerge w:val="continue"/>
            <w:vAlign w:val="center"/>
          </w:tcPr>
          <w:p>
            <w:pPr>
              <w:pStyle w:val="2"/>
              <w:ind w:firstLine="0" w:firstLineChars="0"/>
              <w:rPr>
                <w:rFonts w:ascii="宋体" w:hAnsi="宋体" w:eastAsia="宋体" w:cs="宋体"/>
                <w:szCs w:val="21"/>
              </w:rPr>
            </w:pPr>
          </w:p>
        </w:tc>
        <w:tc>
          <w:tcPr>
            <w:tcW w:w="3102" w:type="dxa"/>
            <w:vAlign w:val="center"/>
          </w:tcPr>
          <w:p>
            <w:pPr>
              <w:rPr>
                <w:rFonts w:ascii="宋体" w:hAnsi="宋体" w:cs="宋体"/>
                <w:szCs w:val="21"/>
              </w:rPr>
            </w:pPr>
            <w:r>
              <w:rPr>
                <w:rFonts w:hint="eastAsia" w:ascii="宋体" w:hAnsi="宋体" w:cs="宋体"/>
                <w:szCs w:val="21"/>
              </w:rPr>
              <w:t>维保人员应熟悉机械车位的各个安全装置的功能和位置，熟练施工，如发生设备损坏；</w:t>
            </w:r>
          </w:p>
        </w:tc>
        <w:tc>
          <w:tcPr>
            <w:tcW w:w="2756"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发生一例扣2分</w:t>
            </w:r>
          </w:p>
        </w:tc>
        <w:tc>
          <w:tcPr>
            <w:tcW w:w="1617" w:type="dxa"/>
            <w:vAlign w:val="center"/>
          </w:tcPr>
          <w:p>
            <w:pPr>
              <w:pStyle w:val="2"/>
              <w:ind w:firstLine="21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25" w:type="dxa"/>
            <w:vMerge w:val="continue"/>
            <w:vAlign w:val="center"/>
          </w:tcPr>
          <w:p>
            <w:pPr>
              <w:pStyle w:val="2"/>
              <w:ind w:firstLine="0" w:firstLineChars="0"/>
              <w:rPr>
                <w:rFonts w:ascii="宋体" w:hAnsi="宋体" w:eastAsia="宋体" w:cs="宋体"/>
                <w:szCs w:val="21"/>
              </w:rPr>
            </w:pPr>
          </w:p>
        </w:tc>
        <w:tc>
          <w:tcPr>
            <w:tcW w:w="3102" w:type="dxa"/>
            <w:vAlign w:val="center"/>
          </w:tcPr>
          <w:p>
            <w:pPr>
              <w:rPr>
                <w:rFonts w:ascii="宋体" w:hAnsi="宋体" w:cs="宋体"/>
                <w:szCs w:val="21"/>
              </w:rPr>
            </w:pPr>
            <w:r>
              <w:rPr>
                <w:rFonts w:hint="eastAsia" w:ascii="宋体" w:hAnsi="宋体" w:cs="宋体"/>
                <w:szCs w:val="21"/>
              </w:rPr>
              <w:t>做好日常维护保养，运行故障和事故记录，且经管理科室签字确认；</w:t>
            </w:r>
          </w:p>
        </w:tc>
        <w:tc>
          <w:tcPr>
            <w:tcW w:w="2756" w:type="dxa"/>
            <w:vAlign w:val="center"/>
          </w:tcPr>
          <w:p>
            <w:pPr>
              <w:pStyle w:val="2"/>
              <w:ind w:firstLine="0" w:firstLineChars="0"/>
              <w:rPr>
                <w:rFonts w:ascii="宋体" w:hAnsi="宋体" w:eastAsia="宋体" w:cs="宋体"/>
                <w:szCs w:val="21"/>
              </w:rPr>
            </w:pPr>
            <w:r>
              <w:rPr>
                <w:rFonts w:hint="eastAsia" w:ascii="宋体" w:hAnsi="宋体" w:eastAsia="宋体" w:cs="宋体"/>
                <w:szCs w:val="21"/>
              </w:rPr>
              <w:t>缺失一例扣1分</w:t>
            </w:r>
          </w:p>
        </w:tc>
        <w:tc>
          <w:tcPr>
            <w:tcW w:w="1617" w:type="dxa"/>
            <w:vAlign w:val="center"/>
          </w:tcPr>
          <w:p>
            <w:pPr>
              <w:pStyle w:val="2"/>
              <w:ind w:firstLine="210"/>
              <w:jc w:val="center"/>
              <w:rPr>
                <w:rFonts w:ascii="宋体" w:hAnsi="宋体" w:eastAsia="宋体" w:cs="宋体"/>
                <w:szCs w:val="21"/>
              </w:rPr>
            </w:pPr>
          </w:p>
        </w:tc>
      </w:tr>
    </w:tbl>
    <w:p>
      <w:pPr>
        <w:adjustRightInd w:val="0"/>
        <w:snapToGrid w:val="0"/>
        <w:spacing w:line="420" w:lineRule="exact"/>
        <w:ind w:firstLine="420" w:firstLineChars="200"/>
        <w:jc w:val="center"/>
        <w:rPr>
          <w:rFonts w:ascii="宋体" w:hAnsi="宋体" w:cs="宋体"/>
          <w:b/>
          <w:bCs/>
          <w:szCs w:val="21"/>
        </w:rPr>
      </w:pPr>
    </w:p>
    <w:p>
      <w:pPr>
        <w:adjustRightInd w:val="0"/>
        <w:snapToGrid w:val="0"/>
        <w:spacing w:line="420" w:lineRule="exact"/>
        <w:ind w:firstLine="420" w:firstLineChars="200"/>
        <w:jc w:val="center"/>
        <w:rPr>
          <w:rFonts w:ascii="宋体" w:hAnsi="宋体" w:cs="宋体"/>
          <w:b/>
          <w:bCs/>
          <w:szCs w:val="21"/>
        </w:rPr>
      </w:pPr>
      <w:r>
        <w:rPr>
          <w:rFonts w:hint="eastAsia" w:ascii="宋体" w:hAnsi="宋体" w:cs="宋体"/>
          <w:b/>
          <w:bCs/>
          <w:szCs w:val="21"/>
        </w:rPr>
        <w:t>四、考评与处罚</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1、严格遵守我中心制定的相关保卫规章制度，严禁值勤人员在上班时间仪容不整、缺岗、漏岗、串岗、迟到、早退、巡逻不到位、处置情况不及时等现象发生。</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2、严禁保安人员在岗点做与工作无关的事情。</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3、保安人员出现以上违纪违规现象，情节轻者给予相关经济处罚，严重者予以清退，中标供应商应确认执行。</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4、中标供应商应及时配合完成保卫科布置的各项任务。</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5、处罚标准以“三、详细服务要求、内容和范围”中的各项要求为准。</w:t>
      </w:r>
    </w:p>
    <w:p>
      <w:pPr>
        <w:adjustRightInd w:val="0"/>
        <w:snapToGrid w:val="0"/>
        <w:spacing w:line="420" w:lineRule="exact"/>
        <w:ind w:firstLine="420" w:firstLineChars="200"/>
        <w:jc w:val="center"/>
        <w:rPr>
          <w:rFonts w:ascii="宋体" w:hAnsi="宋体" w:cs="宋体"/>
          <w:b/>
          <w:bCs/>
          <w:szCs w:val="21"/>
        </w:rPr>
      </w:pPr>
      <w:r>
        <w:rPr>
          <w:rFonts w:hint="eastAsia" w:ascii="宋体" w:hAnsi="宋体" w:cs="宋体"/>
          <w:b/>
          <w:bCs/>
          <w:szCs w:val="21"/>
        </w:rPr>
        <w:t>五、报价要求</w:t>
      </w:r>
    </w:p>
    <w:p>
      <w:pPr>
        <w:pStyle w:val="5"/>
        <w:ind w:firstLine="420" w:firstLineChars="200"/>
        <w:rPr>
          <w:sz w:val="21"/>
          <w:szCs w:val="21"/>
        </w:rPr>
      </w:pPr>
      <w:r>
        <w:rPr>
          <w:rFonts w:hint="eastAsia" w:ascii="新宋体" w:hAnsi="新宋体" w:eastAsia="新宋体" w:cs="新宋体"/>
          <w:sz w:val="21"/>
          <w:szCs w:val="21"/>
        </w:rPr>
        <w:t>各投标人在行政中心的人员的薪金等发放必须采用银行发放方式，且必须在与行政中心一卡通系统进行战略合作的银行发放，派驻人员薪金也应采用银行发放方式。</w:t>
      </w:r>
    </w:p>
    <w:p>
      <w:pPr>
        <w:pStyle w:val="3"/>
        <w:ind w:firstLine="420" w:firstLineChars="200"/>
        <w:rPr>
          <w:rFonts w:ascii="宋体" w:hAnsi="宋体" w:eastAsia="宋体" w:cs="宋体"/>
          <w:b/>
          <w:bCs/>
          <w:sz w:val="21"/>
          <w:szCs w:val="21"/>
        </w:rPr>
      </w:pPr>
      <w:r>
        <w:rPr>
          <w:rFonts w:hint="eastAsia" w:ascii="宋体" w:hAnsi="宋体" w:eastAsia="宋体" w:cs="宋体"/>
          <w:b/>
          <w:bCs/>
          <w:sz w:val="21"/>
          <w:szCs w:val="21"/>
        </w:rPr>
        <w:t>▲本次报价须包含人员工资福利、各种社会保险、人员食宿与交通、人员培训、专用设备及工具、器材的维修维护、办公费等、利润及应缴纳的税金、不可预见费、咨询服务费等；</w:t>
      </w:r>
    </w:p>
    <w:p>
      <w:pPr>
        <w:adjustRightInd w:val="0"/>
        <w:snapToGrid w:val="0"/>
        <w:spacing w:line="440" w:lineRule="exact"/>
        <w:ind w:firstLine="420" w:firstLineChars="200"/>
        <w:rPr>
          <w:rFonts w:ascii="宋体" w:hAnsi="宋体" w:cs="宋体"/>
          <w:szCs w:val="21"/>
        </w:rPr>
      </w:pPr>
      <w:r>
        <w:rPr>
          <w:rFonts w:hint="eastAsia" w:ascii="宋体" w:hAnsi="宋体" w:cs="宋体"/>
          <w:b/>
          <w:bCs/>
          <w:szCs w:val="21"/>
          <w:u w:val="single"/>
        </w:rPr>
        <w:t>▲为防止不平衡报价，本次采购每个服务项的价格按照投标总价的下浮率进行同比例下浮计算。</w:t>
      </w:r>
    </w:p>
    <w:p>
      <w:pPr>
        <w:pStyle w:val="2"/>
        <w:ind w:firstLine="220"/>
        <w:rPr>
          <w:sz w:val="22"/>
          <w:szCs w:val="22"/>
        </w:rPr>
      </w:pPr>
    </w:p>
    <w:p>
      <w:pPr>
        <w:pStyle w:val="2"/>
        <w:ind w:firstLine="220"/>
        <w:rPr>
          <w:sz w:val="22"/>
          <w:szCs w:val="22"/>
        </w:rPr>
      </w:pPr>
    </w:p>
    <w:p>
      <w:pPr>
        <w:adjustRightInd w:val="0"/>
        <w:snapToGrid w:val="0"/>
        <w:spacing w:line="420" w:lineRule="exact"/>
        <w:ind w:firstLine="440" w:firstLineChars="200"/>
        <w:jc w:val="center"/>
        <w:rPr>
          <w:rFonts w:ascii="宋体" w:hAnsi="宋体" w:cs="宋体"/>
          <w:b/>
          <w:bCs/>
          <w:sz w:val="22"/>
          <w:szCs w:val="22"/>
        </w:rPr>
      </w:pPr>
      <w:r>
        <w:rPr>
          <w:rFonts w:hint="eastAsia" w:ascii="宋体" w:hAnsi="宋体" w:cs="宋体"/>
          <w:b/>
          <w:bCs/>
          <w:sz w:val="22"/>
          <w:szCs w:val="22"/>
        </w:rPr>
        <w:t>六、承包费用支付及考核</w:t>
      </w:r>
    </w:p>
    <w:p>
      <w:pPr>
        <w:pStyle w:val="143"/>
        <w:spacing w:line="466" w:lineRule="exact"/>
        <w:ind w:firstLine="420" w:firstLineChars="200"/>
        <w:jc w:val="both"/>
        <w:rPr>
          <w:sz w:val="21"/>
          <w:szCs w:val="21"/>
          <w:lang w:eastAsia="zh-CN"/>
        </w:rPr>
      </w:pPr>
      <w:r>
        <w:rPr>
          <w:rFonts w:hint="eastAsia"/>
          <w:sz w:val="21"/>
          <w:szCs w:val="21"/>
          <w:lang w:val="en-US" w:eastAsia="zh-CN"/>
        </w:rPr>
        <w:t>1.</w:t>
      </w:r>
      <w:r>
        <w:rPr>
          <w:sz w:val="21"/>
          <w:szCs w:val="21"/>
        </w:rPr>
        <w:t>中标人在</w:t>
      </w:r>
      <w:r>
        <w:rPr>
          <w:rFonts w:hint="eastAsia"/>
          <w:sz w:val="21"/>
          <w:szCs w:val="21"/>
          <w:lang w:val="en-US" w:eastAsia="zh-CN"/>
        </w:rPr>
        <w:t>签订</w:t>
      </w:r>
      <w:r>
        <w:rPr>
          <w:sz w:val="21"/>
          <w:szCs w:val="21"/>
        </w:rPr>
        <w:t>合同</w:t>
      </w:r>
      <w:r>
        <w:rPr>
          <w:rFonts w:hint="eastAsia"/>
          <w:sz w:val="21"/>
          <w:szCs w:val="21"/>
          <w:lang w:val="en-US" w:eastAsia="zh-CN"/>
        </w:rPr>
        <w:t>后</w:t>
      </w:r>
      <w:r>
        <w:rPr>
          <w:sz w:val="21"/>
          <w:szCs w:val="21"/>
        </w:rPr>
        <w:t>7</w:t>
      </w:r>
      <w:r>
        <w:rPr>
          <w:rFonts w:hint="eastAsia"/>
          <w:sz w:val="21"/>
          <w:szCs w:val="21"/>
          <w:lang w:val="en-US" w:eastAsia="zh-CN"/>
        </w:rPr>
        <w:t>日</w:t>
      </w:r>
      <w:r>
        <w:rPr>
          <w:sz w:val="21"/>
          <w:szCs w:val="21"/>
        </w:rPr>
        <w:t>内，向招标人提供</w:t>
      </w:r>
      <w:r>
        <w:rPr>
          <w:rFonts w:hint="eastAsia"/>
          <w:sz w:val="21"/>
          <w:szCs w:val="21"/>
          <w:lang w:eastAsia="zh-CN"/>
        </w:rPr>
        <w:t>该</w:t>
      </w:r>
      <w:r>
        <w:rPr>
          <w:sz w:val="21"/>
          <w:szCs w:val="21"/>
        </w:rPr>
        <w:t>合同总价</w:t>
      </w:r>
      <w:r>
        <w:rPr>
          <w:rFonts w:hint="eastAsia"/>
          <w:sz w:val="21"/>
          <w:szCs w:val="21"/>
          <w:lang w:val="en-US" w:eastAsia="zh-CN"/>
        </w:rPr>
        <w:t>3</w:t>
      </w:r>
      <w:r>
        <w:rPr>
          <w:sz w:val="21"/>
          <w:szCs w:val="21"/>
        </w:rPr>
        <w:t>%的履约保证金</w:t>
      </w:r>
      <w:r>
        <w:rPr>
          <w:rFonts w:hint="eastAsia"/>
          <w:sz w:val="21"/>
          <w:szCs w:val="21"/>
          <w:lang w:eastAsia="zh-CN"/>
        </w:rPr>
        <w:t>。</w:t>
      </w:r>
    </w:p>
    <w:p>
      <w:pPr>
        <w:pStyle w:val="143"/>
        <w:spacing w:line="466" w:lineRule="exact"/>
        <w:ind w:firstLine="420" w:firstLineChars="200"/>
        <w:jc w:val="both"/>
        <w:rPr>
          <w:sz w:val="21"/>
          <w:szCs w:val="21"/>
          <w:lang w:val="en-US" w:eastAsia="zh-CN"/>
        </w:rPr>
      </w:pPr>
      <w:r>
        <w:rPr>
          <w:rFonts w:hint="eastAsia"/>
          <w:sz w:val="21"/>
          <w:szCs w:val="21"/>
          <w:lang w:val="en-US" w:eastAsia="zh-CN"/>
        </w:rPr>
        <w:t>2.</w:t>
      </w:r>
      <w:r>
        <w:rPr>
          <w:rFonts w:hint="eastAsia"/>
          <w:sz w:val="21"/>
          <w:szCs w:val="21"/>
          <w:lang w:eastAsia="zh-CN"/>
        </w:rPr>
        <w:t>合同签订</w:t>
      </w:r>
      <w:r>
        <w:rPr>
          <w:rFonts w:hint="eastAsia"/>
          <w:sz w:val="21"/>
          <w:szCs w:val="21"/>
          <w:lang w:val="en-US" w:eastAsia="zh-CN"/>
        </w:rPr>
        <w:t>后，向中标人支付该合同总价（1年）的</w:t>
      </w:r>
      <w:r>
        <w:rPr>
          <w:rFonts w:hint="eastAsia"/>
          <w:sz w:val="21"/>
          <w:szCs w:val="21"/>
          <w:u w:val="single"/>
          <w:lang w:val="en-US" w:eastAsia="zh-CN"/>
        </w:rPr>
        <w:t>10%</w:t>
      </w:r>
      <w:r>
        <w:rPr>
          <w:rFonts w:hint="eastAsia"/>
          <w:sz w:val="21"/>
          <w:szCs w:val="21"/>
          <w:lang w:val="en-US" w:eastAsia="zh-CN"/>
        </w:rPr>
        <w:t>作为预付款。</w:t>
      </w:r>
    </w:p>
    <w:p>
      <w:pPr>
        <w:pStyle w:val="143"/>
        <w:spacing w:line="466" w:lineRule="exact"/>
        <w:ind w:firstLine="420" w:firstLineChars="200"/>
        <w:jc w:val="both"/>
        <w:rPr>
          <w:b/>
          <w:bCs/>
          <w:sz w:val="21"/>
          <w:szCs w:val="21"/>
          <w:shd w:val="clear" w:color="FFFFFF" w:fill="D9D9D9"/>
          <w:lang w:val="en-US" w:eastAsia="zh-CN"/>
        </w:rPr>
      </w:pPr>
      <w:r>
        <w:rPr>
          <w:rFonts w:hint="eastAsia"/>
          <w:sz w:val="21"/>
          <w:szCs w:val="21"/>
          <w:lang w:val="en-US" w:eastAsia="zh-CN"/>
        </w:rPr>
        <w:t>3.</w:t>
      </w:r>
      <w:r>
        <w:rPr>
          <w:rFonts w:hint="eastAsia"/>
          <w:sz w:val="21"/>
          <w:szCs w:val="21"/>
          <w:lang w:eastAsia="zh-CN"/>
        </w:rPr>
        <w:t>按照《考核办法》，支付前应扣除该</w:t>
      </w:r>
      <w:r>
        <w:rPr>
          <w:rFonts w:hint="eastAsia"/>
          <w:sz w:val="21"/>
          <w:szCs w:val="21"/>
          <w:lang w:val="en-US" w:eastAsia="zh-CN"/>
        </w:rPr>
        <w:t>月</w:t>
      </w:r>
      <w:r>
        <w:rPr>
          <w:rFonts w:hint="eastAsia"/>
          <w:sz w:val="21"/>
          <w:szCs w:val="21"/>
          <w:lang w:eastAsia="zh-CN"/>
        </w:rPr>
        <w:t>服务期间</w:t>
      </w:r>
      <w:r>
        <w:rPr>
          <w:rFonts w:hint="eastAsia"/>
          <w:sz w:val="21"/>
          <w:szCs w:val="21"/>
          <w:lang w:val="en-US" w:eastAsia="zh-CN"/>
        </w:rPr>
        <w:t>未履约的相关</w:t>
      </w:r>
      <w:r>
        <w:rPr>
          <w:rFonts w:hint="eastAsia"/>
          <w:sz w:val="21"/>
          <w:szCs w:val="21"/>
          <w:lang w:eastAsia="zh-CN"/>
        </w:rPr>
        <w:t>费用。即</w:t>
      </w:r>
      <w:r>
        <w:rPr>
          <w:rFonts w:hint="eastAsia"/>
          <w:sz w:val="21"/>
          <w:szCs w:val="21"/>
          <w:lang w:val="en-US" w:eastAsia="zh-CN"/>
        </w:rPr>
        <w:t>月实际支付</w:t>
      </w:r>
      <w:r>
        <w:rPr>
          <w:rFonts w:hint="eastAsia"/>
          <w:sz w:val="21"/>
          <w:szCs w:val="21"/>
          <w:lang w:eastAsia="zh-CN"/>
        </w:rPr>
        <w:t>费</w:t>
      </w:r>
      <w:r>
        <w:rPr>
          <w:rFonts w:hint="eastAsia"/>
          <w:sz w:val="21"/>
          <w:szCs w:val="21"/>
          <w:lang w:val="en-US" w:eastAsia="zh-CN"/>
        </w:rPr>
        <w:t>用</w:t>
      </w:r>
      <w:r>
        <w:rPr>
          <w:rFonts w:hint="eastAsia"/>
          <w:sz w:val="21"/>
          <w:szCs w:val="21"/>
          <w:lang w:eastAsia="zh-CN"/>
        </w:rPr>
        <w:t>由中标人按（该</w:t>
      </w:r>
      <w:r>
        <w:rPr>
          <w:rFonts w:hint="eastAsia"/>
          <w:sz w:val="21"/>
          <w:szCs w:val="21"/>
          <w:lang w:val="en-US" w:eastAsia="zh-CN"/>
        </w:rPr>
        <w:t>年</w:t>
      </w:r>
      <w:r>
        <w:rPr>
          <w:rFonts w:hint="eastAsia"/>
          <w:sz w:val="21"/>
          <w:szCs w:val="21"/>
          <w:lang w:eastAsia="zh-CN"/>
        </w:rPr>
        <w:t>合同总价-预付款）</w:t>
      </w:r>
      <w:r>
        <w:rPr>
          <w:rFonts w:hint="eastAsia"/>
          <w:sz w:val="21"/>
          <w:szCs w:val="21"/>
          <w:lang w:val="en-US" w:eastAsia="zh-CN"/>
        </w:rPr>
        <w:t>/12-当月考核</w:t>
      </w:r>
      <w:r>
        <w:rPr>
          <w:rFonts w:hint="eastAsia"/>
          <w:sz w:val="21"/>
          <w:szCs w:val="21"/>
          <w:lang w:eastAsia="zh-CN"/>
        </w:rPr>
        <w:t>处罚金额向招标人申请付款，招标人凭中标人开具的完税发票和员工工资发放凭证复印件（以便招标人确认务工人员劳动报酬已经兑现、支出总量汇总控制）进行支付，由招标人签署付款凭证，办理付款手续。服务费按先服务后支付的办法，按每月支付，支付时间为服务后下个月15日内支付，</w:t>
      </w:r>
      <w:r>
        <w:rPr>
          <w:rFonts w:hint="eastAsia"/>
          <w:sz w:val="21"/>
          <w:szCs w:val="21"/>
          <w:u w:val="single"/>
          <w:lang w:val="en-US" w:eastAsia="zh-CN"/>
        </w:rPr>
        <w:t>如与财政相关政策相抵触，以财政规定为准。</w:t>
      </w:r>
    </w:p>
    <w:p>
      <w:pPr>
        <w:pStyle w:val="3"/>
      </w:pPr>
    </w:p>
    <w:p>
      <w:pPr>
        <w:adjustRightInd w:val="0"/>
        <w:snapToGrid w:val="0"/>
        <w:spacing w:line="420" w:lineRule="exact"/>
        <w:ind w:firstLine="440" w:firstLineChars="200"/>
        <w:rPr>
          <w:rFonts w:ascii="宋体" w:hAnsi="宋体" w:cs="宋体"/>
          <w:sz w:val="22"/>
          <w:szCs w:val="22"/>
        </w:rPr>
      </w:pPr>
    </w:p>
    <w:p>
      <w:pPr>
        <w:adjustRightInd w:val="0"/>
        <w:snapToGrid w:val="0"/>
        <w:spacing w:line="420" w:lineRule="exact"/>
        <w:ind w:firstLine="440" w:firstLineChars="200"/>
        <w:jc w:val="center"/>
        <w:rPr>
          <w:rFonts w:ascii="宋体" w:hAnsi="宋体" w:cs="宋体"/>
          <w:b/>
          <w:bCs/>
          <w:sz w:val="22"/>
          <w:szCs w:val="22"/>
        </w:rPr>
      </w:pPr>
      <w:r>
        <w:rPr>
          <w:rFonts w:hint="eastAsia" w:ascii="宋体" w:hAnsi="宋体" w:cs="宋体"/>
          <w:b/>
          <w:bCs/>
          <w:sz w:val="22"/>
          <w:szCs w:val="22"/>
        </w:rPr>
        <w:t>七、服务期限</w:t>
      </w:r>
    </w:p>
    <w:p>
      <w:pPr>
        <w:pStyle w:val="143"/>
        <w:tabs>
          <w:tab w:val="left" w:pos="1041"/>
        </w:tabs>
        <w:spacing w:line="468" w:lineRule="exact"/>
        <w:ind w:firstLine="420" w:firstLineChars="200"/>
        <w:jc w:val="both"/>
        <w:rPr>
          <w:b/>
          <w:bCs/>
          <w:sz w:val="21"/>
          <w:szCs w:val="21"/>
          <w:lang w:val="en-US" w:eastAsia="zh-CN"/>
        </w:rPr>
      </w:pPr>
      <w:r>
        <w:rPr>
          <w:rFonts w:hint="eastAsia"/>
          <w:b/>
          <w:bCs/>
          <w:sz w:val="21"/>
          <w:szCs w:val="21"/>
          <w:lang w:val="en-US" w:eastAsia="zh-CN"/>
        </w:rPr>
        <w:t>服务期限:三年，合同一年一签，合同内容可根据实际管理情况进行修改。</w:t>
      </w:r>
    </w:p>
    <w:p>
      <w:pPr>
        <w:pStyle w:val="5"/>
        <w:keepNext w:val="0"/>
        <w:keepLines w:val="0"/>
        <w:pageBreakBefore/>
        <w:spacing w:beforeLines="100" w:afterLines="100" w:line="320" w:lineRule="exact"/>
        <w:jc w:val="center"/>
        <w:rPr>
          <w:rFonts w:ascii="Arial" w:hAnsi="Arial"/>
        </w:rPr>
      </w:pPr>
      <w:r>
        <w:rPr>
          <w:rFonts w:hint="eastAsia" w:hAnsi="宋体"/>
          <w:sz w:val="28"/>
          <w:szCs w:val="36"/>
        </w:rPr>
        <w:t>第四部分合同条款</w:t>
      </w:r>
      <w:bookmarkEnd w:id="40"/>
      <w:bookmarkEnd w:id="41"/>
    </w:p>
    <w:p>
      <w:pPr>
        <w:tabs>
          <w:tab w:val="left" w:pos="840"/>
        </w:tabs>
        <w:spacing w:line="360" w:lineRule="auto"/>
        <w:ind w:right="480"/>
        <w:jc w:val="center"/>
        <w:rPr>
          <w:rFonts w:ascii="宋体" w:hAnsi="宋体" w:cs="宋体"/>
          <w:sz w:val="24"/>
        </w:rPr>
      </w:pPr>
      <w:r>
        <w:rPr>
          <w:rFonts w:hint="eastAsia" w:ascii="宋体" w:hAnsi="宋体" w:cs="宋体"/>
          <w:sz w:val="24"/>
        </w:rPr>
        <w:t>编号：</w:t>
      </w:r>
    </w:p>
    <w:p>
      <w:pPr>
        <w:pStyle w:val="21"/>
        <w:snapToGrid w:val="0"/>
        <w:spacing w:before="156" w:after="156" w:line="440" w:lineRule="atLeast"/>
        <w:ind w:firstLine="482"/>
        <w:rPr>
          <w:rFonts w:hAnsi="宋体" w:cs="宋体"/>
          <w:sz w:val="22"/>
        </w:rPr>
      </w:pPr>
      <w:r>
        <w:rPr>
          <w:rFonts w:hint="eastAsia" w:hAnsi="宋体" w:cs="宋体"/>
          <w:sz w:val="22"/>
        </w:rPr>
        <w:t>采购人：（以下简称甲方）</w:t>
      </w:r>
    </w:p>
    <w:p>
      <w:pPr>
        <w:pStyle w:val="21"/>
        <w:snapToGrid w:val="0"/>
        <w:spacing w:before="156" w:after="156" w:line="440" w:lineRule="atLeast"/>
        <w:ind w:firstLine="482"/>
        <w:rPr>
          <w:rFonts w:hAnsi="宋体" w:cs="宋体"/>
          <w:sz w:val="22"/>
        </w:rPr>
      </w:pPr>
      <w:r>
        <w:rPr>
          <w:rFonts w:hint="eastAsia" w:hAnsi="宋体" w:cs="宋体"/>
          <w:sz w:val="22"/>
        </w:rPr>
        <w:t>中标供应商（承包方）：（以下简称乙方）</w:t>
      </w:r>
    </w:p>
    <w:p>
      <w:pPr>
        <w:pStyle w:val="21"/>
        <w:snapToGrid w:val="0"/>
        <w:spacing w:before="156" w:after="156" w:line="440" w:lineRule="exact"/>
        <w:ind w:firstLine="440" w:firstLineChars="200"/>
        <w:rPr>
          <w:rFonts w:hAnsi="宋体" w:cs="宋体"/>
          <w:sz w:val="22"/>
        </w:rPr>
      </w:pPr>
      <w:r>
        <w:rPr>
          <w:rFonts w:hint="eastAsia" w:hAnsi="宋体" w:cs="宋体"/>
          <w:sz w:val="22"/>
        </w:rPr>
        <w:t>温州市龙湾区机关事务管理中心就所需以号采购文件在温州市龙湾区公共资源交易中心公开招标。经专家决标，为中标人。买、卖双方同意按照下面的条款和条件，签署本合同。</w:t>
      </w:r>
    </w:p>
    <w:p>
      <w:pPr>
        <w:pStyle w:val="21"/>
        <w:snapToGrid w:val="0"/>
        <w:spacing w:before="156" w:after="156" w:line="440" w:lineRule="exact"/>
        <w:rPr>
          <w:rFonts w:hAnsi="宋体" w:cs="宋体"/>
          <w:sz w:val="22"/>
        </w:rPr>
      </w:pPr>
      <w:r>
        <w:rPr>
          <w:rFonts w:hint="eastAsia" w:hAnsi="宋体" w:cs="宋体"/>
          <w:sz w:val="22"/>
        </w:rPr>
        <w:t>一、承包范围和要求：</w:t>
      </w:r>
    </w:p>
    <w:p>
      <w:pPr>
        <w:pStyle w:val="21"/>
        <w:snapToGrid w:val="0"/>
        <w:spacing w:before="156" w:after="156" w:line="440" w:lineRule="exact"/>
        <w:rPr>
          <w:rFonts w:hAnsi="宋体" w:cs="宋体"/>
          <w:sz w:val="22"/>
        </w:rPr>
      </w:pPr>
      <w:r>
        <w:rPr>
          <w:rFonts w:hint="eastAsia" w:hAnsi="宋体" w:cs="宋体"/>
          <w:sz w:val="22"/>
        </w:rPr>
        <w:t>1、承包区域和要求：</w:t>
      </w:r>
    </w:p>
    <w:p>
      <w:pPr>
        <w:pStyle w:val="21"/>
        <w:snapToGrid w:val="0"/>
        <w:spacing w:before="156" w:after="156" w:line="440" w:lineRule="exact"/>
        <w:ind w:firstLine="440" w:firstLineChars="200"/>
        <w:rPr>
          <w:rFonts w:hAnsi="宋体" w:cs="宋体"/>
          <w:sz w:val="22"/>
        </w:rPr>
      </w:pPr>
      <w:r>
        <w:rPr>
          <w:rFonts w:hint="eastAsia" w:hAnsi="宋体" w:cs="宋体"/>
          <w:sz w:val="22"/>
        </w:rPr>
        <w:t>2、乙方在承包区域内提供等及相关服务，且只能在该范围内从事保安、信访劝导、监控、消防、停车场（库）管理服务、消防维保、机械车位维保的相关工作。（按照招标内容及要求）。</w:t>
      </w:r>
    </w:p>
    <w:p>
      <w:pPr>
        <w:pStyle w:val="21"/>
        <w:snapToGrid w:val="0"/>
        <w:spacing w:before="156" w:after="156" w:line="440" w:lineRule="exact"/>
        <w:rPr>
          <w:rFonts w:hAnsi="宋体" w:cs="宋体"/>
          <w:sz w:val="22"/>
        </w:rPr>
      </w:pPr>
      <w:r>
        <w:rPr>
          <w:rFonts w:hint="eastAsia" w:hAnsi="宋体" w:cs="宋体"/>
          <w:sz w:val="22"/>
        </w:rPr>
        <w:t>二、承包价格及支付：</w:t>
      </w:r>
    </w:p>
    <w:p>
      <w:pPr>
        <w:pStyle w:val="21"/>
        <w:snapToGrid w:val="0"/>
        <w:spacing w:before="156" w:after="156" w:line="440" w:lineRule="exact"/>
        <w:ind w:firstLine="440" w:firstLineChars="200"/>
        <w:rPr>
          <w:rFonts w:hAnsi="宋体" w:cs="宋体"/>
          <w:sz w:val="22"/>
        </w:rPr>
      </w:pPr>
      <w:r>
        <w:rPr>
          <w:rFonts w:hint="eastAsia" w:hAnsi="宋体" w:cs="宋体"/>
          <w:sz w:val="22"/>
        </w:rPr>
        <w:t>1、年承包合同价格：元(计人民币万元整，组成见附件)：</w:t>
      </w:r>
    </w:p>
    <w:p>
      <w:pPr>
        <w:pStyle w:val="21"/>
        <w:snapToGrid w:val="0"/>
        <w:spacing w:before="156" w:after="156" w:line="440" w:lineRule="exact"/>
        <w:ind w:firstLine="440" w:firstLineChars="200"/>
        <w:rPr>
          <w:rFonts w:hAnsi="宋体" w:cs="宋体"/>
          <w:sz w:val="22"/>
        </w:rPr>
      </w:pPr>
      <w:r>
        <w:rPr>
          <w:rFonts w:hint="eastAsia" w:hAnsi="宋体" w:cs="宋体"/>
          <w:sz w:val="22"/>
        </w:rPr>
        <w:t>该价格已包括通过全部政府有关部门、业主在内的各项验收及正常作业所需的一切劳务、材料、设备、配件、备件、损耗、包装、运输、维修、税费、保险、利润以及完成合同条件所需的一切本身和不可或缺的所有附带工作开支。</w:t>
      </w:r>
    </w:p>
    <w:p>
      <w:pPr>
        <w:pStyle w:val="21"/>
        <w:snapToGrid w:val="0"/>
        <w:spacing w:before="156" w:after="156" w:line="440" w:lineRule="exact"/>
        <w:ind w:firstLine="440" w:firstLineChars="200"/>
        <w:rPr>
          <w:rFonts w:hAnsi="宋体" w:cs="宋体"/>
          <w:sz w:val="22"/>
        </w:rPr>
      </w:pPr>
      <w:r>
        <w:rPr>
          <w:rFonts w:hint="eastAsia" w:hAnsi="宋体" w:cs="宋体"/>
          <w:sz w:val="22"/>
        </w:rPr>
        <w:t>2、承包合同价格除按本合同的规定外，不能作任何调整，任何计算错误皆视为已获双方接受：合同价亦不会因人工、物价或汇率等的变动而作任何调整。</w:t>
      </w:r>
    </w:p>
    <w:p>
      <w:pPr>
        <w:pStyle w:val="21"/>
        <w:snapToGrid w:val="0"/>
        <w:spacing w:before="156" w:after="156" w:line="440" w:lineRule="exact"/>
        <w:ind w:firstLine="440" w:firstLineChars="200"/>
        <w:rPr>
          <w:rFonts w:hAnsi="宋体" w:cs="宋体"/>
          <w:sz w:val="22"/>
        </w:rPr>
      </w:pPr>
      <w:r>
        <w:rPr>
          <w:rFonts w:hint="eastAsia" w:hAnsi="宋体" w:cs="宋体"/>
          <w:sz w:val="22"/>
        </w:rPr>
        <w:t>3、服务承包费用先服务后支付的办法，每月15日之前支付中标供应商上月的款项，节假日顺延。</w:t>
      </w:r>
    </w:p>
    <w:p>
      <w:pPr>
        <w:pStyle w:val="21"/>
        <w:snapToGrid w:val="0"/>
        <w:spacing w:before="156" w:after="156" w:line="440" w:lineRule="exact"/>
        <w:ind w:firstLine="440" w:firstLineChars="200"/>
        <w:rPr>
          <w:rFonts w:hAnsi="宋体" w:cs="宋体"/>
          <w:sz w:val="22"/>
        </w:rPr>
      </w:pPr>
      <w:r>
        <w:rPr>
          <w:rFonts w:hint="eastAsia" w:hAnsi="宋体" w:cs="宋体"/>
          <w:sz w:val="22"/>
        </w:rPr>
        <w:t>4、中标供应商须每年提供标段一：3.5万元；标段二：2万元，做为保安队员评先评优的奖金，具体评选办法由采购人确认。</w:t>
      </w:r>
    </w:p>
    <w:p>
      <w:pPr>
        <w:pStyle w:val="21"/>
        <w:snapToGrid w:val="0"/>
        <w:spacing w:before="156" w:after="156" w:line="440" w:lineRule="exact"/>
        <w:rPr>
          <w:rFonts w:hAnsi="宋体" w:cs="宋体"/>
          <w:sz w:val="22"/>
        </w:rPr>
      </w:pPr>
      <w:r>
        <w:rPr>
          <w:rFonts w:hint="eastAsia" w:hAnsi="宋体" w:cs="宋体"/>
          <w:sz w:val="22"/>
        </w:rPr>
        <w:t>三、履约保证金</w:t>
      </w:r>
    </w:p>
    <w:p>
      <w:pPr>
        <w:pStyle w:val="21"/>
        <w:snapToGrid w:val="0"/>
        <w:spacing w:before="156" w:after="156" w:line="440" w:lineRule="exact"/>
        <w:ind w:firstLine="440" w:firstLineChars="200"/>
        <w:rPr>
          <w:rFonts w:hAnsi="宋体" w:cs="宋体"/>
          <w:sz w:val="22"/>
        </w:rPr>
      </w:pPr>
      <w:r>
        <w:rPr>
          <w:rFonts w:hint="eastAsia" w:hAnsi="宋体" w:cs="宋体"/>
          <w:sz w:val="22"/>
        </w:rPr>
        <w:t>1、乙方必须在签订承包合同前向甲方指定银行账户交纳履约保证金中标金额的</w:t>
      </w:r>
      <w:r>
        <w:rPr>
          <w:rFonts w:hint="eastAsia" w:hAnsi="宋体" w:cs="宋体"/>
          <w:sz w:val="22"/>
          <w:u w:val="single"/>
        </w:rPr>
        <w:t>3%</w:t>
      </w:r>
      <w:r>
        <w:rPr>
          <w:rFonts w:hint="eastAsia" w:hAnsi="宋体" w:cs="宋体"/>
          <w:sz w:val="22"/>
        </w:rPr>
        <w:t>，以保证乙方遵守本合同的一切条款、条件和承诺，该保证金在甲方的规定存续期间不计息。</w:t>
      </w:r>
    </w:p>
    <w:p>
      <w:pPr>
        <w:pStyle w:val="21"/>
        <w:snapToGrid w:val="0"/>
        <w:spacing w:before="156" w:after="156" w:line="440" w:lineRule="exact"/>
        <w:ind w:firstLine="440" w:firstLineChars="200"/>
        <w:rPr>
          <w:rFonts w:hAnsi="宋体" w:cs="宋体"/>
          <w:sz w:val="22"/>
        </w:rPr>
      </w:pPr>
      <w:r>
        <w:rPr>
          <w:rFonts w:hint="eastAsia" w:hAnsi="宋体" w:cs="宋体"/>
          <w:sz w:val="22"/>
        </w:rPr>
        <w:t>2、甲方在任何时候都有权从履约保证金中扣除用于修复乙方损坏甲方的设备、设施、场地或因乙方违约而导致损失的金额或违约金，且乙方应在接到扣除履约保证金通知后一周内补足扣除差额，保证承包期间履约保证金的完整。</w:t>
      </w:r>
    </w:p>
    <w:p>
      <w:pPr>
        <w:pStyle w:val="21"/>
        <w:snapToGrid w:val="0"/>
        <w:spacing w:before="156" w:after="156" w:line="440" w:lineRule="exact"/>
        <w:ind w:firstLine="440" w:firstLineChars="200"/>
        <w:rPr>
          <w:rFonts w:hAnsi="宋体" w:cs="宋体"/>
          <w:sz w:val="22"/>
        </w:rPr>
      </w:pPr>
      <w:r>
        <w:rPr>
          <w:rFonts w:hint="eastAsia" w:hAnsi="宋体" w:cs="宋体"/>
          <w:sz w:val="22"/>
        </w:rPr>
        <w:t>3、甲方认为乙方在承包期内没有涉及甲方的应付而未付金额或违约行为，甲方在承包期满后或提前终止承包后一个月内全额退还履约保证金，否则，甲方将在扣除乙方应付金额或违约金后退还保证金余额。</w:t>
      </w:r>
    </w:p>
    <w:p>
      <w:pPr>
        <w:pStyle w:val="21"/>
        <w:snapToGrid w:val="0"/>
        <w:spacing w:before="156" w:after="156" w:line="440" w:lineRule="exact"/>
        <w:ind w:firstLine="440" w:firstLineChars="200"/>
        <w:rPr>
          <w:rFonts w:hAnsi="宋体" w:cs="宋体"/>
          <w:sz w:val="22"/>
        </w:rPr>
      </w:pPr>
      <w:r>
        <w:rPr>
          <w:rFonts w:hint="eastAsia" w:hAnsi="宋体" w:cs="宋体"/>
          <w:sz w:val="22"/>
        </w:rPr>
        <w:t>4、甲方有权在合同生效后，调整履约保证金的金额，且乙方必须按要求将保证金差额缴付甲方。如乙方承包的工作内容及费用发生增减，甲方将调整履约保证金。</w:t>
      </w:r>
    </w:p>
    <w:p>
      <w:pPr>
        <w:pStyle w:val="21"/>
        <w:snapToGrid w:val="0"/>
        <w:spacing w:before="156" w:after="156" w:line="440" w:lineRule="exact"/>
        <w:rPr>
          <w:rFonts w:hAnsi="宋体" w:cs="宋体"/>
          <w:sz w:val="22"/>
        </w:rPr>
      </w:pPr>
      <w:r>
        <w:rPr>
          <w:rFonts w:hint="eastAsia" w:hAnsi="宋体" w:cs="宋体"/>
          <w:sz w:val="22"/>
        </w:rPr>
        <w:t>四、经营制约</w:t>
      </w:r>
    </w:p>
    <w:p>
      <w:pPr>
        <w:pStyle w:val="21"/>
        <w:snapToGrid w:val="0"/>
        <w:spacing w:before="156" w:after="156" w:line="440" w:lineRule="exact"/>
        <w:ind w:firstLine="440" w:firstLineChars="200"/>
        <w:rPr>
          <w:rFonts w:hAnsi="宋体" w:cs="宋体"/>
          <w:sz w:val="22"/>
        </w:rPr>
      </w:pPr>
      <w:r>
        <w:rPr>
          <w:rFonts w:hint="eastAsia" w:hAnsi="宋体" w:cs="宋体"/>
          <w:sz w:val="22"/>
        </w:rPr>
        <w:t>1、未经甲方同意，乙方无权在承包中区域从事任何广告活动或类似宣传，甲方有权依照广告法和甲方相关的规定责令乙方限期改正，并接受处罚；但甲方在该区域发布的广告宣传保证不致影响乙方的正常工作。</w:t>
      </w:r>
    </w:p>
    <w:p>
      <w:pPr>
        <w:pStyle w:val="21"/>
        <w:snapToGrid w:val="0"/>
        <w:spacing w:before="156" w:after="156" w:line="440" w:lineRule="exact"/>
        <w:ind w:firstLine="440" w:firstLineChars="200"/>
        <w:rPr>
          <w:rFonts w:hAnsi="宋体" w:cs="宋体"/>
          <w:sz w:val="22"/>
        </w:rPr>
      </w:pPr>
      <w:r>
        <w:rPr>
          <w:rFonts w:hint="eastAsia" w:hAnsi="宋体" w:cs="宋体"/>
          <w:sz w:val="22"/>
        </w:rPr>
        <w:t>2、乙方不得以甲方的名义从事任何经济活动，且由此发生的一切债权、债务与甲方无关。</w:t>
      </w:r>
    </w:p>
    <w:p>
      <w:pPr>
        <w:pStyle w:val="21"/>
        <w:snapToGrid w:val="0"/>
        <w:spacing w:before="156" w:after="156" w:line="440" w:lineRule="exact"/>
        <w:rPr>
          <w:rFonts w:hAnsi="宋体" w:cs="宋体"/>
          <w:sz w:val="22"/>
        </w:rPr>
      </w:pPr>
      <w:r>
        <w:rPr>
          <w:rFonts w:hint="eastAsia" w:hAnsi="宋体" w:cs="宋体"/>
          <w:sz w:val="22"/>
        </w:rPr>
        <w:t>五、双方职责</w:t>
      </w:r>
    </w:p>
    <w:p>
      <w:pPr>
        <w:pStyle w:val="21"/>
        <w:snapToGrid w:val="0"/>
        <w:spacing w:before="156" w:after="156" w:line="440" w:lineRule="exact"/>
        <w:ind w:firstLine="440" w:firstLineChars="200"/>
        <w:rPr>
          <w:rFonts w:hAnsi="宋体" w:cs="宋体"/>
          <w:sz w:val="22"/>
        </w:rPr>
      </w:pPr>
      <w:r>
        <w:rPr>
          <w:rFonts w:hint="eastAsia" w:hAnsi="宋体" w:cs="宋体"/>
          <w:sz w:val="22"/>
        </w:rPr>
        <w:t>1、乙方职责：</w:t>
      </w:r>
    </w:p>
    <w:p>
      <w:pPr>
        <w:pStyle w:val="21"/>
        <w:snapToGrid w:val="0"/>
        <w:spacing w:before="156" w:after="156" w:line="440" w:lineRule="exact"/>
        <w:ind w:firstLine="440" w:firstLineChars="200"/>
        <w:rPr>
          <w:rFonts w:hAnsi="宋体" w:cs="宋体"/>
          <w:sz w:val="22"/>
        </w:rPr>
      </w:pPr>
      <w:r>
        <w:rPr>
          <w:rFonts w:hint="eastAsia" w:hAnsi="宋体" w:cs="宋体"/>
          <w:sz w:val="22"/>
        </w:rPr>
        <w:t>1.1、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pStyle w:val="21"/>
        <w:snapToGrid w:val="0"/>
        <w:spacing w:before="156" w:after="156" w:line="440" w:lineRule="exact"/>
        <w:ind w:firstLine="440" w:firstLineChars="200"/>
        <w:rPr>
          <w:rFonts w:hAnsi="宋体" w:cs="宋体"/>
          <w:sz w:val="22"/>
        </w:rPr>
      </w:pPr>
      <w:r>
        <w:rPr>
          <w:rFonts w:hint="eastAsia" w:hAnsi="宋体" w:cs="宋体"/>
          <w:sz w:val="22"/>
        </w:rPr>
        <w:t>1.2、在适当情况下，乙方应允许甲方或其授权的人员对承包区域内各项服务质量控制进行检查，有关费用由乙方承担。</w:t>
      </w:r>
    </w:p>
    <w:p>
      <w:pPr>
        <w:pStyle w:val="21"/>
        <w:snapToGrid w:val="0"/>
        <w:spacing w:before="156" w:after="156" w:line="440" w:lineRule="exact"/>
        <w:ind w:firstLine="440" w:firstLineChars="200"/>
        <w:rPr>
          <w:rFonts w:hAnsi="宋体" w:cs="宋体"/>
          <w:sz w:val="22"/>
        </w:rPr>
      </w:pPr>
      <w:r>
        <w:rPr>
          <w:rFonts w:hint="eastAsia" w:hAnsi="宋体" w:cs="宋体"/>
          <w:sz w:val="22"/>
        </w:rPr>
        <w:t>1.3、在承包区域的各项服务，其工作时间必须满足甲方的工作要求，包括星期天及公众假期，无论乙方有什么理由，都不可以停止服务工作。乙方必须保证全天二十四小时服务。</w:t>
      </w:r>
    </w:p>
    <w:p>
      <w:pPr>
        <w:pStyle w:val="21"/>
        <w:snapToGrid w:val="0"/>
        <w:spacing w:before="156" w:after="156" w:line="440" w:lineRule="exact"/>
        <w:ind w:firstLine="440" w:firstLineChars="200"/>
        <w:rPr>
          <w:rFonts w:hAnsi="宋体" w:cs="宋体"/>
          <w:sz w:val="22"/>
        </w:rPr>
      </w:pPr>
      <w:r>
        <w:rPr>
          <w:rFonts w:hint="eastAsia" w:hAnsi="宋体" w:cs="宋体"/>
          <w:sz w:val="22"/>
        </w:rPr>
        <w:t>1.4、乙方必须聘请（或指定）一位经理（负责人），全权直接代表乙方与甲方保持密切联系并保证承包区域服务工作。</w:t>
      </w:r>
    </w:p>
    <w:p>
      <w:pPr>
        <w:pStyle w:val="21"/>
        <w:snapToGrid w:val="0"/>
        <w:spacing w:before="156" w:after="156" w:line="440" w:lineRule="exact"/>
        <w:ind w:firstLine="440" w:firstLineChars="200"/>
        <w:rPr>
          <w:rFonts w:hAnsi="宋体" w:cs="宋体"/>
          <w:sz w:val="22"/>
        </w:rPr>
      </w:pPr>
      <w:r>
        <w:rPr>
          <w:rFonts w:hint="eastAsia" w:hAnsi="宋体" w:cs="宋体"/>
          <w:sz w:val="22"/>
        </w:rPr>
        <w:t>1.5、为承包区域的服务工作配备足够的人员，且聘用的工作人员必须符合劳动部门有关用工规定，并经乙方相关专业考核合格后持证上岗，甲方有权进行审核，该类费用开支由乙方负担。</w:t>
      </w:r>
    </w:p>
    <w:p>
      <w:pPr>
        <w:pStyle w:val="21"/>
        <w:snapToGrid w:val="0"/>
        <w:spacing w:before="156" w:after="156" w:line="440" w:lineRule="exact"/>
        <w:ind w:firstLine="440" w:firstLineChars="200"/>
        <w:rPr>
          <w:rFonts w:hAnsi="宋体" w:cs="宋体"/>
          <w:sz w:val="22"/>
        </w:rPr>
      </w:pPr>
      <w:r>
        <w:rPr>
          <w:rFonts w:hint="eastAsia" w:hAnsi="宋体" w:cs="宋体"/>
          <w:sz w:val="22"/>
        </w:rPr>
        <w:t>1.6、工作人员上岗穿戴由甲方确认的制服及甲方许可的装饰物品，费用和制作均由乙方负担。</w:t>
      </w:r>
    </w:p>
    <w:p>
      <w:pPr>
        <w:pStyle w:val="21"/>
        <w:snapToGrid w:val="0"/>
        <w:spacing w:before="156" w:after="156" w:line="440" w:lineRule="exact"/>
        <w:ind w:firstLine="440" w:firstLineChars="200"/>
        <w:rPr>
          <w:rFonts w:hAnsi="宋体" w:cs="宋体"/>
          <w:sz w:val="22"/>
        </w:rPr>
      </w:pPr>
      <w:r>
        <w:rPr>
          <w:rFonts w:hint="eastAsia" w:hAnsi="宋体" w:cs="宋体"/>
          <w:sz w:val="22"/>
        </w:rPr>
        <w:t>1.7、乙方必须出具或办妥法律及甲方规定的与承包区域经营业务有关的执照和许可证，方可从事经营并在经营中遵守一切有关条例和规定。自行缴纳税务、工商部门的各项税费。</w:t>
      </w:r>
    </w:p>
    <w:p>
      <w:pPr>
        <w:pStyle w:val="21"/>
        <w:snapToGrid w:val="0"/>
        <w:spacing w:before="156" w:after="156" w:line="440" w:lineRule="exact"/>
        <w:ind w:firstLine="440" w:firstLineChars="200"/>
        <w:rPr>
          <w:rFonts w:hAnsi="宋体" w:cs="宋体"/>
          <w:sz w:val="22"/>
        </w:rPr>
      </w:pPr>
      <w:r>
        <w:rPr>
          <w:rFonts w:hint="eastAsia" w:hAnsi="宋体" w:cs="宋体"/>
          <w:sz w:val="22"/>
        </w:rPr>
        <w:t>1.8、乙方必须确保为甲方提供优质、高效的专业服务，并根据甲方要求改变不满意的服务状况。接受有关部门监督与检查。同时，自觉参加甲方认为有助提高甲方形象和经营业绩的宣传活动。</w:t>
      </w:r>
    </w:p>
    <w:p>
      <w:pPr>
        <w:pStyle w:val="21"/>
        <w:snapToGrid w:val="0"/>
        <w:spacing w:before="156" w:after="156" w:line="440" w:lineRule="exact"/>
        <w:ind w:firstLine="440" w:firstLineChars="200"/>
        <w:rPr>
          <w:rFonts w:hAnsi="宋体" w:cs="宋体"/>
          <w:sz w:val="22"/>
        </w:rPr>
      </w:pPr>
      <w:r>
        <w:rPr>
          <w:rFonts w:hint="eastAsia" w:hAnsi="宋体" w:cs="宋体"/>
          <w:sz w:val="22"/>
        </w:rPr>
        <w:t>1.9、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连同15%行政附加费全部由乙方承担。甲方提供的所有设备、设施、工具由乙方使用的，除正常使用折旧外，乙方保证各设备、设施、工具的完好性。</w:t>
      </w:r>
    </w:p>
    <w:p>
      <w:pPr>
        <w:pStyle w:val="21"/>
        <w:snapToGrid w:val="0"/>
        <w:spacing w:before="156" w:after="156" w:line="440" w:lineRule="exact"/>
        <w:ind w:firstLine="440" w:firstLineChars="200"/>
        <w:rPr>
          <w:rFonts w:hAnsi="宋体" w:cs="宋体"/>
          <w:sz w:val="22"/>
        </w:rPr>
      </w:pPr>
      <w:r>
        <w:rPr>
          <w:rFonts w:hint="eastAsia" w:hAnsi="宋体" w:cs="宋体"/>
          <w:sz w:val="22"/>
        </w:rPr>
        <w:t>1.10、乙方在承包区域因作业所需增加机械、电力设备及设施应征得甲方同意，并聘请有资格的承造商进行安装、保养并将施工安装保养记录手册和图纸，交由甲方备案。</w:t>
      </w:r>
    </w:p>
    <w:p>
      <w:pPr>
        <w:pStyle w:val="21"/>
        <w:snapToGrid w:val="0"/>
        <w:spacing w:before="156" w:after="156" w:line="440" w:lineRule="exact"/>
        <w:ind w:firstLine="440" w:firstLineChars="200"/>
        <w:rPr>
          <w:rFonts w:hAnsi="宋体" w:cs="宋体"/>
          <w:sz w:val="22"/>
        </w:rPr>
      </w:pPr>
      <w:r>
        <w:rPr>
          <w:rFonts w:hint="eastAsia" w:hAnsi="宋体" w:cs="宋体"/>
          <w:sz w:val="22"/>
        </w:rPr>
        <w:t>1.11、禁止事项</w:t>
      </w:r>
    </w:p>
    <w:p>
      <w:pPr>
        <w:pStyle w:val="21"/>
        <w:snapToGrid w:val="0"/>
        <w:spacing w:before="156" w:after="156" w:line="440" w:lineRule="exact"/>
        <w:ind w:firstLine="440" w:firstLineChars="200"/>
        <w:rPr>
          <w:rFonts w:hAnsi="宋体" w:cs="宋体"/>
          <w:sz w:val="22"/>
        </w:rPr>
      </w:pPr>
      <w:r>
        <w:rPr>
          <w:rFonts w:hint="eastAsia" w:hAnsi="宋体" w:cs="宋体"/>
          <w:sz w:val="22"/>
        </w:rPr>
        <w:t>1.11.1、乙方不得以任何理由向甲方工作人员支付小费或赠送实物，违者将终止合同。乙方人员也不得以任何形式向行政大楼内相关人员索取小费或钱物等。</w:t>
      </w:r>
    </w:p>
    <w:p>
      <w:pPr>
        <w:pStyle w:val="21"/>
        <w:snapToGrid w:val="0"/>
        <w:spacing w:before="156" w:after="156" w:line="440" w:lineRule="exact"/>
        <w:ind w:firstLine="440" w:firstLineChars="200"/>
        <w:rPr>
          <w:rFonts w:hAnsi="宋体" w:cs="宋体"/>
          <w:sz w:val="22"/>
        </w:rPr>
      </w:pPr>
      <w:r>
        <w:rPr>
          <w:rFonts w:hint="eastAsia" w:hAnsi="宋体" w:cs="宋体"/>
          <w:sz w:val="22"/>
        </w:rPr>
        <w:t>1.11.2、不得在承包区域住宿或从事非法活动，也不得从事有损甲方利益的活动，同时不允许在承包区域对甲方活动进行滋扰性的行为。</w:t>
      </w:r>
    </w:p>
    <w:p>
      <w:pPr>
        <w:pStyle w:val="21"/>
        <w:snapToGrid w:val="0"/>
        <w:spacing w:before="156" w:after="156" w:line="440" w:lineRule="exact"/>
        <w:ind w:firstLine="440" w:firstLineChars="200"/>
        <w:rPr>
          <w:rFonts w:hAnsi="宋体" w:cs="宋体"/>
          <w:sz w:val="22"/>
        </w:rPr>
      </w:pPr>
      <w:r>
        <w:rPr>
          <w:rFonts w:hint="eastAsia" w:hAnsi="宋体" w:cs="宋体"/>
          <w:sz w:val="22"/>
        </w:rPr>
        <w:t>1.11.3、除经甲方批准进行必要的维修工程外，乙方不得损毁承包区域原有的设施和装潢，不得更改已铺设的电缆、电线等电力装置。同时，也不得安装任何可能造成电缆负载过大的电器设备，以免无线电受干扰。</w:t>
      </w:r>
    </w:p>
    <w:p>
      <w:pPr>
        <w:pStyle w:val="21"/>
        <w:snapToGrid w:val="0"/>
        <w:spacing w:before="156" w:after="156" w:line="440" w:lineRule="exact"/>
        <w:ind w:firstLine="440" w:firstLineChars="200"/>
        <w:rPr>
          <w:rFonts w:hAnsi="宋体" w:cs="宋体"/>
          <w:sz w:val="22"/>
        </w:rPr>
      </w:pPr>
      <w:r>
        <w:rPr>
          <w:rFonts w:hint="eastAsia" w:hAnsi="宋体" w:cs="宋体"/>
          <w:sz w:val="22"/>
        </w:rPr>
        <w:t>1.11.4、未获甲方书面同意，乙方任何时候都不能在承包区域存放易燃物品、挥发性大或气味浓烈的液体等。</w:t>
      </w:r>
    </w:p>
    <w:p>
      <w:pPr>
        <w:pStyle w:val="21"/>
        <w:snapToGrid w:val="0"/>
        <w:spacing w:before="156" w:after="156" w:line="440" w:lineRule="exact"/>
        <w:ind w:firstLine="440" w:firstLineChars="200"/>
        <w:rPr>
          <w:rFonts w:hAnsi="宋体" w:cs="宋体"/>
          <w:sz w:val="22"/>
        </w:rPr>
      </w:pPr>
      <w:r>
        <w:rPr>
          <w:rFonts w:hint="eastAsia" w:hAnsi="宋体" w:cs="宋体"/>
          <w:sz w:val="22"/>
        </w:rPr>
        <w:t>1.11.5甲方如发现乙方员工在外兼职的，发现一次扣除1万元的费用，发现二次扣除3万元费用，发现三次扣除5万元费用，并有权无条件终止合同。</w:t>
      </w:r>
    </w:p>
    <w:p>
      <w:pPr>
        <w:pStyle w:val="21"/>
        <w:snapToGrid w:val="0"/>
        <w:spacing w:before="156" w:after="156" w:line="440" w:lineRule="exact"/>
        <w:ind w:firstLine="440" w:firstLineChars="200"/>
        <w:rPr>
          <w:rFonts w:hAnsi="宋体" w:cs="宋体"/>
          <w:sz w:val="22"/>
        </w:rPr>
      </w:pPr>
      <w:r>
        <w:rPr>
          <w:rFonts w:hint="eastAsia" w:hAnsi="宋体" w:cs="宋体"/>
          <w:sz w:val="22"/>
        </w:rPr>
        <w:t>1.12、保险</w:t>
      </w:r>
    </w:p>
    <w:p>
      <w:pPr>
        <w:pStyle w:val="21"/>
        <w:snapToGrid w:val="0"/>
        <w:spacing w:before="156" w:after="156" w:line="440" w:lineRule="exact"/>
        <w:ind w:firstLine="440" w:firstLineChars="200"/>
        <w:rPr>
          <w:rFonts w:hAnsi="宋体" w:cs="宋体"/>
          <w:sz w:val="22"/>
        </w:rPr>
      </w:pPr>
      <w:r>
        <w:rPr>
          <w:rFonts w:hint="eastAsia" w:hAnsi="宋体" w:cs="宋体"/>
          <w:sz w:val="22"/>
        </w:rPr>
        <w:t>1.12.1、第三者责任保险</w:t>
      </w:r>
    </w:p>
    <w:p>
      <w:pPr>
        <w:pStyle w:val="21"/>
        <w:snapToGrid w:val="0"/>
        <w:spacing w:before="156" w:after="156" w:line="440" w:lineRule="exact"/>
        <w:ind w:firstLine="440" w:firstLineChars="200"/>
        <w:rPr>
          <w:rFonts w:hAnsi="宋体" w:cs="宋体"/>
          <w:sz w:val="22"/>
        </w:rPr>
      </w:pPr>
      <w:r>
        <w:rPr>
          <w:rFonts w:hint="eastAsia" w:hAnsi="宋体" w:cs="宋体"/>
          <w:sz w:val="22"/>
        </w:rPr>
        <w:t>（1）、乙方应对甲方的物业和人员以及第三方全权负责（如乙方应投保第三责任险），在乙方的责任区内由于乙方原因导致第三方的事故由乙方负责，甲方不承担任何责任。</w:t>
      </w:r>
    </w:p>
    <w:p>
      <w:pPr>
        <w:pStyle w:val="21"/>
        <w:snapToGrid w:val="0"/>
        <w:spacing w:before="156" w:after="156" w:line="440" w:lineRule="exact"/>
        <w:ind w:firstLine="440" w:firstLineChars="200"/>
        <w:rPr>
          <w:rFonts w:hAnsi="宋体" w:cs="宋体"/>
          <w:sz w:val="22"/>
        </w:rPr>
      </w:pPr>
      <w:r>
        <w:rPr>
          <w:rFonts w:hint="eastAsia" w:hAnsi="宋体" w:cs="宋体"/>
          <w:sz w:val="22"/>
        </w:rPr>
        <w:t>（2）、乙方需在承包期内向甲方出示此保险单及已付清保险费的收据。</w:t>
      </w:r>
    </w:p>
    <w:p>
      <w:pPr>
        <w:pStyle w:val="21"/>
        <w:snapToGrid w:val="0"/>
        <w:spacing w:before="156" w:after="156" w:line="440" w:lineRule="exact"/>
        <w:ind w:firstLine="440" w:firstLineChars="200"/>
        <w:rPr>
          <w:rFonts w:hAnsi="宋体" w:cs="宋体"/>
          <w:sz w:val="22"/>
        </w:rPr>
      </w:pPr>
      <w:r>
        <w:rPr>
          <w:rFonts w:hint="eastAsia" w:hAnsi="宋体" w:cs="宋体"/>
          <w:sz w:val="22"/>
        </w:rPr>
        <w:t>1.12.2、员工人身意外</w:t>
      </w:r>
    </w:p>
    <w:p>
      <w:pPr>
        <w:pStyle w:val="21"/>
        <w:snapToGrid w:val="0"/>
        <w:spacing w:before="156" w:after="156" w:line="440" w:lineRule="exact"/>
        <w:ind w:firstLine="440" w:firstLineChars="200"/>
        <w:rPr>
          <w:rFonts w:hAnsi="宋体" w:cs="宋体"/>
          <w:sz w:val="22"/>
        </w:rPr>
      </w:pPr>
      <w:r>
        <w:rPr>
          <w:rFonts w:hint="eastAsia" w:hAnsi="宋体" w:cs="宋体"/>
          <w:sz w:val="22"/>
        </w:rPr>
        <w:t>在承包期内，乙方所有人员的事故由乙方自行全权负责（如乙方应对其员工投保人身意外险），甲方概不承担事故责任。</w:t>
      </w:r>
    </w:p>
    <w:p>
      <w:pPr>
        <w:pStyle w:val="21"/>
        <w:snapToGrid w:val="0"/>
        <w:spacing w:before="156" w:after="156" w:line="440" w:lineRule="exact"/>
        <w:ind w:firstLine="440" w:firstLineChars="200"/>
        <w:rPr>
          <w:rFonts w:hAnsi="宋体" w:cs="宋体"/>
          <w:sz w:val="22"/>
        </w:rPr>
      </w:pPr>
      <w:r>
        <w:rPr>
          <w:rFonts w:hint="eastAsia" w:hAnsi="宋体" w:cs="宋体"/>
          <w:sz w:val="22"/>
        </w:rPr>
        <w:t>1.12.3、其他保险及费用</w:t>
      </w:r>
    </w:p>
    <w:p>
      <w:pPr>
        <w:pStyle w:val="21"/>
        <w:snapToGrid w:val="0"/>
        <w:spacing w:before="156" w:after="156" w:line="440" w:lineRule="exact"/>
        <w:ind w:firstLine="440" w:firstLineChars="200"/>
        <w:rPr>
          <w:rFonts w:hAnsi="宋体" w:cs="宋体"/>
          <w:sz w:val="22"/>
        </w:rPr>
      </w:pPr>
      <w:r>
        <w:rPr>
          <w:rFonts w:hint="eastAsia" w:hAnsi="宋体" w:cs="宋体"/>
          <w:sz w:val="22"/>
        </w:rPr>
        <w:t>乙方应按政府各部门有关规定为全体服务人员交纳所有相关的社会保险及其他相关费用。乙方应对此全权负责。</w:t>
      </w:r>
    </w:p>
    <w:p>
      <w:pPr>
        <w:pStyle w:val="21"/>
        <w:snapToGrid w:val="0"/>
        <w:spacing w:before="156" w:after="156" w:line="440" w:lineRule="exact"/>
        <w:ind w:firstLine="440" w:firstLineChars="200"/>
        <w:rPr>
          <w:rFonts w:hAnsi="宋体" w:cs="宋体"/>
          <w:sz w:val="22"/>
        </w:rPr>
      </w:pPr>
      <w:r>
        <w:rPr>
          <w:rFonts w:hint="eastAsia" w:hAnsi="宋体" w:cs="宋体"/>
          <w:sz w:val="22"/>
        </w:rPr>
        <w:t>1.13、乙方及其员工遵守行政大楼内的一切行政管理、消防安全等规定和制度，保证承包区域的消防设施能正常使用，消防通道畅通，同时承担违规责任。</w:t>
      </w:r>
    </w:p>
    <w:p>
      <w:pPr>
        <w:pStyle w:val="21"/>
        <w:snapToGrid w:val="0"/>
        <w:spacing w:before="156" w:after="156" w:line="440" w:lineRule="exact"/>
        <w:ind w:firstLine="440" w:firstLineChars="200"/>
        <w:rPr>
          <w:rFonts w:hAnsi="宋体" w:cs="宋体"/>
          <w:sz w:val="22"/>
        </w:rPr>
      </w:pPr>
      <w:r>
        <w:rPr>
          <w:rFonts w:hint="eastAsia" w:hAnsi="宋体" w:cs="宋体"/>
          <w:sz w:val="22"/>
        </w:rPr>
        <w:t>1.14、遇突发事件或安全检查时，乙方必须配合执行任务，并指定专职人员协助工作，直至完成。</w:t>
      </w:r>
    </w:p>
    <w:p>
      <w:pPr>
        <w:pStyle w:val="21"/>
        <w:snapToGrid w:val="0"/>
        <w:spacing w:before="156" w:after="156" w:line="440" w:lineRule="exact"/>
        <w:ind w:firstLine="440" w:firstLineChars="200"/>
        <w:rPr>
          <w:rFonts w:hAnsi="宋体" w:cs="宋体"/>
          <w:sz w:val="22"/>
        </w:rPr>
      </w:pPr>
      <w:r>
        <w:rPr>
          <w:rFonts w:hint="eastAsia" w:hAnsi="宋体" w:cs="宋体"/>
          <w:sz w:val="22"/>
        </w:rPr>
        <w:t>1.15乙方对安全问题负全责，包括出现信访闹事、消防安全、财产安全、人身安全等。若由于自身工作未到位，将承担违约责任并负责赔偿损失。</w:t>
      </w:r>
    </w:p>
    <w:p>
      <w:pPr>
        <w:pStyle w:val="21"/>
        <w:snapToGrid w:val="0"/>
        <w:spacing w:before="156" w:after="156" w:line="440" w:lineRule="exact"/>
        <w:ind w:firstLine="440" w:firstLineChars="200"/>
        <w:rPr>
          <w:rFonts w:hAnsi="宋体" w:cs="宋体"/>
          <w:sz w:val="22"/>
        </w:rPr>
      </w:pPr>
      <w:r>
        <w:rPr>
          <w:rFonts w:hint="eastAsia" w:hAnsi="宋体" w:cs="宋体"/>
          <w:sz w:val="22"/>
        </w:rPr>
        <w:t>1.15、乙方保证在承包期满当天下午五时前撤离现场。</w:t>
      </w:r>
    </w:p>
    <w:p>
      <w:pPr>
        <w:pStyle w:val="21"/>
        <w:snapToGrid w:val="0"/>
        <w:spacing w:before="156" w:after="156" w:line="440" w:lineRule="exact"/>
        <w:ind w:firstLine="440" w:firstLineChars="200"/>
        <w:rPr>
          <w:rFonts w:hAnsi="宋体" w:cs="宋体"/>
          <w:sz w:val="22"/>
        </w:rPr>
      </w:pPr>
      <w:r>
        <w:rPr>
          <w:rFonts w:hint="eastAsia" w:hAnsi="宋体" w:cs="宋体"/>
          <w:sz w:val="22"/>
        </w:rPr>
        <w:t>2、甲方职责：</w:t>
      </w:r>
    </w:p>
    <w:p>
      <w:pPr>
        <w:pStyle w:val="21"/>
        <w:snapToGrid w:val="0"/>
        <w:spacing w:before="156" w:after="156" w:line="440" w:lineRule="exact"/>
        <w:ind w:firstLine="440" w:firstLineChars="200"/>
        <w:rPr>
          <w:rFonts w:hAnsi="宋体" w:cs="宋体"/>
          <w:sz w:val="22"/>
        </w:rPr>
      </w:pPr>
      <w:r>
        <w:rPr>
          <w:rFonts w:hint="eastAsia" w:hAnsi="宋体" w:cs="宋体"/>
          <w:sz w:val="22"/>
        </w:rPr>
        <w:t>2.1  甲方在职权范围内保证乙方的正常经营不受干扰。</w:t>
      </w:r>
    </w:p>
    <w:p>
      <w:pPr>
        <w:pStyle w:val="21"/>
        <w:snapToGrid w:val="0"/>
        <w:spacing w:before="156" w:after="156" w:line="440" w:lineRule="exact"/>
        <w:ind w:firstLine="440" w:firstLineChars="200"/>
        <w:rPr>
          <w:rFonts w:hAnsi="宋体" w:cs="宋体"/>
          <w:sz w:val="22"/>
        </w:rPr>
      </w:pPr>
      <w:r>
        <w:rPr>
          <w:rFonts w:hint="eastAsia" w:hAnsi="宋体" w:cs="宋体"/>
          <w:sz w:val="22"/>
        </w:rPr>
        <w:t>2.2  保证乙方员工的工具按规定正常进入承包区域开展服务工作。</w:t>
      </w:r>
    </w:p>
    <w:p>
      <w:pPr>
        <w:pStyle w:val="21"/>
        <w:snapToGrid w:val="0"/>
        <w:spacing w:before="156" w:after="156" w:line="440" w:lineRule="exact"/>
        <w:ind w:firstLine="440" w:firstLineChars="200"/>
        <w:rPr>
          <w:rFonts w:hAnsi="宋体" w:cs="宋体"/>
          <w:sz w:val="22"/>
        </w:rPr>
      </w:pPr>
      <w:r>
        <w:rPr>
          <w:rFonts w:hint="eastAsia" w:hAnsi="宋体" w:cs="宋体"/>
          <w:sz w:val="22"/>
        </w:rPr>
        <w:t>2.3  甲方提供乙方存放工具、换衣、休息及办公场所。</w:t>
      </w:r>
    </w:p>
    <w:p>
      <w:pPr>
        <w:pStyle w:val="21"/>
        <w:snapToGrid w:val="0"/>
        <w:spacing w:before="156" w:after="156" w:line="440" w:lineRule="exact"/>
        <w:ind w:firstLine="440" w:firstLineChars="200"/>
      </w:pPr>
      <w:r>
        <w:rPr>
          <w:rFonts w:hint="eastAsia" w:hAnsi="宋体" w:cs="宋体"/>
          <w:sz w:val="22"/>
        </w:rPr>
        <w:t>2.4  甲方对乙方的服务开展考评，有问题及时反映乙方。</w:t>
      </w:r>
    </w:p>
    <w:p>
      <w:pPr>
        <w:pStyle w:val="21"/>
        <w:snapToGrid w:val="0"/>
        <w:spacing w:before="156" w:after="156" w:line="440" w:lineRule="exact"/>
        <w:rPr>
          <w:rFonts w:hAnsi="宋体" w:cs="宋体"/>
          <w:sz w:val="22"/>
        </w:rPr>
      </w:pPr>
      <w:r>
        <w:rPr>
          <w:rFonts w:hint="eastAsia" w:hAnsi="宋体" w:cs="宋体"/>
          <w:sz w:val="22"/>
        </w:rPr>
        <w:t>六、不可抗力</w:t>
      </w:r>
    </w:p>
    <w:p>
      <w:pPr>
        <w:pStyle w:val="21"/>
        <w:snapToGrid w:val="0"/>
        <w:spacing w:before="156" w:after="156" w:line="440" w:lineRule="exact"/>
        <w:ind w:firstLine="431" w:firstLineChars="196"/>
        <w:rPr>
          <w:rFonts w:hAnsi="宋体" w:cs="宋体"/>
          <w:sz w:val="22"/>
        </w:rPr>
      </w:pPr>
      <w:r>
        <w:rPr>
          <w:rFonts w:hint="eastAsia" w:hAnsi="宋体" w:cs="宋体"/>
          <w:sz w:val="22"/>
        </w:rPr>
        <w:t>1、在承包期间发生地震、火灾及其他双方不能控制的原因，导致承包区域不能正常经营，合同不能或不能全部履行。双方可以按以下各项执行：</w:t>
      </w:r>
    </w:p>
    <w:p>
      <w:pPr>
        <w:pStyle w:val="21"/>
        <w:snapToGrid w:val="0"/>
        <w:spacing w:before="156" w:after="156" w:line="440" w:lineRule="exact"/>
        <w:ind w:firstLine="431" w:firstLineChars="196"/>
        <w:rPr>
          <w:rFonts w:hAnsi="宋体" w:cs="宋体"/>
          <w:sz w:val="22"/>
        </w:rPr>
      </w:pPr>
      <w:r>
        <w:rPr>
          <w:rFonts w:hint="eastAsia" w:hAnsi="宋体" w:cs="宋体"/>
          <w:sz w:val="22"/>
        </w:rPr>
        <w:t>1.1、任何一方可以书面形式终止合同无需做出任何赔偿。</w:t>
      </w:r>
    </w:p>
    <w:p>
      <w:pPr>
        <w:pStyle w:val="21"/>
        <w:snapToGrid w:val="0"/>
        <w:spacing w:before="156" w:after="156" w:line="440" w:lineRule="exact"/>
        <w:ind w:firstLine="431" w:firstLineChars="196"/>
        <w:rPr>
          <w:rFonts w:hAnsi="宋体" w:cs="宋体"/>
          <w:sz w:val="22"/>
        </w:rPr>
      </w:pPr>
      <w:r>
        <w:rPr>
          <w:rFonts w:hint="eastAsia" w:hAnsi="宋体" w:cs="宋体"/>
          <w:sz w:val="22"/>
        </w:rPr>
        <w:t>1.2、因不可抗力导致合同终止，并不影响任何一方对不可抗力先前发生的违约行为合法追偿。</w:t>
      </w:r>
    </w:p>
    <w:p>
      <w:pPr>
        <w:pStyle w:val="21"/>
        <w:snapToGrid w:val="0"/>
        <w:spacing w:before="156" w:after="156" w:line="440" w:lineRule="exact"/>
        <w:ind w:firstLine="431" w:firstLineChars="196"/>
        <w:rPr>
          <w:rFonts w:hAnsi="宋体" w:cs="宋体"/>
          <w:sz w:val="22"/>
        </w:rPr>
      </w:pPr>
      <w:r>
        <w:rPr>
          <w:rFonts w:hint="eastAsia" w:hAnsi="宋体" w:cs="宋体"/>
          <w:sz w:val="22"/>
        </w:rPr>
        <w:t>1.3、甲方不负责因不可抗力造成合同不能正常履行的责任。</w:t>
      </w:r>
    </w:p>
    <w:p>
      <w:pPr>
        <w:pStyle w:val="21"/>
        <w:snapToGrid w:val="0"/>
        <w:spacing w:before="156" w:after="156" w:line="440" w:lineRule="exact"/>
        <w:ind w:firstLine="431" w:firstLineChars="196"/>
        <w:rPr>
          <w:rFonts w:hAnsi="宋体" w:cs="宋体"/>
          <w:sz w:val="22"/>
        </w:rPr>
      </w:pPr>
      <w:r>
        <w:rPr>
          <w:rFonts w:hint="eastAsia" w:hAnsi="宋体" w:cs="宋体"/>
          <w:sz w:val="22"/>
        </w:rPr>
        <w:t>2、遇国家政策性调整，影响合同履行，双方协商解决。</w:t>
      </w:r>
    </w:p>
    <w:p>
      <w:pPr>
        <w:pStyle w:val="21"/>
        <w:snapToGrid w:val="0"/>
        <w:spacing w:before="156" w:after="156" w:line="440" w:lineRule="exact"/>
        <w:rPr>
          <w:rFonts w:hAnsi="宋体" w:cs="宋体"/>
          <w:sz w:val="22"/>
        </w:rPr>
      </w:pPr>
      <w:r>
        <w:rPr>
          <w:rFonts w:hint="eastAsia" w:hAnsi="宋体" w:cs="宋体"/>
          <w:sz w:val="22"/>
        </w:rPr>
        <w:t>七、合同生效和终止</w:t>
      </w:r>
    </w:p>
    <w:p>
      <w:pPr>
        <w:pStyle w:val="21"/>
        <w:snapToGrid w:val="0"/>
        <w:spacing w:before="156" w:after="156" w:line="440" w:lineRule="exact"/>
        <w:ind w:firstLine="431" w:firstLineChars="196"/>
        <w:rPr>
          <w:rFonts w:hAnsi="宋体" w:cs="宋体"/>
          <w:sz w:val="22"/>
        </w:rPr>
      </w:pPr>
      <w:r>
        <w:rPr>
          <w:rFonts w:hint="eastAsia" w:hAnsi="宋体" w:cs="宋体"/>
          <w:sz w:val="22"/>
        </w:rPr>
        <w:t>1、本合同经双方授权代表签字盖章并在乙方提交履约保证金后生效。</w:t>
      </w:r>
    </w:p>
    <w:p>
      <w:pPr>
        <w:pStyle w:val="21"/>
        <w:snapToGrid w:val="0"/>
        <w:spacing w:before="156" w:after="156" w:line="440" w:lineRule="exact"/>
        <w:ind w:firstLine="431" w:firstLineChars="196"/>
        <w:rPr>
          <w:rFonts w:hAnsi="宋体" w:cs="宋体"/>
          <w:sz w:val="22"/>
        </w:rPr>
      </w:pPr>
      <w:r>
        <w:rPr>
          <w:rFonts w:hint="eastAsia" w:hAnsi="宋体" w:cs="宋体"/>
          <w:sz w:val="22"/>
        </w:rPr>
        <w:t>2、终止</w:t>
      </w:r>
    </w:p>
    <w:p>
      <w:pPr>
        <w:pStyle w:val="21"/>
        <w:snapToGrid w:val="0"/>
        <w:spacing w:before="156" w:after="156" w:line="440" w:lineRule="exact"/>
        <w:ind w:firstLine="431" w:firstLineChars="196"/>
        <w:rPr>
          <w:rFonts w:hAnsi="宋体" w:cs="宋体"/>
          <w:sz w:val="22"/>
        </w:rPr>
      </w:pPr>
      <w:r>
        <w:rPr>
          <w:rFonts w:hint="eastAsia" w:hAnsi="宋体" w:cs="宋体"/>
          <w:sz w:val="22"/>
        </w:rPr>
        <w:t>2.1、提前终止</w:t>
      </w:r>
    </w:p>
    <w:p>
      <w:pPr>
        <w:pStyle w:val="21"/>
        <w:snapToGrid w:val="0"/>
        <w:spacing w:before="156" w:after="156" w:line="440" w:lineRule="exact"/>
        <w:ind w:firstLine="431" w:firstLineChars="196"/>
        <w:rPr>
          <w:rFonts w:hAnsi="宋体" w:cs="宋体"/>
          <w:sz w:val="22"/>
        </w:rPr>
      </w:pPr>
      <w:r>
        <w:rPr>
          <w:rFonts w:hint="eastAsia" w:hAnsi="宋体" w:cs="宋体"/>
          <w:sz w:val="22"/>
        </w:rPr>
        <w:t>2.1.1、因承包区域布局调整，导致乙方无法正常经营，甲方须提前一个月向乙方发出书面通知终止承包。</w:t>
      </w:r>
    </w:p>
    <w:p>
      <w:pPr>
        <w:pStyle w:val="21"/>
        <w:snapToGrid w:val="0"/>
        <w:spacing w:before="156" w:after="156" w:line="440" w:lineRule="exact"/>
        <w:ind w:firstLine="431" w:firstLineChars="196"/>
        <w:rPr>
          <w:rFonts w:hAnsi="宋体" w:cs="宋体"/>
          <w:sz w:val="22"/>
        </w:rPr>
      </w:pPr>
      <w:r>
        <w:rPr>
          <w:rFonts w:hint="eastAsia" w:hAnsi="宋体" w:cs="宋体"/>
          <w:sz w:val="22"/>
        </w:rPr>
        <w:t>2.1.2、因乙方连续三次服务评定未达到甲方的要求，甲方有权向乙方发出书面通知终止承包。</w:t>
      </w:r>
    </w:p>
    <w:p>
      <w:pPr>
        <w:pStyle w:val="21"/>
        <w:snapToGrid w:val="0"/>
        <w:spacing w:before="156" w:after="156" w:line="440" w:lineRule="exact"/>
        <w:ind w:firstLine="431" w:firstLineChars="196"/>
        <w:rPr>
          <w:rFonts w:hAnsi="宋体" w:cs="宋体"/>
          <w:sz w:val="22"/>
        </w:rPr>
      </w:pPr>
      <w:r>
        <w:rPr>
          <w:rFonts w:hint="eastAsia" w:hAnsi="宋体" w:cs="宋体"/>
          <w:sz w:val="22"/>
        </w:rPr>
        <w:t>2.1.3、乙方亦可向甲方提前三个月发出书面通知终止承包，乙方支付给甲方月度承包服务款三倍金额的赔偿金，乙方承诺从保证金中扣除该款，甲方的其他应收款不受影响。</w:t>
      </w:r>
    </w:p>
    <w:p>
      <w:pPr>
        <w:pStyle w:val="21"/>
        <w:snapToGrid w:val="0"/>
        <w:spacing w:before="156" w:after="156" w:line="440" w:lineRule="exact"/>
        <w:ind w:firstLine="431" w:firstLineChars="196"/>
        <w:rPr>
          <w:rFonts w:hAnsi="宋体" w:cs="宋体"/>
          <w:sz w:val="22"/>
        </w:rPr>
      </w:pPr>
      <w:r>
        <w:rPr>
          <w:rFonts w:hint="eastAsia" w:hAnsi="宋体" w:cs="宋体"/>
          <w:sz w:val="22"/>
        </w:rPr>
        <w:t>2.1.4、提前终止承包期早于月底最后一天，应视为月底最后一天期满，此条适用于上述2.1.1、2.1.2、2.1.3三条。</w:t>
      </w:r>
    </w:p>
    <w:p>
      <w:pPr>
        <w:pStyle w:val="21"/>
        <w:snapToGrid w:val="0"/>
        <w:spacing w:before="156" w:after="156" w:line="440" w:lineRule="exact"/>
        <w:ind w:firstLine="431" w:firstLineChars="196"/>
        <w:rPr>
          <w:rFonts w:hAnsi="宋体" w:cs="宋体"/>
          <w:sz w:val="22"/>
        </w:rPr>
      </w:pPr>
      <w:r>
        <w:rPr>
          <w:rFonts w:hint="eastAsia" w:hAnsi="宋体" w:cs="宋体"/>
          <w:sz w:val="22"/>
        </w:rPr>
        <w:t>2.1.5、乙方未能履行合同和遵守有关规定，在甲方发出书面警告后仍无采取补救措施可立即终止承包。</w:t>
      </w:r>
    </w:p>
    <w:p>
      <w:pPr>
        <w:pStyle w:val="21"/>
        <w:snapToGrid w:val="0"/>
        <w:spacing w:before="156" w:after="156" w:line="440" w:lineRule="exact"/>
        <w:ind w:firstLine="431" w:firstLineChars="196"/>
        <w:rPr>
          <w:rFonts w:hAnsi="宋体" w:cs="宋体"/>
          <w:sz w:val="22"/>
        </w:rPr>
      </w:pPr>
      <w:r>
        <w:rPr>
          <w:rFonts w:hint="eastAsia" w:hAnsi="宋体" w:cs="宋体"/>
          <w:sz w:val="22"/>
        </w:rPr>
        <w:t>2.1.6、乙方破产清算、重组及兼并等事实发生，或被债权人接管经营，甲方不必通知乙方即可终止承包。</w:t>
      </w:r>
    </w:p>
    <w:p>
      <w:pPr>
        <w:pStyle w:val="21"/>
        <w:snapToGrid w:val="0"/>
        <w:spacing w:before="156" w:after="156" w:line="440" w:lineRule="exact"/>
        <w:ind w:firstLine="431" w:firstLineChars="196"/>
        <w:rPr>
          <w:rFonts w:hAnsi="宋体" w:cs="宋体"/>
          <w:sz w:val="22"/>
        </w:rPr>
      </w:pPr>
      <w:r>
        <w:rPr>
          <w:rFonts w:hint="eastAsia" w:hAnsi="宋体" w:cs="宋体"/>
          <w:sz w:val="22"/>
        </w:rPr>
        <w:t>2.2、协议终止</w:t>
      </w:r>
    </w:p>
    <w:p>
      <w:pPr>
        <w:pStyle w:val="21"/>
        <w:snapToGrid w:val="0"/>
        <w:spacing w:before="156" w:after="156" w:line="440" w:lineRule="exact"/>
        <w:ind w:firstLine="431" w:firstLineChars="196"/>
        <w:rPr>
          <w:rFonts w:hAnsi="宋体" w:cs="宋体"/>
          <w:sz w:val="22"/>
        </w:rPr>
      </w:pPr>
      <w:r>
        <w:rPr>
          <w:rFonts w:hint="eastAsia" w:hAnsi="宋体" w:cs="宋体"/>
          <w:sz w:val="22"/>
        </w:rPr>
        <w:t>经双方协商同意，可在任何时候终止承包。</w:t>
      </w:r>
    </w:p>
    <w:p>
      <w:pPr>
        <w:pStyle w:val="21"/>
        <w:snapToGrid w:val="0"/>
        <w:spacing w:before="156" w:after="156" w:line="440" w:lineRule="exact"/>
        <w:ind w:firstLine="431" w:firstLineChars="196"/>
        <w:rPr>
          <w:rFonts w:hAnsi="宋体" w:cs="宋体"/>
          <w:sz w:val="22"/>
        </w:rPr>
      </w:pPr>
      <w:r>
        <w:rPr>
          <w:rFonts w:hint="eastAsia" w:hAnsi="宋体" w:cs="宋体"/>
          <w:sz w:val="22"/>
        </w:rPr>
        <w:t>2.3、自然终止</w:t>
      </w:r>
    </w:p>
    <w:p>
      <w:pPr>
        <w:pStyle w:val="21"/>
        <w:snapToGrid w:val="0"/>
        <w:spacing w:before="156" w:after="156" w:line="440" w:lineRule="exact"/>
        <w:ind w:firstLine="431" w:firstLineChars="196"/>
        <w:rPr>
          <w:rFonts w:hAnsi="宋体" w:cs="宋体"/>
          <w:sz w:val="22"/>
        </w:rPr>
      </w:pPr>
      <w:r>
        <w:rPr>
          <w:rFonts w:hint="eastAsia" w:hAnsi="宋体" w:cs="宋体"/>
          <w:sz w:val="22"/>
        </w:rPr>
        <w:t>合同期满后承包自然终止。</w:t>
      </w:r>
    </w:p>
    <w:p>
      <w:pPr>
        <w:pStyle w:val="21"/>
        <w:snapToGrid w:val="0"/>
        <w:spacing w:before="156" w:after="156" w:line="440" w:lineRule="exact"/>
        <w:ind w:firstLine="431" w:firstLineChars="196"/>
        <w:rPr>
          <w:rFonts w:hAnsi="宋体" w:cs="宋体"/>
          <w:sz w:val="22"/>
        </w:rPr>
      </w:pPr>
      <w:r>
        <w:rPr>
          <w:rFonts w:hint="eastAsia" w:hAnsi="宋体" w:cs="宋体"/>
          <w:sz w:val="22"/>
        </w:rPr>
        <w:t>3、承包终止后果</w:t>
      </w:r>
    </w:p>
    <w:p>
      <w:pPr>
        <w:pStyle w:val="21"/>
        <w:snapToGrid w:val="0"/>
        <w:spacing w:before="156" w:after="156" w:line="440" w:lineRule="exact"/>
        <w:ind w:firstLine="431" w:firstLineChars="196"/>
        <w:rPr>
          <w:rFonts w:hAnsi="宋体" w:cs="宋体"/>
          <w:sz w:val="22"/>
        </w:rPr>
      </w:pPr>
      <w:r>
        <w:rPr>
          <w:rFonts w:hint="eastAsia" w:hAnsi="宋体" w:cs="宋体"/>
          <w:sz w:val="22"/>
        </w:rPr>
        <w:t>3.1、终止承包，不影响根据合同规定进行的赔偿、补偿，也不影响履约保证金的效力。</w:t>
      </w:r>
    </w:p>
    <w:p>
      <w:pPr>
        <w:pStyle w:val="21"/>
        <w:snapToGrid w:val="0"/>
        <w:spacing w:before="156" w:after="156" w:line="440" w:lineRule="exact"/>
        <w:ind w:firstLine="431" w:firstLineChars="196"/>
        <w:rPr>
          <w:rFonts w:hAnsi="宋体" w:cs="宋体"/>
          <w:sz w:val="22"/>
        </w:rPr>
      </w:pPr>
      <w:r>
        <w:rPr>
          <w:rFonts w:hint="eastAsia" w:hAnsi="宋体" w:cs="宋体"/>
          <w:sz w:val="22"/>
        </w:rPr>
        <w:t>3.2、上述2.1.2、2.1.5二条的终止，乙方的履约保证金作为违约金支付给甲方。</w:t>
      </w:r>
    </w:p>
    <w:p>
      <w:pPr>
        <w:pStyle w:val="21"/>
        <w:snapToGrid w:val="0"/>
        <w:spacing w:before="156" w:after="156" w:line="440" w:lineRule="exact"/>
        <w:ind w:firstLine="431" w:firstLineChars="196"/>
        <w:rPr>
          <w:rFonts w:hAnsi="宋体" w:cs="宋体"/>
          <w:sz w:val="22"/>
        </w:rPr>
      </w:pPr>
      <w:r>
        <w:rPr>
          <w:rFonts w:hint="eastAsia" w:hAnsi="宋体" w:cs="宋体"/>
          <w:sz w:val="22"/>
        </w:rPr>
        <w:t>3.3、承包终止时，双方应进行结算，甲方同时进行乙方承包区域设施、设备状况检查并要求乙方三天内将乙方物品撤离承包区域，否则甲方将代理处理，并追偿甲方代理费及15%的手续费。</w:t>
      </w:r>
    </w:p>
    <w:p>
      <w:pPr>
        <w:pStyle w:val="21"/>
        <w:snapToGrid w:val="0"/>
        <w:spacing w:before="156" w:after="156" w:line="440" w:lineRule="exact"/>
        <w:ind w:firstLine="431" w:firstLineChars="196"/>
        <w:rPr>
          <w:rFonts w:hAnsi="宋体" w:cs="宋体"/>
          <w:sz w:val="22"/>
        </w:rPr>
      </w:pPr>
      <w:r>
        <w:rPr>
          <w:rFonts w:hint="eastAsia" w:hAnsi="宋体" w:cs="宋体"/>
          <w:sz w:val="22"/>
        </w:rPr>
        <w:t>4、不放弃权利</w:t>
      </w:r>
    </w:p>
    <w:p>
      <w:pPr>
        <w:pStyle w:val="21"/>
        <w:snapToGrid w:val="0"/>
        <w:spacing w:before="156" w:after="156" w:line="440" w:lineRule="exact"/>
        <w:ind w:firstLine="431" w:firstLineChars="196"/>
        <w:rPr>
          <w:rFonts w:hAnsi="宋体" w:cs="宋体"/>
          <w:sz w:val="22"/>
        </w:rPr>
      </w:pPr>
      <w:r>
        <w:rPr>
          <w:rFonts w:hint="eastAsia" w:hAnsi="宋体" w:cs="宋体"/>
          <w:sz w:val="22"/>
        </w:rPr>
        <w:t>甲方接受乙方的服务，但不放弃对乙方违约行为进行追究的权利；同时，若甲方对乙方某一违约行为放弃进行追究的权利，但不放弃对乙方其他违约行为进行追究的权利。</w:t>
      </w:r>
    </w:p>
    <w:p>
      <w:pPr>
        <w:pStyle w:val="21"/>
        <w:snapToGrid w:val="0"/>
        <w:spacing w:before="156" w:after="156" w:line="440" w:lineRule="exact"/>
        <w:rPr>
          <w:rFonts w:hAnsi="宋体" w:cs="宋体"/>
          <w:sz w:val="22"/>
        </w:rPr>
      </w:pPr>
      <w:r>
        <w:rPr>
          <w:rFonts w:hint="eastAsia" w:hAnsi="宋体" w:cs="宋体"/>
          <w:sz w:val="22"/>
        </w:rPr>
        <w:t>八、其他</w:t>
      </w:r>
    </w:p>
    <w:p>
      <w:pPr>
        <w:pStyle w:val="21"/>
        <w:snapToGrid w:val="0"/>
        <w:spacing w:before="156" w:after="156" w:line="440" w:lineRule="exact"/>
        <w:ind w:firstLine="440" w:firstLineChars="200"/>
        <w:rPr>
          <w:rFonts w:hAnsi="宋体" w:cs="宋体"/>
          <w:sz w:val="22"/>
        </w:rPr>
      </w:pPr>
      <w:r>
        <w:rPr>
          <w:rFonts w:hint="eastAsia" w:hAnsi="宋体" w:cs="宋体"/>
          <w:sz w:val="22"/>
        </w:rPr>
        <w:t>1、乙方所有人员的事故由乙方自行全权负责，甲方不承担任何责任。在乙方的责任区内由于乙方原因导致第三方的事故由乙方负责，甲方不承担任何责任。</w:t>
      </w:r>
    </w:p>
    <w:p>
      <w:pPr>
        <w:pStyle w:val="21"/>
        <w:snapToGrid w:val="0"/>
        <w:spacing w:before="156" w:after="156" w:line="440" w:lineRule="exact"/>
        <w:ind w:firstLine="440" w:firstLineChars="200"/>
        <w:rPr>
          <w:rFonts w:hAnsi="宋体" w:cs="宋体"/>
          <w:sz w:val="22"/>
        </w:rPr>
      </w:pPr>
      <w:r>
        <w:rPr>
          <w:rFonts w:hint="eastAsia" w:hAnsi="宋体" w:cs="宋体"/>
          <w:sz w:val="22"/>
        </w:rPr>
        <w:t>2、本合同中所述通知，必须为书面形式，并有书面签收。</w:t>
      </w:r>
    </w:p>
    <w:p>
      <w:pPr>
        <w:pStyle w:val="21"/>
        <w:snapToGrid w:val="0"/>
        <w:spacing w:before="156" w:after="156" w:line="440" w:lineRule="exact"/>
        <w:ind w:firstLine="440" w:firstLineChars="200"/>
        <w:rPr>
          <w:rFonts w:hAnsi="宋体" w:cs="宋体"/>
          <w:sz w:val="22"/>
        </w:rPr>
      </w:pPr>
      <w:r>
        <w:rPr>
          <w:rFonts w:hint="eastAsia" w:hAnsi="宋体" w:cs="宋体"/>
          <w:sz w:val="22"/>
        </w:rPr>
        <w:t>3、关于本合同争议，应双方友好协调解决，协商不一致，任何一方均可提起仲裁或诉讼，仲裁或诉讼按合同履行地原则处理。</w:t>
      </w:r>
    </w:p>
    <w:p>
      <w:pPr>
        <w:pStyle w:val="21"/>
        <w:snapToGrid w:val="0"/>
        <w:spacing w:before="156" w:after="156" w:line="440" w:lineRule="exact"/>
        <w:ind w:firstLine="440" w:firstLineChars="200"/>
        <w:rPr>
          <w:rFonts w:hAnsi="宋体" w:cs="宋体"/>
          <w:sz w:val="22"/>
        </w:rPr>
      </w:pPr>
      <w:r>
        <w:rPr>
          <w:rFonts w:hint="eastAsia" w:hAnsi="宋体" w:cs="宋体"/>
          <w:sz w:val="22"/>
        </w:rPr>
        <w:t>4、如双方同意，可以书面修改或补充本合同条款；合同的附件、修改（补充）件均与本主合同同效。</w:t>
      </w:r>
    </w:p>
    <w:p>
      <w:pPr>
        <w:pStyle w:val="21"/>
        <w:snapToGrid w:val="0"/>
        <w:spacing w:before="156" w:after="156" w:line="440" w:lineRule="exact"/>
        <w:ind w:firstLine="440" w:firstLineChars="200"/>
        <w:rPr>
          <w:rFonts w:hAnsi="宋体" w:cs="宋体"/>
          <w:sz w:val="22"/>
        </w:rPr>
      </w:pPr>
      <w:r>
        <w:rPr>
          <w:rFonts w:hint="eastAsia" w:hAnsi="宋体" w:cs="宋体"/>
          <w:sz w:val="22"/>
        </w:rPr>
        <w:t>5、本合同一式四份，甲乙双方各执两份。</w:t>
      </w:r>
    </w:p>
    <w:p>
      <w:pPr>
        <w:pStyle w:val="21"/>
        <w:snapToGrid w:val="0"/>
        <w:spacing w:before="156" w:after="156" w:line="440" w:lineRule="exact"/>
        <w:rPr>
          <w:rFonts w:hAnsi="宋体" w:cs="宋体"/>
          <w:sz w:val="22"/>
        </w:rPr>
      </w:pPr>
      <w:r>
        <w:rPr>
          <w:rFonts w:hint="eastAsia" w:hAnsi="宋体" w:cs="宋体"/>
          <w:sz w:val="22"/>
        </w:rPr>
        <w:t>九、合同有效时间</w:t>
      </w:r>
    </w:p>
    <w:p>
      <w:pPr>
        <w:pStyle w:val="3"/>
        <w:adjustRightInd w:val="0"/>
        <w:snapToGrid w:val="0"/>
        <w:ind w:firstLine="440" w:firstLineChars="200"/>
        <w:rPr>
          <w:rFonts w:ascii="宋体" w:hAnsi="宋体" w:eastAsia="宋体" w:cs="宋体"/>
          <w:bCs/>
          <w:sz w:val="22"/>
        </w:rPr>
      </w:pPr>
      <w:r>
        <w:rPr>
          <w:rFonts w:hint="eastAsia" w:ascii="宋体" w:hAnsi="宋体" w:eastAsia="宋体" w:cs="宋体"/>
          <w:bCs/>
          <w:sz w:val="22"/>
        </w:rPr>
        <w:t>本次采购服务期3年。合同一年一签，合同内容可根据实际管理情况进行修改。</w:t>
      </w:r>
    </w:p>
    <w:p>
      <w:pPr>
        <w:pStyle w:val="3"/>
        <w:adjustRightInd w:val="0"/>
        <w:snapToGrid w:val="0"/>
        <w:ind w:firstLine="440" w:firstLineChars="200"/>
        <w:rPr>
          <w:rFonts w:ascii="宋体" w:hAnsi="宋体" w:eastAsia="宋体" w:cs="宋体"/>
          <w:sz w:val="22"/>
        </w:rPr>
      </w:pPr>
      <w:r>
        <w:rPr>
          <w:rFonts w:hint="eastAsia" w:ascii="宋体" w:hAnsi="宋体" w:eastAsia="宋体" w:cs="宋体"/>
          <w:sz w:val="22"/>
        </w:rPr>
        <w:t>十、合同的解释</w:t>
      </w:r>
    </w:p>
    <w:p>
      <w:pPr>
        <w:pStyle w:val="21"/>
        <w:snapToGrid w:val="0"/>
        <w:spacing w:before="156" w:after="156" w:line="440" w:lineRule="atLeast"/>
        <w:ind w:firstLine="482"/>
        <w:rPr>
          <w:rFonts w:hAnsi="宋体" w:cs="宋体"/>
          <w:sz w:val="22"/>
        </w:rPr>
      </w:pPr>
      <w:r>
        <w:rPr>
          <w:rFonts w:hint="eastAsia" w:hAnsi="宋体" w:cs="宋体"/>
          <w:sz w:val="22"/>
        </w:rPr>
        <w:t>本合同的解释权在甲方。</w:t>
      </w:r>
    </w:p>
    <w:p>
      <w:pPr>
        <w:pStyle w:val="21"/>
        <w:snapToGrid w:val="0"/>
        <w:spacing w:before="156" w:after="156" w:line="440" w:lineRule="atLeast"/>
        <w:rPr>
          <w:rFonts w:hAnsi="宋体" w:cs="宋体"/>
          <w:sz w:val="22"/>
        </w:rPr>
      </w:pPr>
      <w:r>
        <w:rPr>
          <w:rFonts w:hint="eastAsia" w:hAnsi="宋体" w:cs="宋体"/>
          <w:sz w:val="22"/>
        </w:rPr>
        <w:t>十一、合同附件</w:t>
      </w:r>
    </w:p>
    <w:p>
      <w:pPr>
        <w:pStyle w:val="21"/>
        <w:snapToGrid w:val="0"/>
        <w:spacing w:before="156" w:after="156" w:line="440" w:lineRule="atLeast"/>
        <w:ind w:firstLine="482"/>
        <w:rPr>
          <w:rFonts w:hAnsi="宋体" w:cs="宋体"/>
          <w:sz w:val="22"/>
        </w:rPr>
      </w:pPr>
      <w:r>
        <w:rPr>
          <w:rFonts w:hint="eastAsia" w:hAnsi="宋体" w:cs="宋体"/>
          <w:sz w:val="22"/>
        </w:rPr>
        <w:t>下列文件与本合同具有同等法律效力：</w:t>
      </w:r>
    </w:p>
    <w:p>
      <w:pPr>
        <w:pStyle w:val="21"/>
        <w:snapToGrid w:val="0"/>
        <w:spacing w:before="156" w:after="156" w:line="440" w:lineRule="atLeast"/>
        <w:ind w:firstLine="482"/>
        <w:rPr>
          <w:rFonts w:hAnsi="宋体" w:cs="宋体"/>
          <w:sz w:val="22"/>
        </w:rPr>
      </w:pPr>
      <w:r>
        <w:rPr>
          <w:rFonts w:hint="eastAsia" w:hAnsi="宋体" w:cs="宋体"/>
          <w:sz w:val="22"/>
        </w:rPr>
        <w:t>1、采购人的招标文件与招标补充文件；</w:t>
      </w:r>
    </w:p>
    <w:p>
      <w:pPr>
        <w:pStyle w:val="21"/>
        <w:snapToGrid w:val="0"/>
        <w:spacing w:before="156" w:after="156" w:line="440" w:lineRule="atLeast"/>
        <w:ind w:firstLine="482"/>
        <w:rPr>
          <w:rFonts w:hAnsi="宋体" w:cs="宋体"/>
          <w:sz w:val="22"/>
        </w:rPr>
      </w:pPr>
      <w:r>
        <w:rPr>
          <w:rFonts w:hint="eastAsia" w:hAnsi="宋体" w:cs="宋体"/>
          <w:sz w:val="22"/>
        </w:rPr>
        <w:t>2、中标供应商投标文件；</w:t>
      </w:r>
    </w:p>
    <w:p>
      <w:pPr>
        <w:pStyle w:val="21"/>
        <w:snapToGrid w:val="0"/>
        <w:spacing w:before="156" w:after="156" w:line="440" w:lineRule="atLeast"/>
        <w:ind w:firstLine="482"/>
        <w:rPr>
          <w:rFonts w:hAnsi="宋体" w:cs="宋体"/>
          <w:sz w:val="22"/>
        </w:rPr>
      </w:pPr>
      <w:r>
        <w:rPr>
          <w:rFonts w:hint="eastAsia" w:hAnsi="宋体" w:cs="宋体"/>
          <w:sz w:val="22"/>
        </w:rPr>
        <w:t>3、询标纪要和承诺书；</w:t>
      </w:r>
    </w:p>
    <w:p>
      <w:pPr>
        <w:pStyle w:val="21"/>
        <w:snapToGrid w:val="0"/>
        <w:spacing w:before="156" w:after="156" w:line="440" w:lineRule="atLeast"/>
        <w:ind w:firstLine="482"/>
        <w:rPr>
          <w:rFonts w:hAnsi="宋体" w:cs="宋体"/>
          <w:sz w:val="22"/>
        </w:rPr>
      </w:pPr>
      <w:r>
        <w:rPr>
          <w:rFonts w:hint="eastAsia" w:hAnsi="宋体" w:cs="宋体"/>
          <w:sz w:val="22"/>
        </w:rPr>
        <w:t>4、中标通知书。</w:t>
      </w:r>
    </w:p>
    <w:p>
      <w:pPr>
        <w:pStyle w:val="21"/>
        <w:snapToGrid w:val="0"/>
        <w:spacing w:before="156" w:after="156" w:line="440" w:lineRule="atLeast"/>
        <w:ind w:firstLine="482"/>
        <w:rPr>
          <w:rFonts w:hAnsi="宋体" w:cs="宋体"/>
          <w:sz w:val="22"/>
        </w:rPr>
      </w:pPr>
    </w:p>
    <w:p>
      <w:pPr>
        <w:pStyle w:val="21"/>
        <w:snapToGrid w:val="0"/>
        <w:spacing w:before="156" w:after="156"/>
        <w:ind w:firstLine="482"/>
        <w:rPr>
          <w:rFonts w:hAnsi="宋体" w:cs="宋体"/>
          <w:sz w:val="22"/>
        </w:rPr>
      </w:pPr>
      <w:r>
        <w:rPr>
          <w:rFonts w:hint="eastAsia" w:hAnsi="宋体" w:cs="宋体"/>
          <w:sz w:val="22"/>
        </w:rPr>
        <w:t>甲方：（印章）乙方：（印章）</w:t>
      </w:r>
    </w:p>
    <w:p>
      <w:pPr>
        <w:pStyle w:val="21"/>
        <w:snapToGrid w:val="0"/>
        <w:spacing w:before="156" w:after="156"/>
        <w:ind w:firstLine="482"/>
        <w:rPr>
          <w:rFonts w:hAnsi="宋体" w:cs="宋体"/>
          <w:sz w:val="22"/>
        </w:rPr>
      </w:pPr>
      <w:r>
        <w:rPr>
          <w:rFonts w:hint="eastAsia" w:hAnsi="宋体" w:cs="宋体"/>
          <w:sz w:val="22"/>
        </w:rPr>
        <w:t>全权代表：（签字）全权代表：（签字）</w:t>
      </w:r>
    </w:p>
    <w:p>
      <w:pPr>
        <w:pStyle w:val="21"/>
        <w:snapToGrid w:val="0"/>
        <w:spacing w:before="156" w:after="156"/>
        <w:ind w:firstLine="482"/>
        <w:rPr>
          <w:rFonts w:hAnsi="宋体" w:cs="宋体"/>
          <w:sz w:val="22"/>
        </w:rPr>
      </w:pPr>
      <w:r>
        <w:rPr>
          <w:rFonts w:hint="eastAsia" w:hAnsi="宋体" w:cs="宋体"/>
          <w:sz w:val="22"/>
        </w:rPr>
        <w:t>地址：地址：</w:t>
      </w:r>
    </w:p>
    <w:p>
      <w:pPr>
        <w:pStyle w:val="21"/>
        <w:snapToGrid w:val="0"/>
        <w:spacing w:before="156" w:after="156"/>
        <w:ind w:firstLine="482"/>
        <w:rPr>
          <w:rFonts w:hAnsi="宋体" w:cs="宋体"/>
          <w:sz w:val="22"/>
        </w:rPr>
      </w:pPr>
      <w:r>
        <w:rPr>
          <w:rFonts w:hint="eastAsia" w:hAnsi="宋体" w:cs="宋体"/>
          <w:sz w:val="22"/>
        </w:rPr>
        <w:t>邮政编码：邮政编码：</w:t>
      </w:r>
    </w:p>
    <w:p>
      <w:pPr>
        <w:pStyle w:val="21"/>
        <w:snapToGrid w:val="0"/>
        <w:spacing w:before="156" w:after="156"/>
        <w:ind w:firstLine="482"/>
        <w:rPr>
          <w:rFonts w:hAnsi="宋体" w:cs="宋体"/>
          <w:sz w:val="22"/>
        </w:rPr>
      </w:pPr>
      <w:r>
        <w:rPr>
          <w:rFonts w:hint="eastAsia" w:hAnsi="宋体" w:cs="宋体"/>
          <w:sz w:val="22"/>
        </w:rPr>
        <w:t>电话：电话：</w:t>
      </w:r>
    </w:p>
    <w:p>
      <w:pPr>
        <w:pStyle w:val="21"/>
        <w:snapToGrid w:val="0"/>
        <w:spacing w:before="156" w:after="156"/>
        <w:ind w:firstLine="482"/>
        <w:rPr>
          <w:rFonts w:hAnsi="宋体" w:cs="宋体"/>
          <w:sz w:val="22"/>
        </w:rPr>
      </w:pPr>
      <w:r>
        <w:rPr>
          <w:rFonts w:hint="eastAsia" w:hAnsi="宋体" w:cs="宋体"/>
          <w:sz w:val="22"/>
        </w:rPr>
        <w:t>传真：传真：</w:t>
      </w:r>
    </w:p>
    <w:p>
      <w:pPr>
        <w:pStyle w:val="21"/>
        <w:snapToGrid w:val="0"/>
        <w:spacing w:before="156" w:after="156"/>
        <w:ind w:firstLine="482"/>
        <w:rPr>
          <w:rFonts w:hAnsi="宋体" w:cs="宋体"/>
          <w:sz w:val="22"/>
        </w:rPr>
      </w:pPr>
      <w:r>
        <w:rPr>
          <w:rFonts w:hint="eastAsia" w:hAnsi="宋体" w:cs="宋体"/>
          <w:sz w:val="22"/>
        </w:rPr>
        <w:t>开户银行：开户银行：</w:t>
      </w:r>
    </w:p>
    <w:p>
      <w:pPr>
        <w:snapToGrid w:val="0"/>
        <w:spacing w:line="440" w:lineRule="atLeast"/>
        <w:ind w:firstLine="440" w:firstLineChars="200"/>
        <w:rPr>
          <w:rFonts w:ascii="宋体" w:hAnsi="宋体" w:cs="宋体"/>
          <w:sz w:val="22"/>
        </w:rPr>
      </w:pPr>
      <w:r>
        <w:rPr>
          <w:rFonts w:hint="eastAsia" w:ascii="宋体" w:hAnsi="宋体" w:cs="宋体"/>
          <w:sz w:val="22"/>
        </w:rPr>
        <w:t>帐号：帐号：</w:t>
      </w:r>
    </w:p>
    <w:p>
      <w:pPr>
        <w:pStyle w:val="3"/>
      </w:pPr>
    </w:p>
    <w:p>
      <w:pPr>
        <w:pStyle w:val="3"/>
        <w:rPr>
          <w:rFonts w:ascii="宋体" w:hAnsi="宋体"/>
        </w:rPr>
      </w:pPr>
      <w:r>
        <w:fldChar w:fldCharType="begin"/>
      </w:r>
      <w:r>
        <w:instrText xml:space="preserve"> HYPERLINK "mailto:（合同签订后供应商须在2个工作日内将合同副本（原件）送达龙湾区公共资源交易中心采购科、合同扫描发至250453502@qq.com备案后方可退保证金）" </w:instrText>
      </w:r>
      <w:r>
        <w:fldChar w:fldCharType="separate"/>
      </w:r>
      <w:r>
        <w:rPr>
          <w:rStyle w:val="45"/>
          <w:rFonts w:hint="default" w:ascii="仿宋" w:hAnsi="仿宋" w:eastAsia="仿宋" w:cs="仿宋"/>
          <w:b/>
          <w:bCs/>
          <w:color w:val="auto"/>
          <w:sz w:val="22"/>
        </w:rPr>
        <w:t>（合同签订后供应商须将合同扫描发至250453502@qq.com邮箱备案）</w:t>
      </w:r>
      <w:r>
        <w:rPr>
          <w:rStyle w:val="45"/>
          <w:rFonts w:hint="default" w:ascii="仿宋" w:hAnsi="仿宋" w:eastAsia="仿宋" w:cs="仿宋"/>
          <w:b/>
          <w:bCs/>
          <w:color w:val="auto"/>
          <w:sz w:val="22"/>
        </w:rPr>
        <w:fldChar w:fldCharType="end"/>
      </w:r>
    </w:p>
    <w:p>
      <w:pPr>
        <w:snapToGrid w:val="0"/>
        <w:spacing w:line="360" w:lineRule="auto"/>
        <w:jc w:val="both"/>
        <w:rPr>
          <w:rFonts w:ascii="宋体" w:hAnsi="宋体" w:cs="宋体"/>
          <w:b/>
          <w:kern w:val="2"/>
          <w:szCs w:val="21"/>
        </w:rPr>
      </w:pPr>
      <w:r>
        <w:rPr>
          <w:rFonts w:hint="eastAsia" w:ascii="宋体" w:hAnsi="宋体" w:cs="宋体"/>
          <w:b/>
          <w:kern w:val="2"/>
          <w:szCs w:val="21"/>
        </w:rPr>
        <w:t>注：</w:t>
      </w:r>
      <w:r>
        <w:rPr>
          <w:rFonts w:hint="eastAsia" w:cs="宋体"/>
          <w:b/>
          <w:kern w:val="2"/>
          <w:szCs w:val="21"/>
        </w:rPr>
        <w:t>1</w:t>
      </w:r>
      <w:r>
        <w:rPr>
          <w:rFonts w:hint="eastAsia" w:ascii="宋体" w:hAnsi="宋体" w:cs="宋体"/>
          <w:b/>
          <w:kern w:val="2"/>
          <w:szCs w:val="21"/>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napToGrid w:val="0"/>
        <w:spacing w:line="360" w:lineRule="auto"/>
        <w:ind w:firstLine="420" w:firstLineChars="200"/>
        <w:jc w:val="both"/>
        <w:rPr>
          <w:rFonts w:ascii="宋体" w:hAnsi="宋体" w:cs="宋体"/>
          <w:b/>
          <w:kern w:val="2"/>
          <w:szCs w:val="21"/>
        </w:rPr>
      </w:pPr>
      <w:r>
        <w:rPr>
          <w:rFonts w:hint="eastAsia" w:ascii="宋体" w:hAnsi="宋体" w:cs="宋体"/>
          <w:b/>
          <w:kern w:val="2"/>
          <w:szCs w:val="21"/>
        </w:rPr>
        <w:t>2、本合同作为示范文本，具体以成交人与采购人所签定正式合同为准。</w:t>
      </w:r>
    </w:p>
    <w:p>
      <w:pPr>
        <w:pStyle w:val="5"/>
        <w:keepNext w:val="0"/>
        <w:keepLines w:val="0"/>
        <w:pageBreakBefore/>
        <w:spacing w:beforeLines="50" w:afterLines="100" w:line="240" w:lineRule="auto"/>
        <w:ind w:firstLine="3080" w:firstLineChars="1100"/>
        <w:rPr>
          <w:rFonts w:hAnsi="宋体"/>
          <w:sz w:val="28"/>
          <w:szCs w:val="36"/>
        </w:rPr>
        <w:sectPr>
          <w:pgSz w:w="11906" w:h="16838"/>
          <w:pgMar w:top="1440" w:right="1247" w:bottom="1440" w:left="1247" w:header="851" w:footer="992" w:gutter="0"/>
          <w:cols w:space="720" w:num="1"/>
          <w:titlePg/>
          <w:docGrid w:type="linesAndChars" w:linePitch="312" w:charSpace="0"/>
        </w:sectPr>
      </w:pPr>
      <w:bookmarkStart w:id="44" w:name="_Toc929"/>
    </w:p>
    <w:p>
      <w:pPr>
        <w:autoSpaceDE w:val="0"/>
        <w:autoSpaceDN w:val="0"/>
        <w:adjustRightInd w:val="0"/>
        <w:spacing w:line="500" w:lineRule="atLeast"/>
        <w:jc w:val="center"/>
        <w:rPr>
          <w:rFonts w:ascii="仿宋" w:hAnsi="仿宋" w:eastAsia="仿宋" w:cs="仿宋"/>
          <w:b/>
          <w:bCs/>
          <w:sz w:val="32"/>
          <w:szCs w:val="32"/>
          <w:lang w:val="zh-CN"/>
        </w:rPr>
      </w:pPr>
      <w:r>
        <w:rPr>
          <w:rFonts w:hint="eastAsia" w:ascii="宋体" w:hAnsi="宋体"/>
          <w:b/>
          <w:bCs/>
          <w:sz w:val="28"/>
          <w:szCs w:val="28"/>
        </w:rPr>
        <w:t>1.安保费用组成表（标项）</w:t>
      </w:r>
    </w:p>
    <w:p>
      <w:pPr>
        <w:autoSpaceDE w:val="0"/>
        <w:autoSpaceDN w:val="0"/>
        <w:adjustRightInd w:val="0"/>
        <w:spacing w:line="500" w:lineRule="atLeast"/>
        <w:rPr>
          <w:rFonts w:ascii="仿宋" w:hAnsi="仿宋" w:eastAsia="仿宋" w:cs="仿宋"/>
          <w:sz w:val="22"/>
        </w:rPr>
      </w:pPr>
      <w:r>
        <w:rPr>
          <w:rFonts w:hint="eastAsia" w:ascii="仿宋" w:hAnsi="仿宋" w:eastAsia="仿宋" w:cs="仿宋"/>
          <w:sz w:val="22"/>
        </w:rPr>
        <w:t>项目名称：项目编号：</w:t>
      </w:r>
    </w:p>
    <w:tbl>
      <w:tblPr>
        <w:tblStyle w:val="37"/>
        <w:tblW w:w="926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0"/>
        <w:gridCol w:w="3175"/>
        <w:gridCol w:w="1354"/>
        <w:gridCol w:w="1269"/>
        <w:gridCol w:w="2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序号</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费用名称</w:t>
            </w:r>
          </w:p>
        </w:tc>
        <w:tc>
          <w:tcPr>
            <w:tcW w:w="1354"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月支出</w:t>
            </w:r>
          </w:p>
        </w:tc>
        <w:tc>
          <w:tcPr>
            <w:tcW w:w="1269"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年支出</w:t>
            </w:r>
          </w:p>
        </w:tc>
        <w:tc>
          <w:tcPr>
            <w:tcW w:w="2722"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1</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人员基本工资</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tcPr>
          <w:p>
            <w:pPr>
              <w:rPr>
                <w:rFonts w:ascii="仿宋" w:hAnsi="仿宋" w:eastAsia="仿宋" w:cs="仿宋"/>
              </w:rPr>
            </w:pPr>
            <w:r>
              <w:rPr>
                <w:rFonts w:hint="eastAsia" w:ascii="仿宋" w:hAnsi="仿宋" w:eastAsia="仿宋" w:cs="仿宋"/>
                <w:sz w:val="22"/>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2</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全年奖金</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tcPr>
          <w:p>
            <w:pPr>
              <w:rPr>
                <w:rFonts w:ascii="仿宋" w:hAnsi="仿宋" w:eastAsia="仿宋" w:cs="仿宋"/>
              </w:rPr>
            </w:pPr>
            <w:r>
              <w:rPr>
                <w:rFonts w:hint="eastAsia" w:ascii="仿宋" w:hAnsi="仿宋" w:eastAsia="仿宋" w:cs="仿宋"/>
                <w:sz w:val="22"/>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3</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各种保险费（企业承担部分）</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tcPr>
          <w:p>
            <w:pPr>
              <w:rPr>
                <w:rFonts w:ascii="仿宋" w:hAnsi="仿宋" w:eastAsia="仿宋" w:cs="仿宋"/>
              </w:rPr>
            </w:pPr>
            <w:r>
              <w:rPr>
                <w:rFonts w:hint="eastAsia" w:ascii="仿宋" w:hAnsi="仿宋" w:eastAsia="仿宋" w:cs="仿宋"/>
                <w:sz w:val="22"/>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4</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节假日加班费、高温补贴</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tcPr>
          <w:p>
            <w:pPr>
              <w:rPr>
                <w:rFonts w:ascii="仿宋" w:hAnsi="仿宋" w:eastAsia="仿宋" w:cs="仿宋"/>
              </w:rPr>
            </w:pPr>
            <w:r>
              <w:rPr>
                <w:rFonts w:hint="eastAsia" w:ascii="仿宋" w:hAnsi="仿宋" w:eastAsia="仿宋" w:cs="仿宋"/>
                <w:sz w:val="22"/>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5</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住宿费、伙食补贴费</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tcPr>
          <w:p>
            <w:pPr>
              <w:rPr>
                <w:rFonts w:ascii="仿宋" w:hAnsi="仿宋" w:eastAsia="仿宋" w:cs="仿宋"/>
              </w:rPr>
            </w:pPr>
            <w:r>
              <w:rPr>
                <w:rFonts w:hint="eastAsia" w:ascii="仿宋" w:hAnsi="仿宋" w:eastAsia="仿宋" w:cs="仿宋"/>
                <w:sz w:val="22"/>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6</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培训费用</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tcPr>
          <w:p>
            <w:pPr>
              <w:rPr>
                <w:rFonts w:ascii="仿宋" w:hAnsi="仿宋" w:eastAsia="仿宋" w:cs="仿宋"/>
              </w:rPr>
            </w:pPr>
            <w:r>
              <w:rPr>
                <w:rFonts w:hint="eastAsia" w:ascii="仿宋" w:hAnsi="仿宋" w:eastAsia="仿宋" w:cs="仿宋"/>
                <w:sz w:val="22"/>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7</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服装费用</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tcPr>
          <w:p>
            <w:pPr>
              <w:rPr>
                <w:rFonts w:ascii="仿宋" w:hAnsi="仿宋" w:eastAsia="仿宋" w:cs="仿宋"/>
              </w:rPr>
            </w:pPr>
            <w:r>
              <w:rPr>
                <w:rFonts w:hint="eastAsia" w:ascii="仿宋" w:hAnsi="仿宋" w:eastAsia="仿宋" w:cs="仿宋"/>
                <w:sz w:val="22"/>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8</w:t>
            </w:r>
          </w:p>
        </w:tc>
        <w:tc>
          <w:tcPr>
            <w:tcW w:w="3175" w:type="dxa"/>
            <w:tcBorders>
              <w:tl2br w:val="nil"/>
              <w:tr2bl w:val="nil"/>
            </w:tcBorders>
            <w:vAlign w:val="center"/>
          </w:tcPr>
          <w:p>
            <w:pPr>
              <w:jc w:val="center"/>
              <w:rPr>
                <w:rFonts w:ascii="仿宋" w:hAnsi="仿宋" w:eastAsia="仿宋" w:cs="仿宋"/>
                <w:color w:val="FF0000"/>
                <w:sz w:val="22"/>
              </w:rPr>
            </w:pPr>
            <w:r>
              <w:rPr>
                <w:rFonts w:hint="eastAsia" w:ascii="仿宋" w:hAnsi="仿宋" w:eastAsia="仿宋" w:cs="仿宋"/>
                <w:sz w:val="22"/>
              </w:rPr>
              <w:t>耗材费</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9</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办公费</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10</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交通费</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11</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福利费</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12</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体检费</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13</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管理成本费</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14</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税金</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15</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利润</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16</w:t>
            </w: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其他费用（招标代理费）</w:t>
            </w: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40"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w:t>
            </w:r>
          </w:p>
        </w:tc>
        <w:tc>
          <w:tcPr>
            <w:tcW w:w="3175" w:type="dxa"/>
            <w:tcBorders>
              <w:tl2br w:val="nil"/>
              <w:tr2bl w:val="nil"/>
            </w:tcBorders>
            <w:vAlign w:val="center"/>
          </w:tcPr>
          <w:p>
            <w:pPr>
              <w:jc w:val="center"/>
              <w:rPr>
                <w:rFonts w:ascii="仿宋" w:hAnsi="仿宋" w:eastAsia="仿宋" w:cs="仿宋"/>
                <w:sz w:val="22"/>
              </w:rPr>
            </w:pPr>
          </w:p>
        </w:tc>
        <w:tc>
          <w:tcPr>
            <w:tcW w:w="1354" w:type="dxa"/>
            <w:tcBorders>
              <w:tl2br w:val="nil"/>
              <w:tr2bl w:val="nil"/>
            </w:tcBorders>
            <w:vAlign w:val="center"/>
          </w:tcPr>
          <w:p>
            <w:pPr>
              <w:jc w:val="center"/>
              <w:rPr>
                <w:rFonts w:ascii="仿宋" w:hAnsi="仿宋" w:eastAsia="仿宋" w:cs="仿宋"/>
                <w:sz w:val="22"/>
              </w:rPr>
            </w:pPr>
          </w:p>
        </w:tc>
        <w:tc>
          <w:tcPr>
            <w:tcW w:w="1269" w:type="dxa"/>
            <w:tcBorders>
              <w:tl2br w:val="nil"/>
              <w:tr2bl w:val="nil"/>
            </w:tcBorders>
            <w:vAlign w:val="center"/>
          </w:tcPr>
          <w:p>
            <w:pPr>
              <w:jc w:val="center"/>
              <w:rPr>
                <w:rFonts w:ascii="仿宋" w:hAnsi="仿宋" w:eastAsia="仿宋" w:cs="仿宋"/>
                <w:sz w:val="22"/>
              </w:rPr>
            </w:pPr>
          </w:p>
        </w:tc>
        <w:tc>
          <w:tcPr>
            <w:tcW w:w="2722" w:type="dxa"/>
            <w:tcBorders>
              <w:tl2br w:val="nil"/>
              <w:tr2bl w:val="nil"/>
            </w:tcBorders>
            <w:vAlign w:val="center"/>
          </w:tcPr>
          <w:p>
            <w:pPr>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40" w:type="dxa"/>
            <w:tcBorders>
              <w:tl2br w:val="nil"/>
              <w:tr2bl w:val="nil"/>
            </w:tcBorders>
            <w:vAlign w:val="center"/>
          </w:tcPr>
          <w:p>
            <w:pPr>
              <w:jc w:val="center"/>
              <w:rPr>
                <w:rFonts w:ascii="仿宋" w:hAnsi="仿宋" w:eastAsia="仿宋" w:cs="仿宋"/>
                <w:sz w:val="22"/>
              </w:rPr>
            </w:pPr>
          </w:p>
        </w:tc>
        <w:tc>
          <w:tcPr>
            <w:tcW w:w="3175" w:type="dxa"/>
            <w:tcBorders>
              <w:tl2br w:val="nil"/>
              <w:tr2bl w:val="nil"/>
            </w:tcBorders>
            <w:vAlign w:val="center"/>
          </w:tcPr>
          <w:p>
            <w:pPr>
              <w:jc w:val="center"/>
              <w:rPr>
                <w:rFonts w:ascii="仿宋" w:hAnsi="仿宋" w:eastAsia="仿宋" w:cs="仿宋"/>
                <w:sz w:val="22"/>
              </w:rPr>
            </w:pPr>
            <w:r>
              <w:rPr>
                <w:rFonts w:hint="eastAsia" w:ascii="仿宋" w:hAnsi="仿宋" w:eastAsia="仿宋" w:cs="仿宋"/>
                <w:sz w:val="22"/>
              </w:rPr>
              <w:t>合计</w:t>
            </w:r>
          </w:p>
        </w:tc>
        <w:tc>
          <w:tcPr>
            <w:tcW w:w="2623" w:type="dxa"/>
            <w:gridSpan w:val="2"/>
            <w:tcBorders>
              <w:tl2br w:val="nil"/>
              <w:tr2bl w:val="nil"/>
            </w:tcBorders>
            <w:vAlign w:val="center"/>
          </w:tcPr>
          <w:p>
            <w:pPr>
              <w:jc w:val="center"/>
              <w:rPr>
                <w:rFonts w:ascii="仿宋" w:hAnsi="仿宋" w:eastAsia="仿宋" w:cs="仿宋"/>
                <w:sz w:val="22"/>
              </w:rPr>
            </w:pPr>
          </w:p>
        </w:tc>
        <w:tc>
          <w:tcPr>
            <w:tcW w:w="2722" w:type="dxa"/>
            <w:tcBorders>
              <w:tl2br w:val="nil"/>
              <w:tr2bl w:val="nil"/>
            </w:tcBorders>
            <w:vAlign w:val="center"/>
          </w:tcPr>
          <w:p>
            <w:pPr>
              <w:jc w:val="center"/>
              <w:rPr>
                <w:rFonts w:ascii="仿宋" w:hAnsi="仿宋" w:eastAsia="仿宋" w:cs="仿宋"/>
                <w:sz w:val="22"/>
              </w:rPr>
            </w:pPr>
          </w:p>
        </w:tc>
      </w:tr>
    </w:tbl>
    <w:p>
      <w:pPr>
        <w:adjustRightInd w:val="0"/>
        <w:snapToGrid w:val="0"/>
        <w:spacing w:line="360" w:lineRule="auto"/>
        <w:ind w:firstLine="376" w:firstLineChars="171"/>
        <w:rPr>
          <w:rFonts w:ascii="宋体" w:hAnsi="宋体" w:cs="Arial"/>
          <w:b/>
          <w:sz w:val="22"/>
          <w:szCs w:val="22"/>
        </w:rPr>
      </w:pPr>
      <w:r>
        <w:rPr>
          <w:rFonts w:hint="eastAsia" w:ascii="宋体" w:hAnsi="宋体" w:cs="Arial"/>
          <w:b/>
          <w:sz w:val="22"/>
          <w:szCs w:val="22"/>
        </w:rPr>
        <w:t>说明：</w:t>
      </w:r>
    </w:p>
    <w:p>
      <w:pPr>
        <w:adjustRightInd w:val="0"/>
        <w:snapToGrid w:val="0"/>
        <w:spacing w:line="360" w:lineRule="auto"/>
        <w:ind w:firstLine="376" w:firstLineChars="171"/>
        <w:rPr>
          <w:rFonts w:ascii="宋体" w:hAnsi="宋体" w:cs="新宋体"/>
          <w:b/>
          <w:sz w:val="22"/>
          <w:szCs w:val="22"/>
        </w:rPr>
      </w:pPr>
      <w:r>
        <w:rPr>
          <w:rFonts w:hint="eastAsia" w:ascii="宋体" w:hAnsi="宋体" w:cs="Arial"/>
          <w:b/>
          <w:sz w:val="22"/>
          <w:szCs w:val="22"/>
        </w:rPr>
        <w:t>1. 标项一、二</w:t>
      </w:r>
      <w:r>
        <w:rPr>
          <w:rFonts w:hint="eastAsia" w:ascii="宋体" w:hAnsi="宋体" w:cs="新宋体"/>
          <w:b/>
          <w:sz w:val="22"/>
          <w:szCs w:val="22"/>
        </w:rPr>
        <w:t>根据服务项分别填写本表。总计价与费用组成表中相对应的服务项报价一致。</w:t>
      </w:r>
    </w:p>
    <w:p>
      <w:pPr>
        <w:adjustRightInd w:val="0"/>
        <w:snapToGrid w:val="0"/>
        <w:spacing w:line="360" w:lineRule="auto"/>
        <w:ind w:firstLine="376" w:firstLineChars="171"/>
        <w:rPr>
          <w:rFonts w:ascii="宋体" w:hAnsi="宋体" w:cs="Arial"/>
          <w:bCs/>
          <w:sz w:val="22"/>
          <w:szCs w:val="22"/>
        </w:rPr>
      </w:pPr>
      <w:r>
        <w:rPr>
          <w:rFonts w:hint="eastAsia" w:ascii="宋体" w:hAnsi="宋体" w:cs="Arial"/>
          <w:bCs/>
          <w:sz w:val="22"/>
          <w:szCs w:val="22"/>
        </w:rPr>
        <w:t>2. 各项费用如已包含其他报价中请注明“含”，若免费请注明“免”, 若没有请注明“无”。</w:t>
      </w:r>
    </w:p>
    <w:p>
      <w:pPr>
        <w:adjustRightInd w:val="0"/>
        <w:snapToGrid w:val="0"/>
        <w:spacing w:line="360" w:lineRule="auto"/>
        <w:ind w:firstLine="376" w:firstLineChars="171"/>
        <w:rPr>
          <w:rFonts w:ascii="宋体" w:hAnsi="宋体" w:cs="Arial"/>
          <w:b/>
          <w:sz w:val="22"/>
          <w:szCs w:val="22"/>
        </w:rPr>
        <w:sectPr>
          <w:pgSz w:w="11906" w:h="16838"/>
          <w:pgMar w:top="1440" w:right="1247" w:bottom="1440" w:left="1247" w:header="851" w:footer="992" w:gutter="0"/>
          <w:cols w:space="720" w:num="1"/>
          <w:titlePg/>
          <w:docGrid w:type="linesAndChars" w:linePitch="312" w:charSpace="0"/>
        </w:sectPr>
      </w:pPr>
      <w:r>
        <w:rPr>
          <w:rFonts w:hint="eastAsia" w:ascii="宋体" w:hAnsi="宋体" w:cs="Arial"/>
          <w:bCs/>
          <w:sz w:val="22"/>
          <w:szCs w:val="22"/>
        </w:rPr>
        <w:t>3. 本表所列费用为本分项项目的全部费用，除此外，不允许增加任何费用。</w:t>
      </w:r>
    </w:p>
    <w:p>
      <w:pPr>
        <w:autoSpaceDE w:val="0"/>
        <w:autoSpaceDN w:val="0"/>
        <w:adjustRightInd w:val="0"/>
        <w:spacing w:line="500" w:lineRule="atLeast"/>
        <w:jc w:val="center"/>
        <w:rPr>
          <w:rFonts w:ascii="宋体" w:hAnsi="宋体"/>
          <w:b/>
          <w:bCs/>
          <w:sz w:val="28"/>
          <w:szCs w:val="28"/>
        </w:rPr>
      </w:pPr>
      <w:r>
        <w:rPr>
          <w:rFonts w:hint="eastAsia" w:ascii="宋体" w:hAnsi="宋体"/>
          <w:b/>
          <w:bCs/>
          <w:sz w:val="28"/>
          <w:szCs w:val="28"/>
        </w:rPr>
        <w:t>2.消防维保费用组成表（标项）</w:t>
      </w:r>
    </w:p>
    <w:p>
      <w:pPr>
        <w:spacing w:line="380" w:lineRule="exact"/>
        <w:rPr>
          <w:rFonts w:ascii="宋体" w:hAnsi="宋体" w:cs="宋体"/>
          <w:b/>
          <w:sz w:val="22"/>
        </w:rPr>
      </w:pPr>
      <w:r>
        <w:rPr>
          <w:rFonts w:hint="eastAsia" w:ascii="宋体" w:hAnsi="宋体" w:cs="宋体"/>
          <w:b/>
          <w:sz w:val="22"/>
        </w:rPr>
        <w:t>项目名称：项目编号：</w:t>
      </w:r>
    </w:p>
    <w:tbl>
      <w:tblPr>
        <w:tblStyle w:val="3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193"/>
        <w:gridCol w:w="1594"/>
        <w:gridCol w:w="1684"/>
        <w:gridCol w:w="1684"/>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1" w:type="dxa"/>
            <w:tcBorders>
              <w:top w:val="single" w:color="auto" w:sz="12" w:space="0"/>
              <w:left w:val="single" w:color="auto" w:sz="12" w:space="0"/>
              <w:bottom w:val="single" w:color="auto" w:sz="12" w:space="0"/>
            </w:tcBorders>
            <w:vAlign w:val="center"/>
          </w:tcPr>
          <w:p>
            <w:pPr>
              <w:jc w:val="center"/>
              <w:rPr>
                <w:rFonts w:ascii="宋体" w:hAnsi="宋体"/>
                <w:sz w:val="22"/>
                <w:szCs w:val="22"/>
              </w:rPr>
            </w:pPr>
            <w:r>
              <w:rPr>
                <w:rFonts w:hint="eastAsia" w:ascii="宋体" w:hAnsi="宋体"/>
                <w:sz w:val="22"/>
                <w:szCs w:val="22"/>
              </w:rPr>
              <w:t>序号</w:t>
            </w:r>
          </w:p>
        </w:tc>
        <w:tc>
          <w:tcPr>
            <w:tcW w:w="2193" w:type="dxa"/>
            <w:tcBorders>
              <w:top w:val="single" w:color="auto" w:sz="12" w:space="0"/>
              <w:bottom w:val="single" w:color="auto" w:sz="12" w:space="0"/>
            </w:tcBorders>
            <w:vAlign w:val="center"/>
          </w:tcPr>
          <w:p>
            <w:pPr>
              <w:jc w:val="center"/>
              <w:rPr>
                <w:rFonts w:ascii="宋体" w:hAnsi="宋体"/>
                <w:sz w:val="22"/>
                <w:szCs w:val="22"/>
              </w:rPr>
            </w:pPr>
            <w:r>
              <w:rPr>
                <w:rFonts w:hint="eastAsia" w:ascii="宋体" w:hAnsi="宋体"/>
                <w:sz w:val="22"/>
                <w:szCs w:val="22"/>
              </w:rPr>
              <w:t>费用名称</w:t>
            </w:r>
          </w:p>
        </w:tc>
        <w:tc>
          <w:tcPr>
            <w:tcW w:w="1594" w:type="dxa"/>
            <w:tcBorders>
              <w:top w:val="single" w:color="auto" w:sz="12" w:space="0"/>
              <w:bottom w:val="single" w:color="auto" w:sz="12" w:space="0"/>
            </w:tcBorders>
            <w:vAlign w:val="center"/>
          </w:tcPr>
          <w:p>
            <w:pPr>
              <w:jc w:val="center"/>
              <w:rPr>
                <w:rFonts w:ascii="宋体" w:hAnsi="宋体"/>
                <w:sz w:val="22"/>
                <w:szCs w:val="22"/>
              </w:rPr>
            </w:pPr>
            <w:r>
              <w:rPr>
                <w:rFonts w:hint="eastAsia" w:ascii="宋体" w:hAnsi="宋体"/>
                <w:sz w:val="22"/>
                <w:szCs w:val="22"/>
              </w:rPr>
              <w:t>单价</w:t>
            </w:r>
          </w:p>
        </w:tc>
        <w:tc>
          <w:tcPr>
            <w:tcW w:w="1684" w:type="dxa"/>
            <w:tcBorders>
              <w:top w:val="single" w:color="auto" w:sz="12" w:space="0"/>
              <w:bottom w:val="single" w:color="auto" w:sz="12" w:space="0"/>
            </w:tcBorders>
            <w:vAlign w:val="center"/>
          </w:tcPr>
          <w:p>
            <w:pPr>
              <w:jc w:val="center"/>
              <w:rPr>
                <w:rFonts w:ascii="宋体" w:hAnsi="宋体"/>
                <w:sz w:val="22"/>
                <w:szCs w:val="22"/>
              </w:rPr>
            </w:pPr>
            <w:r>
              <w:rPr>
                <w:rFonts w:hint="eastAsia" w:ascii="宋体" w:hAnsi="宋体"/>
                <w:sz w:val="22"/>
                <w:szCs w:val="22"/>
              </w:rPr>
              <w:t>数量</w:t>
            </w:r>
          </w:p>
        </w:tc>
        <w:tc>
          <w:tcPr>
            <w:tcW w:w="1684" w:type="dxa"/>
            <w:tcBorders>
              <w:top w:val="single" w:color="auto" w:sz="12" w:space="0"/>
              <w:bottom w:val="single" w:color="auto" w:sz="12" w:space="0"/>
            </w:tcBorders>
            <w:vAlign w:val="center"/>
          </w:tcPr>
          <w:p>
            <w:pPr>
              <w:jc w:val="center"/>
              <w:rPr>
                <w:rFonts w:ascii="宋体" w:hAnsi="宋体"/>
                <w:sz w:val="22"/>
                <w:szCs w:val="22"/>
              </w:rPr>
            </w:pPr>
            <w:r>
              <w:rPr>
                <w:rFonts w:hint="eastAsia" w:ascii="宋体" w:hAnsi="宋体"/>
                <w:sz w:val="22"/>
                <w:szCs w:val="22"/>
              </w:rPr>
              <w:t>合价</w:t>
            </w:r>
          </w:p>
        </w:tc>
        <w:tc>
          <w:tcPr>
            <w:tcW w:w="1950" w:type="dxa"/>
            <w:tcBorders>
              <w:top w:val="single" w:color="auto" w:sz="12" w:space="0"/>
              <w:bottom w:val="single" w:color="auto" w:sz="12" w:space="0"/>
              <w:right w:val="single" w:color="auto" w:sz="12" w:space="0"/>
            </w:tcBorders>
            <w:vAlign w:val="center"/>
          </w:tcPr>
          <w:p>
            <w:pPr>
              <w:jc w:val="center"/>
              <w:rPr>
                <w:rFonts w:ascii="宋体" w:hAnsi="宋体"/>
                <w:sz w:val="22"/>
                <w:szCs w:val="22"/>
              </w:rPr>
            </w:pPr>
            <w:r>
              <w:rPr>
                <w:rFonts w:hint="eastAsia"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1" w:type="dxa"/>
            <w:tcBorders>
              <w:left w:val="single" w:color="auto" w:sz="12" w:space="0"/>
            </w:tcBorders>
            <w:vAlign w:val="center"/>
          </w:tcPr>
          <w:p>
            <w:pPr>
              <w:jc w:val="center"/>
              <w:rPr>
                <w:rFonts w:ascii="宋体" w:hAnsi="宋体"/>
                <w:sz w:val="22"/>
                <w:szCs w:val="22"/>
              </w:rPr>
            </w:pPr>
            <w:r>
              <w:rPr>
                <w:rFonts w:hint="eastAsia" w:ascii="宋体" w:hAnsi="宋体"/>
                <w:sz w:val="22"/>
                <w:szCs w:val="22"/>
              </w:rPr>
              <w:t>1</w:t>
            </w:r>
          </w:p>
        </w:tc>
        <w:tc>
          <w:tcPr>
            <w:tcW w:w="2193" w:type="dxa"/>
            <w:vAlign w:val="center"/>
          </w:tcPr>
          <w:p>
            <w:pPr>
              <w:jc w:val="center"/>
              <w:textAlignment w:val="center"/>
              <w:rPr>
                <w:rFonts w:ascii="宋体" w:hAnsi="宋体"/>
                <w:sz w:val="22"/>
                <w:szCs w:val="22"/>
              </w:rPr>
            </w:pPr>
          </w:p>
        </w:tc>
        <w:tc>
          <w:tcPr>
            <w:tcW w:w="1594" w:type="dxa"/>
            <w:vAlign w:val="center"/>
          </w:tcPr>
          <w:p>
            <w:pPr>
              <w:jc w:val="center"/>
              <w:rPr>
                <w:rFonts w:ascii="宋体" w:hAnsi="宋体"/>
                <w:sz w:val="22"/>
                <w:szCs w:val="22"/>
              </w:rPr>
            </w:pPr>
            <w:r>
              <w:rPr>
                <w:rFonts w:hint="eastAsia" w:ascii="宋体" w:hAnsi="宋体"/>
                <w:sz w:val="22"/>
                <w:szCs w:val="22"/>
              </w:rPr>
              <w:t>/年</w:t>
            </w:r>
          </w:p>
        </w:tc>
        <w:tc>
          <w:tcPr>
            <w:tcW w:w="1684" w:type="dxa"/>
            <w:vAlign w:val="center"/>
          </w:tcPr>
          <w:p>
            <w:pPr>
              <w:jc w:val="center"/>
              <w:rPr>
                <w:rFonts w:ascii="宋体" w:hAnsi="宋体"/>
                <w:sz w:val="22"/>
                <w:szCs w:val="22"/>
              </w:rPr>
            </w:pPr>
          </w:p>
        </w:tc>
        <w:tc>
          <w:tcPr>
            <w:tcW w:w="1684" w:type="dxa"/>
            <w:vAlign w:val="center"/>
          </w:tcPr>
          <w:p>
            <w:pPr>
              <w:jc w:val="center"/>
              <w:rPr>
                <w:rFonts w:ascii="宋体" w:hAnsi="宋体"/>
                <w:sz w:val="22"/>
                <w:szCs w:val="22"/>
              </w:rPr>
            </w:pPr>
          </w:p>
        </w:tc>
        <w:tc>
          <w:tcPr>
            <w:tcW w:w="1950" w:type="dxa"/>
            <w:tcBorders>
              <w:right w:val="single" w:color="auto" w:sz="12"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71" w:type="dxa"/>
            <w:tcBorders>
              <w:left w:val="single" w:color="auto" w:sz="12" w:space="0"/>
            </w:tcBorders>
            <w:vAlign w:val="center"/>
          </w:tcPr>
          <w:p>
            <w:pPr>
              <w:jc w:val="center"/>
              <w:rPr>
                <w:rFonts w:ascii="宋体" w:hAnsi="宋体"/>
                <w:sz w:val="22"/>
                <w:szCs w:val="22"/>
              </w:rPr>
            </w:pPr>
            <w:r>
              <w:rPr>
                <w:rFonts w:hint="eastAsia" w:ascii="宋体" w:hAnsi="宋体"/>
                <w:sz w:val="22"/>
                <w:szCs w:val="22"/>
              </w:rPr>
              <w:t>2</w:t>
            </w:r>
          </w:p>
        </w:tc>
        <w:tc>
          <w:tcPr>
            <w:tcW w:w="2193" w:type="dxa"/>
            <w:vAlign w:val="center"/>
          </w:tcPr>
          <w:p>
            <w:pPr>
              <w:jc w:val="center"/>
              <w:textAlignment w:val="center"/>
              <w:rPr>
                <w:rFonts w:ascii="宋体" w:hAnsi="宋体"/>
                <w:sz w:val="22"/>
                <w:szCs w:val="22"/>
              </w:rPr>
            </w:pPr>
          </w:p>
        </w:tc>
        <w:tc>
          <w:tcPr>
            <w:tcW w:w="1594" w:type="dxa"/>
            <w:vAlign w:val="center"/>
          </w:tcPr>
          <w:p>
            <w:pPr>
              <w:jc w:val="center"/>
              <w:rPr>
                <w:rFonts w:ascii="宋体" w:hAnsi="宋体"/>
                <w:sz w:val="22"/>
                <w:szCs w:val="22"/>
              </w:rPr>
            </w:pPr>
            <w:r>
              <w:rPr>
                <w:rFonts w:hint="eastAsia" w:ascii="宋体" w:hAnsi="宋体"/>
                <w:sz w:val="22"/>
                <w:szCs w:val="22"/>
              </w:rPr>
              <w:t>/年</w:t>
            </w:r>
          </w:p>
        </w:tc>
        <w:tc>
          <w:tcPr>
            <w:tcW w:w="1684" w:type="dxa"/>
            <w:vAlign w:val="center"/>
          </w:tcPr>
          <w:p>
            <w:pPr>
              <w:jc w:val="center"/>
              <w:rPr>
                <w:rFonts w:ascii="宋体" w:hAnsi="宋体"/>
                <w:sz w:val="22"/>
                <w:szCs w:val="22"/>
              </w:rPr>
            </w:pPr>
          </w:p>
        </w:tc>
        <w:tc>
          <w:tcPr>
            <w:tcW w:w="1684" w:type="dxa"/>
            <w:vAlign w:val="center"/>
          </w:tcPr>
          <w:p>
            <w:pPr>
              <w:jc w:val="center"/>
              <w:rPr>
                <w:rFonts w:ascii="宋体" w:hAnsi="宋体"/>
                <w:sz w:val="22"/>
                <w:szCs w:val="22"/>
              </w:rPr>
            </w:pPr>
          </w:p>
        </w:tc>
        <w:tc>
          <w:tcPr>
            <w:tcW w:w="1950" w:type="dxa"/>
            <w:tcBorders>
              <w:right w:val="single" w:color="auto" w:sz="12"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71" w:type="dxa"/>
            <w:tcBorders>
              <w:left w:val="single" w:color="auto" w:sz="12" w:space="0"/>
            </w:tcBorders>
            <w:vAlign w:val="center"/>
          </w:tcPr>
          <w:p>
            <w:pPr>
              <w:jc w:val="center"/>
              <w:rPr>
                <w:rFonts w:ascii="宋体" w:hAnsi="宋体"/>
                <w:sz w:val="22"/>
                <w:szCs w:val="22"/>
              </w:rPr>
            </w:pPr>
            <w:r>
              <w:rPr>
                <w:rFonts w:hint="eastAsia" w:ascii="宋体" w:hAnsi="宋体"/>
                <w:sz w:val="22"/>
                <w:szCs w:val="22"/>
              </w:rPr>
              <w:t>3</w:t>
            </w:r>
          </w:p>
        </w:tc>
        <w:tc>
          <w:tcPr>
            <w:tcW w:w="2193" w:type="dxa"/>
            <w:vAlign w:val="center"/>
          </w:tcPr>
          <w:p>
            <w:pPr>
              <w:jc w:val="center"/>
              <w:textAlignment w:val="center"/>
              <w:rPr>
                <w:rFonts w:ascii="宋体" w:hAnsi="宋体"/>
                <w:sz w:val="22"/>
                <w:szCs w:val="22"/>
              </w:rPr>
            </w:pPr>
          </w:p>
        </w:tc>
        <w:tc>
          <w:tcPr>
            <w:tcW w:w="1594" w:type="dxa"/>
            <w:vAlign w:val="center"/>
          </w:tcPr>
          <w:p>
            <w:pPr>
              <w:jc w:val="center"/>
              <w:rPr>
                <w:rFonts w:ascii="宋体" w:hAnsi="宋体"/>
                <w:sz w:val="22"/>
                <w:szCs w:val="22"/>
              </w:rPr>
            </w:pPr>
            <w:r>
              <w:rPr>
                <w:rFonts w:hint="eastAsia" w:ascii="宋体" w:hAnsi="宋体"/>
                <w:sz w:val="22"/>
                <w:szCs w:val="22"/>
              </w:rPr>
              <w:t>/年</w:t>
            </w:r>
          </w:p>
        </w:tc>
        <w:tc>
          <w:tcPr>
            <w:tcW w:w="1684" w:type="dxa"/>
            <w:vAlign w:val="center"/>
          </w:tcPr>
          <w:p>
            <w:pPr>
              <w:jc w:val="center"/>
              <w:rPr>
                <w:rFonts w:ascii="宋体" w:hAnsi="宋体"/>
                <w:sz w:val="22"/>
                <w:szCs w:val="22"/>
              </w:rPr>
            </w:pPr>
          </w:p>
        </w:tc>
        <w:tc>
          <w:tcPr>
            <w:tcW w:w="1684" w:type="dxa"/>
            <w:vAlign w:val="center"/>
          </w:tcPr>
          <w:p>
            <w:pPr>
              <w:jc w:val="center"/>
              <w:rPr>
                <w:rFonts w:ascii="宋体" w:hAnsi="宋体"/>
                <w:sz w:val="22"/>
                <w:szCs w:val="22"/>
              </w:rPr>
            </w:pPr>
          </w:p>
        </w:tc>
        <w:tc>
          <w:tcPr>
            <w:tcW w:w="1950" w:type="dxa"/>
            <w:tcBorders>
              <w:right w:val="single" w:color="auto" w:sz="12"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71" w:type="dxa"/>
            <w:tcBorders>
              <w:left w:val="single" w:color="auto" w:sz="12" w:space="0"/>
            </w:tcBorders>
            <w:vAlign w:val="center"/>
          </w:tcPr>
          <w:p>
            <w:pPr>
              <w:jc w:val="center"/>
              <w:rPr>
                <w:rFonts w:ascii="宋体" w:hAnsi="宋体"/>
                <w:sz w:val="22"/>
                <w:szCs w:val="22"/>
              </w:rPr>
            </w:pPr>
            <w:r>
              <w:rPr>
                <w:rFonts w:hint="eastAsia" w:ascii="宋体" w:hAnsi="宋体"/>
                <w:sz w:val="22"/>
                <w:szCs w:val="22"/>
              </w:rPr>
              <w:t>4</w:t>
            </w:r>
          </w:p>
        </w:tc>
        <w:tc>
          <w:tcPr>
            <w:tcW w:w="2193" w:type="dxa"/>
            <w:vAlign w:val="center"/>
          </w:tcPr>
          <w:p>
            <w:pPr>
              <w:jc w:val="center"/>
              <w:textAlignment w:val="center"/>
              <w:rPr>
                <w:rFonts w:ascii="宋体" w:hAnsi="宋体"/>
                <w:sz w:val="22"/>
                <w:szCs w:val="22"/>
              </w:rPr>
            </w:pPr>
          </w:p>
        </w:tc>
        <w:tc>
          <w:tcPr>
            <w:tcW w:w="1594" w:type="dxa"/>
            <w:vAlign w:val="center"/>
          </w:tcPr>
          <w:p>
            <w:pPr>
              <w:jc w:val="center"/>
              <w:rPr>
                <w:rFonts w:ascii="宋体" w:hAnsi="宋体"/>
                <w:sz w:val="22"/>
                <w:szCs w:val="22"/>
              </w:rPr>
            </w:pPr>
            <w:r>
              <w:rPr>
                <w:rFonts w:hint="eastAsia" w:ascii="宋体" w:hAnsi="宋体"/>
                <w:sz w:val="22"/>
                <w:szCs w:val="22"/>
              </w:rPr>
              <w:t>/年</w:t>
            </w:r>
          </w:p>
        </w:tc>
        <w:tc>
          <w:tcPr>
            <w:tcW w:w="1684" w:type="dxa"/>
            <w:vAlign w:val="center"/>
          </w:tcPr>
          <w:p>
            <w:pPr>
              <w:jc w:val="center"/>
              <w:rPr>
                <w:rFonts w:ascii="宋体" w:hAnsi="宋体"/>
                <w:sz w:val="22"/>
                <w:szCs w:val="22"/>
              </w:rPr>
            </w:pPr>
          </w:p>
        </w:tc>
        <w:tc>
          <w:tcPr>
            <w:tcW w:w="1684" w:type="dxa"/>
            <w:vAlign w:val="center"/>
          </w:tcPr>
          <w:p>
            <w:pPr>
              <w:jc w:val="center"/>
              <w:rPr>
                <w:rFonts w:ascii="宋体" w:hAnsi="宋体"/>
                <w:sz w:val="22"/>
                <w:szCs w:val="22"/>
              </w:rPr>
            </w:pPr>
          </w:p>
        </w:tc>
        <w:tc>
          <w:tcPr>
            <w:tcW w:w="1950" w:type="dxa"/>
            <w:tcBorders>
              <w:right w:val="single" w:color="auto" w:sz="12"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71" w:type="dxa"/>
            <w:tcBorders>
              <w:left w:val="single" w:color="auto" w:sz="12" w:space="0"/>
            </w:tcBorders>
            <w:vAlign w:val="center"/>
          </w:tcPr>
          <w:p>
            <w:pPr>
              <w:jc w:val="center"/>
              <w:rPr>
                <w:rFonts w:ascii="宋体" w:hAnsi="宋体"/>
                <w:sz w:val="22"/>
                <w:szCs w:val="22"/>
              </w:rPr>
            </w:pPr>
            <w:r>
              <w:rPr>
                <w:rFonts w:hint="eastAsia" w:ascii="宋体" w:hAnsi="宋体"/>
                <w:sz w:val="22"/>
                <w:szCs w:val="22"/>
              </w:rPr>
              <w:t>5</w:t>
            </w:r>
          </w:p>
        </w:tc>
        <w:tc>
          <w:tcPr>
            <w:tcW w:w="2193" w:type="dxa"/>
            <w:vAlign w:val="center"/>
          </w:tcPr>
          <w:p>
            <w:pPr>
              <w:jc w:val="center"/>
              <w:textAlignment w:val="center"/>
              <w:rPr>
                <w:rFonts w:ascii="宋体" w:hAnsi="宋体"/>
                <w:sz w:val="22"/>
                <w:szCs w:val="22"/>
              </w:rPr>
            </w:pPr>
          </w:p>
        </w:tc>
        <w:tc>
          <w:tcPr>
            <w:tcW w:w="1594" w:type="dxa"/>
            <w:vAlign w:val="center"/>
          </w:tcPr>
          <w:p>
            <w:pPr>
              <w:jc w:val="center"/>
              <w:rPr>
                <w:rFonts w:ascii="宋体" w:hAnsi="宋体"/>
                <w:sz w:val="22"/>
                <w:szCs w:val="22"/>
              </w:rPr>
            </w:pPr>
            <w:r>
              <w:rPr>
                <w:rFonts w:hint="eastAsia" w:ascii="宋体" w:hAnsi="宋体"/>
                <w:sz w:val="22"/>
                <w:szCs w:val="22"/>
              </w:rPr>
              <w:t>/年</w:t>
            </w:r>
          </w:p>
        </w:tc>
        <w:tc>
          <w:tcPr>
            <w:tcW w:w="1684" w:type="dxa"/>
            <w:vAlign w:val="center"/>
          </w:tcPr>
          <w:p>
            <w:pPr>
              <w:jc w:val="center"/>
              <w:rPr>
                <w:rFonts w:ascii="宋体" w:hAnsi="宋体"/>
                <w:sz w:val="22"/>
                <w:szCs w:val="22"/>
              </w:rPr>
            </w:pPr>
          </w:p>
        </w:tc>
        <w:tc>
          <w:tcPr>
            <w:tcW w:w="1684" w:type="dxa"/>
            <w:vAlign w:val="center"/>
          </w:tcPr>
          <w:p>
            <w:pPr>
              <w:jc w:val="center"/>
              <w:rPr>
                <w:rFonts w:ascii="宋体" w:hAnsi="宋体"/>
                <w:sz w:val="22"/>
                <w:szCs w:val="22"/>
              </w:rPr>
            </w:pPr>
          </w:p>
        </w:tc>
        <w:tc>
          <w:tcPr>
            <w:tcW w:w="1950" w:type="dxa"/>
            <w:tcBorders>
              <w:right w:val="single" w:color="auto" w:sz="12"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458" w:type="dxa"/>
            <w:gridSpan w:val="3"/>
            <w:tcBorders>
              <w:left w:val="single" w:color="auto" w:sz="12" w:space="0"/>
            </w:tcBorders>
            <w:vAlign w:val="center"/>
          </w:tcPr>
          <w:p>
            <w:pPr>
              <w:jc w:val="center"/>
              <w:rPr>
                <w:rFonts w:ascii="宋体" w:hAnsi="宋体"/>
                <w:sz w:val="22"/>
                <w:szCs w:val="22"/>
              </w:rPr>
            </w:pPr>
            <w:r>
              <w:rPr>
                <w:rFonts w:hint="eastAsia" w:ascii="宋体" w:hAnsi="宋体"/>
                <w:sz w:val="22"/>
                <w:szCs w:val="22"/>
              </w:rPr>
              <w:t>总价</w:t>
            </w:r>
          </w:p>
        </w:tc>
        <w:tc>
          <w:tcPr>
            <w:tcW w:w="3368" w:type="dxa"/>
            <w:gridSpan w:val="2"/>
            <w:vAlign w:val="center"/>
          </w:tcPr>
          <w:p>
            <w:pPr>
              <w:jc w:val="center"/>
              <w:rPr>
                <w:rFonts w:ascii="宋体" w:hAnsi="宋体"/>
                <w:sz w:val="22"/>
                <w:szCs w:val="22"/>
              </w:rPr>
            </w:pPr>
          </w:p>
        </w:tc>
        <w:tc>
          <w:tcPr>
            <w:tcW w:w="1950" w:type="dxa"/>
            <w:tcBorders>
              <w:right w:val="single" w:color="auto" w:sz="12" w:space="0"/>
            </w:tcBorders>
            <w:vAlign w:val="center"/>
          </w:tcPr>
          <w:p>
            <w:pPr>
              <w:jc w:val="center"/>
              <w:rPr>
                <w:rFonts w:ascii="宋体" w:hAnsi="宋体"/>
                <w:sz w:val="22"/>
                <w:szCs w:val="22"/>
              </w:rPr>
            </w:pPr>
          </w:p>
        </w:tc>
      </w:tr>
    </w:tbl>
    <w:p>
      <w:pPr>
        <w:adjustRightInd w:val="0"/>
        <w:snapToGrid w:val="0"/>
        <w:spacing w:line="360" w:lineRule="auto"/>
        <w:ind w:firstLine="376" w:firstLineChars="171"/>
        <w:rPr>
          <w:rFonts w:ascii="宋体" w:hAnsi="宋体" w:cs="Arial"/>
          <w:b/>
          <w:sz w:val="22"/>
          <w:szCs w:val="22"/>
        </w:rPr>
      </w:pPr>
      <w:r>
        <w:rPr>
          <w:rFonts w:hint="eastAsia" w:ascii="宋体" w:hAnsi="宋体" w:cs="Arial"/>
          <w:b/>
          <w:sz w:val="22"/>
          <w:szCs w:val="22"/>
        </w:rPr>
        <w:t>说明：</w:t>
      </w:r>
    </w:p>
    <w:p>
      <w:pPr>
        <w:adjustRightInd w:val="0"/>
        <w:snapToGrid w:val="0"/>
        <w:spacing w:line="360" w:lineRule="auto"/>
        <w:ind w:firstLine="376" w:firstLineChars="171"/>
        <w:rPr>
          <w:rFonts w:ascii="宋体" w:hAnsi="宋体" w:cs="新宋体"/>
          <w:b/>
          <w:sz w:val="22"/>
          <w:szCs w:val="22"/>
        </w:rPr>
      </w:pPr>
      <w:r>
        <w:rPr>
          <w:rFonts w:hint="eastAsia" w:ascii="宋体" w:hAnsi="宋体" w:cs="Arial"/>
          <w:b/>
          <w:sz w:val="22"/>
          <w:szCs w:val="22"/>
        </w:rPr>
        <w:t>1. 标项一、二</w:t>
      </w:r>
      <w:r>
        <w:rPr>
          <w:rFonts w:hint="eastAsia" w:ascii="宋体" w:hAnsi="宋体" w:cs="新宋体"/>
          <w:b/>
          <w:sz w:val="22"/>
          <w:szCs w:val="22"/>
        </w:rPr>
        <w:t>根据投标分项报价表序号1按不同的服务项分别填写本表。总计价与费用组成表中相对应的服务项报价一致。</w:t>
      </w:r>
    </w:p>
    <w:p>
      <w:pPr>
        <w:adjustRightInd w:val="0"/>
        <w:snapToGrid w:val="0"/>
        <w:spacing w:line="360" w:lineRule="auto"/>
        <w:ind w:firstLine="376" w:firstLineChars="171"/>
        <w:rPr>
          <w:rFonts w:ascii="宋体" w:hAnsi="宋体" w:cs="Arial"/>
          <w:bCs/>
          <w:sz w:val="22"/>
          <w:szCs w:val="22"/>
        </w:rPr>
      </w:pPr>
      <w:r>
        <w:rPr>
          <w:rFonts w:hint="eastAsia" w:ascii="宋体" w:hAnsi="宋体" w:cs="Arial"/>
          <w:bCs/>
          <w:sz w:val="22"/>
          <w:szCs w:val="22"/>
        </w:rPr>
        <w:t>2. 各项费用如已包含其他报价中请注明“含”，若免费请注明“免”, 若没有请注明“无”。</w:t>
      </w:r>
    </w:p>
    <w:p>
      <w:pPr>
        <w:spacing w:line="380" w:lineRule="exact"/>
        <w:ind w:firstLine="418" w:firstLineChars="190"/>
        <w:rPr>
          <w:rFonts w:ascii="黑体" w:hAnsi="黑体"/>
          <w:sz w:val="36"/>
          <w:szCs w:val="36"/>
        </w:rPr>
      </w:pPr>
      <w:r>
        <w:rPr>
          <w:rFonts w:hint="eastAsia" w:ascii="宋体" w:hAnsi="宋体" w:cs="Arial"/>
          <w:bCs/>
          <w:sz w:val="22"/>
          <w:szCs w:val="22"/>
        </w:rPr>
        <w:t>3. 本表所列费用为本分项项目的全部费用，除此外，不允许增加任何费用。</w:t>
      </w:r>
    </w:p>
    <w:p>
      <w:pPr>
        <w:spacing w:line="380" w:lineRule="exact"/>
        <w:rPr>
          <w:rFonts w:ascii="黑体" w:hAnsi="黑体"/>
          <w:sz w:val="36"/>
          <w:szCs w:val="36"/>
        </w:rPr>
      </w:pPr>
    </w:p>
    <w:p>
      <w:pPr>
        <w:adjustRightInd w:val="0"/>
        <w:snapToGrid w:val="0"/>
        <w:spacing w:line="360" w:lineRule="auto"/>
        <w:ind w:firstLine="376" w:firstLineChars="171"/>
        <w:rPr>
          <w:rFonts w:ascii="宋体" w:hAnsi="宋体" w:cs="Arial"/>
          <w:b/>
          <w:sz w:val="22"/>
          <w:szCs w:val="22"/>
        </w:rPr>
        <w:sectPr>
          <w:pgSz w:w="11906" w:h="16838"/>
          <w:pgMar w:top="1440" w:right="1247" w:bottom="1440" w:left="1247" w:header="851" w:footer="992" w:gutter="0"/>
          <w:cols w:space="720" w:num="1"/>
          <w:titlePg/>
          <w:docGrid w:type="linesAndChars" w:linePitch="312" w:charSpace="0"/>
        </w:sectPr>
      </w:pPr>
    </w:p>
    <w:p>
      <w:pPr>
        <w:autoSpaceDE w:val="0"/>
        <w:autoSpaceDN w:val="0"/>
        <w:adjustRightInd w:val="0"/>
        <w:spacing w:line="500" w:lineRule="atLeast"/>
        <w:jc w:val="center"/>
        <w:rPr>
          <w:rFonts w:ascii="宋体" w:hAnsi="宋体"/>
          <w:b/>
          <w:bCs/>
          <w:sz w:val="28"/>
          <w:szCs w:val="28"/>
        </w:rPr>
      </w:pPr>
      <w:r>
        <w:rPr>
          <w:rFonts w:hint="eastAsia" w:ascii="宋体" w:hAnsi="宋体"/>
          <w:b/>
          <w:bCs/>
          <w:sz w:val="28"/>
          <w:szCs w:val="28"/>
        </w:rPr>
        <w:t>3.机械车位维保费用组成表（标项）</w:t>
      </w:r>
    </w:p>
    <w:p>
      <w:pPr>
        <w:spacing w:line="380" w:lineRule="exact"/>
        <w:rPr>
          <w:rFonts w:ascii="宋体" w:hAnsi="宋体" w:cs="宋体"/>
          <w:b/>
          <w:sz w:val="22"/>
        </w:rPr>
      </w:pPr>
      <w:r>
        <w:rPr>
          <w:rFonts w:hint="eastAsia" w:ascii="宋体" w:hAnsi="宋体" w:cs="宋体"/>
          <w:b/>
          <w:sz w:val="22"/>
        </w:rPr>
        <w:t>项目名称：项目编号：</w:t>
      </w:r>
    </w:p>
    <w:tbl>
      <w:tblPr>
        <w:tblStyle w:val="37"/>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153"/>
        <w:gridCol w:w="1565"/>
        <w:gridCol w:w="1653"/>
        <w:gridCol w:w="1653"/>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59" w:type="dxa"/>
            <w:tcBorders>
              <w:top w:val="single" w:color="auto" w:sz="12" w:space="0"/>
              <w:left w:val="single" w:color="auto" w:sz="12" w:space="0"/>
              <w:bottom w:val="single" w:color="auto" w:sz="12" w:space="0"/>
            </w:tcBorders>
            <w:vAlign w:val="center"/>
          </w:tcPr>
          <w:p>
            <w:pPr>
              <w:jc w:val="center"/>
              <w:rPr>
                <w:rFonts w:ascii="宋体" w:hAnsi="宋体"/>
                <w:sz w:val="22"/>
                <w:szCs w:val="22"/>
              </w:rPr>
            </w:pPr>
            <w:r>
              <w:rPr>
                <w:rFonts w:hint="eastAsia" w:ascii="宋体" w:hAnsi="宋体"/>
                <w:sz w:val="22"/>
                <w:szCs w:val="22"/>
              </w:rPr>
              <w:t>序号</w:t>
            </w:r>
          </w:p>
        </w:tc>
        <w:tc>
          <w:tcPr>
            <w:tcW w:w="2153" w:type="dxa"/>
            <w:tcBorders>
              <w:top w:val="single" w:color="auto" w:sz="12" w:space="0"/>
              <w:bottom w:val="single" w:color="auto" w:sz="12" w:space="0"/>
            </w:tcBorders>
            <w:vAlign w:val="center"/>
          </w:tcPr>
          <w:p>
            <w:pPr>
              <w:jc w:val="center"/>
              <w:rPr>
                <w:rFonts w:ascii="宋体" w:hAnsi="宋体"/>
                <w:sz w:val="22"/>
                <w:szCs w:val="22"/>
              </w:rPr>
            </w:pPr>
            <w:r>
              <w:rPr>
                <w:rFonts w:hint="eastAsia" w:ascii="宋体" w:hAnsi="宋体"/>
                <w:sz w:val="22"/>
                <w:szCs w:val="22"/>
              </w:rPr>
              <w:t>费用名称</w:t>
            </w:r>
          </w:p>
        </w:tc>
        <w:tc>
          <w:tcPr>
            <w:tcW w:w="1565" w:type="dxa"/>
            <w:tcBorders>
              <w:top w:val="single" w:color="auto" w:sz="12" w:space="0"/>
              <w:bottom w:val="single" w:color="auto" w:sz="12" w:space="0"/>
            </w:tcBorders>
            <w:vAlign w:val="center"/>
          </w:tcPr>
          <w:p>
            <w:pPr>
              <w:jc w:val="center"/>
              <w:rPr>
                <w:rFonts w:ascii="宋体" w:hAnsi="宋体"/>
                <w:sz w:val="22"/>
                <w:szCs w:val="22"/>
              </w:rPr>
            </w:pPr>
            <w:r>
              <w:rPr>
                <w:rFonts w:hint="eastAsia" w:ascii="宋体" w:hAnsi="宋体"/>
                <w:sz w:val="22"/>
                <w:szCs w:val="22"/>
              </w:rPr>
              <w:t>单价</w:t>
            </w:r>
          </w:p>
        </w:tc>
        <w:tc>
          <w:tcPr>
            <w:tcW w:w="1653" w:type="dxa"/>
            <w:tcBorders>
              <w:top w:val="single" w:color="auto" w:sz="12" w:space="0"/>
              <w:bottom w:val="single" w:color="auto" w:sz="12" w:space="0"/>
            </w:tcBorders>
            <w:vAlign w:val="center"/>
          </w:tcPr>
          <w:p>
            <w:pPr>
              <w:jc w:val="center"/>
              <w:rPr>
                <w:rFonts w:ascii="宋体" w:hAnsi="宋体"/>
                <w:sz w:val="22"/>
                <w:szCs w:val="22"/>
              </w:rPr>
            </w:pPr>
            <w:r>
              <w:rPr>
                <w:rFonts w:hint="eastAsia" w:ascii="宋体" w:hAnsi="宋体"/>
                <w:sz w:val="22"/>
                <w:szCs w:val="22"/>
              </w:rPr>
              <w:t>数量</w:t>
            </w:r>
          </w:p>
        </w:tc>
        <w:tc>
          <w:tcPr>
            <w:tcW w:w="1653" w:type="dxa"/>
            <w:tcBorders>
              <w:top w:val="single" w:color="auto" w:sz="12" w:space="0"/>
              <w:bottom w:val="single" w:color="auto" w:sz="12" w:space="0"/>
            </w:tcBorders>
            <w:vAlign w:val="center"/>
          </w:tcPr>
          <w:p>
            <w:pPr>
              <w:jc w:val="center"/>
              <w:rPr>
                <w:rFonts w:ascii="宋体" w:hAnsi="宋体"/>
                <w:sz w:val="22"/>
                <w:szCs w:val="22"/>
              </w:rPr>
            </w:pPr>
            <w:r>
              <w:rPr>
                <w:rFonts w:hint="eastAsia" w:ascii="宋体" w:hAnsi="宋体"/>
                <w:sz w:val="22"/>
                <w:szCs w:val="22"/>
              </w:rPr>
              <w:t>合价</w:t>
            </w:r>
          </w:p>
        </w:tc>
        <w:tc>
          <w:tcPr>
            <w:tcW w:w="1914" w:type="dxa"/>
            <w:tcBorders>
              <w:top w:val="single" w:color="auto" w:sz="12" w:space="0"/>
              <w:bottom w:val="single" w:color="auto" w:sz="12" w:space="0"/>
              <w:right w:val="single" w:color="auto" w:sz="12" w:space="0"/>
            </w:tcBorders>
            <w:vAlign w:val="center"/>
          </w:tcPr>
          <w:p>
            <w:pPr>
              <w:jc w:val="center"/>
              <w:rPr>
                <w:rFonts w:ascii="宋体" w:hAnsi="宋体"/>
                <w:sz w:val="22"/>
                <w:szCs w:val="22"/>
              </w:rPr>
            </w:pPr>
            <w:r>
              <w:rPr>
                <w:rFonts w:hint="eastAsia"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59" w:type="dxa"/>
            <w:tcBorders>
              <w:left w:val="single" w:color="auto" w:sz="12" w:space="0"/>
            </w:tcBorders>
            <w:vAlign w:val="center"/>
          </w:tcPr>
          <w:p>
            <w:pPr>
              <w:jc w:val="center"/>
              <w:rPr>
                <w:rFonts w:ascii="宋体" w:hAnsi="宋体"/>
                <w:sz w:val="22"/>
                <w:szCs w:val="22"/>
              </w:rPr>
            </w:pPr>
            <w:r>
              <w:rPr>
                <w:rFonts w:hint="eastAsia" w:ascii="宋体" w:hAnsi="宋体"/>
                <w:sz w:val="22"/>
                <w:szCs w:val="22"/>
              </w:rPr>
              <w:t>1</w:t>
            </w:r>
          </w:p>
        </w:tc>
        <w:tc>
          <w:tcPr>
            <w:tcW w:w="2153" w:type="dxa"/>
            <w:vAlign w:val="center"/>
          </w:tcPr>
          <w:p>
            <w:pPr>
              <w:jc w:val="center"/>
              <w:textAlignment w:val="center"/>
              <w:rPr>
                <w:rFonts w:ascii="宋体" w:hAnsi="宋体"/>
                <w:sz w:val="22"/>
                <w:szCs w:val="22"/>
              </w:rPr>
            </w:pPr>
          </w:p>
        </w:tc>
        <w:tc>
          <w:tcPr>
            <w:tcW w:w="1565" w:type="dxa"/>
            <w:vAlign w:val="center"/>
          </w:tcPr>
          <w:p>
            <w:pPr>
              <w:jc w:val="center"/>
              <w:rPr>
                <w:rFonts w:ascii="宋体" w:hAnsi="宋体"/>
                <w:sz w:val="22"/>
                <w:szCs w:val="22"/>
              </w:rPr>
            </w:pPr>
            <w:r>
              <w:rPr>
                <w:rFonts w:hint="eastAsia" w:ascii="宋体" w:hAnsi="宋体"/>
                <w:sz w:val="22"/>
                <w:szCs w:val="22"/>
              </w:rPr>
              <w:t>/年</w:t>
            </w:r>
          </w:p>
        </w:tc>
        <w:tc>
          <w:tcPr>
            <w:tcW w:w="1653" w:type="dxa"/>
            <w:vAlign w:val="center"/>
          </w:tcPr>
          <w:p>
            <w:pPr>
              <w:jc w:val="center"/>
              <w:rPr>
                <w:rFonts w:ascii="宋体" w:hAnsi="宋体"/>
                <w:sz w:val="22"/>
                <w:szCs w:val="22"/>
              </w:rPr>
            </w:pPr>
          </w:p>
        </w:tc>
        <w:tc>
          <w:tcPr>
            <w:tcW w:w="1653" w:type="dxa"/>
            <w:vAlign w:val="center"/>
          </w:tcPr>
          <w:p>
            <w:pPr>
              <w:jc w:val="center"/>
              <w:rPr>
                <w:rFonts w:ascii="宋体" w:hAnsi="宋体"/>
                <w:sz w:val="22"/>
                <w:szCs w:val="22"/>
              </w:rPr>
            </w:pPr>
          </w:p>
        </w:tc>
        <w:tc>
          <w:tcPr>
            <w:tcW w:w="1914" w:type="dxa"/>
            <w:tcBorders>
              <w:right w:val="single" w:color="auto" w:sz="12"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59" w:type="dxa"/>
            <w:tcBorders>
              <w:left w:val="single" w:color="auto" w:sz="12" w:space="0"/>
            </w:tcBorders>
            <w:vAlign w:val="center"/>
          </w:tcPr>
          <w:p>
            <w:pPr>
              <w:jc w:val="center"/>
              <w:rPr>
                <w:rFonts w:ascii="宋体" w:hAnsi="宋体"/>
                <w:sz w:val="22"/>
                <w:szCs w:val="22"/>
              </w:rPr>
            </w:pPr>
            <w:r>
              <w:rPr>
                <w:rFonts w:hint="eastAsia" w:ascii="宋体" w:hAnsi="宋体"/>
                <w:sz w:val="22"/>
                <w:szCs w:val="22"/>
              </w:rPr>
              <w:t>2</w:t>
            </w:r>
          </w:p>
        </w:tc>
        <w:tc>
          <w:tcPr>
            <w:tcW w:w="2153" w:type="dxa"/>
            <w:vAlign w:val="center"/>
          </w:tcPr>
          <w:p>
            <w:pPr>
              <w:jc w:val="center"/>
              <w:textAlignment w:val="center"/>
              <w:rPr>
                <w:rFonts w:ascii="宋体" w:hAnsi="宋体"/>
                <w:sz w:val="22"/>
                <w:szCs w:val="22"/>
              </w:rPr>
            </w:pPr>
          </w:p>
        </w:tc>
        <w:tc>
          <w:tcPr>
            <w:tcW w:w="1565" w:type="dxa"/>
            <w:vAlign w:val="center"/>
          </w:tcPr>
          <w:p>
            <w:pPr>
              <w:jc w:val="center"/>
              <w:rPr>
                <w:rFonts w:ascii="宋体" w:hAnsi="宋体"/>
                <w:sz w:val="22"/>
                <w:szCs w:val="22"/>
              </w:rPr>
            </w:pPr>
            <w:r>
              <w:rPr>
                <w:rFonts w:hint="eastAsia" w:ascii="宋体" w:hAnsi="宋体"/>
                <w:sz w:val="22"/>
                <w:szCs w:val="22"/>
              </w:rPr>
              <w:t>/年</w:t>
            </w:r>
          </w:p>
        </w:tc>
        <w:tc>
          <w:tcPr>
            <w:tcW w:w="1653" w:type="dxa"/>
            <w:vAlign w:val="center"/>
          </w:tcPr>
          <w:p>
            <w:pPr>
              <w:jc w:val="center"/>
              <w:rPr>
                <w:rFonts w:ascii="宋体" w:hAnsi="宋体"/>
                <w:sz w:val="22"/>
                <w:szCs w:val="22"/>
              </w:rPr>
            </w:pPr>
          </w:p>
        </w:tc>
        <w:tc>
          <w:tcPr>
            <w:tcW w:w="1653" w:type="dxa"/>
            <w:vAlign w:val="center"/>
          </w:tcPr>
          <w:p>
            <w:pPr>
              <w:jc w:val="center"/>
              <w:rPr>
                <w:rFonts w:ascii="宋体" w:hAnsi="宋体"/>
                <w:sz w:val="22"/>
                <w:szCs w:val="22"/>
              </w:rPr>
            </w:pPr>
          </w:p>
        </w:tc>
        <w:tc>
          <w:tcPr>
            <w:tcW w:w="1914" w:type="dxa"/>
            <w:tcBorders>
              <w:right w:val="single" w:color="auto" w:sz="12"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59" w:type="dxa"/>
            <w:tcBorders>
              <w:left w:val="single" w:color="auto" w:sz="12" w:space="0"/>
            </w:tcBorders>
            <w:vAlign w:val="center"/>
          </w:tcPr>
          <w:p>
            <w:pPr>
              <w:jc w:val="center"/>
              <w:rPr>
                <w:rFonts w:ascii="宋体" w:hAnsi="宋体"/>
                <w:sz w:val="22"/>
                <w:szCs w:val="22"/>
              </w:rPr>
            </w:pPr>
            <w:r>
              <w:rPr>
                <w:rFonts w:hint="eastAsia" w:ascii="宋体" w:hAnsi="宋体"/>
                <w:sz w:val="22"/>
                <w:szCs w:val="22"/>
              </w:rPr>
              <w:t>3</w:t>
            </w:r>
          </w:p>
        </w:tc>
        <w:tc>
          <w:tcPr>
            <w:tcW w:w="2153" w:type="dxa"/>
            <w:vAlign w:val="center"/>
          </w:tcPr>
          <w:p>
            <w:pPr>
              <w:jc w:val="center"/>
              <w:textAlignment w:val="center"/>
              <w:rPr>
                <w:rFonts w:ascii="宋体" w:hAnsi="宋体"/>
                <w:sz w:val="22"/>
                <w:szCs w:val="22"/>
              </w:rPr>
            </w:pPr>
          </w:p>
        </w:tc>
        <w:tc>
          <w:tcPr>
            <w:tcW w:w="1565" w:type="dxa"/>
            <w:vAlign w:val="center"/>
          </w:tcPr>
          <w:p>
            <w:pPr>
              <w:jc w:val="center"/>
              <w:rPr>
                <w:rFonts w:ascii="宋体" w:hAnsi="宋体"/>
                <w:sz w:val="22"/>
                <w:szCs w:val="22"/>
              </w:rPr>
            </w:pPr>
            <w:r>
              <w:rPr>
                <w:rFonts w:hint="eastAsia" w:ascii="宋体" w:hAnsi="宋体"/>
                <w:sz w:val="22"/>
                <w:szCs w:val="22"/>
              </w:rPr>
              <w:t>/年</w:t>
            </w:r>
          </w:p>
        </w:tc>
        <w:tc>
          <w:tcPr>
            <w:tcW w:w="1653" w:type="dxa"/>
            <w:vAlign w:val="center"/>
          </w:tcPr>
          <w:p>
            <w:pPr>
              <w:jc w:val="center"/>
              <w:rPr>
                <w:rFonts w:ascii="宋体" w:hAnsi="宋体"/>
                <w:sz w:val="22"/>
                <w:szCs w:val="22"/>
              </w:rPr>
            </w:pPr>
          </w:p>
        </w:tc>
        <w:tc>
          <w:tcPr>
            <w:tcW w:w="1653" w:type="dxa"/>
            <w:vAlign w:val="center"/>
          </w:tcPr>
          <w:p>
            <w:pPr>
              <w:jc w:val="center"/>
              <w:rPr>
                <w:rFonts w:ascii="宋体" w:hAnsi="宋体"/>
                <w:sz w:val="22"/>
                <w:szCs w:val="22"/>
              </w:rPr>
            </w:pPr>
          </w:p>
        </w:tc>
        <w:tc>
          <w:tcPr>
            <w:tcW w:w="1914" w:type="dxa"/>
            <w:tcBorders>
              <w:right w:val="single" w:color="auto" w:sz="12"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377" w:type="dxa"/>
            <w:gridSpan w:val="3"/>
            <w:tcBorders>
              <w:left w:val="single" w:color="auto" w:sz="12" w:space="0"/>
            </w:tcBorders>
            <w:vAlign w:val="center"/>
          </w:tcPr>
          <w:p>
            <w:pPr>
              <w:jc w:val="center"/>
              <w:rPr>
                <w:rFonts w:ascii="宋体" w:hAnsi="宋体"/>
                <w:sz w:val="22"/>
                <w:szCs w:val="22"/>
              </w:rPr>
            </w:pPr>
            <w:r>
              <w:rPr>
                <w:rFonts w:hint="eastAsia" w:ascii="宋体" w:hAnsi="宋体"/>
                <w:sz w:val="22"/>
                <w:szCs w:val="22"/>
              </w:rPr>
              <w:t>总价</w:t>
            </w:r>
          </w:p>
        </w:tc>
        <w:tc>
          <w:tcPr>
            <w:tcW w:w="3306" w:type="dxa"/>
            <w:gridSpan w:val="2"/>
            <w:vAlign w:val="center"/>
          </w:tcPr>
          <w:p>
            <w:pPr>
              <w:jc w:val="center"/>
              <w:rPr>
                <w:rFonts w:ascii="宋体" w:hAnsi="宋体"/>
                <w:sz w:val="22"/>
                <w:szCs w:val="22"/>
              </w:rPr>
            </w:pPr>
          </w:p>
        </w:tc>
        <w:tc>
          <w:tcPr>
            <w:tcW w:w="1914" w:type="dxa"/>
            <w:tcBorders>
              <w:right w:val="single" w:color="auto" w:sz="12" w:space="0"/>
            </w:tcBorders>
            <w:vAlign w:val="center"/>
          </w:tcPr>
          <w:p>
            <w:pPr>
              <w:jc w:val="center"/>
              <w:rPr>
                <w:rFonts w:ascii="宋体" w:hAnsi="宋体"/>
                <w:sz w:val="22"/>
                <w:szCs w:val="22"/>
              </w:rPr>
            </w:pPr>
          </w:p>
        </w:tc>
      </w:tr>
    </w:tbl>
    <w:p>
      <w:pPr>
        <w:adjustRightInd w:val="0"/>
        <w:snapToGrid w:val="0"/>
        <w:spacing w:line="360" w:lineRule="auto"/>
        <w:ind w:firstLine="376" w:firstLineChars="171"/>
        <w:rPr>
          <w:rFonts w:ascii="宋体" w:hAnsi="宋体" w:cs="Arial"/>
          <w:b/>
          <w:sz w:val="22"/>
          <w:szCs w:val="22"/>
        </w:rPr>
      </w:pPr>
      <w:r>
        <w:rPr>
          <w:rFonts w:hint="eastAsia" w:ascii="宋体" w:hAnsi="宋体" w:cs="Arial"/>
          <w:b/>
          <w:sz w:val="22"/>
          <w:szCs w:val="22"/>
        </w:rPr>
        <w:t>说明：</w:t>
      </w:r>
    </w:p>
    <w:p>
      <w:pPr>
        <w:adjustRightInd w:val="0"/>
        <w:snapToGrid w:val="0"/>
        <w:spacing w:line="360" w:lineRule="auto"/>
        <w:ind w:firstLine="376" w:firstLineChars="171"/>
        <w:rPr>
          <w:rFonts w:ascii="宋体" w:hAnsi="宋体" w:cs="新宋体"/>
          <w:b/>
          <w:sz w:val="22"/>
          <w:szCs w:val="22"/>
        </w:rPr>
      </w:pPr>
      <w:r>
        <w:rPr>
          <w:rFonts w:hint="eastAsia" w:ascii="宋体" w:hAnsi="宋体" w:cs="Arial"/>
          <w:b/>
          <w:sz w:val="22"/>
          <w:szCs w:val="22"/>
        </w:rPr>
        <w:t>1. 标项一、二</w:t>
      </w:r>
      <w:r>
        <w:rPr>
          <w:rFonts w:hint="eastAsia" w:ascii="宋体" w:hAnsi="宋体" w:cs="新宋体"/>
          <w:b/>
          <w:sz w:val="22"/>
          <w:szCs w:val="22"/>
        </w:rPr>
        <w:t>根据投标分项报价表序号1按不同的服务项分别填写本表。总计价与费用组成表中相对应的服务项报价一致。</w:t>
      </w:r>
    </w:p>
    <w:p>
      <w:pPr>
        <w:adjustRightInd w:val="0"/>
        <w:snapToGrid w:val="0"/>
        <w:spacing w:line="360" w:lineRule="auto"/>
        <w:ind w:firstLine="376" w:firstLineChars="171"/>
        <w:rPr>
          <w:rFonts w:ascii="宋体" w:hAnsi="宋体" w:cs="Arial"/>
          <w:bCs/>
          <w:sz w:val="22"/>
          <w:szCs w:val="22"/>
        </w:rPr>
      </w:pPr>
      <w:r>
        <w:rPr>
          <w:rFonts w:hint="eastAsia" w:ascii="宋体" w:hAnsi="宋体" w:cs="Arial"/>
          <w:bCs/>
          <w:sz w:val="22"/>
          <w:szCs w:val="22"/>
        </w:rPr>
        <w:t>2. 各项费用如已包含其他报价中请注明“含”，若免费请注明“免”, 若没有请注明“无”。</w:t>
      </w:r>
    </w:p>
    <w:p>
      <w:pPr>
        <w:spacing w:line="380" w:lineRule="exact"/>
        <w:ind w:firstLine="418" w:firstLineChars="190"/>
        <w:rPr>
          <w:rFonts w:ascii="黑体" w:hAnsi="黑体"/>
          <w:sz w:val="36"/>
          <w:szCs w:val="36"/>
        </w:rPr>
      </w:pPr>
      <w:r>
        <w:rPr>
          <w:rFonts w:hint="eastAsia" w:ascii="宋体" w:hAnsi="宋体" w:cs="Arial"/>
          <w:bCs/>
          <w:sz w:val="22"/>
          <w:szCs w:val="22"/>
        </w:rPr>
        <w:t>3. 本表所列费用为本分项项目的全部费用，除此外，不允许增加任何费用。</w:t>
      </w:r>
    </w:p>
    <w:p>
      <w:pPr>
        <w:spacing w:line="380" w:lineRule="exact"/>
        <w:rPr>
          <w:rFonts w:ascii="黑体" w:hAnsi="黑体"/>
          <w:sz w:val="36"/>
          <w:szCs w:val="36"/>
        </w:rPr>
      </w:pPr>
    </w:p>
    <w:p>
      <w:pPr>
        <w:adjustRightInd w:val="0"/>
        <w:snapToGrid w:val="0"/>
        <w:spacing w:line="360" w:lineRule="auto"/>
        <w:ind w:firstLine="376" w:firstLineChars="171"/>
        <w:rPr>
          <w:rFonts w:ascii="宋体" w:hAnsi="宋体" w:cs="Arial"/>
          <w:b/>
          <w:sz w:val="22"/>
          <w:szCs w:val="22"/>
        </w:rPr>
      </w:pPr>
    </w:p>
    <w:p>
      <w:pPr>
        <w:pStyle w:val="5"/>
        <w:keepNext w:val="0"/>
        <w:keepLines w:val="0"/>
        <w:pageBreakBefore/>
        <w:spacing w:beforeLines="50" w:afterLines="100" w:line="240" w:lineRule="auto"/>
        <w:ind w:firstLine="3080" w:firstLineChars="1100"/>
        <w:rPr>
          <w:rFonts w:hAnsi="宋体"/>
          <w:sz w:val="28"/>
          <w:szCs w:val="36"/>
        </w:rPr>
        <w:sectPr>
          <w:pgSz w:w="11906" w:h="16838"/>
          <w:pgMar w:top="1440" w:right="1247" w:bottom="1440" w:left="1247" w:header="851" w:footer="992" w:gutter="0"/>
          <w:cols w:space="720" w:num="1"/>
          <w:titlePg/>
          <w:docGrid w:type="linesAndChars" w:linePitch="312" w:charSpace="0"/>
        </w:sectPr>
      </w:pPr>
    </w:p>
    <w:p>
      <w:pPr>
        <w:pStyle w:val="5"/>
        <w:keepNext w:val="0"/>
        <w:keepLines w:val="0"/>
        <w:pageBreakBefore/>
        <w:spacing w:beforeLines="50" w:afterLines="100" w:line="240" w:lineRule="auto"/>
        <w:ind w:firstLine="3080" w:firstLineChars="1100"/>
        <w:rPr>
          <w:rFonts w:hAnsi="宋体"/>
          <w:sz w:val="28"/>
          <w:szCs w:val="36"/>
        </w:rPr>
      </w:pPr>
      <w:r>
        <w:rPr>
          <w:rFonts w:hint="eastAsia" w:hAnsi="宋体"/>
          <w:sz w:val="28"/>
          <w:szCs w:val="36"/>
        </w:rPr>
        <w:t>第五部分投标文件格式</w:t>
      </w:r>
      <w:bookmarkEnd w:id="44"/>
    </w:p>
    <w:p>
      <w:pPr>
        <w:snapToGrid w:val="0"/>
        <w:spacing w:beforeLines="200" w:afterLines="50"/>
        <w:jc w:val="center"/>
        <w:rPr>
          <w:rFonts w:ascii="宋体" w:hAnsi="宋体" w:cs="宋体"/>
          <w:b/>
          <w:sz w:val="24"/>
          <w:szCs w:val="24"/>
        </w:rPr>
      </w:pPr>
      <w:r>
        <w:rPr>
          <w:rFonts w:hint="eastAsia" w:ascii="宋体" w:hAnsi="宋体" w:cs="宋体"/>
          <w:b/>
          <w:sz w:val="24"/>
          <w:szCs w:val="24"/>
        </w:rPr>
        <w:t>投标人提交投标文件须知</w:t>
      </w:r>
    </w:p>
    <w:p>
      <w:pPr>
        <w:snapToGrid w:val="0"/>
        <w:jc w:val="center"/>
        <w:rPr>
          <w:rFonts w:ascii="宋体" w:hAnsi="宋体" w:cs="宋体"/>
          <w:szCs w:val="21"/>
        </w:rPr>
      </w:pPr>
    </w:p>
    <w:p>
      <w:pPr>
        <w:snapToGrid w:val="0"/>
        <w:spacing w:line="400" w:lineRule="exact"/>
        <w:ind w:firstLine="420" w:firstLineChars="200"/>
        <w:rPr>
          <w:rFonts w:ascii="宋体" w:hAnsi="宋体" w:cs="宋体"/>
          <w:szCs w:val="21"/>
        </w:rPr>
      </w:pPr>
      <w:r>
        <w:rPr>
          <w:rFonts w:hint="eastAsia" w:ascii="宋体" w:hAnsi="宋体" w:cs="宋体"/>
          <w:szCs w:val="21"/>
        </w:rPr>
        <w:t>1、</w:t>
      </w:r>
      <w:r>
        <w:rPr>
          <w:rFonts w:ascii="宋体" w:hAnsi="宋体" w:cs="宋体"/>
          <w:szCs w:val="21"/>
        </w:rPr>
        <w:t>投标人应严格按照</w:t>
      </w:r>
      <w:r>
        <w:rPr>
          <w:rFonts w:hint="eastAsia" w:ascii="宋体" w:hAnsi="宋体" w:cs="宋体"/>
          <w:szCs w:val="21"/>
        </w:rPr>
        <w:t>投标文件的组成</w:t>
      </w:r>
      <w:r>
        <w:rPr>
          <w:rFonts w:ascii="宋体" w:hAnsi="宋体" w:cs="宋体"/>
          <w:szCs w:val="21"/>
        </w:rPr>
        <w:t>提交下述规定的全部格式文件以及其他有关资料，混乱的编排导致投标文件被误读或集中采购机构查找不到有效文件是投标人的风险。</w:t>
      </w:r>
    </w:p>
    <w:p>
      <w:pPr>
        <w:snapToGrid w:val="0"/>
        <w:spacing w:line="400" w:lineRule="exact"/>
        <w:ind w:firstLine="420" w:firstLineChars="200"/>
        <w:rPr>
          <w:rFonts w:ascii="宋体" w:hAnsi="宋体" w:cs="宋体"/>
          <w:szCs w:val="21"/>
        </w:rPr>
      </w:pPr>
      <w:r>
        <w:rPr>
          <w:rFonts w:hint="eastAsia" w:ascii="宋体" w:hAnsi="宋体" w:cs="宋体"/>
          <w:szCs w:val="21"/>
        </w:rPr>
        <w:t>2、</w:t>
      </w:r>
      <w:r>
        <w:rPr>
          <w:rFonts w:ascii="宋体" w:hAnsi="宋体" w:cs="宋体"/>
          <w:szCs w:val="21"/>
        </w:rPr>
        <w:t>所附表格中要求回答的全部问题和/或信息都必须正面回答。</w:t>
      </w:r>
    </w:p>
    <w:p>
      <w:pPr>
        <w:snapToGrid w:val="0"/>
        <w:spacing w:line="400" w:lineRule="exact"/>
        <w:ind w:firstLine="420" w:firstLineChars="200"/>
        <w:rPr>
          <w:rFonts w:ascii="宋体" w:hAnsi="宋体" w:cs="宋体"/>
          <w:szCs w:val="21"/>
        </w:rPr>
      </w:pPr>
      <w:r>
        <w:rPr>
          <w:rFonts w:hint="eastAsia" w:ascii="宋体" w:hAnsi="宋体" w:cs="宋体"/>
          <w:szCs w:val="21"/>
        </w:rPr>
        <w:t>3、</w:t>
      </w:r>
      <w:r>
        <w:rPr>
          <w:rFonts w:ascii="宋体" w:hAnsi="宋体" w:cs="宋体"/>
          <w:szCs w:val="21"/>
        </w:rPr>
        <w:t>本资格声明的签字人应保证全部声明和问题的回答是真实的和准确的。</w:t>
      </w:r>
    </w:p>
    <w:p>
      <w:pPr>
        <w:snapToGrid w:val="0"/>
        <w:spacing w:line="400" w:lineRule="exact"/>
        <w:ind w:firstLine="420" w:firstLineChars="200"/>
        <w:rPr>
          <w:rFonts w:ascii="宋体" w:hAnsi="宋体" w:cs="宋体"/>
          <w:szCs w:val="21"/>
        </w:rPr>
      </w:pPr>
      <w:r>
        <w:rPr>
          <w:rFonts w:hint="eastAsia" w:ascii="宋体" w:hAnsi="宋体" w:cs="宋体"/>
          <w:szCs w:val="21"/>
        </w:rPr>
        <w:t>4、</w:t>
      </w:r>
      <w:r>
        <w:rPr>
          <w:rFonts w:ascii="宋体" w:hAnsi="宋体" w:cs="宋体"/>
          <w:szCs w:val="21"/>
        </w:rPr>
        <w:t>投标人提交的材料将被保密保存，但不退还。</w:t>
      </w:r>
    </w:p>
    <w:p>
      <w:pPr>
        <w:snapToGrid w:val="0"/>
        <w:spacing w:line="400" w:lineRule="exact"/>
        <w:ind w:firstLine="420" w:firstLineChars="200"/>
        <w:rPr>
          <w:rFonts w:ascii="宋体" w:hAnsi="宋体" w:cs="宋体"/>
          <w:szCs w:val="21"/>
        </w:rPr>
      </w:pPr>
      <w:r>
        <w:rPr>
          <w:rFonts w:hint="eastAsia" w:ascii="宋体" w:hAnsi="宋体" w:cs="宋体"/>
          <w:szCs w:val="21"/>
        </w:rPr>
        <w:t>5、</w:t>
      </w:r>
      <w:r>
        <w:rPr>
          <w:rFonts w:ascii="宋体" w:hAnsi="宋体" w:cs="宋体"/>
          <w:szCs w:val="21"/>
        </w:rPr>
        <w:t>全部文件应按投标人须知中规定的语言和份数提交</w:t>
      </w:r>
      <w:r>
        <w:rPr>
          <w:rFonts w:hint="eastAsia" w:ascii="宋体" w:hAnsi="宋体" w:cs="宋体"/>
          <w:szCs w:val="21"/>
        </w:rPr>
        <w:t>。</w:t>
      </w:r>
    </w:p>
    <w:p>
      <w:pPr>
        <w:pStyle w:val="6"/>
        <w:pageBreakBefore/>
        <w:spacing w:beforeLines="25" w:after="0" w:line="360" w:lineRule="auto"/>
        <w:jc w:val="center"/>
      </w:pPr>
      <w:bookmarkStart w:id="45" w:name="_Toc516216310"/>
      <w:bookmarkStart w:id="46" w:name="_Toc19425"/>
      <w:bookmarkStart w:id="47" w:name="_Toc25610"/>
      <w:bookmarkStart w:id="48" w:name="_Toc11654"/>
      <w:bookmarkStart w:id="49" w:name="_Toc453571456"/>
      <w:r>
        <w:rPr>
          <w:rFonts w:hint="eastAsia" w:cs="宋体"/>
        </w:rPr>
        <w:t>附件一法定代表人授权书</w:t>
      </w:r>
      <w:bookmarkEnd w:id="45"/>
      <w:bookmarkEnd w:id="46"/>
      <w:bookmarkEnd w:id="47"/>
      <w:bookmarkEnd w:id="48"/>
    </w:p>
    <w:p>
      <w:pPr>
        <w:pStyle w:val="33"/>
        <w:spacing w:before="0" w:beforeAutospacing="0" w:after="0" w:afterAutospacing="0"/>
        <w:ind w:firstLine="420"/>
        <w:rPr>
          <w:rFonts w:ascii="宋体" w:hAnsi="宋体" w:eastAsia="宋体" w:cs="宋体"/>
          <w:color w:val="auto"/>
          <w:szCs w:val="21"/>
        </w:rPr>
      </w:pPr>
    </w:p>
    <w:p>
      <w:pPr>
        <w:spacing w:line="360" w:lineRule="auto"/>
        <w:rPr>
          <w:rFonts w:ascii="宋体" w:hAnsi="宋体" w:cs="宋体"/>
          <w:szCs w:val="21"/>
        </w:rPr>
      </w:pPr>
      <w:r>
        <w:rPr>
          <w:rFonts w:hint="eastAsia" w:ascii="宋体" w:hAnsi="宋体" w:cs="宋体"/>
          <w:szCs w:val="21"/>
        </w:rPr>
        <w:t>温州市公共资源交易中心龙湾分中心：</w:t>
      </w:r>
    </w:p>
    <w:p>
      <w:pPr>
        <w:spacing w:line="360" w:lineRule="auto"/>
        <w:ind w:firstLine="612"/>
        <w:rPr>
          <w:rFonts w:ascii="宋体" w:hAnsi="宋体" w:cs="宋体"/>
          <w:szCs w:val="21"/>
        </w:rPr>
      </w:pPr>
      <w:r>
        <w:rPr>
          <w:rFonts w:hint="eastAsia" w:ascii="宋体" w:hAnsi="宋体" w:cs="宋体"/>
          <w:szCs w:val="21"/>
        </w:rPr>
        <w:t>本授权委托书声明：我</w:t>
      </w:r>
      <w:r>
        <w:rPr>
          <w:rFonts w:hint="eastAsia" w:ascii="宋体" w:hAnsi="宋体" w:cs="宋体"/>
          <w:szCs w:val="21"/>
          <w:u w:val="single"/>
        </w:rPr>
        <w:t>（法人代表姓名）</w:t>
      </w:r>
      <w:r>
        <w:rPr>
          <w:rFonts w:hint="eastAsia" w:ascii="宋体" w:hAnsi="宋体" w:cs="宋体"/>
          <w:szCs w:val="21"/>
        </w:rPr>
        <w:t>系</w:t>
      </w:r>
      <w:r>
        <w:rPr>
          <w:rFonts w:hint="eastAsia" w:ascii="宋体" w:hAnsi="宋体" w:cs="宋体"/>
          <w:szCs w:val="21"/>
          <w:u w:val="single"/>
        </w:rPr>
        <w:t>（投标人名称）</w:t>
      </w:r>
      <w:r>
        <w:rPr>
          <w:rFonts w:hint="eastAsia" w:ascii="宋体" w:hAnsi="宋体" w:cs="宋体"/>
          <w:szCs w:val="21"/>
        </w:rPr>
        <w:t>的法定代表人，现授权委托本单位正式职工：</w:t>
      </w:r>
      <w:r>
        <w:rPr>
          <w:rFonts w:hint="eastAsia" w:ascii="宋体" w:hAnsi="宋体" w:cs="宋体"/>
          <w:szCs w:val="21"/>
          <w:u w:val="single"/>
        </w:rPr>
        <w:t>（授权代表姓名）</w:t>
      </w:r>
      <w:r>
        <w:rPr>
          <w:rFonts w:hint="eastAsia" w:ascii="宋体" w:hAnsi="宋体" w:cs="宋体"/>
          <w:szCs w:val="21"/>
        </w:rPr>
        <w:t>为我公司法定代表人授权代表，参加贵处组织的</w:t>
      </w:r>
      <w:r>
        <w:rPr>
          <w:rFonts w:hint="eastAsia" w:ascii="宋体" w:hAnsi="宋体" w:cs="宋体"/>
          <w:szCs w:val="21"/>
          <w:u w:val="single"/>
        </w:rPr>
        <w:t>（项目编号）</w:t>
      </w:r>
      <w:r>
        <w:rPr>
          <w:rFonts w:hint="eastAsia" w:ascii="宋体" w:hAnsi="宋体" w:cs="宋体"/>
          <w:szCs w:val="21"/>
        </w:rPr>
        <w:t>项目投标，全权处理本次招投标活动中的一切事宜，我承认授权代表全权代表我所签署的本项目的投标文件的内容。</w:t>
      </w:r>
    </w:p>
    <w:p>
      <w:pPr>
        <w:spacing w:line="360" w:lineRule="auto"/>
        <w:ind w:firstLine="697"/>
        <w:rPr>
          <w:rFonts w:ascii="宋体" w:hAnsi="宋体" w:cs="宋体"/>
          <w:szCs w:val="21"/>
        </w:rPr>
      </w:pPr>
      <w:r>
        <w:rPr>
          <w:rFonts w:hint="eastAsia" w:ascii="宋体" w:hAnsi="宋体" w:cs="宋体"/>
          <w:szCs w:val="21"/>
        </w:rPr>
        <w:t>授权代表无转授权，特此授权。</w:t>
      </w:r>
    </w:p>
    <w:p>
      <w:pPr>
        <w:spacing w:line="360" w:lineRule="auto"/>
        <w:ind w:firstLine="2730" w:firstLineChars="1300"/>
        <w:rPr>
          <w:rFonts w:ascii="宋体" w:hAnsi="宋体" w:cs="宋体"/>
          <w:szCs w:val="21"/>
          <w:u w:val="single"/>
        </w:rPr>
      </w:pPr>
      <w:r>
        <w:rPr>
          <w:rFonts w:hint="eastAsia" w:ascii="宋体" w:hAnsi="宋体" w:cs="宋体"/>
          <w:szCs w:val="21"/>
        </w:rPr>
        <w:t>授权代表：性别：年龄：_</w:t>
      </w:r>
      <w:r>
        <w:rPr>
          <w:rFonts w:hint="eastAsia" w:ascii="宋体" w:hAnsi="宋体" w:cs="宋体"/>
          <w:szCs w:val="21"/>
          <w:u w:val="single"/>
        </w:rPr>
        <w:t xml:space="preserve">    __  </w:t>
      </w:r>
    </w:p>
    <w:p>
      <w:pPr>
        <w:spacing w:line="360" w:lineRule="auto"/>
        <w:rPr>
          <w:rFonts w:ascii="宋体" w:hAnsi="宋体" w:cs="宋体"/>
          <w:szCs w:val="21"/>
        </w:rPr>
      </w:pPr>
    </w:p>
    <w:p>
      <w:pPr>
        <w:spacing w:line="360" w:lineRule="auto"/>
        <w:ind w:firstLine="2730" w:firstLineChars="1300"/>
        <w:rPr>
          <w:rFonts w:ascii="宋体" w:hAnsi="宋体" w:cs="宋体"/>
          <w:szCs w:val="21"/>
          <w:u w:val="single"/>
        </w:rPr>
      </w:pPr>
      <w:r>
        <w:rPr>
          <w:rFonts w:hint="eastAsia" w:ascii="宋体" w:hAnsi="宋体" w:cs="宋体"/>
          <w:szCs w:val="21"/>
        </w:rPr>
        <w:t>身份证号码：职务：</w:t>
      </w:r>
      <w:r>
        <w:rPr>
          <w:rFonts w:hint="eastAsia" w:ascii="宋体" w:hAnsi="宋体" w:cs="宋体"/>
          <w:szCs w:val="21"/>
          <w:u w:val="single"/>
        </w:rPr>
        <w:t xml:space="preserve">_  _       </w:t>
      </w:r>
    </w:p>
    <w:p>
      <w:pPr>
        <w:spacing w:line="360" w:lineRule="auto"/>
        <w:ind w:left="1" w:firstLine="2940" w:firstLineChars="1400"/>
        <w:rPr>
          <w:rFonts w:ascii="宋体" w:hAnsi="宋体" w:cs="宋体"/>
          <w:szCs w:val="21"/>
        </w:rPr>
      </w:pPr>
    </w:p>
    <w:p>
      <w:pPr>
        <w:spacing w:line="360" w:lineRule="auto"/>
        <w:ind w:firstLine="2730" w:firstLineChars="1300"/>
        <w:rPr>
          <w:rFonts w:ascii="宋体" w:hAnsi="宋体" w:cs="宋体"/>
          <w:szCs w:val="21"/>
          <w:u w:val="single"/>
        </w:rPr>
      </w:pPr>
      <w:r>
        <w:rPr>
          <w:rFonts w:hint="eastAsia" w:ascii="宋体" w:hAnsi="宋体" w:cs="宋体"/>
          <w:szCs w:val="21"/>
        </w:rPr>
        <w:t>详细通讯地址：邮政编码：</w:t>
      </w:r>
      <w:r>
        <w:rPr>
          <w:rFonts w:hint="eastAsia" w:ascii="宋体" w:hAnsi="宋体" w:cs="宋体"/>
          <w:szCs w:val="21"/>
          <w:u w:val="single"/>
        </w:rPr>
        <w:t xml:space="preserve">_      </w:t>
      </w:r>
    </w:p>
    <w:p>
      <w:pPr>
        <w:spacing w:line="360" w:lineRule="auto"/>
        <w:ind w:left="2100" w:leftChars="1000" w:firstLine="420" w:firstLineChars="200"/>
        <w:rPr>
          <w:rFonts w:ascii="宋体" w:hAnsi="宋体" w:cs="宋体"/>
          <w:szCs w:val="21"/>
          <w:u w:val="single"/>
        </w:rPr>
      </w:pPr>
    </w:p>
    <w:p>
      <w:pPr>
        <w:ind w:firstLine="2730" w:firstLineChars="1300"/>
        <w:rPr>
          <w:rFonts w:ascii="宋体" w:hAnsi="宋体" w:cs="宋体"/>
          <w:szCs w:val="21"/>
        </w:rPr>
      </w:pPr>
      <w:r>
        <w:rPr>
          <w:rFonts w:hint="eastAsia" w:ascii="宋体" w:hAnsi="宋体" w:cs="宋体"/>
          <w:szCs w:val="21"/>
        </w:rPr>
        <w:t>电话：传真：</w:t>
      </w:r>
      <w:r>
        <w:rPr>
          <w:rFonts w:hint="eastAsia" w:ascii="宋体" w:hAnsi="宋体" w:cs="宋体"/>
          <w:szCs w:val="21"/>
          <w:u w:val="single"/>
        </w:rPr>
        <w:t xml:space="preserve">_              </w:t>
      </w:r>
    </w:p>
    <w:p>
      <w:pPr>
        <w:ind w:firstLine="2940" w:firstLineChars="1400"/>
        <w:rPr>
          <w:rFonts w:ascii="宋体" w:hAnsi="宋体" w:cs="宋体"/>
          <w:szCs w:val="21"/>
        </w:rPr>
      </w:pPr>
    </w:p>
    <w:p>
      <w:pPr>
        <w:spacing w:line="360" w:lineRule="auto"/>
        <w:ind w:firstLine="2730" w:firstLineChars="1300"/>
        <w:rPr>
          <w:rFonts w:ascii="宋体" w:hAnsi="宋体" w:cs="宋体"/>
          <w:szCs w:val="21"/>
        </w:rPr>
      </w:pPr>
      <w:r>
        <w:rPr>
          <w:rFonts w:hint="eastAsia" w:ascii="宋体" w:hAnsi="宋体" w:cs="宋体"/>
          <w:szCs w:val="21"/>
        </w:rPr>
        <w:t>投标人全称：</w:t>
      </w:r>
      <w:r>
        <w:rPr>
          <w:rFonts w:hint="eastAsia" w:ascii="宋体" w:hAnsi="宋体" w:cs="宋体"/>
          <w:szCs w:val="21"/>
          <w:u w:val="single"/>
        </w:rPr>
        <w:t>（盖章）</w:t>
      </w:r>
    </w:p>
    <w:p>
      <w:pPr>
        <w:spacing w:line="360" w:lineRule="auto"/>
        <w:ind w:left="2100" w:leftChars="1000" w:firstLine="840" w:firstLineChars="400"/>
        <w:rPr>
          <w:rFonts w:ascii="宋体" w:hAnsi="宋体" w:cs="宋体"/>
          <w:szCs w:val="21"/>
        </w:rPr>
      </w:pPr>
    </w:p>
    <w:p>
      <w:pPr>
        <w:spacing w:line="360" w:lineRule="auto"/>
        <w:ind w:firstLine="2730" w:firstLineChars="1300"/>
        <w:rPr>
          <w:rFonts w:ascii="宋体" w:hAnsi="宋体" w:cs="宋体"/>
          <w:szCs w:val="21"/>
          <w:u w:val="single"/>
        </w:rPr>
      </w:pPr>
      <w:r>
        <w:rPr>
          <w:rFonts w:hint="eastAsia" w:ascii="宋体" w:hAnsi="宋体" w:cs="宋体"/>
          <w:szCs w:val="21"/>
        </w:rPr>
        <w:t>法定代表人：</w:t>
      </w:r>
      <w:r>
        <w:rPr>
          <w:rFonts w:hint="eastAsia" w:ascii="宋体" w:hAnsi="宋体" w:cs="宋体"/>
          <w:szCs w:val="21"/>
          <w:u w:val="single"/>
        </w:rPr>
        <w:t>（签字或盖章）</w:t>
      </w:r>
    </w:p>
    <w:p>
      <w:pPr>
        <w:spacing w:line="360" w:lineRule="auto"/>
        <w:ind w:left="2100" w:leftChars="1000" w:firstLine="840" w:firstLineChars="400"/>
        <w:rPr>
          <w:rFonts w:ascii="宋体" w:hAnsi="宋体" w:cs="宋体"/>
          <w:szCs w:val="21"/>
          <w:u w:val="single"/>
        </w:rPr>
      </w:pPr>
    </w:p>
    <w:p>
      <w:pPr>
        <w:spacing w:line="400" w:lineRule="atLeast"/>
        <w:ind w:firstLine="4200" w:firstLineChars="2000"/>
        <w:rPr>
          <w:rFonts w:ascii="宋体" w:hAnsi="宋体" w:cs="宋体"/>
          <w:szCs w:val="21"/>
        </w:rPr>
      </w:pPr>
      <w:r>
        <w:rPr>
          <w:rFonts w:hint="eastAsia" w:ascii="宋体" w:hAnsi="宋体" w:cs="宋体"/>
          <w:szCs w:val="21"/>
        </w:rPr>
        <w:t>授权委托日期：年月日</w:t>
      </w:r>
    </w:p>
    <w:p>
      <w:pPr>
        <w:spacing w:line="360" w:lineRule="auto"/>
        <w:ind w:left="2832" w:leftChars="1349" w:firstLine="2100" w:firstLineChars="1000"/>
        <w:rPr>
          <w:rFonts w:ascii="宋体" w:hAnsi="宋体" w:cs="宋体"/>
          <w:szCs w:val="21"/>
        </w:rPr>
      </w:pPr>
    </w:p>
    <w:p>
      <w:pPr>
        <w:spacing w:line="360" w:lineRule="auto"/>
        <w:rPr>
          <w:rFonts w:ascii="宋体" w:hAnsi="宋体" w:cs="宋体"/>
          <w:b/>
          <w:bCs/>
          <w:szCs w:val="21"/>
        </w:rPr>
      </w:pPr>
      <w:r>
        <w:rPr>
          <w:rFonts w:hint="eastAsia" w:ascii="宋体" w:hAnsi="宋体" w:cs="宋体"/>
          <w:b/>
          <w:bCs/>
          <w:szCs w:val="21"/>
        </w:rPr>
        <w:t>附：投标人授权代表身份证复印件。</w:t>
      </w:r>
    </w:p>
    <w:p>
      <w:pPr>
        <w:pStyle w:val="3"/>
        <w:rPr>
          <w:rFonts w:ascii="宋体" w:hAnsi="宋体" w:eastAsia="宋体" w:cs="宋体"/>
          <w:b/>
          <w:sz w:val="21"/>
          <w:szCs w:val="21"/>
        </w:rPr>
      </w:pPr>
      <w:r>
        <w:rPr>
          <w:rFonts w:hint="eastAsia" w:ascii="宋体" w:hAnsi="宋体" w:eastAsia="宋体" w:cs="宋体"/>
          <w:b/>
          <w:sz w:val="21"/>
          <w:szCs w:val="21"/>
        </w:rPr>
        <w:t>注：1.盖章部分采用CA签章，法定代表人的签字（或盖章）由法定代表人本人签字（或盖章）。</w:t>
      </w:r>
    </w:p>
    <w:p>
      <w:pPr>
        <w:pStyle w:val="2"/>
        <w:ind w:firstLine="211"/>
        <w:rPr>
          <w:rFonts w:eastAsia="宋体"/>
        </w:rPr>
      </w:pPr>
      <w:r>
        <w:rPr>
          <w:rFonts w:hint="eastAsia" w:ascii="宋体" w:hAnsi="宋体" w:eastAsia="宋体" w:cs="宋体"/>
          <w:b/>
          <w:szCs w:val="21"/>
        </w:rPr>
        <w:t xml:space="preserve">  2.如投标人代表不是法定代表人，本表必须提供；如法定代表人参加投标，须提供法人身份证复印件。</w:t>
      </w:r>
    </w:p>
    <w:p>
      <w:pPr>
        <w:pStyle w:val="6"/>
        <w:pageBreakBefore/>
        <w:spacing w:beforeLines="25" w:after="0" w:line="360" w:lineRule="auto"/>
        <w:jc w:val="center"/>
      </w:pPr>
      <w:bookmarkStart w:id="50" w:name="_Toc24805"/>
      <w:r>
        <w:rPr>
          <w:rFonts w:hint="eastAsia"/>
        </w:rPr>
        <w:t>附件二投标函</w:t>
      </w:r>
      <w:bookmarkEnd w:id="50"/>
    </w:p>
    <w:p>
      <w:pPr>
        <w:spacing w:before="120" w:line="340" w:lineRule="exact"/>
        <w:rPr>
          <w:rFonts w:ascii="宋体" w:hAnsi="宋体" w:cs="宋体"/>
          <w:szCs w:val="21"/>
        </w:rPr>
      </w:pPr>
      <w:r>
        <w:rPr>
          <w:rFonts w:hint="eastAsia" w:ascii="宋体" w:hAnsi="宋体" w:cs="宋体"/>
          <w:szCs w:val="21"/>
        </w:rPr>
        <w:t>致：温州市公共资源交易中心龙湾分中心</w:t>
      </w:r>
    </w:p>
    <w:p>
      <w:pPr>
        <w:spacing w:line="340" w:lineRule="exact"/>
        <w:ind w:right="6" w:firstLine="420" w:firstLineChars="200"/>
        <w:rPr>
          <w:rFonts w:ascii="宋体" w:hAnsi="宋体" w:cs="宋体"/>
          <w:szCs w:val="21"/>
        </w:rPr>
      </w:pPr>
      <w:r>
        <w:rPr>
          <w:rFonts w:hint="eastAsia" w:ascii="宋体" w:hAnsi="宋体" w:cs="宋体"/>
          <w:szCs w:val="21"/>
        </w:rPr>
        <w:t>我方确认收到贵方提供的</w:t>
      </w:r>
      <w:r>
        <w:rPr>
          <w:rFonts w:hint="eastAsia" w:ascii="宋体" w:hAnsi="宋体"/>
          <w:szCs w:val="21"/>
          <w:u w:val="single"/>
        </w:rPr>
        <w:t>项目</w:t>
      </w:r>
      <w:r>
        <w:rPr>
          <w:rFonts w:ascii="宋体" w:hAnsi="宋体" w:cs="宋体"/>
          <w:szCs w:val="21"/>
        </w:rPr>
        <w:t>[</w:t>
      </w:r>
      <w:r>
        <w:rPr>
          <w:rFonts w:hint="eastAsia" w:ascii="宋体" w:hAnsi="宋体" w:cs="宋体"/>
          <w:szCs w:val="21"/>
        </w:rPr>
        <w:t>项目编号：     ]的招标文件，遵照国家及地方政府相关招标投标法规的规定，我单位：</w:t>
      </w:r>
      <w:r>
        <w:rPr>
          <w:rFonts w:hint="eastAsia" w:ascii="宋体" w:hAnsi="宋体" w:cs="宋体"/>
          <w:szCs w:val="21"/>
          <w:u w:val="single"/>
        </w:rPr>
        <w:t>（投标人名称）</w:t>
      </w:r>
      <w:r>
        <w:rPr>
          <w:rFonts w:hint="eastAsia" w:ascii="宋体" w:hAnsi="宋体" w:cs="宋体"/>
          <w:szCs w:val="21"/>
        </w:rPr>
        <w:t>研究上述招标文件的投标须知、合同条款、技术要求和其他有关文件后，决定作为投标者正式授权</w:t>
      </w:r>
      <w:r>
        <w:rPr>
          <w:rFonts w:hint="eastAsia" w:ascii="宋体" w:hAnsi="宋体" w:cs="宋体"/>
          <w:szCs w:val="21"/>
          <w:u w:val="single"/>
        </w:rPr>
        <w:t>（授权代表全名，职务）</w:t>
      </w:r>
      <w:r>
        <w:rPr>
          <w:rFonts w:hint="eastAsia" w:ascii="宋体" w:hAnsi="宋体" w:cs="宋体"/>
          <w:szCs w:val="21"/>
        </w:rPr>
        <w:t>代表我方进行有关本投标的一切事宜。</w:t>
      </w:r>
    </w:p>
    <w:p>
      <w:pPr>
        <w:spacing w:line="340" w:lineRule="exact"/>
        <w:ind w:right="6"/>
        <w:rPr>
          <w:rFonts w:ascii="宋体" w:hAnsi="宋体" w:cs="宋体"/>
          <w:szCs w:val="21"/>
        </w:rPr>
      </w:pPr>
      <w:r>
        <w:rPr>
          <w:rFonts w:ascii="宋体" w:hAnsi="宋体" w:cs="宋体"/>
          <w:szCs w:val="21"/>
        </w:rPr>
        <w:t>我方已完全明白招标文件的所有条款要求，并重申以下几点：</w:t>
      </w:r>
    </w:p>
    <w:p>
      <w:pPr>
        <w:numPr>
          <w:ilvl w:val="0"/>
          <w:numId w:val="9"/>
        </w:numPr>
        <w:spacing w:line="340" w:lineRule="exact"/>
        <w:ind w:right="6"/>
        <w:rPr>
          <w:rFonts w:ascii="宋体" w:hAnsi="宋体" w:cs="宋体"/>
          <w:szCs w:val="21"/>
        </w:rPr>
      </w:pPr>
      <w:r>
        <w:rPr>
          <w:rFonts w:hint="eastAsia" w:ascii="宋体" w:hAnsi="宋体" w:cs="宋体"/>
          <w:szCs w:val="21"/>
        </w:rPr>
        <w:t>我方决定参加：</w:t>
      </w:r>
      <w:r>
        <w:rPr>
          <w:rFonts w:hint="eastAsia" w:ascii="宋体" w:hAnsi="宋体" w:cs="宋体"/>
          <w:szCs w:val="21"/>
          <w:u w:val="single"/>
        </w:rPr>
        <w:t>项目。</w:t>
      </w:r>
    </w:p>
    <w:p>
      <w:pPr>
        <w:numPr>
          <w:ilvl w:val="0"/>
          <w:numId w:val="9"/>
        </w:numPr>
        <w:spacing w:line="340" w:lineRule="exact"/>
        <w:ind w:right="6"/>
        <w:rPr>
          <w:rFonts w:ascii="宋体" w:hAnsi="宋体" w:cs="宋体"/>
          <w:szCs w:val="21"/>
        </w:rPr>
      </w:pPr>
      <w:r>
        <w:rPr>
          <w:rFonts w:hint="eastAsia" w:ascii="宋体" w:hAnsi="宋体" w:cs="宋体"/>
          <w:szCs w:val="21"/>
        </w:rPr>
        <w:t>我方承诺：</w:t>
      </w:r>
    </w:p>
    <w:p>
      <w:pPr>
        <w:spacing w:line="340" w:lineRule="exact"/>
        <w:ind w:left="420" w:leftChars="200"/>
        <w:rPr>
          <w:rFonts w:ascii="宋体" w:hAnsi="宋体" w:cs="宋体"/>
          <w:szCs w:val="21"/>
        </w:rPr>
      </w:pPr>
      <w:r>
        <w:rPr>
          <w:rFonts w:hint="eastAsia" w:ascii="宋体" w:hAnsi="宋体" w:cs="宋体"/>
          <w:szCs w:val="21"/>
        </w:rPr>
        <w:t>我方承诺的政府采购价格按开标一览表及本次有关的招投标文件执行。</w:t>
      </w:r>
    </w:p>
    <w:p>
      <w:pPr>
        <w:spacing w:line="340" w:lineRule="exact"/>
        <w:ind w:left="420" w:leftChars="200"/>
        <w:rPr>
          <w:rFonts w:ascii="宋体" w:hAnsi="宋体" w:cs="宋体"/>
          <w:szCs w:val="21"/>
        </w:rPr>
      </w:pPr>
      <w:r>
        <w:rPr>
          <w:rFonts w:hint="eastAsia" w:ascii="宋体" w:hAnsi="宋体" w:cs="宋体"/>
          <w:szCs w:val="21"/>
        </w:rPr>
        <w:t>我方报价包含履行合同所有相关服务所需的服务费用。</w:t>
      </w:r>
    </w:p>
    <w:p>
      <w:pPr>
        <w:spacing w:line="340" w:lineRule="exact"/>
        <w:ind w:left="420" w:leftChars="200"/>
        <w:rPr>
          <w:rFonts w:ascii="宋体" w:hAnsi="宋体" w:cs="宋体"/>
          <w:szCs w:val="21"/>
        </w:rPr>
      </w:pPr>
      <w:r>
        <w:rPr>
          <w:rFonts w:hint="eastAsia" w:ascii="宋体" w:hAnsi="宋体" w:cs="宋体"/>
          <w:szCs w:val="21"/>
        </w:rPr>
        <w:t>我方报价均包含所有的税费。</w:t>
      </w:r>
    </w:p>
    <w:p>
      <w:pPr>
        <w:numPr>
          <w:ilvl w:val="0"/>
          <w:numId w:val="9"/>
        </w:numPr>
        <w:spacing w:line="340" w:lineRule="exact"/>
        <w:ind w:right="6"/>
        <w:rPr>
          <w:rFonts w:ascii="宋体" w:hAnsi="宋体" w:cs="宋体"/>
          <w:szCs w:val="21"/>
        </w:rPr>
      </w:pPr>
      <w:r>
        <w:rPr>
          <w:rFonts w:hint="eastAsia" w:ascii="宋体" w:hAnsi="宋体" w:cs="宋体"/>
          <w:szCs w:val="21"/>
        </w:rPr>
        <w:t>投标文件的有效期：提交投标文件截止日起 90天内；如中标，有效期将延至合同终止日为止。</w:t>
      </w:r>
    </w:p>
    <w:p>
      <w:pPr>
        <w:numPr>
          <w:ilvl w:val="0"/>
          <w:numId w:val="9"/>
        </w:numPr>
        <w:spacing w:line="340" w:lineRule="exact"/>
        <w:ind w:right="6"/>
        <w:rPr>
          <w:rFonts w:ascii="宋体" w:hAnsi="宋体" w:cs="宋体"/>
          <w:szCs w:val="21"/>
        </w:rPr>
      </w:pPr>
      <w:r>
        <w:rPr>
          <w:rFonts w:hint="eastAsia" w:ascii="宋体" w:hAnsi="宋体" w:cs="宋体"/>
          <w:szCs w:val="21"/>
        </w:rPr>
        <w:t>我方已详细研究了招标文件的所有内容包括修正文件（如果有）和所有已提供的参考资料以及有关附件并完全明白，我方放弃在此方面提出含糊意见或误解的一切权力。</w:t>
      </w:r>
    </w:p>
    <w:p>
      <w:pPr>
        <w:numPr>
          <w:ilvl w:val="0"/>
          <w:numId w:val="9"/>
        </w:numPr>
        <w:spacing w:line="340" w:lineRule="exact"/>
        <w:ind w:right="6"/>
        <w:rPr>
          <w:rFonts w:ascii="宋体" w:hAnsi="宋体" w:cs="宋体"/>
          <w:szCs w:val="21"/>
        </w:rPr>
      </w:pPr>
      <w:r>
        <w:rPr>
          <w:rFonts w:hint="eastAsia" w:ascii="宋体" w:hAnsi="宋体" w:cs="宋体"/>
          <w:szCs w:val="21"/>
        </w:rPr>
        <w:t>我方同意按照贵方提出的要求而提供与投标产品有关的数据或信息。</w:t>
      </w:r>
    </w:p>
    <w:p>
      <w:pPr>
        <w:numPr>
          <w:ilvl w:val="0"/>
          <w:numId w:val="9"/>
        </w:numPr>
        <w:spacing w:line="340" w:lineRule="exact"/>
        <w:ind w:right="6"/>
        <w:rPr>
          <w:rFonts w:ascii="宋体" w:hAnsi="宋体" w:cs="宋体"/>
          <w:szCs w:val="21"/>
        </w:rPr>
      </w:pPr>
      <w:r>
        <w:rPr>
          <w:rFonts w:hint="eastAsia" w:ascii="宋体" w:hAnsi="宋体" w:cs="宋体"/>
          <w:szCs w:val="21"/>
        </w:rPr>
        <w:t>我方理解贵方不一定接受最低报价或任何贵方可能收到的投标。</w:t>
      </w:r>
    </w:p>
    <w:p>
      <w:pPr>
        <w:numPr>
          <w:ilvl w:val="0"/>
          <w:numId w:val="9"/>
        </w:numPr>
        <w:spacing w:line="340" w:lineRule="exact"/>
        <w:ind w:right="6"/>
        <w:rPr>
          <w:rFonts w:ascii="宋体" w:hAnsi="宋体" w:cs="宋体"/>
          <w:szCs w:val="21"/>
        </w:rPr>
      </w:pPr>
      <w:r>
        <w:rPr>
          <w:rFonts w:hint="eastAsia" w:ascii="宋体" w:hAnsi="宋体" w:cs="宋体"/>
          <w:szCs w:val="21"/>
        </w:rPr>
        <w:t>我方如果中标，将保证履行招标文件以及招标文件修改文件（如果有的话）中的全部责任和义务，按质、按量、按期完成合同中的全部任务。</w:t>
      </w:r>
    </w:p>
    <w:p>
      <w:pPr>
        <w:tabs>
          <w:tab w:val="left" w:pos="4635"/>
        </w:tabs>
        <w:spacing w:line="340" w:lineRule="exact"/>
        <w:ind w:firstLine="630" w:firstLineChars="300"/>
        <w:rPr>
          <w:rFonts w:ascii="宋体" w:hAnsi="宋体" w:cs="宋体"/>
          <w:szCs w:val="21"/>
        </w:rPr>
      </w:pPr>
    </w:p>
    <w:p>
      <w:pPr>
        <w:tabs>
          <w:tab w:val="left" w:pos="4635"/>
        </w:tabs>
        <w:spacing w:line="340" w:lineRule="exact"/>
        <w:ind w:firstLine="630" w:firstLineChars="300"/>
        <w:rPr>
          <w:rFonts w:ascii="宋体" w:hAnsi="宋体" w:cs="宋体"/>
          <w:szCs w:val="21"/>
        </w:rPr>
      </w:pPr>
    </w:p>
    <w:p>
      <w:pPr>
        <w:tabs>
          <w:tab w:val="left" w:pos="4635"/>
        </w:tabs>
        <w:spacing w:line="340" w:lineRule="exact"/>
        <w:ind w:firstLine="630" w:firstLineChars="300"/>
        <w:rPr>
          <w:rFonts w:ascii="宋体" w:hAnsi="宋体" w:cs="宋体"/>
          <w:szCs w:val="21"/>
        </w:rPr>
      </w:pPr>
    </w:p>
    <w:p>
      <w:pPr>
        <w:tabs>
          <w:tab w:val="left" w:pos="4635"/>
        </w:tabs>
        <w:spacing w:line="360" w:lineRule="auto"/>
        <w:ind w:left="3826" w:leftChars="1822" w:right="840"/>
        <w:rPr>
          <w:rFonts w:ascii="宋体" w:hAnsi="宋体" w:cs="宋体"/>
          <w:szCs w:val="21"/>
        </w:rPr>
      </w:pPr>
      <w:r>
        <w:rPr>
          <w:rFonts w:hint="eastAsia" w:ascii="宋体" w:hAnsi="宋体" w:cs="宋体"/>
          <w:szCs w:val="21"/>
        </w:rPr>
        <w:t>投标人（公章）：</w:t>
      </w:r>
    </w:p>
    <w:p>
      <w:pPr>
        <w:tabs>
          <w:tab w:val="left" w:pos="4635"/>
        </w:tabs>
        <w:spacing w:line="360" w:lineRule="auto"/>
        <w:ind w:left="3826" w:leftChars="1822"/>
        <w:rPr>
          <w:rFonts w:ascii="宋体" w:hAnsi="宋体" w:cs="宋体"/>
          <w:szCs w:val="21"/>
        </w:rPr>
      </w:pPr>
      <w:r>
        <w:rPr>
          <w:rFonts w:hint="eastAsia" w:ascii="宋体" w:hAnsi="宋体" w:cs="宋体"/>
          <w:szCs w:val="21"/>
        </w:rPr>
        <w:t>法定代表人或授权代表（签字或盖章）：</w:t>
      </w:r>
    </w:p>
    <w:p>
      <w:pPr>
        <w:tabs>
          <w:tab w:val="left" w:pos="4635"/>
        </w:tabs>
        <w:spacing w:line="360" w:lineRule="auto"/>
        <w:ind w:left="3826" w:leftChars="1822" w:right="840"/>
        <w:rPr>
          <w:rFonts w:ascii="宋体" w:hAnsi="宋体" w:cs="宋体"/>
          <w:szCs w:val="21"/>
        </w:rPr>
      </w:pPr>
      <w:r>
        <w:rPr>
          <w:rFonts w:hint="eastAsia" w:ascii="宋体" w:hAnsi="宋体" w:cs="宋体"/>
          <w:szCs w:val="21"/>
        </w:rPr>
        <w:t>日期：</w:t>
      </w:r>
    </w:p>
    <w:p>
      <w:pPr>
        <w:tabs>
          <w:tab w:val="left" w:pos="4635"/>
        </w:tabs>
        <w:spacing w:line="360" w:lineRule="auto"/>
        <w:ind w:left="3826" w:leftChars="1822" w:right="840"/>
        <w:rPr>
          <w:rFonts w:ascii="宋体" w:hAnsi="宋体" w:cs="宋体"/>
          <w:szCs w:val="21"/>
        </w:rPr>
      </w:pPr>
    </w:p>
    <w:p>
      <w:pPr>
        <w:tabs>
          <w:tab w:val="left" w:pos="4635"/>
        </w:tabs>
        <w:spacing w:line="360" w:lineRule="auto"/>
        <w:ind w:left="3826" w:leftChars="1822" w:right="840"/>
        <w:rPr>
          <w:rFonts w:ascii="宋体" w:hAnsi="宋体" w:cs="宋体"/>
          <w:szCs w:val="21"/>
        </w:rPr>
      </w:pPr>
    </w:p>
    <w:p>
      <w:pPr>
        <w:tabs>
          <w:tab w:val="left" w:pos="4635"/>
        </w:tabs>
        <w:spacing w:line="360" w:lineRule="auto"/>
        <w:ind w:right="840"/>
        <w:rPr>
          <w:rFonts w:ascii="宋体" w:hAnsi="宋体" w:cs="宋体"/>
          <w:szCs w:val="21"/>
        </w:rPr>
      </w:pPr>
    </w:p>
    <w:p>
      <w:pPr>
        <w:pStyle w:val="137"/>
        <w:ind w:firstLine="0" w:firstLineChars="0"/>
        <w:rPr>
          <w:b/>
          <w:bCs/>
        </w:rPr>
      </w:pPr>
      <w:r>
        <w:rPr>
          <w:rFonts w:hint="eastAsia"/>
          <w:b/>
          <w:bCs/>
        </w:rPr>
        <w:t>投标函必须提供。</w:t>
      </w:r>
    </w:p>
    <w:p>
      <w:pPr>
        <w:pStyle w:val="137"/>
        <w:ind w:firstLine="0" w:firstLineChars="0"/>
        <w:rPr>
          <w:b/>
          <w:bCs/>
        </w:rPr>
      </w:pPr>
    </w:p>
    <w:p>
      <w:pPr>
        <w:pStyle w:val="137"/>
        <w:ind w:firstLine="0" w:firstLineChars="0"/>
        <w:rPr>
          <w:b/>
          <w:bCs/>
        </w:rPr>
      </w:pPr>
      <w:r>
        <w:rPr>
          <w:rFonts w:hint="eastAsia"/>
          <w:b/>
          <w:bCs/>
        </w:rPr>
        <w:t>注：盖章部分采用CA签章，法定代表人或授权代表的签字（或盖章）由法定代表人或授权代表本人签字（或盖章）。</w:t>
      </w:r>
    </w:p>
    <w:p>
      <w:pPr>
        <w:tabs>
          <w:tab w:val="left" w:pos="4635"/>
        </w:tabs>
        <w:spacing w:line="360" w:lineRule="auto"/>
        <w:ind w:left="3826" w:leftChars="1822" w:right="840"/>
        <w:rPr>
          <w:rFonts w:ascii="宋体" w:hAnsi="宋体" w:cs="宋体"/>
          <w:szCs w:val="21"/>
        </w:rPr>
      </w:pPr>
    </w:p>
    <w:p>
      <w:pPr>
        <w:pStyle w:val="6"/>
        <w:keepNext w:val="0"/>
        <w:keepLines w:val="0"/>
        <w:pageBreakBefore/>
        <w:widowControl w:val="0"/>
        <w:tabs>
          <w:tab w:val="left" w:pos="840"/>
        </w:tabs>
        <w:adjustRightInd w:val="0"/>
        <w:snapToGrid w:val="0"/>
        <w:spacing w:beforeLines="100" w:afterLines="100" w:line="240" w:lineRule="auto"/>
        <w:jc w:val="center"/>
        <w:rPr>
          <w:rFonts w:hAnsi="宋体"/>
          <w:b w:val="0"/>
          <w:bCs w:val="0"/>
          <w:sz w:val="28"/>
          <w:szCs w:val="36"/>
        </w:rPr>
      </w:pPr>
      <w:bookmarkStart w:id="51" w:name="_Toc23423"/>
      <w:r>
        <w:rPr>
          <w:rFonts w:hint="eastAsia" w:hAnsi="宋体"/>
          <w:szCs w:val="36"/>
        </w:rPr>
        <w:t>附件三关于符合《中华人民共和国政府采购法》第二十二条规定条件的承诺函</w:t>
      </w:r>
      <w:bookmarkEnd w:id="51"/>
    </w:p>
    <w:p>
      <w:pPr>
        <w:widowControl w:val="0"/>
        <w:spacing w:line="360" w:lineRule="auto"/>
        <w:rPr>
          <w:rFonts w:ascii="宋体" w:hAnsi="宋体" w:cs="宋体"/>
          <w:b/>
          <w:szCs w:val="21"/>
        </w:rPr>
      </w:pPr>
      <w:r>
        <w:rPr>
          <w:rFonts w:hint="eastAsia" w:ascii="宋体" w:hAnsi="宋体" w:cs="宋体"/>
          <w:b/>
          <w:szCs w:val="21"/>
        </w:rPr>
        <w:t>温州市龙湾区机关事务管理中心、温州市公共资源交易中心龙湾分中心：</w:t>
      </w:r>
    </w:p>
    <w:p>
      <w:pPr>
        <w:widowControl w:val="0"/>
        <w:spacing w:line="360" w:lineRule="auto"/>
        <w:ind w:firstLine="420" w:firstLineChars="200"/>
        <w:rPr>
          <w:rFonts w:ascii="宋体" w:hAnsi="宋体" w:cs="宋体"/>
          <w:bCs/>
          <w:szCs w:val="21"/>
        </w:rPr>
      </w:pPr>
      <w:r>
        <w:rPr>
          <w:rFonts w:hint="eastAsia" w:ascii="宋体" w:hAnsi="宋体" w:cs="宋体"/>
          <w:bCs/>
          <w:szCs w:val="21"/>
        </w:rPr>
        <w:t>我公司参与</w:t>
      </w:r>
      <w:r>
        <w:rPr>
          <w:rFonts w:hint="eastAsia" w:ascii="宋体" w:hAnsi="宋体" w:cs="宋体"/>
          <w:bCs/>
          <w:szCs w:val="21"/>
          <w:u w:val="single"/>
        </w:rPr>
        <w:t>项目名称</w:t>
      </w:r>
      <w:r>
        <w:rPr>
          <w:rFonts w:hint="eastAsia" w:ascii="宋体" w:hAnsi="宋体" w:cs="宋体"/>
          <w:bCs/>
          <w:szCs w:val="21"/>
        </w:rPr>
        <w:t>（项目编号：）投标，</w:t>
      </w:r>
    </w:p>
    <w:p>
      <w:pPr>
        <w:widowControl w:val="0"/>
        <w:spacing w:line="360" w:lineRule="auto"/>
        <w:rPr>
          <w:rFonts w:ascii="宋体" w:hAnsi="宋体" w:cs="宋体"/>
          <w:bCs/>
          <w:szCs w:val="21"/>
        </w:rPr>
      </w:pPr>
      <w:r>
        <w:rPr>
          <w:rFonts w:hint="eastAsia" w:ascii="宋体" w:hAnsi="宋体" w:cs="宋体"/>
          <w:bCs/>
          <w:szCs w:val="21"/>
        </w:rPr>
        <w:t>郑重承诺具备以下条件：</w:t>
      </w:r>
    </w:p>
    <w:p>
      <w:pPr>
        <w:widowControl w:val="0"/>
        <w:numPr>
          <w:ilvl w:val="0"/>
          <w:numId w:val="10"/>
        </w:numPr>
        <w:spacing w:line="360" w:lineRule="auto"/>
        <w:rPr>
          <w:rFonts w:ascii="宋体" w:hAnsi="宋体" w:cs="宋体"/>
          <w:bCs/>
          <w:szCs w:val="21"/>
        </w:rPr>
      </w:pPr>
      <w:r>
        <w:rPr>
          <w:rFonts w:hint="eastAsia" w:ascii="宋体" w:hAnsi="宋体" w:cs="宋体"/>
          <w:bCs/>
          <w:szCs w:val="21"/>
        </w:rPr>
        <w:t>具有独立承担民事责任的能力；</w:t>
      </w:r>
    </w:p>
    <w:p>
      <w:pPr>
        <w:widowControl w:val="0"/>
        <w:numPr>
          <w:ilvl w:val="0"/>
          <w:numId w:val="10"/>
        </w:numPr>
        <w:spacing w:line="360" w:lineRule="auto"/>
        <w:rPr>
          <w:rFonts w:ascii="宋体" w:hAnsi="宋体" w:cs="宋体"/>
          <w:bCs/>
          <w:szCs w:val="21"/>
        </w:rPr>
      </w:pPr>
      <w:r>
        <w:rPr>
          <w:rFonts w:hint="eastAsia" w:ascii="宋体" w:hAnsi="宋体" w:cs="宋体"/>
          <w:bCs/>
          <w:szCs w:val="21"/>
        </w:rPr>
        <w:t>具有良好的商业信誉和健全的财务会计制度；</w:t>
      </w:r>
    </w:p>
    <w:p>
      <w:pPr>
        <w:widowControl w:val="0"/>
        <w:numPr>
          <w:ilvl w:val="0"/>
          <w:numId w:val="10"/>
        </w:numPr>
        <w:spacing w:line="360" w:lineRule="auto"/>
        <w:rPr>
          <w:rFonts w:ascii="宋体" w:hAnsi="宋体" w:cs="宋体"/>
          <w:bCs/>
          <w:szCs w:val="21"/>
        </w:rPr>
      </w:pPr>
      <w:r>
        <w:rPr>
          <w:rFonts w:hint="eastAsia" w:ascii="宋体" w:hAnsi="宋体" w:cs="宋体"/>
          <w:bCs/>
          <w:szCs w:val="21"/>
        </w:rPr>
        <w:t>具有履行合同所必需的设备和专业技术能力；</w:t>
      </w:r>
    </w:p>
    <w:p>
      <w:pPr>
        <w:widowControl w:val="0"/>
        <w:numPr>
          <w:ilvl w:val="0"/>
          <w:numId w:val="10"/>
        </w:numPr>
        <w:spacing w:line="360" w:lineRule="auto"/>
        <w:rPr>
          <w:rFonts w:ascii="宋体" w:hAnsi="宋体" w:cs="宋体"/>
          <w:bCs/>
          <w:szCs w:val="21"/>
        </w:rPr>
      </w:pPr>
      <w:r>
        <w:rPr>
          <w:rFonts w:hint="eastAsia" w:ascii="宋体" w:hAnsi="宋体" w:cs="宋体"/>
          <w:bCs/>
          <w:szCs w:val="21"/>
        </w:rPr>
        <w:t>有依法缴纳税收和社会保障资金的良好记录；</w:t>
      </w:r>
    </w:p>
    <w:p>
      <w:pPr>
        <w:widowControl w:val="0"/>
        <w:numPr>
          <w:ilvl w:val="0"/>
          <w:numId w:val="10"/>
        </w:numPr>
        <w:spacing w:line="360" w:lineRule="auto"/>
        <w:rPr>
          <w:rFonts w:ascii="宋体" w:hAnsi="宋体" w:cs="宋体"/>
          <w:bCs/>
          <w:szCs w:val="21"/>
        </w:rPr>
      </w:pPr>
      <w:r>
        <w:rPr>
          <w:rFonts w:hint="eastAsia" w:ascii="宋体" w:hAnsi="宋体" w:cs="宋体"/>
          <w:bCs/>
          <w:szCs w:val="21"/>
        </w:rPr>
        <w:t>参加政府采购活动前三年内，在经营活动中没有重大违法记录；</w:t>
      </w:r>
    </w:p>
    <w:p>
      <w:pPr>
        <w:widowControl w:val="0"/>
        <w:numPr>
          <w:ilvl w:val="0"/>
          <w:numId w:val="10"/>
        </w:numPr>
        <w:spacing w:line="360" w:lineRule="auto"/>
        <w:rPr>
          <w:rFonts w:ascii="宋体" w:hAnsi="宋体" w:cs="宋体"/>
          <w:bCs/>
          <w:szCs w:val="21"/>
        </w:rPr>
      </w:pPr>
      <w:r>
        <w:rPr>
          <w:rFonts w:hint="eastAsia" w:ascii="宋体" w:hAnsi="宋体" w:cs="宋体"/>
          <w:bCs/>
          <w:szCs w:val="21"/>
        </w:rPr>
        <w:t>法律、行政法规规定的其他条件。</w:t>
      </w:r>
    </w:p>
    <w:p>
      <w:pPr>
        <w:widowControl w:val="0"/>
        <w:spacing w:line="360" w:lineRule="auto"/>
        <w:ind w:firstLine="420" w:firstLineChars="200"/>
        <w:rPr>
          <w:rFonts w:ascii="宋体" w:hAnsi="宋体" w:cs="宋体"/>
          <w:bCs/>
          <w:szCs w:val="21"/>
        </w:rPr>
      </w:pPr>
      <w:r>
        <w:rPr>
          <w:rFonts w:hint="eastAsia" w:ascii="宋体" w:hAnsi="宋体" w:cs="宋体"/>
          <w:bCs/>
          <w:szCs w:val="21"/>
        </w:rPr>
        <w:t>本公司对上述承诺的真实性负责。如有虚假，将依法承担相应责任。</w:t>
      </w:r>
    </w:p>
    <w:p>
      <w:pPr>
        <w:ind w:firstLine="420" w:firstLineChars="200"/>
        <w:rPr>
          <w:rFonts w:ascii="宋体" w:hAnsi="宋体" w:cs="宋体"/>
          <w:bCs/>
          <w:szCs w:val="21"/>
        </w:rPr>
      </w:pPr>
    </w:p>
    <w:p>
      <w:pPr>
        <w:ind w:firstLine="420" w:firstLineChars="200"/>
        <w:rPr>
          <w:rFonts w:ascii="宋体" w:hAnsi="宋体" w:cs="宋体"/>
          <w:bCs/>
          <w:szCs w:val="21"/>
        </w:rPr>
      </w:pPr>
    </w:p>
    <w:p>
      <w:pPr>
        <w:spacing w:line="360" w:lineRule="auto"/>
        <w:ind w:firstLine="420"/>
        <w:rPr>
          <w:rFonts w:ascii="宋体" w:hAnsi="宋体" w:cs="宋体"/>
          <w:bCs/>
          <w:szCs w:val="21"/>
        </w:rPr>
      </w:pPr>
      <w:r>
        <w:rPr>
          <w:rFonts w:hint="eastAsia" w:ascii="宋体" w:hAnsi="宋体" w:cs="宋体"/>
          <w:bCs/>
          <w:szCs w:val="21"/>
        </w:rPr>
        <w:t>投标人全称（盖章）：</w:t>
      </w:r>
    </w:p>
    <w:p>
      <w:pPr>
        <w:spacing w:line="360" w:lineRule="auto"/>
        <w:ind w:firstLine="420"/>
        <w:rPr>
          <w:rFonts w:ascii="宋体" w:hAnsi="宋体" w:cs="宋体"/>
          <w:bCs/>
          <w:szCs w:val="21"/>
        </w:rPr>
      </w:pPr>
    </w:p>
    <w:p>
      <w:pPr>
        <w:ind w:firstLine="4830" w:firstLineChars="2300"/>
        <w:rPr>
          <w:rFonts w:ascii="宋体" w:hAnsi="宋体" w:cs="宋体"/>
          <w:bCs/>
          <w:szCs w:val="21"/>
        </w:rPr>
      </w:pPr>
      <w:r>
        <w:rPr>
          <w:rFonts w:hint="eastAsia" w:ascii="宋体" w:hAnsi="宋体" w:cs="宋体"/>
          <w:bCs/>
          <w:szCs w:val="21"/>
        </w:rPr>
        <w:t>日期：</w:t>
      </w:r>
      <w:bookmarkStart w:id="52" w:name="_Toc453160203"/>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r>
        <w:rPr>
          <w:rFonts w:hint="eastAsia" w:ascii="宋体" w:hAnsi="宋体" w:cs="宋体"/>
          <w:b/>
          <w:szCs w:val="21"/>
        </w:rPr>
        <w:t>注：1、</w:t>
      </w:r>
      <w:r>
        <w:rPr>
          <w:rFonts w:hint="eastAsia" w:ascii="宋体" w:hAnsi="宋体" w:cs="宋体"/>
          <w:b/>
          <w:bCs/>
          <w:szCs w:val="21"/>
        </w:rPr>
        <w:t>本承诺函必须提供。</w:t>
      </w:r>
    </w:p>
    <w:p>
      <w:pPr>
        <w:pStyle w:val="137"/>
        <w:ind w:firstLine="422"/>
        <w:rPr>
          <w:rFonts w:ascii="宋体" w:hAnsi="宋体" w:cs="宋体"/>
          <w:b/>
          <w:szCs w:val="21"/>
        </w:rPr>
      </w:pPr>
      <w:r>
        <w:rPr>
          <w:rFonts w:hint="eastAsia" w:ascii="宋体" w:hAnsi="宋体" w:cs="宋体"/>
          <w:b/>
          <w:szCs w:val="21"/>
        </w:rPr>
        <w:t>2、盖章部分采用CA签章。</w:t>
      </w:r>
      <w:bookmarkStart w:id="53" w:name="_Toc525894358"/>
      <w:bookmarkStart w:id="54" w:name="_Toc26732"/>
    </w:p>
    <w:bookmarkEnd w:id="52"/>
    <w:bookmarkEnd w:id="53"/>
    <w:bookmarkEnd w:id="54"/>
    <w:p>
      <w:pPr>
        <w:pStyle w:val="6"/>
        <w:pageBreakBefore/>
        <w:spacing w:beforeLines="25" w:after="0" w:line="360" w:lineRule="auto"/>
        <w:jc w:val="center"/>
        <w:sectPr>
          <w:pgSz w:w="11906" w:h="16838"/>
          <w:pgMar w:top="1440" w:right="1247" w:bottom="1440" w:left="1247" w:header="851" w:footer="992" w:gutter="0"/>
          <w:cols w:space="720" w:num="1"/>
          <w:titlePg/>
          <w:docGrid w:type="linesAndChars" w:linePitch="312" w:charSpace="0"/>
        </w:sectPr>
      </w:pPr>
      <w:bookmarkStart w:id="55" w:name="_Toc319335517"/>
      <w:bookmarkStart w:id="56" w:name="_Toc30195"/>
    </w:p>
    <w:p>
      <w:pPr>
        <w:pStyle w:val="6"/>
        <w:keepNext w:val="0"/>
        <w:keepLines w:val="0"/>
        <w:pageBreakBefore/>
        <w:widowControl w:val="0"/>
        <w:tabs>
          <w:tab w:val="left" w:pos="840"/>
        </w:tabs>
        <w:adjustRightInd w:val="0"/>
        <w:snapToGrid w:val="0"/>
        <w:spacing w:beforeLines="100" w:afterLines="100" w:line="240" w:lineRule="auto"/>
        <w:rPr>
          <w:rFonts w:hAnsi="宋体"/>
          <w:szCs w:val="36"/>
        </w:rPr>
      </w:pPr>
      <w:r>
        <w:rPr>
          <w:rFonts w:hint="eastAsia" w:hAnsi="宋体"/>
          <w:szCs w:val="36"/>
        </w:rPr>
        <w:t>附件四诚信投标承诺书</w:t>
      </w:r>
    </w:p>
    <w:p>
      <w:pPr>
        <w:jc w:val="center"/>
        <w:rPr>
          <w:rFonts w:ascii="仿宋" w:hAnsi="仿宋" w:eastAsia="仿宋" w:cs="仿宋"/>
          <w:sz w:val="36"/>
          <w:szCs w:val="36"/>
        </w:rPr>
      </w:pPr>
      <w:r>
        <w:rPr>
          <w:rFonts w:hint="eastAsia" w:ascii="仿宋" w:hAnsi="仿宋" w:eastAsia="仿宋" w:cs="仿宋"/>
          <w:sz w:val="36"/>
          <w:szCs w:val="36"/>
        </w:rPr>
        <w:t>法定代表人诚信投标承诺书</w:t>
      </w:r>
    </w:p>
    <w:p>
      <w:pPr>
        <w:widowControl w:val="0"/>
        <w:spacing w:line="440" w:lineRule="exact"/>
        <w:rPr>
          <w:rFonts w:ascii="仿宋" w:hAnsi="仿宋" w:eastAsia="仿宋" w:cs="仿宋"/>
          <w:sz w:val="22"/>
        </w:rPr>
      </w:pPr>
      <w:r>
        <w:rPr>
          <w:rFonts w:hint="eastAsia" w:ascii="仿宋" w:hAnsi="仿宋" w:eastAsia="仿宋" w:cs="仿宋"/>
          <w:sz w:val="22"/>
        </w:rPr>
        <w:t>本人以企业法定代表人的身份郑重承诺：</w:t>
      </w:r>
    </w:p>
    <w:p>
      <w:pPr>
        <w:widowControl w:val="0"/>
        <w:spacing w:line="440" w:lineRule="exact"/>
        <w:ind w:firstLine="440" w:firstLineChars="200"/>
        <w:rPr>
          <w:rFonts w:ascii="仿宋" w:hAnsi="仿宋" w:eastAsia="仿宋" w:cs="仿宋"/>
          <w:sz w:val="22"/>
        </w:rPr>
      </w:pPr>
      <w:r>
        <w:rPr>
          <w:rFonts w:hint="eastAsia" w:ascii="仿宋" w:hAnsi="仿宋" w:eastAsia="仿宋" w:cs="仿宋"/>
          <w:sz w:val="22"/>
        </w:rPr>
        <w:t>将遵循公开、公平、公正和诚信信用的原则参加</w:t>
      </w:r>
      <w:r>
        <w:rPr>
          <w:rFonts w:hint="eastAsia" w:ascii="仿宋" w:hAnsi="仿宋" w:eastAsia="仿宋" w:cs="仿宋"/>
          <w:sz w:val="22"/>
          <w:u w:val="single"/>
        </w:rPr>
        <w:t>项目（招标编号：）</w:t>
      </w:r>
      <w:r>
        <w:rPr>
          <w:rFonts w:hint="eastAsia" w:ascii="仿宋" w:hAnsi="仿宋" w:eastAsia="仿宋" w:cs="仿宋"/>
          <w:sz w:val="22"/>
        </w:rPr>
        <w:t>的投标；</w:t>
      </w:r>
    </w:p>
    <w:p>
      <w:pPr>
        <w:widowControl w:val="0"/>
        <w:spacing w:line="440" w:lineRule="exact"/>
        <w:ind w:firstLine="440" w:firstLineChars="200"/>
        <w:rPr>
          <w:rFonts w:ascii="仿宋" w:hAnsi="仿宋" w:eastAsia="仿宋" w:cs="仿宋"/>
          <w:sz w:val="22"/>
          <w:u w:val="single"/>
        </w:rPr>
      </w:pPr>
      <w:r>
        <w:rPr>
          <w:rFonts w:hint="eastAsia" w:ascii="仿宋" w:hAnsi="仿宋" w:eastAsia="仿宋" w:cs="仿宋"/>
          <w:sz w:val="22"/>
        </w:rPr>
        <w:t>一、杜绝以收取管理费等形式的一切挂靠、违法转包、分包行为；并选派有丰富经验、无不良行为记录的在项目管理人员、技术人员，严格按招标文件、投标文件及合同等要求保证拟派人员的到岗率。</w:t>
      </w:r>
    </w:p>
    <w:p>
      <w:pPr>
        <w:widowControl w:val="0"/>
        <w:spacing w:line="440" w:lineRule="exact"/>
        <w:ind w:firstLine="440" w:firstLineChars="200"/>
        <w:rPr>
          <w:rFonts w:ascii="仿宋" w:hAnsi="仿宋" w:eastAsia="仿宋" w:cs="仿宋"/>
          <w:sz w:val="22"/>
        </w:rPr>
      </w:pPr>
      <w:r>
        <w:rPr>
          <w:rFonts w:hint="eastAsia" w:ascii="仿宋" w:hAnsi="仿宋" w:eastAsia="仿宋" w:cs="仿宋"/>
          <w:sz w:val="22"/>
        </w:rPr>
        <w:t>二、投标文件所提供的一切材料都是真实、有效、合法的。</w:t>
      </w:r>
    </w:p>
    <w:p>
      <w:pPr>
        <w:widowControl w:val="0"/>
        <w:spacing w:line="440" w:lineRule="exact"/>
        <w:ind w:firstLine="440" w:firstLineChars="200"/>
        <w:rPr>
          <w:rFonts w:ascii="仿宋" w:hAnsi="仿宋" w:eastAsia="仿宋" w:cs="仿宋"/>
          <w:sz w:val="22"/>
        </w:rPr>
      </w:pPr>
      <w:r>
        <w:rPr>
          <w:rFonts w:hint="eastAsia" w:ascii="仿宋" w:hAnsi="仿宋" w:eastAsia="仿宋" w:cs="仿宋"/>
          <w:sz w:val="22"/>
        </w:rPr>
        <w:t>三、不与其他投标人相互串通投标报价，不排挤其他投标人的公平竞争，不损害招标人或其他投标人的合法权益。</w:t>
      </w:r>
    </w:p>
    <w:p>
      <w:pPr>
        <w:widowControl w:val="0"/>
        <w:spacing w:line="440" w:lineRule="exact"/>
        <w:ind w:firstLine="440" w:firstLineChars="200"/>
        <w:rPr>
          <w:rFonts w:ascii="仿宋" w:hAnsi="仿宋" w:eastAsia="仿宋" w:cs="仿宋"/>
          <w:sz w:val="22"/>
        </w:rPr>
      </w:pPr>
      <w:r>
        <w:rPr>
          <w:rFonts w:hint="eastAsia" w:ascii="仿宋" w:hAnsi="仿宋" w:eastAsia="仿宋" w:cs="仿宋"/>
          <w:sz w:val="22"/>
        </w:rPr>
        <w:t>四、不与采购人或招标代理机构串通投标，不损害国家利益，社会公共利益或其他人的合法权益。</w:t>
      </w:r>
    </w:p>
    <w:p>
      <w:pPr>
        <w:widowControl w:val="0"/>
        <w:spacing w:line="440" w:lineRule="exact"/>
        <w:ind w:firstLine="440" w:firstLineChars="200"/>
        <w:rPr>
          <w:rFonts w:ascii="仿宋" w:hAnsi="仿宋" w:eastAsia="仿宋" w:cs="仿宋"/>
          <w:sz w:val="22"/>
        </w:rPr>
      </w:pPr>
      <w:r>
        <w:rPr>
          <w:rFonts w:hint="eastAsia" w:ascii="仿宋" w:hAnsi="仿宋" w:eastAsia="仿宋" w:cs="仿宋"/>
          <w:sz w:val="22"/>
        </w:rPr>
        <w:t>五、不向采购人或者评标委员会成员行贿以牟取中标。</w:t>
      </w:r>
    </w:p>
    <w:p>
      <w:pPr>
        <w:widowControl w:val="0"/>
        <w:spacing w:line="440" w:lineRule="exact"/>
        <w:ind w:firstLine="440" w:firstLineChars="200"/>
        <w:rPr>
          <w:rFonts w:ascii="仿宋" w:hAnsi="仿宋" w:eastAsia="仿宋" w:cs="仿宋"/>
          <w:sz w:val="22"/>
        </w:rPr>
      </w:pPr>
      <w:r>
        <w:rPr>
          <w:rFonts w:hint="eastAsia" w:ascii="仿宋" w:hAnsi="仿宋" w:eastAsia="仿宋" w:cs="仿宋"/>
          <w:sz w:val="22"/>
        </w:rPr>
        <w:t>六、不以其他人名义投标或者以其他方式弄虚作假，骗取中标。</w:t>
      </w:r>
    </w:p>
    <w:p>
      <w:pPr>
        <w:widowControl w:val="0"/>
        <w:spacing w:line="440" w:lineRule="exact"/>
        <w:ind w:firstLine="440" w:firstLineChars="200"/>
        <w:rPr>
          <w:rFonts w:ascii="仿宋" w:hAnsi="仿宋" w:eastAsia="仿宋" w:cs="仿宋"/>
          <w:sz w:val="22"/>
        </w:rPr>
      </w:pPr>
      <w:r>
        <w:rPr>
          <w:rFonts w:hint="eastAsia" w:ascii="仿宋" w:hAnsi="仿宋" w:eastAsia="仿宋" w:cs="仿宋"/>
          <w:sz w:val="22"/>
        </w:rPr>
        <w:t>七、不在开标后进行虚假恶意投诉。</w:t>
      </w:r>
    </w:p>
    <w:p>
      <w:pPr>
        <w:widowControl w:val="0"/>
        <w:spacing w:line="440" w:lineRule="exact"/>
        <w:ind w:firstLine="440" w:firstLineChars="200"/>
        <w:rPr>
          <w:rFonts w:ascii="仿宋" w:hAnsi="仿宋" w:eastAsia="仿宋" w:cs="仿宋"/>
          <w:sz w:val="22"/>
        </w:rPr>
      </w:pPr>
      <w:r>
        <w:rPr>
          <w:rFonts w:hint="eastAsia" w:ascii="仿宋" w:hAnsi="仿宋" w:eastAsia="仿宋" w:cs="仿宋"/>
          <w:sz w:val="22"/>
        </w:rPr>
        <w:t>八、我单位没有被政府机关列入失信被执行人名单、重大税收违法案件当事人名单、政府采购严重违法失信行为记录名单及其他不符合《中华人民共和国政府采购法》第二十二条规定条件的情形：</w:t>
      </w:r>
    </w:p>
    <w:p>
      <w:pPr>
        <w:widowControl w:val="0"/>
        <w:spacing w:line="440" w:lineRule="exact"/>
        <w:ind w:firstLine="440" w:firstLineChars="200"/>
        <w:rPr>
          <w:rFonts w:ascii="仿宋" w:hAnsi="仿宋" w:eastAsia="仿宋" w:cs="仿宋"/>
          <w:sz w:val="22"/>
        </w:rPr>
      </w:pPr>
      <w:r>
        <w:rPr>
          <w:rFonts w:hint="eastAsia" w:ascii="仿宋" w:hAnsi="仿宋" w:eastAsia="仿宋" w:cs="仿宋"/>
          <w:sz w:val="22"/>
        </w:rPr>
        <w:t>九、没有被各地、各级财政部门禁止参加政府采购活动，且在限制期限内：</w:t>
      </w:r>
    </w:p>
    <w:p>
      <w:pPr>
        <w:widowControl w:val="0"/>
        <w:spacing w:line="440" w:lineRule="exact"/>
        <w:ind w:firstLine="440" w:firstLineChars="200"/>
        <w:rPr>
          <w:rFonts w:ascii="仿宋" w:hAnsi="仿宋" w:eastAsia="仿宋" w:cs="仿宋"/>
          <w:sz w:val="22"/>
        </w:rPr>
      </w:pPr>
      <w:r>
        <w:rPr>
          <w:rFonts w:hint="eastAsia" w:ascii="仿宋" w:hAnsi="仿宋" w:eastAsia="仿宋" w:cs="仿宋"/>
          <w:sz w:val="22"/>
        </w:rPr>
        <w:t>十、参与本项目政府采购活动3年内没有重大违法记录情况。</w:t>
      </w:r>
    </w:p>
    <w:p>
      <w:pPr>
        <w:widowControl w:val="0"/>
        <w:spacing w:line="440" w:lineRule="exact"/>
        <w:ind w:firstLine="440" w:firstLineChars="200"/>
        <w:rPr>
          <w:rFonts w:eastAsia="仿宋"/>
        </w:rPr>
      </w:pPr>
      <w:r>
        <w:rPr>
          <w:rFonts w:hint="eastAsia" w:ascii="仿宋" w:hAnsi="仿宋" w:eastAsia="仿宋" w:cs="仿宋"/>
          <w:sz w:val="22"/>
        </w:rPr>
        <w:t>十一、保证本投标文件中所承诺内容均按承诺实施，包括服务标准、员工福利等。</w:t>
      </w:r>
    </w:p>
    <w:p>
      <w:pPr>
        <w:widowControl w:val="0"/>
        <w:spacing w:line="440" w:lineRule="exact"/>
        <w:ind w:firstLine="440" w:firstLineChars="200"/>
        <w:rPr>
          <w:rFonts w:ascii="仿宋" w:hAnsi="仿宋" w:eastAsia="仿宋" w:cs="仿宋"/>
          <w:sz w:val="22"/>
        </w:rPr>
      </w:pPr>
      <w:r>
        <w:rPr>
          <w:rFonts w:hint="eastAsia" w:ascii="仿宋" w:hAnsi="仿宋" w:eastAsia="仿宋" w:cs="仿宋"/>
          <w:sz w:val="22"/>
        </w:rPr>
        <w:t>本公司若有违反本承诺内容的行为，愿意承担法律责任，包括不限于：愿意接受相关行政主管部门作出的处罚；给采购人造成损失的，依法承担相应的赔偿责任。</w:t>
      </w:r>
    </w:p>
    <w:p>
      <w:pPr>
        <w:widowControl w:val="0"/>
        <w:spacing w:line="440" w:lineRule="exact"/>
        <w:ind w:right="1120" w:firstLine="2970" w:firstLineChars="1350"/>
        <w:rPr>
          <w:rFonts w:ascii="仿宋" w:hAnsi="仿宋" w:eastAsia="仿宋" w:cs="仿宋"/>
          <w:sz w:val="22"/>
        </w:rPr>
      </w:pPr>
      <w:r>
        <w:rPr>
          <w:rFonts w:hint="eastAsia" w:ascii="仿宋" w:hAnsi="仿宋" w:eastAsia="仿宋" w:cs="仿宋"/>
          <w:sz w:val="22"/>
        </w:rPr>
        <w:t>法定代表人（签字或签章）：</w:t>
      </w:r>
    </w:p>
    <w:p>
      <w:pPr>
        <w:widowControl w:val="0"/>
        <w:spacing w:line="440" w:lineRule="exact"/>
        <w:ind w:right="1120" w:firstLine="2970" w:firstLineChars="1350"/>
        <w:rPr>
          <w:rFonts w:ascii="仿宋" w:hAnsi="仿宋" w:eastAsia="仿宋" w:cs="仿宋"/>
          <w:sz w:val="22"/>
        </w:rPr>
      </w:pPr>
      <w:r>
        <w:rPr>
          <w:rFonts w:hint="eastAsia" w:ascii="仿宋" w:hAnsi="仿宋" w:eastAsia="仿宋" w:cs="仿宋"/>
          <w:sz w:val="22"/>
        </w:rPr>
        <w:t>投标供应商（盖章）</w:t>
      </w:r>
    </w:p>
    <w:p>
      <w:pPr>
        <w:widowControl w:val="0"/>
        <w:spacing w:line="440" w:lineRule="exact"/>
        <w:ind w:right="1120" w:firstLine="3403" w:firstLineChars="1547"/>
        <w:jc w:val="center"/>
        <w:rPr>
          <w:rFonts w:ascii="仿宋" w:hAnsi="仿宋" w:eastAsia="仿宋" w:cs="仿宋"/>
          <w:szCs w:val="21"/>
        </w:rPr>
      </w:pPr>
      <w:r>
        <w:rPr>
          <w:rFonts w:hint="eastAsia" w:ascii="仿宋" w:hAnsi="仿宋" w:eastAsia="仿宋" w:cs="仿宋"/>
          <w:sz w:val="22"/>
        </w:rPr>
        <w:t>承诺书签署日期：年月日</w:t>
      </w:r>
    </w:p>
    <w:p>
      <w:pPr>
        <w:widowControl w:val="0"/>
        <w:spacing w:line="440" w:lineRule="exact"/>
        <w:rPr>
          <w:rFonts w:ascii="仿宋" w:hAnsi="仿宋" w:eastAsia="仿宋" w:cs="仿宋"/>
          <w:sz w:val="30"/>
        </w:rPr>
      </w:pPr>
      <w:r>
        <w:rPr>
          <w:rFonts w:hint="eastAsia" w:ascii="仿宋" w:hAnsi="仿宋" w:eastAsia="仿宋" w:cs="仿宋"/>
          <w:bCs/>
          <w:sz w:val="22"/>
          <w:u w:val="single"/>
        </w:rPr>
        <w:t>备注：▲投标供应商必须提供本承诺书，不提供按无效投标处理。</w:t>
      </w:r>
    </w:p>
    <w:p>
      <w:pPr>
        <w:pStyle w:val="21"/>
        <w:spacing w:before="156" w:after="156" w:line="360" w:lineRule="exact"/>
        <w:jc w:val="center"/>
        <w:rPr>
          <w:rFonts w:ascii="仿宋" w:hAnsi="仿宋" w:eastAsia="仿宋" w:cs="仿宋"/>
          <w:sz w:val="32"/>
        </w:rPr>
      </w:pPr>
    </w:p>
    <w:p>
      <w:pPr>
        <w:sectPr>
          <w:pgSz w:w="11906" w:h="16838"/>
          <w:pgMar w:top="1440" w:right="1247" w:bottom="1440" w:left="1247" w:header="851" w:footer="992" w:gutter="0"/>
          <w:cols w:space="720" w:num="1"/>
          <w:titlePg/>
          <w:docGrid w:type="linesAndChars" w:linePitch="312" w:charSpace="0"/>
        </w:sectPr>
      </w:pPr>
    </w:p>
    <w:p>
      <w:pPr>
        <w:pStyle w:val="6"/>
        <w:pageBreakBefore/>
        <w:spacing w:beforeLines="25" w:after="0" w:line="360" w:lineRule="auto"/>
        <w:jc w:val="center"/>
        <w:rPr>
          <w:rFonts w:ascii="宋体" w:hAnsi="宋体"/>
          <w:szCs w:val="21"/>
        </w:rPr>
      </w:pPr>
      <w:r>
        <w:rPr>
          <w:rFonts w:hint="eastAsia"/>
        </w:rPr>
        <w:t>附件五</w:t>
      </w:r>
      <w:bookmarkEnd w:id="55"/>
      <w:r>
        <w:rPr>
          <w:rFonts w:hint="eastAsia" w:ascii="宋体" w:hAnsi="宋体"/>
          <w:szCs w:val="21"/>
        </w:rPr>
        <w:t>技术响应表</w:t>
      </w:r>
      <w:bookmarkEnd w:id="56"/>
    </w:p>
    <w:p>
      <w:pPr>
        <w:spacing w:beforeLines="50" w:afterLines="50" w:line="400" w:lineRule="exact"/>
        <w:rPr>
          <w:rFonts w:ascii="宋体" w:hAnsi="宋体" w:cs="宋体"/>
          <w:szCs w:val="21"/>
        </w:rPr>
      </w:pPr>
      <w:r>
        <w:rPr>
          <w:rFonts w:hint="eastAsia" w:ascii="宋体" w:hAnsi="宋体" w:cs="宋体"/>
          <w:szCs w:val="21"/>
        </w:rPr>
        <w:t>项目编号：</w:t>
      </w:r>
    </w:p>
    <w:tbl>
      <w:tblPr>
        <w:tblStyle w:val="3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086"/>
        <w:gridCol w:w="1724"/>
        <w:gridCol w:w="4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序号</w:t>
            </w:r>
          </w:p>
        </w:tc>
        <w:tc>
          <w:tcPr>
            <w:tcW w:w="2086" w:type="dxa"/>
            <w:tcBorders>
              <w:top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服务内容</w:t>
            </w:r>
          </w:p>
        </w:tc>
        <w:tc>
          <w:tcPr>
            <w:tcW w:w="1724" w:type="dxa"/>
            <w:tcBorders>
              <w:top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服务要求</w:t>
            </w:r>
          </w:p>
        </w:tc>
        <w:tc>
          <w:tcPr>
            <w:tcW w:w="4800" w:type="dxa"/>
            <w:tcBorders>
              <w:top w:val="single" w:color="auto" w:sz="4" w:space="0"/>
              <w:bottom w:val="single" w:color="auto" w:sz="4" w:space="0"/>
              <w:right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详细响应说明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1</w:t>
            </w:r>
          </w:p>
        </w:tc>
        <w:tc>
          <w:tcPr>
            <w:tcW w:w="2086" w:type="dxa"/>
            <w:tcBorders>
              <w:top w:val="single" w:color="auto" w:sz="4" w:space="0"/>
              <w:bottom w:val="single" w:color="auto" w:sz="4" w:space="0"/>
            </w:tcBorders>
            <w:vAlign w:val="center"/>
          </w:tcPr>
          <w:p>
            <w:pPr>
              <w:jc w:val="center"/>
              <w:rPr>
                <w:rFonts w:ascii="宋体" w:hAnsi="宋体" w:cs="宋体"/>
                <w:szCs w:val="21"/>
              </w:rPr>
            </w:pPr>
          </w:p>
        </w:tc>
        <w:tc>
          <w:tcPr>
            <w:tcW w:w="1724" w:type="dxa"/>
            <w:tcBorders>
              <w:top w:val="single" w:color="auto" w:sz="4" w:space="0"/>
              <w:bottom w:val="single" w:color="auto" w:sz="4" w:space="0"/>
            </w:tcBorders>
            <w:vAlign w:val="center"/>
          </w:tcPr>
          <w:p>
            <w:pPr>
              <w:ind w:firstLine="592"/>
              <w:jc w:val="center"/>
              <w:rPr>
                <w:rFonts w:ascii="宋体" w:hAnsi="宋体" w:cs="宋体"/>
                <w:szCs w:val="21"/>
              </w:rPr>
            </w:pPr>
          </w:p>
        </w:tc>
        <w:tc>
          <w:tcPr>
            <w:tcW w:w="4800" w:type="dxa"/>
            <w:tcBorders>
              <w:top w:val="single" w:color="auto" w:sz="4" w:space="0"/>
              <w:bottom w:val="single" w:color="auto" w:sz="4" w:space="0"/>
              <w:right w:val="single" w:color="auto" w:sz="4" w:space="0"/>
            </w:tcBorders>
            <w:vAlign w:val="center"/>
          </w:tcPr>
          <w:p>
            <w:pPr>
              <w:ind w:firstLine="59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2</w:t>
            </w:r>
          </w:p>
        </w:tc>
        <w:tc>
          <w:tcPr>
            <w:tcW w:w="2086" w:type="dxa"/>
            <w:tcBorders>
              <w:top w:val="single" w:color="auto" w:sz="4" w:space="0"/>
              <w:bottom w:val="single" w:color="auto" w:sz="4" w:space="0"/>
            </w:tcBorders>
            <w:vAlign w:val="center"/>
          </w:tcPr>
          <w:p>
            <w:pPr>
              <w:jc w:val="center"/>
              <w:rPr>
                <w:rFonts w:ascii="宋体" w:hAnsi="宋体" w:cs="宋体"/>
                <w:szCs w:val="21"/>
              </w:rPr>
            </w:pPr>
          </w:p>
        </w:tc>
        <w:tc>
          <w:tcPr>
            <w:tcW w:w="1724" w:type="dxa"/>
            <w:tcBorders>
              <w:top w:val="single" w:color="auto" w:sz="4" w:space="0"/>
              <w:bottom w:val="single" w:color="auto" w:sz="4" w:space="0"/>
            </w:tcBorders>
            <w:vAlign w:val="center"/>
          </w:tcPr>
          <w:p>
            <w:pPr>
              <w:ind w:firstLine="592"/>
              <w:jc w:val="center"/>
              <w:rPr>
                <w:rFonts w:ascii="宋体" w:hAnsi="宋体" w:cs="宋体"/>
                <w:szCs w:val="21"/>
              </w:rPr>
            </w:pPr>
          </w:p>
        </w:tc>
        <w:tc>
          <w:tcPr>
            <w:tcW w:w="4800" w:type="dxa"/>
            <w:tcBorders>
              <w:top w:val="single" w:color="auto" w:sz="4" w:space="0"/>
              <w:bottom w:val="single" w:color="auto" w:sz="4" w:space="0"/>
              <w:right w:val="single" w:color="auto" w:sz="4" w:space="0"/>
            </w:tcBorders>
            <w:vAlign w:val="center"/>
          </w:tcPr>
          <w:p>
            <w:pPr>
              <w:ind w:firstLine="59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3</w:t>
            </w:r>
          </w:p>
        </w:tc>
        <w:tc>
          <w:tcPr>
            <w:tcW w:w="2086" w:type="dxa"/>
            <w:tcBorders>
              <w:top w:val="single" w:color="auto" w:sz="4" w:space="0"/>
              <w:bottom w:val="single" w:color="auto" w:sz="4" w:space="0"/>
            </w:tcBorders>
            <w:vAlign w:val="center"/>
          </w:tcPr>
          <w:p>
            <w:pPr>
              <w:jc w:val="center"/>
              <w:rPr>
                <w:rFonts w:ascii="宋体" w:hAnsi="宋体" w:cs="宋体"/>
                <w:szCs w:val="21"/>
              </w:rPr>
            </w:pPr>
          </w:p>
        </w:tc>
        <w:tc>
          <w:tcPr>
            <w:tcW w:w="1724" w:type="dxa"/>
            <w:tcBorders>
              <w:top w:val="single" w:color="auto" w:sz="4" w:space="0"/>
              <w:bottom w:val="single" w:color="auto" w:sz="4" w:space="0"/>
            </w:tcBorders>
            <w:vAlign w:val="center"/>
          </w:tcPr>
          <w:p>
            <w:pPr>
              <w:ind w:firstLine="592"/>
              <w:jc w:val="center"/>
              <w:rPr>
                <w:rFonts w:ascii="宋体" w:hAnsi="宋体" w:cs="宋体"/>
                <w:szCs w:val="21"/>
              </w:rPr>
            </w:pPr>
          </w:p>
        </w:tc>
        <w:tc>
          <w:tcPr>
            <w:tcW w:w="4800" w:type="dxa"/>
            <w:tcBorders>
              <w:top w:val="single" w:color="auto" w:sz="4" w:space="0"/>
              <w:bottom w:val="single" w:color="auto" w:sz="4" w:space="0"/>
              <w:right w:val="single" w:color="auto" w:sz="4" w:space="0"/>
            </w:tcBorders>
            <w:vAlign w:val="center"/>
          </w:tcPr>
          <w:p>
            <w:pPr>
              <w:ind w:firstLine="59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4</w:t>
            </w:r>
          </w:p>
        </w:tc>
        <w:tc>
          <w:tcPr>
            <w:tcW w:w="2086" w:type="dxa"/>
            <w:tcBorders>
              <w:top w:val="single" w:color="auto" w:sz="4" w:space="0"/>
              <w:bottom w:val="single" w:color="auto" w:sz="4" w:space="0"/>
            </w:tcBorders>
            <w:vAlign w:val="center"/>
          </w:tcPr>
          <w:p>
            <w:pPr>
              <w:jc w:val="center"/>
              <w:rPr>
                <w:rFonts w:ascii="宋体" w:hAnsi="宋体" w:cs="宋体"/>
                <w:szCs w:val="21"/>
              </w:rPr>
            </w:pPr>
          </w:p>
        </w:tc>
        <w:tc>
          <w:tcPr>
            <w:tcW w:w="1724" w:type="dxa"/>
            <w:tcBorders>
              <w:top w:val="single" w:color="auto" w:sz="4" w:space="0"/>
              <w:bottom w:val="single" w:color="auto" w:sz="4" w:space="0"/>
            </w:tcBorders>
            <w:vAlign w:val="center"/>
          </w:tcPr>
          <w:p>
            <w:pPr>
              <w:ind w:firstLine="592"/>
              <w:jc w:val="center"/>
              <w:rPr>
                <w:rFonts w:ascii="宋体" w:hAnsi="宋体" w:cs="宋体"/>
                <w:szCs w:val="21"/>
              </w:rPr>
            </w:pPr>
          </w:p>
        </w:tc>
        <w:tc>
          <w:tcPr>
            <w:tcW w:w="4800" w:type="dxa"/>
            <w:tcBorders>
              <w:top w:val="single" w:color="auto" w:sz="4" w:space="0"/>
              <w:bottom w:val="single" w:color="auto" w:sz="4" w:space="0"/>
              <w:right w:val="single" w:color="auto" w:sz="4" w:space="0"/>
            </w:tcBorders>
            <w:vAlign w:val="center"/>
          </w:tcPr>
          <w:p>
            <w:pPr>
              <w:ind w:firstLine="59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5</w:t>
            </w:r>
          </w:p>
        </w:tc>
        <w:tc>
          <w:tcPr>
            <w:tcW w:w="2086" w:type="dxa"/>
            <w:tcBorders>
              <w:top w:val="single" w:color="auto" w:sz="4" w:space="0"/>
              <w:bottom w:val="single" w:color="auto" w:sz="4" w:space="0"/>
            </w:tcBorders>
            <w:vAlign w:val="center"/>
          </w:tcPr>
          <w:p>
            <w:pPr>
              <w:jc w:val="center"/>
              <w:rPr>
                <w:rFonts w:ascii="宋体" w:hAnsi="宋体" w:cs="宋体"/>
                <w:szCs w:val="21"/>
              </w:rPr>
            </w:pPr>
          </w:p>
        </w:tc>
        <w:tc>
          <w:tcPr>
            <w:tcW w:w="1724" w:type="dxa"/>
            <w:tcBorders>
              <w:top w:val="single" w:color="auto" w:sz="4" w:space="0"/>
              <w:bottom w:val="single" w:color="auto" w:sz="4" w:space="0"/>
            </w:tcBorders>
            <w:vAlign w:val="center"/>
          </w:tcPr>
          <w:p>
            <w:pPr>
              <w:ind w:firstLine="592"/>
              <w:jc w:val="center"/>
              <w:rPr>
                <w:rFonts w:ascii="宋体" w:hAnsi="宋体" w:cs="宋体"/>
                <w:szCs w:val="21"/>
              </w:rPr>
            </w:pPr>
          </w:p>
        </w:tc>
        <w:tc>
          <w:tcPr>
            <w:tcW w:w="4800" w:type="dxa"/>
            <w:tcBorders>
              <w:top w:val="single" w:color="auto" w:sz="4" w:space="0"/>
              <w:bottom w:val="single" w:color="auto" w:sz="4" w:space="0"/>
              <w:right w:val="single" w:color="auto" w:sz="4" w:space="0"/>
            </w:tcBorders>
            <w:vAlign w:val="center"/>
          </w:tcPr>
          <w:p>
            <w:pPr>
              <w:ind w:firstLine="59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6</w:t>
            </w:r>
          </w:p>
        </w:tc>
        <w:tc>
          <w:tcPr>
            <w:tcW w:w="2086" w:type="dxa"/>
            <w:tcBorders>
              <w:top w:val="single" w:color="auto" w:sz="4" w:space="0"/>
              <w:bottom w:val="single" w:color="auto" w:sz="4" w:space="0"/>
            </w:tcBorders>
            <w:vAlign w:val="center"/>
          </w:tcPr>
          <w:p>
            <w:pPr>
              <w:jc w:val="center"/>
              <w:rPr>
                <w:rFonts w:ascii="宋体" w:hAnsi="宋体" w:cs="宋体"/>
                <w:szCs w:val="21"/>
              </w:rPr>
            </w:pPr>
          </w:p>
        </w:tc>
        <w:tc>
          <w:tcPr>
            <w:tcW w:w="1724" w:type="dxa"/>
            <w:tcBorders>
              <w:top w:val="single" w:color="auto" w:sz="4" w:space="0"/>
              <w:bottom w:val="single" w:color="auto" w:sz="4" w:space="0"/>
            </w:tcBorders>
            <w:vAlign w:val="center"/>
          </w:tcPr>
          <w:p>
            <w:pPr>
              <w:ind w:firstLine="592"/>
              <w:jc w:val="center"/>
              <w:rPr>
                <w:rFonts w:ascii="宋体" w:hAnsi="宋体" w:cs="宋体"/>
                <w:szCs w:val="21"/>
              </w:rPr>
            </w:pPr>
          </w:p>
        </w:tc>
        <w:tc>
          <w:tcPr>
            <w:tcW w:w="4800" w:type="dxa"/>
            <w:tcBorders>
              <w:top w:val="single" w:color="auto" w:sz="4" w:space="0"/>
              <w:bottom w:val="single" w:color="auto" w:sz="4" w:space="0"/>
              <w:right w:val="single" w:color="auto" w:sz="4" w:space="0"/>
            </w:tcBorders>
            <w:vAlign w:val="center"/>
          </w:tcPr>
          <w:p>
            <w:pPr>
              <w:ind w:firstLine="59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7</w:t>
            </w:r>
          </w:p>
        </w:tc>
        <w:tc>
          <w:tcPr>
            <w:tcW w:w="2086" w:type="dxa"/>
            <w:tcBorders>
              <w:top w:val="single" w:color="auto" w:sz="4" w:space="0"/>
              <w:bottom w:val="single" w:color="auto" w:sz="4" w:space="0"/>
            </w:tcBorders>
            <w:vAlign w:val="center"/>
          </w:tcPr>
          <w:p>
            <w:pPr>
              <w:jc w:val="center"/>
              <w:rPr>
                <w:rFonts w:ascii="宋体" w:hAnsi="宋体" w:cs="宋体"/>
                <w:szCs w:val="21"/>
              </w:rPr>
            </w:pPr>
          </w:p>
        </w:tc>
        <w:tc>
          <w:tcPr>
            <w:tcW w:w="1724" w:type="dxa"/>
            <w:tcBorders>
              <w:top w:val="single" w:color="auto" w:sz="4" w:space="0"/>
              <w:bottom w:val="single" w:color="auto" w:sz="4" w:space="0"/>
            </w:tcBorders>
            <w:vAlign w:val="center"/>
          </w:tcPr>
          <w:p>
            <w:pPr>
              <w:ind w:firstLine="592"/>
              <w:jc w:val="center"/>
              <w:rPr>
                <w:rFonts w:ascii="宋体" w:hAnsi="宋体" w:cs="宋体"/>
                <w:szCs w:val="21"/>
              </w:rPr>
            </w:pPr>
          </w:p>
        </w:tc>
        <w:tc>
          <w:tcPr>
            <w:tcW w:w="4800" w:type="dxa"/>
            <w:tcBorders>
              <w:top w:val="single" w:color="auto" w:sz="4" w:space="0"/>
              <w:bottom w:val="single" w:color="auto" w:sz="4" w:space="0"/>
              <w:right w:val="single" w:color="auto" w:sz="4" w:space="0"/>
            </w:tcBorders>
            <w:vAlign w:val="center"/>
          </w:tcPr>
          <w:p>
            <w:pPr>
              <w:ind w:firstLine="59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8</w:t>
            </w:r>
          </w:p>
        </w:tc>
        <w:tc>
          <w:tcPr>
            <w:tcW w:w="2086" w:type="dxa"/>
            <w:tcBorders>
              <w:top w:val="single" w:color="auto" w:sz="4" w:space="0"/>
              <w:bottom w:val="single" w:color="auto" w:sz="4" w:space="0"/>
            </w:tcBorders>
            <w:vAlign w:val="center"/>
          </w:tcPr>
          <w:p>
            <w:pPr>
              <w:jc w:val="center"/>
              <w:rPr>
                <w:rFonts w:ascii="宋体" w:hAnsi="宋体" w:cs="宋体"/>
                <w:szCs w:val="21"/>
              </w:rPr>
            </w:pPr>
          </w:p>
        </w:tc>
        <w:tc>
          <w:tcPr>
            <w:tcW w:w="1724" w:type="dxa"/>
            <w:tcBorders>
              <w:top w:val="single" w:color="auto" w:sz="4" w:space="0"/>
              <w:bottom w:val="single" w:color="auto" w:sz="4" w:space="0"/>
            </w:tcBorders>
            <w:vAlign w:val="center"/>
          </w:tcPr>
          <w:p>
            <w:pPr>
              <w:ind w:firstLine="592"/>
              <w:jc w:val="center"/>
              <w:rPr>
                <w:rFonts w:ascii="宋体" w:hAnsi="宋体" w:cs="宋体"/>
                <w:szCs w:val="21"/>
              </w:rPr>
            </w:pPr>
          </w:p>
        </w:tc>
        <w:tc>
          <w:tcPr>
            <w:tcW w:w="4800" w:type="dxa"/>
            <w:tcBorders>
              <w:top w:val="single" w:color="auto" w:sz="4" w:space="0"/>
              <w:bottom w:val="single" w:color="auto" w:sz="4" w:space="0"/>
              <w:right w:val="single" w:color="auto" w:sz="4" w:space="0"/>
            </w:tcBorders>
            <w:vAlign w:val="center"/>
          </w:tcPr>
          <w:p>
            <w:pPr>
              <w:ind w:firstLine="59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9</w:t>
            </w:r>
          </w:p>
        </w:tc>
        <w:tc>
          <w:tcPr>
            <w:tcW w:w="2086" w:type="dxa"/>
            <w:tcBorders>
              <w:top w:val="single" w:color="auto" w:sz="4" w:space="0"/>
              <w:bottom w:val="single" w:color="auto" w:sz="4" w:space="0"/>
            </w:tcBorders>
            <w:vAlign w:val="center"/>
          </w:tcPr>
          <w:p>
            <w:pPr>
              <w:jc w:val="center"/>
              <w:rPr>
                <w:rFonts w:ascii="宋体" w:hAnsi="宋体" w:cs="宋体"/>
                <w:szCs w:val="21"/>
              </w:rPr>
            </w:pPr>
          </w:p>
        </w:tc>
        <w:tc>
          <w:tcPr>
            <w:tcW w:w="1724" w:type="dxa"/>
            <w:tcBorders>
              <w:top w:val="single" w:color="auto" w:sz="4" w:space="0"/>
              <w:bottom w:val="single" w:color="auto" w:sz="4" w:space="0"/>
            </w:tcBorders>
            <w:vAlign w:val="center"/>
          </w:tcPr>
          <w:p>
            <w:pPr>
              <w:ind w:firstLine="592"/>
              <w:jc w:val="center"/>
              <w:rPr>
                <w:rFonts w:ascii="宋体" w:hAnsi="宋体" w:cs="宋体"/>
                <w:szCs w:val="21"/>
              </w:rPr>
            </w:pPr>
          </w:p>
        </w:tc>
        <w:tc>
          <w:tcPr>
            <w:tcW w:w="4800" w:type="dxa"/>
            <w:tcBorders>
              <w:top w:val="single" w:color="auto" w:sz="4" w:space="0"/>
              <w:bottom w:val="single" w:color="auto" w:sz="4" w:space="0"/>
              <w:right w:val="single" w:color="auto" w:sz="4" w:space="0"/>
            </w:tcBorders>
            <w:vAlign w:val="center"/>
          </w:tcPr>
          <w:p>
            <w:pPr>
              <w:ind w:firstLine="59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10</w:t>
            </w:r>
          </w:p>
        </w:tc>
        <w:tc>
          <w:tcPr>
            <w:tcW w:w="2086" w:type="dxa"/>
            <w:tcBorders>
              <w:top w:val="single" w:color="auto" w:sz="4" w:space="0"/>
              <w:bottom w:val="single" w:color="auto" w:sz="4" w:space="0"/>
            </w:tcBorders>
            <w:vAlign w:val="center"/>
          </w:tcPr>
          <w:p>
            <w:pPr>
              <w:jc w:val="center"/>
              <w:rPr>
                <w:rFonts w:ascii="宋体" w:hAnsi="宋体" w:cs="宋体"/>
                <w:szCs w:val="21"/>
              </w:rPr>
            </w:pPr>
          </w:p>
        </w:tc>
        <w:tc>
          <w:tcPr>
            <w:tcW w:w="1724" w:type="dxa"/>
            <w:tcBorders>
              <w:top w:val="single" w:color="auto" w:sz="4" w:space="0"/>
              <w:bottom w:val="single" w:color="auto" w:sz="4" w:space="0"/>
            </w:tcBorders>
            <w:vAlign w:val="center"/>
          </w:tcPr>
          <w:p>
            <w:pPr>
              <w:ind w:firstLine="592"/>
              <w:jc w:val="center"/>
              <w:rPr>
                <w:rFonts w:ascii="宋体" w:hAnsi="宋体" w:cs="宋体"/>
                <w:szCs w:val="21"/>
              </w:rPr>
            </w:pPr>
          </w:p>
        </w:tc>
        <w:tc>
          <w:tcPr>
            <w:tcW w:w="4800" w:type="dxa"/>
            <w:tcBorders>
              <w:top w:val="single" w:color="auto" w:sz="4" w:space="0"/>
              <w:bottom w:val="single" w:color="auto" w:sz="4" w:space="0"/>
              <w:right w:val="single" w:color="auto" w:sz="4" w:space="0"/>
            </w:tcBorders>
            <w:vAlign w:val="center"/>
          </w:tcPr>
          <w:p>
            <w:pPr>
              <w:ind w:firstLine="59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8" w:type="dxa"/>
            <w:tcBorders>
              <w:top w:val="single" w:color="auto" w:sz="4" w:space="0"/>
              <w:left w:val="single" w:color="auto" w:sz="4" w:space="0"/>
              <w:bottom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11</w:t>
            </w:r>
          </w:p>
        </w:tc>
        <w:tc>
          <w:tcPr>
            <w:tcW w:w="2086" w:type="dxa"/>
            <w:tcBorders>
              <w:top w:val="single" w:color="auto" w:sz="4" w:space="0"/>
              <w:bottom w:val="single" w:color="auto" w:sz="4" w:space="0"/>
            </w:tcBorders>
            <w:vAlign w:val="center"/>
          </w:tcPr>
          <w:p>
            <w:pPr>
              <w:jc w:val="center"/>
              <w:rPr>
                <w:rFonts w:ascii="宋体" w:hAnsi="宋体" w:cs="宋体"/>
                <w:szCs w:val="21"/>
              </w:rPr>
            </w:pPr>
          </w:p>
        </w:tc>
        <w:tc>
          <w:tcPr>
            <w:tcW w:w="1724" w:type="dxa"/>
            <w:tcBorders>
              <w:top w:val="single" w:color="auto" w:sz="4" w:space="0"/>
              <w:bottom w:val="single" w:color="auto" w:sz="4" w:space="0"/>
            </w:tcBorders>
            <w:vAlign w:val="center"/>
          </w:tcPr>
          <w:p>
            <w:pPr>
              <w:ind w:firstLine="592"/>
              <w:jc w:val="center"/>
              <w:rPr>
                <w:rFonts w:ascii="宋体" w:hAnsi="宋体" w:cs="宋体"/>
                <w:szCs w:val="21"/>
              </w:rPr>
            </w:pPr>
          </w:p>
        </w:tc>
        <w:tc>
          <w:tcPr>
            <w:tcW w:w="4800" w:type="dxa"/>
            <w:tcBorders>
              <w:top w:val="single" w:color="auto" w:sz="4" w:space="0"/>
              <w:bottom w:val="single" w:color="auto" w:sz="4" w:space="0"/>
              <w:right w:val="single" w:color="auto" w:sz="4" w:space="0"/>
            </w:tcBorders>
            <w:vAlign w:val="center"/>
          </w:tcPr>
          <w:p>
            <w:pPr>
              <w:ind w:firstLine="592"/>
              <w:jc w:val="center"/>
              <w:rPr>
                <w:rFonts w:ascii="宋体" w:hAnsi="宋体" w:cs="宋体"/>
                <w:szCs w:val="21"/>
              </w:rPr>
            </w:pPr>
          </w:p>
        </w:tc>
      </w:tr>
    </w:tbl>
    <w:p>
      <w:pPr>
        <w:widowControl w:val="0"/>
        <w:spacing w:line="360" w:lineRule="auto"/>
        <w:jc w:val="both"/>
        <w:rPr>
          <w:rFonts w:ascii="宋体" w:hAnsi="宋体" w:cs="宋体"/>
          <w:szCs w:val="21"/>
        </w:rPr>
      </w:pPr>
      <w:r>
        <w:rPr>
          <w:rFonts w:hint="eastAsia" w:ascii="宋体" w:hAnsi="宋体" w:cs="宋体"/>
          <w:szCs w:val="21"/>
        </w:rPr>
        <w:t>此表仅提供了表格形式，投标人应根据需要准备足够数量的表格来填写。</w:t>
      </w:r>
    </w:p>
    <w:p>
      <w:pPr>
        <w:numPr>
          <w:ilvl w:val="0"/>
          <w:numId w:val="11"/>
        </w:numPr>
        <w:spacing w:line="360" w:lineRule="exact"/>
        <w:rPr>
          <w:rFonts w:ascii="Arial" w:hAnsi="Arial" w:cs="Arial"/>
        </w:rPr>
      </w:pPr>
      <w:r>
        <w:rPr>
          <w:rFonts w:hint="eastAsia" w:ascii="宋体" w:hAnsi="宋体" w:cs="宋体"/>
          <w:b/>
          <w:bCs/>
          <w:szCs w:val="21"/>
        </w:rPr>
        <w:t>本表必须提供</w:t>
      </w:r>
      <w:r>
        <w:rPr>
          <w:rFonts w:hint="eastAsia" w:ascii="宋体" w:hAnsi="宋体" w:cs="宋体"/>
          <w:szCs w:val="21"/>
        </w:rPr>
        <w:t>。</w:t>
      </w:r>
      <w:r>
        <w:rPr>
          <w:rFonts w:hint="eastAsia" w:ascii="Arial" w:hAnsi="Arial" w:cs="Arial"/>
        </w:rPr>
        <w:t>（按照投标产品实际参数详细填写，照抄招标文件或不如实填写，评标委员会有可能做出不利于投标人的评定）。</w:t>
      </w:r>
    </w:p>
    <w:p>
      <w:pPr>
        <w:numPr>
          <w:ilvl w:val="0"/>
          <w:numId w:val="11"/>
        </w:numPr>
        <w:spacing w:line="360" w:lineRule="exact"/>
        <w:rPr>
          <w:rFonts w:ascii="Arial" w:hAnsi="Arial" w:cs="Arial"/>
        </w:rPr>
      </w:pPr>
      <w:r>
        <w:rPr>
          <w:rFonts w:hint="eastAsia" w:ascii="宋体" w:hAnsi="宋体" w:cs="宋体"/>
          <w:b/>
          <w:szCs w:val="21"/>
        </w:rPr>
        <w:t>盖章部分采用CA签章。</w:t>
      </w:r>
    </w:p>
    <w:p>
      <w:pPr>
        <w:widowControl w:val="0"/>
        <w:spacing w:line="360" w:lineRule="auto"/>
        <w:jc w:val="both"/>
        <w:rPr>
          <w:rFonts w:ascii="宋体" w:hAnsi="宋体" w:cs="宋体"/>
          <w:szCs w:val="21"/>
        </w:rPr>
      </w:pPr>
    </w:p>
    <w:p>
      <w:pPr>
        <w:widowControl w:val="0"/>
        <w:spacing w:line="360" w:lineRule="auto"/>
        <w:jc w:val="both"/>
        <w:rPr>
          <w:rFonts w:ascii="宋体" w:hAnsi="宋体" w:cs="宋体"/>
          <w:szCs w:val="21"/>
        </w:rPr>
      </w:pPr>
    </w:p>
    <w:p>
      <w:pPr>
        <w:spacing w:line="480" w:lineRule="auto"/>
        <w:ind w:left="4676" w:leftChars="2227"/>
        <w:rPr>
          <w:rFonts w:ascii="宋体" w:hAnsi="宋体" w:cs="宋体"/>
          <w:szCs w:val="21"/>
        </w:rPr>
      </w:pPr>
      <w:r>
        <w:rPr>
          <w:rFonts w:hint="eastAsia" w:ascii="宋体" w:hAnsi="宋体" w:cs="宋体"/>
          <w:szCs w:val="21"/>
        </w:rPr>
        <w:t>投标人（公章）：</w:t>
      </w:r>
    </w:p>
    <w:p>
      <w:pPr>
        <w:spacing w:line="480" w:lineRule="auto"/>
        <w:ind w:left="4676" w:leftChars="2227"/>
        <w:rPr>
          <w:rFonts w:ascii="宋体" w:hAnsi="宋体" w:cs="宋体"/>
          <w:szCs w:val="21"/>
        </w:rPr>
      </w:pPr>
      <w:r>
        <w:rPr>
          <w:rFonts w:hint="eastAsia" w:ascii="宋体" w:hAnsi="宋体" w:cs="宋体"/>
          <w:szCs w:val="21"/>
        </w:rPr>
        <w:t>日期：</w:t>
      </w:r>
    </w:p>
    <w:p>
      <w:pPr>
        <w:spacing w:line="480" w:lineRule="auto"/>
        <w:ind w:left="4676" w:leftChars="2227"/>
        <w:rPr>
          <w:rFonts w:ascii="宋体" w:hAnsi="宋体" w:cs="宋体"/>
          <w:szCs w:val="21"/>
        </w:rPr>
      </w:pPr>
    </w:p>
    <w:p>
      <w:pPr>
        <w:pStyle w:val="6"/>
        <w:pageBreakBefore/>
        <w:spacing w:beforeLines="25" w:after="0" w:line="360" w:lineRule="auto"/>
        <w:jc w:val="center"/>
      </w:pPr>
      <w:bookmarkStart w:id="57" w:name="_Toc8764"/>
      <w:bookmarkStart w:id="58" w:name="_Toc319335516"/>
      <w:bookmarkStart w:id="59" w:name="_Toc215563780"/>
      <w:r>
        <w:rPr>
          <w:rFonts w:hint="eastAsia"/>
        </w:rPr>
        <w:t>附件六建议与少量偏离表</w:t>
      </w:r>
      <w:bookmarkEnd w:id="57"/>
    </w:p>
    <w:p/>
    <w:tbl>
      <w:tblPr>
        <w:tblStyle w:val="37"/>
        <w:tblW w:w="9474"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4234"/>
        <w:gridCol w:w="42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05"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序号</w:t>
            </w:r>
          </w:p>
        </w:tc>
        <w:tc>
          <w:tcPr>
            <w:tcW w:w="4234"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招标文件重述</w:t>
            </w:r>
          </w:p>
        </w:tc>
        <w:tc>
          <w:tcPr>
            <w:tcW w:w="4235"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投标人偏离情况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29" w:hRule="atLeast"/>
        </w:trPr>
        <w:tc>
          <w:tcPr>
            <w:tcW w:w="1005" w:type="dxa"/>
            <w:tcBorders>
              <w:top w:val="single" w:color="auto" w:sz="12" w:space="0"/>
            </w:tcBorders>
          </w:tcPr>
          <w:p>
            <w:pPr>
              <w:ind w:firstLine="592"/>
              <w:rPr>
                <w:rFonts w:ascii="宋体" w:hAnsi="宋体" w:cs="宋体"/>
                <w:szCs w:val="21"/>
              </w:rPr>
            </w:pPr>
          </w:p>
        </w:tc>
        <w:tc>
          <w:tcPr>
            <w:tcW w:w="4234" w:type="dxa"/>
            <w:tcBorders>
              <w:top w:val="single" w:color="auto" w:sz="12" w:space="0"/>
            </w:tcBorders>
          </w:tcPr>
          <w:p>
            <w:pPr>
              <w:ind w:firstLine="592"/>
              <w:rPr>
                <w:rFonts w:ascii="宋体" w:hAnsi="宋体" w:cs="宋体"/>
                <w:szCs w:val="21"/>
              </w:rPr>
            </w:pPr>
          </w:p>
        </w:tc>
        <w:tc>
          <w:tcPr>
            <w:tcW w:w="4235" w:type="dxa"/>
            <w:tcBorders>
              <w:top w:val="single" w:color="auto" w:sz="12" w:space="0"/>
            </w:tcBorders>
          </w:tcPr>
          <w:p>
            <w:pPr>
              <w:ind w:firstLine="592"/>
              <w:rPr>
                <w:rFonts w:ascii="宋体" w:hAnsi="宋体" w:cs="宋体"/>
                <w:szCs w:val="21"/>
              </w:rPr>
            </w:pPr>
          </w:p>
        </w:tc>
      </w:tr>
    </w:tbl>
    <w:p>
      <w:pPr>
        <w:rPr>
          <w:rFonts w:ascii="宋体" w:hAnsi="宋体" w:cs="宋体"/>
          <w:szCs w:val="21"/>
        </w:rPr>
      </w:pPr>
    </w:p>
    <w:p>
      <w:pPr>
        <w:numPr>
          <w:ilvl w:val="0"/>
          <w:numId w:val="11"/>
        </w:numPr>
        <w:tabs>
          <w:tab w:val="left" w:pos="420"/>
          <w:tab w:val="clear" w:pos="525"/>
        </w:tabs>
        <w:spacing w:line="360" w:lineRule="exact"/>
        <w:ind w:left="420"/>
        <w:rPr>
          <w:rFonts w:ascii="Arial" w:hAnsi="Arial"/>
        </w:rPr>
      </w:pPr>
      <w:r>
        <w:rPr>
          <w:rFonts w:hint="eastAsia" w:ascii="宋体" w:hAnsi="宋体"/>
          <w:b/>
        </w:rPr>
        <w:t>如无偏离，应填写无偏离字样。</w:t>
      </w:r>
    </w:p>
    <w:p>
      <w:pPr>
        <w:numPr>
          <w:ilvl w:val="0"/>
          <w:numId w:val="11"/>
        </w:numPr>
        <w:tabs>
          <w:tab w:val="left" w:pos="420"/>
          <w:tab w:val="clear" w:pos="525"/>
        </w:tabs>
        <w:spacing w:line="360" w:lineRule="exact"/>
        <w:ind w:left="420"/>
        <w:rPr>
          <w:rFonts w:ascii="Arial" w:hAnsi="Arial"/>
        </w:rPr>
      </w:pPr>
      <w:r>
        <w:rPr>
          <w:rFonts w:hint="eastAsia" w:ascii="宋体" w:hAnsi="宋体" w:cs="宋体"/>
          <w:b/>
          <w:szCs w:val="21"/>
        </w:rPr>
        <w:t>盖章部分采用CA签章。</w:t>
      </w:r>
    </w:p>
    <w:p>
      <w:pPr>
        <w:spacing w:beforeLines="200" w:line="480" w:lineRule="auto"/>
        <w:ind w:right="420"/>
        <w:rPr>
          <w:rFonts w:ascii="Arial" w:hAnsi="Arial"/>
        </w:rPr>
      </w:pPr>
      <w:r>
        <w:rPr>
          <w:rFonts w:hint="eastAsia" w:ascii="Arial" w:hAnsi="Arial"/>
        </w:rPr>
        <w:t>投标人（公章）：</w:t>
      </w:r>
    </w:p>
    <w:p>
      <w:pPr>
        <w:spacing w:beforeLines="50" w:afterLines="50" w:line="360" w:lineRule="auto"/>
        <w:ind w:right="-21" w:rightChars="-10"/>
        <w:rPr>
          <w:rFonts w:ascii="Arial" w:hAnsi="Arial"/>
        </w:rPr>
      </w:pPr>
      <w:r>
        <w:rPr>
          <w:rFonts w:hint="eastAsia"/>
        </w:rPr>
        <w:t>日期：</w:t>
      </w:r>
    </w:p>
    <w:bookmarkEnd w:id="58"/>
    <w:bookmarkEnd w:id="59"/>
    <w:p>
      <w:pPr>
        <w:spacing w:line="480" w:lineRule="auto"/>
        <w:ind w:left="4676" w:leftChars="2227"/>
        <w:rPr>
          <w:rFonts w:ascii="宋体" w:hAnsi="宋体" w:cs="宋体"/>
          <w:szCs w:val="21"/>
        </w:rPr>
      </w:pPr>
    </w:p>
    <w:p>
      <w:pPr>
        <w:spacing w:line="480" w:lineRule="auto"/>
        <w:rPr>
          <w:rFonts w:ascii="宋体" w:hAnsi="宋体" w:cs="宋体"/>
          <w:szCs w:val="21"/>
        </w:rPr>
      </w:pPr>
    </w:p>
    <w:p>
      <w:pPr>
        <w:pStyle w:val="6"/>
        <w:pageBreakBefore/>
        <w:jc w:val="center"/>
        <w:rPr>
          <w:sz w:val="28"/>
          <w:szCs w:val="28"/>
        </w:rPr>
      </w:pPr>
      <w:bookmarkStart w:id="60" w:name="_Toc6948"/>
      <w:r>
        <w:rPr>
          <w:rFonts w:hint="eastAsia"/>
          <w:sz w:val="28"/>
          <w:szCs w:val="28"/>
        </w:rPr>
        <w:t>附件七证明文件</w:t>
      </w:r>
      <w:bookmarkEnd w:id="60"/>
    </w:p>
    <w:p>
      <w:pPr>
        <w:spacing w:afterLines="100"/>
        <w:jc w:val="center"/>
        <w:outlineLvl w:val="3"/>
        <w:rPr>
          <w:b/>
          <w:bCs/>
          <w:sz w:val="30"/>
        </w:rPr>
      </w:pPr>
    </w:p>
    <w:p>
      <w:pPr>
        <w:spacing w:line="400" w:lineRule="exact"/>
        <w:ind w:firstLine="420" w:firstLineChars="200"/>
        <w:rPr>
          <w:rFonts w:ascii="宋体" w:hAnsi="宋体" w:cs="宋体"/>
          <w:b/>
          <w:bCs/>
          <w:szCs w:val="21"/>
        </w:rPr>
      </w:pPr>
      <w:r>
        <w:rPr>
          <w:rFonts w:hint="eastAsia" w:ascii="宋体" w:hAnsi="宋体" w:cs="宋体"/>
          <w:szCs w:val="21"/>
        </w:rPr>
        <w:t>包括：人员、企业的相关资质证书。</w:t>
      </w:r>
    </w:p>
    <w:p>
      <w:pPr>
        <w:pStyle w:val="3"/>
        <w:rPr>
          <w:rFonts w:ascii="宋体" w:hAnsi="宋体" w:eastAsia="宋体" w:cs="宋体"/>
          <w:b/>
          <w:sz w:val="21"/>
          <w:szCs w:val="21"/>
        </w:rPr>
      </w:pPr>
      <w:r>
        <w:rPr>
          <w:rFonts w:hint="eastAsia" w:ascii="宋体" w:hAnsi="宋体" w:eastAsia="宋体" w:cs="宋体"/>
          <w:b/>
          <w:sz w:val="21"/>
          <w:szCs w:val="21"/>
        </w:rPr>
        <w:t>注：1.盖章部分均采用CA签章。</w:t>
      </w:r>
    </w:p>
    <w:p>
      <w:pPr>
        <w:pStyle w:val="2"/>
        <w:ind w:firstLine="211"/>
        <w:rPr>
          <w:rFonts w:eastAsia="宋体"/>
        </w:rPr>
      </w:pPr>
      <w:r>
        <w:rPr>
          <w:rFonts w:hint="eastAsia" w:ascii="宋体" w:hAnsi="宋体" w:eastAsia="宋体" w:cs="宋体"/>
          <w:b/>
          <w:szCs w:val="21"/>
        </w:rPr>
        <w:t>2.所提交的投标文件中所有关于投标资格的文件、证明和陈述均是真实的、准确的。与真实情况不符而产生的一切后果由投标人承担。</w:t>
      </w:r>
    </w:p>
    <w:p>
      <w:pPr>
        <w:pStyle w:val="6"/>
        <w:pageBreakBefore/>
        <w:spacing w:beforeLines="25" w:after="0" w:line="360" w:lineRule="auto"/>
        <w:jc w:val="center"/>
      </w:pPr>
      <w:bookmarkStart w:id="61" w:name="_Toc9491"/>
      <w:r>
        <w:rPr>
          <w:rFonts w:hint="eastAsia"/>
        </w:rPr>
        <w:t>附件八开标一览表</w:t>
      </w:r>
      <w:bookmarkEnd w:id="49"/>
      <w:bookmarkEnd w:id="61"/>
    </w:p>
    <w:p>
      <w:pPr>
        <w:autoSpaceDE w:val="0"/>
        <w:autoSpaceDN w:val="0"/>
        <w:adjustRightInd w:val="0"/>
        <w:rPr>
          <w:rFonts w:ascii="仿宋" w:hAnsi="仿宋" w:eastAsia="仿宋" w:cs="仿宋"/>
          <w:sz w:val="22"/>
          <w:u w:val="single"/>
        </w:rPr>
      </w:pPr>
      <w:bookmarkStart w:id="62" w:name="_Toc453571457"/>
      <w:bookmarkStart w:id="63" w:name="_Toc511914546"/>
      <w:bookmarkStart w:id="64" w:name="_Toc508374438"/>
      <w:bookmarkStart w:id="65" w:name="_Toc477786247"/>
      <w:r>
        <w:rPr>
          <w:rFonts w:hint="eastAsia" w:ascii="仿宋" w:hAnsi="仿宋" w:eastAsia="仿宋" w:cs="仿宋"/>
          <w:sz w:val="22"/>
          <w:lang w:val="zh-CN"/>
        </w:rPr>
        <w:t>供应商名称：招标编号：</w:t>
      </w:r>
      <w:r>
        <w:rPr>
          <w:rFonts w:hint="eastAsia" w:ascii="仿宋" w:hAnsi="仿宋" w:eastAsia="仿宋" w:cs="仿宋"/>
          <w:sz w:val="22"/>
        </w:rPr>
        <w:t>价格单位：</w:t>
      </w:r>
      <w:r>
        <w:rPr>
          <w:rFonts w:hint="eastAsia" w:ascii="仿宋" w:hAnsi="仿宋" w:eastAsia="仿宋" w:cs="仿宋"/>
          <w:sz w:val="22"/>
          <w:u w:val="single"/>
        </w:rPr>
        <w:t>元</w:t>
      </w:r>
    </w:p>
    <w:tbl>
      <w:tblPr>
        <w:tblStyle w:val="3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3"/>
        <w:gridCol w:w="4708"/>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3" w:hRule="atLeast"/>
        </w:trPr>
        <w:tc>
          <w:tcPr>
            <w:tcW w:w="2663" w:type="dxa"/>
            <w:vAlign w:val="center"/>
          </w:tcPr>
          <w:p>
            <w:pPr>
              <w:pStyle w:val="21"/>
              <w:spacing w:before="156" w:after="156"/>
              <w:jc w:val="center"/>
              <w:rPr>
                <w:rFonts w:ascii="仿宋" w:hAnsi="仿宋" w:eastAsia="仿宋" w:cs="仿宋"/>
                <w:sz w:val="22"/>
                <w:szCs w:val="22"/>
              </w:rPr>
            </w:pPr>
            <w:r>
              <w:rPr>
                <w:rFonts w:hint="eastAsia" w:ascii="仿宋" w:hAnsi="仿宋" w:eastAsia="仿宋" w:cs="仿宋"/>
                <w:sz w:val="22"/>
                <w:szCs w:val="22"/>
              </w:rPr>
              <w:t>项目名称</w:t>
            </w:r>
          </w:p>
        </w:tc>
        <w:tc>
          <w:tcPr>
            <w:tcW w:w="4708" w:type="dxa"/>
            <w:vAlign w:val="center"/>
          </w:tcPr>
          <w:p>
            <w:pPr>
              <w:pStyle w:val="21"/>
              <w:snapToGrid w:val="0"/>
              <w:spacing w:before="156" w:after="156" w:line="460" w:lineRule="atLeast"/>
              <w:jc w:val="center"/>
              <w:rPr>
                <w:rFonts w:ascii="仿宋" w:hAnsi="仿宋" w:eastAsia="仿宋" w:cs="仿宋"/>
                <w:sz w:val="22"/>
                <w:szCs w:val="22"/>
              </w:rPr>
            </w:pPr>
            <w:r>
              <w:rPr>
                <w:rFonts w:hint="eastAsia" w:ascii="仿宋" w:hAnsi="仿宋" w:eastAsia="仿宋" w:cs="仿宋"/>
                <w:sz w:val="22"/>
                <w:szCs w:val="22"/>
              </w:rPr>
              <w:t>投标总价(元)</w:t>
            </w:r>
          </w:p>
        </w:tc>
        <w:tc>
          <w:tcPr>
            <w:tcW w:w="2050" w:type="dxa"/>
            <w:vAlign w:val="center"/>
          </w:tcPr>
          <w:p>
            <w:pPr>
              <w:spacing w:line="380" w:lineRule="exact"/>
              <w:jc w:val="center"/>
              <w:rPr>
                <w:rFonts w:ascii="仿宋" w:hAnsi="仿宋" w:eastAsia="仿宋" w:cs="仿宋"/>
                <w:b/>
                <w:sz w:val="22"/>
              </w:rPr>
            </w:pPr>
            <w:r>
              <w:rPr>
                <w:rFonts w:hint="eastAsia" w:ascii="仿宋" w:hAnsi="仿宋" w:eastAsia="仿宋" w:cs="仿宋"/>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7" w:hRule="atLeast"/>
        </w:trPr>
        <w:tc>
          <w:tcPr>
            <w:tcW w:w="2663" w:type="dxa"/>
            <w:vAlign w:val="center"/>
          </w:tcPr>
          <w:p>
            <w:pPr>
              <w:pStyle w:val="21"/>
              <w:spacing w:before="156" w:after="156"/>
              <w:jc w:val="center"/>
              <w:rPr>
                <w:rFonts w:ascii="仿宋" w:hAnsi="仿宋" w:eastAsia="仿宋" w:cs="仿宋"/>
                <w:sz w:val="22"/>
                <w:szCs w:val="22"/>
              </w:rPr>
            </w:pPr>
            <w:r>
              <w:rPr>
                <w:rFonts w:hint="eastAsia" w:ascii="仿宋" w:hAnsi="仿宋" w:eastAsia="仿宋" w:cs="仿宋"/>
                <w:sz w:val="22"/>
                <w:szCs w:val="22"/>
              </w:rPr>
              <w:t>温州市龙湾区机关事务管理中心保安服务项目（标段</w:t>
            </w:r>
            <w:r>
              <w:rPr>
                <w:rFonts w:hint="eastAsia" w:ascii="仿宋" w:hAnsi="仿宋" w:eastAsia="仿宋" w:cs="仿宋"/>
                <w:sz w:val="22"/>
                <w:szCs w:val="22"/>
                <w:lang w:val="en-US" w:eastAsia="zh-CN"/>
              </w:rPr>
              <w:t xml:space="preserve"> </w:t>
            </w:r>
            <w:r>
              <w:rPr>
                <w:rFonts w:hint="eastAsia" w:ascii="仿宋" w:hAnsi="仿宋" w:eastAsia="仿宋" w:cs="仿宋"/>
                <w:sz w:val="22"/>
                <w:szCs w:val="22"/>
                <w:u w:val="single"/>
                <w:lang w:val="en-US" w:eastAsia="zh-CN"/>
              </w:rPr>
              <w:t xml:space="preserve"> </w:t>
            </w:r>
            <w:r>
              <w:rPr>
                <w:rFonts w:hint="eastAsia" w:ascii="仿宋" w:hAnsi="仿宋" w:eastAsia="仿宋" w:cs="仿宋"/>
                <w:sz w:val="22"/>
                <w:szCs w:val="22"/>
              </w:rPr>
              <w:t>）</w:t>
            </w:r>
          </w:p>
        </w:tc>
        <w:tc>
          <w:tcPr>
            <w:tcW w:w="4708" w:type="dxa"/>
            <w:vAlign w:val="center"/>
          </w:tcPr>
          <w:p>
            <w:pPr>
              <w:pStyle w:val="21"/>
              <w:spacing w:before="156" w:after="156" w:line="460" w:lineRule="atLeast"/>
              <w:rPr>
                <w:rFonts w:ascii="仿宋" w:hAnsi="仿宋" w:eastAsia="仿宋" w:cs="仿宋"/>
                <w:sz w:val="22"/>
                <w:szCs w:val="22"/>
              </w:rPr>
            </w:pPr>
            <w:r>
              <w:rPr>
                <w:rFonts w:hint="eastAsia" w:ascii="仿宋" w:hAnsi="仿宋" w:eastAsia="仿宋" w:cs="仿宋"/>
                <w:sz w:val="22"/>
                <w:szCs w:val="22"/>
              </w:rPr>
              <w:t>大写：</w:t>
            </w:r>
          </w:p>
          <w:p>
            <w:pPr>
              <w:pStyle w:val="21"/>
              <w:spacing w:before="156" w:after="156" w:line="460" w:lineRule="atLeast"/>
              <w:rPr>
                <w:rFonts w:ascii="仿宋" w:hAnsi="仿宋" w:eastAsia="仿宋" w:cs="仿宋"/>
                <w:sz w:val="22"/>
                <w:szCs w:val="22"/>
              </w:rPr>
            </w:pPr>
            <w:r>
              <w:rPr>
                <w:rFonts w:hint="eastAsia" w:ascii="仿宋" w:hAnsi="仿宋" w:eastAsia="仿宋" w:cs="仿宋"/>
                <w:sz w:val="22"/>
                <w:szCs w:val="22"/>
              </w:rPr>
              <w:t>小写：</w:t>
            </w:r>
          </w:p>
        </w:tc>
        <w:tc>
          <w:tcPr>
            <w:tcW w:w="2050" w:type="dxa"/>
            <w:vAlign w:val="center"/>
          </w:tcPr>
          <w:p>
            <w:pPr>
              <w:pStyle w:val="21"/>
              <w:spacing w:before="156" w:after="156"/>
              <w:rPr>
                <w:rFonts w:ascii="仿宋" w:hAnsi="仿宋" w:eastAsia="仿宋" w:cs="仿宋"/>
                <w:sz w:val="22"/>
                <w:szCs w:val="22"/>
              </w:rPr>
            </w:pPr>
          </w:p>
        </w:tc>
      </w:tr>
    </w:tbl>
    <w:p>
      <w:pPr>
        <w:autoSpaceDE w:val="0"/>
        <w:autoSpaceDN w:val="0"/>
        <w:adjustRightInd w:val="0"/>
        <w:spacing w:line="450" w:lineRule="exact"/>
        <w:textAlignment w:val="bottom"/>
        <w:rPr>
          <w:rFonts w:ascii="仿宋" w:hAnsi="仿宋" w:eastAsia="仿宋" w:cs="仿宋"/>
          <w:sz w:val="22"/>
        </w:rPr>
      </w:pPr>
      <w:r>
        <w:rPr>
          <w:rFonts w:hint="eastAsia" w:ascii="仿宋" w:hAnsi="仿宋" w:eastAsia="仿宋" w:cs="仿宋"/>
          <w:sz w:val="22"/>
        </w:rPr>
        <w:t>▲开标一览表中投标价为符合招标文件服务要求的总价，含人员工资福利、各种社会保险、人员食宿与交通、人员培训、专用设备及工具、器材的维修维护、办公费等、利润及应缴纳的税金、不可预见费、咨询服务费等。</w:t>
      </w:r>
    </w:p>
    <w:p>
      <w:pPr>
        <w:pStyle w:val="21"/>
        <w:spacing w:before="156" w:after="156" w:line="460" w:lineRule="atLeast"/>
        <w:rPr>
          <w:rFonts w:ascii="仿宋" w:hAnsi="仿宋" w:eastAsia="仿宋" w:cs="仿宋"/>
          <w:sz w:val="22"/>
        </w:rPr>
      </w:pPr>
      <w:r>
        <w:rPr>
          <w:rFonts w:hint="eastAsia" w:ascii="仿宋" w:hAnsi="仿宋" w:eastAsia="仿宋" w:cs="仿宋"/>
          <w:sz w:val="22"/>
        </w:rPr>
        <w:t>▲不提供此表格的将视为没有实质性响应招标文件。</w:t>
      </w:r>
    </w:p>
    <w:p>
      <w:pPr>
        <w:pStyle w:val="21"/>
        <w:spacing w:before="156" w:after="156" w:line="460" w:lineRule="atLeast"/>
        <w:rPr>
          <w:rFonts w:hAnsi="宋体" w:cs="宋体"/>
          <w:sz w:val="21"/>
          <w:szCs w:val="21"/>
        </w:rPr>
      </w:pPr>
      <w:r>
        <w:rPr>
          <w:rFonts w:hint="eastAsia" w:hAnsi="宋体" w:cs="宋体"/>
          <w:b/>
          <w:bCs/>
          <w:sz w:val="21"/>
          <w:szCs w:val="21"/>
          <w:u w:val="single"/>
        </w:rPr>
        <w:t>▲为防止不平衡报价，本次采购每个服务项的价格按照投标总价的下浮率进行同比例下浮计算。</w:t>
      </w:r>
    </w:p>
    <w:p>
      <w:pPr>
        <w:pStyle w:val="21"/>
        <w:spacing w:before="156" w:after="156" w:line="440" w:lineRule="atLeast"/>
        <w:rPr>
          <w:rFonts w:ascii="仿宋" w:hAnsi="仿宋" w:eastAsia="仿宋" w:cs="仿宋"/>
          <w:sz w:val="22"/>
        </w:rPr>
      </w:pPr>
    </w:p>
    <w:p>
      <w:pPr>
        <w:spacing w:line="360" w:lineRule="exact"/>
        <w:rPr>
          <w:rFonts w:ascii="仿宋" w:hAnsi="仿宋" w:eastAsia="仿宋" w:cs="仿宋"/>
          <w:sz w:val="22"/>
        </w:rPr>
      </w:pPr>
      <w:r>
        <w:rPr>
          <w:rFonts w:hint="eastAsia" w:ascii="仿宋" w:hAnsi="仿宋" w:eastAsia="仿宋" w:cs="仿宋"/>
          <w:sz w:val="22"/>
        </w:rPr>
        <w:t>供应商全称（盖章）：</w:t>
      </w:r>
    </w:p>
    <w:p>
      <w:pPr>
        <w:spacing w:line="360" w:lineRule="exact"/>
        <w:rPr>
          <w:rFonts w:ascii="仿宋" w:hAnsi="仿宋" w:eastAsia="仿宋" w:cs="仿宋"/>
          <w:sz w:val="22"/>
        </w:rPr>
      </w:pPr>
      <w:r>
        <w:rPr>
          <w:rFonts w:hint="eastAsia" w:ascii="仿宋" w:hAnsi="仿宋" w:eastAsia="仿宋" w:cs="仿宋"/>
          <w:sz w:val="22"/>
        </w:rPr>
        <w:t>供应商授权代表（签字）：</w:t>
      </w:r>
    </w:p>
    <w:p>
      <w:pPr>
        <w:spacing w:line="360" w:lineRule="exact"/>
        <w:rPr>
          <w:rFonts w:ascii="仿宋" w:hAnsi="仿宋" w:eastAsia="仿宋" w:cs="仿宋"/>
          <w:sz w:val="22"/>
        </w:rPr>
      </w:pPr>
      <w:r>
        <w:rPr>
          <w:rFonts w:hint="eastAsia" w:ascii="仿宋" w:hAnsi="仿宋" w:eastAsia="仿宋" w:cs="仿宋"/>
          <w:sz w:val="22"/>
        </w:rPr>
        <w:t>日期：</w:t>
      </w:r>
    </w:p>
    <w:p>
      <w:pPr>
        <w:pStyle w:val="19"/>
        <w:ind w:right="-252"/>
      </w:pPr>
    </w:p>
    <w:p>
      <w:pPr>
        <w:pStyle w:val="19"/>
        <w:ind w:right="-252"/>
      </w:pPr>
    </w:p>
    <w:p>
      <w:r>
        <w:rPr>
          <w:rFonts w:hint="eastAsia"/>
        </w:rPr>
        <w:t>投标人（公章）：</w:t>
      </w:r>
    </w:p>
    <w:p>
      <w:pPr>
        <w:pStyle w:val="19"/>
        <w:ind w:right="-252" w:firstLine="5460" w:firstLineChars="2600"/>
      </w:pPr>
      <w:r>
        <w:rPr>
          <w:rFonts w:hint="eastAsia" w:ascii="Calibri" w:hAnsi="Calibri"/>
          <w:sz w:val="21"/>
          <w:szCs w:val="22"/>
        </w:rPr>
        <w:t>日期：</w:t>
      </w:r>
    </w:p>
    <w:bookmarkEnd w:id="62"/>
    <w:p>
      <w:pPr>
        <w:autoSpaceDE w:val="0"/>
        <w:autoSpaceDN w:val="0"/>
        <w:adjustRightInd w:val="0"/>
        <w:spacing w:line="500" w:lineRule="atLeast"/>
        <w:jc w:val="center"/>
        <w:rPr>
          <w:rFonts w:ascii="仿宋" w:hAnsi="仿宋" w:eastAsia="仿宋" w:cs="仿宋"/>
          <w:b/>
          <w:bCs/>
          <w:sz w:val="32"/>
          <w:szCs w:val="32"/>
          <w:lang w:val="zh-CN"/>
        </w:rPr>
        <w:sectPr>
          <w:pgSz w:w="11906" w:h="16838"/>
          <w:pgMar w:top="1440" w:right="1247" w:bottom="1440" w:left="1247" w:header="851" w:footer="992" w:gutter="0"/>
          <w:cols w:space="720" w:num="1"/>
          <w:titlePg/>
          <w:docGrid w:type="linesAndChars" w:linePitch="312" w:charSpace="0"/>
        </w:sectPr>
      </w:pPr>
      <w:bookmarkStart w:id="66" w:name="_Toc8065"/>
    </w:p>
    <w:p>
      <w:pPr>
        <w:pStyle w:val="6"/>
        <w:pageBreakBefore/>
        <w:spacing w:beforeLines="25" w:after="0" w:line="360" w:lineRule="auto"/>
        <w:jc w:val="center"/>
      </w:pPr>
      <w:r>
        <w:rPr>
          <w:rFonts w:hint="eastAsia"/>
        </w:rPr>
        <w:t>附件九</w:t>
      </w:r>
      <w:r>
        <w:t>中小企业声明函</w:t>
      </w:r>
      <w:bookmarkEnd w:id="63"/>
      <w:bookmarkEnd w:id="64"/>
      <w:bookmarkEnd w:id="65"/>
      <w:bookmarkEnd w:id="66"/>
    </w:p>
    <w:p/>
    <w:p/>
    <w:p>
      <w:pPr>
        <w:pStyle w:val="17"/>
        <w:widowControl/>
        <w:spacing w:line="432" w:lineRule="auto"/>
        <w:ind w:left="0" w:leftChars="0" w:firstLine="480" w:firstLineChars="200"/>
        <w:rPr>
          <w:rFonts w:ascii="宋体" w:hAnsi="宋体" w:cs="宋体"/>
          <w:sz w:val="24"/>
          <w:szCs w:val="24"/>
        </w:rPr>
      </w:pPr>
      <w:r>
        <w:rPr>
          <w:rFonts w:ascii="宋体" w:hAnsi="宋体" w:cs="宋体"/>
          <w:sz w:val="24"/>
          <w:szCs w:val="24"/>
        </w:rPr>
        <w:t>本公司（联合体）郑重声明，根据《政府采购促进中小企业发展管理办法》（财库﹝2020﹞46号）的规定，本公司（联合体）参加</w:t>
      </w:r>
      <w:r>
        <w:rPr>
          <w:rFonts w:ascii="宋体" w:hAnsi="宋体" w:cs="宋体"/>
          <w:i/>
          <w:iCs/>
          <w:sz w:val="24"/>
          <w:szCs w:val="24"/>
          <w:u w:val="single"/>
        </w:rPr>
        <w:t>（单位名称）</w:t>
      </w:r>
      <w:r>
        <w:rPr>
          <w:rFonts w:ascii="宋体" w:hAnsi="宋体" w:cs="宋体"/>
          <w:sz w:val="24"/>
          <w:szCs w:val="24"/>
        </w:rPr>
        <w:t>的</w:t>
      </w:r>
      <w:r>
        <w:rPr>
          <w:rFonts w:ascii="宋体" w:hAnsi="宋体" w:cs="宋体"/>
          <w:i/>
          <w:iCs/>
          <w:sz w:val="24"/>
          <w:szCs w:val="24"/>
          <w:u w:val="single"/>
        </w:rPr>
        <w:t>（项目名称）</w:t>
      </w:r>
      <w:r>
        <w:rPr>
          <w:rFonts w:ascii="宋体" w:hAnsi="宋体" w:cs="宋体"/>
          <w:sz w:val="24"/>
          <w:szCs w:val="24"/>
        </w:rPr>
        <w:t>采购活动，提供的货物全部由符合政策要求的中小企业制造。相关企业（含联合体中的中小企业、签订分包意向协议的中小企业）的具体情况如下：</w:t>
      </w:r>
    </w:p>
    <w:p>
      <w:pPr>
        <w:pStyle w:val="17"/>
        <w:widowControl/>
        <w:spacing w:line="432" w:lineRule="auto"/>
        <w:ind w:left="0" w:leftChars="0" w:firstLine="480" w:firstLineChars="200"/>
        <w:rPr>
          <w:rFonts w:ascii="宋体" w:hAnsi="宋体" w:cs="宋体"/>
          <w:sz w:val="24"/>
          <w:szCs w:val="24"/>
        </w:rPr>
      </w:pPr>
      <w:r>
        <w:rPr>
          <w:rFonts w:hint="eastAsia" w:ascii="宋体" w:hAnsi="宋体" w:cs="宋体"/>
          <w:sz w:val="24"/>
          <w:szCs w:val="24"/>
        </w:rPr>
        <w:t>1.</w:t>
      </w:r>
      <w:r>
        <w:rPr>
          <w:rFonts w:ascii="宋体" w:hAnsi="宋体" w:cs="宋体"/>
          <w:i/>
          <w:iCs/>
          <w:sz w:val="24"/>
          <w:szCs w:val="24"/>
          <w:u w:val="single"/>
        </w:rPr>
        <w:t>（标的名称）</w:t>
      </w:r>
      <w:r>
        <w:rPr>
          <w:rFonts w:ascii="宋体" w:hAnsi="宋体" w:cs="宋体"/>
          <w:sz w:val="24"/>
          <w:szCs w:val="24"/>
        </w:rPr>
        <w:t>，属于</w:t>
      </w:r>
      <w:r>
        <w:rPr>
          <w:rFonts w:ascii="宋体" w:hAnsi="宋体" w:cs="宋体"/>
          <w:i/>
          <w:iCs/>
          <w:sz w:val="24"/>
          <w:szCs w:val="24"/>
          <w:u w:val="single"/>
        </w:rPr>
        <w:t>（采购文件中明确的所属行业）</w:t>
      </w:r>
      <w:r>
        <w:rPr>
          <w:rFonts w:ascii="宋体" w:hAnsi="宋体" w:cs="宋体"/>
          <w:sz w:val="24"/>
          <w:szCs w:val="24"/>
        </w:rPr>
        <w:t>行业；制造商为</w:t>
      </w:r>
      <w:r>
        <w:rPr>
          <w:rFonts w:ascii="宋体" w:hAnsi="宋体" w:cs="宋体"/>
          <w:i/>
          <w:iCs/>
          <w:sz w:val="24"/>
          <w:szCs w:val="24"/>
          <w:u w:val="single"/>
        </w:rPr>
        <w:t>（企业名称）</w:t>
      </w:r>
      <w:r>
        <w:rPr>
          <w:rFonts w:ascii="宋体" w:hAnsi="宋体" w:cs="宋体"/>
          <w:sz w:val="24"/>
          <w:szCs w:val="24"/>
        </w:rPr>
        <w:t>，从业人员人，营业收入为万元，资产总额为万元</w:t>
      </w:r>
      <w:r>
        <w:rPr>
          <w:rFonts w:ascii="宋体" w:hAnsi="宋体" w:cs="宋体"/>
          <w:sz w:val="24"/>
          <w:szCs w:val="24"/>
          <w:vertAlign w:val="superscript"/>
        </w:rPr>
        <w:t>1</w:t>
      </w:r>
      <w:r>
        <w:rPr>
          <w:rFonts w:ascii="宋体" w:hAnsi="宋体" w:cs="宋体"/>
          <w:sz w:val="24"/>
          <w:szCs w:val="24"/>
        </w:rPr>
        <w:t>，属于</w:t>
      </w:r>
      <w:r>
        <w:rPr>
          <w:rFonts w:ascii="宋体" w:hAnsi="宋体" w:cs="宋体"/>
          <w:i/>
          <w:iCs/>
          <w:sz w:val="24"/>
          <w:szCs w:val="24"/>
          <w:u w:val="single"/>
        </w:rPr>
        <w:t>（中型企业、小型企业、微型企业</w:t>
      </w:r>
      <w:r>
        <w:rPr>
          <w:rFonts w:ascii="宋体" w:hAnsi="宋体" w:cs="宋体"/>
          <w:sz w:val="24"/>
          <w:szCs w:val="24"/>
        </w:rPr>
        <w:t>）；</w:t>
      </w:r>
    </w:p>
    <w:p>
      <w:pPr>
        <w:pStyle w:val="17"/>
        <w:widowControl/>
        <w:spacing w:line="432" w:lineRule="auto"/>
        <w:ind w:left="0" w:leftChars="0" w:firstLine="480" w:firstLineChars="200"/>
        <w:rPr>
          <w:sz w:val="24"/>
          <w:szCs w:val="24"/>
        </w:rPr>
      </w:pPr>
      <w:r>
        <w:rPr>
          <w:rFonts w:hint="eastAsia" w:ascii="宋体" w:hAnsi="宋体" w:cs="宋体"/>
          <w:sz w:val="24"/>
          <w:szCs w:val="24"/>
        </w:rPr>
        <w:t>2.</w:t>
      </w:r>
      <w:r>
        <w:rPr>
          <w:rFonts w:ascii="宋体" w:hAnsi="宋体" w:cs="宋体"/>
          <w:i/>
          <w:iCs/>
          <w:sz w:val="24"/>
          <w:szCs w:val="24"/>
          <w:u w:val="single"/>
        </w:rPr>
        <w:t>（标的名称）</w:t>
      </w:r>
      <w:r>
        <w:rPr>
          <w:rFonts w:ascii="宋体" w:hAnsi="宋体" w:cs="宋体"/>
          <w:sz w:val="24"/>
          <w:szCs w:val="24"/>
        </w:rPr>
        <w:t>，属于</w:t>
      </w:r>
      <w:r>
        <w:rPr>
          <w:rFonts w:ascii="宋体" w:hAnsi="宋体" w:cs="宋体"/>
          <w:i/>
          <w:iCs/>
          <w:sz w:val="24"/>
          <w:szCs w:val="24"/>
          <w:u w:val="single"/>
        </w:rPr>
        <w:t>（采购文件中明确的所属行业）</w:t>
      </w:r>
      <w:r>
        <w:rPr>
          <w:rFonts w:ascii="宋体" w:hAnsi="宋体" w:cs="宋体"/>
          <w:sz w:val="24"/>
          <w:szCs w:val="24"/>
        </w:rPr>
        <w:t>行业；制造商为</w:t>
      </w:r>
      <w:r>
        <w:rPr>
          <w:rFonts w:ascii="宋体" w:hAnsi="宋体" w:cs="宋体"/>
          <w:i/>
          <w:iCs/>
          <w:sz w:val="24"/>
          <w:szCs w:val="24"/>
          <w:u w:val="single"/>
        </w:rPr>
        <w:t>（企业名称）</w:t>
      </w:r>
      <w:r>
        <w:rPr>
          <w:rFonts w:ascii="宋体" w:hAnsi="宋体" w:cs="宋体"/>
          <w:sz w:val="24"/>
          <w:szCs w:val="24"/>
        </w:rPr>
        <w:t>，从业人员人，营业收入为万元，资产总额为万元</w:t>
      </w:r>
      <w:r>
        <w:rPr>
          <w:rFonts w:ascii="宋体" w:hAnsi="宋体" w:cs="宋体"/>
          <w:sz w:val="24"/>
          <w:szCs w:val="24"/>
          <w:vertAlign w:val="superscript"/>
        </w:rPr>
        <w:t>1</w:t>
      </w:r>
      <w:r>
        <w:rPr>
          <w:rFonts w:ascii="宋体" w:hAnsi="宋体" w:cs="宋体"/>
          <w:sz w:val="24"/>
          <w:szCs w:val="24"/>
        </w:rPr>
        <w:t>，属于</w:t>
      </w:r>
      <w:r>
        <w:rPr>
          <w:rFonts w:ascii="宋体" w:hAnsi="宋体" w:cs="宋体"/>
          <w:i/>
          <w:iCs/>
          <w:sz w:val="24"/>
          <w:szCs w:val="24"/>
          <w:u w:val="single"/>
        </w:rPr>
        <w:t>（中型企业、小型企业、微型企业</w:t>
      </w:r>
      <w:r>
        <w:rPr>
          <w:rFonts w:ascii="宋体" w:hAnsi="宋体" w:cs="宋体"/>
          <w:sz w:val="24"/>
          <w:szCs w:val="24"/>
        </w:rPr>
        <w:t>）；</w:t>
      </w:r>
    </w:p>
    <w:p>
      <w:pPr>
        <w:pStyle w:val="17"/>
        <w:widowControl/>
        <w:spacing w:line="432" w:lineRule="auto"/>
        <w:ind w:left="0" w:leftChars="0" w:firstLine="480" w:firstLineChars="200"/>
        <w:rPr>
          <w:rFonts w:ascii="宋体" w:hAnsi="宋体" w:cs="宋体"/>
          <w:sz w:val="24"/>
          <w:szCs w:val="24"/>
        </w:rPr>
      </w:pPr>
      <w:r>
        <w:rPr>
          <w:rFonts w:ascii="宋体" w:hAnsi="宋体" w:cs="宋体"/>
          <w:sz w:val="24"/>
          <w:szCs w:val="24"/>
        </w:rPr>
        <w:t xml:space="preserve"> …… </w:t>
      </w:r>
    </w:p>
    <w:p>
      <w:pPr>
        <w:pStyle w:val="17"/>
        <w:widowControl/>
        <w:spacing w:line="432" w:lineRule="auto"/>
        <w:ind w:left="0" w:leftChars="0" w:firstLine="480" w:firstLineChars="200"/>
        <w:rPr>
          <w:rFonts w:ascii="宋体" w:hAnsi="宋体" w:cs="宋体"/>
          <w:sz w:val="24"/>
          <w:szCs w:val="24"/>
        </w:rPr>
      </w:pPr>
      <w:r>
        <w:rPr>
          <w:rFonts w:ascii="宋体" w:hAnsi="宋体" w:cs="宋体"/>
          <w:sz w:val="24"/>
          <w:szCs w:val="24"/>
        </w:rPr>
        <w:t>以上企业，不属于大企业的分支机构，不存在控股股东为大企业的情形，也不存在与大企业的负责人为同一人的情形。</w:t>
      </w:r>
    </w:p>
    <w:p>
      <w:pPr>
        <w:pStyle w:val="17"/>
        <w:widowControl/>
        <w:spacing w:line="432" w:lineRule="auto"/>
        <w:ind w:left="0" w:leftChars="0" w:firstLine="480" w:firstLineChars="200"/>
        <w:rPr>
          <w:rFonts w:ascii="宋体" w:hAnsi="宋体" w:cs="宋体"/>
          <w:sz w:val="24"/>
          <w:szCs w:val="24"/>
        </w:rPr>
      </w:pPr>
      <w:r>
        <w:rPr>
          <w:rFonts w:ascii="宋体" w:hAnsi="宋体" w:cs="宋体"/>
          <w:sz w:val="24"/>
          <w:szCs w:val="24"/>
        </w:rPr>
        <w:t>本企业对上述声明内容的真实性负责。如有虚假，将依法承担相应责任。</w:t>
      </w:r>
    </w:p>
    <w:p>
      <w:pPr>
        <w:pStyle w:val="17"/>
        <w:widowControl/>
        <w:spacing w:line="480" w:lineRule="auto"/>
        <w:ind w:left="0" w:leftChars="0" w:firstLine="5280" w:firstLineChars="2200"/>
        <w:rPr>
          <w:rFonts w:ascii="宋体" w:hAnsi="宋体" w:cs="宋体"/>
          <w:sz w:val="24"/>
          <w:szCs w:val="24"/>
        </w:rPr>
      </w:pPr>
    </w:p>
    <w:p>
      <w:pPr>
        <w:pStyle w:val="17"/>
        <w:widowControl/>
        <w:spacing w:line="480" w:lineRule="auto"/>
        <w:ind w:left="0" w:leftChars="0" w:firstLine="5280" w:firstLineChars="2200"/>
        <w:rPr>
          <w:rFonts w:ascii="宋体" w:hAnsi="宋体" w:cs="宋体"/>
          <w:sz w:val="24"/>
          <w:szCs w:val="24"/>
        </w:rPr>
      </w:pPr>
      <w:r>
        <w:rPr>
          <w:rFonts w:ascii="宋体" w:hAnsi="宋体" w:cs="宋体"/>
          <w:sz w:val="24"/>
          <w:szCs w:val="24"/>
        </w:rPr>
        <w:t>企业名称（盖章）：</w:t>
      </w:r>
    </w:p>
    <w:p>
      <w:pPr>
        <w:pStyle w:val="17"/>
        <w:widowControl/>
        <w:spacing w:line="480" w:lineRule="auto"/>
        <w:ind w:left="0" w:leftChars="0" w:firstLine="5280" w:firstLineChars="2200"/>
        <w:rPr>
          <w:rFonts w:ascii="宋体" w:hAnsi="宋体" w:cs="宋体"/>
          <w:sz w:val="24"/>
          <w:szCs w:val="24"/>
        </w:rPr>
      </w:pPr>
      <w:r>
        <w:rPr>
          <w:rFonts w:ascii="宋体" w:hAnsi="宋体" w:cs="宋体"/>
          <w:sz w:val="24"/>
          <w:szCs w:val="24"/>
        </w:rPr>
        <w:t>日期：</w:t>
      </w:r>
    </w:p>
    <w:p>
      <w:pPr>
        <w:pStyle w:val="17"/>
        <w:widowControl/>
        <w:ind w:left="0" w:leftChars="0"/>
        <w:rPr>
          <w:rFonts w:ascii="宋体" w:hAnsi="宋体" w:cs="宋体"/>
          <w:sz w:val="18"/>
          <w:szCs w:val="18"/>
        </w:rPr>
      </w:pPr>
      <w:r>
        <w:rPr>
          <w:rFonts w:hint="eastAsia" w:ascii="宋体" w:hAnsi="宋体" w:cs="宋体"/>
          <w:sz w:val="18"/>
          <w:szCs w:val="18"/>
        </w:rPr>
        <w:t>本项目所属行业为：租赁和商业服务业</w:t>
      </w:r>
    </w:p>
    <w:p>
      <w:pPr>
        <w:pStyle w:val="17"/>
        <w:widowControl/>
        <w:ind w:left="0" w:leftChars="0"/>
        <w:rPr>
          <w:rFonts w:ascii="宋体" w:hAnsi="宋体" w:cs="宋体"/>
          <w:sz w:val="18"/>
          <w:szCs w:val="18"/>
        </w:rPr>
      </w:pPr>
      <w:r>
        <w:rPr>
          <w:rFonts w:hint="eastAsia" w:ascii="宋体" w:hAnsi="宋体" w:cs="宋体"/>
          <w:sz w:val="18"/>
          <w:szCs w:val="18"/>
        </w:rPr>
        <w:t>1从业人员、营业收入、资产总额填报上一年度数据，无上一年度数据的新成立企业可不填报。</w:t>
      </w:r>
    </w:p>
    <w:p>
      <w:pPr>
        <w:pStyle w:val="17"/>
        <w:widowControl/>
        <w:ind w:left="0" w:leftChars="0"/>
        <w:rPr>
          <w:rFonts w:ascii="宋体" w:hAnsi="宋体" w:cs="宋体"/>
          <w:sz w:val="18"/>
          <w:szCs w:val="18"/>
        </w:rPr>
      </w:pPr>
      <w:r>
        <w:rPr>
          <w:rFonts w:hint="eastAsia" w:ascii="宋体" w:hAnsi="宋体" w:cs="宋体"/>
          <w:sz w:val="18"/>
          <w:szCs w:val="18"/>
        </w:rPr>
        <w:t>中小微型企业划分标准参照国家统计局印发的《统计上大中小微型企业划分办法（2017）》</w:t>
      </w:r>
    </w:p>
    <w:p>
      <w:pPr>
        <w:spacing w:line="360" w:lineRule="auto"/>
        <w:ind w:right="6" w:firstLine="211" w:firstLineChars="100"/>
        <w:rPr>
          <w:rFonts w:ascii="宋体" w:hAnsi="宋体"/>
          <w:b/>
        </w:rPr>
      </w:pPr>
    </w:p>
    <w:p>
      <w:pPr>
        <w:pStyle w:val="6"/>
        <w:pageBreakBefore/>
        <w:spacing w:beforeLines="25" w:after="0" w:line="360" w:lineRule="auto"/>
        <w:jc w:val="center"/>
      </w:pPr>
      <w:bookmarkStart w:id="67" w:name="_Toc17660"/>
      <w:r>
        <w:rPr>
          <w:rFonts w:hint="eastAsia"/>
        </w:rPr>
        <w:t>附件十</w:t>
      </w:r>
      <w:bookmarkStart w:id="68" w:name="OLE_LINK14"/>
      <w:bookmarkStart w:id="69" w:name="OLE_LINK13"/>
      <w:r>
        <w:rPr>
          <w:rFonts w:hint="eastAsia"/>
        </w:rPr>
        <w:t>残疾人福利性单位声明函</w:t>
      </w:r>
      <w:bookmarkEnd w:id="67"/>
    </w:p>
    <w:bookmarkEnd w:id="68"/>
    <w:bookmarkEnd w:id="69"/>
    <w:p>
      <w:pPr>
        <w:spacing w:line="588" w:lineRule="exact"/>
        <w:rPr>
          <w:rFonts w:ascii="仿宋_GB2312" w:eastAsia="仿宋_GB2312"/>
          <w:b/>
          <w:spacing w:val="6"/>
          <w:sz w:val="30"/>
          <w:szCs w:val="30"/>
        </w:rPr>
      </w:pPr>
    </w:p>
    <w:p>
      <w:pPr>
        <w:spacing w:line="588" w:lineRule="exact"/>
        <w:ind w:firstLine="420" w:firstLineChars="200"/>
        <w:rPr>
          <w:rFonts w:ascii="宋体" w:hAnsi="宋体"/>
        </w:rPr>
      </w:pPr>
      <w:r>
        <w:rPr>
          <w:rFonts w:hint="eastAsia" w:ascii="宋体" w:hAnsi="宋体"/>
        </w:rPr>
        <w:t>本单位郑重声明，根据《财政部民政部中国残疾人联合会关于促进残疾人就业政府采购政策的通知》（财库〔</w:t>
      </w:r>
      <w:r>
        <w:rPr>
          <w:rFonts w:ascii="宋体" w:hAnsi="宋体"/>
        </w:rPr>
        <w:t>2017</w:t>
      </w:r>
      <w:r>
        <w:rPr>
          <w:rFonts w:hint="eastAsia" w:ascii="宋体" w:hAnsi="宋体"/>
        </w:rPr>
        <w:t>〕</w:t>
      </w:r>
      <w:r>
        <w:rPr>
          <w:rFonts w:ascii="宋体" w:hAnsi="宋体"/>
        </w:rPr>
        <w:t xml:space="preserve"> 141</w:t>
      </w:r>
      <w:r>
        <w:rPr>
          <w:rFonts w:hint="eastAsia" w:ascii="宋体" w:hAnsi="宋体"/>
        </w:rPr>
        <w:t>号）的规定，本单位为符合条件的残疾人福利性单位，且本单位参加</w:t>
      </w:r>
      <w:r>
        <w:rPr>
          <w:rFonts w:ascii="宋体" w:hAnsi="宋体"/>
        </w:rPr>
        <w:t>______</w:t>
      </w:r>
      <w:r>
        <w:rPr>
          <w:rFonts w:hint="eastAsia" w:ascii="宋体" w:hAnsi="宋体"/>
        </w:rPr>
        <w:t>单位的</w:t>
      </w:r>
      <w:r>
        <w:rPr>
          <w:rFonts w:ascii="宋体" w:hAnsi="宋体"/>
        </w:rPr>
        <w:t>______</w:t>
      </w:r>
      <w:r>
        <w:rPr>
          <w:rFonts w:hint="eastAsia" w:ascii="宋体" w:hAnsi="宋体"/>
        </w:rPr>
        <w:t>项目采购活动提供本单位制造的货物（由本单位承担工程</w:t>
      </w:r>
      <w:r>
        <w:rPr>
          <w:rFonts w:ascii="宋体" w:hAnsi="宋体"/>
        </w:rPr>
        <w:t>/</w:t>
      </w:r>
      <w:r>
        <w:rPr>
          <w:rFonts w:hint="eastAsia" w:ascii="宋体" w:hAnsi="宋体"/>
        </w:rPr>
        <w:t>提供服务），或者提供其他残疾人福利性单位制造的货物（不包括使用非残疾人福利性单位注册商标的货物）。</w:t>
      </w:r>
    </w:p>
    <w:p>
      <w:pPr>
        <w:spacing w:line="588" w:lineRule="exact"/>
        <w:ind w:firstLine="420" w:firstLineChars="200"/>
        <w:rPr>
          <w:rFonts w:ascii="宋体" w:hAnsi="宋体"/>
        </w:rPr>
      </w:pPr>
      <w:r>
        <w:rPr>
          <w:rFonts w:hint="eastAsia" w:ascii="宋体" w:hAnsi="宋体"/>
        </w:rPr>
        <w:t>本单位对上述声明的真实性负责。如有虚假，将依法承担相应责任。</w:t>
      </w:r>
    </w:p>
    <w:p>
      <w:pPr>
        <w:spacing w:line="588" w:lineRule="exact"/>
        <w:ind w:firstLine="624" w:firstLineChars="200"/>
        <w:rPr>
          <w:rFonts w:ascii="仿宋_GB2312" w:eastAsia="仿宋_GB2312"/>
          <w:spacing w:val="6"/>
          <w:sz w:val="30"/>
          <w:szCs w:val="30"/>
        </w:rPr>
      </w:pPr>
    </w:p>
    <w:p>
      <w:pPr>
        <w:spacing w:line="588" w:lineRule="exact"/>
        <w:ind w:firstLine="624" w:firstLineChars="200"/>
        <w:rPr>
          <w:rFonts w:ascii="仿宋_GB2312" w:eastAsia="仿宋_GB2312"/>
          <w:spacing w:val="6"/>
          <w:sz w:val="30"/>
          <w:szCs w:val="30"/>
        </w:rPr>
      </w:pPr>
    </w:p>
    <w:p>
      <w:pPr>
        <w:tabs>
          <w:tab w:val="left" w:pos="4860"/>
        </w:tabs>
        <w:spacing w:line="588" w:lineRule="exact"/>
        <w:ind w:right="1560" w:firstLine="420" w:firstLineChars="200"/>
        <w:jc w:val="center"/>
        <w:rPr>
          <w:rFonts w:ascii="宋体" w:hAnsi="宋体"/>
        </w:rPr>
      </w:pPr>
      <w:r>
        <w:rPr>
          <w:rFonts w:hint="eastAsia" w:ascii="宋体" w:hAnsi="宋体" w:cs="宋体"/>
          <w:szCs w:val="21"/>
        </w:rPr>
        <w:t>投标人</w:t>
      </w:r>
      <w:r>
        <w:rPr>
          <w:rFonts w:hint="eastAsia" w:ascii="宋体" w:hAnsi="宋体"/>
        </w:rPr>
        <w:t>（公章）：</w:t>
      </w:r>
    </w:p>
    <w:p>
      <w:pPr>
        <w:rPr>
          <w:rFonts w:ascii="宋体" w:hAnsi="宋体"/>
        </w:rPr>
      </w:pPr>
      <w:r>
        <w:rPr>
          <w:rFonts w:hint="eastAsia" w:ascii="宋体" w:hAnsi="宋体"/>
        </w:rPr>
        <w:t>日期：</w:t>
      </w:r>
    </w:p>
    <w:p>
      <w:pPr>
        <w:rPr>
          <w:rFonts w:ascii="宋体" w:hAnsi="宋体"/>
        </w:rPr>
      </w:pPr>
    </w:p>
    <w:p>
      <w:pPr>
        <w:rPr>
          <w:rFonts w:ascii="宋体" w:hAnsi="宋体"/>
        </w:rPr>
      </w:pPr>
    </w:p>
    <w:p>
      <w:pPr>
        <w:rPr>
          <w:rFonts w:ascii="宋体" w:hAnsi="宋体"/>
        </w:rPr>
      </w:pPr>
    </w:p>
    <w:p>
      <w:pPr>
        <w:numPr>
          <w:ilvl w:val="0"/>
          <w:numId w:val="12"/>
        </w:numPr>
        <w:tabs>
          <w:tab w:val="left" w:pos="420"/>
          <w:tab w:val="clear" w:pos="1244"/>
        </w:tabs>
        <w:spacing w:before="100" w:beforeAutospacing="1" w:after="100" w:afterAutospacing="1" w:line="432" w:lineRule="auto"/>
        <w:ind w:hanging="1244"/>
        <w:rPr>
          <w:rFonts w:hAnsi="宋体"/>
          <w:b/>
          <w:szCs w:val="21"/>
        </w:rPr>
      </w:pPr>
      <w:r>
        <w:rPr>
          <w:rFonts w:hint="eastAsia" w:hAnsi="宋体"/>
          <w:b/>
          <w:szCs w:val="21"/>
        </w:rPr>
        <w:t>残疾人福利性单位视同小型、微型企业，享受价格扣除。</w:t>
      </w:r>
    </w:p>
    <w:p>
      <w:pPr>
        <w:numPr>
          <w:ilvl w:val="0"/>
          <w:numId w:val="12"/>
        </w:numPr>
        <w:tabs>
          <w:tab w:val="left" w:pos="420"/>
          <w:tab w:val="clear" w:pos="1244"/>
        </w:tabs>
        <w:spacing w:before="100" w:beforeAutospacing="1" w:after="100" w:afterAutospacing="1" w:line="432" w:lineRule="auto"/>
        <w:ind w:hanging="1244"/>
        <w:rPr>
          <w:rFonts w:hAnsi="宋体"/>
          <w:b/>
          <w:szCs w:val="21"/>
        </w:rPr>
      </w:pPr>
      <w:r>
        <w:rPr>
          <w:rFonts w:hint="eastAsia" w:hAnsi="宋体"/>
          <w:b/>
          <w:szCs w:val="21"/>
        </w:rPr>
        <w:t>残疾人福利性单位属于小型、微型企业的，不重复享受政策。</w:t>
      </w:r>
    </w:p>
    <w:p>
      <w:pPr>
        <w:numPr>
          <w:ilvl w:val="0"/>
          <w:numId w:val="12"/>
        </w:numPr>
        <w:tabs>
          <w:tab w:val="left" w:pos="420"/>
          <w:tab w:val="clear" w:pos="1244"/>
        </w:tabs>
        <w:spacing w:before="100" w:beforeAutospacing="1" w:after="100" w:afterAutospacing="1" w:line="432" w:lineRule="auto"/>
        <w:ind w:hanging="1244"/>
        <w:rPr>
          <w:rFonts w:hAnsi="宋体"/>
          <w:b/>
          <w:szCs w:val="21"/>
        </w:rPr>
      </w:pPr>
      <w:r>
        <w:rPr>
          <w:rFonts w:hint="eastAsia" w:hAnsi="宋体"/>
          <w:b/>
          <w:szCs w:val="21"/>
        </w:rPr>
        <w:t>如中标人声明为残疾人福利性单位，本声明函将随中标结果同时公告，接受社会监督。</w:t>
      </w:r>
    </w:p>
    <w:p>
      <w:pPr>
        <w:numPr>
          <w:ilvl w:val="0"/>
          <w:numId w:val="12"/>
        </w:numPr>
        <w:tabs>
          <w:tab w:val="left" w:pos="420"/>
          <w:tab w:val="clear" w:pos="1244"/>
        </w:tabs>
        <w:spacing w:before="100" w:beforeAutospacing="1" w:after="100" w:afterAutospacing="1" w:line="432" w:lineRule="auto"/>
        <w:ind w:hanging="1244"/>
        <w:rPr>
          <w:rFonts w:hAnsi="宋体"/>
          <w:b/>
          <w:szCs w:val="21"/>
        </w:rPr>
      </w:pPr>
      <w:r>
        <w:rPr>
          <w:rFonts w:hint="eastAsia" w:hAnsi="宋体"/>
          <w:b/>
          <w:szCs w:val="21"/>
        </w:rPr>
        <w:t>盖章部分采用CA签章。</w:t>
      </w:r>
    </w:p>
    <w:p/>
    <w:p>
      <w:pPr>
        <w:rPr>
          <w:rFonts w:ascii="宋体" w:hAnsi="宋体" w:cs="宋体"/>
          <w:b/>
          <w:szCs w:val="21"/>
        </w:rPr>
      </w:pPr>
    </w:p>
    <w:p>
      <w:pPr>
        <w:pStyle w:val="6"/>
        <w:pageBreakBefore/>
        <w:spacing w:beforeLines="25" w:after="0" w:line="360" w:lineRule="auto"/>
        <w:jc w:val="center"/>
      </w:pPr>
      <w:bookmarkStart w:id="70" w:name="_Toc24573"/>
      <w:r>
        <w:rPr>
          <w:rFonts w:hint="eastAsia"/>
        </w:rPr>
        <w:t>附件十一启用备份投标文件申请书</w:t>
      </w:r>
      <w:bookmarkEnd w:id="70"/>
    </w:p>
    <w:p>
      <w:pPr>
        <w:rPr>
          <w:rFonts w:ascii="宋体" w:hAnsi="宋体" w:cs="宋体"/>
          <w:szCs w:val="21"/>
        </w:rPr>
      </w:pPr>
      <w:r>
        <w:rPr>
          <w:rFonts w:hint="eastAsia" w:ascii="宋体" w:hAnsi="宋体" w:cs="宋体"/>
          <w:b/>
          <w:bCs/>
          <w:szCs w:val="21"/>
        </w:rPr>
        <w:t>温州市公共资源交易中心龙湾分中心：</w:t>
      </w:r>
    </w:p>
    <w:p>
      <w:pPr>
        <w:spacing w:line="360" w:lineRule="auto"/>
        <w:ind w:firstLine="420"/>
        <w:rPr>
          <w:rFonts w:ascii="宋体" w:hAnsi="宋体" w:cs="宋体"/>
          <w:bCs/>
          <w:szCs w:val="21"/>
          <w:u w:val="single"/>
        </w:rPr>
      </w:pPr>
      <w:r>
        <w:rPr>
          <w:rFonts w:hint="eastAsia" w:ascii="宋体" w:hAnsi="宋体" w:cs="宋体"/>
          <w:bCs/>
          <w:szCs w:val="21"/>
        </w:rPr>
        <w:t>我公司参与</w:t>
      </w:r>
      <w:r>
        <w:rPr>
          <w:rFonts w:hint="eastAsia" w:ascii="宋体" w:hAnsi="宋体" w:cs="宋体"/>
          <w:bCs/>
          <w:szCs w:val="21"/>
          <w:u w:val="single"/>
        </w:rPr>
        <w:t>项目名称</w:t>
      </w:r>
      <w:r>
        <w:rPr>
          <w:rFonts w:hint="eastAsia" w:ascii="宋体" w:hAnsi="宋体" w:cs="宋体"/>
          <w:bCs/>
          <w:szCs w:val="21"/>
        </w:rPr>
        <w:t>（项目编号：）投标，已按本项目招标文件要求提供备份投标文件。我方电子加密投标文件解密失败，现申请贵方启用备份投标文件上传至政采云平台，备份投标文件解压缩密码</w:t>
      </w:r>
      <w:r>
        <w:rPr>
          <w:rFonts w:hint="eastAsia" w:ascii="宋体" w:hAnsi="宋体" w:cs="宋体"/>
          <w:bCs/>
          <w:szCs w:val="21"/>
          <w:u w:val="single"/>
        </w:rPr>
        <w:t>：。</w:t>
      </w:r>
    </w:p>
    <w:p>
      <w:pPr>
        <w:spacing w:line="360" w:lineRule="auto"/>
        <w:ind w:firstLine="420"/>
        <w:rPr>
          <w:rFonts w:ascii="宋体" w:hAnsi="宋体" w:cs="宋体"/>
          <w:bCs/>
          <w:szCs w:val="21"/>
        </w:rPr>
      </w:pPr>
      <w:r>
        <w:rPr>
          <w:rFonts w:hint="eastAsia" w:ascii="宋体" w:hAnsi="宋体" w:cs="宋体"/>
          <w:bCs/>
          <w:szCs w:val="21"/>
        </w:rPr>
        <w:t>如备份投标文件上传失败，我方愿意承担一切风险和责任。</w:t>
      </w:r>
    </w:p>
    <w:p>
      <w:pPr>
        <w:spacing w:line="360" w:lineRule="auto"/>
        <w:ind w:firstLine="420"/>
        <w:rPr>
          <w:rFonts w:ascii="宋体" w:hAnsi="宋体" w:cs="宋体"/>
          <w:bCs/>
          <w:szCs w:val="21"/>
        </w:rPr>
      </w:pPr>
    </w:p>
    <w:p>
      <w:pPr>
        <w:spacing w:line="360" w:lineRule="auto"/>
        <w:ind w:firstLine="420"/>
        <w:rPr>
          <w:rFonts w:ascii="宋体" w:hAnsi="宋体" w:cs="宋体"/>
          <w:b/>
          <w:szCs w:val="21"/>
        </w:rPr>
      </w:pPr>
      <w:r>
        <w:rPr>
          <w:rFonts w:hint="eastAsia" w:ascii="宋体" w:hAnsi="宋体" w:cs="宋体"/>
          <w:b/>
          <w:szCs w:val="21"/>
        </w:rPr>
        <w:t>注：电子加密投标文件解密失败且投标人按要求提交了备份投标文件的，投标人可愿填写并加盖实体公章，于9：45之前以电子邮件方式传送至集中采购机构邮箱（44721395@qq.com）</w:t>
      </w: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spacing w:line="360" w:lineRule="auto"/>
        <w:ind w:firstLine="420"/>
        <w:rPr>
          <w:rFonts w:ascii="宋体" w:hAnsi="宋体" w:cs="宋体"/>
          <w:bCs/>
          <w:szCs w:val="21"/>
        </w:rPr>
      </w:pPr>
      <w:r>
        <w:rPr>
          <w:rFonts w:hint="eastAsia" w:ascii="宋体" w:hAnsi="宋体" w:cs="宋体"/>
          <w:bCs/>
          <w:szCs w:val="21"/>
        </w:rPr>
        <w:t>投标人全称（盖章）：</w:t>
      </w:r>
    </w:p>
    <w:p>
      <w:pPr>
        <w:spacing w:line="360" w:lineRule="auto"/>
        <w:ind w:firstLine="420"/>
        <w:rPr>
          <w:rFonts w:ascii="宋体" w:hAnsi="宋体" w:cs="宋体"/>
          <w:bCs/>
          <w:szCs w:val="21"/>
        </w:rPr>
      </w:pPr>
    </w:p>
    <w:p>
      <w:pPr>
        <w:spacing w:line="360" w:lineRule="auto"/>
        <w:ind w:firstLine="5250" w:firstLineChars="2500"/>
        <w:rPr>
          <w:rFonts w:ascii="宋体" w:hAnsi="宋体" w:cs="宋体"/>
          <w:bCs/>
          <w:szCs w:val="21"/>
        </w:rPr>
      </w:pPr>
      <w:r>
        <w:rPr>
          <w:rFonts w:hint="eastAsia" w:ascii="宋体" w:hAnsi="宋体" w:cs="宋体"/>
          <w:bCs/>
          <w:szCs w:val="21"/>
        </w:rPr>
        <w:t>日期：</w:t>
      </w:r>
    </w:p>
    <w:p/>
    <w:p>
      <w:pPr>
        <w:pStyle w:val="5"/>
        <w:keepNext w:val="0"/>
        <w:keepLines w:val="0"/>
        <w:pageBreakBefore/>
        <w:spacing w:beforeLines="50" w:afterLines="100" w:line="240" w:lineRule="auto"/>
        <w:jc w:val="center"/>
        <w:rPr>
          <w:rFonts w:hAnsi="宋体"/>
          <w:sz w:val="28"/>
          <w:szCs w:val="36"/>
        </w:rPr>
      </w:pPr>
      <w:bookmarkStart w:id="71" w:name="_Toc14438"/>
      <w:r>
        <w:rPr>
          <w:rFonts w:hint="eastAsia" w:hAnsi="宋体"/>
          <w:sz w:val="28"/>
          <w:szCs w:val="36"/>
        </w:rPr>
        <w:t>第六部分评标办法</w:t>
      </w:r>
      <w:bookmarkEnd w:id="71"/>
    </w:p>
    <w:p>
      <w:pPr>
        <w:spacing w:line="360" w:lineRule="auto"/>
        <w:ind w:firstLine="420" w:firstLineChars="200"/>
        <w:rPr>
          <w:rFonts w:ascii="宋体" w:hAnsi="宋体" w:cs="宋体"/>
          <w:szCs w:val="21"/>
        </w:rPr>
      </w:pPr>
      <w:r>
        <w:rPr>
          <w:rFonts w:hint="eastAsia" w:ascii="宋体" w:hAnsi="宋体" w:cs="宋体"/>
          <w:szCs w:val="21"/>
        </w:rPr>
        <w:t>根据《中华人民共和国政府采购法》及其实施条例和《政府采购货物和服务招标投标管理办法》等相关法律法规、规章的规定，特制定本办法。</w:t>
      </w:r>
    </w:p>
    <w:p>
      <w:pPr>
        <w:spacing w:beforeLines="35" w:line="360" w:lineRule="auto"/>
        <w:ind w:firstLine="424" w:firstLineChars="176"/>
        <w:rPr>
          <w:rFonts w:ascii="宋体" w:hAnsi="宋体"/>
          <w:b/>
          <w:bCs/>
          <w:sz w:val="24"/>
        </w:rPr>
      </w:pPr>
      <w:r>
        <w:rPr>
          <w:rFonts w:hint="eastAsia" w:ascii="宋体" w:hAnsi="宋体"/>
          <w:b/>
          <w:bCs/>
          <w:sz w:val="24"/>
        </w:rPr>
        <w:t>一、评标原则</w:t>
      </w:r>
    </w:p>
    <w:p>
      <w:pPr>
        <w:spacing w:line="360" w:lineRule="auto"/>
        <w:ind w:firstLine="420" w:firstLineChars="200"/>
        <w:rPr>
          <w:rFonts w:ascii="宋体" w:hAnsi="宋体" w:cs="宋体"/>
          <w:szCs w:val="21"/>
        </w:rPr>
      </w:pPr>
      <w:r>
        <w:rPr>
          <w:rFonts w:hint="eastAsia" w:ascii="宋体" w:hAnsi="宋体" w:cs="宋体"/>
          <w:szCs w:val="21"/>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人不得以任何方式干扰招投标工作的进行，一经发现其投标文件将被拒绝。对落标单位，评标委员会不作任何落标解释。</w:t>
      </w:r>
    </w:p>
    <w:p>
      <w:pPr>
        <w:spacing w:line="360" w:lineRule="auto"/>
        <w:ind w:firstLine="420" w:firstLineChars="200"/>
        <w:rPr>
          <w:rFonts w:ascii="宋体" w:hAnsi="宋体" w:cs="宋体"/>
          <w:szCs w:val="21"/>
        </w:rPr>
      </w:pPr>
      <w:r>
        <w:rPr>
          <w:rFonts w:hint="eastAsia" w:ascii="宋体" w:hAnsi="宋体" w:cs="宋体"/>
          <w:szCs w:val="21"/>
        </w:rPr>
        <w:t>本次评标采取综合评分法。评标应遵循公平、公正、科学、择优的原则推荐中标候选人。</w:t>
      </w:r>
    </w:p>
    <w:p>
      <w:pPr>
        <w:spacing w:beforeLines="35" w:line="360" w:lineRule="auto"/>
        <w:ind w:firstLine="424" w:firstLineChars="176"/>
        <w:rPr>
          <w:rFonts w:ascii="宋体" w:hAnsi="宋体"/>
          <w:b/>
          <w:bCs/>
          <w:sz w:val="24"/>
        </w:rPr>
      </w:pPr>
      <w:r>
        <w:rPr>
          <w:rFonts w:hint="eastAsia" w:ascii="宋体" w:hAnsi="宋体"/>
          <w:b/>
          <w:bCs/>
          <w:sz w:val="24"/>
        </w:rPr>
        <w:t>二、评标组织</w:t>
      </w:r>
    </w:p>
    <w:p>
      <w:pPr>
        <w:spacing w:line="360" w:lineRule="auto"/>
        <w:ind w:firstLine="420" w:firstLineChars="200"/>
        <w:rPr>
          <w:rFonts w:ascii="宋体" w:hAnsi="宋体" w:cs="宋体"/>
          <w:szCs w:val="21"/>
        </w:rPr>
      </w:pPr>
      <w:r>
        <w:rPr>
          <w:rFonts w:hint="eastAsia" w:ascii="宋体" w:hAnsi="宋体" w:cs="宋体"/>
          <w:szCs w:val="21"/>
        </w:rPr>
        <w:t>评标工作由依法组建的评标委员会负责，评标过程由有关部门负责指导监督。</w:t>
      </w:r>
      <w:r>
        <w:rPr>
          <w:rFonts w:hint="eastAsia" w:ascii="宋体" w:hAnsi="宋体" w:cs="Arial"/>
          <w:bCs/>
          <w:kern w:val="28"/>
        </w:rPr>
        <w:t>评标委员会</w:t>
      </w:r>
      <w:r>
        <w:rPr>
          <w:rFonts w:hint="eastAsia" w:ascii="宋体" w:hAnsi="宋体" w:cs="Arial"/>
          <w:szCs w:val="21"/>
        </w:rPr>
        <w:t>由采购人代表以及有关专家组成，成员为5人及以上单数。</w:t>
      </w:r>
    </w:p>
    <w:p>
      <w:pPr>
        <w:spacing w:beforeLines="35" w:line="360" w:lineRule="auto"/>
        <w:ind w:firstLine="420"/>
        <w:rPr>
          <w:rFonts w:ascii="宋体" w:hAnsi="宋体"/>
          <w:b/>
          <w:bCs/>
          <w:sz w:val="24"/>
        </w:rPr>
      </w:pPr>
      <w:r>
        <w:rPr>
          <w:rFonts w:hint="eastAsia" w:ascii="宋体" w:hAnsi="宋体"/>
          <w:b/>
          <w:bCs/>
          <w:sz w:val="24"/>
        </w:rPr>
        <w:t>三、评标程序</w:t>
      </w:r>
    </w:p>
    <w:p>
      <w:pPr>
        <w:spacing w:line="360" w:lineRule="auto"/>
        <w:ind w:firstLine="420" w:firstLineChars="200"/>
        <w:rPr>
          <w:rFonts w:ascii="宋体" w:hAnsi="宋体" w:cs="宋体"/>
          <w:szCs w:val="21"/>
        </w:rPr>
      </w:pPr>
      <w:r>
        <w:rPr>
          <w:rFonts w:hint="eastAsia" w:ascii="宋体" w:hAnsi="宋体" w:cs="宋体"/>
          <w:szCs w:val="21"/>
        </w:rPr>
        <w:t>按照招标文件的规定，对各投标人的投标文件分资格部分、技术及商务部分、报价三个部分按以下程序进行分析、评议：</w:t>
      </w:r>
    </w:p>
    <w:p>
      <w:pPr>
        <w:numPr>
          <w:ilvl w:val="0"/>
          <w:numId w:val="13"/>
        </w:numPr>
        <w:spacing w:line="360" w:lineRule="auto"/>
        <w:ind w:firstLine="420" w:firstLineChars="200"/>
        <w:rPr>
          <w:rFonts w:ascii="宋体" w:hAnsi="宋体" w:cs="宋体"/>
          <w:szCs w:val="21"/>
        </w:rPr>
      </w:pPr>
      <w:r>
        <w:rPr>
          <w:rFonts w:hint="eastAsia" w:ascii="宋体" w:hAnsi="宋体" w:cs="宋体"/>
          <w:szCs w:val="21"/>
        </w:rPr>
        <w:t>招标采购单位</w:t>
      </w:r>
      <w:r>
        <w:rPr>
          <w:rFonts w:hint="eastAsia" w:ascii="Arial" w:hAnsi="Arial"/>
        </w:rPr>
        <w:t>根据法律法规和招标文件的规定，</w:t>
      </w:r>
      <w:r>
        <w:rPr>
          <w:rFonts w:hint="eastAsia" w:ascii="宋体" w:hAnsi="宋体" w:cs="宋体"/>
          <w:szCs w:val="21"/>
        </w:rPr>
        <w:t>对投标人进行资格性审查；</w:t>
      </w:r>
    </w:p>
    <w:p>
      <w:pPr>
        <w:numPr>
          <w:ilvl w:val="0"/>
          <w:numId w:val="13"/>
        </w:numPr>
        <w:spacing w:line="360" w:lineRule="auto"/>
        <w:ind w:firstLine="420" w:firstLineChars="200"/>
        <w:rPr>
          <w:rFonts w:ascii="宋体" w:hAnsi="宋体" w:cs="宋体"/>
          <w:szCs w:val="21"/>
        </w:rPr>
      </w:pPr>
      <w:r>
        <w:rPr>
          <w:rFonts w:hint="eastAsia" w:ascii="宋体" w:hAnsi="宋体" w:cs="宋体"/>
          <w:szCs w:val="21"/>
        </w:rPr>
        <w:t>评标委员会对技术及商务文件进行符合性审查，确定技术标有效单位。</w:t>
      </w:r>
    </w:p>
    <w:p>
      <w:pPr>
        <w:spacing w:line="360" w:lineRule="auto"/>
        <w:ind w:firstLine="420" w:firstLineChars="200"/>
        <w:rPr>
          <w:rFonts w:ascii="宋体" w:hAnsi="宋体" w:cs="宋体"/>
          <w:szCs w:val="21"/>
        </w:rPr>
      </w:pPr>
      <w:r>
        <w:rPr>
          <w:rFonts w:hint="eastAsia" w:ascii="宋体" w:hAnsi="宋体" w:cs="宋体"/>
          <w:szCs w:val="21"/>
        </w:rPr>
        <w:t>3、评标委员会对技术及商务标有效的投标人进行评分，计算出各投标人的得分（详见评分细则）。</w:t>
      </w:r>
    </w:p>
    <w:p>
      <w:pPr>
        <w:spacing w:line="360" w:lineRule="auto"/>
        <w:ind w:firstLine="420" w:firstLineChars="200"/>
        <w:rPr>
          <w:rFonts w:ascii="宋体" w:hAnsi="宋体" w:cs="宋体"/>
          <w:szCs w:val="21"/>
        </w:rPr>
      </w:pPr>
      <w:r>
        <w:rPr>
          <w:rFonts w:hint="eastAsia" w:ascii="宋体" w:hAnsi="宋体" w:cs="宋体"/>
          <w:szCs w:val="21"/>
        </w:rPr>
        <w:t>4、对技术及商务标有效的投标人的投标报价在政采云平台上予以开启。</w:t>
      </w:r>
    </w:p>
    <w:p>
      <w:pPr>
        <w:spacing w:line="360" w:lineRule="auto"/>
        <w:ind w:firstLine="420" w:firstLineChars="200"/>
        <w:rPr>
          <w:rFonts w:ascii="宋体" w:hAnsi="宋体" w:cs="宋体"/>
          <w:szCs w:val="21"/>
        </w:rPr>
      </w:pPr>
      <w:r>
        <w:rPr>
          <w:rFonts w:hint="eastAsia" w:ascii="宋体" w:hAnsi="宋体" w:cs="宋体"/>
          <w:szCs w:val="21"/>
        </w:rPr>
        <w:t>5、评标委员会对技术商务标有效的投标人进行投标报价部分评审，确定投标报价评审有效投标人。</w:t>
      </w:r>
    </w:p>
    <w:p>
      <w:pPr>
        <w:spacing w:line="360" w:lineRule="auto"/>
        <w:ind w:firstLine="420" w:firstLineChars="200"/>
        <w:rPr>
          <w:rFonts w:ascii="宋体" w:hAnsi="宋体" w:cs="宋体"/>
          <w:szCs w:val="21"/>
        </w:rPr>
      </w:pPr>
      <w:r>
        <w:rPr>
          <w:rFonts w:hint="eastAsia" w:ascii="宋体" w:hAnsi="宋体" w:cs="宋体"/>
          <w:szCs w:val="21"/>
        </w:rPr>
        <w:t>6、对投标报价评审后有效的投标人计算投标报价分和综合得分（详见评标细则）</w:t>
      </w:r>
    </w:p>
    <w:p>
      <w:pPr>
        <w:spacing w:line="360" w:lineRule="auto"/>
        <w:ind w:firstLine="420" w:firstLineChars="200"/>
        <w:rPr>
          <w:rFonts w:ascii="宋体" w:hAnsi="宋体" w:cs="宋体"/>
          <w:szCs w:val="21"/>
        </w:rPr>
      </w:pPr>
      <w:r>
        <w:rPr>
          <w:rFonts w:hint="eastAsia" w:ascii="宋体" w:hAnsi="宋体" w:cs="宋体"/>
          <w:szCs w:val="21"/>
        </w:rPr>
        <w:t>7、以评审得分（评审得分=技术、商务标得分+报价得分）由高到低顺序推荐1-3名投标人作为候选人。</w:t>
      </w:r>
    </w:p>
    <w:p>
      <w:pPr>
        <w:spacing w:line="360" w:lineRule="auto"/>
        <w:ind w:firstLine="420" w:firstLineChars="200"/>
        <w:rPr>
          <w:rFonts w:ascii="宋体" w:hAnsi="宋体" w:cs="宋体"/>
          <w:szCs w:val="21"/>
        </w:rPr>
      </w:pPr>
      <w:r>
        <w:rPr>
          <w:rFonts w:hint="eastAsia" w:ascii="宋体" w:hAnsi="宋体" w:cs="宋体"/>
          <w:szCs w:val="21"/>
        </w:rPr>
        <w:t>8、评标委员会应根据审查情况和评标结果提交评标报告。</w:t>
      </w:r>
    </w:p>
    <w:p>
      <w:pPr>
        <w:spacing w:beforeLines="35" w:line="360" w:lineRule="auto"/>
        <w:ind w:firstLine="424" w:firstLineChars="176"/>
        <w:rPr>
          <w:rFonts w:ascii="宋体" w:hAnsi="宋体"/>
          <w:b/>
          <w:bCs/>
          <w:sz w:val="24"/>
        </w:rPr>
      </w:pPr>
      <w:r>
        <w:rPr>
          <w:rFonts w:hint="eastAsia" w:ascii="宋体" w:hAnsi="宋体"/>
          <w:b/>
          <w:bCs/>
          <w:sz w:val="24"/>
        </w:rPr>
        <w:t>四、评标办法</w:t>
      </w:r>
    </w:p>
    <w:p>
      <w:pPr>
        <w:spacing w:line="360" w:lineRule="auto"/>
        <w:ind w:firstLine="420" w:firstLineChars="200"/>
        <w:rPr>
          <w:rFonts w:ascii="宋体" w:hAnsi="宋体" w:cs="宋体"/>
          <w:szCs w:val="21"/>
        </w:rPr>
      </w:pPr>
      <w:r>
        <w:rPr>
          <w:rFonts w:hint="eastAsia" w:ascii="宋体" w:hAnsi="宋体" w:cs="宋体"/>
          <w:szCs w:val="21"/>
        </w:rPr>
        <w:t>1、评标办法采取综合评分法。</w:t>
      </w:r>
    </w:p>
    <w:p>
      <w:pPr>
        <w:spacing w:line="360" w:lineRule="auto"/>
        <w:ind w:firstLine="420" w:firstLineChars="200"/>
        <w:rPr>
          <w:rFonts w:ascii="宋体" w:hAnsi="宋体" w:cs="宋体"/>
          <w:szCs w:val="21"/>
        </w:rPr>
      </w:pPr>
      <w:r>
        <w:rPr>
          <w:rFonts w:hint="eastAsia" w:ascii="宋体" w:hAnsi="宋体" w:cs="宋体"/>
          <w:szCs w:val="21"/>
        </w:rPr>
        <w:t>2、开标后，招标采购单位</w:t>
      </w:r>
      <w:r>
        <w:rPr>
          <w:rFonts w:hint="eastAsia" w:ascii="Arial" w:hAnsi="Arial"/>
        </w:rPr>
        <w:t>根据法律法规和招标文件的规定，</w:t>
      </w:r>
      <w:r>
        <w:rPr>
          <w:rFonts w:hint="eastAsia" w:ascii="宋体" w:hAnsi="宋体" w:cs="宋体"/>
          <w:szCs w:val="21"/>
        </w:rPr>
        <w:t>对投标人进行资格性审查；评标委员</w:t>
      </w:r>
      <w:r>
        <w:rPr>
          <w:rFonts w:hint="eastAsia" w:ascii="Arial" w:hAnsi="Arial"/>
        </w:rPr>
        <w:t>会根据招标文件的规定，对符合资格的投标人的投标文件进行符合性审查，以确定其是否满足招标文件的实质性内容；</w:t>
      </w:r>
      <w:r>
        <w:rPr>
          <w:rFonts w:hint="eastAsia" w:ascii="宋体" w:hAnsi="宋体" w:cs="宋体"/>
          <w:szCs w:val="21"/>
        </w:rPr>
        <w:t>凡投标人资格不符合招标文件要求、投标文件实质性内容和格式严重不符合有关规定或不响应招标文件要求的，经评标委员会认定作为无效投标，不再进入后续评审。对投标文件中的疑问，由评标委员会对投标人进行询标，投标人做出书面答复作为投标文件的补充。除对投标的算术错误按有关规定处理外，不得在询标过程中修改投标文件的实质性条款内容。</w:t>
      </w:r>
    </w:p>
    <w:p>
      <w:pPr>
        <w:spacing w:line="360" w:lineRule="auto"/>
        <w:ind w:firstLine="420" w:firstLineChars="200"/>
        <w:rPr>
          <w:rFonts w:ascii="宋体" w:hAnsi="宋体" w:cs="宋体"/>
          <w:szCs w:val="21"/>
        </w:rPr>
      </w:pPr>
      <w:r>
        <w:rPr>
          <w:rFonts w:hint="eastAsia" w:ascii="宋体" w:hAnsi="宋体" w:cs="宋体"/>
          <w:szCs w:val="21"/>
        </w:rPr>
        <w:t>经资格性审查和符合性审查后，开、评标期间出现符合合格条件的投标人或者对招标文件作出实质响应的投标人（有效投标人）不足三家的，按政府采购法律法规有关规定，宣布本次招标失败，重新组织招标。</w:t>
      </w:r>
    </w:p>
    <w:p>
      <w:pPr>
        <w:spacing w:line="375" w:lineRule="atLeast"/>
        <w:ind w:firstLine="420" w:firstLineChars="200"/>
        <w:rPr>
          <w:rFonts w:ascii="宋体" w:hAnsi="宋体" w:cs="宋体"/>
          <w:szCs w:val="22"/>
        </w:rPr>
      </w:pPr>
      <w:r>
        <w:rPr>
          <w:rFonts w:hint="eastAsia" w:ascii="宋体" w:hAnsi="宋体" w:cs="宋体"/>
          <w:szCs w:val="22"/>
        </w:rPr>
        <w:t>预留份额的采购项目或者采购包，符合资格条件的中小企业数量不足 3 家的，中止采购活动，视同未预留份额的采购项目或者采购包重新组织采购活动。</w:t>
      </w:r>
    </w:p>
    <w:p>
      <w:pPr>
        <w:spacing w:line="360" w:lineRule="auto"/>
        <w:ind w:firstLine="422" w:firstLineChars="200"/>
        <w:rPr>
          <w:rFonts w:ascii="宋体" w:hAnsi="宋体" w:cs="宋体"/>
          <w:b/>
          <w:bCs/>
          <w:color w:val="000000" w:themeColor="text1"/>
          <w:szCs w:val="21"/>
          <w:u w:val="single"/>
        </w:rPr>
      </w:pPr>
      <w:r>
        <w:rPr>
          <w:rFonts w:hint="eastAsia" w:ascii="宋体" w:hAnsi="宋体" w:cs="宋体"/>
          <w:b/>
          <w:bCs/>
          <w:color w:val="000000" w:themeColor="text1"/>
          <w:szCs w:val="21"/>
          <w:u w:val="single"/>
        </w:rPr>
        <w:t>▲本项目分二个标项进行招标，投标人可选择其中一个或两个标项进行投标，但只能中一个标项，中标后将不进行余下标项评审（报价文件不开启）；评标委员会根据各个标项得分排名顺序依次推荐中标候选人,如标项排名第一的中标人放弃中标或被取消中标资格的，招标人可以确定排名第二的候选人为中标人，依次类推。</w:t>
      </w:r>
    </w:p>
    <w:p>
      <w:pPr>
        <w:spacing w:line="360" w:lineRule="auto"/>
        <w:ind w:firstLine="422" w:firstLineChars="200"/>
        <w:rPr>
          <w:rFonts w:ascii="宋体" w:hAnsi="宋体" w:cs="宋体"/>
          <w:b/>
          <w:bCs/>
          <w:color w:val="000000" w:themeColor="text1"/>
          <w:szCs w:val="21"/>
          <w:u w:val="single"/>
        </w:rPr>
      </w:pPr>
      <w:r>
        <w:rPr>
          <w:rFonts w:hint="eastAsia" w:ascii="宋体" w:hAnsi="宋体" w:cs="宋体"/>
          <w:b/>
          <w:bCs/>
          <w:color w:val="000000" w:themeColor="text1"/>
          <w:szCs w:val="21"/>
          <w:u w:val="single"/>
        </w:rPr>
        <w:t>评审及中标顺序按标项一、标项二进行确定，如投标人中标项一，则不参与标项二的评审。</w:t>
      </w:r>
    </w:p>
    <w:p>
      <w:pPr>
        <w:pStyle w:val="2"/>
        <w:ind w:firstLine="210"/>
        <w:rPr>
          <w:color w:val="000000" w:themeColor="text1"/>
        </w:rPr>
      </w:pPr>
    </w:p>
    <w:p>
      <w:pPr>
        <w:pStyle w:val="27"/>
        <w:rPr>
          <w:rFonts w:cs="宋体"/>
          <w:color w:val="FF0000"/>
          <w:szCs w:val="22"/>
        </w:rPr>
      </w:pPr>
    </w:p>
    <w:p/>
    <w:p>
      <w:pPr>
        <w:numPr>
          <w:ilvl w:val="0"/>
          <w:numId w:val="14"/>
        </w:numPr>
        <w:spacing w:line="360" w:lineRule="auto"/>
        <w:ind w:left="0" w:firstLine="0"/>
        <w:rPr>
          <w:rFonts w:ascii="宋体" w:hAnsi="宋体" w:cs="宋体"/>
          <w:b/>
          <w:sz w:val="24"/>
          <w:szCs w:val="24"/>
        </w:rPr>
      </w:pPr>
      <w:r>
        <w:rPr>
          <w:rFonts w:hint="eastAsia" w:ascii="宋体" w:hAnsi="宋体" w:cs="宋体"/>
          <w:b/>
          <w:sz w:val="24"/>
          <w:szCs w:val="24"/>
        </w:rPr>
        <w:t>评标细则</w:t>
      </w:r>
    </w:p>
    <w:p>
      <w:pPr>
        <w:spacing w:line="360" w:lineRule="auto"/>
        <w:rPr>
          <w:rFonts w:ascii="宋体" w:hAnsi="宋体" w:cs="宋体"/>
          <w:b/>
          <w:bCs/>
          <w:szCs w:val="21"/>
        </w:rPr>
      </w:pPr>
      <w:r>
        <w:rPr>
          <w:rFonts w:hint="eastAsia" w:ascii="宋体" w:hAnsi="宋体" w:cs="宋体"/>
          <w:b/>
          <w:bCs/>
          <w:szCs w:val="21"/>
        </w:rPr>
        <w:t>一、报价评分10分</w:t>
      </w:r>
    </w:p>
    <w:p>
      <w:pPr>
        <w:spacing w:line="360" w:lineRule="auto"/>
        <w:ind w:firstLine="420" w:firstLineChars="200"/>
        <w:rPr>
          <w:rFonts w:ascii="宋体" w:hAnsi="宋体" w:cs="宋体"/>
          <w:szCs w:val="21"/>
        </w:rPr>
      </w:pPr>
      <w:r>
        <w:rPr>
          <w:rFonts w:hint="eastAsia" w:ascii="宋体" w:hAnsi="宋体" w:cs="宋体"/>
          <w:szCs w:val="21"/>
        </w:rPr>
        <w:t>1、以供应商有效投标价中的最低价为评标基准价，得满分10分。报价评分结算公式为:投标报价得分=(评标基准价／投标报价)×10%×100。小微型企业产品享受6%的价格折扣。</w:t>
      </w:r>
    </w:p>
    <w:p>
      <w:pPr>
        <w:spacing w:line="360" w:lineRule="auto"/>
        <w:rPr>
          <w:rFonts w:ascii="宋体" w:hAnsi="宋体" w:cs="宋体"/>
          <w:b/>
          <w:bCs/>
          <w:szCs w:val="21"/>
        </w:rPr>
      </w:pPr>
      <w:r>
        <w:rPr>
          <w:rFonts w:hint="eastAsia" w:ascii="宋体" w:hAnsi="宋体" w:cs="宋体"/>
          <w:b/>
          <w:bCs/>
          <w:szCs w:val="21"/>
        </w:rPr>
        <w:t>二、技术、服务、资信业绩综合评分90分（评分细则）（标项1.2）</w:t>
      </w:r>
    </w:p>
    <w:tbl>
      <w:tblPr>
        <w:tblStyle w:val="37"/>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235"/>
        <w:gridCol w:w="1223"/>
        <w:gridCol w:w="5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16" w:type="dxa"/>
            <w:vAlign w:val="center"/>
          </w:tcPr>
          <w:p>
            <w:pPr>
              <w:snapToGrid w:val="0"/>
              <w:spacing w:line="300" w:lineRule="exact"/>
              <w:jc w:val="center"/>
              <w:rPr>
                <w:rFonts w:ascii="宋体" w:hAnsi="宋体" w:cs="宋体"/>
                <w:sz w:val="22"/>
                <w:szCs w:val="22"/>
              </w:rPr>
            </w:pPr>
            <w:r>
              <w:rPr>
                <w:rFonts w:hint="eastAsia" w:ascii="宋体" w:hAnsi="宋体" w:cs="宋体"/>
                <w:sz w:val="22"/>
                <w:szCs w:val="22"/>
              </w:rPr>
              <w:t>序号</w:t>
            </w:r>
          </w:p>
        </w:tc>
        <w:tc>
          <w:tcPr>
            <w:tcW w:w="2235" w:type="dxa"/>
            <w:vAlign w:val="center"/>
          </w:tcPr>
          <w:p>
            <w:pPr>
              <w:snapToGrid w:val="0"/>
              <w:spacing w:line="300" w:lineRule="exact"/>
              <w:jc w:val="center"/>
              <w:rPr>
                <w:rFonts w:ascii="宋体" w:hAnsi="宋体" w:cs="宋体"/>
                <w:sz w:val="22"/>
                <w:szCs w:val="22"/>
              </w:rPr>
            </w:pPr>
            <w:r>
              <w:rPr>
                <w:rFonts w:hint="eastAsia" w:ascii="宋体" w:hAnsi="宋体" w:cs="宋体"/>
                <w:sz w:val="22"/>
                <w:szCs w:val="22"/>
              </w:rPr>
              <w:t>评分内容</w:t>
            </w:r>
          </w:p>
        </w:tc>
        <w:tc>
          <w:tcPr>
            <w:tcW w:w="1223" w:type="dxa"/>
            <w:vAlign w:val="center"/>
          </w:tcPr>
          <w:p>
            <w:pPr>
              <w:snapToGrid w:val="0"/>
              <w:spacing w:line="300" w:lineRule="exact"/>
              <w:jc w:val="center"/>
              <w:rPr>
                <w:rFonts w:ascii="宋体" w:hAnsi="宋体" w:cs="宋体"/>
                <w:sz w:val="22"/>
                <w:szCs w:val="22"/>
              </w:rPr>
            </w:pPr>
            <w:r>
              <w:rPr>
                <w:rFonts w:hint="eastAsia" w:ascii="宋体" w:hAnsi="宋体" w:cs="宋体"/>
                <w:sz w:val="22"/>
                <w:szCs w:val="22"/>
              </w:rPr>
              <w:t>分值（分）</w:t>
            </w:r>
          </w:p>
        </w:tc>
        <w:tc>
          <w:tcPr>
            <w:tcW w:w="5007" w:type="dxa"/>
            <w:vAlign w:val="center"/>
          </w:tcPr>
          <w:p>
            <w:pPr>
              <w:snapToGrid w:val="0"/>
              <w:spacing w:line="300" w:lineRule="exact"/>
              <w:jc w:val="center"/>
              <w:rPr>
                <w:rFonts w:ascii="宋体" w:hAnsi="宋体" w:cs="宋体"/>
                <w:sz w:val="22"/>
                <w:szCs w:val="22"/>
              </w:rPr>
            </w:pPr>
            <w:r>
              <w:rPr>
                <w:rFonts w:hint="eastAsia" w:ascii="宋体" w:hAnsi="宋体" w:cs="宋体"/>
                <w:sz w:val="22"/>
                <w:szCs w:val="22"/>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81" w:type="dxa"/>
            <w:gridSpan w:val="4"/>
            <w:vAlign w:val="center"/>
          </w:tcPr>
          <w:p>
            <w:pPr>
              <w:snapToGrid w:val="0"/>
              <w:spacing w:line="300" w:lineRule="exact"/>
              <w:rPr>
                <w:rFonts w:ascii="宋体" w:hAnsi="宋体" w:cs="宋体"/>
                <w:sz w:val="22"/>
                <w:szCs w:val="22"/>
              </w:rPr>
            </w:pPr>
            <w:r>
              <w:rPr>
                <w:rFonts w:hint="eastAsia" w:ascii="宋体" w:hAnsi="宋体" w:cs="宋体"/>
                <w:sz w:val="22"/>
                <w:szCs w:val="22"/>
              </w:rPr>
              <w:t>商务资信部分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16" w:type="dxa"/>
            <w:vAlign w:val="center"/>
          </w:tcPr>
          <w:p>
            <w:pPr>
              <w:adjustRightInd w:val="0"/>
              <w:snapToGrid w:val="0"/>
              <w:spacing w:line="300" w:lineRule="exact"/>
              <w:jc w:val="center"/>
              <w:rPr>
                <w:rFonts w:ascii="宋体" w:hAnsi="宋体" w:cs="宋体"/>
                <w:sz w:val="22"/>
                <w:szCs w:val="22"/>
              </w:rPr>
            </w:pPr>
            <w:r>
              <w:rPr>
                <w:rFonts w:hint="eastAsia" w:ascii="宋体" w:hAnsi="宋体" w:cs="宋体"/>
                <w:sz w:val="22"/>
                <w:szCs w:val="22"/>
              </w:rPr>
              <w:t>1</w:t>
            </w: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企业综合情况</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0-3</w:t>
            </w:r>
          </w:p>
        </w:tc>
        <w:tc>
          <w:tcPr>
            <w:tcW w:w="5007" w:type="dxa"/>
            <w:vAlign w:val="center"/>
          </w:tcPr>
          <w:p>
            <w:pPr>
              <w:spacing w:line="300" w:lineRule="exact"/>
              <w:rPr>
                <w:rFonts w:ascii="宋体" w:hAnsi="宋体" w:cs="宋体"/>
                <w:sz w:val="22"/>
                <w:szCs w:val="22"/>
              </w:rPr>
            </w:pPr>
            <w:r>
              <w:rPr>
                <w:rFonts w:hint="eastAsia" w:ascii="宋体" w:hAnsi="宋体" w:cs="宋体"/>
                <w:sz w:val="22"/>
                <w:szCs w:val="22"/>
              </w:rPr>
              <w:t>根据投标人企业信用等级、资质及员工权益保障等情况打分。(提供2019年以来审计报告)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16" w:type="dxa"/>
            <w:vAlign w:val="center"/>
          </w:tcPr>
          <w:p>
            <w:pPr>
              <w:adjustRightInd w:val="0"/>
              <w:snapToGrid w:val="0"/>
              <w:spacing w:line="300" w:lineRule="exact"/>
              <w:jc w:val="center"/>
              <w:rPr>
                <w:rFonts w:ascii="宋体" w:hAnsi="宋体" w:cs="宋体"/>
                <w:sz w:val="22"/>
                <w:szCs w:val="22"/>
              </w:rPr>
            </w:pPr>
            <w:r>
              <w:rPr>
                <w:rFonts w:hint="eastAsia" w:ascii="宋体" w:hAnsi="宋体" w:cs="宋体"/>
                <w:sz w:val="22"/>
                <w:szCs w:val="22"/>
              </w:rPr>
              <w:t>2</w:t>
            </w: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投标人管理体系认证情况</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0-4</w:t>
            </w:r>
          </w:p>
        </w:tc>
        <w:tc>
          <w:tcPr>
            <w:tcW w:w="5007" w:type="dxa"/>
            <w:vAlign w:val="center"/>
          </w:tcPr>
          <w:p>
            <w:pPr>
              <w:spacing w:line="360" w:lineRule="atLeast"/>
              <w:rPr>
                <w:rFonts w:ascii="宋体" w:hAnsi="宋体" w:cs="宋体"/>
                <w:sz w:val="22"/>
                <w:szCs w:val="22"/>
              </w:rPr>
            </w:pPr>
            <w:r>
              <w:rPr>
                <w:rFonts w:hint="eastAsia" w:ascii="宋体" w:hAnsi="宋体" w:cs="宋体"/>
                <w:sz w:val="22"/>
                <w:szCs w:val="22"/>
              </w:rPr>
              <w:t>1）通过ISO9001质量管理体系认证，并获得有效证书得1分；</w:t>
            </w:r>
          </w:p>
          <w:p>
            <w:pPr>
              <w:spacing w:line="360" w:lineRule="atLeast"/>
              <w:rPr>
                <w:rFonts w:ascii="宋体" w:hAnsi="宋体" w:cs="宋体"/>
                <w:sz w:val="22"/>
                <w:szCs w:val="22"/>
              </w:rPr>
            </w:pPr>
            <w:r>
              <w:rPr>
                <w:rFonts w:hint="eastAsia" w:ascii="宋体" w:hAnsi="宋体" w:cs="宋体"/>
                <w:sz w:val="22"/>
                <w:szCs w:val="22"/>
              </w:rPr>
              <w:t>2）通过ISO14001环境体系认证，并获得有效证书得1分；</w:t>
            </w:r>
          </w:p>
          <w:p>
            <w:pPr>
              <w:spacing w:line="360" w:lineRule="atLeast"/>
              <w:rPr>
                <w:rFonts w:ascii="宋体" w:hAnsi="宋体" w:cs="宋体"/>
                <w:sz w:val="22"/>
                <w:szCs w:val="22"/>
              </w:rPr>
            </w:pPr>
            <w:r>
              <w:rPr>
                <w:rFonts w:hint="eastAsia" w:ascii="宋体" w:hAnsi="宋体" w:cs="宋体"/>
                <w:sz w:val="22"/>
                <w:szCs w:val="22"/>
              </w:rPr>
              <w:t>3）通过OHSAS18001或ISO45001或GB/T45001-2020职业健康安全体系认证，并获得有效证书得1分；</w:t>
            </w:r>
          </w:p>
          <w:p>
            <w:pPr>
              <w:spacing w:line="300" w:lineRule="exact"/>
              <w:rPr>
                <w:rFonts w:ascii="宋体" w:hAnsi="宋体" w:cs="宋体"/>
                <w:sz w:val="22"/>
                <w:szCs w:val="22"/>
              </w:rPr>
            </w:pPr>
            <w:r>
              <w:rPr>
                <w:rFonts w:hint="eastAsia" w:ascii="宋体" w:hAnsi="宋体" w:cs="宋体"/>
                <w:sz w:val="22"/>
                <w:szCs w:val="22"/>
              </w:rPr>
              <w:t>4）通过ISO/IEC27001信息安全管理体系认证，并获得有效证书得1分。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16" w:type="dxa"/>
            <w:vAlign w:val="center"/>
          </w:tcPr>
          <w:p>
            <w:pPr>
              <w:adjustRightInd w:val="0"/>
              <w:snapToGrid w:val="0"/>
              <w:spacing w:line="300" w:lineRule="exact"/>
              <w:jc w:val="center"/>
              <w:rPr>
                <w:rFonts w:ascii="宋体" w:hAnsi="宋体" w:cs="宋体"/>
                <w:sz w:val="22"/>
                <w:szCs w:val="22"/>
              </w:rPr>
            </w:pPr>
            <w:r>
              <w:rPr>
                <w:rFonts w:hint="eastAsia" w:ascii="宋体" w:hAnsi="宋体" w:cs="宋体"/>
                <w:sz w:val="22"/>
                <w:szCs w:val="22"/>
              </w:rPr>
              <w:t>3</w:t>
            </w:r>
          </w:p>
        </w:tc>
        <w:tc>
          <w:tcPr>
            <w:tcW w:w="2235" w:type="dxa"/>
            <w:vAlign w:val="center"/>
          </w:tcPr>
          <w:p>
            <w:pPr>
              <w:spacing w:line="360" w:lineRule="atLeast"/>
              <w:jc w:val="both"/>
              <w:rPr>
                <w:rFonts w:ascii="宋体" w:hAnsi="宋体" w:cs="宋体"/>
                <w:sz w:val="22"/>
                <w:szCs w:val="22"/>
              </w:rPr>
            </w:pPr>
            <w:r>
              <w:rPr>
                <w:rFonts w:hint="eastAsia" w:ascii="宋体" w:hAnsi="宋体" w:cs="宋体"/>
                <w:sz w:val="22"/>
                <w:szCs w:val="22"/>
              </w:rPr>
              <w:t>投标人企业荣誉</w:t>
            </w:r>
          </w:p>
        </w:tc>
        <w:tc>
          <w:tcPr>
            <w:tcW w:w="1223" w:type="dxa"/>
            <w:vAlign w:val="center"/>
          </w:tcPr>
          <w:p>
            <w:pPr>
              <w:spacing w:line="360" w:lineRule="atLeast"/>
              <w:jc w:val="center"/>
              <w:rPr>
                <w:rFonts w:ascii="宋体" w:hAnsi="宋体" w:cs="宋体"/>
                <w:sz w:val="22"/>
                <w:szCs w:val="22"/>
              </w:rPr>
            </w:pPr>
            <w:r>
              <w:rPr>
                <w:rFonts w:hint="eastAsia" w:ascii="宋体" w:hAnsi="宋体" w:cs="宋体"/>
                <w:sz w:val="22"/>
                <w:szCs w:val="22"/>
              </w:rPr>
              <w:t>0-4</w:t>
            </w:r>
          </w:p>
        </w:tc>
        <w:tc>
          <w:tcPr>
            <w:tcW w:w="5007" w:type="dxa"/>
            <w:vAlign w:val="center"/>
          </w:tcPr>
          <w:p>
            <w:pPr>
              <w:spacing w:line="360" w:lineRule="exact"/>
              <w:rPr>
                <w:rFonts w:ascii="宋体" w:hAnsi="宋体"/>
                <w:sz w:val="22"/>
                <w:szCs w:val="22"/>
              </w:rPr>
            </w:pPr>
            <w:r>
              <w:rPr>
                <w:rFonts w:hint="eastAsia" w:ascii="宋体" w:hAnsi="宋体"/>
                <w:sz w:val="22"/>
                <w:szCs w:val="22"/>
              </w:rPr>
              <w:t>获得区(县)级政府单位相关荣誉得1分；获得市级政府单位相关荣誉得2分；获得省级及省级以上政府单位相关荣誉得4分，本项取最高分。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16" w:type="dxa"/>
            <w:vAlign w:val="center"/>
          </w:tcPr>
          <w:p>
            <w:pPr>
              <w:adjustRightInd w:val="0"/>
              <w:snapToGrid w:val="0"/>
              <w:spacing w:line="300" w:lineRule="exact"/>
              <w:jc w:val="center"/>
              <w:rPr>
                <w:rFonts w:ascii="宋体" w:hAnsi="宋体" w:cs="宋体"/>
                <w:kern w:val="2"/>
                <w:sz w:val="22"/>
                <w:szCs w:val="22"/>
              </w:rPr>
            </w:pPr>
            <w:r>
              <w:rPr>
                <w:rFonts w:hint="eastAsia" w:ascii="宋体" w:hAnsi="宋体" w:cs="宋体"/>
                <w:sz w:val="22"/>
                <w:szCs w:val="22"/>
              </w:rPr>
              <w:t>4</w:t>
            </w:r>
          </w:p>
        </w:tc>
        <w:tc>
          <w:tcPr>
            <w:tcW w:w="2235" w:type="dxa"/>
            <w:vAlign w:val="center"/>
          </w:tcPr>
          <w:p>
            <w:pPr>
              <w:spacing w:line="300" w:lineRule="exact"/>
              <w:rPr>
                <w:rFonts w:ascii="宋体" w:hAnsi="宋体" w:cs="宋体"/>
                <w:kern w:val="2"/>
                <w:sz w:val="22"/>
                <w:szCs w:val="22"/>
              </w:rPr>
            </w:pPr>
            <w:r>
              <w:rPr>
                <w:rFonts w:hint="eastAsia" w:ascii="宋体" w:hAnsi="宋体" w:cs="宋体"/>
                <w:sz w:val="22"/>
                <w:szCs w:val="22"/>
              </w:rPr>
              <w:t>机构设置情况</w:t>
            </w:r>
          </w:p>
        </w:tc>
        <w:tc>
          <w:tcPr>
            <w:tcW w:w="1223" w:type="dxa"/>
            <w:vAlign w:val="center"/>
          </w:tcPr>
          <w:p>
            <w:pPr>
              <w:spacing w:line="300" w:lineRule="exact"/>
              <w:jc w:val="center"/>
              <w:rPr>
                <w:rFonts w:ascii="宋体" w:hAnsi="宋体" w:cs="宋体"/>
                <w:kern w:val="2"/>
                <w:sz w:val="22"/>
                <w:szCs w:val="22"/>
              </w:rPr>
            </w:pPr>
            <w:r>
              <w:rPr>
                <w:rFonts w:hint="eastAsia" w:ascii="宋体" w:hAnsi="宋体" w:cs="宋体"/>
                <w:sz w:val="22"/>
                <w:szCs w:val="22"/>
              </w:rPr>
              <w:t>0-3</w:t>
            </w:r>
          </w:p>
        </w:tc>
        <w:tc>
          <w:tcPr>
            <w:tcW w:w="5007" w:type="dxa"/>
            <w:vAlign w:val="center"/>
          </w:tcPr>
          <w:p>
            <w:pPr>
              <w:spacing w:line="360" w:lineRule="atLeast"/>
              <w:rPr>
                <w:rFonts w:ascii="宋体" w:hAnsi="宋体" w:cs="宋体"/>
                <w:kern w:val="2"/>
                <w:sz w:val="22"/>
                <w:szCs w:val="22"/>
              </w:rPr>
            </w:pPr>
            <w:r>
              <w:rPr>
                <w:rFonts w:hint="eastAsia" w:ascii="宋体" w:hAnsi="宋体" w:cs="宋体"/>
                <w:sz w:val="22"/>
                <w:szCs w:val="22"/>
              </w:rPr>
              <w:t>投标人各类组织机构（党、工、团）健全，取得相关单位、部门和组织批文的各得1分（3分）。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16" w:type="dxa"/>
            <w:vAlign w:val="center"/>
          </w:tcPr>
          <w:p>
            <w:pPr>
              <w:adjustRightInd w:val="0"/>
              <w:snapToGrid w:val="0"/>
              <w:spacing w:line="300" w:lineRule="exact"/>
              <w:jc w:val="center"/>
              <w:rPr>
                <w:rFonts w:ascii="宋体" w:hAnsi="宋体" w:cs="宋体"/>
                <w:kern w:val="2"/>
                <w:sz w:val="22"/>
                <w:szCs w:val="22"/>
              </w:rPr>
            </w:pPr>
            <w:r>
              <w:rPr>
                <w:rFonts w:hint="eastAsia" w:ascii="宋体" w:hAnsi="宋体" w:cs="宋体"/>
                <w:sz w:val="22"/>
                <w:szCs w:val="22"/>
              </w:rPr>
              <w:t>5</w:t>
            </w: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投标人2019年以来（保安）项目业绩</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0-6</w:t>
            </w:r>
          </w:p>
          <w:p>
            <w:pPr>
              <w:spacing w:line="300" w:lineRule="exact"/>
              <w:jc w:val="center"/>
              <w:rPr>
                <w:rFonts w:ascii="宋体" w:hAnsi="宋体" w:cs="宋体"/>
                <w:sz w:val="22"/>
                <w:szCs w:val="22"/>
              </w:rPr>
            </w:pPr>
          </w:p>
        </w:tc>
        <w:tc>
          <w:tcPr>
            <w:tcW w:w="5007" w:type="dxa"/>
            <w:vAlign w:val="center"/>
          </w:tcPr>
          <w:p>
            <w:pPr>
              <w:spacing w:line="300" w:lineRule="exact"/>
              <w:rPr>
                <w:color w:val="000000" w:themeColor="text1"/>
              </w:rPr>
            </w:pPr>
            <w:r>
              <w:rPr>
                <w:rFonts w:hint="eastAsia"/>
                <w:color w:val="000000" w:themeColor="text1"/>
              </w:rPr>
              <w:t>每提供一份有效同类项目业绩（合同、中标通知书及评价，）得1分.</w:t>
            </w:r>
          </w:p>
          <w:p>
            <w:pPr>
              <w:spacing w:line="300" w:lineRule="exact"/>
              <w:rPr>
                <w:color w:val="000000" w:themeColor="text1"/>
              </w:rPr>
            </w:pPr>
            <w:r>
              <w:rPr>
                <w:rFonts w:hint="eastAsia"/>
                <w:color w:val="000000" w:themeColor="text1"/>
              </w:rPr>
              <w:t>项目业绩须同时提供以下证明材料：提供保安服务的合同和中标通知书和评价材料。由评标专家根据业绩证明材料核定后评分。</w:t>
            </w:r>
          </w:p>
          <w:p>
            <w:pPr>
              <w:pStyle w:val="2"/>
              <w:ind w:firstLine="210"/>
              <w:rPr>
                <w:color w:val="FF0000"/>
              </w:rPr>
            </w:pPr>
            <w:r>
              <w:rPr>
                <w:rFonts w:hint="eastAsia" w:eastAsia="宋体"/>
                <w:color w:val="000000" w:themeColor="text1"/>
                <w:szCs w:val="20"/>
              </w:rPr>
              <w:t>注明：同类项目是指党政机关、事业、国企办公类保安服务；商务写字楼类的保安服务；综合体类的保安服务。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181" w:type="dxa"/>
            <w:gridSpan w:val="4"/>
            <w:vAlign w:val="center"/>
          </w:tcPr>
          <w:p>
            <w:pPr>
              <w:spacing w:line="300" w:lineRule="exact"/>
              <w:rPr>
                <w:rFonts w:ascii="宋体" w:hAnsi="宋体" w:cs="宋体"/>
                <w:sz w:val="22"/>
                <w:szCs w:val="22"/>
              </w:rPr>
            </w:pPr>
            <w:r>
              <w:rPr>
                <w:rFonts w:hint="eastAsia" w:ascii="宋体" w:hAnsi="宋体" w:cs="宋体"/>
                <w:sz w:val="22"/>
                <w:szCs w:val="22"/>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服务内容是否明确、完善</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0-4</w:t>
            </w:r>
          </w:p>
        </w:tc>
        <w:tc>
          <w:tcPr>
            <w:tcW w:w="5007" w:type="dxa"/>
            <w:vAlign w:val="center"/>
          </w:tcPr>
          <w:p>
            <w:pPr>
              <w:spacing w:line="300" w:lineRule="exact"/>
              <w:rPr>
                <w:rFonts w:ascii="宋体" w:hAnsi="宋体" w:cs="宋体"/>
                <w:sz w:val="22"/>
                <w:szCs w:val="22"/>
              </w:rPr>
            </w:pPr>
            <w:r>
              <w:rPr>
                <w:rFonts w:hint="eastAsia" w:ascii="宋体" w:hAnsi="宋体" w:cs="宋体"/>
                <w:sz w:val="22"/>
                <w:szCs w:val="22"/>
              </w:rPr>
              <w:t>根据投标人针对本项目提供的服务内容是否明确、完善打分。维护相应区域的正常秩序，负责安全保卫、监控、消防、停车库（场）等管理工作。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对本项目熟悉程度、特点、难点及解决措施</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0-5</w:t>
            </w:r>
          </w:p>
        </w:tc>
        <w:tc>
          <w:tcPr>
            <w:tcW w:w="5007" w:type="dxa"/>
            <w:vAlign w:val="center"/>
          </w:tcPr>
          <w:p>
            <w:pPr>
              <w:spacing w:line="300" w:lineRule="exact"/>
              <w:rPr>
                <w:rFonts w:ascii="宋体" w:hAnsi="宋体" w:cs="宋体"/>
                <w:sz w:val="22"/>
                <w:szCs w:val="22"/>
              </w:rPr>
            </w:pPr>
            <w:r>
              <w:rPr>
                <w:rFonts w:hint="eastAsia" w:ascii="宋体" w:hAnsi="宋体" w:cs="宋体"/>
                <w:sz w:val="22"/>
                <w:szCs w:val="22"/>
              </w:rPr>
              <w:t>对本项目熟悉程度、特点、难点分析0－2分；</w:t>
            </w:r>
          </w:p>
          <w:p>
            <w:pPr>
              <w:spacing w:line="300" w:lineRule="exact"/>
              <w:rPr>
                <w:rFonts w:ascii="宋体" w:hAnsi="宋体" w:cs="宋体"/>
                <w:sz w:val="22"/>
                <w:szCs w:val="22"/>
              </w:rPr>
            </w:pPr>
            <w:r>
              <w:rPr>
                <w:rFonts w:hint="eastAsia" w:ascii="宋体" w:hAnsi="宋体" w:cs="宋体"/>
                <w:sz w:val="22"/>
                <w:szCs w:val="22"/>
              </w:rPr>
              <w:t>解决措施0－3分；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相关管理措施、岗位责任制度和服务流程说明情况</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0-4</w:t>
            </w:r>
          </w:p>
        </w:tc>
        <w:tc>
          <w:tcPr>
            <w:tcW w:w="5007" w:type="dxa"/>
            <w:vAlign w:val="center"/>
          </w:tcPr>
          <w:p>
            <w:pPr>
              <w:spacing w:line="300" w:lineRule="exact"/>
              <w:rPr>
                <w:rFonts w:ascii="宋体" w:hAnsi="宋体" w:cs="宋体"/>
                <w:sz w:val="22"/>
                <w:szCs w:val="22"/>
              </w:rPr>
            </w:pPr>
            <w:r>
              <w:rPr>
                <w:rFonts w:hint="eastAsia" w:ascii="宋体" w:hAnsi="宋体" w:cs="宋体"/>
                <w:sz w:val="22"/>
                <w:szCs w:val="22"/>
              </w:rPr>
              <w:t>相关管理措施、考核制度  0-2分；</w:t>
            </w:r>
          </w:p>
          <w:p>
            <w:pPr>
              <w:spacing w:line="300" w:lineRule="exact"/>
              <w:rPr>
                <w:rFonts w:ascii="宋体" w:hAnsi="宋体" w:cs="宋体"/>
                <w:sz w:val="22"/>
                <w:szCs w:val="22"/>
              </w:rPr>
            </w:pPr>
            <w:r>
              <w:rPr>
                <w:rFonts w:hint="eastAsia" w:ascii="宋体" w:hAnsi="宋体" w:cs="宋体"/>
                <w:sz w:val="22"/>
                <w:szCs w:val="22"/>
              </w:rPr>
              <w:t>岗位责任制度  0-1分；</w:t>
            </w:r>
          </w:p>
          <w:p>
            <w:pPr>
              <w:spacing w:line="300" w:lineRule="exact"/>
              <w:rPr>
                <w:rFonts w:ascii="宋体" w:hAnsi="宋体" w:cs="宋体"/>
                <w:sz w:val="22"/>
                <w:szCs w:val="22"/>
              </w:rPr>
            </w:pPr>
            <w:r>
              <w:rPr>
                <w:rFonts w:hint="eastAsia" w:ascii="宋体" w:hAnsi="宋体" w:cs="宋体"/>
                <w:sz w:val="22"/>
                <w:szCs w:val="22"/>
              </w:rPr>
              <w:t>服务流程      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激励机制、监督机制</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0-3</w:t>
            </w:r>
          </w:p>
        </w:tc>
        <w:tc>
          <w:tcPr>
            <w:tcW w:w="5007" w:type="dxa"/>
            <w:vAlign w:val="center"/>
          </w:tcPr>
          <w:p>
            <w:pPr>
              <w:spacing w:line="300" w:lineRule="exact"/>
              <w:rPr>
                <w:rFonts w:ascii="宋体" w:hAnsi="宋体" w:cs="宋体"/>
                <w:sz w:val="22"/>
                <w:szCs w:val="22"/>
              </w:rPr>
            </w:pPr>
            <w:r>
              <w:rPr>
                <w:rFonts w:hint="eastAsia" w:ascii="宋体" w:hAnsi="宋体" w:cs="宋体"/>
                <w:sz w:val="22"/>
                <w:szCs w:val="22"/>
              </w:rPr>
              <w:t>根据投标人的内部管理激励机制、监督机制、完善情况进行打分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日常业务素质训练，军事化训练计划，员工稳定措施及服务质量保证措施</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0-4</w:t>
            </w:r>
          </w:p>
        </w:tc>
        <w:tc>
          <w:tcPr>
            <w:tcW w:w="5007" w:type="dxa"/>
            <w:vAlign w:val="center"/>
          </w:tcPr>
          <w:p>
            <w:pPr>
              <w:spacing w:line="300" w:lineRule="exact"/>
              <w:rPr>
                <w:rFonts w:ascii="宋体" w:hAnsi="宋体" w:cs="宋体"/>
                <w:sz w:val="22"/>
                <w:szCs w:val="22"/>
              </w:rPr>
            </w:pPr>
            <w:r>
              <w:rPr>
                <w:rFonts w:hint="eastAsia" w:ascii="宋体" w:hAnsi="宋体" w:cs="宋体"/>
                <w:sz w:val="22"/>
                <w:szCs w:val="22"/>
              </w:rPr>
              <w:t>投标人的日常业务素质训练及军事化训练计划0-2分；</w:t>
            </w:r>
          </w:p>
          <w:p>
            <w:pPr>
              <w:spacing w:line="300" w:lineRule="exact"/>
              <w:rPr>
                <w:rFonts w:ascii="宋体" w:hAnsi="宋体" w:cs="宋体"/>
                <w:sz w:val="22"/>
                <w:szCs w:val="22"/>
              </w:rPr>
            </w:pPr>
            <w:r>
              <w:rPr>
                <w:rFonts w:hint="eastAsia" w:ascii="宋体" w:hAnsi="宋体" w:cs="宋体"/>
                <w:sz w:val="22"/>
                <w:szCs w:val="22"/>
              </w:rPr>
              <w:t>员工稳定措施  0-1分；</w:t>
            </w:r>
          </w:p>
          <w:p>
            <w:pPr>
              <w:spacing w:line="300" w:lineRule="exact"/>
              <w:rPr>
                <w:rFonts w:ascii="宋体" w:hAnsi="宋体" w:cs="宋体"/>
                <w:sz w:val="22"/>
                <w:szCs w:val="22"/>
              </w:rPr>
            </w:pPr>
            <w:r>
              <w:rPr>
                <w:rFonts w:hint="eastAsia" w:ascii="宋体" w:hAnsi="宋体" w:cs="宋体"/>
                <w:sz w:val="22"/>
                <w:szCs w:val="22"/>
              </w:rPr>
              <w:t>服务质量保证措施  0-1分。</w:t>
            </w:r>
          </w:p>
          <w:p>
            <w:pPr>
              <w:spacing w:line="300" w:lineRule="exact"/>
              <w:rPr>
                <w:rFonts w:ascii="宋体" w:hAnsi="宋体" w:cs="宋体"/>
                <w:sz w:val="22"/>
                <w:szCs w:val="22"/>
              </w:rPr>
            </w:pPr>
            <w:r>
              <w:rPr>
                <w:rFonts w:hint="eastAsia" w:ascii="宋体" w:hAnsi="宋体" w:cs="宋体"/>
                <w:sz w:val="22"/>
                <w:szCs w:val="22"/>
              </w:rPr>
              <w:t>要求提供详细方案和实施计划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60" w:lineRule="atLeast"/>
              <w:jc w:val="center"/>
              <w:rPr>
                <w:rFonts w:ascii="宋体" w:hAnsi="宋体" w:cs="宋体"/>
                <w:sz w:val="22"/>
                <w:szCs w:val="22"/>
              </w:rPr>
            </w:pPr>
            <w:r>
              <w:rPr>
                <w:rFonts w:hint="eastAsia" w:ascii="宋体" w:hAnsi="宋体" w:cs="宋体"/>
                <w:sz w:val="22"/>
                <w:szCs w:val="22"/>
              </w:rPr>
              <w:t>项目负责人综合素质情况（50周岁及以内，须提供近3个月以上的社保证明，否则不得分）</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0-14</w:t>
            </w:r>
          </w:p>
        </w:tc>
        <w:tc>
          <w:tcPr>
            <w:tcW w:w="5007" w:type="dxa"/>
            <w:vAlign w:val="center"/>
          </w:tcPr>
          <w:p>
            <w:pPr>
              <w:numPr>
                <w:ilvl w:val="0"/>
                <w:numId w:val="16"/>
              </w:numPr>
              <w:spacing w:line="360" w:lineRule="exact"/>
              <w:rPr>
                <w:rFonts w:ascii="宋体" w:hAnsi="宋体"/>
                <w:sz w:val="22"/>
                <w:szCs w:val="22"/>
              </w:rPr>
            </w:pPr>
            <w:r>
              <w:rPr>
                <w:rFonts w:hint="eastAsia" w:ascii="宋体" w:hAnsi="宋体"/>
                <w:sz w:val="22"/>
                <w:szCs w:val="22"/>
              </w:rPr>
              <w:t>具有大专学历的得1分、本科学历的得2分。</w:t>
            </w:r>
          </w:p>
          <w:p>
            <w:pPr>
              <w:numPr>
                <w:ilvl w:val="0"/>
                <w:numId w:val="16"/>
              </w:numPr>
              <w:spacing w:line="360" w:lineRule="exact"/>
              <w:rPr>
                <w:rFonts w:ascii="宋体" w:hAnsi="宋体"/>
                <w:sz w:val="22"/>
                <w:szCs w:val="22"/>
              </w:rPr>
            </w:pPr>
            <w:r>
              <w:rPr>
                <w:rFonts w:hint="eastAsia" w:ascii="宋体" w:hAnsi="宋体"/>
                <w:sz w:val="22"/>
                <w:szCs w:val="22"/>
              </w:rPr>
              <w:t>取得保安员三级证书的得1分；取得保安员二级证书的得3分；取得保安员一级证书的得5分；</w:t>
            </w:r>
          </w:p>
          <w:p>
            <w:pPr>
              <w:numPr>
                <w:ilvl w:val="0"/>
                <w:numId w:val="16"/>
              </w:numPr>
              <w:spacing w:line="360" w:lineRule="exact"/>
              <w:rPr>
                <w:rFonts w:ascii="宋体" w:hAnsi="宋体"/>
                <w:sz w:val="22"/>
                <w:szCs w:val="22"/>
              </w:rPr>
            </w:pPr>
            <w:r>
              <w:rPr>
                <w:rFonts w:hint="eastAsia" w:ascii="宋体" w:hAnsi="宋体"/>
                <w:sz w:val="22"/>
                <w:szCs w:val="22"/>
              </w:rPr>
              <w:t>退役军人或公安从警5年及5年以上的得2分；</w:t>
            </w:r>
          </w:p>
          <w:p>
            <w:pPr>
              <w:numPr>
                <w:ilvl w:val="0"/>
                <w:numId w:val="16"/>
              </w:numPr>
              <w:spacing w:line="360" w:lineRule="exact"/>
              <w:rPr>
                <w:rFonts w:ascii="宋体" w:hAnsi="宋体"/>
                <w:sz w:val="22"/>
                <w:szCs w:val="22"/>
              </w:rPr>
            </w:pPr>
            <w:r>
              <w:rPr>
                <w:rFonts w:hint="eastAsia" w:ascii="宋体" w:hAnsi="宋体"/>
                <w:sz w:val="22"/>
                <w:szCs w:val="22"/>
              </w:rPr>
              <w:t>获得区(县)级公安部门相关荣誉得1分；获得市级公安部门相关荣誉得2分；获得省级及省级以上公安部门相关荣誉得4分；本项不累计，取最高分。</w:t>
            </w:r>
          </w:p>
          <w:p>
            <w:pPr>
              <w:numPr>
                <w:ilvl w:val="0"/>
                <w:numId w:val="16"/>
              </w:numPr>
              <w:spacing w:line="360" w:lineRule="exact"/>
              <w:rPr>
                <w:rFonts w:ascii="宋体" w:hAnsi="宋体"/>
                <w:sz w:val="22"/>
                <w:szCs w:val="22"/>
              </w:rPr>
            </w:pPr>
            <w:r>
              <w:rPr>
                <w:rFonts w:hint="eastAsia" w:ascii="宋体" w:hAnsi="宋体"/>
                <w:sz w:val="22"/>
                <w:szCs w:val="22"/>
              </w:rPr>
              <w:t>中共党员得1分。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拟驻重要岗位综合素质与服务业绩及业主反映情况（须提供近3个月以上的社保证明，否则不得分）</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0-11</w:t>
            </w:r>
          </w:p>
        </w:tc>
        <w:tc>
          <w:tcPr>
            <w:tcW w:w="5007" w:type="dxa"/>
            <w:vAlign w:val="center"/>
          </w:tcPr>
          <w:p>
            <w:pPr>
              <w:spacing w:line="360" w:lineRule="atLeast"/>
              <w:rPr>
                <w:sz w:val="22"/>
                <w:szCs w:val="22"/>
              </w:rPr>
            </w:pPr>
            <w:r>
              <w:rPr>
                <w:rFonts w:hint="eastAsia"/>
              </w:rPr>
              <w:t>1</w:t>
            </w:r>
            <w:r>
              <w:rPr>
                <w:rFonts w:hint="eastAsia"/>
                <w:sz w:val="22"/>
                <w:szCs w:val="22"/>
              </w:rPr>
              <w:t>）根据拟驻重要岗位骨干具有服务业绩及业主反映良好及以上的，每人具有一份得0.5分，最高得5分。（需提供业主联系方式、评价及业主盖章）</w:t>
            </w:r>
          </w:p>
          <w:p>
            <w:pPr>
              <w:spacing w:line="360" w:lineRule="atLeast"/>
              <w:rPr>
                <w:sz w:val="22"/>
                <w:szCs w:val="22"/>
              </w:rPr>
            </w:pPr>
            <w:r>
              <w:rPr>
                <w:rFonts w:hint="eastAsia"/>
                <w:sz w:val="22"/>
                <w:szCs w:val="22"/>
              </w:rPr>
              <w:t>2）具有保安员二级证书和退伍证的每人得1分，总计3分。</w:t>
            </w:r>
          </w:p>
          <w:p>
            <w:pPr>
              <w:spacing w:line="360" w:lineRule="atLeast"/>
            </w:pPr>
            <w:r>
              <w:rPr>
                <w:rFonts w:hint="eastAsia"/>
                <w:sz w:val="22"/>
                <w:szCs w:val="22"/>
              </w:rPr>
              <w:t>3）具有县级以上人民政府安全生产主管部门或应急管理部门认可的安全生产培训及发证机构(须提供授权部门相关文件)颁发的安全培训合格证书的每人得1分，总计3分。（提供本单位近一年社保证明扫描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各岗位人员投入及配备情况（须提供近3个月以上的社保证明，否则不得分）</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0-6</w:t>
            </w:r>
          </w:p>
        </w:tc>
        <w:tc>
          <w:tcPr>
            <w:tcW w:w="5007" w:type="dxa"/>
            <w:vAlign w:val="center"/>
          </w:tcPr>
          <w:p>
            <w:pPr>
              <w:spacing w:line="300" w:lineRule="exact"/>
              <w:rPr>
                <w:rFonts w:ascii="宋体" w:hAnsi="宋体" w:cs="宋体"/>
                <w:sz w:val="22"/>
                <w:szCs w:val="22"/>
              </w:rPr>
            </w:pPr>
            <w:r>
              <w:rPr>
                <w:rFonts w:hint="eastAsia" w:ascii="宋体" w:hAnsi="宋体" w:cs="宋体"/>
                <w:sz w:val="22"/>
                <w:szCs w:val="22"/>
              </w:rPr>
              <w:t>所有人员中退伍人员占总人数比例超过20%的，在此基础上每增加5%加1分（不足5%的不予以加分，须提供退伍证）；（6分）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各岗位人员职业安全等保障措施和方案</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0-2</w:t>
            </w:r>
          </w:p>
        </w:tc>
        <w:tc>
          <w:tcPr>
            <w:tcW w:w="5007" w:type="dxa"/>
            <w:vAlign w:val="center"/>
          </w:tcPr>
          <w:p>
            <w:pPr>
              <w:spacing w:line="300" w:lineRule="exact"/>
              <w:rPr>
                <w:rFonts w:ascii="宋体" w:hAnsi="宋体" w:cs="宋体"/>
                <w:sz w:val="22"/>
                <w:szCs w:val="22"/>
              </w:rPr>
            </w:pPr>
            <w:r>
              <w:rPr>
                <w:rFonts w:hint="eastAsia" w:ascii="宋体" w:hAnsi="宋体" w:cs="宋体"/>
                <w:sz w:val="22"/>
                <w:szCs w:val="22"/>
              </w:rPr>
              <w:t>职业安全等保障措施和方案  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投标人针对本项目的相关承诺</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0-8</w:t>
            </w:r>
          </w:p>
        </w:tc>
        <w:tc>
          <w:tcPr>
            <w:tcW w:w="5007" w:type="dxa"/>
            <w:vAlign w:val="center"/>
          </w:tcPr>
          <w:p>
            <w:pPr>
              <w:spacing w:line="300" w:lineRule="exact"/>
              <w:rPr>
                <w:rFonts w:ascii="宋体" w:hAnsi="宋体" w:cs="宋体"/>
                <w:sz w:val="22"/>
                <w:szCs w:val="22"/>
              </w:rPr>
            </w:pPr>
            <w:r>
              <w:rPr>
                <w:rFonts w:hint="eastAsia" w:ascii="宋体" w:hAnsi="宋体" w:cs="宋体"/>
                <w:sz w:val="22"/>
                <w:szCs w:val="22"/>
              </w:rPr>
              <w:t>根据供应商提佛那个的承诺书的可行、与项目实际情况的符合性、可操作性进行综合评分。</w:t>
            </w:r>
          </w:p>
          <w:p>
            <w:pPr>
              <w:spacing w:line="300" w:lineRule="exact"/>
              <w:rPr>
                <w:rFonts w:ascii="宋体" w:hAnsi="宋体" w:cs="宋体"/>
                <w:sz w:val="22"/>
                <w:szCs w:val="22"/>
              </w:rPr>
            </w:pPr>
            <w:r>
              <w:rPr>
                <w:rFonts w:hint="eastAsia" w:ascii="宋体" w:hAnsi="宋体" w:cs="宋体"/>
                <w:sz w:val="22"/>
                <w:szCs w:val="22"/>
              </w:rPr>
              <w:t>1）员工福利保障承诺(包括工资、服装、社保等其他福利)。（0-3分）</w:t>
            </w:r>
          </w:p>
          <w:p>
            <w:pPr>
              <w:spacing w:line="300" w:lineRule="exact"/>
              <w:rPr>
                <w:rFonts w:ascii="宋体" w:hAnsi="宋体" w:cs="宋体"/>
                <w:sz w:val="22"/>
                <w:szCs w:val="22"/>
              </w:rPr>
            </w:pPr>
            <w:r>
              <w:rPr>
                <w:rFonts w:hint="eastAsia" w:ascii="宋体" w:hAnsi="宋体" w:cs="宋体"/>
                <w:sz w:val="22"/>
                <w:szCs w:val="22"/>
              </w:rPr>
              <w:t>2）人员到岗保障承诺。（0-2分）</w:t>
            </w:r>
          </w:p>
          <w:p>
            <w:pPr>
              <w:spacing w:line="300" w:lineRule="exact"/>
              <w:rPr>
                <w:sz w:val="22"/>
                <w:szCs w:val="22"/>
              </w:rPr>
            </w:pPr>
            <w:r>
              <w:rPr>
                <w:rFonts w:hint="eastAsia" w:ascii="宋体" w:hAnsi="宋体" w:cs="宋体"/>
                <w:sz w:val="22"/>
                <w:szCs w:val="22"/>
              </w:rPr>
              <w:t>3）项目负责人到岗承诺。（0-3分）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应对突发事件的响应及处理方案</w:t>
            </w:r>
          </w:p>
        </w:tc>
        <w:tc>
          <w:tcPr>
            <w:tcW w:w="1223" w:type="dxa"/>
            <w:vAlign w:val="center"/>
          </w:tcPr>
          <w:p>
            <w:pPr>
              <w:spacing w:line="300" w:lineRule="exact"/>
              <w:jc w:val="center"/>
              <w:rPr>
                <w:rFonts w:ascii="宋体" w:hAnsi="宋体" w:cs="宋体"/>
                <w:sz w:val="22"/>
                <w:szCs w:val="22"/>
              </w:rPr>
            </w:pPr>
            <w:r>
              <w:rPr>
                <w:rFonts w:hint="eastAsia" w:ascii="宋体" w:hAnsi="宋体" w:cs="宋体"/>
                <w:sz w:val="22"/>
                <w:szCs w:val="22"/>
              </w:rPr>
              <w:t>0-5</w:t>
            </w:r>
          </w:p>
        </w:tc>
        <w:tc>
          <w:tcPr>
            <w:tcW w:w="5007" w:type="dxa"/>
            <w:vAlign w:val="center"/>
          </w:tcPr>
          <w:p>
            <w:pPr>
              <w:spacing w:line="300" w:lineRule="exact"/>
              <w:rPr>
                <w:rFonts w:ascii="宋体" w:hAnsi="宋体" w:cs="宋体"/>
                <w:sz w:val="22"/>
                <w:szCs w:val="22"/>
              </w:rPr>
            </w:pPr>
            <w:r>
              <w:rPr>
                <w:rFonts w:hint="eastAsia" w:ascii="宋体" w:hAnsi="宋体" w:cs="宋体"/>
                <w:sz w:val="22"/>
                <w:szCs w:val="22"/>
              </w:rPr>
              <w:t>善于分析问题并发现苗头性问题，有针对性的解决问题的措施具有应对突发事件的经验，有较强的政治敏感性。要求提供详细方案。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numPr>
                <w:ilvl w:val="0"/>
                <w:numId w:val="15"/>
              </w:numPr>
              <w:adjustRightInd w:val="0"/>
              <w:snapToGrid w:val="0"/>
              <w:spacing w:line="300" w:lineRule="exact"/>
              <w:jc w:val="center"/>
              <w:rPr>
                <w:rFonts w:ascii="宋体" w:hAnsi="宋体" w:cs="宋体"/>
                <w:sz w:val="22"/>
                <w:szCs w:val="22"/>
              </w:rPr>
            </w:pPr>
          </w:p>
        </w:tc>
        <w:tc>
          <w:tcPr>
            <w:tcW w:w="2235" w:type="dxa"/>
            <w:vAlign w:val="center"/>
          </w:tcPr>
          <w:p>
            <w:pPr>
              <w:spacing w:line="300" w:lineRule="exact"/>
              <w:rPr>
                <w:rFonts w:ascii="宋体" w:hAnsi="宋体" w:cs="宋体"/>
                <w:sz w:val="22"/>
                <w:szCs w:val="22"/>
              </w:rPr>
            </w:pPr>
            <w:r>
              <w:rPr>
                <w:rFonts w:hint="eastAsia" w:ascii="宋体" w:hAnsi="宋体" w:cs="宋体"/>
                <w:sz w:val="22"/>
                <w:szCs w:val="22"/>
              </w:rPr>
              <w:t>工作人员上岗穿戴的制服配置情况</w:t>
            </w:r>
          </w:p>
        </w:tc>
        <w:tc>
          <w:tcPr>
            <w:tcW w:w="1223" w:type="dxa"/>
            <w:vAlign w:val="center"/>
          </w:tcPr>
          <w:p>
            <w:pPr>
              <w:spacing w:line="300" w:lineRule="exact"/>
              <w:jc w:val="center"/>
            </w:pPr>
            <w:r>
              <w:rPr>
                <w:rFonts w:hint="eastAsia"/>
              </w:rPr>
              <w:t>0-4</w:t>
            </w:r>
          </w:p>
        </w:tc>
        <w:tc>
          <w:tcPr>
            <w:tcW w:w="5007" w:type="dxa"/>
            <w:vAlign w:val="center"/>
          </w:tcPr>
          <w:p>
            <w:pPr>
              <w:spacing w:line="300" w:lineRule="exact"/>
              <w:rPr>
                <w:rFonts w:ascii="宋体" w:hAnsi="宋体" w:cs="宋体"/>
                <w:sz w:val="22"/>
                <w:szCs w:val="22"/>
              </w:rPr>
            </w:pPr>
            <w:r>
              <w:rPr>
                <w:rFonts w:hint="eastAsia" w:ascii="宋体" w:hAnsi="宋体" w:cs="宋体"/>
                <w:sz w:val="22"/>
                <w:szCs w:val="22"/>
              </w:rPr>
              <w:t>根据供应商投入本项目中的服装款式、美观度、实用度进行打分。</w:t>
            </w:r>
          </w:p>
        </w:tc>
      </w:tr>
    </w:tbl>
    <w:p>
      <w:pPr>
        <w:spacing w:line="360" w:lineRule="auto"/>
        <w:ind w:firstLine="420" w:firstLineChars="200"/>
        <w:jc w:val="both"/>
        <w:rPr>
          <w:rFonts w:ascii="宋体" w:hAnsi="宋体" w:cs="宋体"/>
          <w:szCs w:val="21"/>
        </w:rPr>
      </w:pPr>
      <w:r>
        <w:rPr>
          <w:rFonts w:hint="eastAsia" w:ascii="宋体" w:hAnsi="宋体" w:cs="宋体"/>
          <w:szCs w:val="21"/>
        </w:rPr>
        <w:t>注：</w:t>
      </w:r>
    </w:p>
    <w:p>
      <w:pPr>
        <w:spacing w:line="360" w:lineRule="auto"/>
        <w:ind w:firstLine="420" w:firstLineChars="200"/>
        <w:jc w:val="both"/>
        <w:rPr>
          <w:rFonts w:ascii="宋体" w:hAnsi="宋体" w:cs="宋体"/>
          <w:szCs w:val="21"/>
        </w:rPr>
      </w:pPr>
      <w:r>
        <w:rPr>
          <w:rFonts w:hint="eastAsia" w:ascii="宋体" w:hAnsi="宋体" w:cs="宋体"/>
          <w:szCs w:val="21"/>
        </w:rPr>
        <w:t>1.每个评委根据上述评分内容和分值独立打分，然后将各评委汇总分的算术平均值作为该投标供应商的技术、资信标最后有效得分。（计算分值四舍五入，精确到小数点后二位）</w:t>
      </w:r>
    </w:p>
    <w:p>
      <w:pPr>
        <w:spacing w:line="360" w:lineRule="auto"/>
        <w:ind w:firstLine="420" w:firstLineChars="200"/>
        <w:jc w:val="both"/>
        <w:rPr>
          <w:rFonts w:ascii="宋体" w:hAnsi="宋体" w:cs="宋体"/>
          <w:szCs w:val="21"/>
        </w:rPr>
      </w:pPr>
      <w:r>
        <w:rPr>
          <w:rFonts w:hint="eastAsia" w:ascii="宋体" w:hAnsi="宋体" w:cs="宋体"/>
          <w:szCs w:val="21"/>
        </w:rPr>
        <w:t>2.关于招标文件内“保安员”的认定说明：由人力资源和社会保障部门颁发（须提供授权部门相关文件）的证件。</w:t>
      </w:r>
    </w:p>
    <w:p>
      <w:pPr>
        <w:spacing w:line="360" w:lineRule="auto"/>
        <w:ind w:firstLine="420" w:firstLineChars="200"/>
        <w:jc w:val="both"/>
        <w:rPr>
          <w:rFonts w:ascii="宋体" w:hAnsi="宋体" w:cs="宋体"/>
          <w:szCs w:val="21"/>
        </w:rPr>
      </w:pPr>
      <w:r>
        <w:rPr>
          <w:rFonts w:hint="eastAsia" w:ascii="宋体" w:hAnsi="宋体" w:cs="宋体"/>
          <w:szCs w:val="21"/>
        </w:rPr>
        <w:t>三、说明</w:t>
      </w:r>
    </w:p>
    <w:p>
      <w:pPr>
        <w:spacing w:line="360" w:lineRule="auto"/>
        <w:ind w:firstLine="420" w:firstLineChars="200"/>
        <w:jc w:val="both"/>
        <w:rPr>
          <w:rFonts w:ascii="宋体" w:hAnsi="宋体" w:cs="宋体"/>
          <w:szCs w:val="21"/>
        </w:rPr>
      </w:pPr>
      <w:r>
        <w:rPr>
          <w:rFonts w:hint="eastAsia" w:ascii="宋体" w:hAnsi="宋体" w:cs="宋体"/>
          <w:szCs w:val="21"/>
        </w:rPr>
        <w:t>1、每个供应商最终得分=商务技术部分分值（所有评标委员会成员打分的算术平均值）＋报价要求部分分值。</w:t>
      </w:r>
    </w:p>
    <w:p>
      <w:pPr>
        <w:spacing w:line="360" w:lineRule="auto"/>
        <w:ind w:firstLine="420" w:firstLineChars="200"/>
        <w:jc w:val="both"/>
        <w:rPr>
          <w:rFonts w:ascii="宋体" w:hAnsi="宋体" w:cs="宋体"/>
          <w:szCs w:val="21"/>
        </w:rPr>
      </w:pPr>
      <w:r>
        <w:rPr>
          <w:rFonts w:hint="eastAsia" w:ascii="宋体" w:hAnsi="宋体" w:cs="宋体"/>
          <w:szCs w:val="21"/>
        </w:rPr>
        <w:t>2、评标委员会推荐得分最高的供应商为预中标供应商（如果得分相同则按报价从低到高顺序依次推荐为预中标单位）；如果得分相同，报价也相同，以抽签决定，并编写评标报告。</w:t>
      </w:r>
    </w:p>
    <w:p>
      <w:pPr>
        <w:spacing w:line="360" w:lineRule="auto"/>
        <w:ind w:firstLine="420" w:firstLineChars="200"/>
        <w:jc w:val="both"/>
        <w:rPr>
          <w:rFonts w:ascii="宋体" w:hAnsi="宋体" w:cs="宋体"/>
          <w:szCs w:val="21"/>
        </w:rPr>
      </w:pPr>
      <w:r>
        <w:rPr>
          <w:rFonts w:hint="eastAsia" w:ascii="宋体" w:hAnsi="宋体" w:cs="宋体"/>
          <w:szCs w:val="21"/>
        </w:rPr>
        <w:t>3、所有分值计算保留小数点后二位，小数点后三位四舍五入。</w:t>
      </w:r>
    </w:p>
    <w:p>
      <w:pPr>
        <w:spacing w:line="360" w:lineRule="auto"/>
        <w:ind w:firstLine="420" w:firstLineChars="200"/>
        <w:jc w:val="both"/>
        <w:rPr>
          <w:rFonts w:ascii="宋体" w:hAnsi="宋体" w:cs="宋体"/>
          <w:szCs w:val="21"/>
        </w:rPr>
      </w:pPr>
      <w:r>
        <w:rPr>
          <w:rFonts w:hint="eastAsia" w:ascii="宋体" w:hAnsi="宋体" w:cs="宋体"/>
          <w:szCs w:val="21"/>
        </w:rPr>
        <w:t>参见本招标文件第三部分：“供应商须知”中的相关内容，未尽事宜按有关法律规定处理。</w:t>
      </w:r>
    </w:p>
    <w:p>
      <w:pPr>
        <w:jc w:val="both"/>
        <w:rPr>
          <w:rFonts w:ascii="仿宋" w:hAnsi="仿宋" w:eastAsia="仿宋" w:cs="仿宋"/>
        </w:rPr>
      </w:pPr>
    </w:p>
    <w:p>
      <w:pPr>
        <w:widowControl w:val="0"/>
        <w:snapToGrid w:val="0"/>
        <w:spacing w:line="400" w:lineRule="exact"/>
        <w:ind w:firstLine="420" w:firstLineChars="200"/>
        <w:jc w:val="both"/>
      </w:pPr>
    </w:p>
    <w:sectPr>
      <w:headerReference r:id="rId14" w:type="default"/>
      <w:footerReference r:id="rId16" w:type="default"/>
      <w:headerReference r:id="rId15" w:type="even"/>
      <w:footerReference r:id="rId17" w:type="even"/>
      <w:pgSz w:w="11906" w:h="16838"/>
      <w:pgMar w:top="1388" w:right="1418" w:bottom="1134" w:left="1418" w:header="68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iti SC Light">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l">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Futura Bk">
    <w:altName w:val="Arial"/>
    <w:panose1 w:val="00000000000000000000"/>
    <w:charset w:val="00"/>
    <w:family w:val="swiss"/>
    <w:pitch w:val="default"/>
    <w:sig w:usb0="00000000" w:usb1="00000000" w:usb2="00000000" w:usb3="00000000" w:csb0="0000009F" w:csb1="00000000"/>
  </w:font>
  <w:font w:name="等线">
    <w:altName w:val="Arial Unicode MS"/>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altName w:val="方正舒体"/>
    <w:panose1 w:val="00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4104" o:spt="202" type="#_x0000_t202" style="position:absolute;left:0pt;margin-top:0pt;height:144pt;width:144pt;mso-position-horizontal:center;mso-position-horizontal-relative:margin;mso-wrap-style:none;z-index:251663360;mso-width-relative:page;mso-height-relative:page;" filled="f" stroked="f"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57ylYwIAABEFAAAOAAAAZHJzL2Uyb0RvYy54bWysVM1u1DAQviPxDpbvNNsiqtWq2WppVYRU UURBnL2O3Y2wPZbtbrI8ALwBJy7cea4+B5+dTYoKlyIuzsTz+30z45PT3hq2VSG25Gp+eDDjTDlJ Tetuav7h/cWzOWcxCdcIQ07VfKciP10+fXLS+YU6og2ZRgWGIC4uOl/zTUp+UVVRbpQV8YC8clBq ClYk/IabqgmiQ3RrqqPZ7LjqKDQ+kFQx4vZ8UPJlia+1kulK66gSMzVHbamcoZzrfFbLE7G4CcJv WrkvQ/xDFVa0DkmnUOciCXYb2j9C2VYGiqTTgSRbkdatVAUD0BzOHqC53givChaQE/1EU/x/YeWb 7dvA2qbmx5w5YdGiu29f777/vPvxhR1nejofF7C69rBL/Uvq0ebxPuIyo+51sPkLPAx6EL2byFV9 YjI7zY/m8xlUErrxB/Gre3cfYnqlyLIs1Dyge4VUsb2MaTAdTXI2RxetMaWDxrEOEJ6/mBWHSYPg xiFHBjEUW6S0MypHMO6d0kBfas4XZe7UmQlsKzAxQkrlUoFbIsE6W2mkfYzj3j67qjKTj3GePEpm cmlytq2jUPA+KLv5NJasB/uRgQF3piD16760ferlmpodWhxo2JHo5UWLNlyKmN6KgKVA67Do6QqH NgS6aS9xtqHw+W/32R6zCi1nHZas5g6vAGfmtcMM530chTAK61Fwt/aM0INDPCBeFhEOIZlR1IHs R2z/KueASjiJTDVPo3iWhkXH6yHValWMsHVepEt37WUOXXruV7cJo1QmLHMzMLHnDHtXZnT/RuTF /v2/WN2/ZMtfAAAA//8DAFBLAwQUAAYACAAAACEAcarRudcAAAAFAQAADwAAAGRycy9kb3ducmV2 LnhtbEyPQU/DMAyF75P2HyIjcdtSBkJVaTqxiXJEYuXAMWtMW0icKsm68u8xCAkulp+e9fy9cjs7 KyYMcfCk4GqdgUBqvRmoU/DS1KscREyajLaeUMEnRthWy0WpC+PP9IzTIXWCQygWWkGf0lhIGdse nY5rPyKx9+aD04ll6KQJ+szhzspNlt1KpwfiD70ecd9j+3E4OQX7umnChDHYV3ysr9+fdjf4MCt1 eTHf34FIOKe/Y/jGZ3SomOnoT2SisAq4SPqZ7G3ynOXxd5FVKf/TV18AAAD//wMAUEsBAi0AFAAG AAgAAAAhALaDOJL+AAAA4QEAABMAAAAAAAAAAAAAAAAAAAAAAFtDb250ZW50X1R5cGVzXS54bWxQ SwECLQAUAAYACAAAACEAOP0h/9YAAACUAQAACwAAAAAAAAAAAAAAAAAvAQAAX3JlbHMvLnJlbHNQ SwECLQAUAAYACAAAACEA+Oe8pWMCAAARBQAADgAAAAAAAAAAAAAAAAAuAgAAZHJzL2Uyb0RvYy54 bWxQSwECLQAUAAYACAAAACEAcarRudcAAAAFAQAADwAAAAAAAAAAAAAAAAC9BAAAZHJzL2Rvd25y ZXYueG1sUEsFBgAAAAAEAAQA8wAAAMEFAAAAAA== ">
          <v:path/>
          <v:fill on="f" focussize="0,0"/>
          <v:stroke on="f" weight="0.5pt" joinstyle="miter"/>
          <v:imagedata o:title=""/>
          <o:lock v:ext="edit"/>
          <v:textbox inset="0mm,0mm,0mm,0mm" style="mso-fit-shape-to-text:t;">
            <w:txbxContent>
              <w:p>
                <w:pPr>
                  <w:pStyle w:val="25"/>
                </w:pPr>
                <w:r>
                  <w:fldChar w:fldCharType="begin"/>
                </w:r>
                <w:r>
                  <w:instrText xml:space="preserve"> PAGE  \* MERGEFORMAT </w:instrText>
                </w:r>
                <w:r>
                  <w:fldChar w:fldCharType="separate"/>
                </w:r>
                <w:r>
                  <w:t>78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4105" o:spid="_x0000_s4105"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WLh2QyAgAAYQQAAA4AAABkcnMvZTJvRG9jLnhtbK1UzY7TMBC+I/EO lu80aRG7VdV0VbYqQqrYlRbE2XWcJpL/ZLtNygPAG3Diwp3n6nPw2Wm6aOGwBy7O2DP+xt83M5nf dEqSg3C+Mbqg41FOidDclI3eFfTTx/WrKSU+MF0yabQo6FF4erN4+WLe2pmYmNrIUjgCEO1nrS1o HYKdZZnntVDMj4wVGs7KOMUCtm6XlY61QFcym+T5VdYaV1pnuPAep6veSc+I7jmApqoaLlaG75XQ oUd1QrIASr5urKeL9NqqEjzcVZUXgciCgmlIK5LA3sY1W8zZbOeYrRt+fgJ7zhOecFKs0Uh6gVqx wMjeNX9BqYY7400VRtyorCeSFAGLcf5Em4eaWZG4QGpvL6L7/wfLPxzuHWnKgl5ToplCwU/fv51+ /Dr9/Equozyt9TNEPVjEhe6t6dA0w7nHYWTdVU7FL/gQ+CHu8SKu6ALh8dJ0Mp3mcHH4hg3ws8fr 1vnwThhFolFQh+olUdlh40MfOoTEbNqsGylTBaUmbUGvXr/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9YuHZDICAABhBAAADgAAAAAAAAABACAAAAAfAQAAZHJzL2Uyb0RvYy54bWxQSwUG AAAAAAYABgBZAQAAwwUAAAAA ">
          <v:path/>
          <v:fill on="f" focussize="0,0"/>
          <v:stroke on="f" weight="0.5pt" joinstyle="miter"/>
          <v:imagedata o:title=""/>
          <o:lock v:ext="edit"/>
          <v:textbox inset="0mm,0mm,0mm,0mm" style="mso-fit-shape-to-text:t;">
            <w:txbxContent>
              <w:p>
                <w:pPr>
                  <w:pStyle w:val="115"/>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4" o:spid="_x0000_s4102"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k09pZQIAABEFAAAOAAAAZHJzL2Uyb0RvYy54bWysVMtuEzEU3SPxD5b3dNIHVRR1UoVWRUgV rSiIteOxmxG2r2W7mQkfAH/Aig17vqvfwbEnk6LCpoiN547v+5x7fXLaW8PWKsSWXM339yacKSep ad1tzT+8v3gx5Swm4RphyKmab1Tkp/Pnz046P1MHtCLTqMAQxMVZ52u+SsnPqirKlbIi7pFXDkpN wYqE33BbNUF0iG5NdTCZHFcdhcYHkipG3J4PSj4v8bVWMl1pHVVipuaoLZUzlHOZz2p+Ima3QfhV K7dliH+oworWIeku1LlIgt2F9o9QtpWBIum0J8lWpHUrVekB3exPHnVzsxJelV4ATvQ7mOL/Cyvf rq8Da5uaH3HmhAVF99++3n//ef/jCzvK8HQ+zmB142GX+lfUg+bxPuIyd93rYPMX/TDoAfRmB67q E5PZaXownU6gktCNP4hfPbj7ENNrRZZloeYB7BVQxfoypsF0NMnZHF20xhQGjWNdzY8PX06Kw06D 4MYhR25iKLZIaWNUjmDcO6XRfak5X5S5U2cmsLXAxAgplUul3RIJ1tlKI+1THLf22VWVmXyK886j ZCaXds62dRRKv4/Kbj6NJevBfkRg6DtDkPplX2g/HLlcUrMBxYGGHYleXrSg4VLEdC0ClgLUYdHT FQ5tCHDTVuJsReHz3+6zPWYVWs46LFnNHV4BzswbhxnO+zgKYRSWo+Du7BmBg308IF4WEQ4hmVHU gexHbP8i54BKOIlMNU+jeJaGRcfrIdViUYywdV6kS3fjZQ5dOPeLu4RRKhOWsRmQ2GKGvSszun0j 8mL//l+sHl6y+S8AAAD//wMAUEsDBBQABgAIAAAAIQBxqtG51wAAAAUBAAAPAAAAZHJzL2Rvd25y ZXYueG1sTI9BT8MwDIXvk/YfIiNx21IGQlVpOrGJckRi5cAxa0xbSJwqybry7zEICS6Wn571/L1y OzsrJgxx8KTgap2BQGq9GahT8NLUqxxETJqMtp5QwSdG2FbLRakL48/0jNMhdYJDKBZaQZ/SWEgZ 2x6djms/IrH35oPTiWXopAn6zOHOyk2W3UqnB+IPvR5x32P7cTg5Bfu6acKEMdhXfKyv3592N/gw K3V5Md/fgUg4p79j+MZndKiY6ehPZKKwCrhI+pnsbfKc5fF3kVUp/9NXXwAAAP//AwBQSwECLQAU AAYACAAAACEAtoM4kv4AAADhAQAAEwAAAAAAAAAAAAAAAAAAAAAAW0NvbnRlbnRfVHlwZXNdLnht bFBLAQItABQABgAIAAAAIQA4/SH/1gAAAJQBAAALAAAAAAAAAAAAAAAAAC8BAABfcmVscy8ucmVs c1BLAQItABQABgAIAAAAIQD4k09pZQIAABEFAAAOAAAAAAAAAAAAAAAAAC4CAABkcnMvZTJvRG9j LnhtbFBLAQItABQABgAIAAAAIQBxqtG51wAAAAUBAAAPAAAAAAAAAAAAAAAAAL8EAABkcnMvZG93 bnJldi54bWxQSwUGAAAAAAQABADzAAAAwwUAAAAA ">
          <v:path/>
          <v:fill on="f" focussize="0,0"/>
          <v:stroke on="f" weight="0.5pt" joinstyle="miter"/>
          <v:imagedata o:title=""/>
          <o:lock v:ext="edit"/>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4103" o:spid="_x0000_s4103"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OrREyAgAAYQQAAA4AAABkcnMvZTJvRG9jLnhtbK1UzY7TMBC+I/EO lu80aVFX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3k7T9sLVA3CpkSOS6B4brdDsm57Z3uRn EHOm6wxv+aZC8i3z4YE5tAIejGEJ91gKaZDE9BYlpXFf/3Ue41EheCmp0VoZ1ZgkSuQHjcoBMAyG G4z9YOijujPo1TGG0PLWxAUX5GAWzqgvmKBVzAEX0xyZMhoG8y507Y0J5GK1aoOO1lWHsruAvrMs bPXO8pgmCunt6hggZqtxFKhTpdcNnddWqZ+S2Np/7tuopz/D8h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f46tETICAABhBAAADgAAAAAAAAABACAAAAAfAQAAZHJzL2Uyb0RvYy54bWxQSwUG AAAAAAYABgBZAQAAwwUAAAAA ">
          <v:path/>
          <v:fill on="f" focussize="0,0"/>
          <v:stroke on="f" weight="0.5pt" joinstyle="miter"/>
          <v:imagedata o:title=""/>
          <o:lock v:ext="edit"/>
          <v:textbox inset="0mm,0mm,0mm,0mm" style="mso-fit-shape-to-text:t;">
            <w:txbxContent>
              <w:p>
                <w:pPr>
                  <w:pStyle w:val="115"/>
                </w:pPr>
                <w:r>
                  <w:fldChar w:fldCharType="begin"/>
                </w:r>
                <w:r>
                  <w:instrText xml:space="preserve"> PAGE  \* MERGEFORMAT </w:instrText>
                </w:r>
                <w:r>
                  <w:fldChar w:fldCharType="separate"/>
                </w:r>
                <w:r>
                  <w:t>4</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8" o:spid="_x0000_s4100" o:spt="202" type="#_x0000_t202" style="position:absolute;left:0pt;margin-top:0pt;height:144pt;width:144pt;mso-position-horizontal:center;mso-position-horizontal-relative:margin;mso-wrap-style:none;z-index:251665408;mso-width-relative:page;mso-height-relative:page;" filled="f" stroked="f"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vExZAIAABEFAAAOAAAAZHJzL2Uyb0RvYy54bWysVE1uEzEU3iNxB8t7OmlRqyjKpAqtipAq WlEQa8djNyNsP8t2MxMOADdgxYY95+o5+OzJpKiwKWLjeeP3/33veX7aW8M2KsSWXM0PDyacKSep ad1tzT+8v3gx5Swm4RphyKmab1Xkp4vnz+adn6kjWpNpVGAI4uKs8zVfp+RnVRXlWlkRD8grB6Wm YEXCb7itmiA6RLemOppMTqqOQuMDSRUjbs8HJV+U+Forma60jioxU3PUlsoZyrnKZ7WYi9ltEH7d yl0Z4h+qsKJ1SLoPdS6SYHeh/SOUbWWgSDodSLIVad1KVXpAN4eTR93crIVXpReAE/0epvj/wsq3 m+vA2qbmIMoJC4ruv329//7z/scXNs3wdD7OYHXjYZf6V9SD5vE+4jJ33etg8xf9MOgB9HYPruoT k9lpejSdTqCS0I0/iF89uPsQ02tFlmWh5gHsFVDF5jKmwXQ0ydkcXbTGFAaNY13NT14eT4rDXoPg xiFHbmIotkhpa1SOYNw7pdF9qTlflLlTZyawjcDECCmVS6XdEgnW2Uoj7VMcd/bZVZWZfIrz3qNk Jpf2zrZ1FEq/j8puPo0l68F+RGDoO0OQ+lVfaD8euVxRswXFgYYdiV5etKDhUsR0LQKWAtRh0dMV Dm0IcNNO4mxN4fPf7rM9ZhVazjosWc0dXgHOzBuHGc77OAphFFaj4O7sGYGDQzwgXhYRDiGZUdSB 7Eds/zLngEo4iUw1T6N4loZFx+sh1XJZjLB1XqRLd+NlDl0498u7hFEqE5axGZDYYYa9KzO6eyPy Yv/+X6weXrLFLwAAAP//AwBQSwMEFAAGAAgAAAAhAHGq0bnXAAAABQEAAA8AAABkcnMvZG93bnJl di54bWxMj0FPwzAMhe+T9h8iI3HbUgZCVWk6sYlyRGLlwDFrTFtInCrJuvLvMQgJLpafnvX8vXI7 OysmDHHwpOBqnYFAar0ZqFPw0tSrHERMmoy2nlDBJ0bYVstFqQvjz/SM0yF1gkMoFlpBn9JYSBnb Hp2Oaz8isffmg9OJZeikCfrM4c7KTZbdSqcH4g+9HnHfY/txODkF+7ppwoQx2Fd8rK/fn3Y3+DAr dXkx39+BSDinv2P4xmd0qJjp6E9korAKuEj6mext8pzl8XeRVSn/01dfAAAA//8DAFBLAQItABQA BgAIAAAAIQC2gziS/gAAAOEBAAATAAAAAAAAAAAAAAAAAAAAAABbQ29udGVudF9UeXBlc10ueG1s UEsBAi0AFAAGAAgAAAAhADj9If/WAAAAlAEAAAsAAAAAAAAAAAAAAAAALwEAAF9yZWxzLy5yZWxz UEsBAi0AFAAGAAgAAAAhAP6K8TFkAgAAEQUAAA4AAAAAAAAAAAAAAAAALgIAAGRycy9lMm9Eb2Mu eG1sUEsBAi0AFAAGAAgAAAAhAHGq0bnXAAAABQEAAA8AAAAAAAAAAAAAAAAAvgQAAGRycy9kb3du cmV2LnhtbFBLBQYAAAAABAAEAPMAAADCBQAAAAA= ">
          <v:path/>
          <v:fill on="f" focussize="0,0"/>
          <v:stroke on="f" weight="0.5pt" joinstyle="miter"/>
          <v:imagedata o:title=""/>
          <o:lock v:ext="edit"/>
          <v:textbox inset="0mm,0mm,0mm,0mm" style="mso-fit-shape-to-text:t;">
            <w:txbxContent>
              <w:p>
                <w:pPr>
                  <w:pStyle w:val="25"/>
                </w:pPr>
                <w:r>
                  <w:fldChar w:fldCharType="begin"/>
                </w:r>
                <w:r>
                  <w:instrText xml:space="preserve"> PAGE  \* MERGEFORMAT </w:instrText>
                </w:r>
                <w:r>
                  <w:fldChar w:fldCharType="separate"/>
                </w:r>
                <w:r>
                  <w:t>19</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4101" o:spid="_x0000_s4101" o:spt="202" type="#_x0000_t202" style="position:absolute;left:0pt;margin-top:0pt;height:144pt;width:144pt;mso-position-horizontal:center;mso-position-horizontal-relative:margin;mso-wrap-style:none;z-index:251666432;mso-width-relative:page;mso-height-relative:page;" filled="f" stroked="f"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IhXZQIAABEFAAAOAAAAZHJzL2Uyb0RvYy54bWysVE1uEzEU3iNxB8t7OmmBKo06qUKrIqSK VhTE2vHYzQjbz7LdzIQDwA1YsWHPuXoOPnsyKSpsith43vj9f997Pj7prWFrFWJLrub7exPOlJPU tO6m5h/enz+bchaTcI0w5FTNNyryk/nTJ8edn6kDWpFpVGAI4uKs8zVfpeRnVRXlSlkR98grB6Wm YEXCb7ipmiA6RLemOphMDquOQuMDSRUjbs8GJZ+X+FormS61jioxU3PUlsoZyrnMZzU/FrObIPyq ldsyxD9UYUXrkHQX6kwkwW5D+0co28pAkXTak2Qr0rqVqvSAbvYnD7q5XgmvSi8AJ/odTPH/hZVv 11eBtU3NjzhzwoKiu29f777/vPvxhR1leDofZ7C69rBL/SvqQfN4H3GZu+51sPmLfhj0AHqzA1f1 icnsND2YTidQSejGH8Sv7t19iOm1IsuyUPMA9gqoYn0R02A6muRsjs5bYwqDxrGu5ofPX06Kw06D 4MYhR25iKLZIaWNUjmDcO6XRfak5X5S5U6cmsLXAxAgplUul3RIJ1tlKI+1jHLf22VWVmXyM886j ZCaXds62dRRKvw/Kbj6NJevBfkRg6DtDkPplX2h/MXK5pGYDigMNOxK9PG9Bw4WI6UoELAWow6Kn SxzaEOCmrcTZisLnv91ne8wqtJx1WLKaO7wCnJk3DjOc93EUwigsR8Hd2lMCB/t4QLwsIhxCMqOo A9mP2P5FzgGVcBKZap5G8TQNi47XQ6rFohhh67xIF+7ayxy6cO4XtwmjVCYsYzMgscUMe1dmdPtG 5MX+/b9Y3b9k818AAAD//wMAUEsDBBQABgAIAAAAIQBxqtG51wAAAAUBAAAPAAAAZHJzL2Rvd25y ZXYueG1sTI9BT8MwDIXvk/YfIiNx21IGQlVpOrGJckRi5cAxa0xbSJwqybry7zEICS6Wn571/L1y OzsrJgxx8KTgap2BQGq9GahT8NLUqxxETJqMtp5QwSdG2FbLRakL48/0jNMhdYJDKBZaQZ/SWEgZ 2x6djms/IrH35oPTiWXopAn6zOHOyk2W3UqnB+IPvR5x32P7cTg5Bfu6acKEMdhXfKyv3592N/gw K3V5Md/fgUg4p79j+MZndKiY6ehPZKKwCrhI+pnsbfKc5fF3kVUp/9NXXwAAAP//AwBQSwECLQAU AAYACAAAACEAtoM4kv4AAADhAQAAEwAAAAAAAAAAAAAAAAAAAAAAW0NvbnRlbnRfVHlwZXNdLnht bFBLAQItABQABgAIAAAAIQA4/SH/1gAAAJQBAAALAAAAAAAAAAAAAAAAAC8BAABfcmVscy8ucmVs c1BLAQItABQABgAIAAAAIQD+MIhXZQIAABEFAAAOAAAAAAAAAAAAAAAAAC4CAABkcnMvZTJvRG9j LnhtbFBLAQItABQABgAIAAAAIQBxqtG51wAAAAUBAAAPAAAAAAAAAAAAAAAAAL8EAABkcnMvZG93 bnJldi54bWxQSwUGAAAAAAQABADzAAAAwwUAAAAA ">
          <v:path/>
          <v:fill on="f" focussize="0,0"/>
          <v:stroke on="f" weight="0.5pt" joinstyle="miter"/>
          <v:imagedata o:title=""/>
          <o:lock v:ext="edit"/>
          <v:textbox inset="0mm,0mm,0mm,0mm" style="mso-fit-shape-to-text:t;">
            <w:txbxContent>
              <w:p>
                <w:pPr>
                  <w:pStyle w:val="25"/>
                </w:pPr>
                <w:r>
                  <w:fldChar w:fldCharType="begin"/>
                </w:r>
                <w:r>
                  <w:instrText xml:space="preserve"> PAGE  \* MERGEFORMAT </w:instrText>
                </w:r>
                <w:r>
                  <w:fldChar w:fldCharType="separate"/>
                </w:r>
                <w:r>
                  <w:t>20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10" o:spid="_x0000_s4099" o:spt="202" type="#_x0000_t202" style="position:absolute;left:0pt;margin-left:231.6pt;margin-top:0pt;height:144pt;width:144pt;mso-position-horizontal-relative:margin;mso-wrap-style:none;z-index:251667456;mso-width-relative:page;mso-height-relative:page;" filled="f" stroked="f"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gv3dZAIAABMFAAAOAAAAZHJzL2Uyb0RvYy54bWysVE1uEzEU3iNxB8t7OmkRVRRlUoVWRUgV rSiIteOxmxG2n2W7mQkHgBuwYtM95+o5+OzJpKiwKWLjeeP3ve/9e37SW8M2KsSWXM0PDyacKSep ad1NzT9+OH8x5Swm4RphyKmab1XkJ4vnz+adn6kjWpNpVGAgcXHW+ZqvU/KzqopyrayIB+SVg1JT sCLhN9xUTRAd2K2pjiaT46qj0PhAUsWI27NByReFX2sl06XWUSVmao7YUjlDOVf5rBZzMbsJwq9b uQtD/EMUVrQOTvdUZyIJdhvaP6hsKwNF0ulAkq1I61aqkgOyOZw8yuZ6LbwquaA40e/LFP8frXy3 uQqsbdA7lMcJix7df/92/+Pn/d1XhjsUqPNxBty1BzL1r6kHeLyPuMx59zrY/EVGDHpwbfflVX1i MhtNj6bTCVQSuvEH/NWDuQ8xvVFkWRZqHtC/UlaxuYhpgI6Q7M3ReWtM6aFxrKv58ctXk2Kw14Dc OPjISQzBFiltjcoMxr1XGvmXmPNFmTx1agLbCMyMkFK5VNItTEBnlIbbpxju8NlUlal8ivHeongm l/bGtnUUSr6Pwm4+jyHrAT9WYMg7lyD1q740/njs5YqaLVocaNiS6OV5izZciJiuRMBaoHVY9XSJ QxtCuWkncbam8OVv9xmPaYWWsw5rVnOHd4Az89ZhikGYRiGMwmoU3K09JfTgEE+Il0WEQUhmFHUg +wn7v8w+oBJOwlPN0yiepmHV8X5ItVwWEPbOi3Thrr3M1KXnfnmbMEplwnJthkrsaobNKzO6eyXy av/+X1APb9niFwAAAP//AwBQSwMEFAAGAAgAAAAhAFj4CTbcAAAACAEAAA8AAABkcnMvZG93bnJl di54bWxMj8FOwzAQRO9I/IO1SL1Rp2kpUcimohXhiETDgaMbL0kgtiPbTcPfs5zgOJrRzJtiN5tB TORD7yzCapmAINs43dsW4a2ubjMQISqr1eAsIXxTgF15fVWoXLuLfaXpGFvBJTbkCqGLccylDE1H RoWlG8my9+G8UZGlb6X26sLlZpBpkmylUb3lhU6NdOio+TqeDcKhqms/UfDDOz1X68+X/YaeZsTF zfz4ACLSHP/C8IvP6FAy08mdrQ5iQNhs1ylHEfgR2/d3K5YnhDTLEpBlIf8fKH8AAAD//wMAUEsB Ai0AFAAGAAgAAAAhALaDOJL+AAAA4QEAABMAAAAAAAAAAAAAAAAAAAAAAFtDb250ZW50X1R5cGVz XS54bWxQSwECLQAUAAYACAAAACEAOP0h/9YAAACUAQAACwAAAAAAAAAAAAAAAAAvAQAAX3JlbHMv LnJlbHNQSwECLQAUAAYACAAAACEAmYL93WQCAAATBQAADgAAAAAAAAAAAAAAAAAuAgAAZHJzL2Uy b0RvYy54bWxQSwECLQAUAAYACAAAACEAWPgJNtwAAAAIAQAADwAAAAAAAAAAAAAAAAC+BAAAZHJz L2Rvd25yZXYueG1sUEsFBgAAAAAEAAQA8wAAAMcFAAAAAA== ">
          <v:path/>
          <v:fill on="f" focussize="0,0"/>
          <v:stroke on="f" weight="0.5pt" joinstyle="miter"/>
          <v:imagedata o:title=""/>
          <o:lock v:ext="edit"/>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K24huAEAAFIDAAAOAAAAZHJzL2Uyb0RvYy54bWysU8Fu2zAMvQ/YPwi6L3ICbDCMOEWHosOA oS3Q7QMUWYoFSKIgKbHzA+0f7LRL7/2ufMcoJU637jb0IlMk9fgeSS8vRmvIToaowbV0PqsokU5A p92mpT++X3+oKYmJu44bcLKlexnpxer9u+XgG7mAHkwnA0EQF5vBt7RPyTeMRdFLy+MMvHQYVBAs T3gNG9YFPiC6NWxRVZ/YAKHzAYSMEb1XxyBdFXylpEi3SkWZiGkpckvlDOVc55OtlrzZBO57LU40 +H+wsFw7LHqGuuKJk23Q/0BZLQJEUGkmwDJQSgtZNKCaefVKzX3PvSxasDnRn9sU3w5W3OzuAtFd SxeUOG5xRIefj4dfz4enB/Ixt2fwscGse495afwMI4558kd0ZtWjCjZ/UQ/BODZ6f26uHBMR+VG9 qOsKQwJj0wXx2ctzH2L6IsGSbLQ04PRKU/nuW0zH1CklV3NwrY0pEzTuLwdiZg/L3I8cs5XG9Vik 1hP/NXR7lDXg/FvqcEEpMV8dtjevymSEyVhPxtYHvemR4bzQi/5ym5BLoZgLHWFP9XFwReRpyfJm /HkvWS+/wuo3AAAA//8DAFBLAwQUAAYACAAAACEADErw7tYAAAAFAQAADwAAAGRycy9kb3ducmV2 LnhtbEyPQWvDMAyF74P+B6PCbqvTHraQxSml0Etv68ZgNzdW4zBbDrabJv9+2hhsF6HHE0/fq7eT d2LEmPpACtarAgRSG0xPnYK318NDCSJlTUa7QKhgxgTbZnFX68qEG73geMqd4BBKlVZgcx4qKVNr 0eu0CgMSe5cQvc4sYydN1DcO905uiuJRet0Tf7B6wL3F9vN09QqepveAQ8I9flzGNtp+Lt1xVup+ Oe2eQWSc8t8xfOMzOjTMdA5XMkk4BVwk/0z2NmXJ8vy7yKaW/+mbLwAAAP//AwBQSwECLQAUAAYA CAAAACEAtoM4kv4AAADhAQAAEwAAAAAAAAAAAAAAAAAAAAAAW0NvbnRlbnRfVHlwZXNdLnhtbFBL AQItABQABgAIAAAAIQA4/SH/1gAAAJQBAAALAAAAAAAAAAAAAAAAAC8BAABfcmVscy8ucmVsc1BL AQItABQABgAIAAAAIQAeK24huAEAAFIDAAAOAAAAAAAAAAAAAAAAAC4CAABkcnMvZTJvRG9jLnht bFBLAQItABQABgAIAAAAIQAMSvDu1gAAAAUBAAAPAAAAAAAAAAAAAAAAABIEAABkcnMvZG93bnJl di54bWxQSwUGAAAAAAQABADzAAAAFQUAAAAA ">
          <v:path/>
          <v:fill on="f" focussize="0,0"/>
          <v:stroke on="f" joinstyle="miter"/>
          <v:imagedata o:title=""/>
          <o:lock v:ext="edit"/>
          <v:textbox inset="0mm,0mm,0mm,0mm" style="mso-fit-shape-to-text:t;">
            <w:txbxContent>
              <w:p>
                <w:pPr>
                  <w:pStyle w:val="25"/>
                </w:pPr>
                <w:r>
                  <w:fldChar w:fldCharType="begin"/>
                </w:r>
                <w:r>
                  <w:instrText xml:space="preserve"> PAGE  \* MERGEFORMAT </w:instrText>
                </w:r>
                <w:r>
                  <w:fldChar w:fldCharType="separate"/>
                </w:r>
                <w:r>
                  <w:t>77</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G0ruuAEAAFIDAAAOAAAAZHJzL2Uyb0RvYy54bWysU0tu2zAQ3RfIHQjuY8oOkBqC5aBFkKBA kRZIcwCaIi0C/GFIW/IF0ht01U33OZfPkSFtOWmyK7qhhjPDN+/NjBZXgzVkKyFq7xo6nVSUSCd8 q926oQ8/bs7nlMTEXcuNd7KhOxnp1fLsw6IPtZz5zptWAkEQF+s+NLRLKdSMRdFJy+PEB+kwqDxY nvAKa9YC7xHdGjarqkvWe2gDeCFjRO/1IUiXBV8pKdI3paJMxDQUuaVyQjlX+WTLBa/XwEOnxZEG /wcWlmuHRU9Q1zxxsgH9DspqAT56lSbCW+aV0kIWDahmWr1Rc9/xIIsWbE4MpzbF/wcr7rbfgei2 oReUOG5xRPtfP/e/n/Z/Hsllbk8fYo1Z9wHz0vDZDzjm0R/RmVUPCmz+oh6CcWz07tRcOSQi8qP5 bD6vMCQwNl4Qn708DxDTrfSWZKOhgNMrTeXbrzEdUseUXM35G21MmaBxfzkQM3tY5n7gmK00rIYi 9ePIf+XbHcrqcf4NdbiglJgvDtubV2U0YDRWo7EJoNcdMpwWejF82iTkUijmQgfYY30cXBF5XLK8 Ga/vJevlV1g+AwAA//8DAFBLAwQUAAYACAAAACEADErw7tYAAAAFAQAADwAAAGRycy9kb3ducmV2 LnhtbEyPQWvDMAyF74P+B6PCbqvTHraQxSml0Etv68ZgNzdW4zBbDrabJv9+2hhsF6HHE0/fq7eT d2LEmPpACtarAgRSG0xPnYK318NDCSJlTUa7QKhgxgTbZnFX68qEG73geMqd4BBKlVZgcx4qKVNr 0eu0CgMSe5cQvc4sYydN1DcO905uiuJRet0Tf7B6wL3F9vN09QqepveAQ8I9flzGNtp+Lt1xVup+ Oe2eQWSc8t8xfOMzOjTMdA5XMkk4BVwk/0z2NmXJ8vy7yKaW/+mbLwAAAP//AwBQSwECLQAUAAYA CAAAACEAtoM4kv4AAADhAQAAEwAAAAAAAAAAAAAAAAAAAAAAW0NvbnRlbnRfVHlwZXNdLnhtbFBL AQItABQABgAIAAAAIQA4/SH/1gAAAJQBAAALAAAAAAAAAAAAAAAAAC8BAABfcmVscy8ucmVsc1BL AQItABQABgAIAAAAIQC8G0ruuAEAAFIDAAAOAAAAAAAAAAAAAAAAAC4CAABkcnMvZTJvRG9jLnht bFBLAQItABQABgAIAAAAIQAMSvDu1gAAAAUBAAAPAAAAAAAAAAAAAAAAABIEAABkcnMvZG93bnJl di54bWxQSwUGAAAAAAQABADzAAAAFQUAAAAA ">
          <v:path/>
          <v:fill on="f" focussize="0,0"/>
          <v:stroke on="f" joinstyle="miter"/>
          <v:imagedata o:title=""/>
          <o:lock v:ext="edit"/>
          <v:textbox inset="0mm,0mm,0mm,0mm" style="mso-fit-shape-to-text:t;">
            <w:txbxContent>
              <w:p>
                <w:pPr>
                  <w:pStyle w:val="25"/>
                </w:pPr>
                <w:r>
                  <w:fldChar w:fldCharType="begin"/>
                </w:r>
                <w:r>
                  <w:instrText xml:space="preserve"> PAGE  \* MERGEFORMAT </w:instrText>
                </w:r>
                <w:r>
                  <w:fldChar w:fldCharType="separate"/>
                </w:r>
                <w:r>
                  <w:t>76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rPr>
    </w:pPr>
    <w:r>
      <w:rPr>
        <w:rFonts w:hint="eastAsia" w:ascii="宋体"/>
      </w:rPr>
      <w:t>龙湾区政府采购招标文件                                                               LWJC20211201</w:t>
    </w:r>
  </w:p>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hint="eastAsia" w:ascii="宋体"/>
      </w:rPr>
      <w:t>龙湾区政府采购招标文件                                                  LWJC20211201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rPr>
      <w:t>龙湾区政府采购招标文件                                                  LWJC20211201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rPr>
      <w:t>龙湾区政府采购招标文件                                                    LWJC20211201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7"/>
      <w:tblW w:w="0" w:type="auto"/>
      <w:tblInd w:w="35"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4407"/>
      <w:gridCol w:w="4628"/>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PrEx>
      <w:trPr>
        <w:trHeight w:val="427" w:hRule="atLeast"/>
      </w:trPr>
      <w:tc>
        <w:tcPr>
          <w:tcW w:w="4407" w:type="dxa"/>
          <w:tcMar>
            <w:left w:w="0" w:type="dxa"/>
            <w:right w:w="0" w:type="dxa"/>
          </w:tcMar>
          <w:vAlign w:val="center"/>
        </w:tcPr>
        <w:p>
          <w:pPr>
            <w:jc w:val="both"/>
            <w:rPr>
              <w:rFonts w:ascii="楷体_GB2312" w:eastAsia="楷体_GB2312"/>
              <w:b/>
              <w:sz w:val="24"/>
              <w:szCs w:val="24"/>
            </w:rPr>
          </w:pPr>
          <w:r>
            <w:rPr>
              <w:rFonts w:hint="eastAsia"/>
            </w:rPr>
            <w:t>龙湾区政府采购招标文件</w:t>
          </w:r>
        </w:p>
      </w:tc>
      <w:tc>
        <w:tcPr>
          <w:tcW w:w="4628" w:type="dxa"/>
          <w:vAlign w:val="center"/>
        </w:tcPr>
        <w:p>
          <w:pPr>
            <w:ind w:right="-2"/>
            <w:jc w:val="right"/>
            <w:rPr>
              <w:rFonts w:ascii="宋体" w:hAnsi="宋体"/>
              <w:szCs w:val="21"/>
            </w:rPr>
          </w:pPr>
          <w:r>
            <w:rPr>
              <w:rFonts w:hint="eastAsia" w:ascii="宋体" w:hAnsi="宋体"/>
              <w:szCs w:val="21"/>
            </w:rPr>
            <w:t>LWJC20211201</w:t>
          </w:r>
        </w:p>
      </w:tc>
    </w:tr>
  </w:tbl>
  <w:p>
    <w:pPr>
      <w:pStyle w:val="19"/>
      <w:ind w:left="0" w:right="-25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7"/>
      <w:tblW w:w="0" w:type="auto"/>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13" w:type="dxa"/>
        <w:bottom w:w="0" w:type="dxa"/>
        <w:right w:w="113" w:type="dxa"/>
      </w:tblCellMar>
    </w:tblPr>
    <w:tblGrid>
      <w:gridCol w:w="4442"/>
      <w:gridCol w:w="4628"/>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0" w:type="dxa"/>
          <w:left w:w="113" w:type="dxa"/>
          <w:bottom w:w="0" w:type="dxa"/>
          <w:right w:w="113" w:type="dxa"/>
        </w:tblCellMar>
      </w:tblPrEx>
      <w:trPr>
        <w:trHeight w:val="427" w:hRule="atLeast"/>
      </w:trPr>
      <w:tc>
        <w:tcPr>
          <w:tcW w:w="4442" w:type="dxa"/>
          <w:tcMar>
            <w:left w:w="0" w:type="dxa"/>
            <w:right w:w="0" w:type="dxa"/>
          </w:tcMar>
          <w:vAlign w:val="center"/>
        </w:tcPr>
        <w:p>
          <w:pPr>
            <w:jc w:val="both"/>
            <w:rPr>
              <w:rFonts w:ascii="宋体" w:hAnsi="宋体"/>
              <w:szCs w:val="21"/>
            </w:rPr>
          </w:pPr>
          <w:r>
            <w:rPr>
              <w:rFonts w:hint="eastAsia"/>
            </w:rPr>
            <w:t>龙湾区政府采购招标文件</w:t>
          </w:r>
        </w:p>
      </w:tc>
      <w:tc>
        <w:tcPr>
          <w:tcW w:w="4628" w:type="dxa"/>
          <w:vAlign w:val="center"/>
        </w:tcPr>
        <w:p>
          <w:pPr>
            <w:ind w:right="-2"/>
            <w:jc w:val="right"/>
            <w:rPr>
              <w:rFonts w:ascii="楷体_GB2312" w:eastAsia="楷体_GB2312"/>
              <w:b/>
              <w:sz w:val="24"/>
              <w:szCs w:val="24"/>
            </w:rPr>
          </w:pPr>
          <w:r>
            <w:rPr>
              <w:rFonts w:hint="eastAsia" w:ascii="楷体_GB2312" w:eastAsia="楷体_GB2312"/>
              <w:b/>
              <w:sz w:val="24"/>
              <w:szCs w:val="24"/>
            </w:rPr>
            <w:t>LWJC20211201</w:t>
          </w:r>
        </w:p>
      </w:tc>
    </w:tr>
  </w:tbl>
  <w:p>
    <w:pPr>
      <w:rPr>
        <w:sz w:val="2"/>
        <w:szCs w:val="2"/>
      </w:rPr>
    </w:pPr>
  </w:p>
  <w:p>
    <w:pPr>
      <w:rPr>
        <w:rFonts w:ascii="宋体" w:hAnsi="宋体"/>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0FF1BB"/>
    <w:multiLevelType w:val="singleLevel"/>
    <w:tmpl w:val="990FF1BB"/>
    <w:lvl w:ilvl="0" w:tentative="0">
      <w:start w:val="1"/>
      <w:numFmt w:val="decimal"/>
      <w:suff w:val="nothing"/>
      <w:lvlText w:val="%1、"/>
      <w:lvlJc w:val="left"/>
    </w:lvl>
  </w:abstractNum>
  <w:abstractNum w:abstractNumId="1">
    <w:nsid w:val="E7C25B9C"/>
    <w:multiLevelType w:val="singleLevel"/>
    <w:tmpl w:val="E7C25B9C"/>
    <w:lvl w:ilvl="0" w:tentative="0">
      <w:start w:val="3"/>
      <w:numFmt w:val="chineseCounting"/>
      <w:suff w:val="space"/>
      <w:lvlText w:val="第%1部分"/>
      <w:lvlJc w:val="left"/>
      <w:rPr>
        <w:rFonts w:hint="eastAsia"/>
      </w:rPr>
    </w:lvl>
  </w:abstractNum>
  <w:abstractNum w:abstractNumId="2">
    <w:nsid w:val="00000004"/>
    <w:multiLevelType w:val="singleLevel"/>
    <w:tmpl w:val="00000004"/>
    <w:lvl w:ilvl="0" w:tentative="0">
      <w:start w:val="1"/>
      <w:numFmt w:val="decimal"/>
      <w:suff w:val="nothing"/>
      <w:lvlText w:val="%1、"/>
      <w:lvlJc w:val="left"/>
    </w:lvl>
  </w:abstractNum>
  <w:abstractNum w:abstractNumId="3">
    <w:nsid w:val="00000006"/>
    <w:multiLevelType w:val="singleLevel"/>
    <w:tmpl w:val="00000006"/>
    <w:lvl w:ilvl="0" w:tentative="0">
      <w:start w:val="1"/>
      <w:numFmt w:val="decimal"/>
      <w:suff w:val="nothing"/>
      <w:lvlText w:val="%1、"/>
      <w:lvlJc w:val="left"/>
    </w:lvl>
  </w:abstractNum>
  <w:abstractNum w:abstractNumId="4">
    <w:nsid w:val="1868DDD4"/>
    <w:multiLevelType w:val="singleLevel"/>
    <w:tmpl w:val="1868DDD4"/>
    <w:lvl w:ilvl="0" w:tentative="0">
      <w:start w:val="1"/>
      <w:numFmt w:val="decimal"/>
      <w:lvlText w:val="%1."/>
      <w:lvlJc w:val="left"/>
      <w:pPr>
        <w:ind w:left="425" w:hanging="425"/>
      </w:pPr>
      <w:rPr>
        <w:rFonts w:hint="default"/>
      </w:rPr>
    </w:lvl>
  </w:abstractNum>
  <w:abstractNum w:abstractNumId="5">
    <w:nsid w:val="1B8FACAF"/>
    <w:multiLevelType w:val="singleLevel"/>
    <w:tmpl w:val="1B8FACAF"/>
    <w:lvl w:ilvl="0" w:tentative="0">
      <w:start w:val="1"/>
      <w:numFmt w:val="decimal"/>
      <w:suff w:val="nothing"/>
      <w:lvlText w:val="（%1）"/>
      <w:lvlJc w:val="left"/>
    </w:lvl>
  </w:abstractNum>
  <w:abstractNum w:abstractNumId="6">
    <w:nsid w:val="2B936180"/>
    <w:multiLevelType w:val="multilevel"/>
    <w:tmpl w:val="2B936180"/>
    <w:lvl w:ilvl="0" w:tentative="0">
      <w:start w:val="3"/>
      <w:numFmt w:val="japaneseCounting"/>
      <w:lvlText w:val="%1、"/>
      <w:lvlJc w:val="left"/>
      <w:pPr>
        <w:ind w:left="630" w:hanging="4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7">
    <w:nsid w:val="2DFBB8CA"/>
    <w:multiLevelType w:val="singleLevel"/>
    <w:tmpl w:val="2DFBB8CA"/>
    <w:lvl w:ilvl="0" w:tentative="0">
      <w:start w:val="1"/>
      <w:numFmt w:val="decimal"/>
      <w:lvlText w:val="%1."/>
      <w:lvlJc w:val="left"/>
      <w:pPr>
        <w:ind w:left="425" w:hanging="425"/>
      </w:pPr>
      <w:rPr>
        <w:rFonts w:hint="default"/>
      </w:rPr>
    </w:lvl>
  </w:abstractNum>
  <w:abstractNum w:abstractNumId="8">
    <w:nsid w:val="304985C2"/>
    <w:multiLevelType w:val="singleLevel"/>
    <w:tmpl w:val="304985C2"/>
    <w:lvl w:ilvl="0" w:tentative="0">
      <w:start w:val="1"/>
      <w:numFmt w:val="decimal"/>
      <w:lvlText w:val="%1."/>
      <w:lvlJc w:val="left"/>
      <w:pPr>
        <w:ind w:left="425" w:hanging="425"/>
      </w:pPr>
      <w:rPr>
        <w:rFonts w:hint="default"/>
      </w:rPr>
    </w:lvl>
  </w:abstractNum>
  <w:abstractNum w:abstractNumId="9">
    <w:nsid w:val="31F23FB4"/>
    <w:multiLevelType w:val="multilevel"/>
    <w:tmpl w:val="31F23FB4"/>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0">
    <w:nsid w:val="3E3A07A7"/>
    <w:multiLevelType w:val="multilevel"/>
    <w:tmpl w:val="3E3A07A7"/>
    <w:lvl w:ilvl="0" w:tentative="0">
      <w:start w:val="1"/>
      <w:numFmt w:val="decimal"/>
      <w:lvlText w:val="（%1）"/>
      <w:lvlJc w:val="left"/>
      <w:pPr>
        <w:ind w:left="1560" w:hanging="720"/>
      </w:pPr>
      <w:rPr>
        <w:rFonts w:hint="default" w:cs="Times New Roman"/>
        <w:color w:val="auto"/>
        <w:sz w:val="21"/>
      </w:rPr>
    </w:lvl>
    <w:lvl w:ilvl="1" w:tentative="0">
      <w:start w:val="4"/>
      <w:numFmt w:val="decimal"/>
      <w:lvlText w:val="%2、"/>
      <w:lvlJc w:val="left"/>
      <w:pPr>
        <w:tabs>
          <w:tab w:val="left" w:pos="360"/>
        </w:tabs>
        <w:ind w:left="360" w:hanging="360"/>
      </w:pPr>
      <w:rPr>
        <w:rFonts w:hint="default"/>
      </w:rPr>
    </w:lvl>
    <w:lvl w:ilvl="2" w:tentative="0">
      <w:start w:val="2"/>
      <w:numFmt w:val="decimal"/>
      <w:lvlText w:val="%3)"/>
      <w:lvlJc w:val="left"/>
      <w:pPr>
        <w:tabs>
          <w:tab w:val="left" w:pos="1200"/>
        </w:tabs>
        <w:ind w:left="1200" w:hanging="360"/>
      </w:pPr>
      <w:rPr>
        <w:rFonts w:hint="default"/>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4E2C2789"/>
    <w:multiLevelType w:val="multilevel"/>
    <w:tmpl w:val="4E2C27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84FE5DD"/>
    <w:multiLevelType w:val="singleLevel"/>
    <w:tmpl w:val="584FE5DD"/>
    <w:lvl w:ilvl="0" w:tentative="0">
      <w:start w:val="1"/>
      <w:numFmt w:val="decimal"/>
      <w:lvlText w:val="%1."/>
      <w:lvlJc w:val="left"/>
      <w:pPr>
        <w:ind w:left="425" w:hanging="425"/>
      </w:pPr>
      <w:rPr>
        <w:rFonts w:hint="default"/>
      </w:rPr>
    </w:lvl>
  </w:abstractNum>
  <w:abstractNum w:abstractNumId="13">
    <w:nsid w:val="593C976F"/>
    <w:multiLevelType w:val="singleLevel"/>
    <w:tmpl w:val="593C976F"/>
    <w:lvl w:ilvl="0" w:tentative="0">
      <w:start w:val="1"/>
      <w:numFmt w:val="chineseCounting"/>
      <w:suff w:val="nothing"/>
      <w:lvlText w:val="（%1）"/>
      <w:lvlJc w:val="left"/>
      <w:rPr>
        <w:rFonts w:hint="eastAsia"/>
      </w:rPr>
    </w:lvl>
  </w:abstractNum>
  <w:abstractNum w:abstractNumId="14">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15">
    <w:nsid w:val="6DDC6220"/>
    <w:multiLevelType w:val="multilevel"/>
    <w:tmpl w:val="6DDC6220"/>
    <w:lvl w:ilvl="0" w:tentative="0">
      <w:start w:val="1"/>
      <w:numFmt w:val="bullet"/>
      <w:lvlText w:val=""/>
      <w:lvlJc w:val="left"/>
      <w:pPr>
        <w:tabs>
          <w:tab w:val="left" w:pos="525"/>
        </w:tabs>
        <w:ind w:left="525" w:hanging="420"/>
      </w:pPr>
      <w:rPr>
        <w:rFonts w:hint="default" w:ascii="Wingdings" w:hAnsi="Wingdings"/>
      </w:rPr>
    </w:lvl>
    <w:lvl w:ilvl="1" w:tentative="0">
      <w:start w:val="1"/>
      <w:numFmt w:val="bullet"/>
      <w:lvlText w:val=""/>
      <w:lvlJc w:val="left"/>
      <w:pPr>
        <w:tabs>
          <w:tab w:val="left" w:pos="1620"/>
        </w:tabs>
        <w:ind w:left="1620" w:hanging="420"/>
      </w:pPr>
      <w:rPr>
        <w:rFonts w:hint="default" w:ascii="Wingdings" w:hAnsi="Wingdings"/>
      </w:rPr>
    </w:lvl>
    <w:lvl w:ilvl="2" w:tentative="0">
      <w:start w:val="1"/>
      <w:numFmt w:val="bullet"/>
      <w:lvlText w:val=""/>
      <w:lvlJc w:val="left"/>
      <w:pPr>
        <w:tabs>
          <w:tab w:val="left" w:pos="2040"/>
        </w:tabs>
        <w:ind w:left="2040" w:hanging="420"/>
      </w:pPr>
      <w:rPr>
        <w:rFonts w:hint="default" w:ascii="Wingdings" w:hAnsi="Wingdings"/>
      </w:rPr>
    </w:lvl>
    <w:lvl w:ilvl="3" w:tentative="0">
      <w:start w:val="1"/>
      <w:numFmt w:val="bullet"/>
      <w:lvlText w:val=""/>
      <w:lvlJc w:val="left"/>
      <w:pPr>
        <w:tabs>
          <w:tab w:val="left" w:pos="2460"/>
        </w:tabs>
        <w:ind w:left="2460" w:hanging="420"/>
      </w:pPr>
      <w:rPr>
        <w:rFonts w:hint="default" w:ascii="Wingdings" w:hAnsi="Wingdings"/>
      </w:rPr>
    </w:lvl>
    <w:lvl w:ilvl="4" w:tentative="0">
      <w:start w:val="1"/>
      <w:numFmt w:val="bullet"/>
      <w:lvlText w:val=""/>
      <w:lvlJc w:val="left"/>
      <w:pPr>
        <w:tabs>
          <w:tab w:val="left" w:pos="2880"/>
        </w:tabs>
        <w:ind w:left="2880" w:hanging="420"/>
      </w:pPr>
      <w:rPr>
        <w:rFonts w:hint="default" w:ascii="Wingdings" w:hAnsi="Wingdings"/>
      </w:rPr>
    </w:lvl>
    <w:lvl w:ilvl="5" w:tentative="0">
      <w:start w:val="1"/>
      <w:numFmt w:val="bullet"/>
      <w:lvlText w:val=""/>
      <w:lvlJc w:val="left"/>
      <w:pPr>
        <w:tabs>
          <w:tab w:val="left" w:pos="3300"/>
        </w:tabs>
        <w:ind w:left="3300" w:hanging="420"/>
      </w:pPr>
      <w:rPr>
        <w:rFonts w:hint="default" w:ascii="Wingdings" w:hAnsi="Wingdings"/>
      </w:rPr>
    </w:lvl>
    <w:lvl w:ilvl="6" w:tentative="0">
      <w:start w:val="1"/>
      <w:numFmt w:val="bullet"/>
      <w:lvlText w:val=""/>
      <w:lvlJc w:val="left"/>
      <w:pPr>
        <w:tabs>
          <w:tab w:val="left" w:pos="3720"/>
        </w:tabs>
        <w:ind w:left="3720" w:hanging="420"/>
      </w:pPr>
      <w:rPr>
        <w:rFonts w:hint="default" w:ascii="Wingdings" w:hAnsi="Wingdings"/>
      </w:rPr>
    </w:lvl>
    <w:lvl w:ilvl="7" w:tentative="0">
      <w:start w:val="1"/>
      <w:numFmt w:val="bullet"/>
      <w:lvlText w:val=""/>
      <w:lvlJc w:val="left"/>
      <w:pPr>
        <w:tabs>
          <w:tab w:val="left" w:pos="4140"/>
        </w:tabs>
        <w:ind w:left="4140" w:hanging="420"/>
      </w:pPr>
      <w:rPr>
        <w:rFonts w:hint="default" w:ascii="Wingdings" w:hAnsi="Wingdings"/>
      </w:rPr>
    </w:lvl>
    <w:lvl w:ilvl="8" w:tentative="0">
      <w:start w:val="1"/>
      <w:numFmt w:val="bullet"/>
      <w:lvlText w:val=""/>
      <w:lvlJc w:val="left"/>
      <w:pPr>
        <w:tabs>
          <w:tab w:val="left" w:pos="4560"/>
        </w:tabs>
        <w:ind w:left="4560" w:hanging="420"/>
      </w:pPr>
      <w:rPr>
        <w:rFonts w:hint="default" w:ascii="Wingdings" w:hAnsi="Wingdings"/>
      </w:rPr>
    </w:lvl>
  </w:abstractNum>
  <w:num w:numId="1">
    <w:abstractNumId w:val="8"/>
  </w:num>
  <w:num w:numId="2">
    <w:abstractNumId w:val="9"/>
  </w:num>
  <w:num w:numId="3">
    <w:abstractNumId w:val="5"/>
  </w:num>
  <w:num w:numId="4">
    <w:abstractNumId w:val="10"/>
  </w:num>
  <w:num w:numId="5">
    <w:abstractNumId w:val="1"/>
  </w:num>
  <w:num w:numId="6">
    <w:abstractNumId w:val="12"/>
  </w:num>
  <w:num w:numId="7">
    <w:abstractNumId w:val="3"/>
  </w:num>
  <w:num w:numId="8">
    <w:abstractNumId w:val="2"/>
  </w:num>
  <w:num w:numId="9">
    <w:abstractNumId w:val="4"/>
  </w:num>
  <w:num w:numId="10">
    <w:abstractNumId w:val="13"/>
  </w:num>
  <w:num w:numId="11">
    <w:abstractNumId w:val="15"/>
  </w:num>
  <w:num w:numId="12">
    <w:abstractNumId w:val="14"/>
  </w:num>
  <w:num w:numId="13">
    <w:abstractNumId w:val="0"/>
  </w:num>
  <w:num w:numId="14">
    <w:abstractNumId w:val="6"/>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gutterAtTop/>
  <w:hideSpellingErrors/>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FEA"/>
    <w:rsid w:val="00022912"/>
    <w:rsid w:val="0003165E"/>
    <w:rsid w:val="00065A85"/>
    <w:rsid w:val="00070ED8"/>
    <w:rsid w:val="00074F2B"/>
    <w:rsid w:val="000C29A8"/>
    <w:rsid w:val="000C4E82"/>
    <w:rsid w:val="000D1179"/>
    <w:rsid w:val="000E31CB"/>
    <w:rsid w:val="000E4567"/>
    <w:rsid w:val="00102447"/>
    <w:rsid w:val="001078F1"/>
    <w:rsid w:val="00111EF2"/>
    <w:rsid w:val="0011790E"/>
    <w:rsid w:val="00127193"/>
    <w:rsid w:val="00130620"/>
    <w:rsid w:val="00141269"/>
    <w:rsid w:val="001437FA"/>
    <w:rsid w:val="00150BD7"/>
    <w:rsid w:val="00171BB8"/>
    <w:rsid w:val="00172A27"/>
    <w:rsid w:val="00190490"/>
    <w:rsid w:val="00190538"/>
    <w:rsid w:val="00191DAA"/>
    <w:rsid w:val="0019420E"/>
    <w:rsid w:val="001A0463"/>
    <w:rsid w:val="001A10B8"/>
    <w:rsid w:val="001B7182"/>
    <w:rsid w:val="001B7953"/>
    <w:rsid w:val="001C4A58"/>
    <w:rsid w:val="001D0795"/>
    <w:rsid w:val="001D228A"/>
    <w:rsid w:val="001E601C"/>
    <w:rsid w:val="001F35E6"/>
    <w:rsid w:val="001F65DD"/>
    <w:rsid w:val="00200EB4"/>
    <w:rsid w:val="002450DC"/>
    <w:rsid w:val="00261C36"/>
    <w:rsid w:val="00267A73"/>
    <w:rsid w:val="002857CA"/>
    <w:rsid w:val="00286729"/>
    <w:rsid w:val="00287C70"/>
    <w:rsid w:val="00287D30"/>
    <w:rsid w:val="0029286C"/>
    <w:rsid w:val="002B073F"/>
    <w:rsid w:val="002B1C28"/>
    <w:rsid w:val="002D55CD"/>
    <w:rsid w:val="002D6BA1"/>
    <w:rsid w:val="00301B0C"/>
    <w:rsid w:val="00305539"/>
    <w:rsid w:val="00307F1C"/>
    <w:rsid w:val="003229B6"/>
    <w:rsid w:val="0033214A"/>
    <w:rsid w:val="00341093"/>
    <w:rsid w:val="003444FC"/>
    <w:rsid w:val="00347EBA"/>
    <w:rsid w:val="00360E9F"/>
    <w:rsid w:val="0036220A"/>
    <w:rsid w:val="00372375"/>
    <w:rsid w:val="00382461"/>
    <w:rsid w:val="0038774F"/>
    <w:rsid w:val="003934EC"/>
    <w:rsid w:val="0039422D"/>
    <w:rsid w:val="003B2B9D"/>
    <w:rsid w:val="003C51E9"/>
    <w:rsid w:val="003C7821"/>
    <w:rsid w:val="003E1C83"/>
    <w:rsid w:val="003E790A"/>
    <w:rsid w:val="003E7CC0"/>
    <w:rsid w:val="004115DB"/>
    <w:rsid w:val="00413962"/>
    <w:rsid w:val="00420E94"/>
    <w:rsid w:val="0042350C"/>
    <w:rsid w:val="00430B58"/>
    <w:rsid w:val="00434BD7"/>
    <w:rsid w:val="004407E5"/>
    <w:rsid w:val="004B3A05"/>
    <w:rsid w:val="004D41E1"/>
    <w:rsid w:val="004E1807"/>
    <w:rsid w:val="004E1D17"/>
    <w:rsid w:val="004F2ED5"/>
    <w:rsid w:val="00504197"/>
    <w:rsid w:val="00535355"/>
    <w:rsid w:val="00566A69"/>
    <w:rsid w:val="00573B16"/>
    <w:rsid w:val="005903C7"/>
    <w:rsid w:val="00591E99"/>
    <w:rsid w:val="005A3819"/>
    <w:rsid w:val="005B2FF6"/>
    <w:rsid w:val="005C4102"/>
    <w:rsid w:val="005E500A"/>
    <w:rsid w:val="005E6861"/>
    <w:rsid w:val="006071DA"/>
    <w:rsid w:val="0061365D"/>
    <w:rsid w:val="00621529"/>
    <w:rsid w:val="006239A0"/>
    <w:rsid w:val="0063788B"/>
    <w:rsid w:val="00654D53"/>
    <w:rsid w:val="0066220D"/>
    <w:rsid w:val="00664375"/>
    <w:rsid w:val="00682C4A"/>
    <w:rsid w:val="00691CF4"/>
    <w:rsid w:val="0069698B"/>
    <w:rsid w:val="006B7F20"/>
    <w:rsid w:val="006C0682"/>
    <w:rsid w:val="006D5DF3"/>
    <w:rsid w:val="00706F3A"/>
    <w:rsid w:val="0071573D"/>
    <w:rsid w:val="007338A6"/>
    <w:rsid w:val="00733B94"/>
    <w:rsid w:val="007721A1"/>
    <w:rsid w:val="00784FA6"/>
    <w:rsid w:val="007A533F"/>
    <w:rsid w:val="007B760D"/>
    <w:rsid w:val="007D1B11"/>
    <w:rsid w:val="007F0857"/>
    <w:rsid w:val="00801565"/>
    <w:rsid w:val="008033D0"/>
    <w:rsid w:val="00807A06"/>
    <w:rsid w:val="0084102F"/>
    <w:rsid w:val="008439C7"/>
    <w:rsid w:val="00854A2C"/>
    <w:rsid w:val="00866DFA"/>
    <w:rsid w:val="00871BA8"/>
    <w:rsid w:val="00874B99"/>
    <w:rsid w:val="00876530"/>
    <w:rsid w:val="008A4A50"/>
    <w:rsid w:val="008B3E53"/>
    <w:rsid w:val="008B7382"/>
    <w:rsid w:val="00903C26"/>
    <w:rsid w:val="009172AA"/>
    <w:rsid w:val="00930665"/>
    <w:rsid w:val="00946A66"/>
    <w:rsid w:val="00952621"/>
    <w:rsid w:val="00962B12"/>
    <w:rsid w:val="00990479"/>
    <w:rsid w:val="00994DB9"/>
    <w:rsid w:val="009C3E3F"/>
    <w:rsid w:val="009E16C9"/>
    <w:rsid w:val="00A02F81"/>
    <w:rsid w:val="00A1311A"/>
    <w:rsid w:val="00A20A89"/>
    <w:rsid w:val="00A32D4D"/>
    <w:rsid w:val="00A368F1"/>
    <w:rsid w:val="00A405CA"/>
    <w:rsid w:val="00A41C35"/>
    <w:rsid w:val="00A63059"/>
    <w:rsid w:val="00A763FE"/>
    <w:rsid w:val="00A7648D"/>
    <w:rsid w:val="00AC40E3"/>
    <w:rsid w:val="00AD4BAD"/>
    <w:rsid w:val="00AE06E8"/>
    <w:rsid w:val="00AF609E"/>
    <w:rsid w:val="00B0329F"/>
    <w:rsid w:val="00B11C96"/>
    <w:rsid w:val="00B1724C"/>
    <w:rsid w:val="00B361DD"/>
    <w:rsid w:val="00B454AC"/>
    <w:rsid w:val="00B50510"/>
    <w:rsid w:val="00B65002"/>
    <w:rsid w:val="00B71C38"/>
    <w:rsid w:val="00B77729"/>
    <w:rsid w:val="00B850DF"/>
    <w:rsid w:val="00B865B2"/>
    <w:rsid w:val="00B90602"/>
    <w:rsid w:val="00B90DAE"/>
    <w:rsid w:val="00BA50AE"/>
    <w:rsid w:val="00BD18EC"/>
    <w:rsid w:val="00BD56F1"/>
    <w:rsid w:val="00BE0C28"/>
    <w:rsid w:val="00C11543"/>
    <w:rsid w:val="00C17C7E"/>
    <w:rsid w:val="00C37311"/>
    <w:rsid w:val="00C41D1F"/>
    <w:rsid w:val="00C67315"/>
    <w:rsid w:val="00C7207A"/>
    <w:rsid w:val="00C91343"/>
    <w:rsid w:val="00C92373"/>
    <w:rsid w:val="00CB086F"/>
    <w:rsid w:val="00CE29A8"/>
    <w:rsid w:val="00D26DC6"/>
    <w:rsid w:val="00D335CE"/>
    <w:rsid w:val="00D348F5"/>
    <w:rsid w:val="00D361DD"/>
    <w:rsid w:val="00D42F6C"/>
    <w:rsid w:val="00D44B8A"/>
    <w:rsid w:val="00D50954"/>
    <w:rsid w:val="00D549A2"/>
    <w:rsid w:val="00D63F81"/>
    <w:rsid w:val="00D72524"/>
    <w:rsid w:val="00D767C3"/>
    <w:rsid w:val="00D8189D"/>
    <w:rsid w:val="00DB09E4"/>
    <w:rsid w:val="00DD3AB1"/>
    <w:rsid w:val="00DE6393"/>
    <w:rsid w:val="00E301BD"/>
    <w:rsid w:val="00E70BD1"/>
    <w:rsid w:val="00E72131"/>
    <w:rsid w:val="00E7383D"/>
    <w:rsid w:val="00E77A70"/>
    <w:rsid w:val="00E95080"/>
    <w:rsid w:val="00EA682A"/>
    <w:rsid w:val="00EC5DF6"/>
    <w:rsid w:val="00EE5D68"/>
    <w:rsid w:val="00EF18F4"/>
    <w:rsid w:val="00F14C7F"/>
    <w:rsid w:val="00F1602D"/>
    <w:rsid w:val="00F16779"/>
    <w:rsid w:val="00F22909"/>
    <w:rsid w:val="00F35A79"/>
    <w:rsid w:val="00F37478"/>
    <w:rsid w:val="00F46044"/>
    <w:rsid w:val="00F4606D"/>
    <w:rsid w:val="00F54396"/>
    <w:rsid w:val="00F60D16"/>
    <w:rsid w:val="00F818FD"/>
    <w:rsid w:val="00F82D29"/>
    <w:rsid w:val="00F84571"/>
    <w:rsid w:val="00F92418"/>
    <w:rsid w:val="00F96224"/>
    <w:rsid w:val="00FA18E3"/>
    <w:rsid w:val="00FA343A"/>
    <w:rsid w:val="00FD14A3"/>
    <w:rsid w:val="00FD361A"/>
    <w:rsid w:val="00FF7223"/>
    <w:rsid w:val="0108430F"/>
    <w:rsid w:val="010E7F98"/>
    <w:rsid w:val="012148BD"/>
    <w:rsid w:val="0131147A"/>
    <w:rsid w:val="013E441D"/>
    <w:rsid w:val="013F2294"/>
    <w:rsid w:val="014545C7"/>
    <w:rsid w:val="014D62B1"/>
    <w:rsid w:val="01585630"/>
    <w:rsid w:val="01647366"/>
    <w:rsid w:val="0166293A"/>
    <w:rsid w:val="01695EA6"/>
    <w:rsid w:val="016F4847"/>
    <w:rsid w:val="01794229"/>
    <w:rsid w:val="01836615"/>
    <w:rsid w:val="01860AFD"/>
    <w:rsid w:val="01942DD7"/>
    <w:rsid w:val="019A76A3"/>
    <w:rsid w:val="01A067EA"/>
    <w:rsid w:val="01ED5E4F"/>
    <w:rsid w:val="01F41078"/>
    <w:rsid w:val="01FD328A"/>
    <w:rsid w:val="020D4612"/>
    <w:rsid w:val="0213672D"/>
    <w:rsid w:val="02165B63"/>
    <w:rsid w:val="02232B9D"/>
    <w:rsid w:val="0243574E"/>
    <w:rsid w:val="02611DCE"/>
    <w:rsid w:val="02B22BCD"/>
    <w:rsid w:val="02C16BC7"/>
    <w:rsid w:val="02CD7003"/>
    <w:rsid w:val="02D155AF"/>
    <w:rsid w:val="02D27863"/>
    <w:rsid w:val="02DA15BE"/>
    <w:rsid w:val="02E028DC"/>
    <w:rsid w:val="032D2429"/>
    <w:rsid w:val="034A5458"/>
    <w:rsid w:val="035A427F"/>
    <w:rsid w:val="03D75F0D"/>
    <w:rsid w:val="03DA4B56"/>
    <w:rsid w:val="03E264BF"/>
    <w:rsid w:val="03F3441A"/>
    <w:rsid w:val="03FC461A"/>
    <w:rsid w:val="0428006A"/>
    <w:rsid w:val="04573ACF"/>
    <w:rsid w:val="04624C2C"/>
    <w:rsid w:val="046503BB"/>
    <w:rsid w:val="0465697A"/>
    <w:rsid w:val="0479781A"/>
    <w:rsid w:val="048263A2"/>
    <w:rsid w:val="048A77DF"/>
    <w:rsid w:val="04BA0E1E"/>
    <w:rsid w:val="04D047F5"/>
    <w:rsid w:val="04D224E3"/>
    <w:rsid w:val="04D56DA7"/>
    <w:rsid w:val="04F26EA8"/>
    <w:rsid w:val="04FB6871"/>
    <w:rsid w:val="04FE5946"/>
    <w:rsid w:val="05091ECC"/>
    <w:rsid w:val="05173AB9"/>
    <w:rsid w:val="0553649A"/>
    <w:rsid w:val="056527E9"/>
    <w:rsid w:val="057243AA"/>
    <w:rsid w:val="057B3715"/>
    <w:rsid w:val="057E310F"/>
    <w:rsid w:val="05942874"/>
    <w:rsid w:val="05A002EF"/>
    <w:rsid w:val="05AA7705"/>
    <w:rsid w:val="05C04882"/>
    <w:rsid w:val="05E36A93"/>
    <w:rsid w:val="05E46F4F"/>
    <w:rsid w:val="05F71277"/>
    <w:rsid w:val="06386571"/>
    <w:rsid w:val="063B28B1"/>
    <w:rsid w:val="06665974"/>
    <w:rsid w:val="066C3EAF"/>
    <w:rsid w:val="068D7D8F"/>
    <w:rsid w:val="06A15299"/>
    <w:rsid w:val="06A44667"/>
    <w:rsid w:val="06AE3EE7"/>
    <w:rsid w:val="06DE6F30"/>
    <w:rsid w:val="06DF5C8C"/>
    <w:rsid w:val="06E81679"/>
    <w:rsid w:val="070666DD"/>
    <w:rsid w:val="07084DBD"/>
    <w:rsid w:val="071025BA"/>
    <w:rsid w:val="071C2B4C"/>
    <w:rsid w:val="07314CAB"/>
    <w:rsid w:val="074C51F8"/>
    <w:rsid w:val="074D50D6"/>
    <w:rsid w:val="07615EE7"/>
    <w:rsid w:val="0786499B"/>
    <w:rsid w:val="078F24FA"/>
    <w:rsid w:val="0799048D"/>
    <w:rsid w:val="07CF435D"/>
    <w:rsid w:val="080B24F0"/>
    <w:rsid w:val="0852644A"/>
    <w:rsid w:val="085813ED"/>
    <w:rsid w:val="08617534"/>
    <w:rsid w:val="08747A43"/>
    <w:rsid w:val="08B650AB"/>
    <w:rsid w:val="08E952B6"/>
    <w:rsid w:val="09032D0B"/>
    <w:rsid w:val="09175EE4"/>
    <w:rsid w:val="09266A33"/>
    <w:rsid w:val="09290572"/>
    <w:rsid w:val="092D50C3"/>
    <w:rsid w:val="094B0E86"/>
    <w:rsid w:val="09545FB9"/>
    <w:rsid w:val="097F4FA9"/>
    <w:rsid w:val="09852F76"/>
    <w:rsid w:val="09A71585"/>
    <w:rsid w:val="09C415F6"/>
    <w:rsid w:val="09CD73F1"/>
    <w:rsid w:val="09CE75D4"/>
    <w:rsid w:val="09D02CD4"/>
    <w:rsid w:val="09F634CB"/>
    <w:rsid w:val="0A296C4D"/>
    <w:rsid w:val="0A2F39A4"/>
    <w:rsid w:val="0A3E7F6A"/>
    <w:rsid w:val="0A4A3749"/>
    <w:rsid w:val="0A4E59D7"/>
    <w:rsid w:val="0A5B3155"/>
    <w:rsid w:val="0A80679F"/>
    <w:rsid w:val="0A874281"/>
    <w:rsid w:val="0A900B79"/>
    <w:rsid w:val="0A9335A2"/>
    <w:rsid w:val="0A965D3E"/>
    <w:rsid w:val="0B143D6F"/>
    <w:rsid w:val="0B167731"/>
    <w:rsid w:val="0B1940EE"/>
    <w:rsid w:val="0B1A4768"/>
    <w:rsid w:val="0B212D47"/>
    <w:rsid w:val="0B2C6A24"/>
    <w:rsid w:val="0B3203F4"/>
    <w:rsid w:val="0B337B8B"/>
    <w:rsid w:val="0B706BC9"/>
    <w:rsid w:val="0B7B24A9"/>
    <w:rsid w:val="0B8B296C"/>
    <w:rsid w:val="0B973EC8"/>
    <w:rsid w:val="0B9A5867"/>
    <w:rsid w:val="0BC05E62"/>
    <w:rsid w:val="0BC403C7"/>
    <w:rsid w:val="0BCE6EDD"/>
    <w:rsid w:val="0BCF3C2E"/>
    <w:rsid w:val="0BD43630"/>
    <w:rsid w:val="0BFB614E"/>
    <w:rsid w:val="0C0D33E3"/>
    <w:rsid w:val="0C1776BE"/>
    <w:rsid w:val="0C2153F0"/>
    <w:rsid w:val="0C215935"/>
    <w:rsid w:val="0C321799"/>
    <w:rsid w:val="0C4553E6"/>
    <w:rsid w:val="0C495C42"/>
    <w:rsid w:val="0C964311"/>
    <w:rsid w:val="0C975B1E"/>
    <w:rsid w:val="0CA4700E"/>
    <w:rsid w:val="0CA82E5D"/>
    <w:rsid w:val="0CB50D75"/>
    <w:rsid w:val="0CC17F50"/>
    <w:rsid w:val="0CC337B4"/>
    <w:rsid w:val="0CE45079"/>
    <w:rsid w:val="0CED3380"/>
    <w:rsid w:val="0D394B6D"/>
    <w:rsid w:val="0D4C3E1B"/>
    <w:rsid w:val="0D5935FA"/>
    <w:rsid w:val="0D703871"/>
    <w:rsid w:val="0D800E2A"/>
    <w:rsid w:val="0D8F1EBE"/>
    <w:rsid w:val="0D983F60"/>
    <w:rsid w:val="0D99055C"/>
    <w:rsid w:val="0DD13AAF"/>
    <w:rsid w:val="0DD45576"/>
    <w:rsid w:val="0DDA254B"/>
    <w:rsid w:val="0DF37B54"/>
    <w:rsid w:val="0E091C61"/>
    <w:rsid w:val="0E3D02E6"/>
    <w:rsid w:val="0E4E6A52"/>
    <w:rsid w:val="0E50487D"/>
    <w:rsid w:val="0E7C5751"/>
    <w:rsid w:val="0E7F2B6B"/>
    <w:rsid w:val="0E91504B"/>
    <w:rsid w:val="0E9B1F8F"/>
    <w:rsid w:val="0ED22AFA"/>
    <w:rsid w:val="0EED686D"/>
    <w:rsid w:val="0EFE6EBA"/>
    <w:rsid w:val="0F0A2AF3"/>
    <w:rsid w:val="0F0A4F6C"/>
    <w:rsid w:val="0F207DA5"/>
    <w:rsid w:val="0F2F0E13"/>
    <w:rsid w:val="0F357C17"/>
    <w:rsid w:val="0F4D3DEA"/>
    <w:rsid w:val="0F5E2F70"/>
    <w:rsid w:val="0F650351"/>
    <w:rsid w:val="0F7155AD"/>
    <w:rsid w:val="0F715DBD"/>
    <w:rsid w:val="0F7908EF"/>
    <w:rsid w:val="0F7D1699"/>
    <w:rsid w:val="0F873D4D"/>
    <w:rsid w:val="0FA862EC"/>
    <w:rsid w:val="0FAC3610"/>
    <w:rsid w:val="0FAF6901"/>
    <w:rsid w:val="0FAF6E2A"/>
    <w:rsid w:val="0FB54D7D"/>
    <w:rsid w:val="0FC329FE"/>
    <w:rsid w:val="0FEE1E34"/>
    <w:rsid w:val="0FEE51A0"/>
    <w:rsid w:val="100E6015"/>
    <w:rsid w:val="1028466E"/>
    <w:rsid w:val="103F270A"/>
    <w:rsid w:val="10612170"/>
    <w:rsid w:val="10625CF2"/>
    <w:rsid w:val="106D2D32"/>
    <w:rsid w:val="108414E3"/>
    <w:rsid w:val="108D7E84"/>
    <w:rsid w:val="10A7585F"/>
    <w:rsid w:val="10AF1B7A"/>
    <w:rsid w:val="10C24649"/>
    <w:rsid w:val="10ED4763"/>
    <w:rsid w:val="10FD6EC6"/>
    <w:rsid w:val="111B3134"/>
    <w:rsid w:val="111D7306"/>
    <w:rsid w:val="114111A6"/>
    <w:rsid w:val="117A30E5"/>
    <w:rsid w:val="117E0EA4"/>
    <w:rsid w:val="118C5316"/>
    <w:rsid w:val="118D35F9"/>
    <w:rsid w:val="11915CA6"/>
    <w:rsid w:val="11980E6E"/>
    <w:rsid w:val="119B4779"/>
    <w:rsid w:val="11A50004"/>
    <w:rsid w:val="11AA7AD5"/>
    <w:rsid w:val="11B83165"/>
    <w:rsid w:val="11B96B40"/>
    <w:rsid w:val="11EA4DED"/>
    <w:rsid w:val="11EE11DB"/>
    <w:rsid w:val="11F561C6"/>
    <w:rsid w:val="11F60158"/>
    <w:rsid w:val="12091360"/>
    <w:rsid w:val="12102102"/>
    <w:rsid w:val="122C70C9"/>
    <w:rsid w:val="12327E7D"/>
    <w:rsid w:val="123B6254"/>
    <w:rsid w:val="1251529F"/>
    <w:rsid w:val="12724770"/>
    <w:rsid w:val="127672E4"/>
    <w:rsid w:val="128C6C48"/>
    <w:rsid w:val="129404DA"/>
    <w:rsid w:val="12A76CF1"/>
    <w:rsid w:val="12B41A65"/>
    <w:rsid w:val="12B770DD"/>
    <w:rsid w:val="12BE712B"/>
    <w:rsid w:val="12C14818"/>
    <w:rsid w:val="12E60178"/>
    <w:rsid w:val="13061D20"/>
    <w:rsid w:val="130F2312"/>
    <w:rsid w:val="13243842"/>
    <w:rsid w:val="132A167B"/>
    <w:rsid w:val="132E533E"/>
    <w:rsid w:val="135309F9"/>
    <w:rsid w:val="135358EB"/>
    <w:rsid w:val="135C0ACB"/>
    <w:rsid w:val="135C4C79"/>
    <w:rsid w:val="136746AD"/>
    <w:rsid w:val="13AD6A6D"/>
    <w:rsid w:val="13B6725E"/>
    <w:rsid w:val="13D544E5"/>
    <w:rsid w:val="13F635C1"/>
    <w:rsid w:val="13FC2E06"/>
    <w:rsid w:val="14087D26"/>
    <w:rsid w:val="14186B72"/>
    <w:rsid w:val="142D4212"/>
    <w:rsid w:val="14602809"/>
    <w:rsid w:val="149618B5"/>
    <w:rsid w:val="14B42BF3"/>
    <w:rsid w:val="14C94ED9"/>
    <w:rsid w:val="14F708E6"/>
    <w:rsid w:val="15054B50"/>
    <w:rsid w:val="15056EEB"/>
    <w:rsid w:val="150B74F4"/>
    <w:rsid w:val="15123E71"/>
    <w:rsid w:val="1517075A"/>
    <w:rsid w:val="152C3C09"/>
    <w:rsid w:val="154059C2"/>
    <w:rsid w:val="155444DD"/>
    <w:rsid w:val="15744240"/>
    <w:rsid w:val="157D063D"/>
    <w:rsid w:val="158A5D97"/>
    <w:rsid w:val="158A5E58"/>
    <w:rsid w:val="158C55E0"/>
    <w:rsid w:val="159A64C0"/>
    <w:rsid w:val="15B736D2"/>
    <w:rsid w:val="15CB2033"/>
    <w:rsid w:val="15D002C8"/>
    <w:rsid w:val="15D45666"/>
    <w:rsid w:val="15D859C9"/>
    <w:rsid w:val="15E00C0F"/>
    <w:rsid w:val="15E42535"/>
    <w:rsid w:val="163376ED"/>
    <w:rsid w:val="16366F18"/>
    <w:rsid w:val="16526111"/>
    <w:rsid w:val="165A2451"/>
    <w:rsid w:val="16685A7F"/>
    <w:rsid w:val="166B5314"/>
    <w:rsid w:val="168C516A"/>
    <w:rsid w:val="16931A61"/>
    <w:rsid w:val="16997EB7"/>
    <w:rsid w:val="16AC1BD5"/>
    <w:rsid w:val="16CB503D"/>
    <w:rsid w:val="16D4548D"/>
    <w:rsid w:val="16DC183A"/>
    <w:rsid w:val="16EC181F"/>
    <w:rsid w:val="17013C81"/>
    <w:rsid w:val="17050AA9"/>
    <w:rsid w:val="170D1FAD"/>
    <w:rsid w:val="17174647"/>
    <w:rsid w:val="171C7F85"/>
    <w:rsid w:val="171D4399"/>
    <w:rsid w:val="173F1638"/>
    <w:rsid w:val="177B4732"/>
    <w:rsid w:val="177E65F3"/>
    <w:rsid w:val="179C2F8E"/>
    <w:rsid w:val="179F23A5"/>
    <w:rsid w:val="17AF6EDF"/>
    <w:rsid w:val="17CF54B0"/>
    <w:rsid w:val="17FA3143"/>
    <w:rsid w:val="18065C85"/>
    <w:rsid w:val="182452A6"/>
    <w:rsid w:val="182A4BE4"/>
    <w:rsid w:val="184607BB"/>
    <w:rsid w:val="184F1442"/>
    <w:rsid w:val="189F11FD"/>
    <w:rsid w:val="18AB1BB4"/>
    <w:rsid w:val="18AB1D76"/>
    <w:rsid w:val="18BF0B25"/>
    <w:rsid w:val="18D15245"/>
    <w:rsid w:val="18D646DD"/>
    <w:rsid w:val="18F25C62"/>
    <w:rsid w:val="19163344"/>
    <w:rsid w:val="191C3D06"/>
    <w:rsid w:val="191F6E76"/>
    <w:rsid w:val="19247025"/>
    <w:rsid w:val="193D19AB"/>
    <w:rsid w:val="19497C13"/>
    <w:rsid w:val="19576571"/>
    <w:rsid w:val="195D1500"/>
    <w:rsid w:val="19600F94"/>
    <w:rsid w:val="19720071"/>
    <w:rsid w:val="19774FFD"/>
    <w:rsid w:val="1985312E"/>
    <w:rsid w:val="198D4978"/>
    <w:rsid w:val="19A028E1"/>
    <w:rsid w:val="19A52F48"/>
    <w:rsid w:val="19A762C6"/>
    <w:rsid w:val="19E547E4"/>
    <w:rsid w:val="19E708CA"/>
    <w:rsid w:val="19ED652C"/>
    <w:rsid w:val="19F90EEC"/>
    <w:rsid w:val="19FA7E15"/>
    <w:rsid w:val="1A4A514F"/>
    <w:rsid w:val="1A610519"/>
    <w:rsid w:val="1A7B685F"/>
    <w:rsid w:val="1A7F4B94"/>
    <w:rsid w:val="1ABA412B"/>
    <w:rsid w:val="1AD76B63"/>
    <w:rsid w:val="1ADA3FA8"/>
    <w:rsid w:val="1AE80E35"/>
    <w:rsid w:val="1AE8528F"/>
    <w:rsid w:val="1AFC1390"/>
    <w:rsid w:val="1B0E7210"/>
    <w:rsid w:val="1B26727A"/>
    <w:rsid w:val="1B3F297B"/>
    <w:rsid w:val="1B5539B2"/>
    <w:rsid w:val="1B561549"/>
    <w:rsid w:val="1B6C6A7D"/>
    <w:rsid w:val="1B7276AA"/>
    <w:rsid w:val="1B8E060F"/>
    <w:rsid w:val="1B963913"/>
    <w:rsid w:val="1B9C5F62"/>
    <w:rsid w:val="1BA5450C"/>
    <w:rsid w:val="1BF763CE"/>
    <w:rsid w:val="1BFA1574"/>
    <w:rsid w:val="1BFA543C"/>
    <w:rsid w:val="1BFA67CE"/>
    <w:rsid w:val="1BFE07FD"/>
    <w:rsid w:val="1C074F21"/>
    <w:rsid w:val="1C3038B5"/>
    <w:rsid w:val="1C465A37"/>
    <w:rsid w:val="1C676B40"/>
    <w:rsid w:val="1C937077"/>
    <w:rsid w:val="1C957B8D"/>
    <w:rsid w:val="1C9E1547"/>
    <w:rsid w:val="1CD938A7"/>
    <w:rsid w:val="1CDC2EFE"/>
    <w:rsid w:val="1CF64231"/>
    <w:rsid w:val="1D002DB5"/>
    <w:rsid w:val="1D0D7103"/>
    <w:rsid w:val="1D3872C3"/>
    <w:rsid w:val="1D3F55A1"/>
    <w:rsid w:val="1D4C33C8"/>
    <w:rsid w:val="1D577690"/>
    <w:rsid w:val="1D7F34D2"/>
    <w:rsid w:val="1D875FF5"/>
    <w:rsid w:val="1D903138"/>
    <w:rsid w:val="1D9067ED"/>
    <w:rsid w:val="1DB12467"/>
    <w:rsid w:val="1DEA6B49"/>
    <w:rsid w:val="1DF26A87"/>
    <w:rsid w:val="1E0851AF"/>
    <w:rsid w:val="1E0D6D2F"/>
    <w:rsid w:val="1E0E4BB9"/>
    <w:rsid w:val="1E1D4BF3"/>
    <w:rsid w:val="1E205195"/>
    <w:rsid w:val="1E243AB9"/>
    <w:rsid w:val="1E2663A1"/>
    <w:rsid w:val="1E2D6D91"/>
    <w:rsid w:val="1E3867FF"/>
    <w:rsid w:val="1E4467EF"/>
    <w:rsid w:val="1E457903"/>
    <w:rsid w:val="1E5427FF"/>
    <w:rsid w:val="1E621FF8"/>
    <w:rsid w:val="1E76730C"/>
    <w:rsid w:val="1E907D15"/>
    <w:rsid w:val="1E9412E5"/>
    <w:rsid w:val="1E980F5A"/>
    <w:rsid w:val="1EB266EE"/>
    <w:rsid w:val="1EBC3EF9"/>
    <w:rsid w:val="1EC86BF5"/>
    <w:rsid w:val="1EEF4F36"/>
    <w:rsid w:val="1EF57931"/>
    <w:rsid w:val="1EFF6E67"/>
    <w:rsid w:val="1F0359CB"/>
    <w:rsid w:val="1F163A80"/>
    <w:rsid w:val="1F1D6725"/>
    <w:rsid w:val="1F49071C"/>
    <w:rsid w:val="1F851AEC"/>
    <w:rsid w:val="1F9D6E3C"/>
    <w:rsid w:val="1FF26D69"/>
    <w:rsid w:val="1FF40155"/>
    <w:rsid w:val="1FFC0FA6"/>
    <w:rsid w:val="1FFC1F4F"/>
    <w:rsid w:val="20083FA6"/>
    <w:rsid w:val="20151FA0"/>
    <w:rsid w:val="201B4C05"/>
    <w:rsid w:val="201E73D9"/>
    <w:rsid w:val="203A5099"/>
    <w:rsid w:val="205A6AA3"/>
    <w:rsid w:val="2064660A"/>
    <w:rsid w:val="206C16ED"/>
    <w:rsid w:val="207270D5"/>
    <w:rsid w:val="207363EC"/>
    <w:rsid w:val="207F4720"/>
    <w:rsid w:val="208C7009"/>
    <w:rsid w:val="209A2DC8"/>
    <w:rsid w:val="20A944E3"/>
    <w:rsid w:val="20B7705E"/>
    <w:rsid w:val="20C03E59"/>
    <w:rsid w:val="20C54B39"/>
    <w:rsid w:val="20F31F29"/>
    <w:rsid w:val="20F410C4"/>
    <w:rsid w:val="211C4CD8"/>
    <w:rsid w:val="21376DCA"/>
    <w:rsid w:val="214052E7"/>
    <w:rsid w:val="2165328F"/>
    <w:rsid w:val="216C6EE8"/>
    <w:rsid w:val="217829C9"/>
    <w:rsid w:val="218340D4"/>
    <w:rsid w:val="21891550"/>
    <w:rsid w:val="21A94A87"/>
    <w:rsid w:val="21BF28D6"/>
    <w:rsid w:val="21E158E0"/>
    <w:rsid w:val="220219E6"/>
    <w:rsid w:val="22132F83"/>
    <w:rsid w:val="221751C8"/>
    <w:rsid w:val="22310C1D"/>
    <w:rsid w:val="22336BBD"/>
    <w:rsid w:val="22442AC4"/>
    <w:rsid w:val="224721B6"/>
    <w:rsid w:val="224B6363"/>
    <w:rsid w:val="22533875"/>
    <w:rsid w:val="22564A8E"/>
    <w:rsid w:val="22593AA5"/>
    <w:rsid w:val="225A728C"/>
    <w:rsid w:val="22653EDF"/>
    <w:rsid w:val="22884FB7"/>
    <w:rsid w:val="22B8409D"/>
    <w:rsid w:val="22C353A3"/>
    <w:rsid w:val="22D04CA7"/>
    <w:rsid w:val="22DF5718"/>
    <w:rsid w:val="23131740"/>
    <w:rsid w:val="231C1943"/>
    <w:rsid w:val="231C4715"/>
    <w:rsid w:val="2327667F"/>
    <w:rsid w:val="233450EF"/>
    <w:rsid w:val="234B3E78"/>
    <w:rsid w:val="2364208B"/>
    <w:rsid w:val="23932624"/>
    <w:rsid w:val="239574FF"/>
    <w:rsid w:val="2398774D"/>
    <w:rsid w:val="23A4656D"/>
    <w:rsid w:val="23CD117B"/>
    <w:rsid w:val="23D55338"/>
    <w:rsid w:val="23F75BC3"/>
    <w:rsid w:val="23FD2E8A"/>
    <w:rsid w:val="24057BFE"/>
    <w:rsid w:val="241B62C2"/>
    <w:rsid w:val="24503E1B"/>
    <w:rsid w:val="245512EB"/>
    <w:rsid w:val="245919FA"/>
    <w:rsid w:val="24621B6A"/>
    <w:rsid w:val="248E4C35"/>
    <w:rsid w:val="24973BA6"/>
    <w:rsid w:val="249D4363"/>
    <w:rsid w:val="24A225C3"/>
    <w:rsid w:val="24AD3DC9"/>
    <w:rsid w:val="24B252B7"/>
    <w:rsid w:val="24B43D1F"/>
    <w:rsid w:val="24BF403A"/>
    <w:rsid w:val="24C912E5"/>
    <w:rsid w:val="24E231A6"/>
    <w:rsid w:val="25056669"/>
    <w:rsid w:val="253239EE"/>
    <w:rsid w:val="253D6D33"/>
    <w:rsid w:val="254C26E3"/>
    <w:rsid w:val="254D5C9F"/>
    <w:rsid w:val="2550013E"/>
    <w:rsid w:val="2554191D"/>
    <w:rsid w:val="255743A7"/>
    <w:rsid w:val="25643486"/>
    <w:rsid w:val="256E0FEC"/>
    <w:rsid w:val="25740A2B"/>
    <w:rsid w:val="258E7AA7"/>
    <w:rsid w:val="2592184D"/>
    <w:rsid w:val="259C65D5"/>
    <w:rsid w:val="25A26B1B"/>
    <w:rsid w:val="25A5576F"/>
    <w:rsid w:val="25DE6CDA"/>
    <w:rsid w:val="25E12446"/>
    <w:rsid w:val="25E3661B"/>
    <w:rsid w:val="25E36FBC"/>
    <w:rsid w:val="25E95BA1"/>
    <w:rsid w:val="266B17EB"/>
    <w:rsid w:val="269F5A0A"/>
    <w:rsid w:val="26BA2F06"/>
    <w:rsid w:val="26C4347A"/>
    <w:rsid w:val="26CD43D0"/>
    <w:rsid w:val="26FD6118"/>
    <w:rsid w:val="272536C0"/>
    <w:rsid w:val="275861AE"/>
    <w:rsid w:val="277022D5"/>
    <w:rsid w:val="277126C5"/>
    <w:rsid w:val="27720D50"/>
    <w:rsid w:val="2786185F"/>
    <w:rsid w:val="278E6F2E"/>
    <w:rsid w:val="27B20DDA"/>
    <w:rsid w:val="27C02B67"/>
    <w:rsid w:val="27DB337F"/>
    <w:rsid w:val="27E2235D"/>
    <w:rsid w:val="27ED237E"/>
    <w:rsid w:val="27FC6AA0"/>
    <w:rsid w:val="28000305"/>
    <w:rsid w:val="28057D94"/>
    <w:rsid w:val="280F5C56"/>
    <w:rsid w:val="281D15AE"/>
    <w:rsid w:val="28582BE4"/>
    <w:rsid w:val="28674A4E"/>
    <w:rsid w:val="287B46B7"/>
    <w:rsid w:val="288056C6"/>
    <w:rsid w:val="288E7071"/>
    <w:rsid w:val="28AB4553"/>
    <w:rsid w:val="28AC04D8"/>
    <w:rsid w:val="28AF77D8"/>
    <w:rsid w:val="28C9311F"/>
    <w:rsid w:val="28DA3C47"/>
    <w:rsid w:val="28E619E1"/>
    <w:rsid w:val="28FD5B53"/>
    <w:rsid w:val="290C5C87"/>
    <w:rsid w:val="29145100"/>
    <w:rsid w:val="293C761C"/>
    <w:rsid w:val="29481839"/>
    <w:rsid w:val="294A4855"/>
    <w:rsid w:val="29660D1B"/>
    <w:rsid w:val="29693194"/>
    <w:rsid w:val="296B5657"/>
    <w:rsid w:val="296F076D"/>
    <w:rsid w:val="29704247"/>
    <w:rsid w:val="29934038"/>
    <w:rsid w:val="29A736D1"/>
    <w:rsid w:val="29BD37ED"/>
    <w:rsid w:val="29BF70C4"/>
    <w:rsid w:val="29C353FB"/>
    <w:rsid w:val="29C90A82"/>
    <w:rsid w:val="29D57001"/>
    <w:rsid w:val="29E11F18"/>
    <w:rsid w:val="29E21D47"/>
    <w:rsid w:val="29FC68E1"/>
    <w:rsid w:val="2A3176FC"/>
    <w:rsid w:val="2A463F02"/>
    <w:rsid w:val="2A4D10AC"/>
    <w:rsid w:val="2A68414C"/>
    <w:rsid w:val="2A8120A7"/>
    <w:rsid w:val="2A844266"/>
    <w:rsid w:val="2A8E7F92"/>
    <w:rsid w:val="2A90669B"/>
    <w:rsid w:val="2AB02FB7"/>
    <w:rsid w:val="2AB04F8A"/>
    <w:rsid w:val="2ACA5F04"/>
    <w:rsid w:val="2ADC0F32"/>
    <w:rsid w:val="2AE0334F"/>
    <w:rsid w:val="2AEB2687"/>
    <w:rsid w:val="2AF97B72"/>
    <w:rsid w:val="2B0702B1"/>
    <w:rsid w:val="2B0E3555"/>
    <w:rsid w:val="2B37785C"/>
    <w:rsid w:val="2B585B42"/>
    <w:rsid w:val="2B5E6AAE"/>
    <w:rsid w:val="2B63576E"/>
    <w:rsid w:val="2B661199"/>
    <w:rsid w:val="2B6E09E8"/>
    <w:rsid w:val="2B704D07"/>
    <w:rsid w:val="2B72437D"/>
    <w:rsid w:val="2B7602A1"/>
    <w:rsid w:val="2B7E1338"/>
    <w:rsid w:val="2B827B8C"/>
    <w:rsid w:val="2B844140"/>
    <w:rsid w:val="2B8C231D"/>
    <w:rsid w:val="2BA901B7"/>
    <w:rsid w:val="2BD27EB6"/>
    <w:rsid w:val="2BF14D81"/>
    <w:rsid w:val="2C2B2A52"/>
    <w:rsid w:val="2C372E2B"/>
    <w:rsid w:val="2C3E2824"/>
    <w:rsid w:val="2C3F091D"/>
    <w:rsid w:val="2C4159E2"/>
    <w:rsid w:val="2C506B0C"/>
    <w:rsid w:val="2C5320B1"/>
    <w:rsid w:val="2C562504"/>
    <w:rsid w:val="2C6B14FA"/>
    <w:rsid w:val="2C6D21A5"/>
    <w:rsid w:val="2C790BB9"/>
    <w:rsid w:val="2C8E3EAE"/>
    <w:rsid w:val="2C8E4275"/>
    <w:rsid w:val="2C907C4F"/>
    <w:rsid w:val="2C9334F3"/>
    <w:rsid w:val="2C993182"/>
    <w:rsid w:val="2CAF0BD2"/>
    <w:rsid w:val="2CB95153"/>
    <w:rsid w:val="2CC6085B"/>
    <w:rsid w:val="2CC87B19"/>
    <w:rsid w:val="2CD15D36"/>
    <w:rsid w:val="2CEB44A1"/>
    <w:rsid w:val="2CEF4EDF"/>
    <w:rsid w:val="2D0A7217"/>
    <w:rsid w:val="2D200763"/>
    <w:rsid w:val="2D31726F"/>
    <w:rsid w:val="2D330245"/>
    <w:rsid w:val="2D3A02EF"/>
    <w:rsid w:val="2D610595"/>
    <w:rsid w:val="2D8D0939"/>
    <w:rsid w:val="2D9F72DA"/>
    <w:rsid w:val="2DB56BF3"/>
    <w:rsid w:val="2DBA1F22"/>
    <w:rsid w:val="2DD315F4"/>
    <w:rsid w:val="2DD37B2E"/>
    <w:rsid w:val="2DDB3526"/>
    <w:rsid w:val="2DDD00D3"/>
    <w:rsid w:val="2DE33AEA"/>
    <w:rsid w:val="2E093DB9"/>
    <w:rsid w:val="2E15416D"/>
    <w:rsid w:val="2E270D0B"/>
    <w:rsid w:val="2E615BD9"/>
    <w:rsid w:val="2E6263BF"/>
    <w:rsid w:val="2E673547"/>
    <w:rsid w:val="2E6E52E9"/>
    <w:rsid w:val="2E734E6D"/>
    <w:rsid w:val="2E7B5D36"/>
    <w:rsid w:val="2E951291"/>
    <w:rsid w:val="2EA37DBA"/>
    <w:rsid w:val="2EAC3B14"/>
    <w:rsid w:val="2EAE4D0B"/>
    <w:rsid w:val="2EBB2B8D"/>
    <w:rsid w:val="2EC830C6"/>
    <w:rsid w:val="2EC94C43"/>
    <w:rsid w:val="2F010BB8"/>
    <w:rsid w:val="2F085568"/>
    <w:rsid w:val="2F0A1798"/>
    <w:rsid w:val="2F133B87"/>
    <w:rsid w:val="2F45427D"/>
    <w:rsid w:val="2F486105"/>
    <w:rsid w:val="2F4866B3"/>
    <w:rsid w:val="2F9135DC"/>
    <w:rsid w:val="2F9F7D2D"/>
    <w:rsid w:val="2FA4433B"/>
    <w:rsid w:val="2FC61158"/>
    <w:rsid w:val="2FC665D2"/>
    <w:rsid w:val="2FD14CB8"/>
    <w:rsid w:val="2FD34514"/>
    <w:rsid w:val="2FF97D7A"/>
    <w:rsid w:val="3008607E"/>
    <w:rsid w:val="301B67CD"/>
    <w:rsid w:val="301B6969"/>
    <w:rsid w:val="30316498"/>
    <w:rsid w:val="303475F4"/>
    <w:rsid w:val="304C0911"/>
    <w:rsid w:val="304F21CC"/>
    <w:rsid w:val="3064585E"/>
    <w:rsid w:val="30667FF9"/>
    <w:rsid w:val="30681E71"/>
    <w:rsid w:val="3069425D"/>
    <w:rsid w:val="30785582"/>
    <w:rsid w:val="307B7B19"/>
    <w:rsid w:val="307B7F15"/>
    <w:rsid w:val="30801C81"/>
    <w:rsid w:val="30A63C9F"/>
    <w:rsid w:val="30C00215"/>
    <w:rsid w:val="30D32C76"/>
    <w:rsid w:val="30D505CF"/>
    <w:rsid w:val="30E24277"/>
    <w:rsid w:val="30EC4000"/>
    <w:rsid w:val="30EE1AB1"/>
    <w:rsid w:val="31167C00"/>
    <w:rsid w:val="31515D33"/>
    <w:rsid w:val="316F7E8B"/>
    <w:rsid w:val="31A407D9"/>
    <w:rsid w:val="31BF2B95"/>
    <w:rsid w:val="32253B05"/>
    <w:rsid w:val="323417E4"/>
    <w:rsid w:val="32370030"/>
    <w:rsid w:val="32526D94"/>
    <w:rsid w:val="325C4CD3"/>
    <w:rsid w:val="3268116C"/>
    <w:rsid w:val="327074B2"/>
    <w:rsid w:val="32717279"/>
    <w:rsid w:val="32727A94"/>
    <w:rsid w:val="327B1ADA"/>
    <w:rsid w:val="32872A77"/>
    <w:rsid w:val="329E020C"/>
    <w:rsid w:val="32C51904"/>
    <w:rsid w:val="32CC694B"/>
    <w:rsid w:val="32D44EC9"/>
    <w:rsid w:val="32EA4CE1"/>
    <w:rsid w:val="330034E9"/>
    <w:rsid w:val="331F39BD"/>
    <w:rsid w:val="334B76EF"/>
    <w:rsid w:val="3361614F"/>
    <w:rsid w:val="33643EAD"/>
    <w:rsid w:val="337B235E"/>
    <w:rsid w:val="33942798"/>
    <w:rsid w:val="33974F2B"/>
    <w:rsid w:val="339B30A0"/>
    <w:rsid w:val="339F4B19"/>
    <w:rsid w:val="339F694E"/>
    <w:rsid w:val="33A74CA5"/>
    <w:rsid w:val="33AB1A66"/>
    <w:rsid w:val="33B818B2"/>
    <w:rsid w:val="33C612F2"/>
    <w:rsid w:val="33CF6069"/>
    <w:rsid w:val="33D2201F"/>
    <w:rsid w:val="33E36DC4"/>
    <w:rsid w:val="33E96B65"/>
    <w:rsid w:val="340C58E7"/>
    <w:rsid w:val="34184ACA"/>
    <w:rsid w:val="343B0970"/>
    <w:rsid w:val="345870D4"/>
    <w:rsid w:val="346E551C"/>
    <w:rsid w:val="347B16E9"/>
    <w:rsid w:val="34814822"/>
    <w:rsid w:val="34A72154"/>
    <w:rsid w:val="34AF6A34"/>
    <w:rsid w:val="34B01763"/>
    <w:rsid w:val="34CA1DAD"/>
    <w:rsid w:val="34CB155F"/>
    <w:rsid w:val="34F47A7D"/>
    <w:rsid w:val="34FC6F8F"/>
    <w:rsid w:val="350C39FA"/>
    <w:rsid w:val="351062BC"/>
    <w:rsid w:val="353F2454"/>
    <w:rsid w:val="353F4EBF"/>
    <w:rsid w:val="35514EB3"/>
    <w:rsid w:val="35615CC5"/>
    <w:rsid w:val="35642131"/>
    <w:rsid w:val="35666CF3"/>
    <w:rsid w:val="3582349C"/>
    <w:rsid w:val="359942AF"/>
    <w:rsid w:val="35AC7AA1"/>
    <w:rsid w:val="35AF7676"/>
    <w:rsid w:val="35B734A5"/>
    <w:rsid w:val="35D33E3F"/>
    <w:rsid w:val="35D809A0"/>
    <w:rsid w:val="35D83983"/>
    <w:rsid w:val="35F971D0"/>
    <w:rsid w:val="36386B97"/>
    <w:rsid w:val="363C0D56"/>
    <w:rsid w:val="365B1DEB"/>
    <w:rsid w:val="366A0AFF"/>
    <w:rsid w:val="366C3E47"/>
    <w:rsid w:val="36867848"/>
    <w:rsid w:val="36884D25"/>
    <w:rsid w:val="369B1540"/>
    <w:rsid w:val="369D3281"/>
    <w:rsid w:val="36A82FBF"/>
    <w:rsid w:val="36B67710"/>
    <w:rsid w:val="36CF6124"/>
    <w:rsid w:val="36D2228A"/>
    <w:rsid w:val="36F97159"/>
    <w:rsid w:val="36FF1C7B"/>
    <w:rsid w:val="3711235C"/>
    <w:rsid w:val="371B61CB"/>
    <w:rsid w:val="371E12B2"/>
    <w:rsid w:val="372A5C05"/>
    <w:rsid w:val="373F2C7E"/>
    <w:rsid w:val="3741376B"/>
    <w:rsid w:val="374D2B9C"/>
    <w:rsid w:val="37554868"/>
    <w:rsid w:val="37563D55"/>
    <w:rsid w:val="375A5951"/>
    <w:rsid w:val="376F27B9"/>
    <w:rsid w:val="37944995"/>
    <w:rsid w:val="37B0274B"/>
    <w:rsid w:val="37D31AFA"/>
    <w:rsid w:val="37DB1C05"/>
    <w:rsid w:val="38125C69"/>
    <w:rsid w:val="383B756C"/>
    <w:rsid w:val="384418B6"/>
    <w:rsid w:val="385C30DC"/>
    <w:rsid w:val="38744B8C"/>
    <w:rsid w:val="38745653"/>
    <w:rsid w:val="388516EE"/>
    <w:rsid w:val="388C66AC"/>
    <w:rsid w:val="389B0876"/>
    <w:rsid w:val="389D156D"/>
    <w:rsid w:val="38A61758"/>
    <w:rsid w:val="38D03B22"/>
    <w:rsid w:val="38EA5506"/>
    <w:rsid w:val="390670EC"/>
    <w:rsid w:val="39374938"/>
    <w:rsid w:val="393E7CB5"/>
    <w:rsid w:val="395636BA"/>
    <w:rsid w:val="395E19DF"/>
    <w:rsid w:val="396748FF"/>
    <w:rsid w:val="39A96116"/>
    <w:rsid w:val="39B3529A"/>
    <w:rsid w:val="39CE4D45"/>
    <w:rsid w:val="39D02C27"/>
    <w:rsid w:val="39D64D0B"/>
    <w:rsid w:val="39E076BB"/>
    <w:rsid w:val="39ED28F2"/>
    <w:rsid w:val="39F72BCD"/>
    <w:rsid w:val="3A267A7A"/>
    <w:rsid w:val="3A40170A"/>
    <w:rsid w:val="3A441E5D"/>
    <w:rsid w:val="3A454748"/>
    <w:rsid w:val="3A475B06"/>
    <w:rsid w:val="3A490963"/>
    <w:rsid w:val="3A4A7046"/>
    <w:rsid w:val="3A5571D3"/>
    <w:rsid w:val="3A5E1716"/>
    <w:rsid w:val="3A6074D5"/>
    <w:rsid w:val="3A613D17"/>
    <w:rsid w:val="3A9D6E60"/>
    <w:rsid w:val="3AA23D1B"/>
    <w:rsid w:val="3AC7705D"/>
    <w:rsid w:val="3ACA0C1E"/>
    <w:rsid w:val="3AF325EF"/>
    <w:rsid w:val="3B03083F"/>
    <w:rsid w:val="3B1948E2"/>
    <w:rsid w:val="3B3073EC"/>
    <w:rsid w:val="3B3A117B"/>
    <w:rsid w:val="3B3E1D00"/>
    <w:rsid w:val="3B4C6055"/>
    <w:rsid w:val="3B5B71CE"/>
    <w:rsid w:val="3B5C4813"/>
    <w:rsid w:val="3B71753E"/>
    <w:rsid w:val="3B7A3B10"/>
    <w:rsid w:val="3B9133E1"/>
    <w:rsid w:val="3BA961C2"/>
    <w:rsid w:val="3BAD6729"/>
    <w:rsid w:val="3BB41808"/>
    <w:rsid w:val="3BBE4CC1"/>
    <w:rsid w:val="3BDC4156"/>
    <w:rsid w:val="3BDD0DCA"/>
    <w:rsid w:val="3BE86CDD"/>
    <w:rsid w:val="3BEC57B7"/>
    <w:rsid w:val="3BF20D16"/>
    <w:rsid w:val="3BF67024"/>
    <w:rsid w:val="3C010430"/>
    <w:rsid w:val="3C196719"/>
    <w:rsid w:val="3C46772A"/>
    <w:rsid w:val="3C4F6820"/>
    <w:rsid w:val="3C8D07B2"/>
    <w:rsid w:val="3CB90E8C"/>
    <w:rsid w:val="3CB956F5"/>
    <w:rsid w:val="3CC47D05"/>
    <w:rsid w:val="3CD92182"/>
    <w:rsid w:val="3D1F5C7C"/>
    <w:rsid w:val="3D3954D4"/>
    <w:rsid w:val="3D511336"/>
    <w:rsid w:val="3D7F2CF7"/>
    <w:rsid w:val="3DF0104B"/>
    <w:rsid w:val="3DF91A82"/>
    <w:rsid w:val="3E05329D"/>
    <w:rsid w:val="3E0855FB"/>
    <w:rsid w:val="3E230C7E"/>
    <w:rsid w:val="3E453A2A"/>
    <w:rsid w:val="3E5C40FA"/>
    <w:rsid w:val="3E5E2758"/>
    <w:rsid w:val="3E717197"/>
    <w:rsid w:val="3E981519"/>
    <w:rsid w:val="3E9C5E88"/>
    <w:rsid w:val="3EC254CF"/>
    <w:rsid w:val="3ECA6DB1"/>
    <w:rsid w:val="3EE66DBC"/>
    <w:rsid w:val="3EEB76F1"/>
    <w:rsid w:val="3EF104D2"/>
    <w:rsid w:val="3F0608E0"/>
    <w:rsid w:val="3F0C5DD6"/>
    <w:rsid w:val="3F1D39A4"/>
    <w:rsid w:val="3F2165D8"/>
    <w:rsid w:val="3F235D74"/>
    <w:rsid w:val="3F2B7F5E"/>
    <w:rsid w:val="3F3F089E"/>
    <w:rsid w:val="3F4A194D"/>
    <w:rsid w:val="3F4A3046"/>
    <w:rsid w:val="3F4C79D9"/>
    <w:rsid w:val="3F5975EF"/>
    <w:rsid w:val="3F6708AA"/>
    <w:rsid w:val="3F6B206F"/>
    <w:rsid w:val="3F7168F0"/>
    <w:rsid w:val="3F79629B"/>
    <w:rsid w:val="3F8F6148"/>
    <w:rsid w:val="3F97236A"/>
    <w:rsid w:val="3FC64C15"/>
    <w:rsid w:val="3FE958C9"/>
    <w:rsid w:val="3FFF17C1"/>
    <w:rsid w:val="40071C72"/>
    <w:rsid w:val="40157769"/>
    <w:rsid w:val="40275C77"/>
    <w:rsid w:val="40397697"/>
    <w:rsid w:val="40434A18"/>
    <w:rsid w:val="405C41A7"/>
    <w:rsid w:val="405D1A77"/>
    <w:rsid w:val="40A3115B"/>
    <w:rsid w:val="40C13B7D"/>
    <w:rsid w:val="40CD209B"/>
    <w:rsid w:val="40CE551F"/>
    <w:rsid w:val="40D73B96"/>
    <w:rsid w:val="40DA7A28"/>
    <w:rsid w:val="410B3F86"/>
    <w:rsid w:val="413B62C8"/>
    <w:rsid w:val="414C090C"/>
    <w:rsid w:val="41507749"/>
    <w:rsid w:val="41604E63"/>
    <w:rsid w:val="41675020"/>
    <w:rsid w:val="418A046C"/>
    <w:rsid w:val="41902CEE"/>
    <w:rsid w:val="41AA40D9"/>
    <w:rsid w:val="41CD534F"/>
    <w:rsid w:val="41D37F49"/>
    <w:rsid w:val="420F4816"/>
    <w:rsid w:val="42185082"/>
    <w:rsid w:val="422F7452"/>
    <w:rsid w:val="425B6104"/>
    <w:rsid w:val="42614171"/>
    <w:rsid w:val="42771BDF"/>
    <w:rsid w:val="427C4302"/>
    <w:rsid w:val="42853D78"/>
    <w:rsid w:val="429531AD"/>
    <w:rsid w:val="42BB221E"/>
    <w:rsid w:val="42D51998"/>
    <w:rsid w:val="42E314B4"/>
    <w:rsid w:val="42F37D6F"/>
    <w:rsid w:val="431718A4"/>
    <w:rsid w:val="431771C5"/>
    <w:rsid w:val="43411632"/>
    <w:rsid w:val="43474BC6"/>
    <w:rsid w:val="4361091C"/>
    <w:rsid w:val="43613680"/>
    <w:rsid w:val="436F1132"/>
    <w:rsid w:val="437039F3"/>
    <w:rsid w:val="43750FD2"/>
    <w:rsid w:val="438D7152"/>
    <w:rsid w:val="4391481C"/>
    <w:rsid w:val="439E1805"/>
    <w:rsid w:val="43AB0952"/>
    <w:rsid w:val="43AC2D32"/>
    <w:rsid w:val="43D275CC"/>
    <w:rsid w:val="43E86339"/>
    <w:rsid w:val="43FA4F70"/>
    <w:rsid w:val="43FB2E7B"/>
    <w:rsid w:val="43FD4846"/>
    <w:rsid w:val="44043DB9"/>
    <w:rsid w:val="4413082D"/>
    <w:rsid w:val="44236624"/>
    <w:rsid w:val="443A13B1"/>
    <w:rsid w:val="44427EE1"/>
    <w:rsid w:val="44A3372B"/>
    <w:rsid w:val="44AD3D07"/>
    <w:rsid w:val="44AF4744"/>
    <w:rsid w:val="44B91C75"/>
    <w:rsid w:val="44C207D4"/>
    <w:rsid w:val="44C31099"/>
    <w:rsid w:val="454238C1"/>
    <w:rsid w:val="454766CF"/>
    <w:rsid w:val="45510F60"/>
    <w:rsid w:val="4564584B"/>
    <w:rsid w:val="457701CA"/>
    <w:rsid w:val="45884C72"/>
    <w:rsid w:val="459446F3"/>
    <w:rsid w:val="45D15DAA"/>
    <w:rsid w:val="45E26ED6"/>
    <w:rsid w:val="45E71BF2"/>
    <w:rsid w:val="45EE4475"/>
    <w:rsid w:val="45FA151C"/>
    <w:rsid w:val="46123749"/>
    <w:rsid w:val="465169CC"/>
    <w:rsid w:val="465E3630"/>
    <w:rsid w:val="468855DE"/>
    <w:rsid w:val="46946860"/>
    <w:rsid w:val="46B25A1B"/>
    <w:rsid w:val="46B92313"/>
    <w:rsid w:val="46C214B6"/>
    <w:rsid w:val="46CD7590"/>
    <w:rsid w:val="46D834C1"/>
    <w:rsid w:val="46EE038B"/>
    <w:rsid w:val="46FB3F97"/>
    <w:rsid w:val="46FE0F61"/>
    <w:rsid w:val="470B04CA"/>
    <w:rsid w:val="47194FDE"/>
    <w:rsid w:val="471F52DF"/>
    <w:rsid w:val="47420ED6"/>
    <w:rsid w:val="474353A3"/>
    <w:rsid w:val="476152FD"/>
    <w:rsid w:val="47646E6B"/>
    <w:rsid w:val="47804C22"/>
    <w:rsid w:val="47981DE9"/>
    <w:rsid w:val="47AF7C40"/>
    <w:rsid w:val="47C01CEB"/>
    <w:rsid w:val="47C059CA"/>
    <w:rsid w:val="47EF1BCB"/>
    <w:rsid w:val="48020248"/>
    <w:rsid w:val="48026C6E"/>
    <w:rsid w:val="481B1176"/>
    <w:rsid w:val="48340881"/>
    <w:rsid w:val="483E14C5"/>
    <w:rsid w:val="48402D41"/>
    <w:rsid w:val="4840443B"/>
    <w:rsid w:val="485B46A9"/>
    <w:rsid w:val="48866F23"/>
    <w:rsid w:val="48A3636F"/>
    <w:rsid w:val="48CC1DD7"/>
    <w:rsid w:val="48DB7A98"/>
    <w:rsid w:val="48ED4B01"/>
    <w:rsid w:val="48F60B9A"/>
    <w:rsid w:val="48FD579B"/>
    <w:rsid w:val="49084EE0"/>
    <w:rsid w:val="490F1023"/>
    <w:rsid w:val="492B1312"/>
    <w:rsid w:val="493E6301"/>
    <w:rsid w:val="494574C4"/>
    <w:rsid w:val="495C40D8"/>
    <w:rsid w:val="495E0A88"/>
    <w:rsid w:val="49636F15"/>
    <w:rsid w:val="49680A21"/>
    <w:rsid w:val="49881980"/>
    <w:rsid w:val="4991180C"/>
    <w:rsid w:val="499F7DA8"/>
    <w:rsid w:val="49B21209"/>
    <w:rsid w:val="49CB174F"/>
    <w:rsid w:val="49D61DC8"/>
    <w:rsid w:val="49DB00F7"/>
    <w:rsid w:val="49F05F4D"/>
    <w:rsid w:val="49F1734D"/>
    <w:rsid w:val="4A017AF4"/>
    <w:rsid w:val="4A0B69F8"/>
    <w:rsid w:val="4A5F108A"/>
    <w:rsid w:val="4A8771E3"/>
    <w:rsid w:val="4A8F47C6"/>
    <w:rsid w:val="4AD768AD"/>
    <w:rsid w:val="4AF50F41"/>
    <w:rsid w:val="4B0105D3"/>
    <w:rsid w:val="4B0D50CB"/>
    <w:rsid w:val="4B145D7E"/>
    <w:rsid w:val="4B27033F"/>
    <w:rsid w:val="4B5843A8"/>
    <w:rsid w:val="4B5B14D2"/>
    <w:rsid w:val="4B840DAF"/>
    <w:rsid w:val="4B854D4D"/>
    <w:rsid w:val="4BC72F4A"/>
    <w:rsid w:val="4BE45FD6"/>
    <w:rsid w:val="4C05707B"/>
    <w:rsid w:val="4C1815E1"/>
    <w:rsid w:val="4C382BDA"/>
    <w:rsid w:val="4C4C1EFF"/>
    <w:rsid w:val="4C6024B3"/>
    <w:rsid w:val="4C6E403C"/>
    <w:rsid w:val="4C9A60A0"/>
    <w:rsid w:val="4C9B6D61"/>
    <w:rsid w:val="4CAD6351"/>
    <w:rsid w:val="4CC10D92"/>
    <w:rsid w:val="4CCB792D"/>
    <w:rsid w:val="4CD27AD2"/>
    <w:rsid w:val="4CDD7002"/>
    <w:rsid w:val="4CE43AA4"/>
    <w:rsid w:val="4CE64779"/>
    <w:rsid w:val="4CED7329"/>
    <w:rsid w:val="4CF268C9"/>
    <w:rsid w:val="4D002B50"/>
    <w:rsid w:val="4D017DCF"/>
    <w:rsid w:val="4D1226E9"/>
    <w:rsid w:val="4D1E56AC"/>
    <w:rsid w:val="4D351EB0"/>
    <w:rsid w:val="4D3B7859"/>
    <w:rsid w:val="4D436F71"/>
    <w:rsid w:val="4D542024"/>
    <w:rsid w:val="4D6048DF"/>
    <w:rsid w:val="4D7065F1"/>
    <w:rsid w:val="4D7467CB"/>
    <w:rsid w:val="4D764D6D"/>
    <w:rsid w:val="4D9E4ADC"/>
    <w:rsid w:val="4DBA3D31"/>
    <w:rsid w:val="4DCC60CA"/>
    <w:rsid w:val="4DCE3D19"/>
    <w:rsid w:val="4DD27B59"/>
    <w:rsid w:val="4DF94C4A"/>
    <w:rsid w:val="4E0062DC"/>
    <w:rsid w:val="4E185175"/>
    <w:rsid w:val="4E234700"/>
    <w:rsid w:val="4E2E4E92"/>
    <w:rsid w:val="4E31448C"/>
    <w:rsid w:val="4E3D1950"/>
    <w:rsid w:val="4E3D2C5F"/>
    <w:rsid w:val="4E792C1D"/>
    <w:rsid w:val="4E79797B"/>
    <w:rsid w:val="4E7B1C74"/>
    <w:rsid w:val="4E826694"/>
    <w:rsid w:val="4E9E44EE"/>
    <w:rsid w:val="4EA43E96"/>
    <w:rsid w:val="4EBA14B9"/>
    <w:rsid w:val="4EBD2C12"/>
    <w:rsid w:val="4EC3721E"/>
    <w:rsid w:val="4EF62963"/>
    <w:rsid w:val="4EFB5BA0"/>
    <w:rsid w:val="4EFB7D44"/>
    <w:rsid w:val="4F153123"/>
    <w:rsid w:val="4F21570F"/>
    <w:rsid w:val="4F223246"/>
    <w:rsid w:val="4F226676"/>
    <w:rsid w:val="4F2B4A81"/>
    <w:rsid w:val="4F4774C9"/>
    <w:rsid w:val="4F575EC9"/>
    <w:rsid w:val="4F645802"/>
    <w:rsid w:val="4F773A39"/>
    <w:rsid w:val="4F790DD5"/>
    <w:rsid w:val="4F932353"/>
    <w:rsid w:val="4FA01DDF"/>
    <w:rsid w:val="4FA724D9"/>
    <w:rsid w:val="4FB25F77"/>
    <w:rsid w:val="4FB51396"/>
    <w:rsid w:val="4FBC796C"/>
    <w:rsid w:val="4FD04657"/>
    <w:rsid w:val="4FD5438D"/>
    <w:rsid w:val="4FD6191A"/>
    <w:rsid w:val="4FE66B05"/>
    <w:rsid w:val="4FEF41A4"/>
    <w:rsid w:val="4FF134D5"/>
    <w:rsid w:val="500164BB"/>
    <w:rsid w:val="501B7040"/>
    <w:rsid w:val="50236E51"/>
    <w:rsid w:val="50256157"/>
    <w:rsid w:val="50365BE1"/>
    <w:rsid w:val="50384FB5"/>
    <w:rsid w:val="504A73BD"/>
    <w:rsid w:val="50630FC9"/>
    <w:rsid w:val="506D5B4F"/>
    <w:rsid w:val="507863A0"/>
    <w:rsid w:val="507E3109"/>
    <w:rsid w:val="50800C3E"/>
    <w:rsid w:val="50837244"/>
    <w:rsid w:val="50AB5E07"/>
    <w:rsid w:val="50C930E3"/>
    <w:rsid w:val="50D2379F"/>
    <w:rsid w:val="50D520D0"/>
    <w:rsid w:val="50F55B8A"/>
    <w:rsid w:val="50FA4F87"/>
    <w:rsid w:val="50FA73C2"/>
    <w:rsid w:val="510C642A"/>
    <w:rsid w:val="512C356C"/>
    <w:rsid w:val="512F6E9C"/>
    <w:rsid w:val="51472284"/>
    <w:rsid w:val="51557DD8"/>
    <w:rsid w:val="51806010"/>
    <w:rsid w:val="51857825"/>
    <w:rsid w:val="51AB0960"/>
    <w:rsid w:val="51B9575C"/>
    <w:rsid w:val="51CA1388"/>
    <w:rsid w:val="51E40AB8"/>
    <w:rsid w:val="51E42A24"/>
    <w:rsid w:val="520B4D83"/>
    <w:rsid w:val="521F1E2A"/>
    <w:rsid w:val="52423BC8"/>
    <w:rsid w:val="524B40C5"/>
    <w:rsid w:val="52685791"/>
    <w:rsid w:val="526E7B7F"/>
    <w:rsid w:val="527D02E2"/>
    <w:rsid w:val="528A1B25"/>
    <w:rsid w:val="528A1C64"/>
    <w:rsid w:val="528A7065"/>
    <w:rsid w:val="52946908"/>
    <w:rsid w:val="529A1A59"/>
    <w:rsid w:val="52BF1A22"/>
    <w:rsid w:val="52CD45E2"/>
    <w:rsid w:val="52D07CB8"/>
    <w:rsid w:val="52D64220"/>
    <w:rsid w:val="52DF307A"/>
    <w:rsid w:val="52F64606"/>
    <w:rsid w:val="52FB0A94"/>
    <w:rsid w:val="531240EA"/>
    <w:rsid w:val="53282C75"/>
    <w:rsid w:val="532C3666"/>
    <w:rsid w:val="533C2777"/>
    <w:rsid w:val="53472930"/>
    <w:rsid w:val="53476024"/>
    <w:rsid w:val="53735BCF"/>
    <w:rsid w:val="538253B9"/>
    <w:rsid w:val="53D82796"/>
    <w:rsid w:val="53F0793B"/>
    <w:rsid w:val="53F42B68"/>
    <w:rsid w:val="540A7C35"/>
    <w:rsid w:val="540B7F27"/>
    <w:rsid w:val="542439AB"/>
    <w:rsid w:val="54466C72"/>
    <w:rsid w:val="54473DD7"/>
    <w:rsid w:val="544B2F4C"/>
    <w:rsid w:val="547C3E46"/>
    <w:rsid w:val="5490425C"/>
    <w:rsid w:val="549A22A3"/>
    <w:rsid w:val="54C77678"/>
    <w:rsid w:val="54D66E6E"/>
    <w:rsid w:val="54E40E97"/>
    <w:rsid w:val="54F0499E"/>
    <w:rsid w:val="54F83951"/>
    <w:rsid w:val="550767DC"/>
    <w:rsid w:val="55092F38"/>
    <w:rsid w:val="55213357"/>
    <w:rsid w:val="552D4463"/>
    <w:rsid w:val="5531322E"/>
    <w:rsid w:val="553E082D"/>
    <w:rsid w:val="554C67A9"/>
    <w:rsid w:val="555440BF"/>
    <w:rsid w:val="55796E68"/>
    <w:rsid w:val="558A0C4C"/>
    <w:rsid w:val="559A346C"/>
    <w:rsid w:val="559E7645"/>
    <w:rsid w:val="55A60EE7"/>
    <w:rsid w:val="55AB24CB"/>
    <w:rsid w:val="55DC46AD"/>
    <w:rsid w:val="55DD3843"/>
    <w:rsid w:val="55E34FF5"/>
    <w:rsid w:val="56045463"/>
    <w:rsid w:val="564A78D1"/>
    <w:rsid w:val="56516E0B"/>
    <w:rsid w:val="56780E9F"/>
    <w:rsid w:val="56910465"/>
    <w:rsid w:val="569E7939"/>
    <w:rsid w:val="56A47002"/>
    <w:rsid w:val="56E259B2"/>
    <w:rsid w:val="56EF508F"/>
    <w:rsid w:val="56FC7B6B"/>
    <w:rsid w:val="570970F3"/>
    <w:rsid w:val="57154C58"/>
    <w:rsid w:val="571A451D"/>
    <w:rsid w:val="5726683B"/>
    <w:rsid w:val="572A216D"/>
    <w:rsid w:val="5734452D"/>
    <w:rsid w:val="574C4C4A"/>
    <w:rsid w:val="576524AF"/>
    <w:rsid w:val="576D0C0B"/>
    <w:rsid w:val="579F1D06"/>
    <w:rsid w:val="579F6AC4"/>
    <w:rsid w:val="57A26463"/>
    <w:rsid w:val="57AD7786"/>
    <w:rsid w:val="57AF4916"/>
    <w:rsid w:val="57BD5FA3"/>
    <w:rsid w:val="57D53EA7"/>
    <w:rsid w:val="57DB65FA"/>
    <w:rsid w:val="580639C0"/>
    <w:rsid w:val="58157DB3"/>
    <w:rsid w:val="58185261"/>
    <w:rsid w:val="582B6D93"/>
    <w:rsid w:val="58332361"/>
    <w:rsid w:val="584C0194"/>
    <w:rsid w:val="584D7502"/>
    <w:rsid w:val="58662514"/>
    <w:rsid w:val="58932ECE"/>
    <w:rsid w:val="589E3FB2"/>
    <w:rsid w:val="58BB63AE"/>
    <w:rsid w:val="58CC6DE3"/>
    <w:rsid w:val="58CF540E"/>
    <w:rsid w:val="58DC16DE"/>
    <w:rsid w:val="58DF523E"/>
    <w:rsid w:val="58F45F56"/>
    <w:rsid w:val="590C6FEF"/>
    <w:rsid w:val="591075BD"/>
    <w:rsid w:val="596648CD"/>
    <w:rsid w:val="59752475"/>
    <w:rsid w:val="5976572D"/>
    <w:rsid w:val="59777A0A"/>
    <w:rsid w:val="597E4CE3"/>
    <w:rsid w:val="59885445"/>
    <w:rsid w:val="5999312B"/>
    <w:rsid w:val="59A66EE6"/>
    <w:rsid w:val="59B82774"/>
    <w:rsid w:val="59C87EAE"/>
    <w:rsid w:val="59CD634C"/>
    <w:rsid w:val="59D77323"/>
    <w:rsid w:val="59E458A3"/>
    <w:rsid w:val="59F55EC5"/>
    <w:rsid w:val="59FC5721"/>
    <w:rsid w:val="5A0F2AB1"/>
    <w:rsid w:val="5A113086"/>
    <w:rsid w:val="5A294355"/>
    <w:rsid w:val="5A342FE5"/>
    <w:rsid w:val="5A4B7A82"/>
    <w:rsid w:val="5A6222D0"/>
    <w:rsid w:val="5A6C72B3"/>
    <w:rsid w:val="5A8A6C4B"/>
    <w:rsid w:val="5A9E7836"/>
    <w:rsid w:val="5AB70D65"/>
    <w:rsid w:val="5B130DA2"/>
    <w:rsid w:val="5B1D2D28"/>
    <w:rsid w:val="5B251287"/>
    <w:rsid w:val="5B2949E7"/>
    <w:rsid w:val="5B2A0B20"/>
    <w:rsid w:val="5B2A79A3"/>
    <w:rsid w:val="5B382BAF"/>
    <w:rsid w:val="5B5376FD"/>
    <w:rsid w:val="5B5A78AE"/>
    <w:rsid w:val="5B8079DD"/>
    <w:rsid w:val="5B877783"/>
    <w:rsid w:val="5B924F67"/>
    <w:rsid w:val="5B9C1B9B"/>
    <w:rsid w:val="5BA34BC4"/>
    <w:rsid w:val="5BA63F99"/>
    <w:rsid w:val="5BA871E2"/>
    <w:rsid w:val="5BA961FE"/>
    <w:rsid w:val="5BE55B0E"/>
    <w:rsid w:val="5BF1365D"/>
    <w:rsid w:val="5BF352B2"/>
    <w:rsid w:val="5BF40D4A"/>
    <w:rsid w:val="5BF70D05"/>
    <w:rsid w:val="5C1A6B77"/>
    <w:rsid w:val="5C3A3257"/>
    <w:rsid w:val="5C5433E4"/>
    <w:rsid w:val="5C5D2B66"/>
    <w:rsid w:val="5C67681F"/>
    <w:rsid w:val="5C6B6F94"/>
    <w:rsid w:val="5C784C6E"/>
    <w:rsid w:val="5CA37D09"/>
    <w:rsid w:val="5CB8328C"/>
    <w:rsid w:val="5CCB2DDC"/>
    <w:rsid w:val="5CCE56F0"/>
    <w:rsid w:val="5CDC38BC"/>
    <w:rsid w:val="5CE912C4"/>
    <w:rsid w:val="5CF45F18"/>
    <w:rsid w:val="5CF627A0"/>
    <w:rsid w:val="5CFB7281"/>
    <w:rsid w:val="5D052504"/>
    <w:rsid w:val="5D1E4CC7"/>
    <w:rsid w:val="5D257B4A"/>
    <w:rsid w:val="5D2B3AA9"/>
    <w:rsid w:val="5D3A58FA"/>
    <w:rsid w:val="5D3F4927"/>
    <w:rsid w:val="5D7619E3"/>
    <w:rsid w:val="5D786EA9"/>
    <w:rsid w:val="5DA0112D"/>
    <w:rsid w:val="5DAE5EF5"/>
    <w:rsid w:val="5DC56EDD"/>
    <w:rsid w:val="5DD4455B"/>
    <w:rsid w:val="5DDA7BCE"/>
    <w:rsid w:val="5DE35474"/>
    <w:rsid w:val="5E10686B"/>
    <w:rsid w:val="5E1240EA"/>
    <w:rsid w:val="5E1326A4"/>
    <w:rsid w:val="5E24686E"/>
    <w:rsid w:val="5E3A3109"/>
    <w:rsid w:val="5E3E2FB9"/>
    <w:rsid w:val="5E4D55E4"/>
    <w:rsid w:val="5E5B747E"/>
    <w:rsid w:val="5E5D1A57"/>
    <w:rsid w:val="5E5F0007"/>
    <w:rsid w:val="5E97331E"/>
    <w:rsid w:val="5EB43E0B"/>
    <w:rsid w:val="5EC303F0"/>
    <w:rsid w:val="5ED830C4"/>
    <w:rsid w:val="5EDC65D3"/>
    <w:rsid w:val="5EEC1983"/>
    <w:rsid w:val="5F097B99"/>
    <w:rsid w:val="5F3226B8"/>
    <w:rsid w:val="5F4400B2"/>
    <w:rsid w:val="5F486CF3"/>
    <w:rsid w:val="5F4D49FD"/>
    <w:rsid w:val="5F515C67"/>
    <w:rsid w:val="5F7332FB"/>
    <w:rsid w:val="5FA009D3"/>
    <w:rsid w:val="5FA80341"/>
    <w:rsid w:val="5FAE1376"/>
    <w:rsid w:val="600B32C9"/>
    <w:rsid w:val="601423A4"/>
    <w:rsid w:val="602D27AA"/>
    <w:rsid w:val="604260FE"/>
    <w:rsid w:val="60897D04"/>
    <w:rsid w:val="60940B1E"/>
    <w:rsid w:val="60A56A8D"/>
    <w:rsid w:val="60AA27E4"/>
    <w:rsid w:val="60BD7C34"/>
    <w:rsid w:val="60BF5A0C"/>
    <w:rsid w:val="60CA54F9"/>
    <w:rsid w:val="60D1523C"/>
    <w:rsid w:val="60D62308"/>
    <w:rsid w:val="60E375EA"/>
    <w:rsid w:val="60FB119F"/>
    <w:rsid w:val="60FD3874"/>
    <w:rsid w:val="61001C3B"/>
    <w:rsid w:val="613E63D6"/>
    <w:rsid w:val="61565EA4"/>
    <w:rsid w:val="616A0E37"/>
    <w:rsid w:val="617376E1"/>
    <w:rsid w:val="617C698D"/>
    <w:rsid w:val="61820DE2"/>
    <w:rsid w:val="618B3C2C"/>
    <w:rsid w:val="619F3B15"/>
    <w:rsid w:val="61A26BDC"/>
    <w:rsid w:val="61B227DE"/>
    <w:rsid w:val="61B36FE1"/>
    <w:rsid w:val="61E631D3"/>
    <w:rsid w:val="61EA5F0C"/>
    <w:rsid w:val="61ED00F3"/>
    <w:rsid w:val="61F96E7B"/>
    <w:rsid w:val="620C3A2E"/>
    <w:rsid w:val="62374349"/>
    <w:rsid w:val="62381ADF"/>
    <w:rsid w:val="623C702C"/>
    <w:rsid w:val="6269577E"/>
    <w:rsid w:val="626D5494"/>
    <w:rsid w:val="629B3C3A"/>
    <w:rsid w:val="62AC2790"/>
    <w:rsid w:val="62AF4944"/>
    <w:rsid w:val="62B04835"/>
    <w:rsid w:val="62D32D25"/>
    <w:rsid w:val="62F4571E"/>
    <w:rsid w:val="62FF0CC8"/>
    <w:rsid w:val="63050405"/>
    <w:rsid w:val="632A280D"/>
    <w:rsid w:val="63300AF0"/>
    <w:rsid w:val="63305652"/>
    <w:rsid w:val="63457888"/>
    <w:rsid w:val="6348384F"/>
    <w:rsid w:val="635A25D0"/>
    <w:rsid w:val="636D3B23"/>
    <w:rsid w:val="63852308"/>
    <w:rsid w:val="63994C95"/>
    <w:rsid w:val="639B1117"/>
    <w:rsid w:val="63A75F42"/>
    <w:rsid w:val="63C656E3"/>
    <w:rsid w:val="63D32C88"/>
    <w:rsid w:val="63D901F7"/>
    <w:rsid w:val="63E62556"/>
    <w:rsid w:val="63F0172A"/>
    <w:rsid w:val="63F77C24"/>
    <w:rsid w:val="6418285B"/>
    <w:rsid w:val="641E5CAC"/>
    <w:rsid w:val="64635EE3"/>
    <w:rsid w:val="647A535F"/>
    <w:rsid w:val="649B4178"/>
    <w:rsid w:val="649D1124"/>
    <w:rsid w:val="64AA28C2"/>
    <w:rsid w:val="64DF5DFD"/>
    <w:rsid w:val="64F21E5F"/>
    <w:rsid w:val="64F94536"/>
    <w:rsid w:val="652432E7"/>
    <w:rsid w:val="65314BC1"/>
    <w:rsid w:val="656869ED"/>
    <w:rsid w:val="657619D1"/>
    <w:rsid w:val="65801E94"/>
    <w:rsid w:val="658068EE"/>
    <w:rsid w:val="658147B2"/>
    <w:rsid w:val="6599660E"/>
    <w:rsid w:val="65B60F97"/>
    <w:rsid w:val="65BE05E1"/>
    <w:rsid w:val="65DB1ABD"/>
    <w:rsid w:val="66021000"/>
    <w:rsid w:val="663E3F57"/>
    <w:rsid w:val="66410BF2"/>
    <w:rsid w:val="664314FE"/>
    <w:rsid w:val="6651412B"/>
    <w:rsid w:val="665A2617"/>
    <w:rsid w:val="665A37DD"/>
    <w:rsid w:val="665F1C74"/>
    <w:rsid w:val="666A0F38"/>
    <w:rsid w:val="666D27F1"/>
    <w:rsid w:val="66760B8B"/>
    <w:rsid w:val="66853B07"/>
    <w:rsid w:val="66B632F0"/>
    <w:rsid w:val="66B63A44"/>
    <w:rsid w:val="66B81EEC"/>
    <w:rsid w:val="66CB63D6"/>
    <w:rsid w:val="66D041EF"/>
    <w:rsid w:val="66EB6E76"/>
    <w:rsid w:val="66FA4433"/>
    <w:rsid w:val="672472D7"/>
    <w:rsid w:val="673D7BD6"/>
    <w:rsid w:val="673F5B40"/>
    <w:rsid w:val="674574EF"/>
    <w:rsid w:val="676C3497"/>
    <w:rsid w:val="677376B1"/>
    <w:rsid w:val="677B0C5E"/>
    <w:rsid w:val="677C5BD4"/>
    <w:rsid w:val="67BA647E"/>
    <w:rsid w:val="67C17374"/>
    <w:rsid w:val="67EA5376"/>
    <w:rsid w:val="67FA79E3"/>
    <w:rsid w:val="681815F4"/>
    <w:rsid w:val="681D07EF"/>
    <w:rsid w:val="682F5C07"/>
    <w:rsid w:val="68432914"/>
    <w:rsid w:val="6848754D"/>
    <w:rsid w:val="6849301F"/>
    <w:rsid w:val="68572455"/>
    <w:rsid w:val="68894702"/>
    <w:rsid w:val="68936A92"/>
    <w:rsid w:val="68AC22C1"/>
    <w:rsid w:val="68B24209"/>
    <w:rsid w:val="68CF1E50"/>
    <w:rsid w:val="68CF4F9F"/>
    <w:rsid w:val="6905794B"/>
    <w:rsid w:val="691F0053"/>
    <w:rsid w:val="69375EB5"/>
    <w:rsid w:val="6954706E"/>
    <w:rsid w:val="69566750"/>
    <w:rsid w:val="697314E3"/>
    <w:rsid w:val="697458F4"/>
    <w:rsid w:val="698F032B"/>
    <w:rsid w:val="699B1BB3"/>
    <w:rsid w:val="69A91A95"/>
    <w:rsid w:val="69AB75C0"/>
    <w:rsid w:val="69D06639"/>
    <w:rsid w:val="69FD447D"/>
    <w:rsid w:val="6A080201"/>
    <w:rsid w:val="6A09487F"/>
    <w:rsid w:val="6A0A3E9D"/>
    <w:rsid w:val="6A2E0AB2"/>
    <w:rsid w:val="6A511DEA"/>
    <w:rsid w:val="6A557D2C"/>
    <w:rsid w:val="6A762AAD"/>
    <w:rsid w:val="6A7F4485"/>
    <w:rsid w:val="6A8906E4"/>
    <w:rsid w:val="6A947E7A"/>
    <w:rsid w:val="6AB67820"/>
    <w:rsid w:val="6AE15380"/>
    <w:rsid w:val="6AE81D8B"/>
    <w:rsid w:val="6B11663D"/>
    <w:rsid w:val="6B124851"/>
    <w:rsid w:val="6B226879"/>
    <w:rsid w:val="6B2E19CC"/>
    <w:rsid w:val="6B335686"/>
    <w:rsid w:val="6B35381F"/>
    <w:rsid w:val="6B436437"/>
    <w:rsid w:val="6B5276ED"/>
    <w:rsid w:val="6B60457A"/>
    <w:rsid w:val="6B794E7B"/>
    <w:rsid w:val="6B85264B"/>
    <w:rsid w:val="6B8906D1"/>
    <w:rsid w:val="6B893997"/>
    <w:rsid w:val="6B8D264E"/>
    <w:rsid w:val="6B905B61"/>
    <w:rsid w:val="6B923EDE"/>
    <w:rsid w:val="6B964C3C"/>
    <w:rsid w:val="6B97161F"/>
    <w:rsid w:val="6BA97833"/>
    <w:rsid w:val="6BAB4B84"/>
    <w:rsid w:val="6BC716AA"/>
    <w:rsid w:val="6BF35332"/>
    <w:rsid w:val="6C00133F"/>
    <w:rsid w:val="6C340C53"/>
    <w:rsid w:val="6C3A3BCF"/>
    <w:rsid w:val="6C422E54"/>
    <w:rsid w:val="6C530CC0"/>
    <w:rsid w:val="6C5A4524"/>
    <w:rsid w:val="6C5F2A85"/>
    <w:rsid w:val="6C6368FE"/>
    <w:rsid w:val="6C724B71"/>
    <w:rsid w:val="6C9264B0"/>
    <w:rsid w:val="6C9E6EEE"/>
    <w:rsid w:val="6CA074FA"/>
    <w:rsid w:val="6CB80319"/>
    <w:rsid w:val="6CCE0D59"/>
    <w:rsid w:val="6D010583"/>
    <w:rsid w:val="6D4B342F"/>
    <w:rsid w:val="6D4C0207"/>
    <w:rsid w:val="6D544251"/>
    <w:rsid w:val="6D5519A2"/>
    <w:rsid w:val="6D671D5D"/>
    <w:rsid w:val="6D6B2C06"/>
    <w:rsid w:val="6D9F0293"/>
    <w:rsid w:val="6DA33677"/>
    <w:rsid w:val="6DA51FE4"/>
    <w:rsid w:val="6DAB4862"/>
    <w:rsid w:val="6DD836A3"/>
    <w:rsid w:val="6DE777DA"/>
    <w:rsid w:val="6DF656CF"/>
    <w:rsid w:val="6E054D9E"/>
    <w:rsid w:val="6E2C7AFF"/>
    <w:rsid w:val="6E415A3B"/>
    <w:rsid w:val="6E431A91"/>
    <w:rsid w:val="6E491611"/>
    <w:rsid w:val="6E5531DB"/>
    <w:rsid w:val="6E6E084C"/>
    <w:rsid w:val="6E906293"/>
    <w:rsid w:val="6E9212B7"/>
    <w:rsid w:val="6E995393"/>
    <w:rsid w:val="6EA91CAB"/>
    <w:rsid w:val="6EB209B1"/>
    <w:rsid w:val="6F1F757B"/>
    <w:rsid w:val="6F2A00C2"/>
    <w:rsid w:val="6F301C95"/>
    <w:rsid w:val="6F3174F4"/>
    <w:rsid w:val="6F361388"/>
    <w:rsid w:val="6F361EED"/>
    <w:rsid w:val="6F3D3AA4"/>
    <w:rsid w:val="6F3D5A15"/>
    <w:rsid w:val="6F4B1173"/>
    <w:rsid w:val="6F591E41"/>
    <w:rsid w:val="6F624702"/>
    <w:rsid w:val="6F6D53A0"/>
    <w:rsid w:val="6F84196E"/>
    <w:rsid w:val="6F8A6F61"/>
    <w:rsid w:val="6F942191"/>
    <w:rsid w:val="6FA12A4B"/>
    <w:rsid w:val="6FA545C2"/>
    <w:rsid w:val="6FA95AB4"/>
    <w:rsid w:val="6FB23294"/>
    <w:rsid w:val="6FB647C4"/>
    <w:rsid w:val="6FDD470D"/>
    <w:rsid w:val="6FEF490F"/>
    <w:rsid w:val="6FF34818"/>
    <w:rsid w:val="6FF81AB2"/>
    <w:rsid w:val="703D3375"/>
    <w:rsid w:val="70495430"/>
    <w:rsid w:val="705E3922"/>
    <w:rsid w:val="706A3E01"/>
    <w:rsid w:val="70747EB6"/>
    <w:rsid w:val="70895F5C"/>
    <w:rsid w:val="7098033F"/>
    <w:rsid w:val="70B017BC"/>
    <w:rsid w:val="70B26D3E"/>
    <w:rsid w:val="70B41BB0"/>
    <w:rsid w:val="70B50B1B"/>
    <w:rsid w:val="70F15D34"/>
    <w:rsid w:val="70F1653B"/>
    <w:rsid w:val="710B3EF4"/>
    <w:rsid w:val="712B4C95"/>
    <w:rsid w:val="71482144"/>
    <w:rsid w:val="71506F73"/>
    <w:rsid w:val="715B3A3E"/>
    <w:rsid w:val="71747A81"/>
    <w:rsid w:val="718134C7"/>
    <w:rsid w:val="71873FEF"/>
    <w:rsid w:val="718F51CF"/>
    <w:rsid w:val="71AD5FF1"/>
    <w:rsid w:val="71B75372"/>
    <w:rsid w:val="71E61D18"/>
    <w:rsid w:val="71FE70CD"/>
    <w:rsid w:val="72085129"/>
    <w:rsid w:val="720F7C6D"/>
    <w:rsid w:val="72267737"/>
    <w:rsid w:val="72293CF5"/>
    <w:rsid w:val="724219B7"/>
    <w:rsid w:val="724B1D14"/>
    <w:rsid w:val="726F1E92"/>
    <w:rsid w:val="72764EE8"/>
    <w:rsid w:val="72810CE8"/>
    <w:rsid w:val="72893248"/>
    <w:rsid w:val="72A9726B"/>
    <w:rsid w:val="72CE4F8A"/>
    <w:rsid w:val="72D078FF"/>
    <w:rsid w:val="72D8404A"/>
    <w:rsid w:val="72F86939"/>
    <w:rsid w:val="72FA2BBE"/>
    <w:rsid w:val="73085B53"/>
    <w:rsid w:val="73380341"/>
    <w:rsid w:val="734232BE"/>
    <w:rsid w:val="735558C8"/>
    <w:rsid w:val="73584913"/>
    <w:rsid w:val="73680FC6"/>
    <w:rsid w:val="73765D1E"/>
    <w:rsid w:val="737B5A97"/>
    <w:rsid w:val="73945D69"/>
    <w:rsid w:val="73A10A9E"/>
    <w:rsid w:val="73AC3277"/>
    <w:rsid w:val="73C05A2C"/>
    <w:rsid w:val="73C163F7"/>
    <w:rsid w:val="73C54AA8"/>
    <w:rsid w:val="73CE130D"/>
    <w:rsid w:val="73CF46F4"/>
    <w:rsid w:val="73E2202D"/>
    <w:rsid w:val="73FA290A"/>
    <w:rsid w:val="741554D1"/>
    <w:rsid w:val="742551B5"/>
    <w:rsid w:val="74273993"/>
    <w:rsid w:val="743234CA"/>
    <w:rsid w:val="74604C84"/>
    <w:rsid w:val="746F7DCB"/>
    <w:rsid w:val="747919A7"/>
    <w:rsid w:val="747A27E3"/>
    <w:rsid w:val="74846F19"/>
    <w:rsid w:val="748D521E"/>
    <w:rsid w:val="74A32183"/>
    <w:rsid w:val="74A50617"/>
    <w:rsid w:val="74A55BCB"/>
    <w:rsid w:val="74D0058B"/>
    <w:rsid w:val="74DA1957"/>
    <w:rsid w:val="74DF599E"/>
    <w:rsid w:val="74E80E35"/>
    <w:rsid w:val="75070030"/>
    <w:rsid w:val="751B2757"/>
    <w:rsid w:val="752779A3"/>
    <w:rsid w:val="753512AE"/>
    <w:rsid w:val="75353E32"/>
    <w:rsid w:val="75411EC6"/>
    <w:rsid w:val="75574608"/>
    <w:rsid w:val="755C6C59"/>
    <w:rsid w:val="758A543A"/>
    <w:rsid w:val="7599228F"/>
    <w:rsid w:val="75A00B92"/>
    <w:rsid w:val="75A145EF"/>
    <w:rsid w:val="75B95962"/>
    <w:rsid w:val="75BC7F2D"/>
    <w:rsid w:val="75D95661"/>
    <w:rsid w:val="75EC37DB"/>
    <w:rsid w:val="761A3633"/>
    <w:rsid w:val="764D574B"/>
    <w:rsid w:val="765A6656"/>
    <w:rsid w:val="7691569A"/>
    <w:rsid w:val="769820E8"/>
    <w:rsid w:val="76A31E71"/>
    <w:rsid w:val="76B45C27"/>
    <w:rsid w:val="76C31FF6"/>
    <w:rsid w:val="76D3477B"/>
    <w:rsid w:val="76D63210"/>
    <w:rsid w:val="77060C94"/>
    <w:rsid w:val="7710403A"/>
    <w:rsid w:val="77310275"/>
    <w:rsid w:val="77391F9C"/>
    <w:rsid w:val="773C539E"/>
    <w:rsid w:val="773D4D54"/>
    <w:rsid w:val="77520261"/>
    <w:rsid w:val="777223D6"/>
    <w:rsid w:val="77756A2B"/>
    <w:rsid w:val="7789044B"/>
    <w:rsid w:val="77936A35"/>
    <w:rsid w:val="77A105A7"/>
    <w:rsid w:val="77A57BF0"/>
    <w:rsid w:val="77AC5AE1"/>
    <w:rsid w:val="77AD770E"/>
    <w:rsid w:val="77B045E9"/>
    <w:rsid w:val="77DB4E58"/>
    <w:rsid w:val="77E06EF6"/>
    <w:rsid w:val="77E26696"/>
    <w:rsid w:val="77EA4330"/>
    <w:rsid w:val="77F86EE5"/>
    <w:rsid w:val="77FB3ED1"/>
    <w:rsid w:val="78096213"/>
    <w:rsid w:val="781F272B"/>
    <w:rsid w:val="783A0956"/>
    <w:rsid w:val="78613BDD"/>
    <w:rsid w:val="787005FA"/>
    <w:rsid w:val="787E2911"/>
    <w:rsid w:val="788A7C9C"/>
    <w:rsid w:val="78BB4A14"/>
    <w:rsid w:val="78E64E46"/>
    <w:rsid w:val="78F82BC4"/>
    <w:rsid w:val="79062838"/>
    <w:rsid w:val="7918651D"/>
    <w:rsid w:val="791A54BE"/>
    <w:rsid w:val="792A2E13"/>
    <w:rsid w:val="79331C9A"/>
    <w:rsid w:val="7939240F"/>
    <w:rsid w:val="794A3615"/>
    <w:rsid w:val="794A77F1"/>
    <w:rsid w:val="7969452D"/>
    <w:rsid w:val="796E46D9"/>
    <w:rsid w:val="797408FE"/>
    <w:rsid w:val="797E1348"/>
    <w:rsid w:val="797F3CEB"/>
    <w:rsid w:val="79872CD4"/>
    <w:rsid w:val="79944732"/>
    <w:rsid w:val="79967772"/>
    <w:rsid w:val="799D36F1"/>
    <w:rsid w:val="79AA27CA"/>
    <w:rsid w:val="79B4402B"/>
    <w:rsid w:val="79C738E9"/>
    <w:rsid w:val="79CC417C"/>
    <w:rsid w:val="79D23AE9"/>
    <w:rsid w:val="79D94DCB"/>
    <w:rsid w:val="79F2366F"/>
    <w:rsid w:val="7A3F15B6"/>
    <w:rsid w:val="7A423127"/>
    <w:rsid w:val="7A4F40F0"/>
    <w:rsid w:val="7A711EC2"/>
    <w:rsid w:val="7A72086F"/>
    <w:rsid w:val="7A8459F7"/>
    <w:rsid w:val="7A9F4546"/>
    <w:rsid w:val="7AAD7E64"/>
    <w:rsid w:val="7AB06650"/>
    <w:rsid w:val="7AD4498A"/>
    <w:rsid w:val="7AE2223D"/>
    <w:rsid w:val="7AE842AF"/>
    <w:rsid w:val="7AF6132D"/>
    <w:rsid w:val="7B1F310B"/>
    <w:rsid w:val="7B506BBD"/>
    <w:rsid w:val="7B581B2C"/>
    <w:rsid w:val="7B5C69E8"/>
    <w:rsid w:val="7B617081"/>
    <w:rsid w:val="7B700AEB"/>
    <w:rsid w:val="7B7D1A83"/>
    <w:rsid w:val="7B7D5D39"/>
    <w:rsid w:val="7B9C2732"/>
    <w:rsid w:val="7BA25729"/>
    <w:rsid w:val="7BAA0378"/>
    <w:rsid w:val="7BB84839"/>
    <w:rsid w:val="7BC200AD"/>
    <w:rsid w:val="7BCC20F1"/>
    <w:rsid w:val="7BF1400D"/>
    <w:rsid w:val="7BF819A5"/>
    <w:rsid w:val="7C004942"/>
    <w:rsid w:val="7C113E00"/>
    <w:rsid w:val="7C304B21"/>
    <w:rsid w:val="7C4A095F"/>
    <w:rsid w:val="7C537570"/>
    <w:rsid w:val="7C547377"/>
    <w:rsid w:val="7C9648D4"/>
    <w:rsid w:val="7C9A0901"/>
    <w:rsid w:val="7CA72770"/>
    <w:rsid w:val="7CC531CB"/>
    <w:rsid w:val="7CDF07AC"/>
    <w:rsid w:val="7D11627B"/>
    <w:rsid w:val="7D13193C"/>
    <w:rsid w:val="7D145A96"/>
    <w:rsid w:val="7D4266D7"/>
    <w:rsid w:val="7D545437"/>
    <w:rsid w:val="7D583942"/>
    <w:rsid w:val="7D601F3B"/>
    <w:rsid w:val="7D761CE9"/>
    <w:rsid w:val="7D8243BD"/>
    <w:rsid w:val="7D8A5F67"/>
    <w:rsid w:val="7D951F4E"/>
    <w:rsid w:val="7DA06E1F"/>
    <w:rsid w:val="7DAE304B"/>
    <w:rsid w:val="7DD439E6"/>
    <w:rsid w:val="7DEC38B0"/>
    <w:rsid w:val="7DF35B77"/>
    <w:rsid w:val="7DF677CE"/>
    <w:rsid w:val="7DFF1AC9"/>
    <w:rsid w:val="7E0B40AE"/>
    <w:rsid w:val="7E133051"/>
    <w:rsid w:val="7E162C8D"/>
    <w:rsid w:val="7E423FB4"/>
    <w:rsid w:val="7E45796C"/>
    <w:rsid w:val="7E511508"/>
    <w:rsid w:val="7E6064D5"/>
    <w:rsid w:val="7E9732FE"/>
    <w:rsid w:val="7EA17C38"/>
    <w:rsid w:val="7EBF234E"/>
    <w:rsid w:val="7ED75CF7"/>
    <w:rsid w:val="7EED15C9"/>
    <w:rsid w:val="7F0D3AF7"/>
    <w:rsid w:val="7F157C0B"/>
    <w:rsid w:val="7F1A3607"/>
    <w:rsid w:val="7F1C53A8"/>
    <w:rsid w:val="7F2068DA"/>
    <w:rsid w:val="7F2172AA"/>
    <w:rsid w:val="7F36487E"/>
    <w:rsid w:val="7F5D638E"/>
    <w:rsid w:val="7F7C6DB1"/>
    <w:rsid w:val="7F821C5A"/>
    <w:rsid w:val="7F9C2DA1"/>
    <w:rsid w:val="7FA43404"/>
    <w:rsid w:val="7FA73543"/>
    <w:rsid w:val="7FA82947"/>
    <w:rsid w:val="7FB74A68"/>
    <w:rsid w:val="7FC8148D"/>
    <w:rsid w:val="7FC832C7"/>
    <w:rsid w:val="7FE52161"/>
    <w:rsid w:val="7FE74EBB"/>
    <w:rsid w:val="7FEE5D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5">
    <w:name w:val="heading 1"/>
    <w:basedOn w:val="1"/>
    <w:next w:val="1"/>
    <w:link w:val="47"/>
    <w:qFormat/>
    <w:uiPriority w:val="0"/>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6">
    <w:name w:val="heading 2"/>
    <w:basedOn w:val="1"/>
    <w:next w:val="1"/>
    <w:link w:val="48"/>
    <w:qFormat/>
    <w:uiPriority w:val="9"/>
    <w:pPr>
      <w:keepNext/>
      <w:keepLines/>
      <w:spacing w:before="260" w:after="260" w:line="416" w:lineRule="auto"/>
      <w:outlineLvl w:val="1"/>
    </w:pPr>
    <w:rPr>
      <w:rFonts w:ascii="Cambria" w:hAnsi="Cambria"/>
      <w:b/>
      <w:bCs/>
      <w:sz w:val="32"/>
      <w:szCs w:val="32"/>
    </w:rPr>
  </w:style>
  <w:style w:type="paragraph" w:styleId="7">
    <w:name w:val="heading 3"/>
    <w:basedOn w:val="1"/>
    <w:next w:val="1"/>
    <w:qFormat/>
    <w:uiPriority w:val="0"/>
    <w:pPr>
      <w:keepNext/>
      <w:keepLines/>
      <w:widowControl w:val="0"/>
      <w:spacing w:before="260" w:after="260" w:line="360" w:lineRule="auto"/>
      <w:jc w:val="center"/>
      <w:outlineLvl w:val="2"/>
    </w:pPr>
    <w:rPr>
      <w:b/>
      <w:kern w:val="2"/>
      <w:sz w:val="32"/>
    </w:rPr>
  </w:style>
  <w:style w:type="paragraph" w:styleId="8">
    <w:name w:val="heading 4"/>
    <w:basedOn w:val="1"/>
    <w:next w:val="9"/>
    <w:qFormat/>
    <w:uiPriority w:val="0"/>
    <w:pPr>
      <w:keepNext/>
      <w:widowControl w:val="0"/>
      <w:tabs>
        <w:tab w:val="left" w:pos="720"/>
      </w:tabs>
      <w:ind w:left="420" w:hanging="420"/>
      <w:jc w:val="both"/>
      <w:outlineLvl w:val="3"/>
    </w:pPr>
    <w:rPr>
      <w:rFonts w:ascii="宋体"/>
      <w:kern w:val="2"/>
      <w:sz w:val="28"/>
    </w:rPr>
  </w:style>
  <w:style w:type="paragraph" w:styleId="10">
    <w:name w:val="heading 5"/>
    <w:basedOn w:val="1"/>
    <w:next w:val="1"/>
    <w:qFormat/>
    <w:uiPriority w:val="0"/>
    <w:pPr>
      <w:keepNext/>
      <w:widowControl w:val="0"/>
      <w:autoSpaceDE w:val="0"/>
      <w:autoSpaceDN w:val="0"/>
      <w:adjustRightInd w:val="0"/>
      <w:jc w:val="both"/>
      <w:outlineLvl w:val="4"/>
    </w:pPr>
    <w:rPr>
      <w:color w:val="000000"/>
      <w:kern w:val="2"/>
      <w:sz w:val="28"/>
    </w:rPr>
  </w:style>
  <w:style w:type="character" w:default="1" w:styleId="40">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spacing w:after="120" w:line="240" w:lineRule="auto"/>
      <w:ind w:firstLine="420" w:firstLineChars="100"/>
    </w:pPr>
    <w:rPr>
      <w:rFonts w:ascii="Times New Roman"/>
      <w:sz w:val="21"/>
      <w:szCs w:val="24"/>
    </w:rPr>
  </w:style>
  <w:style w:type="paragraph" w:styleId="3">
    <w:name w:val="Body Text"/>
    <w:basedOn w:val="1"/>
    <w:next w:val="2"/>
    <w:link w:val="52"/>
    <w:qFormat/>
    <w:uiPriority w:val="0"/>
    <w:pPr>
      <w:widowControl w:val="0"/>
      <w:spacing w:line="360" w:lineRule="auto"/>
      <w:jc w:val="both"/>
    </w:pPr>
    <w:rPr>
      <w:rFonts w:ascii="楷体_GB2312" w:eastAsia="楷体_GB2312"/>
      <w:kern w:val="2"/>
      <w:sz w:val="32"/>
    </w:rPr>
  </w:style>
  <w:style w:type="paragraph" w:styleId="4">
    <w:name w:val="toc 6"/>
    <w:basedOn w:val="1"/>
    <w:next w:val="1"/>
    <w:qFormat/>
    <w:uiPriority w:val="0"/>
    <w:pPr>
      <w:ind w:left="1050"/>
    </w:pPr>
    <w:rPr>
      <w:sz w:val="18"/>
      <w:szCs w:val="18"/>
    </w:rPr>
  </w:style>
  <w:style w:type="paragraph" w:styleId="9">
    <w:name w:val="Normal Indent"/>
    <w:basedOn w:val="1"/>
    <w:link w:val="49"/>
    <w:qFormat/>
    <w:uiPriority w:val="0"/>
    <w:pPr>
      <w:ind w:firstLine="420"/>
    </w:pPr>
  </w:style>
  <w:style w:type="paragraph" w:styleId="11">
    <w:name w:val="caption"/>
    <w:basedOn w:val="1"/>
    <w:next w:val="1"/>
    <w:qFormat/>
    <w:uiPriority w:val="0"/>
    <w:pPr>
      <w:widowControl w:val="0"/>
      <w:spacing w:before="152" w:after="160"/>
      <w:jc w:val="both"/>
    </w:pPr>
    <w:rPr>
      <w:rFonts w:ascii="Arial" w:hAnsi="Arial" w:eastAsia="黑体" w:cs="Arial"/>
      <w:kern w:val="2"/>
      <w:sz w:val="20"/>
    </w:rPr>
  </w:style>
  <w:style w:type="paragraph" w:styleId="12">
    <w:name w:val="index 5"/>
    <w:basedOn w:val="1"/>
    <w:next w:val="1"/>
    <w:unhideWhenUsed/>
    <w:qFormat/>
    <w:uiPriority w:val="99"/>
    <w:pPr>
      <w:ind w:left="800" w:leftChars="800"/>
    </w:pPr>
  </w:style>
  <w:style w:type="paragraph" w:styleId="13">
    <w:name w:val="List Bullet"/>
    <w:basedOn w:val="1"/>
    <w:qFormat/>
    <w:uiPriority w:val="0"/>
    <w:pPr>
      <w:widowControl w:val="0"/>
      <w:tabs>
        <w:tab w:val="left" w:pos="1560"/>
      </w:tabs>
      <w:ind w:left="1560" w:hanging="200" w:hangingChars="200"/>
      <w:contextualSpacing/>
      <w:jc w:val="both"/>
    </w:pPr>
    <w:rPr>
      <w:kern w:val="2"/>
    </w:rPr>
  </w:style>
  <w:style w:type="paragraph" w:styleId="14">
    <w:name w:val="Document Map"/>
    <w:basedOn w:val="1"/>
    <w:link w:val="50"/>
    <w:qFormat/>
    <w:uiPriority w:val="0"/>
    <w:pPr>
      <w:widowControl w:val="0"/>
      <w:jc w:val="both"/>
    </w:pPr>
    <w:rPr>
      <w:rFonts w:ascii="Heiti SC Light" w:eastAsia="Heiti SC Light"/>
      <w:kern w:val="2"/>
      <w:sz w:val="24"/>
      <w:szCs w:val="24"/>
    </w:rPr>
  </w:style>
  <w:style w:type="paragraph" w:styleId="15">
    <w:name w:val="annotation text"/>
    <w:basedOn w:val="1"/>
    <w:link w:val="51"/>
    <w:semiHidden/>
    <w:qFormat/>
    <w:uiPriority w:val="0"/>
  </w:style>
  <w:style w:type="paragraph" w:styleId="16">
    <w:name w:val="Body Text 3"/>
    <w:basedOn w:val="1"/>
    <w:qFormat/>
    <w:uiPriority w:val="0"/>
    <w:pPr>
      <w:widowControl w:val="0"/>
      <w:spacing w:after="120"/>
      <w:jc w:val="both"/>
    </w:pPr>
    <w:rPr>
      <w:kern w:val="2"/>
      <w:sz w:val="16"/>
      <w:szCs w:val="16"/>
    </w:rPr>
  </w:style>
  <w:style w:type="paragraph" w:styleId="17">
    <w:name w:val="Body Text Indent"/>
    <w:basedOn w:val="1"/>
    <w:unhideWhenUsed/>
    <w:qFormat/>
    <w:uiPriority w:val="0"/>
    <w:pPr>
      <w:widowControl w:val="0"/>
      <w:spacing w:after="120"/>
      <w:ind w:left="420" w:leftChars="200"/>
      <w:jc w:val="both"/>
    </w:pPr>
    <w:rPr>
      <w:kern w:val="2"/>
    </w:rPr>
  </w:style>
  <w:style w:type="paragraph" w:styleId="18">
    <w:name w:val="List 2"/>
    <w:basedOn w:val="1"/>
    <w:qFormat/>
    <w:uiPriority w:val="0"/>
    <w:pPr>
      <w:widowControl w:val="0"/>
      <w:ind w:left="100" w:leftChars="200" w:hanging="200" w:hangingChars="200"/>
      <w:jc w:val="both"/>
    </w:pPr>
    <w:rPr>
      <w:rFonts w:ascii="Calibri" w:hAnsi="Calibri"/>
      <w:kern w:val="2"/>
      <w:szCs w:val="22"/>
    </w:rPr>
  </w:style>
  <w:style w:type="paragraph" w:styleId="19">
    <w:name w:val="Block Text"/>
    <w:basedOn w:val="1"/>
    <w:qFormat/>
    <w:uiPriority w:val="99"/>
    <w:pPr>
      <w:adjustRightInd w:val="0"/>
      <w:spacing w:line="300" w:lineRule="auto"/>
      <w:ind w:left="958" w:right="-120" w:rightChars="-120"/>
    </w:pPr>
    <w:rPr>
      <w:rFonts w:ascii="宋体" w:hAnsi="宋体"/>
      <w:sz w:val="28"/>
    </w:rPr>
  </w:style>
  <w:style w:type="paragraph" w:styleId="20">
    <w:name w:val="toc 3"/>
    <w:basedOn w:val="1"/>
    <w:next w:val="1"/>
    <w:semiHidden/>
    <w:qFormat/>
    <w:uiPriority w:val="0"/>
    <w:pPr>
      <w:ind w:left="840" w:leftChars="400"/>
    </w:pPr>
  </w:style>
  <w:style w:type="paragraph" w:styleId="21">
    <w:name w:val="Plain Text"/>
    <w:basedOn w:val="1"/>
    <w:next w:val="1"/>
    <w:link w:val="53"/>
    <w:qFormat/>
    <w:uiPriority w:val="0"/>
    <w:pPr>
      <w:widowControl w:val="0"/>
      <w:spacing w:beforeLines="50" w:afterLines="50" w:line="400" w:lineRule="atLeast"/>
      <w:jc w:val="both"/>
    </w:pPr>
    <w:rPr>
      <w:rFonts w:ascii="宋体" w:hAnsi="Courier New"/>
      <w:kern w:val="2"/>
      <w:sz w:val="24"/>
      <w:szCs w:val="24"/>
    </w:rPr>
  </w:style>
  <w:style w:type="paragraph" w:styleId="22">
    <w:name w:val="Date"/>
    <w:basedOn w:val="1"/>
    <w:next w:val="1"/>
    <w:qFormat/>
    <w:uiPriority w:val="0"/>
    <w:pPr>
      <w:ind w:left="100" w:leftChars="2500"/>
    </w:pPr>
  </w:style>
  <w:style w:type="paragraph" w:styleId="23">
    <w:name w:val="Body Text Indent 2"/>
    <w:basedOn w:val="1"/>
    <w:qFormat/>
    <w:uiPriority w:val="0"/>
    <w:pPr>
      <w:spacing w:after="120" w:line="480" w:lineRule="auto"/>
      <w:ind w:left="420" w:leftChars="200"/>
    </w:pPr>
  </w:style>
  <w:style w:type="paragraph" w:styleId="24">
    <w:name w:val="Balloon Text"/>
    <w:basedOn w:val="1"/>
    <w:link w:val="54"/>
    <w:unhideWhenUsed/>
    <w:qFormat/>
    <w:uiPriority w:val="99"/>
    <w:rPr>
      <w:sz w:val="18"/>
      <w:szCs w:val="18"/>
    </w:rPr>
  </w:style>
  <w:style w:type="paragraph" w:styleId="25">
    <w:name w:val="footer"/>
    <w:basedOn w:val="1"/>
    <w:link w:val="55"/>
    <w:qFormat/>
    <w:uiPriority w:val="0"/>
    <w:pPr>
      <w:tabs>
        <w:tab w:val="center" w:pos="4153"/>
        <w:tab w:val="right" w:pos="8306"/>
      </w:tabs>
      <w:snapToGrid w:val="0"/>
    </w:pPr>
    <w:rPr>
      <w:sz w:val="18"/>
    </w:rPr>
  </w:style>
  <w:style w:type="paragraph" w:styleId="26">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middleDot" w:pos="8948"/>
      </w:tabs>
    </w:pPr>
    <w:rPr>
      <w:rFonts w:ascii="宋体" w:hAnsi="宋体"/>
      <w:bCs/>
      <w:caps/>
      <w:szCs w:val="21"/>
    </w:rPr>
  </w:style>
  <w:style w:type="paragraph" w:styleId="28">
    <w:name w:val="footnote text"/>
    <w:basedOn w:val="1"/>
    <w:next w:val="12"/>
    <w:qFormat/>
    <w:uiPriority w:val="0"/>
    <w:pPr>
      <w:snapToGrid w:val="0"/>
      <w:spacing w:line="360" w:lineRule="auto"/>
      <w:ind w:left="539" w:hanging="539"/>
    </w:pPr>
    <w:rPr>
      <w:sz w:val="18"/>
      <w:szCs w:val="18"/>
    </w:rPr>
  </w:style>
  <w:style w:type="paragraph" w:styleId="29">
    <w:name w:val="table of figures"/>
    <w:basedOn w:val="1"/>
    <w:next w:val="1"/>
    <w:semiHidden/>
    <w:qFormat/>
    <w:uiPriority w:val="0"/>
    <w:pPr>
      <w:ind w:left="840" w:leftChars="200" w:hanging="420" w:hangingChars="200"/>
    </w:pPr>
  </w:style>
  <w:style w:type="paragraph" w:styleId="30">
    <w:name w:val="toc 2"/>
    <w:basedOn w:val="1"/>
    <w:next w:val="1"/>
    <w:qFormat/>
    <w:uiPriority w:val="39"/>
    <w:pPr>
      <w:tabs>
        <w:tab w:val="right" w:leader="middleDot" w:pos="8948"/>
      </w:tabs>
      <w:spacing w:before="60" w:after="60"/>
      <w:ind w:left="210"/>
    </w:pPr>
    <w:rPr>
      <w:smallCaps/>
    </w:rPr>
  </w:style>
  <w:style w:type="paragraph" w:styleId="31">
    <w:name w:val="Body Text 2"/>
    <w:basedOn w:val="1"/>
    <w:qFormat/>
    <w:uiPriority w:val="0"/>
    <w:pPr>
      <w:spacing w:after="120" w:line="480" w:lineRule="auto"/>
    </w:pPr>
  </w:style>
  <w:style w:type="paragraph" w:styleId="3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sz w:val="24"/>
      <w:szCs w:val="24"/>
    </w:rPr>
  </w:style>
  <w:style w:type="paragraph" w:styleId="33">
    <w:name w:val="Normal (Web)"/>
    <w:basedOn w:val="1"/>
    <w:qFormat/>
    <w:uiPriority w:val="0"/>
    <w:pPr>
      <w:spacing w:before="100" w:beforeAutospacing="1" w:after="100" w:afterAutospacing="1"/>
    </w:pPr>
    <w:rPr>
      <w:rFonts w:ascii="Arial Unicode MS" w:hAnsi="Arial Unicode MS" w:eastAsia="Times New Roman"/>
      <w:color w:val="000000"/>
      <w:sz w:val="24"/>
      <w:szCs w:val="24"/>
    </w:rPr>
  </w:style>
  <w:style w:type="paragraph" w:styleId="34">
    <w:name w:val="Title"/>
    <w:basedOn w:val="1"/>
    <w:next w:val="1"/>
    <w:link w:val="57"/>
    <w:qFormat/>
    <w:uiPriority w:val="0"/>
    <w:pPr>
      <w:spacing w:before="240" w:after="60"/>
      <w:jc w:val="center"/>
      <w:outlineLvl w:val="0"/>
    </w:pPr>
    <w:rPr>
      <w:rFonts w:ascii="Cambria" w:hAnsi="Cambria"/>
      <w:b/>
      <w:bCs/>
      <w:sz w:val="32"/>
      <w:szCs w:val="32"/>
    </w:rPr>
  </w:style>
  <w:style w:type="paragraph" w:styleId="35">
    <w:name w:val="annotation subject"/>
    <w:basedOn w:val="15"/>
    <w:next w:val="15"/>
    <w:link w:val="58"/>
    <w:semiHidden/>
    <w:qFormat/>
    <w:uiPriority w:val="0"/>
    <w:rPr>
      <w:b/>
      <w:bCs/>
    </w:rPr>
  </w:style>
  <w:style w:type="paragraph" w:styleId="36">
    <w:name w:val="Body Text First Indent 2"/>
    <w:basedOn w:val="17"/>
    <w:qFormat/>
    <w:uiPriority w:val="0"/>
    <w:pPr>
      <w:spacing w:after="160"/>
      <w:ind w:firstLine="480" w:firstLineChars="200"/>
    </w:pPr>
    <w:rPr>
      <w:rFonts w:ascii="仿宋_GB2312" w:hAnsi="宋体" w:eastAsia="仿宋_GB2312" w:cs="宋体"/>
      <w:b/>
      <w:bCs/>
      <w:color w:val="000000"/>
      <w:kern w:val="0"/>
      <w:sz w:val="24"/>
      <w:szCs w:val="21"/>
    </w:rPr>
  </w:style>
  <w:style w:type="table" w:styleId="38">
    <w:name w:val="Table Grid"/>
    <w:basedOn w:val="3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39">
    <w:name w:val="Table Professional"/>
    <w:basedOn w:val="3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0"/>
    <w:rPr>
      <w:b/>
      <w:color w:val="333333"/>
      <w:sz w:val="21"/>
      <w:szCs w:val="21"/>
      <w:u w:val="none"/>
      <w:shd w:val="clear" w:color="auto" w:fill="00930F"/>
    </w:rPr>
  </w:style>
  <w:style w:type="character" w:styleId="44">
    <w:name w:val="Emphasis"/>
    <w:qFormat/>
    <w:uiPriority w:val="0"/>
    <w:rPr>
      <w:i/>
      <w:iCs/>
    </w:rPr>
  </w:style>
  <w:style w:type="character" w:styleId="45">
    <w:name w:val="Hyperlink"/>
    <w:basedOn w:val="40"/>
    <w:qFormat/>
    <w:uiPriority w:val="99"/>
    <w:rPr>
      <w:rFonts w:hint="eastAsia" w:ascii="宋体" w:hAnsi="宋体" w:eastAsia="宋体" w:cs="宋体"/>
      <w:color w:val="000000"/>
      <w:sz w:val="18"/>
      <w:szCs w:val="18"/>
      <w:u w:val="none"/>
    </w:rPr>
  </w:style>
  <w:style w:type="character" w:styleId="46">
    <w:name w:val="annotation reference"/>
    <w:semiHidden/>
    <w:qFormat/>
    <w:uiPriority w:val="0"/>
    <w:rPr>
      <w:sz w:val="21"/>
      <w:szCs w:val="21"/>
    </w:rPr>
  </w:style>
  <w:style w:type="character" w:customStyle="1" w:styleId="47">
    <w:name w:val="标题 1 Char"/>
    <w:link w:val="5"/>
    <w:qFormat/>
    <w:uiPriority w:val="0"/>
    <w:rPr>
      <w:rFonts w:ascii="宋体" w:hAnsi="Times New Roman" w:eastAsia="宋体" w:cs="Times New Roman"/>
      <w:b/>
      <w:kern w:val="44"/>
      <w:sz w:val="24"/>
      <w:szCs w:val="20"/>
    </w:rPr>
  </w:style>
  <w:style w:type="character" w:customStyle="1" w:styleId="48">
    <w:name w:val="标题 2 Char"/>
    <w:link w:val="6"/>
    <w:semiHidden/>
    <w:qFormat/>
    <w:uiPriority w:val="9"/>
    <w:rPr>
      <w:rFonts w:ascii="Cambria" w:hAnsi="Cambria" w:eastAsia="宋体" w:cs="Times New Roman"/>
      <w:b/>
      <w:bCs/>
      <w:sz w:val="32"/>
      <w:szCs w:val="32"/>
    </w:rPr>
  </w:style>
  <w:style w:type="character" w:customStyle="1" w:styleId="49">
    <w:name w:val="正文缩进 Char"/>
    <w:link w:val="9"/>
    <w:qFormat/>
    <w:uiPriority w:val="0"/>
    <w:rPr>
      <w:rFonts w:ascii="Times New Roman" w:hAnsi="Times New Roman"/>
      <w:sz w:val="21"/>
    </w:rPr>
  </w:style>
  <w:style w:type="character" w:customStyle="1" w:styleId="50">
    <w:name w:val="文档结构图 Char"/>
    <w:link w:val="14"/>
    <w:qFormat/>
    <w:uiPriority w:val="0"/>
    <w:rPr>
      <w:rFonts w:ascii="Heiti SC Light" w:eastAsia="Heiti SC Light"/>
      <w:kern w:val="2"/>
      <w:sz w:val="24"/>
      <w:szCs w:val="24"/>
      <w:lang w:bidi="ar-SA"/>
    </w:rPr>
  </w:style>
  <w:style w:type="character" w:customStyle="1" w:styleId="51">
    <w:name w:val="批注文字 Char"/>
    <w:link w:val="15"/>
    <w:semiHidden/>
    <w:qFormat/>
    <w:locked/>
    <w:uiPriority w:val="0"/>
    <w:rPr>
      <w:rFonts w:eastAsia="宋体"/>
      <w:sz w:val="21"/>
      <w:lang w:val="en-US" w:eastAsia="zh-CN" w:bidi="ar-SA"/>
    </w:rPr>
  </w:style>
  <w:style w:type="character" w:customStyle="1" w:styleId="52">
    <w:name w:val="正文文本 Char"/>
    <w:link w:val="3"/>
    <w:qFormat/>
    <w:uiPriority w:val="0"/>
    <w:rPr>
      <w:rFonts w:ascii="楷体_GB2312" w:hAnsi="Times New Roman" w:eastAsia="楷体_GB2312"/>
      <w:kern w:val="2"/>
      <w:sz w:val="32"/>
    </w:rPr>
  </w:style>
  <w:style w:type="character" w:customStyle="1" w:styleId="53">
    <w:name w:val="纯文本 Char"/>
    <w:link w:val="21"/>
    <w:qFormat/>
    <w:uiPriority w:val="0"/>
    <w:rPr>
      <w:rFonts w:ascii="宋体" w:hAnsi="Courier New"/>
      <w:kern w:val="2"/>
      <w:sz w:val="24"/>
      <w:szCs w:val="24"/>
      <w:lang w:bidi="ar-SA"/>
    </w:rPr>
  </w:style>
  <w:style w:type="character" w:customStyle="1" w:styleId="54">
    <w:name w:val="批注框文本 Char"/>
    <w:link w:val="24"/>
    <w:semiHidden/>
    <w:qFormat/>
    <w:uiPriority w:val="99"/>
    <w:rPr>
      <w:rFonts w:ascii="Times New Roman" w:hAnsi="Times New Roman"/>
      <w:sz w:val="18"/>
      <w:szCs w:val="18"/>
    </w:rPr>
  </w:style>
  <w:style w:type="character" w:customStyle="1" w:styleId="55">
    <w:name w:val="页脚 Char"/>
    <w:link w:val="25"/>
    <w:qFormat/>
    <w:uiPriority w:val="0"/>
    <w:rPr>
      <w:rFonts w:ascii="Times New Roman" w:hAnsi="Times New Roman" w:eastAsia="宋体" w:cs="Times New Roman"/>
      <w:kern w:val="0"/>
      <w:sz w:val="18"/>
      <w:szCs w:val="20"/>
    </w:rPr>
  </w:style>
  <w:style w:type="character" w:customStyle="1" w:styleId="56">
    <w:name w:val="页眉 Char"/>
    <w:link w:val="26"/>
    <w:qFormat/>
    <w:uiPriority w:val="99"/>
    <w:rPr>
      <w:rFonts w:ascii="Times New Roman" w:hAnsi="Times New Roman" w:eastAsia="宋体" w:cs="Times New Roman"/>
      <w:kern w:val="0"/>
      <w:sz w:val="18"/>
      <w:szCs w:val="18"/>
    </w:rPr>
  </w:style>
  <w:style w:type="character" w:customStyle="1" w:styleId="57">
    <w:name w:val="标题 Char"/>
    <w:link w:val="34"/>
    <w:qFormat/>
    <w:uiPriority w:val="0"/>
    <w:rPr>
      <w:rFonts w:ascii="Cambria" w:hAnsi="Cambria" w:cs="Times New Roman"/>
      <w:b/>
      <w:bCs/>
      <w:sz w:val="32"/>
      <w:szCs w:val="32"/>
    </w:rPr>
  </w:style>
  <w:style w:type="character" w:customStyle="1" w:styleId="58">
    <w:name w:val="批注主题 Char"/>
    <w:link w:val="35"/>
    <w:semiHidden/>
    <w:qFormat/>
    <w:locked/>
    <w:uiPriority w:val="0"/>
    <w:rPr>
      <w:rFonts w:eastAsia="宋体"/>
      <w:b/>
      <w:bCs/>
      <w:sz w:val="21"/>
      <w:lang w:val="en-US" w:eastAsia="zh-CN" w:bidi="ar-SA"/>
    </w:rPr>
  </w:style>
  <w:style w:type="paragraph" w:customStyle="1" w:styleId="59">
    <w:name w:val="Fließtext"/>
    <w:basedOn w:val="1"/>
    <w:qFormat/>
    <w:uiPriority w:val="0"/>
    <w:pPr>
      <w:overflowPunct w:val="0"/>
      <w:autoSpaceDE w:val="0"/>
      <w:autoSpaceDN w:val="0"/>
      <w:adjustRightInd w:val="0"/>
      <w:textAlignment w:val="baseline"/>
    </w:pPr>
    <w:rPr>
      <w:kern w:val="28"/>
    </w:rPr>
  </w:style>
  <w:style w:type="character" w:customStyle="1" w:styleId="60">
    <w:name w:val="Char Char3"/>
    <w:qFormat/>
    <w:locked/>
    <w:uiPriority w:val="0"/>
    <w:rPr>
      <w:rFonts w:ascii="楷体_GB2312" w:eastAsia="楷体_GB2312"/>
      <w:kern w:val="2"/>
      <w:sz w:val="32"/>
      <w:lang w:bidi="ar-SA"/>
    </w:rPr>
  </w:style>
  <w:style w:type="character" w:customStyle="1" w:styleId="61">
    <w:name w:val="自定义正文 Char Char"/>
    <w:link w:val="62"/>
    <w:qFormat/>
    <w:uiPriority w:val="0"/>
    <w:rPr>
      <w:rFonts w:eastAsia="宋体"/>
      <w:kern w:val="2"/>
      <w:sz w:val="24"/>
      <w:lang w:val="en-US" w:eastAsia="zh-CN" w:bidi="ar-SA"/>
    </w:rPr>
  </w:style>
  <w:style w:type="paragraph" w:customStyle="1" w:styleId="62">
    <w:name w:val="自定义正文"/>
    <w:basedOn w:val="1"/>
    <w:link w:val="61"/>
    <w:qFormat/>
    <w:uiPriority w:val="0"/>
    <w:pPr>
      <w:widowControl w:val="0"/>
      <w:spacing w:afterLines="50" w:line="360" w:lineRule="auto"/>
      <w:ind w:firstLine="200" w:firstLineChars="200"/>
    </w:pPr>
    <w:rPr>
      <w:kern w:val="2"/>
      <w:sz w:val="24"/>
    </w:rPr>
  </w:style>
  <w:style w:type="character" w:customStyle="1" w:styleId="63">
    <w:name w:val="Char Char15"/>
    <w:qFormat/>
    <w:uiPriority w:val="0"/>
    <w:rPr>
      <w:rFonts w:ascii="宋体" w:hAnsi="Times New Roman" w:eastAsia="宋体" w:cs="Times New Roman"/>
      <w:b/>
      <w:kern w:val="44"/>
      <w:sz w:val="24"/>
      <w:szCs w:val="20"/>
    </w:rPr>
  </w:style>
  <w:style w:type="character" w:customStyle="1" w:styleId="64">
    <w:name w:val="displayarti"/>
    <w:qFormat/>
    <w:uiPriority w:val="0"/>
    <w:rPr>
      <w:color w:val="FFFFFF"/>
      <w:shd w:val="clear" w:color="auto" w:fill="A00000"/>
    </w:rPr>
  </w:style>
  <w:style w:type="character" w:customStyle="1" w:styleId="65">
    <w:name w:val="redfilenumber"/>
    <w:qFormat/>
    <w:uiPriority w:val="0"/>
    <w:rPr>
      <w:color w:val="BA2636"/>
      <w:sz w:val="18"/>
      <w:szCs w:val="18"/>
    </w:rPr>
  </w:style>
  <w:style w:type="character" w:customStyle="1" w:styleId="66">
    <w:name w:val="Char Char6"/>
    <w:qFormat/>
    <w:uiPriority w:val="0"/>
    <w:rPr>
      <w:rFonts w:ascii="宋体" w:hAnsi="Times New Roman" w:eastAsia="宋体" w:cs="Times New Roman"/>
      <w:b/>
      <w:kern w:val="44"/>
      <w:sz w:val="24"/>
      <w:szCs w:val="20"/>
    </w:rPr>
  </w:style>
  <w:style w:type="character" w:customStyle="1" w:styleId="67">
    <w:name w:val="font91"/>
    <w:qFormat/>
    <w:uiPriority w:val="0"/>
    <w:rPr>
      <w:rFonts w:hint="eastAsia" w:ascii="宋体" w:hAnsi="宋体" w:eastAsia="宋体" w:cs="宋体"/>
      <w:color w:val="000000"/>
      <w:sz w:val="22"/>
      <w:szCs w:val="22"/>
      <w:u w:val="none"/>
    </w:rPr>
  </w:style>
  <w:style w:type="character" w:customStyle="1" w:styleId="68">
    <w:name w:val="qxdate"/>
    <w:qFormat/>
    <w:uiPriority w:val="0"/>
    <w:rPr>
      <w:color w:val="333333"/>
      <w:sz w:val="18"/>
      <w:szCs w:val="18"/>
    </w:rPr>
  </w:style>
  <w:style w:type="character" w:customStyle="1" w:styleId="69">
    <w:name w:val="未处理的提及"/>
    <w:unhideWhenUsed/>
    <w:qFormat/>
    <w:uiPriority w:val="99"/>
    <w:rPr>
      <w:color w:val="605E5C"/>
      <w:shd w:val="clear" w:color="auto" w:fill="E1DFDD"/>
    </w:rPr>
  </w:style>
  <w:style w:type="character" w:customStyle="1" w:styleId="70">
    <w:name w:val="redfilefwwh"/>
    <w:qFormat/>
    <w:uiPriority w:val="0"/>
    <w:rPr>
      <w:color w:val="BA2636"/>
      <w:sz w:val="18"/>
      <w:szCs w:val="18"/>
    </w:rPr>
  </w:style>
  <w:style w:type="character" w:customStyle="1" w:styleId="71">
    <w:name w:val="Header Char"/>
    <w:qFormat/>
    <w:locked/>
    <w:uiPriority w:val="0"/>
    <w:rPr>
      <w:rFonts w:cs="Times New Roman"/>
      <w:sz w:val="18"/>
      <w:szCs w:val="18"/>
    </w:rPr>
  </w:style>
  <w:style w:type="character" w:customStyle="1" w:styleId="72">
    <w:name w:val="普通文字 Char Char1"/>
    <w:qFormat/>
    <w:uiPriority w:val="0"/>
    <w:rPr>
      <w:rFonts w:ascii="宋体" w:hAnsi="Courier New" w:eastAsia="宋体"/>
      <w:kern w:val="2"/>
      <w:sz w:val="24"/>
      <w:szCs w:val="24"/>
      <w:lang w:val="en-US" w:eastAsia="zh-CN" w:bidi="ar-SA"/>
    </w:rPr>
  </w:style>
  <w:style w:type="character" w:customStyle="1" w:styleId="73">
    <w:name w:val="font01"/>
    <w:qFormat/>
    <w:uiPriority w:val="0"/>
    <w:rPr>
      <w:rFonts w:hint="default" w:ascii="华文细黑" w:hAnsi="华文细黑" w:eastAsia="华文细黑" w:cs="华文细黑"/>
      <w:b/>
      <w:color w:val="000000"/>
      <w:sz w:val="21"/>
      <w:szCs w:val="21"/>
      <w:u w:val="none"/>
    </w:rPr>
  </w:style>
  <w:style w:type="character" w:customStyle="1" w:styleId="74">
    <w:name w:val="列出段落 Char"/>
    <w:link w:val="75"/>
    <w:qFormat/>
    <w:locked/>
    <w:uiPriority w:val="0"/>
    <w:rPr>
      <w:rFonts w:eastAsia="宋体"/>
      <w:sz w:val="21"/>
      <w:lang w:val="en-US" w:eastAsia="zh-CN" w:bidi="ar-SA"/>
    </w:rPr>
  </w:style>
  <w:style w:type="paragraph" w:styleId="75">
    <w:name w:val="List Paragraph"/>
    <w:basedOn w:val="1"/>
    <w:link w:val="74"/>
    <w:qFormat/>
    <w:uiPriority w:val="0"/>
    <w:pPr>
      <w:ind w:firstLine="420" w:firstLineChars="200"/>
    </w:pPr>
  </w:style>
  <w:style w:type="character" w:customStyle="1" w:styleId="76">
    <w:name w:val="Char Char11"/>
    <w:qFormat/>
    <w:uiPriority w:val="0"/>
    <w:rPr>
      <w:rFonts w:ascii="宋体" w:hAnsi="Times New Roman" w:eastAsia="宋体" w:cs="Times New Roman"/>
      <w:b/>
      <w:kern w:val="44"/>
      <w:sz w:val="24"/>
      <w:szCs w:val="20"/>
    </w:rPr>
  </w:style>
  <w:style w:type="character" w:customStyle="1" w:styleId="77">
    <w:name w:val="Intense Quote Char"/>
    <w:link w:val="78"/>
    <w:qFormat/>
    <w:locked/>
    <w:uiPriority w:val="0"/>
    <w:rPr>
      <w:rFonts w:eastAsia="宋体"/>
      <w:b/>
      <w:bCs/>
      <w:i/>
      <w:iCs/>
      <w:color w:val="4F81BD"/>
      <w:kern w:val="2"/>
      <w:sz w:val="21"/>
      <w:lang w:val="en-US" w:eastAsia="zh-CN" w:bidi="ar-SA"/>
    </w:rPr>
  </w:style>
  <w:style w:type="paragraph" w:customStyle="1" w:styleId="78">
    <w:name w:val="明显引用1"/>
    <w:basedOn w:val="1"/>
    <w:next w:val="1"/>
    <w:link w:val="77"/>
    <w:qFormat/>
    <w:uiPriority w:val="0"/>
    <w:pPr>
      <w:widowControl w:val="0"/>
      <w:pBdr>
        <w:bottom w:val="single" w:color="4F81BD" w:sz="4" w:space="4"/>
      </w:pBdr>
      <w:spacing w:before="200" w:after="280"/>
      <w:ind w:left="936" w:right="936"/>
      <w:jc w:val="both"/>
    </w:pPr>
    <w:rPr>
      <w:b/>
      <w:bCs/>
      <w:i/>
      <w:iCs/>
      <w:color w:val="4F81BD"/>
      <w:kern w:val="2"/>
    </w:rPr>
  </w:style>
  <w:style w:type="character" w:customStyle="1" w:styleId="79">
    <w:name w:val="font21"/>
    <w:qFormat/>
    <w:uiPriority w:val="0"/>
    <w:rPr>
      <w:rFonts w:hint="default" w:ascii="aril" w:hAnsi="aril" w:eastAsia="aril" w:cs="aril"/>
      <w:color w:val="FF0000"/>
      <w:sz w:val="18"/>
      <w:szCs w:val="18"/>
      <w:u w:val="none"/>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Table Text Char1"/>
    <w:link w:val="83"/>
    <w:qFormat/>
    <w:uiPriority w:val="0"/>
    <w:rPr>
      <w:rFonts w:ascii="Arial" w:hAnsi="Arial"/>
      <w:sz w:val="18"/>
      <w:lang w:val="en-US" w:eastAsia="zh-CN" w:bidi="ar-SA"/>
    </w:rPr>
  </w:style>
  <w:style w:type="paragraph" w:customStyle="1" w:styleId="83">
    <w:name w:val="Table Text"/>
    <w:link w:val="82"/>
    <w:qFormat/>
    <w:uiPriority w:val="0"/>
    <w:pPr>
      <w:snapToGrid w:val="0"/>
      <w:spacing w:before="80" w:after="80"/>
    </w:pPr>
    <w:rPr>
      <w:rFonts w:ascii="Arial" w:hAnsi="Arial" w:eastAsia="宋体" w:cs="Times New Roman"/>
      <w:sz w:val="18"/>
      <w:lang w:val="en-US" w:eastAsia="zh-CN" w:bidi="ar-SA"/>
    </w:rPr>
  </w:style>
  <w:style w:type="character" w:customStyle="1" w:styleId="84">
    <w:name w:val="二 Char1"/>
    <w:qFormat/>
    <w:uiPriority w:val="0"/>
    <w:rPr>
      <w:rFonts w:ascii="Times New Roman" w:hAnsi="Times New Roman"/>
      <w:sz w:val="21"/>
    </w:rPr>
  </w:style>
  <w:style w:type="character" w:customStyle="1" w:styleId="85">
    <w:name w:val="font11"/>
    <w:qFormat/>
    <w:uiPriority w:val="0"/>
    <w:rPr>
      <w:rFonts w:hint="default" w:ascii="Times New Roman" w:hAnsi="Times New Roman" w:cs="Times New Roman"/>
      <w:b/>
      <w:color w:val="000000"/>
      <w:sz w:val="14"/>
      <w:szCs w:val="14"/>
      <w:u w:val="none"/>
    </w:rPr>
  </w:style>
  <w:style w:type="character" w:customStyle="1" w:styleId="86">
    <w:name w:val="gjfg"/>
    <w:basedOn w:val="40"/>
    <w:qFormat/>
    <w:uiPriority w:val="0"/>
  </w:style>
  <w:style w:type="character" w:customStyle="1" w:styleId="87">
    <w:name w:val="标书1 Char1"/>
    <w:qFormat/>
    <w:uiPriority w:val="0"/>
    <w:rPr>
      <w:rFonts w:ascii="宋体" w:hAnsi="Times New Roman" w:eastAsia="宋体" w:cs="Times New Roman"/>
      <w:b/>
      <w:kern w:val="44"/>
      <w:sz w:val="24"/>
      <w:szCs w:val="20"/>
    </w:rPr>
  </w:style>
  <w:style w:type="character" w:customStyle="1" w:styleId="88">
    <w:name w:val="cfdate"/>
    <w:qFormat/>
    <w:uiPriority w:val="0"/>
    <w:rPr>
      <w:color w:val="333333"/>
      <w:sz w:val="18"/>
      <w:szCs w:val="18"/>
    </w:rPr>
  </w:style>
  <w:style w:type="paragraph" w:customStyle="1" w:styleId="89">
    <w:name w:val="规范正文"/>
    <w:basedOn w:val="1"/>
    <w:qFormat/>
    <w:uiPriority w:val="0"/>
    <w:pPr>
      <w:widowControl w:val="0"/>
      <w:adjustRightInd w:val="0"/>
      <w:spacing w:beforeLines="50" w:line="360" w:lineRule="auto"/>
      <w:ind w:firstLine="480" w:firstLineChars="200"/>
      <w:jc w:val="both"/>
      <w:textAlignment w:val="baseline"/>
    </w:pPr>
    <w:rPr>
      <w:rFonts w:ascii="等线" w:hAnsi="等线" w:eastAsia="等线"/>
      <w:sz w:val="24"/>
    </w:rPr>
  </w:style>
  <w:style w:type="paragraph" w:customStyle="1" w:styleId="90">
    <w:name w:val="Char Char Char Char"/>
    <w:basedOn w:val="1"/>
    <w:qFormat/>
    <w:uiPriority w:val="0"/>
    <w:pPr>
      <w:widowControl w:val="0"/>
      <w:jc w:val="both"/>
    </w:pPr>
    <w:rPr>
      <w:rFonts w:ascii="Tahoma" w:hAnsi="Tahoma"/>
      <w:kern w:val="2"/>
      <w:sz w:val="24"/>
    </w:rPr>
  </w:style>
  <w:style w:type="paragraph" w:customStyle="1" w:styleId="91">
    <w:name w:val="Char Char12"/>
    <w:basedOn w:val="1"/>
    <w:qFormat/>
    <w:uiPriority w:val="0"/>
    <w:pPr>
      <w:widowControl w:val="0"/>
      <w:jc w:val="both"/>
    </w:pPr>
    <w:rPr>
      <w:kern w:val="2"/>
    </w:rPr>
  </w:style>
  <w:style w:type="paragraph" w:customStyle="1" w:styleId="92">
    <w:name w:val="b2-1"/>
    <w:basedOn w:val="1"/>
    <w:qFormat/>
    <w:uiPriority w:val="0"/>
    <w:pPr>
      <w:spacing w:before="100" w:beforeAutospacing="1" w:after="100" w:afterAutospacing="1" w:line="355" w:lineRule="atLeast"/>
    </w:pPr>
    <w:rPr>
      <w:rFonts w:ascii="宋体" w:hAnsi="宋体"/>
      <w:sz w:val="24"/>
      <w:szCs w:val="24"/>
    </w:rPr>
  </w:style>
  <w:style w:type="paragraph" w:customStyle="1" w:styleId="93">
    <w:name w:val="12shad1"/>
    <w:basedOn w:val="1"/>
    <w:qFormat/>
    <w:uiPriority w:val="0"/>
    <w:pPr>
      <w:spacing w:before="100" w:beforeAutospacing="1" w:after="100" w:afterAutospacing="1"/>
    </w:pPr>
    <w:rPr>
      <w:rFonts w:ascii="宋体" w:hAnsi="宋体"/>
      <w:b/>
      <w:bCs/>
      <w:color w:val="FFFFFF"/>
      <w:sz w:val="22"/>
      <w:szCs w:val="22"/>
    </w:rPr>
  </w:style>
  <w:style w:type="paragraph" w:customStyle="1" w:styleId="9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5">
    <w:name w:val="默认段落字体 Para Char Char Char Char Char Char Char Char Char1 Char Char Char Char"/>
    <w:basedOn w:val="1"/>
    <w:qFormat/>
    <w:uiPriority w:val="0"/>
    <w:pPr>
      <w:widowControl w:val="0"/>
      <w:jc w:val="both"/>
    </w:pPr>
    <w:rPr>
      <w:rFonts w:ascii="Tahoma" w:hAnsi="Tahoma"/>
      <w:kern w:val="2"/>
      <w:sz w:val="24"/>
    </w:rPr>
  </w:style>
  <w:style w:type="paragraph" w:customStyle="1" w:styleId="96">
    <w:name w:val="font2"/>
    <w:basedOn w:val="1"/>
    <w:qFormat/>
    <w:uiPriority w:val="0"/>
    <w:pPr>
      <w:spacing w:before="100" w:beforeAutospacing="1" w:after="100" w:afterAutospacing="1"/>
    </w:pPr>
    <w:rPr>
      <w:rFonts w:ascii="宋体" w:hAnsi="宋体"/>
      <w:color w:val="FF0000"/>
      <w:sz w:val="24"/>
      <w:szCs w:val="24"/>
    </w:rPr>
  </w:style>
  <w:style w:type="paragraph" w:customStyle="1" w:styleId="97">
    <w:name w:val="_Style 70"/>
    <w:basedOn w:val="1"/>
    <w:qFormat/>
    <w:uiPriority w:val="0"/>
    <w:pPr>
      <w:widowControl w:val="0"/>
      <w:jc w:val="both"/>
    </w:pPr>
    <w:rPr>
      <w:kern w:val="2"/>
    </w:rPr>
  </w:style>
  <w:style w:type="paragraph" w:customStyle="1" w:styleId="98">
    <w:name w:val="Char Char Char Char Char Char Char Char Char Char Char Char Char Char Char Char Char Char Char"/>
    <w:basedOn w:val="1"/>
    <w:qFormat/>
    <w:uiPriority w:val="0"/>
    <w:pPr>
      <w:widowControl w:val="0"/>
      <w:jc w:val="both"/>
    </w:pPr>
    <w:rPr>
      <w:rFonts w:ascii="仿宋_GB2312" w:eastAsia="仿宋_GB2312"/>
      <w:b/>
      <w:kern w:val="2"/>
      <w:sz w:val="32"/>
      <w:szCs w:val="32"/>
    </w:rPr>
  </w:style>
  <w:style w:type="paragraph" w:customStyle="1" w:styleId="99">
    <w:name w:val="标题1"/>
    <w:basedOn w:val="1"/>
    <w:qFormat/>
    <w:uiPriority w:val="0"/>
    <w:pPr>
      <w:spacing w:before="100" w:beforeAutospacing="1" w:after="100" w:afterAutospacing="1"/>
    </w:pPr>
    <w:rPr>
      <w:rFonts w:ascii="宋体" w:hAnsi="宋体"/>
      <w:b/>
      <w:bCs/>
      <w:color w:val="0000CC"/>
      <w:sz w:val="34"/>
      <w:szCs w:val="34"/>
    </w:rPr>
  </w:style>
  <w:style w:type="paragraph" w:customStyle="1" w:styleId="100">
    <w:name w:val="right"/>
    <w:basedOn w:val="1"/>
    <w:qFormat/>
    <w:uiPriority w:val="0"/>
    <w:pPr>
      <w:spacing w:before="100" w:beforeAutospacing="1" w:after="100" w:afterAutospacing="1"/>
    </w:pPr>
    <w:rPr>
      <w:rFonts w:ascii="宋体" w:hAnsi="宋体"/>
      <w:sz w:val="24"/>
      <w:szCs w:val="24"/>
    </w:rPr>
  </w:style>
  <w:style w:type="paragraph" w:customStyle="1" w:styleId="101">
    <w:name w:val="font14"/>
    <w:basedOn w:val="1"/>
    <w:qFormat/>
    <w:uiPriority w:val="0"/>
    <w:pPr>
      <w:spacing w:before="100" w:beforeAutospacing="1" w:after="100" w:afterAutospacing="1"/>
    </w:pPr>
    <w:rPr>
      <w:rFonts w:ascii="宋体" w:hAnsi="宋体"/>
      <w:color w:val="AECFEE"/>
      <w:sz w:val="24"/>
      <w:szCs w:val="24"/>
    </w:rPr>
  </w:style>
  <w:style w:type="paragraph" w:customStyle="1" w:styleId="102">
    <w:name w:val="_Style 35"/>
    <w:basedOn w:val="1"/>
    <w:qFormat/>
    <w:uiPriority w:val="0"/>
    <w:pPr>
      <w:widowControl w:val="0"/>
      <w:jc w:val="both"/>
    </w:pPr>
    <w:rPr>
      <w:kern w:val="2"/>
    </w:rPr>
  </w:style>
  <w:style w:type="paragraph" w:customStyle="1" w:styleId="103">
    <w:name w:val="b3-1"/>
    <w:basedOn w:val="1"/>
    <w:qFormat/>
    <w:uiPriority w:val="0"/>
    <w:pPr>
      <w:spacing w:before="100" w:beforeAutospacing="1" w:after="100" w:afterAutospacing="1" w:line="355" w:lineRule="atLeast"/>
    </w:pPr>
    <w:rPr>
      <w:rFonts w:ascii="宋体" w:hAnsi="宋体"/>
      <w:sz w:val="24"/>
      <w:szCs w:val="24"/>
    </w:rPr>
  </w:style>
  <w:style w:type="paragraph" w:customStyle="1" w:styleId="104">
    <w:name w:val="p14_1"/>
    <w:basedOn w:val="1"/>
    <w:qFormat/>
    <w:uiPriority w:val="0"/>
    <w:pPr>
      <w:spacing w:before="100" w:beforeAutospacing="1" w:after="100" w:afterAutospacing="1"/>
    </w:pPr>
    <w:rPr>
      <w:rFonts w:ascii="宋体" w:hAnsi="宋体"/>
      <w:color w:val="000000"/>
      <w:sz w:val="26"/>
      <w:szCs w:val="26"/>
    </w:rPr>
  </w:style>
  <w:style w:type="paragraph" w:customStyle="1" w:styleId="105">
    <w:name w:val="l17"/>
    <w:basedOn w:val="1"/>
    <w:qFormat/>
    <w:uiPriority w:val="0"/>
    <w:pPr>
      <w:spacing w:before="100" w:beforeAutospacing="1" w:after="100" w:afterAutospacing="1" w:line="318" w:lineRule="atLeast"/>
    </w:pPr>
    <w:rPr>
      <w:rFonts w:ascii="宋体" w:hAnsi="宋体"/>
      <w:sz w:val="24"/>
      <w:szCs w:val="24"/>
    </w:rPr>
  </w:style>
  <w:style w:type="paragraph" w:customStyle="1" w:styleId="106">
    <w:name w:val="z-窗体底端1"/>
    <w:basedOn w:val="1"/>
    <w:next w:val="1"/>
    <w:qFormat/>
    <w:uiPriority w:val="0"/>
    <w:pPr>
      <w:pBdr>
        <w:top w:val="single" w:color="auto" w:sz="6" w:space="1"/>
      </w:pBdr>
      <w:jc w:val="center"/>
    </w:pPr>
    <w:rPr>
      <w:rFonts w:ascii="Arial" w:hAnsi="Arial" w:cs="Arial"/>
      <w:vanish/>
      <w:sz w:val="16"/>
      <w:szCs w:val="16"/>
    </w:rPr>
  </w:style>
  <w:style w:type="paragraph" w:customStyle="1" w:styleId="107">
    <w:name w:val="font15"/>
    <w:basedOn w:val="1"/>
    <w:qFormat/>
    <w:uiPriority w:val="0"/>
    <w:pPr>
      <w:spacing w:before="100" w:beforeAutospacing="1" w:after="100" w:afterAutospacing="1"/>
    </w:pPr>
    <w:rPr>
      <w:rFonts w:ascii="宋体" w:hAnsi="宋体"/>
      <w:b/>
      <w:bCs/>
      <w:color w:val="5C9DDF"/>
      <w:sz w:val="24"/>
      <w:szCs w:val="24"/>
    </w:rPr>
  </w:style>
  <w:style w:type="paragraph" w:customStyle="1" w:styleId="108">
    <w:name w:val="b3-2"/>
    <w:basedOn w:val="1"/>
    <w:qFormat/>
    <w:uiPriority w:val="0"/>
    <w:pPr>
      <w:spacing w:before="100" w:beforeAutospacing="1" w:after="100" w:afterAutospacing="1" w:line="355" w:lineRule="atLeast"/>
    </w:pPr>
    <w:rPr>
      <w:rFonts w:ascii="宋体" w:hAnsi="宋体"/>
      <w:sz w:val="24"/>
      <w:szCs w:val="24"/>
    </w:rPr>
  </w:style>
  <w:style w:type="paragraph" w:customStyle="1" w:styleId="109">
    <w:name w:val="列出段落1"/>
    <w:basedOn w:val="1"/>
    <w:qFormat/>
    <w:uiPriority w:val="0"/>
    <w:pPr>
      <w:widowControl w:val="0"/>
      <w:ind w:firstLine="420" w:firstLineChars="200"/>
      <w:jc w:val="both"/>
    </w:pPr>
    <w:rPr>
      <w:rFonts w:ascii="Calibri" w:hAnsi="Calibri"/>
      <w:kern w:val="2"/>
      <w:szCs w:val="22"/>
    </w:rPr>
  </w:style>
  <w:style w:type="paragraph" w:customStyle="1" w:styleId="110">
    <w:name w:val="pbulletcmt"/>
    <w:basedOn w:val="1"/>
    <w:qFormat/>
    <w:uiPriority w:val="0"/>
    <w:pPr>
      <w:spacing w:before="100" w:beforeAutospacing="1" w:after="100" w:afterAutospacing="1"/>
    </w:pPr>
    <w:rPr>
      <w:sz w:val="24"/>
      <w:szCs w:val="24"/>
    </w:rPr>
  </w:style>
  <w:style w:type="paragraph" w:customStyle="1" w:styleId="111">
    <w:name w:val="l18"/>
    <w:basedOn w:val="1"/>
    <w:qFormat/>
    <w:uiPriority w:val="0"/>
    <w:pPr>
      <w:spacing w:before="100" w:beforeAutospacing="1" w:after="100" w:afterAutospacing="1" w:line="337" w:lineRule="atLeast"/>
    </w:pPr>
    <w:rPr>
      <w:rFonts w:ascii="宋体" w:hAnsi="宋体"/>
      <w:sz w:val="24"/>
      <w:szCs w:val="24"/>
    </w:rPr>
  </w:style>
  <w:style w:type="paragraph" w:customStyle="1" w:styleId="112">
    <w:name w:val="xl35"/>
    <w:basedOn w:val="1"/>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sz w:val="24"/>
      <w:szCs w:val="24"/>
    </w:rPr>
  </w:style>
  <w:style w:type="paragraph" w:customStyle="1" w:styleId="11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p0"/>
    <w:basedOn w:val="1"/>
    <w:qFormat/>
    <w:uiPriority w:val="0"/>
    <w:pPr>
      <w:jc w:val="both"/>
    </w:pPr>
    <w:rPr>
      <w:rFonts w:ascii="仿宋_GB2312" w:hAnsi="宋体" w:eastAsia="仿宋_GB2312" w:cs="宋体"/>
      <w:sz w:val="24"/>
      <w:szCs w:val="24"/>
    </w:rPr>
  </w:style>
  <w:style w:type="paragraph" w:customStyle="1" w:styleId="115">
    <w:name w:val="列出段落2"/>
    <w:basedOn w:val="1"/>
    <w:qFormat/>
    <w:uiPriority w:val="0"/>
    <w:pPr>
      <w:widowControl w:val="0"/>
      <w:ind w:firstLine="420" w:firstLineChars="200"/>
      <w:jc w:val="both"/>
    </w:pPr>
    <w:rPr>
      <w:kern w:val="2"/>
      <w:szCs w:val="21"/>
    </w:rPr>
  </w:style>
  <w:style w:type="paragraph" w:customStyle="1" w:styleId="116">
    <w:name w:val="12shad"/>
    <w:basedOn w:val="1"/>
    <w:qFormat/>
    <w:uiPriority w:val="0"/>
    <w:pPr>
      <w:spacing w:before="100" w:beforeAutospacing="1" w:after="100" w:afterAutospacing="1"/>
    </w:pPr>
    <w:rPr>
      <w:rFonts w:ascii="宋体" w:hAnsi="宋体"/>
      <w:color w:val="FFFFFF"/>
      <w:sz w:val="22"/>
      <w:szCs w:val="22"/>
    </w:rPr>
  </w:style>
  <w:style w:type="paragraph" w:customStyle="1" w:styleId="117">
    <w:name w:val="xl36"/>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sz w:val="32"/>
      <w:szCs w:val="32"/>
    </w:rPr>
  </w:style>
  <w:style w:type="paragraph" w:customStyle="1" w:styleId="118">
    <w:name w:val="a1"/>
    <w:basedOn w:val="1"/>
    <w:qFormat/>
    <w:uiPriority w:val="0"/>
    <w:pPr>
      <w:spacing w:before="100" w:beforeAutospacing="1" w:after="100" w:afterAutospacing="1"/>
    </w:pPr>
    <w:rPr>
      <w:rFonts w:ascii="宋体" w:hAnsi="宋体" w:cs="宋体"/>
      <w:sz w:val="24"/>
      <w:szCs w:val="24"/>
    </w:rPr>
  </w:style>
  <w:style w:type="paragraph" w:customStyle="1" w:styleId="119">
    <w:name w:val="xl55"/>
    <w:basedOn w:val="1"/>
    <w:qFormat/>
    <w:uiPriority w:val="0"/>
    <w:pPr>
      <w:spacing w:before="100" w:beforeAutospacing="1" w:after="100" w:afterAutospacing="1"/>
      <w:jc w:val="center"/>
      <w:textAlignment w:val="center"/>
    </w:pPr>
    <w:rPr>
      <w:rFonts w:ascii="Arial Unicode MS" w:hAnsi="Arial Unicode MS"/>
      <w:sz w:val="24"/>
      <w:szCs w:val="24"/>
    </w:rPr>
  </w:style>
  <w:style w:type="paragraph" w:customStyle="1" w:styleId="120">
    <w:name w:val="default"/>
    <w:basedOn w:val="1"/>
    <w:qFormat/>
    <w:uiPriority w:val="0"/>
    <w:pPr>
      <w:spacing w:after="150"/>
    </w:pPr>
    <w:rPr>
      <w:rFonts w:ascii="宋体" w:hAnsi="宋体" w:cs="宋体"/>
      <w:sz w:val="24"/>
      <w:szCs w:val="24"/>
    </w:rPr>
  </w:style>
  <w:style w:type="paragraph" w:customStyle="1" w:styleId="121">
    <w:name w:val="b2-2"/>
    <w:basedOn w:val="1"/>
    <w:qFormat/>
    <w:uiPriority w:val="0"/>
    <w:pPr>
      <w:spacing w:before="100" w:beforeAutospacing="1" w:after="100" w:afterAutospacing="1" w:line="355" w:lineRule="atLeast"/>
    </w:pPr>
    <w:rPr>
      <w:rFonts w:ascii="宋体" w:hAnsi="宋体"/>
      <w:sz w:val="24"/>
      <w:szCs w:val="24"/>
    </w:rPr>
  </w:style>
  <w:style w:type="paragraph" w:customStyle="1" w:styleId="122">
    <w:name w:val="Char Char1 Char Char Char Char Char Char"/>
    <w:basedOn w:val="1"/>
    <w:qFormat/>
    <w:uiPriority w:val="0"/>
    <w:pPr>
      <w:widowControl w:val="0"/>
      <w:jc w:val="center"/>
    </w:pPr>
    <w:rPr>
      <w:rFonts w:ascii="仿宋_GB2312" w:hAnsi="宋体" w:eastAsia="仿宋_GB2312" w:cs="宋体"/>
      <w:b/>
      <w:bCs/>
      <w:color w:val="000000"/>
      <w:kern w:val="2"/>
      <w:szCs w:val="22"/>
    </w:rPr>
  </w:style>
  <w:style w:type="paragraph" w:customStyle="1" w:styleId="123">
    <w:name w:val="Char Char"/>
    <w:basedOn w:val="1"/>
    <w:qFormat/>
    <w:uiPriority w:val="0"/>
    <w:pPr>
      <w:widowControl w:val="0"/>
      <w:jc w:val="both"/>
    </w:pPr>
    <w:rPr>
      <w:rFonts w:ascii="仿宋_GB2312" w:eastAsia="仿宋_GB2312"/>
      <w:b/>
      <w:kern w:val="2"/>
      <w:sz w:val="32"/>
      <w:szCs w:val="32"/>
    </w:rPr>
  </w:style>
  <w:style w:type="paragraph" w:customStyle="1" w:styleId="124">
    <w:name w:val="正文缩进1"/>
    <w:basedOn w:val="1"/>
    <w:qFormat/>
    <w:uiPriority w:val="0"/>
    <w:pPr>
      <w:widowControl w:val="0"/>
      <w:spacing w:before="60" w:after="60" w:line="440" w:lineRule="exact"/>
      <w:ind w:right="-8" w:rightChars="-4" w:firstLine="490" w:firstLineChars="204"/>
      <w:jc w:val="both"/>
    </w:pPr>
    <w:rPr>
      <w:bCs/>
      <w:color w:val="000000"/>
      <w:kern w:val="2"/>
      <w:sz w:val="24"/>
    </w:rPr>
  </w:style>
  <w:style w:type="paragraph" w:customStyle="1" w:styleId="125">
    <w:name w:val="14shadhxxx"/>
    <w:basedOn w:val="1"/>
    <w:qFormat/>
    <w:uiPriority w:val="0"/>
    <w:pPr>
      <w:spacing w:before="100" w:beforeAutospacing="1" w:after="100" w:afterAutospacing="1"/>
    </w:pPr>
    <w:rPr>
      <w:rFonts w:ascii="宋体" w:hAnsi="宋体"/>
      <w:b/>
      <w:bCs/>
      <w:color w:val="000000"/>
      <w:sz w:val="26"/>
      <w:szCs w:val="26"/>
    </w:rPr>
  </w:style>
  <w:style w:type="paragraph" w:customStyle="1" w:styleId="126">
    <w:name w:val="p14a"/>
    <w:basedOn w:val="1"/>
    <w:qFormat/>
    <w:uiPriority w:val="0"/>
    <w:pPr>
      <w:spacing w:before="100" w:beforeAutospacing="1" w:after="100" w:afterAutospacing="1" w:line="411" w:lineRule="atLeast"/>
    </w:pPr>
    <w:rPr>
      <w:rFonts w:ascii="宋体" w:hAnsi="宋体"/>
      <w:sz w:val="26"/>
      <w:szCs w:val="26"/>
    </w:rPr>
  </w:style>
  <w:style w:type="paragraph" w:customStyle="1" w:styleId="127">
    <w:name w:val="b5-1"/>
    <w:basedOn w:val="1"/>
    <w:qFormat/>
    <w:uiPriority w:val="0"/>
    <w:pPr>
      <w:spacing w:before="100" w:beforeAutospacing="1" w:after="100" w:afterAutospacing="1" w:line="355" w:lineRule="atLeast"/>
    </w:pPr>
    <w:rPr>
      <w:rFonts w:ascii="宋体" w:hAnsi="宋体"/>
      <w:sz w:val="24"/>
      <w:szCs w:val="24"/>
    </w:rPr>
  </w:style>
  <w:style w:type="paragraph" w:customStyle="1" w:styleId="128">
    <w:name w:val="Char Char1"/>
    <w:basedOn w:val="1"/>
    <w:qFormat/>
    <w:uiPriority w:val="0"/>
    <w:pPr>
      <w:widowControl w:val="0"/>
      <w:jc w:val="both"/>
    </w:pPr>
    <w:rPr>
      <w:kern w:val="2"/>
      <w:szCs w:val="24"/>
    </w:rPr>
  </w:style>
  <w:style w:type="paragraph" w:customStyle="1" w:styleId="129">
    <w:name w:val="正文－恩普"/>
    <w:basedOn w:val="9"/>
    <w:qFormat/>
    <w:uiPriority w:val="0"/>
    <w:pPr>
      <w:framePr w:wrap="around" w:vAnchor="text" w:hAnchor="text" w:y="1"/>
      <w:widowControl w:val="0"/>
      <w:spacing w:line="360" w:lineRule="auto"/>
      <w:ind w:firstLine="200" w:firstLineChars="200"/>
      <w:jc w:val="both"/>
    </w:pPr>
    <w:rPr>
      <w:kern w:val="2"/>
      <w:sz w:val="24"/>
      <w:szCs w:val="24"/>
    </w:rPr>
  </w:style>
  <w:style w:type="paragraph" w:customStyle="1" w:styleId="130">
    <w:name w:val="p14"/>
    <w:basedOn w:val="1"/>
    <w:qFormat/>
    <w:uiPriority w:val="0"/>
    <w:pPr>
      <w:spacing w:before="100" w:beforeAutospacing="1" w:after="100" w:afterAutospacing="1" w:line="411" w:lineRule="atLeast"/>
    </w:pPr>
    <w:rPr>
      <w:rFonts w:ascii="宋体" w:hAnsi="宋体"/>
      <w:sz w:val="26"/>
      <w:szCs w:val="26"/>
    </w:rPr>
  </w:style>
  <w:style w:type="paragraph" w:customStyle="1" w:styleId="131">
    <w:name w:val="正文文字表格居中"/>
    <w:basedOn w:val="1"/>
    <w:next w:val="31"/>
    <w:qFormat/>
    <w:uiPriority w:val="0"/>
    <w:pPr>
      <w:widowControl w:val="0"/>
      <w:spacing w:line="400" w:lineRule="exact"/>
      <w:jc w:val="center"/>
    </w:pPr>
    <w:rPr>
      <w:b/>
      <w:bCs/>
      <w:kern w:val="2"/>
      <w:sz w:val="24"/>
      <w:szCs w:val="24"/>
    </w:rPr>
  </w:style>
  <w:style w:type="paragraph" w:customStyle="1" w:styleId="132">
    <w:name w:val="list_sx"/>
    <w:basedOn w:val="1"/>
    <w:qFormat/>
    <w:uiPriority w:val="0"/>
    <w:pPr>
      <w:spacing w:before="100" w:beforeAutospacing="1" w:after="100" w:afterAutospacing="1"/>
    </w:pPr>
    <w:rPr>
      <w:rFonts w:ascii="宋体" w:hAnsi="宋体"/>
      <w:color w:val="3166CE"/>
      <w:sz w:val="24"/>
      <w:szCs w:val="24"/>
    </w:rPr>
  </w:style>
  <w:style w:type="paragraph" w:customStyle="1" w:styleId="133">
    <w:name w:val="left"/>
    <w:basedOn w:val="1"/>
    <w:qFormat/>
    <w:uiPriority w:val="0"/>
    <w:pPr>
      <w:spacing w:before="100" w:beforeAutospacing="1" w:after="100" w:afterAutospacing="1"/>
    </w:pPr>
    <w:rPr>
      <w:rFonts w:ascii="宋体" w:hAnsi="宋体"/>
      <w:sz w:val="24"/>
      <w:szCs w:val="24"/>
    </w:rPr>
  </w:style>
  <w:style w:type="paragraph" w:customStyle="1" w:styleId="134">
    <w:name w:val="z-窗体顶端1"/>
    <w:basedOn w:val="1"/>
    <w:next w:val="1"/>
    <w:qFormat/>
    <w:uiPriority w:val="0"/>
    <w:pPr>
      <w:pBdr>
        <w:bottom w:val="single" w:color="auto" w:sz="6" w:space="1"/>
      </w:pBdr>
      <w:jc w:val="center"/>
    </w:pPr>
    <w:rPr>
      <w:rFonts w:ascii="Arial" w:hAnsi="Arial" w:cs="Arial"/>
      <w:vanish/>
      <w:sz w:val="16"/>
      <w:szCs w:val="16"/>
    </w:rPr>
  </w:style>
  <w:style w:type="paragraph" w:customStyle="1" w:styleId="135">
    <w:name w:val="font4_1"/>
    <w:basedOn w:val="1"/>
    <w:qFormat/>
    <w:uiPriority w:val="0"/>
    <w:pPr>
      <w:spacing w:before="100" w:beforeAutospacing="1" w:after="100" w:afterAutospacing="1"/>
    </w:pPr>
    <w:rPr>
      <w:rFonts w:ascii="宋体" w:hAnsi="宋体"/>
      <w:color w:val="FFFFFF"/>
      <w:sz w:val="24"/>
      <w:szCs w:val="24"/>
    </w:rPr>
  </w:style>
  <w:style w:type="paragraph" w:customStyle="1" w:styleId="136">
    <w:name w:val="_Style 32"/>
    <w:basedOn w:val="1"/>
    <w:qFormat/>
    <w:uiPriority w:val="0"/>
    <w:pPr>
      <w:widowControl w:val="0"/>
      <w:jc w:val="both"/>
    </w:pPr>
    <w:rPr>
      <w:kern w:val="2"/>
    </w:rPr>
  </w:style>
  <w:style w:type="paragraph" w:customStyle="1" w:styleId="137">
    <w:name w:val="_Style 4"/>
    <w:basedOn w:val="1"/>
    <w:qFormat/>
    <w:uiPriority w:val="0"/>
    <w:pPr>
      <w:ind w:firstLine="420" w:firstLineChars="200"/>
    </w:pPr>
  </w:style>
  <w:style w:type="paragraph" w:styleId="138">
    <w:name w:val="No Spacing"/>
    <w:qFormat/>
    <w:uiPriority w:val="0"/>
    <w:pPr>
      <w:widowControl w:val="0"/>
      <w:jc w:val="both"/>
    </w:pPr>
    <w:rPr>
      <w:rFonts w:ascii="Calibri" w:hAnsi="Calibri" w:eastAsia="宋体" w:cs="Times New Roman"/>
      <w:lang w:val="en-US" w:eastAsia="zh-CN" w:bidi="ar-SA"/>
    </w:rPr>
  </w:style>
  <w:style w:type="paragraph" w:customStyle="1" w:styleId="139">
    <w:name w:val="首行缩进"/>
    <w:basedOn w:val="1"/>
    <w:qFormat/>
    <w:uiPriority w:val="99"/>
    <w:pPr>
      <w:spacing w:line="360" w:lineRule="auto"/>
      <w:ind w:firstLine="480" w:firstLineChars="200"/>
    </w:pPr>
    <w:rPr>
      <w:szCs w:val="22"/>
    </w:rPr>
  </w:style>
  <w:style w:type="paragraph" w:customStyle="1" w:styleId="140">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41">
    <w:name w:val="Table Paragraph"/>
    <w:basedOn w:val="1"/>
    <w:qFormat/>
    <w:uiPriority w:val="1"/>
  </w:style>
  <w:style w:type="paragraph" w:customStyle="1" w:styleId="142">
    <w:name w:val="正文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3">
    <w:name w:val="Body text|1"/>
    <w:basedOn w:val="1"/>
    <w:qFormat/>
    <w:uiPriority w:val="0"/>
    <w:pPr>
      <w:widowControl w:val="0"/>
      <w:spacing w:line="444" w:lineRule="auto"/>
      <w:ind w:firstLine="400"/>
    </w:pPr>
    <w:rPr>
      <w:rFonts w:ascii="宋体" w:hAnsi="宋体" w:cs="宋体"/>
      <w:sz w:val="20"/>
      <w:lang w:val="zh-TW" w:eastAsia="zh-TW" w:bidi="zh-TW"/>
    </w:rPr>
  </w:style>
  <w:style w:type="paragraph" w:customStyle="1" w:styleId="144">
    <w:name w:val="表格文字"/>
    <w:basedOn w:val="1"/>
    <w:next w:val="3"/>
    <w:qFormat/>
    <w:uiPriority w:val="0"/>
    <w:pPr>
      <w:adjustRightInd w:val="0"/>
      <w:spacing w:line="420" w:lineRule="atLeast"/>
      <w:textAlignment w:val="baseline"/>
    </w:pPr>
    <w:rPr>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footer7.xml" Type="http://schemas.openxmlformats.org/officeDocument/2006/relationships/footer"/><Relationship Id="rId14" Target="header5.xml" Type="http://schemas.openxmlformats.org/officeDocument/2006/relationships/header"/><Relationship Id="rId15" Target="header6.xml" Type="http://schemas.openxmlformats.org/officeDocument/2006/relationships/header"/><Relationship Id="rId16" Target="footer8.xml" Type="http://schemas.openxmlformats.org/officeDocument/2006/relationships/footer"/><Relationship Id="rId17" Target="footer9.xml" Type="http://schemas.openxmlformats.org/officeDocument/2006/relationships/footer"/><Relationship Id="rId18" Target="theme/theme1.xml" Type="http://schemas.openxmlformats.org/officeDocument/2006/relationships/theme"/><Relationship Id="rId19" Target="../customXml/item1.xml" Type="http://schemas.openxmlformats.org/officeDocument/2006/relationships/customXml"/><Relationship Id="rId2" Target="settings.xml" Type="http://schemas.openxmlformats.org/officeDocument/2006/relationships/settings"/><Relationship Id="rId20" Target="numbering.xml" Type="http://schemas.openxmlformats.org/officeDocument/2006/relationships/numbering"/><Relationship Id="rId21"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104"/>
    <customShpInfo spid="_x0000_s4105"/>
    <customShpInfo spid="_x0000_s4102"/>
    <customShpInfo spid="_x0000_s4103"/>
    <customShpInfo spid="_x0000_s4100"/>
    <customShpInfo spid="_x0000_s4101"/>
    <customShpInfo spid="_x0000_s4099"/>
    <customShpInfo spid="_x0000_s4097"/>
    <customShpInfo spid="_x0000_s409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raztb</Company>
  <Pages>84</Pages>
  <Words>7921</Words>
  <Characters>45154</Characters>
  <Lines>376</Lines>
  <Paragraphs>105</Paragraphs>
  <TotalTime>43</TotalTime>
  <ScaleCrop>false</ScaleCrop>
  <LinksUpToDate>false</LinksUpToDate>
  <CharactersWithSpaces>52970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2021-11-29T07:56:00Z</dcterms:created>
  <dc:creator>ccl</dc:creator>
  <cp:lastModifiedBy>NTKO</cp:lastModifiedBy>
  <cp:lastPrinted>2021-11-30T06:44:00Z</cp:lastPrinted>
  <dcterms:modified xsi:type="dcterms:W3CDTF">2021-12-01T00:53:33Z</dcterms:modified>
  <cp:revision>5</cp:revision>
  <dc:title>瑞安市公共资源交易中心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AAAAA</vt:lpwstr>
  </property>
  <property fmtid="{D5CDD505-2E9C-101B-9397-08002B2CF9AE}" pid="3" name="KSOProductBuildVer">
    <vt:lpwstr>2052-11.1.0.11045</vt:lpwstr>
  </property>
  <property fmtid="{D5CDD505-2E9C-101B-9397-08002B2CF9AE}" pid="4" name="ICV">
    <vt:lpwstr>52FCB8EFCC934F859683544BA0293B02</vt:lpwstr>
  </property>
</Properties>
</file>