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9029B">
      <w:pPr>
        <w:jc w:val="center"/>
        <w:rPr>
          <w:rFonts w:hint="eastAsia" w:ascii="宋体" w:hAnsi="宋体" w:eastAsia="宋体" w:cs="宋体"/>
          <w:b/>
          <w:color w:val="000000"/>
          <w:spacing w:val="120"/>
          <w:sz w:val="56"/>
        </w:rPr>
      </w:pPr>
    </w:p>
    <w:p w14:paraId="339F14AD">
      <w:pPr>
        <w:jc w:val="center"/>
        <w:rPr>
          <w:rFonts w:hint="eastAsia" w:ascii="宋体" w:hAnsi="宋体" w:eastAsia="宋体" w:cs="宋体"/>
          <w:b/>
          <w:color w:val="000000"/>
          <w:spacing w:val="220"/>
          <w:sz w:val="72"/>
        </w:rPr>
      </w:pPr>
      <w:r>
        <w:rPr>
          <w:rFonts w:hint="eastAsia" w:ascii="宋体" w:hAnsi="宋体" w:eastAsia="宋体" w:cs="宋体"/>
          <w:b/>
          <w:color w:val="000000"/>
          <w:spacing w:val="140"/>
          <w:sz w:val="72"/>
        </w:rPr>
        <w:t>温州市政府分散采购</w:t>
      </w:r>
      <w:r>
        <w:rPr>
          <w:rFonts w:hint="eastAsia" w:ascii="宋体" w:hAnsi="宋体" w:eastAsia="宋体" w:cs="宋体"/>
          <w:b/>
          <w:color w:val="000000"/>
          <w:spacing w:val="300"/>
          <w:sz w:val="72"/>
        </w:rPr>
        <w:t xml:space="preserve"> </w:t>
      </w:r>
    </w:p>
    <w:p w14:paraId="7FA9DB4A">
      <w:pPr>
        <w:jc w:val="center"/>
        <w:rPr>
          <w:rFonts w:hint="eastAsia" w:ascii="宋体" w:hAnsi="宋体" w:eastAsia="宋体" w:cs="宋体"/>
          <w:b/>
          <w:color w:val="000000"/>
          <w:spacing w:val="26"/>
          <w:sz w:val="52"/>
        </w:rPr>
      </w:pPr>
    </w:p>
    <w:p w14:paraId="182EFF32">
      <w:pPr>
        <w:ind w:firstLine="2357" w:firstLineChars="235"/>
        <w:rPr>
          <w:rFonts w:hint="eastAsia" w:ascii="宋体" w:hAnsi="宋体" w:eastAsia="宋体" w:cs="宋体"/>
          <w:b/>
          <w:color w:val="000000"/>
          <w:spacing w:val="140"/>
          <w:sz w:val="72"/>
        </w:rPr>
      </w:pPr>
    </w:p>
    <w:p w14:paraId="74B35178">
      <w:pPr>
        <w:spacing w:line="360" w:lineRule="exact"/>
        <w:jc w:val="center"/>
        <w:rPr>
          <w:rFonts w:hint="eastAsia" w:ascii="宋体" w:hAnsi="宋体" w:eastAsia="宋体" w:cs="宋体"/>
          <w:b/>
          <w:color w:val="000000"/>
          <w:spacing w:val="140"/>
          <w:sz w:val="72"/>
        </w:rPr>
      </w:pPr>
    </w:p>
    <w:p w14:paraId="6EEF0487">
      <w:pPr>
        <w:spacing w:line="900" w:lineRule="exact"/>
        <w:jc w:val="center"/>
        <w:rPr>
          <w:rFonts w:hint="eastAsia" w:ascii="宋体" w:hAnsi="宋体" w:eastAsia="宋体" w:cs="宋体"/>
          <w:b/>
          <w:color w:val="000000"/>
          <w:spacing w:val="140"/>
          <w:sz w:val="84"/>
          <w:szCs w:val="84"/>
        </w:rPr>
      </w:pPr>
      <w:r>
        <w:rPr>
          <w:rFonts w:hint="eastAsia" w:ascii="宋体" w:hAnsi="宋体" w:eastAsia="宋体" w:cs="宋体"/>
          <w:b/>
          <w:color w:val="000000"/>
          <w:spacing w:val="140"/>
          <w:sz w:val="84"/>
          <w:szCs w:val="84"/>
        </w:rPr>
        <w:t>招 标 文 件</w:t>
      </w:r>
    </w:p>
    <w:p w14:paraId="191C36DB">
      <w:pPr>
        <w:spacing w:line="400" w:lineRule="exact"/>
        <w:jc w:val="center"/>
        <w:rPr>
          <w:rFonts w:hint="eastAsia" w:ascii="宋体" w:hAnsi="宋体" w:eastAsia="宋体" w:cs="宋体"/>
          <w:b/>
          <w:color w:val="000000"/>
          <w:sz w:val="32"/>
        </w:rPr>
      </w:pPr>
    </w:p>
    <w:p w14:paraId="27E58BD4">
      <w:pPr>
        <w:spacing w:line="400" w:lineRule="exact"/>
        <w:jc w:val="center"/>
        <w:rPr>
          <w:rFonts w:hint="eastAsia" w:ascii="宋体" w:hAnsi="宋体" w:eastAsia="宋体" w:cs="宋体"/>
          <w:b/>
          <w:color w:val="000000"/>
          <w:sz w:val="32"/>
        </w:rPr>
      </w:pPr>
    </w:p>
    <w:p w14:paraId="722A59BA">
      <w:pPr>
        <w:rPr>
          <w:rFonts w:hint="eastAsia" w:ascii="宋体" w:hAnsi="宋体" w:eastAsia="宋体" w:cs="宋体"/>
          <w:b/>
          <w:color w:val="000000"/>
          <w:sz w:val="24"/>
        </w:rPr>
      </w:pPr>
    </w:p>
    <w:p w14:paraId="52BB7BA8">
      <w:pPr>
        <w:pStyle w:val="5"/>
        <w:rPr>
          <w:rFonts w:hint="eastAsia" w:ascii="宋体" w:hAnsi="宋体" w:eastAsia="宋体" w:cs="宋体"/>
        </w:rPr>
      </w:pPr>
    </w:p>
    <w:p w14:paraId="07B821E1">
      <w:pPr>
        <w:rPr>
          <w:rFonts w:hint="eastAsia" w:ascii="宋体" w:hAnsi="宋体" w:eastAsia="宋体" w:cs="宋体"/>
          <w:b/>
          <w:color w:val="000000"/>
          <w:sz w:val="24"/>
        </w:rPr>
      </w:pPr>
    </w:p>
    <w:p w14:paraId="55E7ABD0">
      <w:pPr>
        <w:rPr>
          <w:rFonts w:hint="eastAsia" w:ascii="宋体" w:hAnsi="宋体" w:eastAsia="宋体" w:cs="宋体"/>
          <w:b/>
          <w:color w:val="000000"/>
          <w:sz w:val="24"/>
        </w:rPr>
      </w:pPr>
    </w:p>
    <w:p w14:paraId="4333B167">
      <w:pPr>
        <w:spacing w:line="700" w:lineRule="exact"/>
        <w:ind w:firstLine="1414" w:firstLineChars="393"/>
        <w:rPr>
          <w:rFonts w:hint="eastAsia" w:ascii="宋体" w:hAnsi="宋体" w:eastAsia="宋体" w:cs="宋体"/>
          <w:color w:val="000000"/>
          <w:sz w:val="30"/>
        </w:rPr>
      </w:pPr>
      <w:r>
        <w:rPr>
          <w:rFonts w:hint="eastAsia" w:ascii="宋体" w:hAnsi="宋体" w:eastAsia="宋体" w:cs="宋体"/>
          <w:color w:val="000000"/>
          <w:spacing w:val="30"/>
          <w:sz w:val="30"/>
        </w:rPr>
        <w:t>项 目 编 号:</w:t>
      </w:r>
      <w:r>
        <w:rPr>
          <w:rFonts w:hint="eastAsia" w:ascii="宋体" w:hAnsi="宋体" w:eastAsia="宋体" w:cs="宋体"/>
          <w:color w:val="auto"/>
          <w:spacing w:val="30"/>
          <w:sz w:val="30"/>
          <w:lang w:eastAsia="zh-CN"/>
        </w:rPr>
        <w:t xml:space="preserve"> ZJMY-ZFCG20250617</w:t>
      </w:r>
      <w:r>
        <w:rPr>
          <w:rFonts w:hint="eastAsia" w:ascii="宋体" w:hAnsi="宋体" w:eastAsia="宋体" w:cs="宋体"/>
          <w:color w:val="auto"/>
          <w:spacing w:val="30"/>
          <w:sz w:val="30"/>
        </w:rPr>
        <w:t xml:space="preserve">  </w:t>
      </w:r>
      <w:r>
        <w:rPr>
          <w:rFonts w:hint="eastAsia" w:ascii="宋体" w:hAnsi="宋体" w:eastAsia="宋体" w:cs="宋体"/>
          <w:color w:val="000000"/>
          <w:spacing w:val="30"/>
          <w:sz w:val="30"/>
        </w:rPr>
        <w:t xml:space="preserve">  </w:t>
      </w:r>
      <w:r>
        <w:rPr>
          <w:rFonts w:hint="eastAsia" w:ascii="宋体" w:hAnsi="宋体" w:eastAsia="宋体" w:cs="宋体"/>
          <w:color w:val="000000"/>
          <w:sz w:val="30"/>
        </w:rPr>
        <w:t xml:space="preserve"> </w:t>
      </w:r>
    </w:p>
    <w:p w14:paraId="45C81BCB">
      <w:pPr>
        <w:spacing w:line="700" w:lineRule="exact"/>
        <w:ind w:left="3646" w:leftChars="641" w:hanging="2300" w:hangingChars="639"/>
        <w:jc w:val="left"/>
        <w:rPr>
          <w:rFonts w:hint="eastAsia" w:ascii="宋体" w:hAnsi="宋体" w:eastAsia="宋体" w:cs="宋体"/>
          <w:color w:val="000000"/>
          <w:sz w:val="30"/>
        </w:rPr>
      </w:pPr>
      <w:r>
        <w:rPr>
          <w:rFonts w:hint="eastAsia" w:ascii="宋体" w:hAnsi="宋体" w:eastAsia="宋体" w:cs="宋体"/>
          <w:color w:val="000000"/>
          <w:spacing w:val="30"/>
          <w:sz w:val="30"/>
        </w:rPr>
        <w:t>项 目 名 称: 2025年</w:t>
      </w:r>
      <w:r>
        <w:rPr>
          <w:rFonts w:hint="eastAsia" w:ascii="宋体" w:hAnsi="宋体" w:eastAsia="宋体" w:cs="宋体"/>
          <w:color w:val="000000"/>
          <w:spacing w:val="30"/>
          <w:sz w:val="30"/>
          <w:lang w:val="en-US" w:eastAsia="zh-CN"/>
        </w:rPr>
        <w:t>度</w:t>
      </w:r>
      <w:r>
        <w:rPr>
          <w:rFonts w:hint="eastAsia" w:ascii="宋体" w:hAnsi="宋体" w:eastAsia="宋体" w:cs="宋体"/>
          <w:color w:val="000000"/>
          <w:spacing w:val="30"/>
          <w:sz w:val="30"/>
        </w:rPr>
        <w:t>垃圾分类宣传（媒体宣传）</w:t>
      </w:r>
    </w:p>
    <w:p w14:paraId="48087B95">
      <w:pPr>
        <w:spacing w:line="700" w:lineRule="exact"/>
        <w:ind w:left="3646" w:leftChars="641" w:hanging="2300" w:hangingChars="639"/>
        <w:jc w:val="left"/>
        <w:rPr>
          <w:rFonts w:hint="eastAsia" w:ascii="宋体" w:hAnsi="宋体" w:eastAsia="宋体" w:cs="宋体"/>
          <w:color w:val="000000"/>
          <w:spacing w:val="40"/>
          <w:sz w:val="30"/>
        </w:rPr>
      </w:pPr>
      <w:r>
        <w:rPr>
          <w:rFonts w:hint="eastAsia" w:ascii="宋体" w:hAnsi="宋体" w:eastAsia="宋体" w:cs="宋体"/>
          <w:color w:val="000000"/>
          <w:spacing w:val="30"/>
          <w:sz w:val="30"/>
        </w:rPr>
        <w:t>采 购 方 式：公开招标</w:t>
      </w:r>
    </w:p>
    <w:p w14:paraId="43CE661A">
      <w:pPr>
        <w:spacing w:line="700" w:lineRule="exact"/>
        <w:rPr>
          <w:rFonts w:hint="eastAsia" w:ascii="宋体" w:hAnsi="宋体" w:eastAsia="宋体" w:cs="宋体"/>
          <w:color w:val="000000"/>
          <w:spacing w:val="40"/>
          <w:sz w:val="30"/>
        </w:rPr>
      </w:pPr>
    </w:p>
    <w:p w14:paraId="44BADDA8">
      <w:pPr>
        <w:spacing w:line="700" w:lineRule="exact"/>
        <w:rPr>
          <w:rFonts w:hint="eastAsia" w:ascii="宋体" w:hAnsi="宋体" w:eastAsia="宋体" w:cs="宋体"/>
          <w:color w:val="000000"/>
          <w:spacing w:val="40"/>
          <w:sz w:val="30"/>
        </w:rPr>
      </w:pPr>
    </w:p>
    <w:p w14:paraId="28DDE52E">
      <w:pPr>
        <w:pStyle w:val="5"/>
        <w:rPr>
          <w:rFonts w:hint="eastAsia" w:ascii="宋体" w:hAnsi="宋体" w:eastAsia="宋体" w:cs="宋体"/>
        </w:rPr>
      </w:pPr>
    </w:p>
    <w:p w14:paraId="0891B90B">
      <w:pPr>
        <w:spacing w:line="700" w:lineRule="exact"/>
        <w:ind w:firstLine="1360" w:firstLineChars="400"/>
        <w:rPr>
          <w:rFonts w:hint="eastAsia" w:ascii="宋体" w:hAnsi="宋体" w:eastAsia="宋体" w:cs="宋体"/>
          <w:color w:val="000000"/>
          <w:sz w:val="30"/>
        </w:rPr>
      </w:pPr>
      <w:r>
        <w:rPr>
          <w:rFonts w:hint="eastAsia" w:ascii="宋体" w:hAnsi="宋体" w:eastAsia="宋体" w:cs="宋体"/>
          <w:color w:val="000000"/>
          <w:spacing w:val="20"/>
          <w:sz w:val="30"/>
        </w:rPr>
        <w:t xml:space="preserve">采   购   人: </w:t>
      </w:r>
      <w:r>
        <w:rPr>
          <w:rFonts w:hint="eastAsia" w:ascii="宋体" w:hAnsi="宋体" w:eastAsia="宋体" w:cs="宋体"/>
          <w:color w:val="000000"/>
          <w:sz w:val="30"/>
        </w:rPr>
        <w:t>温州市综合行政执法局</w:t>
      </w:r>
    </w:p>
    <w:p w14:paraId="219C6902">
      <w:pPr>
        <w:spacing w:line="700" w:lineRule="exact"/>
        <w:jc w:val="center"/>
        <w:rPr>
          <w:rFonts w:hint="eastAsia" w:ascii="宋体" w:hAnsi="宋体" w:eastAsia="宋体" w:cs="宋体"/>
          <w:color w:val="auto"/>
          <w:spacing w:val="40"/>
          <w:sz w:val="30"/>
          <w:highlight w:val="none"/>
        </w:rPr>
      </w:pPr>
      <w:r>
        <w:rPr>
          <w:rFonts w:hint="eastAsia" w:ascii="宋体" w:hAnsi="宋体" w:eastAsia="宋体" w:cs="宋体"/>
          <w:color w:val="000000"/>
          <w:spacing w:val="30"/>
          <w:sz w:val="30"/>
        </w:rPr>
        <w:t xml:space="preserve">采购代理机构: </w:t>
      </w:r>
      <w:r>
        <w:rPr>
          <w:rFonts w:hint="eastAsia" w:ascii="宋体" w:hAnsi="宋体" w:eastAsia="宋体" w:cs="宋体"/>
          <w:color w:val="000000"/>
          <w:sz w:val="30"/>
          <w:lang w:eastAsia="zh-CN"/>
        </w:rPr>
        <w:t>浙江铭洋项目管理咨询</w:t>
      </w:r>
      <w:r>
        <w:rPr>
          <w:rFonts w:hint="eastAsia" w:ascii="宋体" w:hAnsi="宋体" w:eastAsia="宋体" w:cs="宋体"/>
          <w:color w:val="000000"/>
          <w:sz w:val="30"/>
        </w:rPr>
        <w:t>有限公司</w:t>
      </w:r>
    </w:p>
    <w:p w14:paraId="16B06082">
      <w:pPr>
        <w:spacing w:line="600" w:lineRule="exact"/>
        <w:jc w:val="center"/>
        <w:rPr>
          <w:rFonts w:hint="eastAsia" w:ascii="宋体" w:hAnsi="宋体" w:eastAsia="宋体" w:cs="宋体"/>
          <w:color w:val="auto"/>
          <w:spacing w:val="40"/>
          <w:sz w:val="30"/>
          <w:szCs w:val="30"/>
          <w:highlight w:val="none"/>
        </w:rPr>
      </w:pPr>
    </w:p>
    <w:p w14:paraId="4B3AFDF1">
      <w:pPr>
        <w:spacing w:line="600" w:lineRule="exact"/>
        <w:jc w:val="center"/>
        <w:rPr>
          <w:rFonts w:hint="eastAsia" w:ascii="宋体" w:hAnsi="宋体" w:eastAsia="宋体" w:cs="宋体"/>
          <w:color w:val="auto"/>
          <w:spacing w:val="40"/>
          <w:sz w:val="30"/>
          <w:szCs w:val="30"/>
          <w:highlight w:val="none"/>
        </w:rPr>
      </w:pPr>
      <w:r>
        <w:rPr>
          <w:rFonts w:hint="eastAsia" w:ascii="宋体" w:hAnsi="宋体" w:eastAsia="宋体" w:cs="宋体"/>
          <w:color w:val="auto"/>
          <w:spacing w:val="40"/>
          <w:sz w:val="30"/>
          <w:szCs w:val="30"/>
          <w:highlight w:val="none"/>
        </w:rPr>
        <w:t>二〇二</w:t>
      </w:r>
      <w:r>
        <w:rPr>
          <w:rFonts w:hint="eastAsia" w:ascii="宋体" w:hAnsi="宋体" w:eastAsia="宋体" w:cs="宋体"/>
          <w:color w:val="auto"/>
          <w:spacing w:val="40"/>
          <w:sz w:val="30"/>
          <w:szCs w:val="30"/>
          <w:highlight w:val="none"/>
          <w:lang w:eastAsia="zh-CN"/>
        </w:rPr>
        <w:t>五</w:t>
      </w:r>
      <w:r>
        <w:rPr>
          <w:rFonts w:hint="eastAsia" w:ascii="宋体" w:hAnsi="宋体" w:eastAsia="宋体" w:cs="宋体"/>
          <w:color w:val="auto"/>
          <w:spacing w:val="40"/>
          <w:sz w:val="30"/>
          <w:szCs w:val="30"/>
          <w:highlight w:val="none"/>
        </w:rPr>
        <w:t>年</w:t>
      </w:r>
      <w:r>
        <w:rPr>
          <w:rFonts w:hint="eastAsia" w:ascii="宋体" w:hAnsi="宋体" w:eastAsia="宋体" w:cs="宋体"/>
          <w:color w:val="auto"/>
          <w:spacing w:val="40"/>
          <w:sz w:val="30"/>
          <w:szCs w:val="30"/>
          <w:highlight w:val="none"/>
          <w:lang w:val="en-US" w:eastAsia="zh-CN"/>
        </w:rPr>
        <w:t>六</w:t>
      </w:r>
      <w:r>
        <w:rPr>
          <w:rFonts w:hint="eastAsia" w:ascii="宋体" w:hAnsi="宋体" w:eastAsia="宋体" w:cs="宋体"/>
          <w:color w:val="auto"/>
          <w:spacing w:val="40"/>
          <w:sz w:val="30"/>
          <w:szCs w:val="30"/>
          <w:highlight w:val="none"/>
        </w:rPr>
        <w:t>月</w:t>
      </w:r>
    </w:p>
    <w:p w14:paraId="68FB8DCA">
      <w:pPr>
        <w:pStyle w:val="8"/>
        <w:rPr>
          <w:rFonts w:hint="eastAsia" w:ascii="宋体" w:hAnsi="宋体" w:eastAsia="宋体" w:cs="宋体"/>
          <w:color w:val="auto"/>
          <w:highlight w:val="none"/>
        </w:rPr>
      </w:pPr>
    </w:p>
    <w:p w14:paraId="0B15D093">
      <w:pPr>
        <w:pStyle w:val="7"/>
        <w:rPr>
          <w:rFonts w:hint="eastAsia" w:ascii="宋体" w:hAnsi="宋体" w:eastAsia="宋体" w:cs="宋体"/>
          <w:color w:val="auto"/>
          <w:highlight w:val="none"/>
        </w:rPr>
      </w:pPr>
    </w:p>
    <w:p w14:paraId="5919A508">
      <w:pPr>
        <w:pStyle w:val="2"/>
        <w:tabs>
          <w:tab w:val="clear" w:pos="840"/>
        </w:tabs>
        <w:adjustRightInd/>
        <w:snapToGrid/>
        <w:spacing w:line="600" w:lineRule="exact"/>
        <w:jc w:val="center"/>
        <w:rPr>
          <w:rFonts w:hint="eastAsia" w:ascii="宋体" w:hAnsi="宋体" w:eastAsia="宋体" w:cs="宋体"/>
          <w:bCs/>
          <w:color w:val="auto"/>
          <w:sz w:val="36"/>
          <w:szCs w:val="36"/>
          <w:highlight w:val="none"/>
        </w:rPr>
      </w:pPr>
      <w:bookmarkStart w:id="0" w:name="_Toc19064"/>
      <w:r>
        <w:rPr>
          <w:rFonts w:hint="eastAsia" w:ascii="宋体" w:hAnsi="宋体" w:eastAsia="宋体" w:cs="宋体"/>
          <w:bCs/>
          <w:color w:val="auto"/>
          <w:sz w:val="36"/>
          <w:szCs w:val="36"/>
          <w:highlight w:val="none"/>
        </w:rPr>
        <w:t>目    录</w:t>
      </w:r>
      <w:bookmarkEnd w:id="0"/>
    </w:p>
    <w:p w14:paraId="3B2755A9">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 w:val="0"/>
          <w:bCs w:val="0"/>
          <w:caps w:val="0"/>
          <w:color w:val="auto"/>
          <w:sz w:val="22"/>
          <w:szCs w:val="22"/>
          <w:highlight w:val="none"/>
        </w:rPr>
        <w:fldChar w:fldCharType="begin"/>
      </w:r>
      <w:r>
        <w:rPr>
          <w:rFonts w:hint="eastAsia" w:ascii="宋体" w:hAnsi="宋体" w:eastAsia="宋体" w:cs="宋体"/>
          <w:b w:val="0"/>
          <w:bCs w:val="0"/>
          <w:caps w:val="0"/>
          <w:color w:val="auto"/>
          <w:sz w:val="22"/>
          <w:szCs w:val="22"/>
          <w:highlight w:val="none"/>
        </w:rPr>
        <w:instrText xml:space="preserve"> TOC \o "1-2" \h \z \u </w:instrText>
      </w:r>
      <w:r>
        <w:rPr>
          <w:rFonts w:hint="eastAsia" w:ascii="宋体" w:hAnsi="宋体" w:eastAsia="宋体" w:cs="宋体"/>
          <w:b w:val="0"/>
          <w:bCs w:val="0"/>
          <w:caps w:val="0"/>
          <w:color w:val="auto"/>
          <w:sz w:val="22"/>
          <w:szCs w:val="22"/>
          <w:highlight w:val="none"/>
        </w:rPr>
        <w:fldChar w:fldCharType="separate"/>
      </w: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_Toc19064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目    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_Toc19064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6E9F645A">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_Toc8761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投标邀请函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_Toc8761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41019E0E">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_Toc10412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第一部分  投标供应商须知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_Toc10412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653CBEF8">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_Toc16800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一、 说  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_Toc16800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1F4985DF">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_Toc12685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二、 招标文件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_Toc12685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4C26D19F">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_Toc12884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三、 投标文件的编制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_Toc12884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07891211">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_Toc31622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四、 投标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_Toc31622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404EEBEE">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_Toc17866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五、 开标和评标</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_Toc17866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250D0F91">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_Toc7200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六、 授予合同</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_Toc7200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505D4491">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_Toc17831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第二部分 合同主要条款</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_Toc17831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16</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6CC35A1B">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_Toc8103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第三部分 附件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_Toc8103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21AD208F">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_Toc14685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附件一  投 标 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_Toc14685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23</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65BCA9A3">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_Toc13007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附件二  投标报价一览表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_Toc13007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0361B971">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_Toc31146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附件三  投标分项报价表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_Toc31146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11DE0265">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_Toc14007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附件四  商务、技术偏离表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_Toc14007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5196EABA">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_Toc2345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附件五  证明文件</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_Toc2345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633CB88F">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_Toc31157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（1）法定代表人授权书</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_Toc31157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28</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563F04F2">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_Toc8791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（2）供应商基本情况表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_Toc8791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29</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169DAE36">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_Toc25553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（3）资格条件承诺函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_Toc25553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30</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5A693636">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_Toc11952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kern w:val="0"/>
          <w:sz w:val="22"/>
          <w:szCs w:val="22"/>
          <w:highlight w:val="none"/>
        </w:rPr>
        <w:t>（4）中小企业声明函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_Toc11952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31</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7DCD8D49">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_Toc7136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kern w:val="0"/>
          <w:sz w:val="22"/>
          <w:szCs w:val="22"/>
          <w:highlight w:val="none"/>
        </w:rPr>
        <w:t>（5）残疾人福利性单位声明函</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_Toc7136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32</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4080496F">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_Toc14295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附件六  项目负责人情况</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_Toc14295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33</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6CA9F2AB">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_Toc4756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附件七  项目组人员一览表</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_Toc4756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34</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2C7980B8">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_Toc10982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附件八  项目业绩</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_Toc10982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35</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4F23F221">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_Toc2820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附件九  诚信投标承诺书</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_Toc2820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36</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6CA3D5D1">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_Toc18266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第四部分  招标内容及要求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_Toc18266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17FCB520">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_Toc13430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一、 项目概况</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_Toc13430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4D5505B9">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_Toc7733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二、 具体内容及服务要求</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_Toc7733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37</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25C36923">
      <w:pPr>
        <w:pStyle w:val="15"/>
        <w:tabs>
          <w:tab w:val="right" w:leader="dot" w:pos="9354"/>
        </w:tabs>
        <w:spacing w:line="400" w:lineRule="exact"/>
        <w:rPr>
          <w:rFonts w:hint="eastAsia" w:ascii="宋体" w:hAnsi="宋体" w:eastAsia="宋体" w:cs="宋体"/>
          <w:color w:val="auto"/>
          <w:sz w:val="22"/>
          <w:szCs w:val="22"/>
          <w:highlight w:val="none"/>
        </w:rPr>
      </w:pPr>
      <w:r>
        <w:rPr>
          <w:rFonts w:hint="eastAsia" w:ascii="宋体" w:hAnsi="宋体" w:eastAsia="宋体" w:cs="宋体"/>
          <w:bCs/>
          <w:caps/>
          <w:color w:val="auto"/>
          <w:sz w:val="22"/>
          <w:szCs w:val="22"/>
          <w:highlight w:val="none"/>
        </w:rPr>
        <w:fldChar w:fldCharType="begin"/>
      </w:r>
      <w:r>
        <w:rPr>
          <w:rFonts w:hint="eastAsia" w:ascii="宋体" w:hAnsi="宋体" w:eastAsia="宋体" w:cs="宋体"/>
          <w:bCs/>
          <w:caps/>
          <w:color w:val="auto"/>
          <w:sz w:val="22"/>
          <w:szCs w:val="22"/>
          <w:highlight w:val="none"/>
        </w:rPr>
        <w:instrText xml:space="preserve"> HYPERLINK \l _Toc18288 </w:instrText>
      </w:r>
      <w:r>
        <w:rPr>
          <w:rFonts w:hint="eastAsia" w:ascii="宋体" w:hAnsi="宋体" w:eastAsia="宋体" w:cs="宋体"/>
          <w:bCs/>
          <w:caps/>
          <w:color w:val="auto"/>
          <w:sz w:val="22"/>
          <w:szCs w:val="22"/>
          <w:highlight w:val="none"/>
        </w:rPr>
        <w:fldChar w:fldCharType="separate"/>
      </w:r>
      <w:r>
        <w:rPr>
          <w:rFonts w:hint="eastAsia" w:ascii="宋体" w:hAnsi="宋体" w:eastAsia="宋体" w:cs="宋体"/>
          <w:color w:val="auto"/>
          <w:sz w:val="22"/>
          <w:szCs w:val="22"/>
          <w:highlight w:val="none"/>
        </w:rPr>
        <w:t>三、 其他要求及说明</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_Toc18288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41</w:t>
      </w:r>
      <w:r>
        <w:rPr>
          <w:rFonts w:hint="eastAsia" w:ascii="宋体" w:hAnsi="宋体" w:eastAsia="宋体" w:cs="宋体"/>
          <w:color w:val="auto"/>
          <w:sz w:val="22"/>
          <w:szCs w:val="22"/>
          <w:highlight w:val="none"/>
        </w:rPr>
        <w:fldChar w:fldCharType="end"/>
      </w:r>
      <w:r>
        <w:rPr>
          <w:rFonts w:hint="eastAsia" w:ascii="宋体" w:hAnsi="宋体" w:eastAsia="宋体" w:cs="宋体"/>
          <w:bCs/>
          <w:caps/>
          <w:color w:val="auto"/>
          <w:sz w:val="22"/>
          <w:szCs w:val="22"/>
          <w:highlight w:val="none"/>
        </w:rPr>
        <w:fldChar w:fldCharType="end"/>
      </w:r>
    </w:p>
    <w:p w14:paraId="327B1312">
      <w:pPr>
        <w:pStyle w:val="13"/>
        <w:tabs>
          <w:tab w:val="right" w:leader="dot" w:pos="9354"/>
        </w:tabs>
        <w:spacing w:before="0" w:after="0" w:line="400" w:lineRule="exact"/>
        <w:rPr>
          <w:rFonts w:hint="eastAsia" w:ascii="宋体" w:hAnsi="宋体" w:eastAsia="宋体" w:cs="宋体"/>
          <w:color w:val="auto"/>
          <w:sz w:val="22"/>
          <w:szCs w:val="22"/>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_Toc27463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第五部分  评标原则及方法</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_Toc27463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42</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1B7DCC56">
      <w:pPr>
        <w:pStyle w:val="13"/>
        <w:tabs>
          <w:tab w:val="right" w:leader="dot" w:pos="9354"/>
        </w:tabs>
        <w:spacing w:before="0" w:after="0" w:line="400" w:lineRule="exact"/>
        <w:rPr>
          <w:rFonts w:hint="eastAsia" w:ascii="宋体" w:hAnsi="宋体" w:eastAsia="宋体" w:cs="宋体"/>
          <w:color w:val="auto"/>
          <w:highlight w:val="none"/>
        </w:rPr>
      </w:pPr>
      <w:r>
        <w:rPr>
          <w:rFonts w:hint="eastAsia" w:ascii="宋体" w:hAnsi="宋体" w:eastAsia="宋体" w:cs="宋体"/>
          <w:bCs w:val="0"/>
          <w:caps w:val="0"/>
          <w:color w:val="auto"/>
          <w:sz w:val="22"/>
          <w:szCs w:val="22"/>
          <w:highlight w:val="none"/>
        </w:rPr>
        <w:fldChar w:fldCharType="begin"/>
      </w:r>
      <w:r>
        <w:rPr>
          <w:rFonts w:hint="eastAsia" w:ascii="宋体" w:hAnsi="宋体" w:eastAsia="宋体" w:cs="宋体"/>
          <w:bCs w:val="0"/>
          <w:caps w:val="0"/>
          <w:color w:val="auto"/>
          <w:sz w:val="22"/>
          <w:szCs w:val="22"/>
          <w:highlight w:val="none"/>
        </w:rPr>
        <w:instrText xml:space="preserve"> HYPERLINK \l _Toc26716 </w:instrText>
      </w:r>
      <w:r>
        <w:rPr>
          <w:rFonts w:hint="eastAsia" w:ascii="宋体" w:hAnsi="宋体" w:eastAsia="宋体" w:cs="宋体"/>
          <w:bCs w:val="0"/>
          <w:caps w:val="0"/>
          <w:color w:val="auto"/>
          <w:sz w:val="22"/>
          <w:szCs w:val="22"/>
          <w:highlight w:val="none"/>
        </w:rPr>
        <w:fldChar w:fldCharType="separate"/>
      </w:r>
      <w:r>
        <w:rPr>
          <w:rFonts w:hint="eastAsia" w:ascii="宋体" w:hAnsi="宋体" w:eastAsia="宋体" w:cs="宋体"/>
          <w:color w:val="auto"/>
          <w:sz w:val="22"/>
          <w:szCs w:val="22"/>
          <w:highlight w:val="none"/>
        </w:rPr>
        <w:t>政府采购活动现场确认声明书</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PAGEREF _Toc26716 \h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47</w:t>
      </w:r>
      <w:r>
        <w:rPr>
          <w:rFonts w:hint="eastAsia" w:ascii="宋体" w:hAnsi="宋体" w:eastAsia="宋体" w:cs="宋体"/>
          <w:color w:val="auto"/>
          <w:sz w:val="22"/>
          <w:szCs w:val="22"/>
          <w:highlight w:val="none"/>
        </w:rPr>
        <w:fldChar w:fldCharType="end"/>
      </w:r>
      <w:r>
        <w:rPr>
          <w:rFonts w:hint="eastAsia" w:ascii="宋体" w:hAnsi="宋体" w:eastAsia="宋体" w:cs="宋体"/>
          <w:bCs w:val="0"/>
          <w:caps w:val="0"/>
          <w:color w:val="auto"/>
          <w:sz w:val="22"/>
          <w:szCs w:val="22"/>
          <w:highlight w:val="none"/>
        </w:rPr>
        <w:fldChar w:fldCharType="end"/>
      </w:r>
    </w:p>
    <w:p w14:paraId="7233C431">
      <w:pPr>
        <w:spacing w:line="300" w:lineRule="exact"/>
        <w:jc w:val="left"/>
        <w:rPr>
          <w:rFonts w:hint="eastAsia" w:ascii="宋体" w:hAnsi="宋体" w:eastAsia="宋体" w:cs="宋体"/>
          <w:bCs/>
          <w:caps/>
          <w:color w:val="auto"/>
          <w:szCs w:val="22"/>
          <w:highlight w:val="none"/>
        </w:rPr>
      </w:pPr>
      <w:r>
        <w:rPr>
          <w:rFonts w:hint="eastAsia" w:ascii="宋体" w:hAnsi="宋体" w:eastAsia="宋体" w:cs="宋体"/>
          <w:bCs/>
          <w:caps/>
          <w:color w:val="auto"/>
          <w:szCs w:val="22"/>
          <w:highlight w:val="none"/>
        </w:rPr>
        <w:fldChar w:fldCharType="end"/>
      </w:r>
    </w:p>
    <w:p w14:paraId="7D33A855">
      <w:pPr>
        <w:spacing w:line="300" w:lineRule="exact"/>
        <w:jc w:val="left"/>
        <w:rPr>
          <w:rFonts w:hint="eastAsia" w:ascii="宋体" w:hAnsi="宋体" w:eastAsia="宋体" w:cs="宋体"/>
          <w:color w:val="auto"/>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u w:val="single"/>
        </w:rPr>
        <w:t>招标文件中加粗条款为重要条款，提醒供应商注意；加“下划线”且加“▲”的条款，为实质性条款，着重提醒供应商注意，并认真查看招标文件中的每一个条款及要求，因误读招标文件而造成的后果，招标采购单位概不负责。</w:t>
      </w:r>
    </w:p>
    <w:p w14:paraId="1FE44875">
      <w:pPr>
        <w:pStyle w:val="2"/>
        <w:tabs>
          <w:tab w:val="clear" w:pos="840"/>
        </w:tabs>
        <w:adjustRightInd/>
        <w:snapToGrid/>
        <w:spacing w:line="600" w:lineRule="exact"/>
        <w:jc w:val="center"/>
        <w:rPr>
          <w:rFonts w:hint="eastAsia" w:ascii="宋体" w:hAnsi="宋体" w:eastAsia="宋体" w:cs="宋体"/>
          <w:color w:val="auto"/>
          <w:sz w:val="28"/>
          <w:highlight w:val="none"/>
        </w:rPr>
      </w:pPr>
      <w:bookmarkStart w:id="1" w:name="_Toc267898765"/>
      <w:bookmarkStart w:id="2" w:name="_Toc8761"/>
      <w:r>
        <w:rPr>
          <w:rFonts w:hint="eastAsia" w:ascii="宋体" w:hAnsi="宋体" w:eastAsia="宋体" w:cs="宋体"/>
          <w:color w:val="auto"/>
          <w:sz w:val="32"/>
          <w:highlight w:val="none"/>
        </w:rPr>
        <w:t>投标邀请函</w:t>
      </w:r>
      <w:bookmarkEnd w:id="1"/>
      <w:bookmarkEnd w:id="2"/>
    </w:p>
    <w:p w14:paraId="042F6455">
      <w:pPr>
        <w:spacing w:line="360" w:lineRule="exact"/>
        <w:ind w:firstLine="440" w:firstLineChars="200"/>
        <w:rPr>
          <w:rFonts w:hint="eastAsia" w:ascii="宋体" w:hAnsi="宋体" w:eastAsia="宋体" w:cs="宋体"/>
          <w:color w:val="auto"/>
          <w:sz w:val="22"/>
          <w:highlight w:val="none"/>
        </w:rPr>
      </w:pPr>
    </w:p>
    <w:p w14:paraId="413546E6">
      <w:pPr>
        <w:spacing w:line="400" w:lineRule="exact"/>
        <w:ind w:firstLine="440" w:firstLineChars="200"/>
        <w:rPr>
          <w:rFonts w:hint="eastAsia" w:ascii="宋体" w:hAnsi="宋体" w:eastAsia="宋体" w:cs="宋体"/>
          <w:bCs/>
          <w:color w:val="auto"/>
          <w:sz w:val="22"/>
          <w:highlight w:val="none"/>
          <w:u w:val="single"/>
        </w:rPr>
      </w:pPr>
      <w:r>
        <w:rPr>
          <w:rFonts w:hint="eastAsia" w:ascii="宋体" w:hAnsi="宋体" w:eastAsia="宋体" w:cs="宋体"/>
          <w:color w:val="auto"/>
          <w:sz w:val="22"/>
          <w:highlight w:val="none"/>
          <w:lang w:eastAsia="zh-CN"/>
        </w:rPr>
        <w:t>浙江铭洋项目管理咨询有限公司</w:t>
      </w:r>
      <w:r>
        <w:rPr>
          <w:rFonts w:hint="eastAsia" w:ascii="宋体" w:hAnsi="宋体" w:eastAsia="宋体" w:cs="宋体"/>
          <w:color w:val="auto"/>
          <w:sz w:val="22"/>
          <w:highlight w:val="none"/>
        </w:rPr>
        <w:t>受温州市综合行政执法局委托就</w:t>
      </w:r>
      <w:r>
        <w:rPr>
          <w:rFonts w:hint="eastAsia" w:ascii="宋体" w:hAnsi="宋体" w:eastAsia="宋体" w:cs="宋体"/>
          <w:color w:val="auto"/>
          <w:sz w:val="22"/>
          <w:highlight w:val="none"/>
          <w:lang w:eastAsia="zh-CN"/>
        </w:rPr>
        <w:t>2025年度垃圾分类宣传（媒体宣传）</w:t>
      </w:r>
      <w:r>
        <w:rPr>
          <w:rFonts w:hint="eastAsia" w:ascii="宋体" w:hAnsi="宋体" w:eastAsia="宋体" w:cs="宋体"/>
          <w:color w:val="auto"/>
          <w:sz w:val="22"/>
          <w:highlight w:val="none"/>
        </w:rPr>
        <w:t>项目进行公开招标，我们诚恳地邀请各潜在投标供应商参加本项目投标。</w:t>
      </w:r>
    </w:p>
    <w:p w14:paraId="2EBFEC51">
      <w:pPr>
        <w:spacing w:line="400" w:lineRule="exact"/>
        <w:rPr>
          <w:rFonts w:hint="eastAsia" w:ascii="宋体" w:hAnsi="宋体" w:eastAsia="宋体" w:cs="宋体"/>
          <w:bCs/>
          <w:color w:val="auto"/>
          <w:sz w:val="22"/>
          <w:highlight w:val="none"/>
        </w:rPr>
      </w:pPr>
      <w:r>
        <w:rPr>
          <w:rFonts w:hint="eastAsia" w:ascii="宋体" w:hAnsi="宋体" w:eastAsia="宋体" w:cs="宋体"/>
          <w:color w:val="auto"/>
          <w:spacing w:val="40"/>
          <w:sz w:val="22"/>
          <w:highlight w:val="none"/>
        </w:rPr>
        <w:t>1．项目编号</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 xml:space="preserve"> WZHX2025</w:t>
      </w:r>
      <w:r>
        <w:rPr>
          <w:rFonts w:hint="eastAsia" w:ascii="宋体" w:hAnsi="宋体" w:eastAsia="宋体" w:cs="宋体"/>
          <w:color w:val="auto"/>
          <w:sz w:val="22"/>
          <w:highlight w:val="none"/>
        </w:rPr>
        <w:t xml:space="preserve">  </w:t>
      </w:r>
    </w:p>
    <w:p w14:paraId="4C6D12F3">
      <w:pPr>
        <w:spacing w:line="400" w:lineRule="exact"/>
        <w:rPr>
          <w:rFonts w:hint="eastAsia" w:ascii="宋体" w:hAnsi="宋体" w:eastAsia="宋体" w:cs="宋体"/>
          <w:color w:val="auto"/>
          <w:sz w:val="22"/>
          <w:highlight w:val="none"/>
          <w:lang w:eastAsia="zh-CN"/>
        </w:rPr>
      </w:pPr>
      <w:r>
        <w:rPr>
          <w:rFonts w:hint="eastAsia" w:ascii="宋体" w:hAnsi="宋体" w:eastAsia="宋体" w:cs="宋体"/>
          <w:color w:val="auto"/>
          <w:spacing w:val="40"/>
          <w:sz w:val="22"/>
          <w:highlight w:val="none"/>
        </w:rPr>
        <w:t>2．项目名称</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eastAsia="zh-CN"/>
        </w:rPr>
        <w:t>2025年</w:t>
      </w:r>
      <w:r>
        <w:rPr>
          <w:rFonts w:hint="eastAsia" w:ascii="宋体" w:hAnsi="宋体" w:eastAsia="宋体" w:cs="宋体"/>
          <w:color w:val="auto"/>
          <w:sz w:val="22"/>
          <w:highlight w:val="none"/>
          <w:lang w:val="en-US" w:eastAsia="zh-CN"/>
        </w:rPr>
        <w:t>度</w:t>
      </w:r>
      <w:r>
        <w:rPr>
          <w:rFonts w:hint="eastAsia" w:ascii="宋体" w:hAnsi="宋体" w:eastAsia="宋体" w:cs="宋体"/>
          <w:color w:val="auto"/>
          <w:sz w:val="22"/>
          <w:highlight w:val="none"/>
          <w:lang w:eastAsia="zh-CN"/>
        </w:rPr>
        <w:t>垃圾分类宣传（媒体宣传）</w:t>
      </w:r>
    </w:p>
    <w:p w14:paraId="32728E3B">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3． 采 购 内 容：详见招标文件第五部分。</w:t>
      </w:r>
    </w:p>
    <w:p w14:paraId="20AD1FEA">
      <w:pPr>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采 购 预 算: 1</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万元</w:t>
      </w:r>
    </w:p>
    <w:p w14:paraId="348BCD2D">
      <w:pPr>
        <w:spacing w:line="400" w:lineRule="exact"/>
        <w:ind w:left="440" w:hanging="440" w:hanging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 招标文件获取时间：</w:t>
      </w:r>
      <w:r>
        <w:rPr>
          <w:rFonts w:hint="eastAsia" w:ascii="宋体" w:hAnsi="宋体" w:eastAsia="宋体" w:cs="宋体"/>
          <w:color w:val="auto"/>
          <w:kern w:val="0"/>
          <w:sz w:val="22"/>
          <w:szCs w:val="22"/>
          <w:highlight w:val="none"/>
        </w:rPr>
        <w:t>202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lang w:val="en-US" w:eastAsia="zh-CN"/>
        </w:rPr>
        <w:t>06</w:t>
      </w:r>
      <w:r>
        <w:rPr>
          <w:rFonts w:hint="eastAsia" w:ascii="宋体" w:hAnsi="宋体" w:eastAsia="宋体" w:cs="宋体"/>
          <w:color w:val="auto"/>
          <w:kern w:val="0"/>
          <w:sz w:val="22"/>
          <w:szCs w:val="22"/>
          <w:highlight w:val="none"/>
        </w:rPr>
        <w:t>月</w:t>
      </w: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日</w:t>
      </w:r>
      <w:r>
        <w:rPr>
          <w:rFonts w:hint="default" w:ascii="宋体" w:hAnsi="宋体" w:eastAsia="宋体" w:cs="宋体"/>
          <w:color w:val="auto"/>
          <w:sz w:val="22"/>
          <w:highlight w:val="none"/>
          <w:lang w:val="en" w:eastAsia="zh-CN"/>
        </w:rPr>
        <w:t xml:space="preserve"> </w:t>
      </w:r>
      <w:r>
        <w:rPr>
          <w:rFonts w:hint="eastAsia" w:ascii="宋体" w:hAnsi="宋体" w:eastAsia="宋体" w:cs="宋体"/>
          <w:color w:val="auto"/>
          <w:kern w:val="0"/>
          <w:sz w:val="22"/>
          <w:szCs w:val="22"/>
          <w:highlight w:val="none"/>
        </w:rPr>
        <w:t>至投标截止时间前</w:t>
      </w:r>
      <w:r>
        <w:rPr>
          <w:rFonts w:hint="eastAsia" w:ascii="宋体" w:hAnsi="宋体" w:eastAsia="宋体" w:cs="宋体"/>
          <w:color w:val="auto"/>
          <w:sz w:val="22"/>
          <w:szCs w:val="22"/>
          <w:highlight w:val="none"/>
        </w:rPr>
        <w:t>（未按规定时间及方式获取招标文件的潜在供应商拒绝参加投标，且其提出的质疑不予受理）</w:t>
      </w:r>
    </w:p>
    <w:p w14:paraId="04953D2C">
      <w:pPr>
        <w:widowControl/>
        <w:tabs>
          <w:tab w:val="left" w:pos="-360"/>
        </w:tabs>
        <w:autoSpaceDE w:val="0"/>
        <w:autoSpaceDN w:val="0"/>
        <w:spacing w:line="400" w:lineRule="exact"/>
        <w:ind w:right="-283" w:rightChars="-135"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招标文件获取地点：政府采购云平台（http://zfcg.czt.zj.gov.cn）</w:t>
      </w:r>
    </w:p>
    <w:p w14:paraId="717A79C9">
      <w:pPr>
        <w:widowControl/>
        <w:tabs>
          <w:tab w:val="left" w:pos="-360"/>
        </w:tabs>
        <w:autoSpaceDE w:val="0"/>
        <w:autoSpaceDN w:val="0"/>
        <w:spacing w:line="400" w:lineRule="exact"/>
        <w:ind w:left="420" w:leftChars="200" w:right="-34"/>
        <w:textAlignment w:val="bottom"/>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招标文件获取方式：实行“政府采购云平台”在线申请获取，不提供招标文件纸质版。供应商获取招标文件前应先完成“政府采购云平台”账号注册，后登陆政采云平台在线申请获取招标文件（进入“项目采购”应用，在获取招标文件菜单中选择项目，申请获取招标文件）</w:t>
      </w:r>
    </w:p>
    <w:p w14:paraId="1871805D">
      <w:pPr>
        <w:spacing w:line="400" w:lineRule="exact"/>
        <w:ind w:left="440" w:hanging="440" w:hanging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5.  投标文件递交截止时间：2</w:t>
      </w:r>
      <w:r>
        <w:rPr>
          <w:rFonts w:hint="eastAsia" w:ascii="宋体" w:hAnsi="宋体" w:eastAsia="宋体" w:cs="宋体"/>
          <w:color w:val="auto"/>
          <w:kern w:val="0"/>
          <w:sz w:val="22"/>
          <w:szCs w:val="22"/>
          <w:highlight w:val="none"/>
        </w:rPr>
        <w:t>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lang w:val="en-US" w:eastAsia="zh-CN"/>
        </w:rPr>
        <w:t>07</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rPr>
        <w:t>日</w:t>
      </w:r>
      <w:r>
        <w:rPr>
          <w:rFonts w:hint="eastAsia" w:ascii="宋体" w:hAnsi="宋体" w:eastAsia="宋体" w:cs="宋体"/>
          <w:color w:val="auto"/>
          <w:sz w:val="22"/>
          <w:szCs w:val="22"/>
          <w:highlight w:val="none"/>
        </w:rPr>
        <w:t>09:30分整</w:t>
      </w:r>
      <w:r>
        <w:rPr>
          <w:rFonts w:hint="eastAsia" w:ascii="宋体" w:hAnsi="宋体" w:eastAsia="宋体" w:cs="宋体"/>
          <w:color w:val="auto"/>
          <w:sz w:val="22"/>
          <w:highlight w:val="none"/>
        </w:rPr>
        <w:t>；</w:t>
      </w:r>
    </w:p>
    <w:p w14:paraId="7FB8A5A0">
      <w:pPr>
        <w:widowControl/>
        <w:tabs>
          <w:tab w:val="left" w:pos="-360"/>
        </w:tabs>
        <w:autoSpaceDE w:val="0"/>
        <w:autoSpaceDN w:val="0"/>
        <w:spacing w:line="400" w:lineRule="exact"/>
        <w:ind w:left="439" w:leftChars="209" w:right="-34"/>
        <w:textAlignment w:val="bottom"/>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递交地点：</w:t>
      </w:r>
      <w:r>
        <w:rPr>
          <w:rFonts w:hint="eastAsia" w:ascii="宋体" w:hAnsi="宋体" w:eastAsia="宋体" w:cs="宋体"/>
          <w:color w:val="auto"/>
          <w:kern w:val="0"/>
          <w:sz w:val="22"/>
          <w:szCs w:val="22"/>
          <w:highlight w:val="none"/>
        </w:rPr>
        <w:t>通过“政府采购云平台（www.zcygov.cn）”在线投标。</w:t>
      </w:r>
    </w:p>
    <w:p w14:paraId="74E88BBA">
      <w:pPr>
        <w:spacing w:line="400" w:lineRule="exact"/>
        <w:ind w:left="440" w:hanging="440" w:hanging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 开标时间：2</w:t>
      </w:r>
      <w:r>
        <w:rPr>
          <w:rFonts w:hint="eastAsia" w:ascii="宋体" w:hAnsi="宋体" w:eastAsia="宋体" w:cs="宋体"/>
          <w:color w:val="auto"/>
          <w:kern w:val="0"/>
          <w:sz w:val="22"/>
          <w:szCs w:val="22"/>
          <w:highlight w:val="none"/>
        </w:rPr>
        <w:t>02</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年</w:t>
      </w:r>
      <w:r>
        <w:rPr>
          <w:rFonts w:hint="eastAsia" w:ascii="宋体" w:hAnsi="宋体" w:eastAsia="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月</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rPr>
        <w:t>日</w:t>
      </w:r>
      <w:r>
        <w:rPr>
          <w:rFonts w:hint="eastAsia" w:ascii="宋体" w:hAnsi="宋体" w:eastAsia="宋体" w:cs="宋体"/>
          <w:color w:val="auto"/>
          <w:sz w:val="22"/>
          <w:szCs w:val="22"/>
          <w:highlight w:val="none"/>
        </w:rPr>
        <w:t>09:30分整</w:t>
      </w:r>
      <w:r>
        <w:rPr>
          <w:rFonts w:hint="eastAsia" w:ascii="宋体" w:hAnsi="宋体" w:eastAsia="宋体" w:cs="宋体"/>
          <w:color w:val="auto"/>
          <w:sz w:val="22"/>
          <w:highlight w:val="none"/>
        </w:rPr>
        <w:t>；</w:t>
      </w:r>
    </w:p>
    <w:p w14:paraId="680DDB16">
      <w:pPr>
        <w:spacing w:line="400" w:lineRule="exact"/>
        <w:ind w:left="420" w:leftChars="200" w:right="-283" w:rightChars="-13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kern w:val="0"/>
          <w:sz w:val="22"/>
          <w:szCs w:val="22"/>
          <w:highlight w:val="none"/>
        </w:rPr>
        <w:t>通过“政府采购云平台（www.zcygov.cn）”在线开标。</w:t>
      </w:r>
    </w:p>
    <w:p w14:paraId="4B0E7A9C">
      <w:pPr>
        <w:spacing w:line="400" w:lineRule="exact"/>
        <w:ind w:left="1520" w:leftChars="200" w:hanging="1100" w:hangingChars="500"/>
        <w:rPr>
          <w:rFonts w:hint="eastAsia" w:ascii="宋体" w:hAnsi="宋体" w:eastAsia="宋体" w:cs="宋体"/>
          <w:color w:val="auto"/>
          <w:sz w:val="22"/>
          <w:highlight w:val="none"/>
        </w:rPr>
      </w:pPr>
      <w:r>
        <w:rPr>
          <w:rFonts w:hint="eastAsia" w:ascii="宋体" w:hAnsi="宋体" w:eastAsia="宋体" w:cs="宋体"/>
          <w:color w:val="auto"/>
          <w:kern w:val="0"/>
          <w:sz w:val="22"/>
          <w:szCs w:val="22"/>
          <w:highlight w:val="none"/>
        </w:rPr>
        <w:t>评标地点：</w:t>
      </w:r>
      <w:r>
        <w:rPr>
          <w:rFonts w:hint="eastAsia" w:ascii="宋体" w:hAnsi="宋体" w:eastAsia="宋体" w:cs="宋体"/>
          <w:color w:val="auto"/>
          <w:sz w:val="22"/>
          <w:highlight w:val="none"/>
        </w:rPr>
        <w:t>温州市鹿城区市府路鹿城壹号18幢</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4</w:t>
      </w:r>
      <w:r>
        <w:rPr>
          <w:rFonts w:hint="eastAsia" w:ascii="宋体" w:hAnsi="宋体" w:eastAsia="宋体" w:cs="宋体"/>
          <w:color w:val="auto"/>
          <w:sz w:val="22"/>
          <w:highlight w:val="none"/>
          <w:lang w:eastAsia="zh-CN"/>
        </w:rPr>
        <w:t>层</w:t>
      </w:r>
      <w:r>
        <w:rPr>
          <w:rFonts w:hint="eastAsia" w:ascii="宋体" w:hAnsi="宋体" w:eastAsia="宋体" w:cs="宋体"/>
          <w:color w:val="auto"/>
          <w:sz w:val="22"/>
          <w:highlight w:val="none"/>
        </w:rPr>
        <w:t xml:space="preserve">。  </w:t>
      </w:r>
    </w:p>
    <w:p w14:paraId="78F3C430">
      <w:pPr>
        <w:spacing w:line="400" w:lineRule="exact"/>
        <w:ind w:left="1540" w:hanging="1540" w:hangingChars="700"/>
        <w:rPr>
          <w:rFonts w:hint="eastAsia" w:ascii="宋体" w:hAnsi="宋体" w:eastAsia="宋体" w:cs="宋体"/>
          <w:color w:val="auto"/>
          <w:sz w:val="22"/>
          <w:highlight w:val="none"/>
        </w:rPr>
      </w:pPr>
      <w:r>
        <w:rPr>
          <w:rFonts w:hint="eastAsia" w:ascii="宋体" w:hAnsi="宋体" w:eastAsia="宋体" w:cs="宋体"/>
          <w:color w:val="auto"/>
          <w:sz w:val="22"/>
          <w:highlight w:val="none"/>
        </w:rPr>
        <w:t>7． 采购人：温州市综合行政执法局</w:t>
      </w:r>
    </w:p>
    <w:p w14:paraId="00F57308">
      <w:pPr>
        <w:spacing w:line="400" w:lineRule="exact"/>
        <w:ind w:firstLine="435"/>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联系人： </w:t>
      </w:r>
      <w:r>
        <w:rPr>
          <w:rFonts w:hint="eastAsia" w:ascii="宋体" w:hAnsi="宋体" w:eastAsia="宋体" w:cs="宋体"/>
          <w:color w:val="auto"/>
          <w:sz w:val="22"/>
          <w:szCs w:val="22"/>
          <w:highlight w:val="none"/>
        </w:rPr>
        <w:t>陈</w:t>
      </w:r>
      <w:r>
        <w:rPr>
          <w:rFonts w:hint="eastAsia" w:ascii="宋体" w:hAnsi="宋体" w:eastAsia="宋体" w:cs="宋体"/>
          <w:color w:val="auto"/>
          <w:sz w:val="22"/>
          <w:highlight w:val="none"/>
        </w:rPr>
        <w:t xml:space="preserve">女士   </w:t>
      </w:r>
    </w:p>
    <w:p w14:paraId="702E4497">
      <w:pPr>
        <w:spacing w:line="400" w:lineRule="exact"/>
        <w:ind w:firstLine="435"/>
        <w:rPr>
          <w:rFonts w:hint="eastAsia" w:ascii="宋体" w:hAnsi="宋体" w:eastAsia="宋体" w:cs="宋体"/>
          <w:b/>
          <w:color w:val="auto"/>
          <w:sz w:val="22"/>
          <w:highlight w:val="none"/>
          <w:lang w:val="en-US" w:eastAsia="zh-CN"/>
        </w:rPr>
      </w:pPr>
      <w:r>
        <w:rPr>
          <w:rFonts w:hint="eastAsia" w:ascii="宋体" w:hAnsi="宋体" w:eastAsia="宋体" w:cs="宋体"/>
          <w:color w:val="auto"/>
          <w:sz w:val="22"/>
          <w:highlight w:val="none"/>
        </w:rPr>
        <w:t>电话：0577-</w:t>
      </w:r>
      <w:r>
        <w:rPr>
          <w:rFonts w:hint="eastAsia" w:ascii="宋体" w:hAnsi="宋体" w:eastAsia="宋体" w:cs="宋体"/>
          <w:color w:val="auto"/>
          <w:sz w:val="22"/>
          <w:highlight w:val="none"/>
          <w:lang w:val="en-US" w:eastAsia="zh-CN"/>
        </w:rPr>
        <w:t>89890167</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 xml:space="preserve"> </w:t>
      </w:r>
    </w:p>
    <w:p w14:paraId="16C625BB">
      <w:pPr>
        <w:numPr>
          <w:ilvl w:val="0"/>
          <w:numId w:val="1"/>
        </w:numPr>
        <w:spacing w:line="400" w:lineRule="exact"/>
        <w:rPr>
          <w:rFonts w:hint="eastAsia" w:ascii="宋体" w:hAnsi="宋体" w:eastAsia="宋体" w:cs="宋体"/>
          <w:color w:val="auto"/>
          <w:sz w:val="22"/>
          <w:highlight w:val="none"/>
        </w:rPr>
      </w:pPr>
      <w:bookmarkStart w:id="3" w:name="B38_采购代理机构名称"/>
      <w:r>
        <w:rPr>
          <w:rFonts w:hint="eastAsia" w:ascii="宋体" w:hAnsi="宋体" w:eastAsia="宋体" w:cs="宋体"/>
          <w:color w:val="auto"/>
          <w:sz w:val="22"/>
          <w:highlight w:val="none"/>
        </w:rPr>
        <w:t>招标代理机构：</w:t>
      </w:r>
      <w:bookmarkEnd w:id="3"/>
      <w:r>
        <w:rPr>
          <w:rFonts w:hint="eastAsia" w:ascii="宋体" w:hAnsi="宋体" w:eastAsia="宋体" w:cs="宋体"/>
          <w:color w:val="auto"/>
          <w:sz w:val="22"/>
          <w:highlight w:val="none"/>
          <w:lang w:eastAsia="zh-CN"/>
        </w:rPr>
        <w:t>浙江铭洋项目管理咨询有限公司</w:t>
      </w:r>
    </w:p>
    <w:p w14:paraId="02B80EEB">
      <w:pPr>
        <w:spacing w:line="400" w:lineRule="exact"/>
        <w:ind w:firstLine="418" w:firstLineChars="19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地点：温州市鹿城区市府路鹿城壹号18幢</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4</w:t>
      </w:r>
      <w:r>
        <w:rPr>
          <w:rFonts w:hint="eastAsia" w:ascii="宋体" w:hAnsi="宋体" w:eastAsia="宋体" w:cs="宋体"/>
          <w:color w:val="auto"/>
          <w:sz w:val="22"/>
          <w:highlight w:val="none"/>
          <w:lang w:eastAsia="zh-CN"/>
        </w:rPr>
        <w:t>层</w:t>
      </w:r>
    </w:p>
    <w:p w14:paraId="25AC7B33">
      <w:pPr>
        <w:spacing w:line="400" w:lineRule="exact"/>
        <w:ind w:firstLine="418" w:firstLineChars="19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方</w:t>
      </w:r>
      <w:r>
        <w:rPr>
          <w:rFonts w:hint="eastAsia" w:ascii="宋体" w:hAnsi="宋体" w:eastAsia="宋体" w:cs="宋体"/>
          <w:color w:val="auto"/>
          <w:kern w:val="0"/>
          <w:sz w:val="22"/>
          <w:szCs w:val="22"/>
          <w:highlight w:val="none"/>
        </w:rPr>
        <w:t>先生</w:t>
      </w:r>
    </w:p>
    <w:p w14:paraId="762A6BBC">
      <w:pPr>
        <w:spacing w:line="400" w:lineRule="exact"/>
        <w:ind w:firstLine="418" w:firstLineChars="190"/>
        <w:rPr>
          <w:rFonts w:hint="eastAsia" w:ascii="宋体" w:hAnsi="宋体" w:eastAsia="宋体" w:cs="宋体"/>
          <w:color w:val="auto"/>
          <w:sz w:val="22"/>
          <w:highlight w:val="none"/>
          <w:lang w:val="en-US" w:eastAsia="zh-CN"/>
        </w:rPr>
      </w:pPr>
      <w:r>
        <w:rPr>
          <w:rFonts w:hint="eastAsia" w:ascii="宋体" w:hAnsi="宋体" w:eastAsia="宋体" w:cs="宋体"/>
          <w:color w:val="auto"/>
          <w:kern w:val="0"/>
          <w:sz w:val="22"/>
          <w:szCs w:val="22"/>
          <w:highlight w:val="none"/>
        </w:rPr>
        <w:t>手机：1</w:t>
      </w:r>
      <w:r>
        <w:rPr>
          <w:rFonts w:hint="eastAsia" w:ascii="宋体" w:hAnsi="宋体" w:eastAsia="宋体" w:cs="宋体"/>
          <w:color w:val="auto"/>
          <w:kern w:val="0"/>
          <w:sz w:val="22"/>
          <w:szCs w:val="22"/>
          <w:highlight w:val="none"/>
          <w:lang w:val="en-US" w:eastAsia="zh-CN"/>
        </w:rPr>
        <w:t>5869613237</w:t>
      </w:r>
    </w:p>
    <w:p w14:paraId="2058B7AC">
      <w:pPr>
        <w:spacing w:line="400" w:lineRule="exact"/>
        <w:ind w:firstLine="418" w:firstLineChars="19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电话 ：</w:t>
      </w:r>
      <w:bookmarkStart w:id="4" w:name="B41_联系电话"/>
      <w:r>
        <w:rPr>
          <w:rFonts w:hint="eastAsia" w:ascii="宋体" w:hAnsi="宋体" w:eastAsia="宋体" w:cs="宋体"/>
          <w:color w:val="auto"/>
          <w:sz w:val="22"/>
          <w:highlight w:val="none"/>
        </w:rPr>
        <w:t>0577-88</w:t>
      </w:r>
      <w:bookmarkEnd w:id="4"/>
      <w:r>
        <w:rPr>
          <w:rFonts w:hint="eastAsia" w:ascii="宋体" w:hAnsi="宋体" w:eastAsia="宋体" w:cs="宋体"/>
          <w:color w:val="auto"/>
          <w:sz w:val="22"/>
          <w:highlight w:val="none"/>
          <w:lang w:val="en-US" w:eastAsia="zh-CN"/>
        </w:rPr>
        <w:t>686562</w:t>
      </w:r>
    </w:p>
    <w:p w14:paraId="0E01275E">
      <w:pPr>
        <w:spacing w:line="440" w:lineRule="exact"/>
        <w:ind w:firstLine="418" w:firstLineChars="190"/>
        <w:rPr>
          <w:rFonts w:hint="eastAsia" w:ascii="宋体" w:hAnsi="宋体" w:eastAsia="宋体" w:cs="宋体"/>
          <w:color w:val="auto"/>
          <w:sz w:val="22"/>
          <w:highlight w:val="none"/>
        </w:rPr>
      </w:pPr>
    </w:p>
    <w:p w14:paraId="7FF76BAE">
      <w:pPr>
        <w:spacing w:line="440" w:lineRule="exact"/>
        <w:ind w:firstLine="418" w:firstLineChars="190"/>
        <w:rPr>
          <w:rFonts w:hint="eastAsia" w:ascii="宋体" w:hAnsi="宋体" w:eastAsia="宋体" w:cs="宋体"/>
          <w:color w:val="auto"/>
          <w:sz w:val="22"/>
          <w:highlight w:val="none"/>
        </w:rPr>
      </w:pPr>
    </w:p>
    <w:p w14:paraId="630AFFBC">
      <w:pPr>
        <w:spacing w:line="44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温州市综合行政执法局</w:t>
      </w:r>
    </w:p>
    <w:p w14:paraId="609ACB5C">
      <w:pPr>
        <w:spacing w:line="440" w:lineRule="exact"/>
        <w:ind w:firstLine="5830" w:firstLineChars="265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浙江铭洋项目管理咨询有限公司</w:t>
      </w:r>
    </w:p>
    <w:p w14:paraId="69B0ECB3">
      <w:pPr>
        <w:spacing w:line="440" w:lineRule="exact"/>
        <w:ind w:firstLine="6600" w:firstLineChars="3000"/>
        <w:rPr>
          <w:rFonts w:hint="eastAsia" w:ascii="宋体" w:hAnsi="宋体" w:eastAsia="宋体" w:cs="宋体"/>
          <w:color w:val="auto"/>
          <w:sz w:val="22"/>
          <w:highlight w:val="none"/>
        </w:rPr>
      </w:pPr>
      <w:r>
        <w:rPr>
          <w:rFonts w:hint="eastAsia" w:ascii="宋体" w:hAnsi="宋体" w:eastAsia="宋体" w:cs="宋体"/>
          <w:color w:val="auto"/>
          <w:sz w:val="22"/>
          <w:highlight w:val="none"/>
        </w:rPr>
        <w:t>202</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年</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月</w:t>
      </w:r>
      <w:r>
        <w:rPr>
          <w:rFonts w:hint="eastAsia" w:ascii="宋体" w:hAnsi="宋体" w:eastAsia="宋体" w:cs="宋体"/>
          <w:color w:val="auto"/>
          <w:sz w:val="22"/>
          <w:highlight w:val="none"/>
          <w:lang w:val="en-US" w:eastAsia="zh-CN"/>
        </w:rPr>
        <w:t>17</w:t>
      </w:r>
      <w:r>
        <w:rPr>
          <w:rFonts w:hint="eastAsia" w:ascii="宋体" w:hAnsi="宋体" w:eastAsia="宋体" w:cs="宋体"/>
          <w:color w:val="auto"/>
          <w:sz w:val="22"/>
          <w:highlight w:val="none"/>
        </w:rPr>
        <w:t>日</w:t>
      </w:r>
    </w:p>
    <w:p w14:paraId="610B3EF6">
      <w:pPr>
        <w:pStyle w:val="2"/>
        <w:tabs>
          <w:tab w:val="clear" w:pos="840"/>
        </w:tabs>
        <w:adjustRightInd/>
        <w:snapToGrid/>
        <w:spacing w:before="120" w:after="120" w:line="460" w:lineRule="exact"/>
        <w:jc w:val="center"/>
        <w:rPr>
          <w:rFonts w:hint="eastAsia" w:ascii="宋体" w:hAnsi="宋体" w:eastAsia="宋体" w:cs="宋体"/>
          <w:bCs/>
          <w:color w:val="auto"/>
          <w:sz w:val="32"/>
          <w:szCs w:val="32"/>
          <w:highlight w:val="none"/>
        </w:rPr>
      </w:pPr>
      <w:bookmarkStart w:id="5" w:name="_Toc10412"/>
      <w:r>
        <w:rPr>
          <w:rFonts w:hint="eastAsia" w:ascii="宋体" w:hAnsi="宋体" w:eastAsia="宋体" w:cs="宋体"/>
          <w:bCs/>
          <w:color w:val="auto"/>
          <w:sz w:val="32"/>
          <w:szCs w:val="32"/>
          <w:highlight w:val="none"/>
        </w:rPr>
        <w:t>第一部分  投标供应商须知</w:t>
      </w:r>
      <w:bookmarkEnd w:id="5"/>
    </w:p>
    <w:p w14:paraId="399FF00A">
      <w:pPr>
        <w:pStyle w:val="3"/>
        <w:spacing w:line="500" w:lineRule="exact"/>
        <w:jc w:val="center"/>
        <w:rPr>
          <w:rFonts w:hint="eastAsia" w:ascii="宋体" w:hAnsi="宋体" w:eastAsia="宋体" w:cs="宋体"/>
          <w:color w:val="auto"/>
          <w:sz w:val="24"/>
          <w:szCs w:val="24"/>
          <w:highlight w:val="none"/>
        </w:rPr>
      </w:pPr>
      <w:bookmarkStart w:id="6" w:name="_Toc16800"/>
      <w:r>
        <w:rPr>
          <w:rFonts w:hint="eastAsia" w:ascii="宋体" w:hAnsi="宋体" w:eastAsia="宋体" w:cs="宋体"/>
          <w:color w:val="auto"/>
          <w:sz w:val="24"/>
          <w:szCs w:val="24"/>
          <w:highlight w:val="none"/>
        </w:rPr>
        <w:t>一、 说  明</w:t>
      </w:r>
      <w:bookmarkEnd w:id="6"/>
    </w:p>
    <w:p w14:paraId="0289A60B">
      <w:pPr>
        <w:tabs>
          <w:tab w:val="left" w:pos="360"/>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本次招标是按照《中华人民共和国政府采购法》、《采购法实施条例》、《政府采购货物和服务招标投标管理办法》、《浙江省政府采购项目电子交易管理暂行办法》等有关法律法规组织和实施。</w:t>
      </w:r>
    </w:p>
    <w:p w14:paraId="5C4078AE">
      <w:pPr>
        <w:tabs>
          <w:tab w:val="left" w:pos="180"/>
        </w:tabs>
        <w:spacing w:line="400" w:lineRule="exact"/>
        <w:ind w:left="-2" w:leftChars="-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w:t>
      </w:r>
      <w:r>
        <w:rPr>
          <w:rFonts w:hint="eastAsia" w:ascii="宋体" w:hAnsi="宋体" w:eastAsia="宋体" w:cs="宋体"/>
          <w:b/>
          <w:color w:val="auto"/>
          <w:sz w:val="22"/>
          <w:szCs w:val="22"/>
          <w:highlight w:val="none"/>
          <w:u w:val="single"/>
        </w:rPr>
        <w:t>合格投标供应商</w:t>
      </w:r>
    </w:p>
    <w:p w14:paraId="3698E20F">
      <w:pPr>
        <w:widowControl/>
        <w:tabs>
          <w:tab w:val="left" w:pos="0"/>
        </w:tabs>
        <w:spacing w:line="400" w:lineRule="exact"/>
        <w:ind w:left="537" w:right="60" w:hanging="537" w:hangingChars="243"/>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2.1  符合《中华人民共和国政府采购法》第22条规定的供应商应具备的资格条件；未被“信用中国”（www.creditchina.gov.cn)、中国政府采购网（www.ccgp.gov.cn）列入失信被执行人、重大税收违法案件当事人名单、政府采购严重违法失信行为记录名单；</w:t>
      </w:r>
    </w:p>
    <w:p w14:paraId="36666543">
      <w:pPr>
        <w:widowControl/>
        <w:tabs>
          <w:tab w:val="left" w:pos="0"/>
        </w:tabs>
        <w:spacing w:line="400" w:lineRule="exact"/>
        <w:ind w:left="541" w:right="60" w:hanging="541" w:hangingChars="245"/>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 xml:space="preserve">2.2  </w:t>
      </w:r>
      <w:r>
        <w:rPr>
          <w:rFonts w:hint="eastAsia" w:ascii="宋体" w:hAnsi="宋体" w:eastAsia="宋体" w:cs="宋体"/>
          <w:b/>
          <w:bCs/>
          <w:color w:val="auto"/>
          <w:sz w:val="22"/>
          <w:szCs w:val="22"/>
          <w:highlight w:val="none"/>
        </w:rPr>
        <w:t>本项目专门面向中小企业进行采购，供应商须符合《工业和信息化部、国家统计局、国家发展和改革委员会、财政部关于印发中小企业划型标准规定的通知》（工信部联企业〔2011〕300号）规定的中小企业划分标准；</w:t>
      </w:r>
    </w:p>
    <w:p w14:paraId="754FE670">
      <w:pPr>
        <w:widowControl/>
        <w:tabs>
          <w:tab w:val="left" w:pos="0"/>
        </w:tabs>
        <w:spacing w:line="400" w:lineRule="exact"/>
        <w:ind w:left="541" w:right="60" w:hanging="541" w:hangingChars="245"/>
        <w:jc w:val="left"/>
        <w:rPr>
          <w:rFonts w:hint="eastAsia" w:ascii="宋体" w:hAnsi="宋体" w:eastAsia="宋体" w:cs="宋体"/>
          <w:b/>
          <w:color w:val="auto"/>
          <w:kern w:val="0"/>
          <w:sz w:val="22"/>
          <w:highlight w:val="none"/>
          <w:shd w:val="clear" w:color="FFFFFF" w:fill="D9D9D9"/>
        </w:rPr>
      </w:pPr>
      <w:r>
        <w:rPr>
          <w:rFonts w:hint="eastAsia" w:ascii="宋体" w:hAnsi="宋体" w:eastAsia="宋体" w:cs="宋体"/>
          <w:b/>
          <w:color w:val="auto"/>
          <w:kern w:val="0"/>
          <w:sz w:val="22"/>
          <w:highlight w:val="none"/>
        </w:rPr>
        <w:t>2.3  本项目接受</w:t>
      </w:r>
      <w:r>
        <w:rPr>
          <w:rFonts w:hint="eastAsia" w:ascii="宋体" w:hAnsi="宋体" w:eastAsia="宋体" w:cs="宋体"/>
          <w:b/>
          <w:color w:val="auto"/>
          <w:kern w:val="0"/>
          <w:sz w:val="22"/>
          <w:szCs w:val="22"/>
          <w:highlight w:val="none"/>
        </w:rPr>
        <w:t>供应商组成</w:t>
      </w:r>
      <w:r>
        <w:rPr>
          <w:rFonts w:hint="eastAsia" w:ascii="宋体" w:hAnsi="宋体" w:eastAsia="宋体" w:cs="宋体"/>
          <w:b/>
          <w:color w:val="auto"/>
          <w:kern w:val="0"/>
          <w:sz w:val="22"/>
          <w:highlight w:val="none"/>
        </w:rPr>
        <w:t>一个联合体以一个供应商的身份参加投标，联合体组成应满足以下要求：</w:t>
      </w:r>
    </w:p>
    <w:p w14:paraId="1989A020">
      <w:pPr>
        <w:widowControl/>
        <w:tabs>
          <w:tab w:val="left" w:pos="0"/>
        </w:tabs>
        <w:spacing w:line="400" w:lineRule="exact"/>
        <w:ind w:left="565" w:right="60" w:hanging="565" w:hangingChars="256"/>
        <w:jc w:val="left"/>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（1）允许</w:t>
      </w:r>
      <w:r>
        <w:rPr>
          <w:rFonts w:hint="eastAsia" w:ascii="宋体" w:hAnsi="宋体" w:eastAsia="宋体" w:cs="宋体"/>
          <w:b/>
          <w:color w:val="auto"/>
          <w:kern w:val="0"/>
          <w:sz w:val="22"/>
          <w:szCs w:val="22"/>
          <w:highlight w:val="none"/>
        </w:rPr>
        <w:t>中型企业和小微企业组成联合体，或小微企业之间组成联合体，</w:t>
      </w:r>
      <w:r>
        <w:rPr>
          <w:rFonts w:hint="eastAsia" w:ascii="宋体" w:hAnsi="宋体" w:eastAsia="宋体" w:cs="宋体"/>
          <w:b/>
          <w:color w:val="auto"/>
          <w:kern w:val="0"/>
          <w:sz w:val="22"/>
          <w:highlight w:val="none"/>
        </w:rPr>
        <w:t>联合体成员数量不得超过2个，联合体各方均应符合第2.1条要求；</w:t>
      </w:r>
    </w:p>
    <w:p w14:paraId="2868C094">
      <w:pPr>
        <w:widowControl/>
        <w:tabs>
          <w:tab w:val="left" w:pos="0"/>
        </w:tabs>
        <w:spacing w:line="400" w:lineRule="exact"/>
        <w:ind w:left="565" w:right="60" w:hanging="565" w:hangingChars="256"/>
        <w:jc w:val="left"/>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（2）提交联合体投标协议书，明确联合体各方承担的工作、义务及合同份额，并指定合同份额高的成员作为联合体牵头人代表联合体负责投标（主投标人）和合同实施阶段的主办、协调工作。</w:t>
      </w:r>
    </w:p>
    <w:p w14:paraId="5527C2F1">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   投标供应商代表</w:t>
      </w:r>
    </w:p>
    <w:p w14:paraId="7057347D">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指全权代表投标供应商参加投标活动并签署投标文件的人。</w:t>
      </w:r>
      <w:r>
        <w:rPr>
          <w:rFonts w:hint="eastAsia" w:ascii="宋体" w:hAnsi="宋体" w:eastAsia="宋体" w:cs="宋体"/>
          <w:color w:val="auto"/>
          <w:sz w:val="22"/>
          <w:highlight w:val="none"/>
        </w:rPr>
        <w:t>投标供应商代表可以是法定代表人或其有效授权人员，</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如果投标供应商代表不是法定代表人，须持有《法定代表人授权书》（见附件统一格式），否则授权代表身份不予认可，投标无效。</w:t>
      </w:r>
    </w:p>
    <w:p w14:paraId="72A72F33">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pacing w:val="100"/>
          <w:sz w:val="22"/>
          <w:szCs w:val="22"/>
          <w:highlight w:val="none"/>
        </w:rPr>
        <w:t xml:space="preserve">. </w:t>
      </w:r>
      <w:r>
        <w:rPr>
          <w:rFonts w:hint="eastAsia" w:ascii="宋体" w:hAnsi="宋体" w:eastAsia="宋体" w:cs="宋体"/>
          <w:b/>
          <w:color w:val="auto"/>
          <w:sz w:val="22"/>
          <w:szCs w:val="22"/>
          <w:highlight w:val="none"/>
        </w:rPr>
        <w:t>投标费用</w:t>
      </w:r>
    </w:p>
    <w:p w14:paraId="70E4C679">
      <w:pPr>
        <w:spacing w:line="42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投标供应商应承担所有与准备和参加投标有关费用，不论投标的结果如何，采购人和招标代理机构（以下统称为招标采购单位）均无义务和责任承担这些费用。</w:t>
      </w:r>
    </w:p>
    <w:p w14:paraId="26AA13D5">
      <w:pPr>
        <w:spacing w:line="42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w:t>
      </w:r>
      <w:r>
        <w:rPr>
          <w:rFonts w:hint="eastAsia" w:ascii="宋体" w:hAnsi="宋体" w:eastAsia="宋体" w:cs="宋体"/>
          <w:color w:val="auto"/>
          <w:sz w:val="22"/>
          <w:szCs w:val="22"/>
          <w:highlight w:val="none"/>
          <w:u w:val="single"/>
        </w:rPr>
        <w:t>单位负责人为同一人或者存在直接控股、管理关系的不同供应商，不得参加同一合同项下的政府采购活动；公益一类事业单位不属于政府购买服务的承接主体，不得参与承接购买服务。</w:t>
      </w:r>
    </w:p>
    <w:p w14:paraId="77F0F631">
      <w:pPr>
        <w:spacing w:line="42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如无特别说明，投标供应商参加本项目投标所使用的资格、信誉、荣誉、业绩与企业认证、人员必须为其单位所有。</w:t>
      </w:r>
    </w:p>
    <w:p w14:paraId="13524A99">
      <w:pPr>
        <w:spacing w:line="420" w:lineRule="exact"/>
        <w:ind w:left="550" w:hanging="550" w:hangingChars="25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7.  ▲</w:t>
      </w:r>
      <w:r>
        <w:rPr>
          <w:rFonts w:hint="eastAsia" w:ascii="宋体" w:hAnsi="宋体" w:eastAsia="宋体" w:cs="宋体"/>
          <w:b/>
          <w:color w:val="auto"/>
          <w:sz w:val="22"/>
          <w:szCs w:val="22"/>
          <w:highlight w:val="none"/>
          <w:u w:val="single"/>
        </w:rPr>
        <w:t>参加本项目投标的供应商必须遵守“诚实信用”原则，并在投标文件中提供《诚信投标承诺书》（见附件统一格式），不按要求提供该承诺书的投标文件将按无效标处理。</w:t>
      </w:r>
    </w:p>
    <w:p w14:paraId="4145098E">
      <w:pPr>
        <w:spacing w:line="400" w:lineRule="exact"/>
        <w:ind w:left="565" w:hanging="565" w:hangingChars="256"/>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highlight w:val="none"/>
        </w:rPr>
        <w:t xml:space="preserve">8. </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u w:val="single"/>
        </w:rPr>
        <w:t>投标供应商必须在投标文件中提供《资格条件承诺函》（见附件统一格式），不按要求提供该承诺书的投标文件视为资格性审查不通过，投标无效，不得进入下一步评审。</w:t>
      </w:r>
    </w:p>
    <w:p w14:paraId="3232E01E">
      <w:pPr>
        <w:spacing w:line="420" w:lineRule="exact"/>
        <w:ind w:left="552" w:hanging="552" w:hangingChars="250"/>
        <w:rPr>
          <w:rFonts w:hint="eastAsia" w:ascii="宋体" w:hAnsi="宋体" w:eastAsia="宋体" w:cs="宋体"/>
          <w:bCs/>
          <w:color w:val="auto"/>
          <w:sz w:val="22"/>
          <w:szCs w:val="22"/>
          <w:highlight w:val="none"/>
          <w:lang w:bidi="ar"/>
        </w:rPr>
      </w:pPr>
      <w:r>
        <w:rPr>
          <w:rFonts w:hint="eastAsia" w:ascii="宋体" w:hAnsi="宋体" w:eastAsia="宋体" w:cs="宋体"/>
          <w:b/>
          <w:bCs/>
          <w:color w:val="auto"/>
          <w:sz w:val="22"/>
          <w:szCs w:val="22"/>
          <w:highlight w:val="none"/>
        </w:rPr>
        <w:t>9.  中小企业投标说明</w:t>
      </w:r>
    </w:p>
    <w:p w14:paraId="39C2F016">
      <w:pPr>
        <w:spacing w:line="400" w:lineRule="exact"/>
        <w:ind w:left="437" w:leftChars="208"/>
        <w:rPr>
          <w:rFonts w:hint="eastAsia" w:ascii="宋体" w:hAnsi="宋体" w:eastAsia="宋体" w:cs="宋体"/>
          <w:bCs/>
          <w:color w:val="auto"/>
          <w:sz w:val="22"/>
          <w:szCs w:val="22"/>
          <w:highlight w:val="none"/>
          <w:lang w:val="zh-CN"/>
        </w:rPr>
      </w:pPr>
      <w:r>
        <w:rPr>
          <w:rFonts w:hint="eastAsia" w:ascii="宋体" w:hAnsi="宋体" w:eastAsia="宋体" w:cs="宋体"/>
          <w:b/>
          <w:color w:val="auto"/>
          <w:sz w:val="22"/>
          <w:szCs w:val="22"/>
          <w:highlight w:val="none"/>
          <w:u w:val="single"/>
          <w:lang w:bidi="ar"/>
        </w:rPr>
        <w:t>本项目属于专门面向中小企业采购的项目，符合《政府采购促进中小企业发展管理办法》规定的中小微企业参加本项目投标的</w:t>
      </w:r>
      <w:r>
        <w:rPr>
          <w:rFonts w:hint="eastAsia" w:ascii="宋体" w:hAnsi="宋体" w:eastAsia="宋体" w:cs="宋体"/>
          <w:b/>
          <w:color w:val="auto"/>
          <w:sz w:val="22"/>
          <w:szCs w:val="22"/>
          <w:highlight w:val="none"/>
          <w:u w:val="single"/>
          <w:lang w:val="zh-CN" w:bidi="ar"/>
        </w:rPr>
        <w:t>应按</w:t>
      </w:r>
      <w:r>
        <w:rPr>
          <w:rFonts w:hint="eastAsia" w:ascii="宋体" w:hAnsi="宋体" w:eastAsia="宋体" w:cs="宋体"/>
          <w:b/>
          <w:color w:val="auto"/>
          <w:sz w:val="22"/>
          <w:szCs w:val="22"/>
          <w:highlight w:val="none"/>
          <w:u w:val="single"/>
          <w:lang w:bidi="ar"/>
        </w:rPr>
        <w:t>招标</w:t>
      </w:r>
      <w:r>
        <w:rPr>
          <w:rFonts w:hint="eastAsia" w:ascii="宋体" w:hAnsi="宋体" w:eastAsia="宋体" w:cs="宋体"/>
          <w:b/>
          <w:color w:val="auto"/>
          <w:sz w:val="22"/>
          <w:szCs w:val="22"/>
          <w:highlight w:val="none"/>
          <w:u w:val="single"/>
          <w:lang w:val="zh-CN" w:bidi="ar"/>
        </w:rPr>
        <w:t>文件规定格式及要求在</w:t>
      </w:r>
      <w:r>
        <w:rPr>
          <w:rFonts w:hint="eastAsia" w:ascii="宋体" w:hAnsi="宋体" w:eastAsia="宋体" w:cs="宋体"/>
          <w:b/>
          <w:color w:val="auto"/>
          <w:sz w:val="22"/>
          <w:szCs w:val="22"/>
          <w:highlight w:val="none"/>
          <w:u w:val="single"/>
          <w:lang w:bidi="ar"/>
        </w:rPr>
        <w:t>投标</w:t>
      </w:r>
      <w:r>
        <w:rPr>
          <w:rFonts w:hint="eastAsia" w:ascii="宋体" w:hAnsi="宋体" w:eastAsia="宋体" w:cs="宋体"/>
          <w:b/>
          <w:color w:val="auto"/>
          <w:sz w:val="22"/>
          <w:szCs w:val="22"/>
          <w:highlight w:val="none"/>
          <w:u w:val="single"/>
          <w:lang w:val="zh-CN" w:bidi="ar"/>
        </w:rPr>
        <w:t>文件中出具《中小企业声明函》（格式附件五-4）</w:t>
      </w:r>
      <w:r>
        <w:rPr>
          <w:rFonts w:hint="eastAsia" w:ascii="宋体" w:hAnsi="宋体" w:eastAsia="宋体" w:cs="宋体"/>
          <w:b/>
          <w:color w:val="auto"/>
          <w:sz w:val="22"/>
          <w:szCs w:val="22"/>
          <w:highlight w:val="none"/>
          <w:u w:val="single"/>
          <w:lang w:bidi="ar"/>
        </w:rPr>
        <w:t>或残疾人福利性单位声明函（格式附件五-5）或监狱企业证明，并对其真实性负责</w:t>
      </w:r>
      <w:r>
        <w:rPr>
          <w:rFonts w:hint="eastAsia" w:ascii="宋体" w:hAnsi="宋体" w:eastAsia="宋体" w:cs="宋体"/>
          <w:b/>
          <w:color w:val="auto"/>
          <w:sz w:val="22"/>
          <w:szCs w:val="22"/>
          <w:highlight w:val="none"/>
          <w:u w:val="single"/>
          <w:lang w:val="zh-CN" w:bidi="ar"/>
        </w:rPr>
        <w:t>，</w:t>
      </w:r>
      <w:r>
        <w:rPr>
          <w:rFonts w:hint="eastAsia" w:ascii="宋体" w:hAnsi="宋体" w:eastAsia="宋体" w:cs="宋体"/>
          <w:b/>
          <w:color w:val="auto"/>
          <w:sz w:val="22"/>
          <w:szCs w:val="22"/>
          <w:highlight w:val="none"/>
          <w:u w:val="single"/>
          <w:lang w:bidi="ar"/>
        </w:rPr>
        <w:t>否则将被视为不具有合格投标供应商资格，其投标将被拒绝。</w:t>
      </w:r>
      <w:r>
        <w:rPr>
          <w:rFonts w:hint="eastAsia" w:ascii="宋体" w:hAnsi="宋体" w:eastAsia="宋体" w:cs="宋体"/>
          <w:bCs/>
          <w:color w:val="auto"/>
          <w:sz w:val="22"/>
          <w:szCs w:val="22"/>
          <w:highlight w:val="none"/>
          <w:lang w:val="zh-CN"/>
        </w:rPr>
        <w:t>如中标（</w:t>
      </w:r>
      <w:r>
        <w:rPr>
          <w:rFonts w:hint="eastAsia" w:ascii="宋体" w:hAnsi="宋体" w:eastAsia="宋体" w:cs="宋体"/>
          <w:bCs/>
          <w:color w:val="auto"/>
          <w:sz w:val="22"/>
          <w:szCs w:val="22"/>
          <w:highlight w:val="none"/>
        </w:rPr>
        <w:t>成交</w:t>
      </w:r>
      <w:r>
        <w:rPr>
          <w:rFonts w:hint="eastAsia" w:ascii="宋体" w:hAnsi="宋体" w:eastAsia="宋体" w:cs="宋体"/>
          <w:bCs/>
          <w:color w:val="auto"/>
          <w:sz w:val="22"/>
          <w:szCs w:val="22"/>
          <w:highlight w:val="none"/>
          <w:lang w:val="zh-CN"/>
        </w:rPr>
        <w:t>），将在中标（</w:t>
      </w:r>
      <w:r>
        <w:rPr>
          <w:rFonts w:hint="eastAsia" w:ascii="宋体" w:hAnsi="宋体" w:eastAsia="宋体" w:cs="宋体"/>
          <w:bCs/>
          <w:color w:val="auto"/>
          <w:sz w:val="22"/>
          <w:szCs w:val="22"/>
          <w:highlight w:val="none"/>
        </w:rPr>
        <w:t>成交</w:t>
      </w:r>
      <w:r>
        <w:rPr>
          <w:rFonts w:hint="eastAsia" w:ascii="宋体" w:hAnsi="宋体" w:eastAsia="宋体" w:cs="宋体"/>
          <w:bCs/>
          <w:color w:val="auto"/>
          <w:sz w:val="22"/>
          <w:szCs w:val="22"/>
          <w:highlight w:val="none"/>
          <w:lang w:val="zh-CN"/>
        </w:rPr>
        <w:t>）结果同时公告其声明函，接受社会监督，如提供的声明函内容不实的，属于提供虚假材料谋取中标，依照《政府采购法》第七十七条第一款的规定追究法律责任。</w:t>
      </w:r>
    </w:p>
    <w:p w14:paraId="10F8DD55">
      <w:pPr>
        <w:numPr>
          <w:ilvl w:val="3"/>
          <w:numId w:val="2"/>
        </w:numPr>
        <w:tabs>
          <w:tab w:val="left" w:pos="993"/>
        </w:tabs>
        <w:spacing w:line="440" w:lineRule="exact"/>
        <w:ind w:left="651" w:leftChars="304" w:hanging="13" w:hangingChars="6"/>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监狱企业视为小微企业，并应当提供由省级以上监狱管理局、戒毒管理局（含新疆生产建设兵团）出具的属于监狱企业的证明文件，否则无效。</w:t>
      </w:r>
    </w:p>
    <w:p w14:paraId="692D9428">
      <w:pPr>
        <w:numPr>
          <w:ilvl w:val="3"/>
          <w:numId w:val="2"/>
        </w:numPr>
        <w:tabs>
          <w:tab w:val="left" w:pos="993"/>
        </w:tabs>
        <w:spacing w:line="440" w:lineRule="exact"/>
        <w:ind w:left="651" w:leftChars="304" w:hanging="13" w:hangingChars="6"/>
        <w:rPr>
          <w:rFonts w:hint="eastAsia" w:ascii="宋体" w:hAnsi="宋体" w:eastAsia="宋体" w:cs="宋体"/>
          <w:bCs/>
          <w:color w:val="auto"/>
          <w:sz w:val="22"/>
          <w:szCs w:val="22"/>
          <w:highlight w:val="none"/>
          <w:lang w:val="zh-CN"/>
        </w:rPr>
      </w:pPr>
      <w:r>
        <w:rPr>
          <w:rFonts w:hint="eastAsia" w:ascii="宋体" w:hAnsi="宋体" w:eastAsia="宋体" w:cs="宋体"/>
          <w:bCs/>
          <w:color w:val="auto"/>
          <w:sz w:val="22"/>
          <w:szCs w:val="22"/>
          <w:highlight w:val="none"/>
          <w:lang w:val="zh-CN"/>
        </w:rPr>
        <w:t>残疾人福利性单位视为小微企业，应当提供《残疾人福利性单位声明函》（见附件五-5），并对声明的真实性负责。如中标，将在中标结果同时公告其《残疾人福利性单位声明函》，接受社会监督。</w:t>
      </w:r>
    </w:p>
    <w:p w14:paraId="6CA4DA5A">
      <w:pPr>
        <w:numPr>
          <w:ilvl w:val="3"/>
          <w:numId w:val="3"/>
        </w:numPr>
        <w:tabs>
          <w:tab w:val="left" w:pos="993"/>
        </w:tabs>
        <w:spacing w:line="440" w:lineRule="exact"/>
        <w:ind w:left="709" w:firstLine="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val="zh-CN"/>
        </w:rPr>
        <w:t>对符合划分标准的</w:t>
      </w:r>
      <w:r>
        <w:rPr>
          <w:rFonts w:hint="eastAsia" w:ascii="宋体" w:hAnsi="宋体" w:eastAsia="宋体" w:cs="宋体"/>
          <w:color w:val="auto"/>
          <w:sz w:val="22"/>
          <w:szCs w:val="22"/>
          <w:highlight w:val="none"/>
        </w:rPr>
        <w:t>个体工商户，视同中小微企业。</w:t>
      </w:r>
    </w:p>
    <w:p w14:paraId="4A82DE90">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  联合体投标说明</w:t>
      </w:r>
    </w:p>
    <w:p w14:paraId="7D55AABC">
      <w:pPr>
        <w:widowControl/>
        <w:tabs>
          <w:tab w:val="left" w:pos="0"/>
        </w:tabs>
        <w:spacing w:line="400" w:lineRule="exact"/>
        <w:ind w:left="563" w:right="60" w:hanging="563" w:hangingChars="256"/>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10.1  除招标文件另有规定外，招标文件的获取、投标文件的签署盖章、递交、法定代表人授权、及投标过程操作、评审内容中的单位资信、人员证书、业绩等资料均以联合体主投标人为主。</w:t>
      </w:r>
    </w:p>
    <w:p w14:paraId="2634834C">
      <w:pPr>
        <w:widowControl/>
        <w:tabs>
          <w:tab w:val="left" w:pos="0"/>
        </w:tabs>
        <w:spacing w:line="400" w:lineRule="exact"/>
        <w:ind w:left="563" w:right="60" w:hanging="563" w:hangingChars="25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r>
        <w:rPr>
          <w:rFonts w:hint="eastAsia" w:ascii="宋体" w:hAnsi="宋体" w:eastAsia="宋体" w:cs="宋体"/>
          <w:bCs/>
          <w:color w:val="auto"/>
          <w:sz w:val="22"/>
          <w:szCs w:val="22"/>
          <w:highlight w:val="none"/>
        </w:rPr>
        <w:t xml:space="preserve">2  </w:t>
      </w:r>
      <w:r>
        <w:rPr>
          <w:rFonts w:hint="eastAsia" w:ascii="宋体" w:hAnsi="宋体" w:eastAsia="宋体" w:cs="宋体"/>
          <w:color w:val="auto"/>
          <w:sz w:val="22"/>
          <w:szCs w:val="22"/>
          <w:highlight w:val="none"/>
        </w:rPr>
        <w:t>以联合体形式参加政府采购活动的，联合体各方不得再单独参加或者与其他供应商另外组成联合体参加同一合同项下的政府采购活动。</w:t>
      </w:r>
    </w:p>
    <w:p w14:paraId="4BFF1D8D">
      <w:pPr>
        <w:spacing w:line="420" w:lineRule="exact"/>
        <w:ind w:left="550" w:hanging="550" w:hangingChars="250"/>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10.3  如联合体中标，</w:t>
      </w:r>
      <w:r>
        <w:rPr>
          <w:rFonts w:hint="eastAsia" w:ascii="宋体" w:hAnsi="宋体" w:eastAsia="宋体" w:cs="宋体"/>
          <w:color w:val="auto"/>
          <w:kern w:val="0"/>
          <w:sz w:val="22"/>
          <w:szCs w:val="22"/>
          <w:highlight w:val="none"/>
        </w:rPr>
        <w:t>联合体各方应当共同与采购人签订采购合同，就采购合同约定的事项对采购人承担连带责任，履约保证金（如有）由联合体主投标人提交。</w:t>
      </w:r>
    </w:p>
    <w:p w14:paraId="2DA324F1">
      <w:pPr>
        <w:spacing w:line="440" w:lineRule="exact"/>
        <w:ind w:left="539" w:hanging="539" w:hanging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11.  经采购人同意，本项目可以向小微企业合理分包，但项目的主体、关键性工作不得分包。接受分包的供应商应当具备相应的资格条件，并不得再次分包。分包履行合同的，中标供应商应当就采购项目和分包项目向采购人负责，分包供应商就分包项目承担连带责任。</w:t>
      </w:r>
    </w:p>
    <w:p w14:paraId="093B0A11">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  在线投标响应（电子投标）说明</w:t>
      </w:r>
    </w:p>
    <w:p w14:paraId="17794342">
      <w:pPr>
        <w:spacing w:line="400" w:lineRule="exact"/>
        <w:ind w:left="565" w:hanging="565" w:hangingChars="25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本项目通过“政府采购云平台（</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"http://www.zcygov.cn）\”实行在线投标响应（电子投标），供应" </w:instrText>
      </w:r>
      <w:r>
        <w:rPr>
          <w:rFonts w:hint="eastAsia" w:ascii="宋体" w:hAnsi="宋体" w:eastAsia="宋体" w:cs="宋体"/>
          <w:color w:val="auto"/>
          <w:sz w:val="22"/>
          <w:szCs w:val="22"/>
          <w:highlight w:val="none"/>
        </w:rPr>
        <w:fldChar w:fldCharType="separate"/>
      </w:r>
      <w:r>
        <w:rPr>
          <w:rStyle w:val="21"/>
          <w:rFonts w:hint="eastAsia" w:ascii="宋体" w:hAnsi="宋体" w:eastAsia="宋体" w:cs="宋体"/>
          <w:color w:val="auto"/>
          <w:sz w:val="22"/>
          <w:szCs w:val="22"/>
          <w:highlight w:val="none"/>
          <w:u w:val="none"/>
        </w:rPr>
        <w:t>www.zcygov.cn）”实行在线投标响应（电子投标），供应</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商应先安装“政采云电子交易客户端”，并按照本招标文件和“政府采购云平台”的要求，通过“政采云电子交易客户端”编制并加密投标文件。供应商未按规定加密的投标文件，“政府采购云平台”将予以拒收。</w:t>
      </w:r>
    </w:p>
    <w:p w14:paraId="62F5419E">
      <w:pPr>
        <w:spacing w:line="400" w:lineRule="exact"/>
        <w:ind w:left="565" w:hanging="565" w:hangingChars="257"/>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12.2 “政采云电子交易客户端”请自行前往“浙江政府采购网-下载专区-电子交易客户端”进</w:t>
      </w:r>
      <w:r>
        <w:rPr>
          <w:rFonts w:hint="eastAsia" w:ascii="宋体" w:hAnsi="宋体" w:eastAsia="宋体" w:cs="宋体"/>
          <w:color w:val="auto"/>
          <w:sz w:val="22"/>
          <w:szCs w:val="22"/>
          <w:highlight w:val="none"/>
        </w:rPr>
        <w:t>行下载；电子投标具体操作流程详见本公告附件《供应商项目采购-电子招投标操作指南》；通过“政府采购云平台”参与在线投标时如遇平台技术问题详询400-881-7190。</w:t>
      </w:r>
    </w:p>
    <w:p w14:paraId="7773ABB2">
      <w:pPr>
        <w:spacing w:line="400" w:lineRule="exact"/>
        <w:ind w:left="565" w:hanging="565" w:hangingChars="257"/>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12.3 为确保网上操作合法、有效和安全，供应商应当在投标截止时间前完成在“政府采购云平台”的身份认证，确保在电子投标过程中能够对相关数据电文进行加密和使用电子签章。使用“</w:t>
      </w:r>
      <w:r>
        <w:rPr>
          <w:rFonts w:hint="eastAsia" w:ascii="宋体" w:hAnsi="宋体" w:eastAsia="宋体" w:cs="宋体"/>
          <w:bCs/>
          <w:color w:val="auto"/>
          <w:sz w:val="22"/>
          <w:szCs w:val="22"/>
          <w:highlight w:val="none"/>
        </w:rPr>
        <w:t>政采云电子交易客户端”需要提前申领CA数字证书，申领流程请自行前往“浙江政府采购网-下载专区-电子交易客户端-</w:t>
      </w:r>
      <w:r>
        <w:rPr>
          <w:rFonts w:hint="eastAsia" w:ascii="宋体" w:hAnsi="宋体" w:eastAsia="宋体" w:cs="宋体"/>
          <w:bCs/>
          <w:color w:val="auto"/>
          <w:sz w:val="22"/>
          <w:szCs w:val="22"/>
          <w:highlight w:val="none"/>
        </w:rPr>
        <w:fldChar w:fldCharType="begin"/>
      </w:r>
      <w:r>
        <w:rPr>
          <w:rFonts w:hint="eastAsia" w:ascii="宋体" w:hAnsi="宋体" w:eastAsia="宋体" w:cs="宋体"/>
          <w:bCs/>
          <w:color w:val="auto"/>
          <w:sz w:val="22"/>
          <w:szCs w:val="22"/>
          <w:highlight w:val="none"/>
        </w:rPr>
        <w:instrText xml:space="preserve"> HYPERLINK "http://www.zjzfcg.gov.cn/bidClientTemplate/2019-05-27/12945.html" \o "CA驱动和申领流程" \t "_blank" </w:instrText>
      </w:r>
      <w:r>
        <w:rPr>
          <w:rFonts w:hint="eastAsia" w:ascii="宋体" w:hAnsi="宋体" w:eastAsia="宋体" w:cs="宋体"/>
          <w:bCs/>
          <w:color w:val="auto"/>
          <w:sz w:val="22"/>
          <w:szCs w:val="22"/>
          <w:highlight w:val="none"/>
        </w:rPr>
        <w:fldChar w:fldCharType="separate"/>
      </w:r>
      <w:r>
        <w:rPr>
          <w:rFonts w:hint="eastAsia" w:ascii="宋体" w:hAnsi="宋体" w:eastAsia="宋体" w:cs="宋体"/>
          <w:bCs/>
          <w:color w:val="auto"/>
          <w:sz w:val="22"/>
          <w:szCs w:val="22"/>
          <w:highlight w:val="none"/>
        </w:rPr>
        <w:t>CA驱动和申领流程</w:t>
      </w:r>
      <w:r>
        <w:rPr>
          <w:rFonts w:hint="eastAsia" w:ascii="宋体" w:hAnsi="宋体" w:eastAsia="宋体" w:cs="宋体"/>
          <w:bCs/>
          <w:color w:val="auto"/>
          <w:sz w:val="22"/>
          <w:szCs w:val="22"/>
          <w:highlight w:val="none"/>
        </w:rPr>
        <w:fldChar w:fldCharType="end"/>
      </w:r>
      <w:r>
        <w:rPr>
          <w:rFonts w:hint="eastAsia" w:ascii="宋体" w:hAnsi="宋体" w:eastAsia="宋体" w:cs="宋体"/>
          <w:bCs/>
          <w:color w:val="auto"/>
          <w:sz w:val="22"/>
          <w:szCs w:val="22"/>
          <w:highlight w:val="none"/>
        </w:rPr>
        <w:t>”进行查阅。</w:t>
      </w:r>
    </w:p>
    <w:p w14:paraId="13B05A5E">
      <w:pPr>
        <w:spacing w:line="42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90B5353">
      <w:pPr>
        <w:pStyle w:val="3"/>
        <w:spacing w:line="500" w:lineRule="exact"/>
        <w:jc w:val="center"/>
        <w:rPr>
          <w:rFonts w:hint="eastAsia" w:ascii="宋体" w:hAnsi="宋体" w:eastAsia="宋体" w:cs="宋体"/>
          <w:color w:val="auto"/>
          <w:sz w:val="24"/>
          <w:szCs w:val="24"/>
          <w:highlight w:val="none"/>
        </w:rPr>
      </w:pPr>
      <w:bookmarkStart w:id="7" w:name="_Toc12685"/>
      <w:r>
        <w:rPr>
          <w:rFonts w:hint="eastAsia" w:ascii="宋体" w:hAnsi="宋体" w:eastAsia="宋体" w:cs="宋体"/>
          <w:color w:val="auto"/>
          <w:sz w:val="24"/>
          <w:szCs w:val="24"/>
          <w:highlight w:val="none"/>
        </w:rPr>
        <w:t>二、 招标文件</w:t>
      </w:r>
      <w:bookmarkEnd w:id="7"/>
    </w:p>
    <w:p w14:paraId="5EADB066">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招标文件由招标文件目录所列内容及相关资料组成。</w:t>
      </w:r>
    </w:p>
    <w:p w14:paraId="65D7C7A8">
      <w:pPr>
        <w:spacing w:line="440" w:lineRule="exact"/>
        <w:ind w:left="190" w:hanging="190" w:hangingChars="86"/>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招标文件的澄清或修改</w:t>
      </w:r>
    </w:p>
    <w:p w14:paraId="239113B6">
      <w:pPr>
        <w:spacing w:line="44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招标采购单位可以对已发出的招标文件进行必要的澄清或者修改。澄清或者修改的内容可能影响投标文件编制的，招标采购单位应当在投标截止时间至少15日前，以书面形式（公告，下同）通知所有获取招标文件的潜在投标供应商；不足15日的，招标采购单位应当顺延提交投标文件的截止时间。该澄清或修改内容为招标文件的组成部分。</w:t>
      </w:r>
    </w:p>
    <w:p w14:paraId="48685FEA">
      <w:pPr>
        <w:spacing w:line="42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招标代理单位可以视采购的具体情况决定是否延长投标截止时间和开标时间，具体参照2.1条规定。</w:t>
      </w:r>
    </w:p>
    <w:p w14:paraId="1B361FB7">
      <w:pPr>
        <w:pStyle w:val="3"/>
        <w:spacing w:line="500" w:lineRule="exact"/>
        <w:jc w:val="center"/>
        <w:rPr>
          <w:rFonts w:hint="eastAsia" w:ascii="宋体" w:hAnsi="宋体" w:eastAsia="宋体" w:cs="宋体"/>
          <w:color w:val="auto"/>
          <w:sz w:val="24"/>
          <w:szCs w:val="24"/>
          <w:highlight w:val="none"/>
        </w:rPr>
      </w:pPr>
      <w:bookmarkStart w:id="8" w:name="_Toc12884"/>
      <w:r>
        <w:rPr>
          <w:rFonts w:hint="eastAsia" w:ascii="宋体" w:hAnsi="宋体" w:eastAsia="宋体" w:cs="宋体"/>
          <w:color w:val="auto"/>
          <w:sz w:val="24"/>
          <w:szCs w:val="24"/>
          <w:highlight w:val="none"/>
        </w:rPr>
        <w:t>三、 投标文件的编制</w:t>
      </w:r>
      <w:bookmarkEnd w:id="8"/>
    </w:p>
    <w:p w14:paraId="64B639A9">
      <w:pPr>
        <w:spacing w:line="440" w:lineRule="exact"/>
        <w:ind w:left="539" w:hanging="539" w:hanging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  投标供应商应认真阅读招标文件中所有事项、格式、条款和技术规范等。投标供应商没有按照招标文件要求提交全部资料，或者没有仔细阅读招标文件，或者没有对招标文件各个方面做出实质性响应，是投标供应商的风险，由此造成的一切后果由投标供应商自行承担。</w:t>
      </w:r>
    </w:p>
    <w:p w14:paraId="6BF54765">
      <w:pPr>
        <w:spacing w:line="440" w:lineRule="exact"/>
        <w:ind w:left="539" w:hanging="539" w:hangingChars="24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2． </w:t>
      </w:r>
      <w:r>
        <w:rPr>
          <w:rFonts w:hint="eastAsia" w:ascii="宋体" w:hAnsi="宋体" w:eastAsia="宋体" w:cs="宋体"/>
          <w:b/>
          <w:color w:val="auto"/>
          <w:sz w:val="22"/>
          <w:szCs w:val="22"/>
          <w:highlight w:val="none"/>
        </w:rPr>
        <w:t xml:space="preserve"> 投标供应商应保证所提供文件资料的真实性，所有文件资料必须是针对本次投标的。如发现投标单位提供了虚假文件资料，其投标将被拒绝，并自行承担相应的法律责任。</w:t>
      </w:r>
    </w:p>
    <w:p w14:paraId="0DF7BB00">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投标文件组成：</w:t>
      </w:r>
    </w:p>
    <w:p w14:paraId="20957860">
      <w:pPr>
        <w:spacing w:line="420" w:lineRule="exact"/>
        <w:ind w:left="629" w:hanging="629" w:hangingChars="28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投标文件由资格文件、商务技术文件和报价文件三个部分组成：</w:t>
      </w:r>
    </w:p>
    <w:p w14:paraId="1C1BCE7E">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w:t>
      </w:r>
    </w:p>
    <w:p w14:paraId="5F432E49">
      <w:pPr>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（1）营业执照(或事业法人登记证书)（联合体各方均须提供）</w:t>
      </w:r>
    </w:p>
    <w:p w14:paraId="07F9BAF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（2）资格条件承诺函                              （附件五-3）</w:t>
      </w:r>
    </w:p>
    <w:p w14:paraId="14E79A9C">
      <w:pPr>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（3）中小企业声明函或残疾人福利性单位声明函或监狱企业证明（附件五-4、5）（联合体各方均须提供）</w:t>
      </w:r>
    </w:p>
    <w:p w14:paraId="7FB30B99">
      <w:pPr>
        <w:spacing w:line="40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（4）联合体投标协议书（该项仅限于联合体投标提供）</w:t>
      </w:r>
    </w:p>
    <w:p w14:paraId="56D9B692">
      <w:pPr>
        <w:spacing w:line="400" w:lineRule="exact"/>
        <w:ind w:left="657" w:leftChars="208" w:hanging="220" w:hangingChars="1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上述资格条件审查材料有一项不提供或审查不通过的，视为资格审查不合格。</w:t>
      </w:r>
    </w:p>
    <w:p w14:paraId="40F3E84D">
      <w:pPr>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w:t>
      </w:r>
    </w:p>
    <w:p w14:paraId="25E9534A">
      <w:pPr>
        <w:pStyle w:val="9"/>
        <w:tabs>
          <w:tab w:val="left" w:pos="0"/>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（1）投标函                                        （附件一）</w:t>
      </w:r>
    </w:p>
    <w:p w14:paraId="27682D5D">
      <w:pPr>
        <w:pStyle w:val="9"/>
        <w:tabs>
          <w:tab w:val="left" w:pos="0"/>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（2）法定代表人授权书                              （附件五-1）</w:t>
      </w:r>
    </w:p>
    <w:p w14:paraId="590932D9">
      <w:pPr>
        <w:pStyle w:val="9"/>
        <w:tabs>
          <w:tab w:val="left" w:pos="0"/>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（3）供应商基本情况表                              （附件五-2）</w:t>
      </w:r>
    </w:p>
    <w:p w14:paraId="3A3E8DF2">
      <w:pPr>
        <w:pStyle w:val="9"/>
        <w:tabs>
          <w:tab w:val="left" w:pos="0"/>
          <w:tab w:val="left" w:pos="540"/>
        </w:tabs>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（4）诚信投标承诺书                                （附件九）</w:t>
      </w:r>
    </w:p>
    <w:p w14:paraId="78DE9A36">
      <w:pPr>
        <w:spacing w:line="400" w:lineRule="exact"/>
        <w:ind w:left="620" w:hanging="620" w:hangingChars="282"/>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（5）技术、商务条款偏离表                          （附件四-1、2）</w:t>
      </w:r>
    </w:p>
    <w:p w14:paraId="1E77F2D7">
      <w:pPr>
        <w:spacing w:line="40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（6）技术方案（按“评标细则技术部分”相关评分内容逐项列出）</w:t>
      </w:r>
    </w:p>
    <w:p w14:paraId="5FE2DC70">
      <w:pPr>
        <w:spacing w:line="400" w:lineRule="exact"/>
        <w:textAlignment w:val="baseline"/>
        <w:rPr>
          <w:rFonts w:hint="eastAsia" w:ascii="宋体" w:hAnsi="宋体" w:eastAsia="宋体" w:cs="宋体"/>
          <w:color w:val="auto"/>
          <w:highlight w:val="none"/>
        </w:rPr>
      </w:pPr>
      <w:r>
        <w:rPr>
          <w:rFonts w:hint="eastAsia" w:ascii="宋体" w:hAnsi="宋体" w:eastAsia="宋体" w:cs="宋体"/>
          <w:color w:val="auto"/>
          <w:sz w:val="22"/>
          <w:szCs w:val="22"/>
          <w:highlight w:val="none"/>
        </w:rPr>
        <w:t>（7）项目组织实施方案</w:t>
      </w:r>
    </w:p>
    <w:p w14:paraId="43B695B6">
      <w:pPr>
        <w:spacing w:line="40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（8）项目组人员配备情况</w:t>
      </w:r>
    </w:p>
    <w:p w14:paraId="63E6677C">
      <w:pPr>
        <w:widowControl/>
        <w:numPr>
          <w:ilvl w:val="1"/>
          <w:numId w:val="4"/>
        </w:numPr>
        <w:tabs>
          <w:tab w:val="left" w:pos="540"/>
        </w:tabs>
        <w:spacing w:line="400" w:lineRule="exact"/>
        <w:ind w:left="493" w:hanging="28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项目负责人情况表                               （附件六）</w:t>
      </w:r>
    </w:p>
    <w:p w14:paraId="76ABDC98">
      <w:pPr>
        <w:widowControl/>
        <w:numPr>
          <w:ilvl w:val="1"/>
          <w:numId w:val="4"/>
        </w:numPr>
        <w:tabs>
          <w:tab w:val="left" w:pos="540"/>
        </w:tabs>
        <w:spacing w:line="400" w:lineRule="exact"/>
        <w:ind w:left="493" w:hanging="283"/>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项目组人员一览表                               （附件七）</w:t>
      </w:r>
    </w:p>
    <w:p w14:paraId="3FD4098F">
      <w:pPr>
        <w:spacing w:line="400" w:lineRule="exact"/>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（9）服务保障能力</w:t>
      </w:r>
    </w:p>
    <w:p w14:paraId="137E8850">
      <w:pPr>
        <w:spacing w:line="400" w:lineRule="exact"/>
        <w:textAlignment w:val="baseline"/>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（10）</w:t>
      </w:r>
      <w:r>
        <w:rPr>
          <w:rFonts w:hint="eastAsia" w:ascii="宋体" w:hAnsi="宋体" w:eastAsia="宋体" w:cs="宋体"/>
          <w:color w:val="auto"/>
          <w:kern w:val="0"/>
          <w:sz w:val="22"/>
          <w:szCs w:val="22"/>
          <w:highlight w:val="none"/>
          <w:lang w:bidi="ar"/>
        </w:rPr>
        <w:t>投标供应商综合实力</w:t>
      </w:r>
    </w:p>
    <w:p w14:paraId="1C4376DD">
      <w:pPr>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（11）投标供应商业绩                                （附件八）</w:t>
      </w:r>
    </w:p>
    <w:p w14:paraId="6E30495C">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（12）单位简介及供应商认为需要提供的其他相关资料</w:t>
      </w:r>
    </w:p>
    <w:p w14:paraId="7A9BFAF0">
      <w:pPr>
        <w:spacing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（三）报价文件</w:t>
      </w:r>
    </w:p>
    <w:p w14:paraId="4B50BB83">
      <w:pPr>
        <w:tabs>
          <w:tab w:val="left" w:pos="5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（1）投标报价一览表                                   （附件二）</w:t>
      </w:r>
    </w:p>
    <w:p w14:paraId="54CA56F5">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（2）投标分项报价表                                   （附件三）</w:t>
      </w:r>
    </w:p>
    <w:p w14:paraId="10EFAB86">
      <w:pPr>
        <w:spacing w:line="440" w:lineRule="exact"/>
        <w:ind w:left="330" w:hanging="330" w:hanging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投标文件格式</w:t>
      </w:r>
    </w:p>
    <w:p w14:paraId="5D58F6E9">
      <w:pPr>
        <w:spacing w:line="440" w:lineRule="exact"/>
        <w:ind w:left="525" w:left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投标供应商应根据招标文件中所提供的格式，内容按顺序填写并制作投标文件。</w:t>
      </w:r>
      <w:r>
        <w:rPr>
          <w:rFonts w:hint="eastAsia" w:ascii="宋体" w:hAnsi="宋体" w:eastAsia="宋体" w:cs="宋体"/>
          <w:b/>
          <w:color w:val="auto"/>
          <w:sz w:val="22"/>
          <w:szCs w:val="22"/>
          <w:highlight w:val="none"/>
        </w:rPr>
        <w:t>任何未按招标文件要求制作投标文件均可能会导致对其不利的评定，该风险由投标供应商自行承担。</w:t>
      </w:r>
    </w:p>
    <w:p w14:paraId="73DAED9A">
      <w:pPr>
        <w:tabs>
          <w:tab w:val="left" w:pos="-180"/>
          <w:tab w:val="left" w:pos="180"/>
          <w:tab w:val="left" w:pos="360"/>
        </w:tabs>
        <w:spacing w:line="440" w:lineRule="exact"/>
        <w:ind w:left="663" w:hanging="663" w:hangingChars="3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4．  投标报价</w:t>
      </w:r>
    </w:p>
    <w:p w14:paraId="1A749BC6">
      <w:pPr>
        <w:pStyle w:val="10"/>
        <w:spacing w:line="440" w:lineRule="exact"/>
        <w:ind w:left="534" w:leftChars="4" w:hanging="526" w:hangingChars="238"/>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4.1 </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投标报价是</w:t>
      </w:r>
      <w:r>
        <w:rPr>
          <w:rFonts w:hint="eastAsia" w:ascii="宋体" w:hAnsi="宋体" w:eastAsia="宋体" w:cs="宋体"/>
          <w:b/>
          <w:color w:val="auto"/>
          <w:sz w:val="22"/>
          <w:highlight w:val="none"/>
        </w:rPr>
        <w:t>指供应商为正确地完全履行采购内容及要求的价格体现，包括各项活动任务的策划、组织、管理、实施，以及人员费用、设施设备使用费用、交通食宿费用、会场租赁、会场布置、安全措施、活动邀请、媒体宣传推广、资料印制、不可预见费用、企业管理费、利润、税金、</w:t>
      </w:r>
      <w:r>
        <w:rPr>
          <w:rFonts w:hint="eastAsia" w:ascii="宋体" w:hAnsi="宋体" w:eastAsia="宋体" w:cs="宋体"/>
          <w:b/>
          <w:color w:val="auto"/>
          <w:sz w:val="22"/>
          <w:szCs w:val="22"/>
          <w:highlight w:val="none"/>
        </w:rPr>
        <w:t>项目履约验收费用、</w:t>
      </w:r>
      <w:r>
        <w:rPr>
          <w:rFonts w:hint="eastAsia" w:ascii="宋体" w:hAnsi="宋体" w:eastAsia="宋体" w:cs="宋体"/>
          <w:b/>
          <w:color w:val="auto"/>
          <w:sz w:val="22"/>
          <w:highlight w:val="none"/>
        </w:rPr>
        <w:t>招标代理服务费及处理一切伤亡事故等完成合同所需的一切本身和不可或缺的所有工作开支、政策性文件规定及合同包含的所有风险、责任等各项全部费用。</w:t>
      </w:r>
    </w:p>
    <w:p w14:paraId="2046C806">
      <w:pPr>
        <w:pStyle w:val="10"/>
        <w:spacing w:line="440" w:lineRule="exact"/>
        <w:ind w:left="531" w:leftChars="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4.2  </w:t>
      </w:r>
      <w:r>
        <w:rPr>
          <w:rFonts w:hint="eastAsia" w:ascii="宋体" w:hAnsi="宋体" w:eastAsia="宋体" w:cs="宋体"/>
          <w:color w:val="auto"/>
          <w:sz w:val="22"/>
          <w:szCs w:val="22"/>
          <w:highlight w:val="none"/>
          <w:u w:val="single"/>
        </w:rPr>
        <w:t>投标供应商必须按第三部分附件中的投标报价一览表、投标分项报价表（均统一格式）内容填写单价、合价和总价，并由法定代表人或授权代表签署。</w:t>
      </w:r>
    </w:p>
    <w:p w14:paraId="7D9022A1">
      <w:pPr>
        <w:pStyle w:val="10"/>
        <w:ind w:left="531" w:leftChars="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本次投标均以人民币报价。</w:t>
      </w:r>
    </w:p>
    <w:p w14:paraId="2AF2B57F">
      <w:pPr>
        <w:tabs>
          <w:tab w:val="left" w:pos="-180"/>
          <w:tab w:val="left" w:pos="180"/>
          <w:tab w:val="left" w:pos="360"/>
        </w:tabs>
        <w:spacing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4.4▲</w:t>
      </w:r>
      <w:r>
        <w:rPr>
          <w:rFonts w:hint="eastAsia" w:ascii="宋体" w:hAnsi="宋体" w:eastAsia="宋体" w:cs="宋体"/>
          <w:color w:val="auto"/>
          <w:sz w:val="22"/>
          <w:szCs w:val="22"/>
          <w:highlight w:val="none"/>
          <w:u w:val="single"/>
        </w:rPr>
        <w:t>本项目不接受任何选择报价，对任何货物或服务只允许一个报价。</w:t>
      </w:r>
    </w:p>
    <w:p w14:paraId="177D48B7">
      <w:pPr>
        <w:tabs>
          <w:tab w:val="left" w:pos="-180"/>
          <w:tab w:val="left" w:pos="180"/>
          <w:tab w:val="left" w:pos="360"/>
        </w:tabs>
        <w:spacing w:line="440" w:lineRule="exact"/>
        <w:ind w:left="539" w:hanging="539" w:hanging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  招标采购单位要求分类报价是为了方便评标，但在任何情况下不限制采购人以其认为最合适的条款、条件签订合同的权利。</w:t>
      </w:r>
    </w:p>
    <w:p w14:paraId="0AD253FB">
      <w:pPr>
        <w:tabs>
          <w:tab w:val="left" w:pos="-180"/>
          <w:tab w:val="left" w:pos="180"/>
          <w:tab w:val="left" w:pos="360"/>
        </w:tabs>
        <w:spacing w:line="440" w:lineRule="exact"/>
        <w:ind w:left="539" w:leftChars="-6" w:hanging="552" w:hangingChars="2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4.6  投标价报出后，投标供应商不得以任何理由予以变更。任何包含价格调整的要求，将被认为是非实质性响应投标而予以拒绝。</w:t>
      </w:r>
    </w:p>
    <w:p w14:paraId="4B44DD87">
      <w:pPr>
        <w:tabs>
          <w:tab w:val="left" w:pos="-180"/>
          <w:tab w:val="left" w:pos="180"/>
          <w:tab w:val="left" w:pos="360"/>
        </w:tabs>
        <w:spacing w:line="440" w:lineRule="exact"/>
        <w:ind w:left="663" w:hanging="663" w:hangingChars="3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4.7  最低报价不能作为中标的保证。</w:t>
      </w:r>
    </w:p>
    <w:p w14:paraId="4DB788BF">
      <w:pPr>
        <w:spacing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5．  投标有效期</w:t>
      </w:r>
    </w:p>
    <w:p w14:paraId="3513655D">
      <w:pPr>
        <w:spacing w:line="440" w:lineRule="exact"/>
        <w:ind w:left="663" w:hanging="663" w:hangingChars="3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 xml:space="preserve">5.1  </w:t>
      </w:r>
      <w:r>
        <w:rPr>
          <w:rFonts w:hint="eastAsia" w:ascii="宋体" w:hAnsi="宋体" w:eastAsia="宋体" w:cs="宋体"/>
          <w:b/>
          <w:color w:val="auto"/>
          <w:sz w:val="22"/>
          <w:szCs w:val="22"/>
          <w:highlight w:val="none"/>
          <w:u w:val="single"/>
        </w:rPr>
        <w:t>▲自开标之日起</w:t>
      </w:r>
      <w:r>
        <w:rPr>
          <w:rFonts w:hint="eastAsia" w:ascii="宋体" w:hAnsi="宋体" w:eastAsia="宋体" w:cs="宋体"/>
          <w:b/>
          <w:bCs/>
          <w:color w:val="auto"/>
          <w:sz w:val="22"/>
          <w:szCs w:val="22"/>
          <w:highlight w:val="none"/>
          <w:u w:val="single"/>
        </w:rPr>
        <w:t>90</w:t>
      </w:r>
      <w:r>
        <w:rPr>
          <w:rFonts w:hint="eastAsia" w:ascii="宋体" w:hAnsi="宋体" w:eastAsia="宋体" w:cs="宋体"/>
          <w:b/>
          <w:color w:val="auto"/>
          <w:sz w:val="22"/>
          <w:szCs w:val="22"/>
          <w:highlight w:val="none"/>
          <w:u w:val="single"/>
        </w:rPr>
        <w:t>天内投标应保持有效。</w:t>
      </w:r>
    </w:p>
    <w:p w14:paraId="4DAD310C">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14:paraId="554C2367">
      <w:pPr>
        <w:spacing w:line="420" w:lineRule="exact"/>
        <w:ind w:left="425" w:leftChars="3" w:hanging="419" w:hangingChars="181"/>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5.3 在投标有效期内，投标供应商不能撤销投标文件，强行撤销投标文件的，应按预算（或最高限价）金额的2%赔偿对采购代理机构及采购人造成的损失。</w:t>
      </w:r>
    </w:p>
    <w:p w14:paraId="50710C26">
      <w:pPr>
        <w:spacing w:line="440" w:lineRule="exact"/>
        <w:ind w:left="663" w:hanging="663" w:hangingChars="3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  投标文件的编制</w:t>
      </w:r>
    </w:p>
    <w:p w14:paraId="5FCC02CB">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本项目通过“政府采购云平台（www.zcygov.cn）” 实行在线投标响应（即电子投标）。投标供应商应通过“政采云电子交易客户端”，并按照本招标文件和“政府采购云平台”的要求编制并加密投标文件。供应商未按规定加密的投标文件，“政府采购云平台”将予以拒收。</w:t>
      </w:r>
    </w:p>
    <w:p w14:paraId="70978E93">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投标供应商应当按照本章节“投标文件组成”规定的内容及顺序在“政采云电子交易客户端”编制投标文件。其中资格文件和商务技术文件中不得出现本项目投标报价，如因投标供应商原因提前泄露投标报价，自行承担责任。</w:t>
      </w:r>
    </w:p>
    <w:p w14:paraId="20DF2596">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招标文件“第三部分 附件”中有提供格式的，投标供应商须参照格式进行编制（格式中要求提供相关证明材料的还需后附相关证明材料），</w:t>
      </w:r>
      <w:r>
        <w:rPr>
          <w:rFonts w:hint="eastAsia" w:ascii="宋体" w:hAnsi="宋体" w:eastAsia="宋体" w:cs="宋体"/>
          <w:color w:val="auto"/>
          <w:sz w:val="22"/>
          <w:highlight w:val="none"/>
        </w:rPr>
        <w:t>并按格式要求在指定位置加盖单位公章（或CA电子公章）以及供应商代表签字，否则视为未提供；招标文件“第三部分 附件”未提供格式的，请各投标单位自行拟定格式，并加盖单位公章（或CA电子公章）以及供应商代表签字，否则视为未提供。</w:t>
      </w:r>
    </w:p>
    <w:p w14:paraId="49F37956">
      <w:pPr>
        <w:spacing w:line="440" w:lineRule="exact"/>
        <w:ind w:left="523" w:leftChars="3" w:hanging="517" w:hangingChars="235"/>
        <w:rPr>
          <w:rFonts w:hint="eastAsia" w:ascii="宋体" w:hAnsi="宋体" w:eastAsia="宋体" w:cs="宋体"/>
          <w:color w:val="auto"/>
          <w:highlight w:val="none"/>
        </w:rPr>
      </w:pPr>
      <w:r>
        <w:rPr>
          <w:rFonts w:hint="eastAsia" w:ascii="宋体" w:hAnsi="宋体" w:eastAsia="宋体" w:cs="宋体"/>
          <w:color w:val="auto"/>
          <w:sz w:val="22"/>
          <w:highlight w:val="none"/>
        </w:rPr>
        <w:t xml:space="preserve">6.4  </w:t>
      </w:r>
      <w:r>
        <w:rPr>
          <w:rFonts w:hint="eastAsia" w:ascii="宋体" w:hAnsi="宋体" w:eastAsia="宋体" w:cs="宋体"/>
          <w:color w:val="auto"/>
          <w:sz w:val="22"/>
          <w:highlight w:val="none"/>
          <w:u w:val="single"/>
        </w:rPr>
        <w:t>商务技术文件和报价文件的封面应清楚写明“商务技术文件或报价文件”字样、投标项目名称、编号、供应商名称、日期，并加盖单位公章（或CA电子公章）。</w:t>
      </w:r>
    </w:p>
    <w:p w14:paraId="00CD1BA5">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6.5  </w:t>
      </w:r>
      <w:r>
        <w:rPr>
          <w:rFonts w:hint="eastAsia" w:ascii="宋体" w:hAnsi="宋体" w:eastAsia="宋体" w:cs="宋体"/>
          <w:color w:val="auto"/>
          <w:sz w:val="22"/>
          <w:szCs w:val="22"/>
          <w:highlight w:val="none"/>
          <w:u w:val="single"/>
        </w:rPr>
        <w:t>在电子投标文件制作过程中投标文件编制内容不完整、编排混乱，未编有目录链接，或没有做好系统中每一评分项与投标文件对应内容关联的，导致投标文件被误读、漏读或者查找不到相关内容的，是投标供应商的责任，后果由投标供应商负责。</w:t>
      </w:r>
    </w:p>
    <w:p w14:paraId="2F4C870F">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6.6  投标文件字迹模糊、潦草或表述不清所引起的后果由投标供应商负责。</w:t>
      </w:r>
    </w:p>
    <w:p w14:paraId="2A7E80C3">
      <w:pPr>
        <w:tabs>
          <w:tab w:val="left" w:pos="540"/>
        </w:tabs>
        <w:overflowPunct w:val="0"/>
        <w:snapToGrid w:val="0"/>
        <w:spacing w:line="400" w:lineRule="exact"/>
        <w:ind w:left="565" w:hanging="565" w:hangingChars="257"/>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6.7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14:paraId="74832817">
      <w:pPr>
        <w:tabs>
          <w:tab w:val="left" w:pos="540"/>
        </w:tabs>
        <w:overflowPunct w:val="0"/>
        <w:snapToGrid w:val="0"/>
        <w:spacing w:line="400" w:lineRule="exact"/>
        <w:ind w:left="565" w:hanging="565" w:hangingChars="257"/>
        <w:rPr>
          <w:rFonts w:hint="eastAsia" w:ascii="宋体" w:hAnsi="宋体" w:eastAsia="宋体" w:cs="宋体"/>
          <w:color w:val="auto"/>
          <w:sz w:val="22"/>
          <w:highlight w:val="none"/>
          <w:u w:val="single"/>
        </w:rPr>
      </w:pPr>
      <w:r>
        <w:rPr>
          <w:rFonts w:hint="eastAsia" w:ascii="宋体" w:hAnsi="宋体" w:eastAsia="宋体" w:cs="宋体"/>
          <w:color w:val="auto"/>
          <w:kern w:val="0"/>
          <w:sz w:val="22"/>
          <w:szCs w:val="22"/>
          <w:highlight w:val="none"/>
        </w:rPr>
        <w:t xml:space="preserve">6.8  </w:t>
      </w:r>
      <w:r>
        <w:rPr>
          <w:rFonts w:hint="eastAsia" w:ascii="宋体" w:hAnsi="宋体" w:eastAsia="宋体" w:cs="宋体"/>
          <w:color w:val="auto"/>
          <w:kern w:val="0"/>
          <w:sz w:val="22"/>
          <w:highlight w:val="none"/>
          <w:u w:val="single"/>
        </w:rPr>
        <w:t>本招标文件里“评分内容”中要求提供的各种证书、证件、证明资料须原件备查，即投标供应商在投标时不需要提供原件，如采购人、招标代理机构或评委会在后续环节中需要对相关资料原件进行真实性核查时，则投标供应商必须按要求提交相关原件及其他要求提供的辅助证明材料，如供应商不能按要求提供相关原件及其他要求提供的辅助证明材料以证明其资料真实性的，将做出对其不利的认定（包括取消其投标或中标资格），后果由</w:t>
      </w:r>
      <w:r>
        <w:rPr>
          <w:rFonts w:hint="eastAsia" w:ascii="宋体" w:hAnsi="宋体" w:eastAsia="宋体" w:cs="宋体"/>
          <w:color w:val="auto"/>
          <w:sz w:val="22"/>
          <w:highlight w:val="none"/>
          <w:u w:val="single"/>
        </w:rPr>
        <w:t>投标供应商负责。</w:t>
      </w:r>
    </w:p>
    <w:p w14:paraId="536BEC29">
      <w:pPr>
        <w:tabs>
          <w:tab w:val="left" w:pos="540"/>
        </w:tabs>
        <w:overflowPunct w:val="0"/>
        <w:snapToGrid w:val="0"/>
        <w:spacing w:line="400" w:lineRule="exact"/>
        <w:ind w:left="565" w:hanging="565" w:hangingChars="257"/>
        <w:rPr>
          <w:rFonts w:hint="eastAsia" w:ascii="宋体" w:hAnsi="宋体" w:eastAsia="宋体" w:cs="宋体"/>
          <w:color w:val="auto"/>
          <w:sz w:val="22"/>
          <w:highlight w:val="none"/>
          <w:u w:val="single"/>
        </w:rPr>
      </w:pPr>
      <w:r>
        <w:rPr>
          <w:rFonts w:hint="eastAsia" w:ascii="宋体" w:hAnsi="宋体" w:eastAsia="宋体" w:cs="宋体"/>
          <w:color w:val="auto"/>
          <w:kern w:val="0"/>
          <w:sz w:val="22"/>
          <w:szCs w:val="22"/>
          <w:highlight w:val="none"/>
        </w:rPr>
        <w:t>6.9  本招标文件中要求提供的材料复印件与扫描件效力等同。</w:t>
      </w:r>
    </w:p>
    <w:p w14:paraId="174D77D2">
      <w:pPr>
        <w:spacing w:line="440" w:lineRule="exact"/>
        <w:ind w:left="525" w:leftChars="3" w:hanging="519" w:hangingChars="23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  投标文件的签章</w:t>
      </w:r>
    </w:p>
    <w:p w14:paraId="0C858FD6">
      <w:pPr>
        <w:spacing w:line="440" w:lineRule="exact"/>
        <w:ind w:left="424" w:leftChars="3"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封面和内部有要求盖章或签字的地方应按要求加盖投标供应商的单位公章（或CA电子公章，两者具有同等效力，下同）、法定代表人签章（或CA电子公章，两者具有同等效力，下同）、投标供应商代表签字。电子签章操作指南详见采购公告附件《供应商项目采购-电子招投标操作指南》。</w:t>
      </w:r>
    </w:p>
    <w:p w14:paraId="39BA970A">
      <w:pPr>
        <w:spacing w:line="440" w:lineRule="exact"/>
        <w:ind w:left="424" w:leftChars="3"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 投标文件不得涂改，若有修改错漏处，须加盖单位公章（或CA电子公章）或者投标供应商代表签字。</w:t>
      </w:r>
    </w:p>
    <w:p w14:paraId="3A0495C2">
      <w:pPr>
        <w:spacing w:line="440" w:lineRule="exact"/>
        <w:ind w:left="525" w:leftChars="3" w:hanging="519" w:hangingChars="23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  投标文件的形式</w:t>
      </w:r>
    </w:p>
    <w:p w14:paraId="4F0F5C8D">
      <w:pPr>
        <w:spacing w:line="440" w:lineRule="exact"/>
        <w:ind w:left="424" w:leftChars="3"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8.1投标文件的形式：电子投标文件包括“电子加密投标文件”和“备份投标文件”，在投标文件编制完成后同时生成。其中备份投标文件不作为强制要求提供。</w:t>
      </w:r>
    </w:p>
    <w:p w14:paraId="66D38A73">
      <w:pPr>
        <w:spacing w:line="440" w:lineRule="exact"/>
        <w:ind w:left="424" w:leftChars="3"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 电子加密投标文件：电子加密投标文件是指通过“政采云电子交易客户端”完成投标文件编制后生成并加密的数据电文形式的投标文件。</w:t>
      </w:r>
    </w:p>
    <w:p w14:paraId="4DB8419E">
      <w:pPr>
        <w:spacing w:line="440" w:lineRule="exact"/>
        <w:ind w:left="424" w:leftChars="3"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 备份投标文件：备份投标文件是指与电子加密投标文件同时生成的数据电文形式的电子文件（备份标书），其他方式编制的备份投标文件视为无效的备份投标文件。</w:t>
      </w:r>
    </w:p>
    <w:p w14:paraId="76CD92AC">
      <w:pPr>
        <w:spacing w:line="440" w:lineRule="exact"/>
        <w:ind w:left="525" w:leftChars="3" w:hanging="519" w:hangingChars="23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  投标文件的份数</w:t>
      </w:r>
    </w:p>
    <w:p w14:paraId="08B5210D">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 电子加密投标文件：一份，在线上传递交。</w:t>
      </w:r>
    </w:p>
    <w:p w14:paraId="00A8E3D0">
      <w:pPr>
        <w:spacing w:line="440" w:lineRule="exact"/>
        <w:ind w:left="424" w:leftChars="3" w:hanging="418" w:hanging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 备份投标文件：一份，以介质（</w:t>
      </w:r>
      <w:r>
        <w:rPr>
          <w:rFonts w:hint="eastAsia" w:ascii="宋体" w:hAnsi="宋体" w:eastAsia="宋体" w:cs="宋体"/>
          <w:bCs/>
          <w:color w:val="auto"/>
          <w:sz w:val="22"/>
          <w:szCs w:val="22"/>
          <w:highlight w:val="none"/>
        </w:rPr>
        <w:t>U盘</w:t>
      </w:r>
      <w:r>
        <w:rPr>
          <w:rFonts w:hint="eastAsia" w:ascii="宋体" w:hAnsi="宋体" w:eastAsia="宋体" w:cs="宋体"/>
          <w:color w:val="auto"/>
          <w:sz w:val="22"/>
          <w:szCs w:val="22"/>
          <w:highlight w:val="none"/>
        </w:rPr>
        <w:t>）存储形式通过现场方式或邮寄（EMS、顺丰）方式递交采购代理机构。</w:t>
      </w:r>
    </w:p>
    <w:p w14:paraId="18266E67">
      <w:pPr>
        <w:spacing w:line="440" w:lineRule="exact"/>
        <w:ind w:left="525" w:leftChars="3" w:hanging="519" w:hangingChars="23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 投标文件的效力</w:t>
      </w:r>
    </w:p>
    <w:p w14:paraId="397DF1C4">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10.1投标文件的启用，按先后顺位分别为电子加密投标文件、备份投标文件。供应商不上传或提供电子加密投标文件的，投标无效。</w:t>
      </w:r>
    </w:p>
    <w:p w14:paraId="6DA06E9F">
      <w:pPr>
        <w:spacing w:line="440" w:lineRule="exact"/>
        <w:ind w:left="523" w:leftChars="3"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10.2电子加密投标文件与备份投标文件的内容应完全一致。如因电子加密投标文件解密异常，才能启用备份投标文件，备份投标文件一旦启用，则电子加密投标文件即为失效。</w:t>
      </w:r>
    </w:p>
    <w:p w14:paraId="594994A6">
      <w:pPr>
        <w:pStyle w:val="3"/>
        <w:spacing w:line="500" w:lineRule="exact"/>
        <w:jc w:val="center"/>
        <w:rPr>
          <w:rFonts w:hint="eastAsia" w:ascii="宋体" w:hAnsi="宋体" w:eastAsia="宋体" w:cs="宋体"/>
          <w:color w:val="auto"/>
          <w:sz w:val="24"/>
          <w:szCs w:val="24"/>
          <w:highlight w:val="none"/>
        </w:rPr>
      </w:pPr>
      <w:bookmarkStart w:id="9" w:name="_Toc33287506"/>
      <w:bookmarkStart w:id="10" w:name="_Toc35186948"/>
      <w:bookmarkStart w:id="11" w:name="_Toc34949231"/>
      <w:bookmarkStart w:id="12" w:name="_Toc31622"/>
      <w:bookmarkStart w:id="13" w:name="_Toc35974567"/>
      <w:bookmarkStart w:id="14" w:name="_Toc35189569"/>
      <w:r>
        <w:rPr>
          <w:rFonts w:hint="eastAsia" w:ascii="宋体" w:hAnsi="宋体" w:eastAsia="宋体" w:cs="宋体"/>
          <w:color w:val="auto"/>
          <w:sz w:val="24"/>
          <w:szCs w:val="24"/>
          <w:highlight w:val="none"/>
        </w:rPr>
        <w:t>四、 投</w:t>
      </w:r>
      <w:bookmarkEnd w:id="9"/>
      <w:r>
        <w:rPr>
          <w:rFonts w:hint="eastAsia" w:ascii="宋体" w:hAnsi="宋体" w:eastAsia="宋体" w:cs="宋体"/>
          <w:color w:val="auto"/>
          <w:sz w:val="24"/>
          <w:szCs w:val="24"/>
          <w:highlight w:val="none"/>
        </w:rPr>
        <w:t>标</w:t>
      </w:r>
      <w:bookmarkEnd w:id="10"/>
      <w:bookmarkEnd w:id="11"/>
      <w:bookmarkEnd w:id="12"/>
      <w:bookmarkEnd w:id="13"/>
      <w:bookmarkEnd w:id="14"/>
    </w:p>
    <w:p w14:paraId="384205F1">
      <w:pPr>
        <w:spacing w:line="42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电子加密投标文件的上传、递交</w:t>
      </w:r>
    </w:p>
    <w:p w14:paraId="67BCAA70">
      <w:pPr>
        <w:spacing w:line="42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 投标供应商应在投标截止时间前将电子加密投标文件成功上传递交至“政府采购云平台”，</w:t>
      </w:r>
      <w:r>
        <w:rPr>
          <w:rFonts w:hint="eastAsia" w:ascii="宋体" w:hAnsi="宋体" w:eastAsia="宋体" w:cs="宋体"/>
          <w:color w:val="auto"/>
          <w:sz w:val="22"/>
          <w:szCs w:val="22"/>
          <w:highlight w:val="none"/>
        </w:rPr>
        <w:t>在投标截止时间后上传提交投标文件的，将被政采云平台拒绝，</w:t>
      </w:r>
      <w:r>
        <w:rPr>
          <w:rFonts w:hint="eastAsia" w:ascii="宋体" w:hAnsi="宋体" w:eastAsia="宋体" w:cs="宋体"/>
          <w:bCs/>
          <w:color w:val="auto"/>
          <w:sz w:val="22"/>
          <w:szCs w:val="22"/>
          <w:highlight w:val="none"/>
        </w:rPr>
        <w:t>投标无效</w:t>
      </w:r>
      <w:r>
        <w:rPr>
          <w:rFonts w:hint="eastAsia" w:ascii="宋体" w:hAnsi="宋体" w:eastAsia="宋体" w:cs="宋体"/>
          <w:color w:val="auto"/>
          <w:sz w:val="22"/>
          <w:szCs w:val="22"/>
          <w:highlight w:val="none"/>
        </w:rPr>
        <w:t>。</w:t>
      </w:r>
    </w:p>
    <w:p w14:paraId="1E79AB17">
      <w:pPr>
        <w:spacing w:line="42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 电子加密投标文件成功上传递交后，供应商可自行打印投标文件接收回执。</w:t>
      </w:r>
    </w:p>
    <w:p w14:paraId="5F6CEE60">
      <w:pPr>
        <w:spacing w:line="42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备份投标文件的密封、递交</w:t>
      </w:r>
    </w:p>
    <w:p w14:paraId="0E3101A9">
      <w:pPr>
        <w:spacing w:line="440" w:lineRule="exact"/>
        <w:ind w:left="424" w:leftChars="3" w:hanging="418" w:hangingChars="190"/>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 xml:space="preserve">2.1 </w:t>
      </w:r>
      <w:r>
        <w:rPr>
          <w:rFonts w:hint="eastAsia" w:ascii="宋体" w:hAnsi="宋体" w:eastAsia="宋体" w:cs="宋体"/>
          <w:b/>
          <w:bCs/>
          <w:color w:val="auto"/>
          <w:sz w:val="22"/>
          <w:szCs w:val="22"/>
          <w:highlight w:val="none"/>
        </w:rPr>
        <w:t>备份投标文件的密封及标记</w:t>
      </w:r>
    </w:p>
    <w:p w14:paraId="0D7F3991">
      <w:pPr>
        <w:spacing w:line="420" w:lineRule="exact"/>
        <w:ind w:left="420"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备份投标文件应当包装密封，封口处贴上封条，启封处加盖投标供应商法人公章并由法定代表人或授权代表签字，并在封皮上标注投标项目名称、编号、投标供应商名称、地址、联系人、联系电话、邮政编码，注明“备份投标文件”字样。如果未按上述要求密封及标记，招标采购单位对备份投标文件的误投和提前启封不负责任。</w:t>
      </w:r>
    </w:p>
    <w:p w14:paraId="3C49DA6A">
      <w:pPr>
        <w:spacing w:line="440" w:lineRule="exact"/>
        <w:ind w:left="424" w:leftChars="3" w:hanging="418" w:hangingChars="19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 </w:t>
      </w:r>
      <w:r>
        <w:rPr>
          <w:rFonts w:hint="eastAsia" w:ascii="宋体" w:hAnsi="宋体" w:eastAsia="宋体" w:cs="宋体"/>
          <w:b/>
          <w:bCs/>
          <w:color w:val="auto"/>
          <w:sz w:val="22"/>
          <w:szCs w:val="22"/>
          <w:highlight w:val="none"/>
        </w:rPr>
        <w:t>备份投标文件的递交</w:t>
      </w:r>
    </w:p>
    <w:p w14:paraId="6FB481A9">
      <w:pPr>
        <w:spacing w:line="440" w:lineRule="exact"/>
        <w:ind w:left="565" w:hanging="565" w:hangingChars="257"/>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（1）投标供应商在“政府采购云平台”完成电子加密投标文件的上传递交同时，还可以在</w:t>
      </w:r>
      <w:r>
        <w:rPr>
          <w:rFonts w:hint="eastAsia" w:ascii="宋体" w:hAnsi="宋体" w:eastAsia="宋体" w:cs="宋体"/>
          <w:color w:val="auto"/>
          <w:sz w:val="22"/>
          <w:szCs w:val="22"/>
          <w:highlight w:val="none"/>
        </w:rPr>
        <w:t>投标截止前一日以现场方式（评标地点）或邮寄（通过EMS、顺丰寄至邮寄地址）方式</w:t>
      </w:r>
      <w:r>
        <w:rPr>
          <w:rFonts w:hint="eastAsia" w:ascii="宋体" w:hAnsi="宋体" w:eastAsia="宋体" w:cs="宋体"/>
          <w:bCs/>
          <w:color w:val="auto"/>
          <w:sz w:val="22"/>
          <w:szCs w:val="22"/>
          <w:highlight w:val="none"/>
        </w:rPr>
        <w:t>递交以介质（U盘）存储的备份投标文件</w:t>
      </w:r>
      <w:r>
        <w:rPr>
          <w:rFonts w:hint="eastAsia" w:ascii="宋体" w:hAnsi="宋体" w:eastAsia="宋体" w:cs="宋体"/>
          <w:color w:val="auto"/>
          <w:sz w:val="22"/>
          <w:szCs w:val="22"/>
          <w:highlight w:val="none"/>
        </w:rPr>
        <w:t>。</w:t>
      </w:r>
    </w:p>
    <w:p w14:paraId="23E3F26A">
      <w:pPr>
        <w:spacing w:line="440" w:lineRule="exact"/>
        <w:ind w:left="565" w:hanging="565" w:hangingChars="257"/>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rPr>
        <w:t>采购代理机构工作人员将做好备份投标文件的签收手续，明确备份投标文件的提交时间、份数、提交人等信息。没有密封包装或者逾期送达至指定地点的备份投标文件将不予接收。因密封不严、标记不明而造成过早启封、失密等情况，采购代理机构概不负责。</w:t>
      </w:r>
    </w:p>
    <w:p w14:paraId="4EE373FA">
      <w:pPr>
        <w:spacing w:line="440" w:lineRule="exact"/>
        <w:ind w:left="565" w:hanging="565" w:hangingChars="257"/>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（3）采用EMS、顺丰邮寄递交备份投标文件的，应充分考虑邮寄时间，送达时间不迟于投标截止前一日17点，具体以采购代理机构工作人员签收时间为准，并自行承</w:t>
      </w:r>
      <w:r>
        <w:rPr>
          <w:rFonts w:hint="eastAsia" w:ascii="宋体" w:hAnsi="宋体" w:eastAsia="宋体" w:cs="宋体"/>
          <w:color w:val="auto"/>
          <w:kern w:val="0"/>
          <w:sz w:val="22"/>
          <w:szCs w:val="22"/>
          <w:highlight w:val="none"/>
        </w:rPr>
        <w:t>担邮寄过程中可能发生的时间延误、密封破损等一切风险和责任。寄出前应对</w:t>
      </w:r>
      <w:r>
        <w:rPr>
          <w:rFonts w:hint="eastAsia" w:ascii="宋体" w:hAnsi="宋体" w:eastAsia="宋体" w:cs="宋体"/>
          <w:color w:val="auto"/>
          <w:sz w:val="22"/>
          <w:szCs w:val="22"/>
          <w:highlight w:val="none"/>
        </w:rPr>
        <w:t>包装的</w:t>
      </w:r>
      <w:r>
        <w:rPr>
          <w:rFonts w:hint="eastAsia" w:ascii="宋体" w:hAnsi="宋体" w:eastAsia="宋体" w:cs="宋体"/>
          <w:color w:val="auto"/>
          <w:kern w:val="0"/>
          <w:sz w:val="22"/>
          <w:szCs w:val="22"/>
          <w:highlight w:val="none"/>
        </w:rPr>
        <w:t>密封情况进行拍照，寄出后将相关邮寄信息及照片发送至代理机构邮箱，告知代理机构邮件接收人并做好邮件密封核对工作。邮寄地址：温州市鹿城区市府路</w:t>
      </w:r>
      <w:r>
        <w:rPr>
          <w:rFonts w:hint="eastAsia" w:ascii="宋体" w:hAnsi="宋体" w:eastAsia="宋体" w:cs="宋体"/>
          <w:color w:val="auto"/>
          <w:kern w:val="0"/>
          <w:sz w:val="22"/>
          <w:szCs w:val="22"/>
          <w:highlight w:val="none"/>
          <w:lang w:eastAsia="zh-CN"/>
        </w:rPr>
        <w:t>鹿城壹号18幢14层</w:t>
      </w:r>
      <w:r>
        <w:rPr>
          <w:rFonts w:hint="eastAsia" w:ascii="宋体" w:hAnsi="宋体" w:eastAsia="宋体" w:cs="宋体"/>
          <w:color w:val="auto"/>
          <w:kern w:val="0"/>
          <w:sz w:val="22"/>
          <w:szCs w:val="22"/>
          <w:highlight w:val="none"/>
        </w:rPr>
        <w:t>；邮件接收人：</w:t>
      </w:r>
      <w:r>
        <w:rPr>
          <w:rFonts w:hint="eastAsia" w:ascii="宋体" w:hAnsi="宋体" w:eastAsia="宋体" w:cs="宋体"/>
          <w:color w:val="auto"/>
          <w:kern w:val="0"/>
          <w:sz w:val="22"/>
          <w:szCs w:val="22"/>
          <w:highlight w:val="none"/>
          <w:lang w:eastAsia="zh-CN"/>
        </w:rPr>
        <w:t>方先生</w:t>
      </w:r>
      <w:r>
        <w:rPr>
          <w:rFonts w:hint="eastAsia" w:ascii="宋体" w:hAnsi="宋体" w:eastAsia="宋体" w:cs="宋体"/>
          <w:color w:val="auto"/>
          <w:kern w:val="0"/>
          <w:sz w:val="22"/>
          <w:szCs w:val="22"/>
          <w:highlight w:val="none"/>
        </w:rPr>
        <w:t>；联系电话：0577-</w:t>
      </w:r>
      <w:r>
        <w:rPr>
          <w:rFonts w:hint="eastAsia" w:ascii="宋体" w:hAnsi="宋体" w:eastAsia="宋体" w:cs="宋体"/>
          <w:color w:val="auto"/>
          <w:kern w:val="0"/>
          <w:sz w:val="22"/>
          <w:szCs w:val="22"/>
          <w:highlight w:val="none"/>
          <w:lang w:eastAsia="zh-CN"/>
        </w:rPr>
        <w:t>88686562</w:t>
      </w:r>
      <w:r>
        <w:rPr>
          <w:rFonts w:hint="eastAsia" w:ascii="宋体" w:hAnsi="宋体" w:eastAsia="宋体" w:cs="宋体"/>
          <w:color w:val="auto"/>
          <w:kern w:val="0"/>
          <w:sz w:val="22"/>
          <w:szCs w:val="22"/>
          <w:highlight w:val="none"/>
        </w:rPr>
        <w:t>；邮箱：</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"mailto:155400207@qq.com；邮编：325000" </w:instrText>
      </w:r>
      <w:r>
        <w:rPr>
          <w:rFonts w:hint="eastAsia" w:ascii="宋体" w:hAnsi="宋体" w:eastAsia="宋体" w:cs="宋体"/>
          <w:color w:val="auto"/>
          <w:kern w:val="0"/>
          <w:sz w:val="22"/>
          <w:szCs w:val="22"/>
          <w:highlight w:val="none"/>
        </w:rPr>
        <w:fldChar w:fldCharType="separate"/>
      </w:r>
      <w:r>
        <w:rPr>
          <w:rStyle w:val="21"/>
          <w:rFonts w:hint="eastAsia" w:ascii="宋体" w:hAnsi="宋体" w:eastAsia="宋体" w:cs="宋体"/>
          <w:color w:val="auto"/>
          <w:kern w:val="0"/>
          <w:sz w:val="22"/>
          <w:szCs w:val="22"/>
          <w:highlight w:val="none"/>
          <w:lang w:val="en-US" w:eastAsia="zh-CN"/>
        </w:rPr>
        <w:t>302556898</w:t>
      </w:r>
      <w:r>
        <w:rPr>
          <w:rStyle w:val="21"/>
          <w:rFonts w:hint="eastAsia" w:ascii="宋体" w:hAnsi="宋体" w:eastAsia="宋体" w:cs="宋体"/>
          <w:color w:val="auto"/>
          <w:kern w:val="0"/>
          <w:sz w:val="22"/>
          <w:szCs w:val="22"/>
          <w:highlight w:val="none"/>
        </w:rPr>
        <w:t>@qq.com；邮编：325000</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w:t>
      </w:r>
    </w:p>
    <w:p w14:paraId="3A7F6A2A">
      <w:pPr>
        <w:spacing w:line="42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2.3 通过“政府采购云平台”成功上传递交的电子加密投标文件已按时解密的，备份投标文件自动失效。</w:t>
      </w:r>
    </w:p>
    <w:p w14:paraId="763A2637">
      <w:pPr>
        <w:spacing w:line="420" w:lineRule="exact"/>
        <w:ind w:left="442" w:hanging="442" w:hanging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电子加密投标文件的解密和异常情况处理</w:t>
      </w:r>
    </w:p>
    <w:p w14:paraId="2B670F5C">
      <w:pPr>
        <w:spacing w:line="42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3.1开标后，采购组织机构将向各投标供应商发出电子加密投标文件的解密通知，各投标供应商代表应当在招标文件规定的时间内自行完成电子加密投标文件的在线解密。</w:t>
      </w:r>
    </w:p>
    <w:p w14:paraId="65ABD888">
      <w:pPr>
        <w:spacing w:line="42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7025234">
      <w:pPr>
        <w:spacing w:line="42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3.3投标截止时间前，投标供应商仅递交了备份投标文件而未将电子加密投标文件上传至“政府采购云平台”的，投标无效。</w:t>
      </w:r>
    </w:p>
    <w:p w14:paraId="00AF1854">
      <w:pPr>
        <w:spacing w:line="420" w:lineRule="exact"/>
        <w:ind w:left="442" w:hanging="442" w:hanging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  投标文件的补充、修改或撤回</w:t>
      </w:r>
    </w:p>
    <w:p w14:paraId="7E4B2BB5">
      <w:pPr>
        <w:spacing w:line="42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供应商应当在投标截止时间前完成投标文件的上传、递交，并可以补充、修改或者撤回投标文件。补充或者修改投标文件的，应当先行撤回原文件，补充、修改后重新上传、递交（撤回后需重新做好系统评分内容与投标文件对应内容的关联），如投标截止时间前未完成重新上传、递交的，视为撤回投标文件。投标截止时间后递交的投标文件，“政府采购云平台”将予以拒收。</w:t>
      </w:r>
    </w:p>
    <w:p w14:paraId="4992F844">
      <w:pPr>
        <w:spacing w:line="420" w:lineRule="exac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4.2投标截止时间后，投标供应商不得撤回、修改投标文件。</w:t>
      </w:r>
    </w:p>
    <w:p w14:paraId="2DF60625">
      <w:pPr>
        <w:pStyle w:val="3"/>
        <w:spacing w:line="420" w:lineRule="exact"/>
        <w:jc w:val="center"/>
        <w:rPr>
          <w:rFonts w:hint="eastAsia" w:ascii="宋体" w:hAnsi="宋体" w:eastAsia="宋体" w:cs="宋体"/>
          <w:color w:val="auto"/>
          <w:sz w:val="24"/>
          <w:szCs w:val="24"/>
          <w:highlight w:val="none"/>
        </w:rPr>
      </w:pPr>
      <w:bookmarkStart w:id="15" w:name="_Toc35186949"/>
      <w:bookmarkStart w:id="16" w:name="_Toc35974568"/>
      <w:bookmarkStart w:id="17" w:name="_Toc17866"/>
      <w:bookmarkStart w:id="18" w:name="_Toc306613653"/>
      <w:bookmarkStart w:id="19" w:name="_Toc35189570"/>
      <w:r>
        <w:rPr>
          <w:rFonts w:hint="eastAsia" w:ascii="宋体" w:hAnsi="宋体" w:eastAsia="宋体" w:cs="宋体"/>
          <w:color w:val="auto"/>
          <w:sz w:val="24"/>
          <w:szCs w:val="24"/>
          <w:highlight w:val="none"/>
        </w:rPr>
        <w:t>五、 开标和评标</w:t>
      </w:r>
      <w:bookmarkEnd w:id="15"/>
      <w:bookmarkEnd w:id="16"/>
      <w:bookmarkEnd w:id="17"/>
      <w:bookmarkEnd w:id="18"/>
      <w:bookmarkEnd w:id="19"/>
    </w:p>
    <w:p w14:paraId="513FA556">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评标委员会</w:t>
      </w:r>
    </w:p>
    <w:p w14:paraId="31D0234E">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1.1 </w:t>
      </w:r>
      <w:r>
        <w:rPr>
          <w:rFonts w:hint="eastAsia" w:ascii="宋体" w:hAnsi="宋体" w:eastAsia="宋体" w:cs="宋体"/>
          <w:bCs/>
          <w:color w:val="auto"/>
          <w:sz w:val="22"/>
          <w:szCs w:val="22"/>
          <w:highlight w:val="none"/>
          <w:u w:val="none"/>
        </w:rPr>
        <w:t>本项目按照法律、法规规定组建评标委员会，评标委员会成员人数为五人或以上单数</w:t>
      </w:r>
      <w:r>
        <w:rPr>
          <w:rFonts w:hint="eastAsia" w:ascii="宋体" w:hAnsi="宋体" w:eastAsia="宋体" w:cs="宋体"/>
          <w:bCs/>
          <w:color w:val="auto"/>
          <w:sz w:val="22"/>
          <w:szCs w:val="22"/>
          <w:highlight w:val="none"/>
          <w:u w:val="none"/>
          <w:lang w:eastAsia="zh-CN"/>
        </w:rPr>
        <w:t>，</w:t>
      </w:r>
      <w:r>
        <w:rPr>
          <w:rFonts w:hint="eastAsia" w:ascii="宋体" w:hAnsi="宋体" w:eastAsia="宋体" w:cs="宋体"/>
          <w:bCs/>
          <w:color w:val="auto"/>
          <w:sz w:val="22"/>
          <w:szCs w:val="22"/>
          <w:highlight w:val="none"/>
        </w:rPr>
        <w:t>评标委员会成员名单在评审结果（采购结果）公告前保密。</w:t>
      </w:r>
    </w:p>
    <w:p w14:paraId="0E7D3699">
      <w:pPr>
        <w:spacing w:line="460" w:lineRule="exact"/>
        <w:ind w:left="0" w:leftChars="0" w:firstLine="440" w:firstLineChars="200"/>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采购人或者采购代理机构应当从省级以上财政部门设立的政府采购评审专家库中，通过随机方式抽取评审专家。</w:t>
      </w:r>
    </w:p>
    <w:p w14:paraId="05398297">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 评标委员会的成员在评标过程中必须严格遵守《政府采购法》等有关法律、法规的规定。</w:t>
      </w:r>
    </w:p>
    <w:p w14:paraId="2BA74D99">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1.3 评标委员会负责具体评标事务，并独立履行下列职责：</w:t>
      </w:r>
    </w:p>
    <w:p w14:paraId="3BA5BA36">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（1）审查、评价投标文件是否符合招标文件的商务、技术等实质性要求；</w:t>
      </w:r>
    </w:p>
    <w:p w14:paraId="216FC4FA">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（2）要求投标人对投标文件有关事项作出澄清或者说明；</w:t>
      </w:r>
    </w:p>
    <w:p w14:paraId="063CC6BD">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（3）对投标文件进行比较和评价；</w:t>
      </w:r>
    </w:p>
    <w:p w14:paraId="3E73D0C3">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（4）确定</w:t>
      </w:r>
      <w:r>
        <w:rPr>
          <w:rFonts w:hint="eastAsia" w:ascii="宋体" w:hAnsi="宋体" w:eastAsia="宋体" w:cs="宋体"/>
          <w:bCs/>
          <w:color w:val="auto"/>
          <w:sz w:val="22"/>
          <w:szCs w:val="22"/>
          <w:highlight w:val="none"/>
          <w:lang w:eastAsia="zh-CN"/>
        </w:rPr>
        <w:t>中标候选供应商</w:t>
      </w:r>
      <w:r>
        <w:rPr>
          <w:rFonts w:hint="eastAsia" w:ascii="宋体" w:hAnsi="宋体" w:eastAsia="宋体" w:cs="宋体"/>
          <w:bCs/>
          <w:color w:val="auto"/>
          <w:sz w:val="22"/>
          <w:szCs w:val="22"/>
          <w:highlight w:val="none"/>
        </w:rPr>
        <w:t>名单，以及根据采购人委托直接确定中标人；</w:t>
      </w:r>
    </w:p>
    <w:p w14:paraId="5DA6064D">
      <w:pPr>
        <w:spacing w:line="460" w:lineRule="exact"/>
        <w:ind w:left="425" w:hanging="424" w:hangingChars="193"/>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（5）向采购人、采购代理机构或者有关部门报告评标中发现的违法行为。</w:t>
      </w:r>
    </w:p>
    <w:p w14:paraId="5D25E866">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 评标过程的保密性</w:t>
      </w:r>
    </w:p>
    <w:p w14:paraId="26175805">
      <w:pPr>
        <w:spacing w:line="460" w:lineRule="exact"/>
        <w:ind w:left="425" w:hanging="424" w:hangingChars="193"/>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 xml:space="preserve">2.1 </w:t>
      </w:r>
      <w:r>
        <w:rPr>
          <w:rFonts w:hint="eastAsia" w:ascii="宋体" w:hAnsi="宋体" w:eastAsia="宋体" w:cs="宋体"/>
          <w:b/>
          <w:bCs/>
          <w:color w:val="auto"/>
          <w:sz w:val="22"/>
          <w:szCs w:val="22"/>
          <w:highlight w:val="none"/>
        </w:rPr>
        <w:t>开标后直至向中标供应商授予合同时止，凡与评审有关的资料均不得向投标供应商及与评标无关人员透露。如果投标供应商在评标过程中试图向招标采购单位施加影响，或扰乱开评标秩序，其投标将被拒绝。</w:t>
      </w:r>
    </w:p>
    <w:p w14:paraId="20AB23C7">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开标、评标</w:t>
      </w:r>
    </w:p>
    <w:p w14:paraId="3763AA9D">
      <w:pPr>
        <w:spacing w:line="400" w:lineRule="exact"/>
        <w:ind w:left="440" w:hanging="440" w:hanging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w:t>
      </w:r>
      <w:r>
        <w:rPr>
          <w:rFonts w:hint="eastAsia" w:ascii="宋体" w:hAnsi="宋体" w:eastAsia="宋体" w:cs="宋体"/>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color w:val="auto"/>
          <w:kern w:val="0"/>
          <w:sz w:val="22"/>
          <w:szCs w:val="22"/>
          <w:highlight w:val="none"/>
        </w:rPr>
        <w:t>投标供应商如不在线参加开标大会的，视同认可开标结果，事后不得对开标过程和开标结果提出异议。如投标供应商因未在线参加开标而导致投标文件无法按时解密等一切后果由供应商自己承担。</w:t>
      </w:r>
    </w:p>
    <w:p w14:paraId="3205AC2D">
      <w:pPr>
        <w:spacing w:line="400" w:lineRule="exact"/>
        <w:ind w:left="440" w:hanging="440" w:hangingChars="200"/>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 xml:space="preserve">3.2 </w:t>
      </w:r>
      <w:r>
        <w:rPr>
          <w:rFonts w:hint="eastAsia" w:ascii="宋体" w:hAnsi="宋体" w:eastAsia="宋体" w:cs="宋体"/>
          <w:color w:val="auto"/>
          <w:kern w:val="0"/>
          <w:sz w:val="22"/>
          <w:szCs w:val="22"/>
          <w:highlight w:val="none"/>
        </w:rPr>
        <w:t>向各投标供应商发出电子加密投标文件【开始解密】通知，由供应商在</w:t>
      </w:r>
      <w:r>
        <w:rPr>
          <w:rFonts w:hint="eastAsia" w:ascii="宋体" w:hAnsi="宋体" w:eastAsia="宋体" w:cs="宋体"/>
          <w:bCs/>
          <w:color w:val="auto"/>
          <w:sz w:val="22"/>
          <w:szCs w:val="22"/>
          <w:highlight w:val="none"/>
        </w:rPr>
        <w:t>采购代理机构发送解密指令后的规定时间内</w:t>
      </w:r>
      <w:r>
        <w:rPr>
          <w:rFonts w:hint="eastAsia" w:ascii="宋体" w:hAnsi="宋体" w:eastAsia="宋体" w:cs="宋体"/>
          <w:bCs/>
          <w:color w:val="auto"/>
          <w:kern w:val="0"/>
          <w:sz w:val="22"/>
          <w:szCs w:val="22"/>
          <w:highlight w:val="none"/>
        </w:rPr>
        <w:t>自行对已递交的电子加密投标文件进行解密。供</w:t>
      </w:r>
      <w:r>
        <w:rPr>
          <w:rFonts w:hint="eastAsia" w:ascii="宋体" w:hAnsi="宋体" w:eastAsia="宋体" w:cs="宋体"/>
          <w:color w:val="auto"/>
          <w:kern w:val="0"/>
          <w:sz w:val="22"/>
          <w:szCs w:val="22"/>
          <w:highlight w:val="none"/>
        </w:rPr>
        <w:t>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14:paraId="7DAF9EFC">
      <w:pPr>
        <w:spacing w:line="400" w:lineRule="exact"/>
        <w:ind w:left="440" w:hanging="440" w:hangingChars="200"/>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 xml:space="preserve">3.3 </w:t>
      </w:r>
      <w:r>
        <w:rPr>
          <w:rFonts w:hint="eastAsia" w:ascii="宋体" w:hAnsi="宋体" w:eastAsia="宋体" w:cs="宋体"/>
          <w:color w:val="auto"/>
          <w:kern w:val="0"/>
          <w:sz w:val="22"/>
          <w:szCs w:val="22"/>
          <w:highlight w:val="none"/>
        </w:rPr>
        <w:t>投标文件解密结束后，采购代理机构将统一开启电子投标文件，各投标供应商需确认己方报价，并签署《政府采购活动现场确认声明书》（声明书已放在招标文件最后一页，由供应商打印填写签章），扫描回传邮箱（</w:t>
      </w:r>
      <w:r>
        <w:rPr>
          <w:rFonts w:hint="eastAsia" w:ascii="宋体" w:hAnsi="宋体" w:eastAsia="宋体" w:cs="宋体"/>
          <w:color w:val="auto"/>
          <w:kern w:val="0"/>
          <w:sz w:val="22"/>
          <w:szCs w:val="22"/>
          <w:highlight w:val="none"/>
          <w:lang w:eastAsia="zh-CN"/>
        </w:rPr>
        <w:t>302556898</w:t>
      </w:r>
      <w:r>
        <w:rPr>
          <w:rFonts w:hint="eastAsia" w:ascii="宋体" w:hAnsi="宋体" w:eastAsia="宋体" w:cs="宋体"/>
          <w:color w:val="auto"/>
          <w:kern w:val="0"/>
          <w:sz w:val="22"/>
          <w:szCs w:val="22"/>
          <w:highlight w:val="none"/>
        </w:rPr>
        <w:t>@qq.com）。</w:t>
      </w:r>
    </w:p>
    <w:p w14:paraId="0C30B351">
      <w:pPr>
        <w:spacing w:line="400" w:lineRule="exact"/>
        <w:ind w:left="440" w:hanging="440" w:hanging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3.4 开标结束后，</w:t>
      </w:r>
      <w:r>
        <w:rPr>
          <w:rFonts w:hint="eastAsia" w:ascii="宋体" w:hAnsi="宋体" w:eastAsia="宋体" w:cs="宋体"/>
          <w:color w:val="auto"/>
          <w:kern w:val="0"/>
          <w:sz w:val="22"/>
          <w:szCs w:val="22"/>
          <w:highlight w:val="none"/>
        </w:rPr>
        <w:t>采购人或采购代理机构将</w:t>
      </w:r>
      <w:r>
        <w:rPr>
          <w:rFonts w:hint="eastAsia" w:ascii="宋体" w:hAnsi="宋体" w:eastAsia="宋体" w:cs="宋体"/>
          <w:bCs/>
          <w:color w:val="auto"/>
          <w:sz w:val="22"/>
          <w:szCs w:val="22"/>
          <w:highlight w:val="none"/>
        </w:rPr>
        <w:t>依据法律法规及招标文件的规定</w:t>
      </w:r>
      <w:r>
        <w:rPr>
          <w:rFonts w:hint="eastAsia" w:ascii="宋体" w:hAnsi="宋体" w:eastAsia="宋体" w:cs="宋体"/>
          <w:color w:val="auto"/>
          <w:kern w:val="0"/>
          <w:sz w:val="22"/>
          <w:szCs w:val="22"/>
          <w:highlight w:val="none"/>
        </w:rPr>
        <w:t>对投标供应商的资格文件进行审查，</w:t>
      </w:r>
      <w:r>
        <w:rPr>
          <w:rFonts w:hint="eastAsia" w:ascii="宋体" w:hAnsi="宋体" w:eastAsia="宋体" w:cs="宋体"/>
          <w:bCs/>
          <w:color w:val="auto"/>
          <w:sz w:val="22"/>
          <w:szCs w:val="22"/>
          <w:highlight w:val="none"/>
        </w:rPr>
        <w:t>包括营业执照（或事业单位法人证书）、资格条件承诺函、其它规定的合格供应商资格证明文件，以确定是否具备投标资格。</w:t>
      </w:r>
      <w:r>
        <w:rPr>
          <w:rFonts w:hint="eastAsia" w:ascii="宋体" w:hAnsi="宋体" w:eastAsia="宋体" w:cs="宋体"/>
          <w:bCs/>
          <w:color w:val="auto"/>
          <w:sz w:val="22"/>
          <w:szCs w:val="22"/>
          <w:highlight w:val="none"/>
          <w:u w:val="single"/>
        </w:rPr>
        <w:t>▲</w:t>
      </w:r>
      <w:r>
        <w:rPr>
          <w:rFonts w:hint="eastAsia" w:ascii="宋体" w:hAnsi="宋体" w:eastAsia="宋体" w:cs="宋体"/>
          <w:color w:val="auto"/>
          <w:sz w:val="22"/>
          <w:szCs w:val="22"/>
          <w:highlight w:val="none"/>
          <w:u w:val="single"/>
        </w:rPr>
        <w:t>投标供应商</w:t>
      </w:r>
      <w:r>
        <w:rPr>
          <w:rFonts w:hint="eastAsia" w:ascii="宋体" w:hAnsi="宋体" w:eastAsia="宋体" w:cs="宋体"/>
          <w:bCs/>
          <w:color w:val="auto"/>
          <w:sz w:val="22"/>
          <w:szCs w:val="22"/>
          <w:highlight w:val="none"/>
          <w:u w:val="single"/>
        </w:rPr>
        <w:t>未按要求提交上述资料或经审查所</w:t>
      </w:r>
      <w:r>
        <w:rPr>
          <w:rFonts w:hint="eastAsia" w:ascii="宋体" w:hAnsi="宋体" w:eastAsia="宋体" w:cs="宋体"/>
          <w:color w:val="auto"/>
          <w:sz w:val="22"/>
          <w:szCs w:val="22"/>
          <w:highlight w:val="none"/>
          <w:u w:val="single"/>
        </w:rPr>
        <w:t>提交的资格证明材料无法证明其符合招标文件规定的“投标供应商资格要求”的，或具有其他违反</w:t>
      </w:r>
      <w:r>
        <w:rPr>
          <w:rFonts w:hint="eastAsia" w:ascii="宋体" w:hAnsi="宋体" w:eastAsia="宋体" w:cs="宋体"/>
          <w:bCs/>
          <w:color w:val="auto"/>
          <w:sz w:val="22"/>
          <w:szCs w:val="22"/>
          <w:highlight w:val="none"/>
          <w:u w:val="single"/>
        </w:rPr>
        <w:t>法律法规规定应被取消投标资格情形的，</w:t>
      </w:r>
      <w:r>
        <w:rPr>
          <w:rFonts w:hint="eastAsia" w:ascii="宋体" w:hAnsi="宋体" w:eastAsia="宋体" w:cs="宋体"/>
          <w:color w:val="auto"/>
          <w:kern w:val="0"/>
          <w:sz w:val="22"/>
          <w:szCs w:val="22"/>
          <w:highlight w:val="none"/>
          <w:u w:val="single"/>
        </w:rPr>
        <w:t>资格审查将不予通过，</w:t>
      </w:r>
      <w:r>
        <w:rPr>
          <w:rFonts w:hint="eastAsia" w:ascii="宋体" w:hAnsi="宋体" w:eastAsia="宋体" w:cs="宋体"/>
          <w:bCs/>
          <w:color w:val="auto"/>
          <w:sz w:val="22"/>
          <w:szCs w:val="22"/>
          <w:highlight w:val="none"/>
          <w:u w:val="single"/>
        </w:rPr>
        <w:t>其投标文件</w:t>
      </w:r>
      <w:r>
        <w:rPr>
          <w:rFonts w:hint="eastAsia" w:ascii="宋体" w:hAnsi="宋体" w:eastAsia="宋体" w:cs="宋体"/>
          <w:color w:val="auto"/>
          <w:sz w:val="22"/>
          <w:szCs w:val="22"/>
          <w:highlight w:val="none"/>
          <w:u w:val="single"/>
        </w:rPr>
        <w:t>作无效标处理</w:t>
      </w:r>
      <w:r>
        <w:rPr>
          <w:rFonts w:hint="eastAsia" w:ascii="宋体" w:hAnsi="宋体" w:eastAsia="宋体" w:cs="宋体"/>
          <w:color w:val="auto"/>
          <w:kern w:val="0"/>
          <w:sz w:val="22"/>
          <w:szCs w:val="22"/>
          <w:highlight w:val="none"/>
          <w:u w:val="single"/>
        </w:rPr>
        <w:t>，并不再将其投标提交评标委员会进行后续评审</w:t>
      </w:r>
      <w:r>
        <w:rPr>
          <w:rFonts w:hint="eastAsia" w:ascii="宋体" w:hAnsi="宋体" w:eastAsia="宋体" w:cs="宋体"/>
          <w:color w:val="auto"/>
          <w:kern w:val="0"/>
          <w:sz w:val="22"/>
          <w:szCs w:val="22"/>
          <w:highlight w:val="none"/>
        </w:rPr>
        <w:t>。</w:t>
      </w:r>
    </w:p>
    <w:p w14:paraId="379F8C1B">
      <w:pPr>
        <w:spacing w:line="400" w:lineRule="exact"/>
        <w:ind w:left="420"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3932DA40">
      <w:pPr>
        <w:tabs>
          <w:tab w:val="left" w:pos="180"/>
        </w:tabs>
        <w:spacing w:line="460" w:lineRule="exact"/>
        <w:ind w:left="424" w:leftChars="8" w:hanging="407" w:hangingChars="18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3.5评标委员会对符合资格的投标供应商的投标文件进行符合性审查，以确定其是否满足招标文件的实质性要求。</w:t>
      </w:r>
      <w:r>
        <w:rPr>
          <w:rFonts w:hint="eastAsia" w:ascii="宋体" w:hAnsi="宋体" w:eastAsia="宋体" w:cs="宋体"/>
          <w:bCs/>
          <w:color w:val="auto"/>
          <w:sz w:val="22"/>
          <w:szCs w:val="22"/>
          <w:highlight w:val="none"/>
          <w:u w:val="single"/>
        </w:rPr>
        <w:t>▲没有满足招标文件实质性要求</w:t>
      </w:r>
      <w:r>
        <w:rPr>
          <w:rFonts w:hint="eastAsia" w:ascii="宋体" w:hAnsi="宋体" w:eastAsia="宋体" w:cs="宋体"/>
          <w:color w:val="auto"/>
          <w:sz w:val="22"/>
          <w:szCs w:val="22"/>
          <w:highlight w:val="none"/>
          <w:u w:val="single"/>
        </w:rPr>
        <w:t>的投标作无效标处理。</w:t>
      </w:r>
      <w:r>
        <w:rPr>
          <w:rFonts w:hint="eastAsia" w:ascii="宋体" w:hAnsi="宋体" w:eastAsia="宋体" w:cs="宋体"/>
          <w:color w:val="auto"/>
          <w:sz w:val="22"/>
          <w:szCs w:val="22"/>
          <w:highlight w:val="none"/>
        </w:rPr>
        <w:t>评标委员会决定投标的实质性响应与否只根据投标文件本身的内容，而不寻求外部的证据。投标供应商不得通过修正或撤销不合要求的偏离或保留从而使其投标成为实质上响应的投标。</w:t>
      </w:r>
    </w:p>
    <w:p w14:paraId="01DFEA69">
      <w:pPr>
        <w:tabs>
          <w:tab w:val="left" w:pos="180"/>
        </w:tabs>
        <w:spacing w:line="460" w:lineRule="exact"/>
        <w:ind w:left="424" w:leftChars="8" w:hanging="407" w:hangingChars="18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 xml:space="preserve">3.6 </w:t>
      </w:r>
      <w:r>
        <w:rPr>
          <w:rFonts w:hint="eastAsia" w:ascii="宋体" w:hAnsi="宋体" w:eastAsia="宋体" w:cs="宋体"/>
          <w:color w:val="auto"/>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1F394DEA">
      <w:pPr>
        <w:tabs>
          <w:tab w:val="left" w:pos="180"/>
        </w:tabs>
        <w:spacing w:line="460" w:lineRule="exact"/>
        <w:ind w:left="507" w:leftChars="32" w:hanging="440" w:hanging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3.7</w:t>
      </w:r>
      <w:r>
        <w:rPr>
          <w:rFonts w:hint="eastAsia" w:ascii="宋体" w:hAnsi="宋体" w:eastAsia="宋体" w:cs="宋体"/>
          <w:bCs/>
          <w:color w:val="auto"/>
          <w:sz w:val="22"/>
          <w:szCs w:val="22"/>
          <w:highlight w:val="none"/>
          <w:u w:val="single"/>
        </w:rPr>
        <w:t>招标文件中加“下划线”且加“▲”的条款，为实质性条款，不得负偏离，否则按无效标条款处理。</w:t>
      </w:r>
      <w:r>
        <w:rPr>
          <w:rFonts w:hint="eastAsia" w:ascii="宋体" w:hAnsi="宋体" w:eastAsia="宋体" w:cs="宋体"/>
          <w:bCs/>
          <w:color w:val="auto"/>
          <w:sz w:val="22"/>
          <w:szCs w:val="22"/>
          <w:highlight w:val="none"/>
        </w:rPr>
        <w:t>对于标书中规定的实质性条款，判定是否构成实质性偏离，由评标委员会来判定。</w:t>
      </w:r>
    </w:p>
    <w:p w14:paraId="75B606D1">
      <w:pPr>
        <w:tabs>
          <w:tab w:val="left" w:pos="180"/>
        </w:tabs>
        <w:spacing w:line="460" w:lineRule="exact"/>
        <w:ind w:left="525" w:leftChars="250"/>
        <w:rPr>
          <w:rFonts w:hint="eastAsia" w:ascii="宋体" w:hAnsi="宋体" w:eastAsia="宋体" w:cs="宋体"/>
          <w:color w:val="auto"/>
          <w:sz w:val="22"/>
          <w:szCs w:val="22"/>
          <w:highlight w:val="none"/>
          <w:u w:val="single"/>
        </w:rPr>
      </w:pPr>
      <w:r>
        <w:rPr>
          <w:rFonts w:hint="eastAsia" w:ascii="宋体" w:hAnsi="宋体" w:eastAsia="宋体" w:cs="宋体"/>
          <w:bCs/>
          <w:color w:val="auto"/>
          <w:sz w:val="22"/>
          <w:szCs w:val="22"/>
          <w:highlight w:val="none"/>
          <w:u w:val="single"/>
        </w:rPr>
        <w:t>投标响应微小负偏离或重大负偏离的认定，由评标委员会来判定，对属于微小负偏离的由评委在评分中予以酌情考量，对构成重大负偏离的，将被认定为是对招标文件实质上的不响应，按无效标条款处理。</w:t>
      </w:r>
    </w:p>
    <w:p w14:paraId="40E5FBBA">
      <w:pPr>
        <w:spacing w:line="460" w:lineRule="exact"/>
        <w:ind w:left="550"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3.8 评标委员按照招标文件中规定的评标方法和标准，对投标文件进行商务和技术评估，综合比较与评价。</w:t>
      </w:r>
    </w:p>
    <w:p w14:paraId="7424396D">
      <w:pPr>
        <w:spacing w:line="460" w:lineRule="exact"/>
        <w:ind w:left="522" w:leftChars="5" w:hanging="512" w:hangingChars="232"/>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rPr>
        <w:t xml:space="preserve">3.9 </w:t>
      </w:r>
      <w:r>
        <w:rPr>
          <w:rFonts w:hint="eastAsia" w:ascii="宋体" w:hAnsi="宋体" w:eastAsia="宋体" w:cs="宋体"/>
          <w:color w:val="auto"/>
          <w:sz w:val="22"/>
          <w:highlight w:val="none"/>
        </w:rPr>
        <w:t>▲</w:t>
      </w:r>
      <w:r>
        <w:rPr>
          <w:rFonts w:hint="eastAsia" w:ascii="宋体" w:hAnsi="宋体" w:eastAsia="宋体" w:cs="宋体"/>
          <w:b/>
          <w:color w:val="auto"/>
          <w:sz w:val="22"/>
          <w:highlight w:val="none"/>
          <w:u w:val="single"/>
        </w:rPr>
        <w:t>符合性审查过程中投标文件有下列情形之一的，经评标委员会认定后按无效标处理（无效标条款）：</w:t>
      </w:r>
    </w:p>
    <w:p w14:paraId="56AB60C6">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（1）投标文件在招标文件规定的实质性响应内容中未按要求加盖单位公章</w:t>
      </w:r>
      <w:r>
        <w:rPr>
          <w:rFonts w:hint="eastAsia" w:ascii="宋体" w:hAnsi="宋体" w:eastAsia="宋体" w:cs="宋体"/>
          <w:color w:val="auto"/>
          <w:sz w:val="22"/>
          <w:szCs w:val="22"/>
          <w:highlight w:val="none"/>
        </w:rPr>
        <w:t>（或CA电子公章）</w:t>
      </w:r>
      <w:r>
        <w:rPr>
          <w:rFonts w:hint="eastAsia" w:ascii="宋体" w:hAnsi="宋体" w:eastAsia="宋体" w:cs="宋体"/>
          <w:color w:val="auto"/>
          <w:sz w:val="22"/>
          <w:highlight w:val="none"/>
        </w:rPr>
        <w:t>、无法定代表人签章</w:t>
      </w:r>
      <w:r>
        <w:rPr>
          <w:rFonts w:hint="eastAsia" w:ascii="宋体" w:hAnsi="宋体" w:eastAsia="宋体" w:cs="宋体"/>
          <w:color w:val="auto"/>
          <w:sz w:val="22"/>
          <w:szCs w:val="22"/>
          <w:highlight w:val="none"/>
        </w:rPr>
        <w:t>（或CA电子签章）</w:t>
      </w:r>
      <w:r>
        <w:rPr>
          <w:rFonts w:hint="eastAsia" w:ascii="宋体" w:hAnsi="宋体" w:eastAsia="宋体" w:cs="宋体"/>
          <w:color w:val="auto"/>
          <w:sz w:val="22"/>
          <w:highlight w:val="none"/>
        </w:rPr>
        <w:t>或其授权代表签字</w:t>
      </w:r>
      <w:r>
        <w:rPr>
          <w:rFonts w:hint="eastAsia" w:ascii="宋体" w:hAnsi="宋体" w:eastAsia="宋体" w:cs="宋体"/>
          <w:color w:val="auto"/>
          <w:sz w:val="22"/>
          <w:szCs w:val="22"/>
          <w:highlight w:val="none"/>
        </w:rPr>
        <w:t>的</w:t>
      </w:r>
      <w:r>
        <w:rPr>
          <w:rFonts w:hint="eastAsia" w:ascii="宋体" w:hAnsi="宋体" w:eastAsia="宋体" w:cs="宋体"/>
          <w:color w:val="auto"/>
          <w:sz w:val="22"/>
          <w:highlight w:val="none"/>
        </w:rPr>
        <w:t>；</w:t>
      </w:r>
    </w:p>
    <w:p w14:paraId="2A3F5B25">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（2）投标响应明显不满足招标文件中规定的采购需求及技术、服务要求的被认定构成重大偏离的，或不满足招标文件中规定的实质性条款，或存在招标文件中明确规定的其他无效标情形的；</w:t>
      </w:r>
    </w:p>
    <w:p w14:paraId="3EF0FC7D">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（3）投标文件内容不全或关键字迹模糊无法辨认的；</w:t>
      </w:r>
    </w:p>
    <w:p w14:paraId="5DB8CE3C">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（4）投标文件的编制明显不符合招标文件规定的编制要求；</w:t>
      </w:r>
    </w:p>
    <w:p w14:paraId="398C7882">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（5）在资格文件和商务技术文件中出现投标报价的；</w:t>
      </w:r>
    </w:p>
    <w:p w14:paraId="32DF8A8E">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（6）投标文件附有采购人不能接受的条件；</w:t>
      </w:r>
    </w:p>
    <w:p w14:paraId="094B324E">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（7）未提供法定代表人授权委托书（法定代表人作为投标供应商代表的除外），或提供的法定代表人授权委托书信息填写不完整或没有加盖单位公章</w:t>
      </w:r>
      <w:r>
        <w:rPr>
          <w:rFonts w:hint="eastAsia" w:ascii="宋体" w:hAnsi="宋体" w:eastAsia="宋体" w:cs="宋体"/>
          <w:color w:val="auto"/>
          <w:sz w:val="22"/>
          <w:szCs w:val="22"/>
          <w:highlight w:val="none"/>
        </w:rPr>
        <w:t>（或CA电子公章）</w:t>
      </w:r>
      <w:r>
        <w:rPr>
          <w:rFonts w:hint="eastAsia" w:ascii="宋体" w:hAnsi="宋体" w:eastAsia="宋体" w:cs="宋体"/>
          <w:color w:val="auto"/>
          <w:sz w:val="22"/>
          <w:highlight w:val="none"/>
        </w:rPr>
        <w:t>或无法定代表人本人签章</w:t>
      </w:r>
      <w:r>
        <w:rPr>
          <w:rFonts w:hint="eastAsia" w:ascii="宋体" w:hAnsi="宋体" w:eastAsia="宋体" w:cs="宋体"/>
          <w:color w:val="auto"/>
          <w:sz w:val="22"/>
          <w:szCs w:val="22"/>
          <w:highlight w:val="none"/>
        </w:rPr>
        <w:t>（或CA电子签章）</w:t>
      </w:r>
      <w:r>
        <w:rPr>
          <w:rFonts w:hint="eastAsia" w:ascii="宋体" w:hAnsi="宋体" w:eastAsia="宋体" w:cs="宋体"/>
          <w:color w:val="auto"/>
          <w:sz w:val="22"/>
          <w:highlight w:val="none"/>
        </w:rPr>
        <w:t>或有涂改等情形导致无法确认其有效性的；</w:t>
      </w:r>
    </w:p>
    <w:p w14:paraId="1F8216E7">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（8）同一投标供应商提交两个以上不同的投标文件（或投标方案）或者投标报价的；</w:t>
      </w:r>
    </w:p>
    <w:p w14:paraId="4DEB69DE">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（9）评标委员会认定投标供应商具有法律、法规规定的不良投标行为的；</w:t>
      </w:r>
    </w:p>
    <w:p w14:paraId="1135C8CA">
      <w:pPr>
        <w:spacing w:line="440" w:lineRule="exact"/>
        <w:ind w:left="728" w:leftChars="85"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（10）</w:t>
      </w:r>
      <w:r>
        <w:rPr>
          <w:rFonts w:hint="eastAsia" w:ascii="宋体" w:hAnsi="宋体" w:eastAsia="宋体" w:cs="宋体"/>
          <w:color w:val="auto"/>
          <w:sz w:val="22"/>
          <w:szCs w:val="22"/>
          <w:highlight w:val="none"/>
        </w:rPr>
        <w:t>未按照采购文件标明币种进行报价的，或者投标报价涵盖的内容不符合采购文件要求的，或者投标报价超过采购预算（或最高限价）的；</w:t>
      </w:r>
    </w:p>
    <w:p w14:paraId="5642E25F">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（11）评标委员会认定供应商的报价明显低于其他通过符合性审查投标供应商的报价，有可能影响产品质量或者不能诚信履约的，但该供应商不能证明其报价合理性的；</w:t>
      </w:r>
    </w:p>
    <w:p w14:paraId="6C609720">
      <w:pPr>
        <w:spacing w:line="440" w:lineRule="exact"/>
        <w:ind w:left="728" w:leftChars="85"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（12）评标委员会认定不符合法律、法规和招标文件中规定的其他实质性要求的。</w:t>
      </w:r>
    </w:p>
    <w:p w14:paraId="546BD421">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3.10 投标文件商务报价出现前后不一致的，按照下列规定修正：</w:t>
      </w:r>
    </w:p>
    <w:p w14:paraId="1FEC4D03">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（1）投标文件中投标报价一览表内容与投标分项报价表内容不一致的，以投标报价一览表为准；</w:t>
      </w:r>
    </w:p>
    <w:p w14:paraId="01E71584">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（2）大写金额和小写金额不一致的，以大写金额为准；</w:t>
      </w:r>
    </w:p>
    <w:p w14:paraId="34F6297B">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（3）单价金额小数点或者百分比有明显错位的，以投标报价一览表的总价为准，并修改单价；</w:t>
      </w:r>
    </w:p>
    <w:p w14:paraId="5A20AE2C">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（4）总价金额与按单价汇总金额不一致的，以单价金额计算结果为准。</w:t>
      </w:r>
    </w:p>
    <w:p w14:paraId="0DDCAB6A">
      <w:pPr>
        <w:spacing w:line="460" w:lineRule="exact"/>
        <w:ind w:left="525" w:leftChars="25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同时出现两种以上不一致的，按照前款规定的顺序修正。▲</w:t>
      </w:r>
      <w:r>
        <w:rPr>
          <w:rFonts w:hint="eastAsia" w:ascii="宋体" w:hAnsi="宋体" w:eastAsia="宋体" w:cs="宋体"/>
          <w:bCs/>
          <w:color w:val="auto"/>
          <w:sz w:val="22"/>
          <w:szCs w:val="22"/>
          <w:highlight w:val="none"/>
          <w:u w:val="single"/>
        </w:rPr>
        <w:t>如投标供应商不接受对其价格错误进行修正，其投标无效。</w:t>
      </w:r>
    </w:p>
    <w:p w14:paraId="557A00DC">
      <w:pPr>
        <w:spacing w:line="460" w:lineRule="exact"/>
        <w:ind w:left="440" w:hanging="440" w:hangingChars="200"/>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3.11投标供应商在政采云系统上的电子投标报价金额与投标文件中“投标报价一览表”投标报价金额不一致的，以投标报价一览表为准，并对政采云系统上电子投标报价金额进行修正，▲</w:t>
      </w:r>
      <w:r>
        <w:rPr>
          <w:rFonts w:hint="eastAsia" w:ascii="宋体" w:hAnsi="宋体" w:eastAsia="宋体" w:cs="宋体"/>
          <w:bCs/>
          <w:color w:val="auto"/>
          <w:sz w:val="22"/>
          <w:szCs w:val="22"/>
          <w:highlight w:val="none"/>
          <w:u w:val="single"/>
        </w:rPr>
        <w:t>如投标供应商不接受修正的其投标无效。</w:t>
      </w:r>
    </w:p>
    <w:p w14:paraId="3323232E">
      <w:pPr>
        <w:spacing w:line="440" w:lineRule="exact"/>
        <w:ind w:left="592" w:leftChars="2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评标过程中遇到特殊情况，由评标委员会遵循公开、公正原则，采取投票方式按照少数服从多数原则决定。</w:t>
      </w:r>
    </w:p>
    <w:p w14:paraId="260F2C17">
      <w:pPr>
        <w:tabs>
          <w:tab w:val="left" w:pos="1365"/>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  投标文件的澄清</w:t>
      </w:r>
    </w:p>
    <w:p w14:paraId="0DE98C42">
      <w:pPr>
        <w:tabs>
          <w:tab w:val="left" w:pos="1365"/>
        </w:tabs>
        <w:spacing w:line="46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对于投标文件中含义不明确、同类问题表述不一致或者有明显文字和计算错误的内容，评标委员会应当以书面形式（或通过“政府采购云平台”在线询标）要求投标供应商在30分钟内作出必要的澄清、说明或者补正。投标供应商的澄清、说明或者补正应当采用书面形式（或通过“政府采购云平台”在线答复），并加盖公章，或者由法定代表人或其授权的代表签字。投标供应商的澄清、说明或者补正不得超出投标文件的范围或者改变投标文件的实质性内容。拒不按要求对其投标文件进行澄清，说明或补正的投标供应商，评标委员会可以否决其投标。</w:t>
      </w:r>
    </w:p>
    <w:p w14:paraId="0A69393D">
      <w:pPr>
        <w:tabs>
          <w:tab w:val="left" w:pos="1365"/>
        </w:tabs>
        <w:spacing w:line="460" w:lineRule="exact"/>
        <w:ind w:left="550" w:hanging="550" w:hanging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5.2  ▲</w:t>
      </w:r>
      <w:r>
        <w:rPr>
          <w:rFonts w:hint="eastAsia" w:ascii="宋体" w:hAnsi="宋体" w:eastAsia="宋体" w:cs="宋体"/>
          <w:b/>
          <w:color w:val="auto"/>
          <w:sz w:val="22"/>
          <w:szCs w:val="22"/>
          <w:highlight w:val="none"/>
          <w:u w:val="single"/>
        </w:rPr>
        <w:t>经澄清后，若偏差仍存在，且不可接受，投标供应商则被认为是“没有实质性响应招标文件要求”，其投标不进入下一步评审。</w:t>
      </w:r>
    </w:p>
    <w:p w14:paraId="64B7DD41">
      <w:pPr>
        <w:tabs>
          <w:tab w:val="left" w:pos="1365"/>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  确定中标候选供应商</w:t>
      </w:r>
    </w:p>
    <w:p w14:paraId="2E271528">
      <w:pPr>
        <w:tabs>
          <w:tab w:val="left" w:pos="1365"/>
        </w:tabs>
        <w:spacing w:line="46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  本次招标由评标委员会确定2名中标候选供应商并向采购人推荐，采购人根据评标委员会的推荐结果按顺序确定中标供应商。</w:t>
      </w:r>
    </w:p>
    <w:p w14:paraId="24D82BB9">
      <w:pPr>
        <w:tabs>
          <w:tab w:val="left" w:pos="1365"/>
        </w:tabs>
        <w:spacing w:line="460" w:lineRule="exact"/>
        <w:ind w:left="554" w:leftChars="2"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  评标委员会依据法律、法规及招标文件有关规定按有效投标供应商的最终得分（即商务技术分与价格分之和）高低进行排序，得分第一</w:t>
      </w:r>
      <w:r>
        <w:rPr>
          <w:rFonts w:hint="eastAsia" w:ascii="宋体" w:hAnsi="宋体" w:eastAsia="宋体" w:cs="宋体"/>
          <w:color w:val="auto"/>
          <w:sz w:val="22"/>
          <w:szCs w:val="22"/>
          <w:highlight w:val="none"/>
          <w:lang w:eastAsia="zh-CN"/>
        </w:rPr>
        <w:t>为</w:t>
      </w:r>
      <w:r>
        <w:rPr>
          <w:rFonts w:hint="eastAsia" w:ascii="宋体" w:hAnsi="宋体" w:eastAsia="宋体" w:cs="宋体"/>
          <w:color w:val="auto"/>
          <w:sz w:val="22"/>
          <w:szCs w:val="22"/>
          <w:highlight w:val="none"/>
        </w:rPr>
        <w:t>中标候选供应商（得分相同投标报价低的排序第一；得分且投标报价相同的，中标候选供应商并列，并确定技术部分得分高的为中标供应商）。</w:t>
      </w:r>
    </w:p>
    <w:p w14:paraId="74EEBC89">
      <w:pPr>
        <w:tabs>
          <w:tab w:val="left" w:pos="1365"/>
        </w:tabs>
        <w:spacing w:line="460" w:lineRule="exact"/>
        <w:ind w:left="554" w:leftChars="2"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  排名第一的中标候选供应商放弃中标；因不可抗力或自身原因提出不能履行合同；或者招标文件规定或合同约定应当提交履约保证金而在规定的期限内未能提交的；或未能在规定时间内与采购人签订合同的；</w:t>
      </w:r>
      <w:r>
        <w:rPr>
          <w:rFonts w:hint="eastAsia" w:ascii="宋体" w:hAnsi="宋体" w:eastAsia="宋体" w:cs="宋体"/>
          <w:color w:val="auto"/>
          <w:spacing w:val="6"/>
          <w:sz w:val="22"/>
          <w:szCs w:val="22"/>
          <w:highlight w:val="none"/>
        </w:rPr>
        <w:t>或在规定时间内借故否认已经承诺的条件而拒签合同的；</w:t>
      </w:r>
      <w:r>
        <w:rPr>
          <w:rFonts w:hint="eastAsia" w:ascii="宋体" w:hAnsi="宋体" w:eastAsia="宋体" w:cs="宋体"/>
          <w:color w:val="auto"/>
          <w:sz w:val="22"/>
          <w:szCs w:val="22"/>
          <w:highlight w:val="none"/>
        </w:rPr>
        <w:t>或已签合同却拒绝按合同约定履约的；或者因排名第一的候选供应商在本次采购活动中存在违法违规行为或其他原因被取消中标资格的，采购人将依法确定是否由排名第二的候选供应商为中标供应商，</w:t>
      </w:r>
      <w:r>
        <w:rPr>
          <w:rFonts w:hint="eastAsia" w:ascii="宋体" w:hAnsi="宋体" w:eastAsia="宋体" w:cs="宋体"/>
          <w:bCs/>
          <w:color w:val="auto"/>
          <w:sz w:val="22"/>
          <w:szCs w:val="22"/>
          <w:highlight w:val="none"/>
        </w:rPr>
        <w:t>或重新开展政府采购活动。</w:t>
      </w:r>
    </w:p>
    <w:p w14:paraId="0BCA4A2A">
      <w:pPr>
        <w:tabs>
          <w:tab w:val="left" w:pos="1365"/>
        </w:tabs>
        <w:spacing w:line="460" w:lineRule="exact"/>
        <w:ind w:left="541" w:hanging="541" w:hanging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6.4  采购人根据招标文件、中标供应商的投标文件、合同等材料及时组织验收，并严把质量关。</w:t>
      </w:r>
    </w:p>
    <w:p w14:paraId="2F5A53EC">
      <w:pPr>
        <w:tabs>
          <w:tab w:val="left" w:pos="1365"/>
        </w:tabs>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6.5  采购人对决标结果不做任何解释，也不保证最低价中标。</w:t>
      </w:r>
    </w:p>
    <w:p w14:paraId="7468741B">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  评标细则详见第五部分“评标原则及方法”。</w:t>
      </w:r>
    </w:p>
    <w:p w14:paraId="501380BE">
      <w:pPr>
        <w:tabs>
          <w:tab w:val="left" w:pos="1365"/>
        </w:tabs>
        <w:spacing w:line="460" w:lineRule="exact"/>
        <w:ind w:left="556" w:leftChars="2" w:hanging="552" w:hanging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   电子交易活动的中止</w:t>
      </w:r>
    </w:p>
    <w:p w14:paraId="7AD977BD">
      <w:pPr>
        <w:tabs>
          <w:tab w:val="left" w:pos="1365"/>
        </w:tabs>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 采购过程中出现以下情形，导致电子交易平台无法正常运行，或者无法保证电子交易的公平、公正和安全时，采购代理机构可中止电子交易活动：</w:t>
      </w:r>
    </w:p>
    <w:p w14:paraId="31CC8A9F">
      <w:pPr>
        <w:tabs>
          <w:tab w:val="left" w:pos="1365"/>
        </w:tabs>
        <w:spacing w:line="460" w:lineRule="exact"/>
        <w:ind w:left="554" w:leftChars="2"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（1）电子交易平台发生故障而无法登录访问的； </w:t>
      </w:r>
    </w:p>
    <w:p w14:paraId="616194BC">
      <w:pPr>
        <w:tabs>
          <w:tab w:val="left" w:pos="1365"/>
        </w:tabs>
        <w:spacing w:line="460" w:lineRule="exact"/>
        <w:ind w:left="554" w:leftChars="2"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76F96BFE">
      <w:pPr>
        <w:tabs>
          <w:tab w:val="left" w:pos="1365"/>
        </w:tabs>
        <w:spacing w:line="460" w:lineRule="exact"/>
        <w:ind w:left="554" w:leftChars="2"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7D036FC1">
      <w:pPr>
        <w:tabs>
          <w:tab w:val="left" w:pos="1365"/>
        </w:tabs>
        <w:spacing w:line="460" w:lineRule="exact"/>
        <w:ind w:left="554" w:leftChars="2"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（4）病毒发作导致不能进行正常操作的； </w:t>
      </w:r>
    </w:p>
    <w:p w14:paraId="4190197A">
      <w:pPr>
        <w:tabs>
          <w:tab w:val="left" w:pos="1365"/>
        </w:tabs>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338203ED">
      <w:pPr>
        <w:tabs>
          <w:tab w:val="left" w:pos="1365"/>
        </w:tabs>
        <w:spacing w:line="460" w:lineRule="exact"/>
        <w:ind w:left="440" w:hanging="440" w:hanging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8.2 出现以上情形，不影响采购公平、公正性的，采购组织机构可以待上述情形消除后继续组织电子交易活动，也可以决定某些环节以纸质形式进行；影响或可能影响采购公平、公正性的，应当重新采购。</w:t>
      </w:r>
    </w:p>
    <w:p w14:paraId="75D074D2">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 未详尽事宜，遵照有关法律法规执行。</w:t>
      </w:r>
    </w:p>
    <w:p w14:paraId="3874709D">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 特别说明：如遇“政府采购云平台”电子化开标或评审程序调整的，按调整后程序执行。</w:t>
      </w:r>
    </w:p>
    <w:p w14:paraId="5E53A197">
      <w:pPr>
        <w:pStyle w:val="3"/>
        <w:spacing w:line="420" w:lineRule="exact"/>
        <w:jc w:val="center"/>
        <w:rPr>
          <w:rFonts w:hint="eastAsia" w:ascii="宋体" w:hAnsi="宋体" w:eastAsia="宋体" w:cs="宋体"/>
          <w:color w:val="auto"/>
          <w:sz w:val="24"/>
          <w:szCs w:val="24"/>
          <w:highlight w:val="none"/>
        </w:rPr>
      </w:pPr>
      <w:bookmarkStart w:id="20" w:name="_Toc7200"/>
      <w:bookmarkStart w:id="21" w:name="_Toc35974569"/>
      <w:bookmarkStart w:id="22" w:name="_Toc306613654"/>
      <w:r>
        <w:rPr>
          <w:rFonts w:hint="eastAsia" w:ascii="宋体" w:hAnsi="宋体" w:eastAsia="宋体" w:cs="宋体"/>
          <w:color w:val="auto"/>
          <w:sz w:val="24"/>
          <w:szCs w:val="24"/>
          <w:highlight w:val="none"/>
        </w:rPr>
        <w:t>六、 授予合同</w:t>
      </w:r>
      <w:bookmarkEnd w:id="20"/>
      <w:bookmarkEnd w:id="21"/>
      <w:bookmarkEnd w:id="22"/>
    </w:p>
    <w:p w14:paraId="7497318D">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中标结果公告</w:t>
      </w:r>
    </w:p>
    <w:p w14:paraId="54D426A7">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评标委员会推荐的</w:t>
      </w:r>
      <w:r>
        <w:rPr>
          <w:rFonts w:hint="eastAsia" w:ascii="宋体" w:hAnsi="宋体" w:eastAsia="宋体" w:cs="宋体"/>
          <w:color w:val="auto"/>
          <w:sz w:val="22"/>
          <w:szCs w:val="22"/>
          <w:highlight w:val="none"/>
          <w:lang w:eastAsia="zh-CN"/>
        </w:rPr>
        <w:t>中标候选供应商</w:t>
      </w:r>
      <w:r>
        <w:rPr>
          <w:rFonts w:hint="eastAsia" w:ascii="宋体" w:hAnsi="宋体" w:eastAsia="宋体" w:cs="宋体"/>
          <w:color w:val="auto"/>
          <w:sz w:val="22"/>
          <w:szCs w:val="22"/>
          <w:highlight w:val="none"/>
        </w:rPr>
        <w:t>经采购人确认为中标供应商后，在浙江省政府采购网上发布中标结果公告，公告期1个工作日。</w:t>
      </w:r>
    </w:p>
    <w:p w14:paraId="1621E30C">
      <w:pPr>
        <w:spacing w:line="440" w:lineRule="exact"/>
        <w:ind w:left="442" w:hanging="442" w:hangingChars="200"/>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 xml:space="preserve">2． </w:t>
      </w:r>
      <w:r>
        <w:rPr>
          <w:rFonts w:hint="eastAsia" w:ascii="宋体" w:hAnsi="宋体" w:eastAsia="宋体" w:cs="宋体"/>
          <w:bCs/>
          <w:color w:val="auto"/>
          <w:sz w:val="22"/>
          <w:szCs w:val="22"/>
          <w:highlight w:val="none"/>
        </w:rPr>
        <w:t xml:space="preserve"> </w:t>
      </w:r>
      <w:r>
        <w:rPr>
          <w:rFonts w:hint="eastAsia" w:ascii="宋体" w:hAnsi="宋体" w:eastAsia="宋体" w:cs="宋体"/>
          <w:b/>
          <w:bCs/>
          <w:color w:val="auto"/>
          <w:sz w:val="22"/>
          <w:szCs w:val="22"/>
          <w:highlight w:val="none"/>
        </w:rPr>
        <w:t>中标通知书</w:t>
      </w:r>
    </w:p>
    <w:p w14:paraId="2F54D967">
      <w:pPr>
        <w:spacing w:line="44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2.1  </w:t>
      </w:r>
      <w:r>
        <w:rPr>
          <w:rFonts w:hint="eastAsia" w:ascii="宋体" w:hAnsi="宋体" w:eastAsia="宋体" w:cs="宋体"/>
          <w:color w:val="auto"/>
          <w:sz w:val="22"/>
          <w:szCs w:val="22"/>
          <w:highlight w:val="none"/>
        </w:rPr>
        <w:t xml:space="preserve">中标供应商确定后，采购人将向中标供应商发出中标通知书。 </w:t>
      </w:r>
    </w:p>
    <w:p w14:paraId="7EE2899E">
      <w:pPr>
        <w:spacing w:line="44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2.2  </w:t>
      </w:r>
      <w:r>
        <w:rPr>
          <w:rFonts w:hint="eastAsia" w:ascii="宋体" w:hAnsi="宋体" w:eastAsia="宋体" w:cs="宋体"/>
          <w:color w:val="auto"/>
          <w:sz w:val="22"/>
          <w:szCs w:val="22"/>
          <w:highlight w:val="none"/>
        </w:rPr>
        <w:t>中标通知书是合同的一个组成部分,对采购人和中标供应商均具有同等法律效力。</w:t>
      </w:r>
    </w:p>
    <w:p w14:paraId="4D9961F3">
      <w:pPr>
        <w:spacing w:line="44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  授标时更改采购货物数量的权力</w:t>
      </w:r>
    </w:p>
    <w:p w14:paraId="7EE6A581">
      <w:pPr>
        <w:spacing w:line="440" w:lineRule="exact"/>
        <w:ind w:left="550"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3.1  采购人在授予合同时有权对采购服务的数量在10%幅度范围内予以增加或减少,但不得对单价和其他的条款和条件作任何改变。</w:t>
      </w:r>
    </w:p>
    <w:p w14:paraId="0B31EE1A">
      <w:pPr>
        <w:spacing w:line="44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  签订合同</w:t>
      </w:r>
    </w:p>
    <w:p w14:paraId="0F6309A7">
      <w:pPr>
        <w:spacing w:line="440" w:lineRule="exact"/>
        <w:ind w:left="440" w:hanging="440" w:hanging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4.1  中标供应商应按中标通知书规定的时间、地点与采购人签订合同。</w:t>
      </w:r>
    </w:p>
    <w:p w14:paraId="79DFBFD8">
      <w:pPr>
        <w:spacing w:line="440" w:lineRule="exact"/>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4.2  </w:t>
      </w:r>
      <w:r>
        <w:rPr>
          <w:rFonts w:hint="eastAsia" w:ascii="宋体" w:hAnsi="宋体" w:eastAsia="宋体" w:cs="宋体"/>
          <w:color w:val="auto"/>
          <w:spacing w:val="6"/>
          <w:sz w:val="22"/>
          <w:highlight w:val="none"/>
        </w:rPr>
        <w:t>在签订合同前，采购人有权在成交总价不变的前提下要求中标供应商对报价中的不平衡报价和缺漏项进行调整，如果中标供应商无合理理由拒绝调整，其中标资格将被取消，且将导致其它进一步的赔偿和处罚。</w:t>
      </w:r>
    </w:p>
    <w:p w14:paraId="46EB1FA5">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招标文件、中标供应商的投标文件、投标修改文件、评标过程中有关澄清文件及经投标供应商和评委双方签字的询标纪要和中标通知书均作为合同附件。</w:t>
      </w:r>
    </w:p>
    <w:p w14:paraId="2596465A">
      <w:pPr>
        <w:spacing w:line="440" w:lineRule="exac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4.4  拒签合同的违约责任</w:t>
      </w:r>
    </w:p>
    <w:p w14:paraId="7B10DD6A">
      <w:pPr>
        <w:spacing w:line="440" w:lineRule="exact"/>
        <w:ind w:left="565" w:leftChars="269"/>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中标供应商接到中标通知书后，在规定的时间内因自身原因拒绝提交履约保证金的或拒签合同的，或在规定时间内借故否认已经承诺的条件而拒签合同的，按自动弃标处理。如已签合同却拒绝按合同约定履行，以违约处理，采购人可单方终止合同，并上报采购监管部门将其列为非诚信供应商。</w:t>
      </w:r>
    </w:p>
    <w:p w14:paraId="6DD5757C">
      <w:pPr>
        <w:spacing w:line="440" w:lineRule="exact"/>
        <w:ind w:left="571" w:hanging="571" w:hangingChars="245"/>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4.5  合同一式四份，其中采购人二份，中标供应商二份（如联合体中标，中标供应商再相应增加份数）。中标供应商应在合同签订后1个工作日内提交一份合同扫描件发送至采购代理机构邮箱备案。</w:t>
      </w:r>
    </w:p>
    <w:p w14:paraId="1285A9EC">
      <w:pPr>
        <w:spacing w:line="42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5.   履约验收</w:t>
      </w:r>
    </w:p>
    <w:p w14:paraId="695C851D">
      <w:pPr>
        <w:spacing w:line="44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本项目将于2025年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rPr>
        <w:t>日前组织验收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eastAsia="zh-CN"/>
        </w:rPr>
        <w:t>因甲方宣传需要部分宣传项目活动投放内容有延迟组织的，以实际双方协商日期为准</w:t>
      </w:r>
      <w:r>
        <w:rPr>
          <w:rFonts w:hint="eastAsia" w:ascii="宋体" w:hAnsi="宋体" w:eastAsia="宋体" w:cs="宋体"/>
          <w:color w:val="auto"/>
          <w:sz w:val="22"/>
          <w:szCs w:val="22"/>
          <w:highlight w:val="none"/>
        </w:rPr>
        <w:t>，验收方式为一般程序验收。验收程序将按照《温州市政府采购履约验收办法》规定的及《温州市政府采购线上履约验收工作细则》规定执行，具体程序为制定验收方案、成立验收小组、组织验收、出具验收书、履约验收电子备案、发布验收结果公告、验收资料归档。</w:t>
      </w:r>
    </w:p>
    <w:p w14:paraId="2ACC042D">
      <w:pPr>
        <w:spacing w:line="44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6． 履约保证金</w:t>
      </w:r>
    </w:p>
    <w:p w14:paraId="11A3BDAD">
      <w:pPr>
        <w:spacing w:line="440" w:lineRule="exact"/>
        <w:ind w:left="553" w:leftChars="208" w:hanging="116" w:hangingChars="5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本项目不要求履约保证金</w:t>
      </w:r>
      <w:r>
        <w:rPr>
          <w:rFonts w:hint="eastAsia" w:ascii="宋体" w:hAnsi="宋体" w:eastAsia="宋体" w:cs="宋体"/>
          <w:bCs/>
          <w:color w:val="auto"/>
          <w:sz w:val="22"/>
          <w:szCs w:val="22"/>
          <w:highlight w:val="none"/>
        </w:rPr>
        <w:t>。</w:t>
      </w:r>
    </w:p>
    <w:p w14:paraId="16B93161">
      <w:pPr>
        <w:spacing w:line="440" w:lineRule="exact"/>
        <w:ind w:left="552" w:hanging="552" w:hangingChars="2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  质疑与投诉</w:t>
      </w:r>
    </w:p>
    <w:p w14:paraId="28F13D49">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投标供应商认为采购文件、采购过程、中标和成交结果使自己的合法权益受到损害的，可以在知道或应知道其权益受到损害之日起七个工作日内以书面形式向招标采购单位提出质疑。对采购文件提出质疑的，应当在获取采购文件或者采购文件公告期限届满之日起7个工作日内，否则将不予接受。对采购结果提出质疑的，质疑期限自采购结果公告（包括公示、预公告、结果变更公告等）期限届满之日起计算。</w:t>
      </w:r>
    </w:p>
    <w:p w14:paraId="7EEAD7ED">
      <w:pPr>
        <w:spacing w:line="440" w:lineRule="exact"/>
        <w:ind w:left="566" w:hanging="566" w:hangingChars="244"/>
        <w:rPr>
          <w:rFonts w:hint="eastAsia" w:ascii="宋体" w:hAnsi="宋体" w:eastAsia="宋体" w:cs="宋体"/>
          <w:color w:val="auto"/>
          <w:sz w:val="22"/>
          <w:szCs w:val="22"/>
          <w:highlight w:val="none"/>
        </w:rPr>
      </w:pPr>
      <w:r>
        <w:rPr>
          <w:rFonts w:hint="eastAsia" w:ascii="宋体" w:hAnsi="宋体" w:eastAsia="宋体" w:cs="宋体"/>
          <w:color w:val="auto"/>
          <w:spacing w:val="6"/>
          <w:sz w:val="22"/>
          <w:highlight w:val="none"/>
        </w:rPr>
        <w:t>7.2  提出质疑的供应商应当是参与本项目招标活动的供应商，</w:t>
      </w:r>
      <w:r>
        <w:rPr>
          <w:rFonts w:hint="eastAsia" w:ascii="宋体" w:hAnsi="宋体" w:eastAsia="宋体" w:cs="宋体"/>
          <w:color w:val="auto"/>
          <w:kern w:val="0"/>
          <w:sz w:val="22"/>
          <w:szCs w:val="22"/>
          <w:highlight w:val="none"/>
        </w:rPr>
        <w:t>在法定质疑期内须一次性提出针对同一采购程序环节的质疑</w:t>
      </w:r>
      <w:r>
        <w:rPr>
          <w:rFonts w:hint="eastAsia" w:ascii="宋体" w:hAnsi="宋体" w:eastAsia="宋体" w:cs="宋体"/>
          <w:color w:val="auto"/>
          <w:sz w:val="22"/>
          <w:szCs w:val="22"/>
          <w:highlight w:val="none"/>
        </w:rPr>
        <w:t>，否则不予接受。</w:t>
      </w:r>
    </w:p>
    <w:p w14:paraId="3547BEF3">
      <w:pPr>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市财政局政府采购监管处  项先生、蔡女士，监督投诉电话：0577-88532725、88521948。</w:t>
      </w:r>
    </w:p>
    <w:p w14:paraId="0B16AAB5">
      <w:pPr>
        <w:spacing w:line="440" w:lineRule="exact"/>
        <w:ind w:left="550" w:hanging="550" w:hangingChars="25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7.4  投诉人投诉时，应提交投诉书。投诉人对投诉书的真实性负责，恶意投诉将承当相应的法律和民事责任。</w:t>
      </w:r>
    </w:p>
    <w:p w14:paraId="3C70A338">
      <w:pPr>
        <w:spacing w:line="440" w:lineRule="exact"/>
        <w:ind w:left="552" w:hanging="552" w:hangingChars="250"/>
        <w:rPr>
          <w:rFonts w:hint="eastAsia" w:ascii="宋体" w:hAnsi="宋体" w:eastAsia="宋体" w:cs="宋体"/>
          <w:color w:val="auto"/>
          <w:spacing w:val="6"/>
          <w:sz w:val="22"/>
          <w:szCs w:val="22"/>
          <w:highlight w:val="none"/>
        </w:rPr>
      </w:pPr>
      <w:r>
        <w:rPr>
          <w:rFonts w:hint="eastAsia" w:ascii="宋体" w:hAnsi="宋体" w:eastAsia="宋体" w:cs="宋体"/>
          <w:b/>
          <w:bCs/>
          <w:color w:val="auto"/>
          <w:sz w:val="22"/>
          <w:szCs w:val="22"/>
          <w:highlight w:val="none"/>
        </w:rPr>
        <w:t>8．  招标代理服务费</w:t>
      </w:r>
    </w:p>
    <w:p w14:paraId="19018B71">
      <w:pPr>
        <w:spacing w:line="400" w:lineRule="exact"/>
        <w:ind w:left="541" w:hanging="541" w:hanging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 xml:space="preserve">8.1  </w:t>
      </w:r>
      <w:r>
        <w:rPr>
          <w:rFonts w:hint="eastAsia" w:ascii="宋体" w:hAnsi="宋体" w:eastAsia="宋体" w:cs="宋体"/>
          <w:b/>
          <w:color w:val="auto"/>
          <w:sz w:val="22"/>
          <w:szCs w:val="22"/>
          <w:highlight w:val="none"/>
          <w:u w:val="single"/>
        </w:rPr>
        <w:t>招标代理服务费：壹万</w:t>
      </w:r>
      <w:r>
        <w:rPr>
          <w:rFonts w:hint="eastAsia" w:ascii="宋体" w:hAnsi="宋体" w:eastAsia="宋体" w:cs="宋体"/>
          <w:b/>
          <w:color w:val="auto"/>
          <w:sz w:val="22"/>
          <w:szCs w:val="22"/>
          <w:highlight w:val="none"/>
          <w:u w:val="single"/>
          <w:lang w:eastAsia="zh-CN"/>
        </w:rPr>
        <w:t>肆</w:t>
      </w:r>
      <w:r>
        <w:rPr>
          <w:rFonts w:hint="eastAsia" w:ascii="宋体" w:hAnsi="宋体" w:eastAsia="宋体" w:cs="宋体"/>
          <w:b/>
          <w:color w:val="auto"/>
          <w:sz w:val="22"/>
          <w:szCs w:val="22"/>
          <w:highlight w:val="none"/>
          <w:u w:val="single"/>
        </w:rPr>
        <w:t>仟元整，由中标供应商在领取中标通知书时向招标代理机构进行支付。</w:t>
      </w:r>
    </w:p>
    <w:p w14:paraId="68D326C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 xml:space="preserve">8.2  </w:t>
      </w:r>
      <w:r>
        <w:rPr>
          <w:rFonts w:hint="eastAsia" w:ascii="宋体" w:hAnsi="宋体" w:eastAsia="宋体" w:cs="宋体"/>
          <w:bCs/>
          <w:color w:val="auto"/>
          <w:sz w:val="22"/>
          <w:highlight w:val="none"/>
        </w:rPr>
        <w:t>招标</w:t>
      </w:r>
      <w:r>
        <w:rPr>
          <w:rFonts w:hint="eastAsia" w:ascii="宋体" w:hAnsi="宋体" w:eastAsia="宋体" w:cs="宋体"/>
          <w:color w:val="auto"/>
          <w:sz w:val="22"/>
          <w:highlight w:val="none"/>
        </w:rPr>
        <w:t>代理服务费可以是现金或转账，</w:t>
      </w:r>
      <w:r>
        <w:rPr>
          <w:rFonts w:hint="eastAsia" w:ascii="宋体" w:hAnsi="宋体" w:eastAsia="宋体" w:cs="宋体"/>
          <w:color w:val="auto"/>
          <w:sz w:val="22"/>
          <w:szCs w:val="22"/>
          <w:highlight w:val="none"/>
        </w:rPr>
        <w:t>招标代理服务费汇入账户：</w:t>
      </w:r>
    </w:p>
    <w:p w14:paraId="2F75CFD9">
      <w:pPr>
        <w:spacing w:line="44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户  名：</w:t>
      </w:r>
      <w:r>
        <w:rPr>
          <w:rFonts w:hint="eastAsia" w:ascii="宋体" w:hAnsi="宋体" w:eastAsia="宋体" w:cs="宋体"/>
          <w:color w:val="auto"/>
          <w:sz w:val="22"/>
          <w:szCs w:val="22"/>
          <w:highlight w:val="none"/>
          <w:lang w:eastAsia="zh-CN"/>
        </w:rPr>
        <w:t>浙江铭洋项目管理咨询有限公司</w:t>
      </w:r>
    </w:p>
    <w:p w14:paraId="12FD6C92">
      <w:pPr>
        <w:spacing w:line="44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开户行：</w:t>
      </w:r>
      <w:r>
        <w:rPr>
          <w:rFonts w:hint="eastAsia" w:ascii="宋体" w:hAnsi="宋体" w:eastAsia="宋体" w:cs="宋体"/>
          <w:b w:val="0"/>
          <w:bCs w:val="0"/>
          <w:color w:val="auto"/>
          <w:sz w:val="24"/>
          <w:highlight w:val="none"/>
          <w:u w:val="none"/>
          <w:lang w:eastAsia="zh-CN"/>
        </w:rPr>
        <w:t>瓯海农商银行新桥支行</w:t>
      </w:r>
    </w:p>
    <w:p w14:paraId="7CD65128">
      <w:pPr>
        <w:spacing w:line="440" w:lineRule="exact"/>
        <w:ind w:firstLine="660" w:firstLine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账  号：</w:t>
      </w:r>
      <w:r>
        <w:rPr>
          <w:rFonts w:hint="eastAsia" w:ascii="宋体" w:hAnsi="宋体" w:eastAsia="宋体" w:cs="宋体"/>
          <w:b w:val="0"/>
          <w:bCs w:val="0"/>
          <w:color w:val="auto"/>
          <w:sz w:val="24"/>
          <w:highlight w:val="none"/>
          <w:u w:val="none"/>
          <w:lang w:val="en-US" w:eastAsia="zh-CN"/>
        </w:rPr>
        <w:t>2010 0019 3392 462</w:t>
      </w:r>
    </w:p>
    <w:p w14:paraId="19D6C939">
      <w:pPr>
        <w:spacing w:line="40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  中标供应商未按规定交纳招标代理服务费的，将由采购人直接在合同款中扣除并转支给代理公司，并将其列入采购单位非诚信单位名单。</w:t>
      </w:r>
    </w:p>
    <w:p w14:paraId="21C73DA6">
      <w:pPr>
        <w:spacing w:line="400" w:lineRule="exact"/>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8.4  服务费支付详细事宜请咨询采购代理机构财务部</w:t>
      </w:r>
      <w:r>
        <w:rPr>
          <w:rFonts w:hint="eastAsia" w:ascii="宋体" w:hAnsi="宋体" w:eastAsia="宋体" w:cs="宋体"/>
          <w:color w:val="auto"/>
          <w:sz w:val="22"/>
          <w:highlight w:val="none"/>
          <w:lang w:eastAsia="zh-CN"/>
        </w:rPr>
        <w:t>汪</w:t>
      </w:r>
      <w:r>
        <w:rPr>
          <w:rFonts w:hint="eastAsia" w:ascii="宋体" w:hAnsi="宋体" w:eastAsia="宋体" w:cs="宋体"/>
          <w:color w:val="auto"/>
          <w:sz w:val="22"/>
          <w:highlight w:val="none"/>
        </w:rPr>
        <w:t>女士（0577-88</w:t>
      </w:r>
      <w:r>
        <w:rPr>
          <w:rFonts w:hint="eastAsia" w:ascii="宋体" w:hAnsi="宋体" w:eastAsia="宋体" w:cs="宋体"/>
          <w:color w:val="auto"/>
          <w:sz w:val="22"/>
          <w:highlight w:val="none"/>
          <w:lang w:val="en-US" w:eastAsia="zh-CN"/>
        </w:rPr>
        <w:t>686561</w:t>
      </w:r>
      <w:r>
        <w:rPr>
          <w:rFonts w:hint="eastAsia" w:ascii="宋体" w:hAnsi="宋体" w:eastAsia="宋体" w:cs="宋体"/>
          <w:color w:val="auto"/>
          <w:sz w:val="22"/>
          <w:highlight w:val="none"/>
        </w:rPr>
        <w:t>）。</w:t>
      </w:r>
    </w:p>
    <w:p w14:paraId="03F63C3C">
      <w:pPr>
        <w:pStyle w:val="5"/>
        <w:rPr>
          <w:rFonts w:hint="eastAsia" w:ascii="宋体" w:hAnsi="宋体" w:eastAsia="宋体" w:cs="宋体"/>
          <w:color w:val="auto"/>
          <w:highlight w:val="none"/>
        </w:rPr>
      </w:pPr>
    </w:p>
    <w:p w14:paraId="4377DC0F">
      <w:pPr>
        <w:rPr>
          <w:rFonts w:hint="eastAsia" w:ascii="宋体" w:hAnsi="宋体" w:eastAsia="宋体" w:cs="宋体"/>
          <w:color w:val="auto"/>
          <w:highlight w:val="none"/>
        </w:rPr>
      </w:pPr>
    </w:p>
    <w:p w14:paraId="5ACD1A8D">
      <w:pPr>
        <w:pStyle w:val="5"/>
        <w:rPr>
          <w:rFonts w:hint="eastAsia" w:ascii="宋体" w:hAnsi="宋体" w:eastAsia="宋体" w:cs="宋体"/>
          <w:color w:val="auto"/>
          <w:highlight w:val="none"/>
        </w:rPr>
      </w:pPr>
    </w:p>
    <w:p w14:paraId="09FADC61">
      <w:pPr>
        <w:rPr>
          <w:rFonts w:hint="eastAsia" w:ascii="宋体" w:hAnsi="宋体" w:eastAsia="宋体" w:cs="宋体"/>
          <w:color w:val="auto"/>
          <w:highlight w:val="none"/>
        </w:rPr>
      </w:pPr>
    </w:p>
    <w:p w14:paraId="3AAC8D6D">
      <w:pPr>
        <w:pStyle w:val="5"/>
        <w:rPr>
          <w:rFonts w:hint="eastAsia" w:ascii="宋体" w:hAnsi="宋体" w:eastAsia="宋体" w:cs="宋体"/>
          <w:color w:val="auto"/>
          <w:highlight w:val="none"/>
        </w:rPr>
      </w:pPr>
    </w:p>
    <w:p w14:paraId="43D8FD64">
      <w:pPr>
        <w:rPr>
          <w:rFonts w:hint="eastAsia" w:ascii="宋体" w:hAnsi="宋体" w:eastAsia="宋体" w:cs="宋体"/>
          <w:color w:val="auto"/>
          <w:highlight w:val="none"/>
        </w:rPr>
      </w:pPr>
    </w:p>
    <w:p w14:paraId="24AA64D3">
      <w:pPr>
        <w:pStyle w:val="5"/>
        <w:rPr>
          <w:rFonts w:hint="eastAsia" w:ascii="宋体" w:hAnsi="宋体" w:eastAsia="宋体" w:cs="宋体"/>
          <w:color w:val="auto"/>
          <w:highlight w:val="none"/>
        </w:rPr>
      </w:pPr>
    </w:p>
    <w:p w14:paraId="66809B74">
      <w:pPr>
        <w:rPr>
          <w:rFonts w:hint="eastAsia" w:ascii="宋体" w:hAnsi="宋体" w:eastAsia="宋体" w:cs="宋体"/>
          <w:color w:val="auto"/>
          <w:highlight w:val="none"/>
        </w:rPr>
      </w:pPr>
    </w:p>
    <w:p w14:paraId="43F9CE7F">
      <w:pPr>
        <w:pStyle w:val="5"/>
        <w:rPr>
          <w:rFonts w:hint="eastAsia" w:ascii="宋体" w:hAnsi="宋体" w:eastAsia="宋体" w:cs="宋体"/>
          <w:color w:val="auto"/>
          <w:highlight w:val="none"/>
        </w:rPr>
      </w:pPr>
    </w:p>
    <w:p w14:paraId="02C4A5B3">
      <w:pPr>
        <w:pStyle w:val="5"/>
        <w:ind w:left="0" w:firstLine="0" w:firstLineChars="0"/>
        <w:rPr>
          <w:rFonts w:hint="eastAsia" w:ascii="宋体" w:hAnsi="宋体" w:eastAsia="宋体" w:cs="宋体"/>
          <w:color w:val="auto"/>
          <w:highlight w:val="none"/>
        </w:rPr>
      </w:pPr>
    </w:p>
    <w:p w14:paraId="1360870E">
      <w:pPr>
        <w:pStyle w:val="5"/>
        <w:ind w:left="0" w:firstLine="0" w:firstLineChars="0"/>
        <w:rPr>
          <w:rFonts w:hint="eastAsia" w:ascii="宋体" w:hAnsi="宋体" w:eastAsia="宋体" w:cs="宋体"/>
          <w:color w:val="auto"/>
          <w:highlight w:val="none"/>
        </w:rPr>
      </w:pPr>
    </w:p>
    <w:p w14:paraId="2FE43C97">
      <w:pPr>
        <w:pStyle w:val="4"/>
        <w:rPr>
          <w:rFonts w:hint="eastAsia" w:ascii="宋体" w:hAnsi="宋体" w:eastAsia="宋体" w:cs="宋体"/>
          <w:color w:val="auto"/>
          <w:highlight w:val="none"/>
        </w:rPr>
      </w:pPr>
    </w:p>
    <w:p w14:paraId="049102BC">
      <w:pPr>
        <w:pStyle w:val="5"/>
        <w:rPr>
          <w:rFonts w:hint="eastAsia" w:ascii="宋体" w:hAnsi="宋体" w:eastAsia="宋体" w:cs="宋体"/>
          <w:color w:val="auto"/>
          <w:highlight w:val="none"/>
        </w:rPr>
      </w:pPr>
    </w:p>
    <w:p w14:paraId="55DB46FB">
      <w:pPr>
        <w:pStyle w:val="4"/>
        <w:rPr>
          <w:rFonts w:hint="eastAsia" w:ascii="宋体" w:hAnsi="宋体" w:eastAsia="宋体" w:cs="宋体"/>
          <w:color w:val="auto"/>
          <w:highlight w:val="none"/>
        </w:rPr>
      </w:pPr>
    </w:p>
    <w:p w14:paraId="09404D3D">
      <w:pPr>
        <w:pStyle w:val="5"/>
        <w:rPr>
          <w:rFonts w:hint="eastAsia" w:ascii="宋体" w:hAnsi="宋体" w:eastAsia="宋体" w:cs="宋体"/>
          <w:color w:val="auto"/>
          <w:highlight w:val="none"/>
        </w:rPr>
      </w:pPr>
    </w:p>
    <w:p w14:paraId="7F9986CA">
      <w:pPr>
        <w:rPr>
          <w:rFonts w:hint="eastAsia" w:ascii="宋体" w:hAnsi="宋体" w:eastAsia="宋体" w:cs="宋体"/>
          <w:color w:val="auto"/>
          <w:highlight w:val="none"/>
        </w:rPr>
      </w:pPr>
    </w:p>
    <w:p w14:paraId="48FC474A">
      <w:pPr>
        <w:pStyle w:val="2"/>
        <w:tabs>
          <w:tab w:val="clear" w:pos="840"/>
        </w:tabs>
        <w:adjustRightInd/>
        <w:snapToGrid/>
        <w:spacing w:before="120" w:after="120" w:line="460" w:lineRule="exact"/>
        <w:jc w:val="center"/>
        <w:rPr>
          <w:rFonts w:hint="eastAsia" w:ascii="宋体" w:hAnsi="宋体" w:eastAsia="宋体" w:cs="宋体"/>
          <w:bCs/>
          <w:color w:val="auto"/>
          <w:sz w:val="32"/>
          <w:szCs w:val="32"/>
          <w:highlight w:val="none"/>
        </w:rPr>
      </w:pPr>
      <w:bookmarkStart w:id="23" w:name="_Toc17831"/>
      <w:r>
        <w:rPr>
          <w:rFonts w:hint="eastAsia" w:ascii="宋体" w:hAnsi="宋体" w:eastAsia="宋体" w:cs="宋体"/>
          <w:bCs/>
          <w:color w:val="auto"/>
          <w:sz w:val="32"/>
          <w:szCs w:val="32"/>
          <w:highlight w:val="none"/>
        </w:rPr>
        <w:t>第二部分 合同主要条款</w:t>
      </w:r>
      <w:bookmarkEnd w:id="23"/>
    </w:p>
    <w:p w14:paraId="4B2F1ED7">
      <w:pPr>
        <w:spacing w:line="400" w:lineRule="exact"/>
        <w:rPr>
          <w:rFonts w:hint="eastAsia" w:ascii="宋体" w:hAnsi="宋体" w:eastAsia="宋体" w:cs="宋体"/>
          <w:color w:val="auto"/>
          <w:sz w:val="22"/>
          <w:szCs w:val="22"/>
          <w:highlight w:val="none"/>
        </w:rPr>
      </w:pPr>
    </w:p>
    <w:p w14:paraId="1B62B017">
      <w:pPr>
        <w:spacing w:line="400" w:lineRule="exact"/>
        <w:rPr>
          <w:rFonts w:hint="eastAsia" w:ascii="宋体" w:hAnsi="宋体" w:eastAsia="宋体" w:cs="宋体"/>
          <w:color w:val="auto"/>
          <w:sz w:val="22"/>
          <w:szCs w:val="22"/>
          <w:highlight w:val="none"/>
        </w:rPr>
      </w:pPr>
    </w:p>
    <w:p w14:paraId="28D2453A">
      <w:pPr>
        <w:spacing w:line="400" w:lineRule="exact"/>
        <w:rPr>
          <w:rFonts w:hint="eastAsia" w:ascii="宋体" w:hAnsi="宋体" w:eastAsia="宋体" w:cs="宋体"/>
          <w:color w:val="auto"/>
          <w:sz w:val="22"/>
          <w:szCs w:val="22"/>
          <w:highlight w:val="none"/>
        </w:rPr>
      </w:pPr>
    </w:p>
    <w:p w14:paraId="6D7CBF00">
      <w:pPr>
        <w:pStyle w:val="8"/>
        <w:ind w:firstLine="200"/>
        <w:rPr>
          <w:rFonts w:hint="eastAsia" w:ascii="宋体" w:hAnsi="宋体" w:eastAsia="宋体" w:cs="宋体"/>
          <w:color w:val="auto"/>
          <w:highlight w:val="none"/>
        </w:rPr>
      </w:pPr>
    </w:p>
    <w:p w14:paraId="327F682F">
      <w:pPr>
        <w:spacing w:line="440" w:lineRule="exact"/>
        <w:ind w:left="550" w:hanging="550" w:hangingChars="250"/>
        <w:rPr>
          <w:rFonts w:hint="eastAsia" w:ascii="宋体" w:hAnsi="宋体" w:eastAsia="宋体" w:cs="宋体"/>
          <w:color w:val="auto"/>
          <w:sz w:val="22"/>
          <w:szCs w:val="22"/>
          <w:highlight w:val="none"/>
        </w:rPr>
      </w:pPr>
    </w:p>
    <w:p w14:paraId="1837A5B8">
      <w:pPr>
        <w:spacing w:line="440" w:lineRule="exact"/>
        <w:ind w:left="550" w:hanging="550" w:hangingChars="250"/>
        <w:rPr>
          <w:rFonts w:hint="eastAsia" w:ascii="宋体" w:hAnsi="宋体" w:eastAsia="宋体" w:cs="宋体"/>
          <w:color w:val="auto"/>
          <w:sz w:val="22"/>
          <w:szCs w:val="22"/>
          <w:highlight w:val="none"/>
        </w:rPr>
      </w:pPr>
    </w:p>
    <w:p w14:paraId="143FE817">
      <w:pPr>
        <w:spacing w:line="600" w:lineRule="exact"/>
        <w:jc w:val="center"/>
        <w:rPr>
          <w:rFonts w:hint="eastAsia" w:ascii="宋体" w:hAnsi="宋体" w:eastAsia="宋体" w:cs="宋体"/>
          <w:b/>
          <w:bCs/>
          <w:color w:val="auto"/>
          <w:sz w:val="52"/>
          <w:szCs w:val="52"/>
          <w:highlight w:val="none"/>
        </w:rPr>
      </w:pPr>
      <w:r>
        <w:rPr>
          <w:rFonts w:hint="eastAsia" w:ascii="宋体" w:hAnsi="宋体" w:eastAsia="宋体" w:cs="宋体"/>
          <w:b/>
          <w:color w:val="auto"/>
          <w:sz w:val="52"/>
          <w:szCs w:val="52"/>
          <w:highlight w:val="none"/>
        </w:rPr>
        <w:t>政 府 采 购 合 同</w:t>
      </w:r>
    </w:p>
    <w:p w14:paraId="5B62011F">
      <w:pPr>
        <w:spacing w:line="440" w:lineRule="exact"/>
        <w:ind w:left="550" w:hanging="550" w:hangingChars="250"/>
        <w:rPr>
          <w:rFonts w:hint="eastAsia" w:ascii="宋体" w:hAnsi="宋体" w:eastAsia="宋体" w:cs="宋体"/>
          <w:color w:val="auto"/>
          <w:sz w:val="22"/>
          <w:szCs w:val="22"/>
          <w:highlight w:val="none"/>
        </w:rPr>
      </w:pPr>
    </w:p>
    <w:p w14:paraId="4D347E28">
      <w:pPr>
        <w:spacing w:line="440" w:lineRule="exact"/>
        <w:ind w:left="550" w:hanging="550" w:hangingChars="250"/>
        <w:rPr>
          <w:rFonts w:hint="eastAsia" w:ascii="宋体" w:hAnsi="宋体" w:eastAsia="宋体" w:cs="宋体"/>
          <w:color w:val="auto"/>
          <w:sz w:val="22"/>
          <w:szCs w:val="22"/>
          <w:highlight w:val="none"/>
        </w:rPr>
      </w:pPr>
    </w:p>
    <w:p w14:paraId="5AB91915">
      <w:pPr>
        <w:spacing w:line="440" w:lineRule="exact"/>
        <w:ind w:left="550" w:hanging="550" w:hangingChars="250"/>
        <w:rPr>
          <w:rFonts w:hint="eastAsia" w:ascii="宋体" w:hAnsi="宋体" w:eastAsia="宋体" w:cs="宋体"/>
          <w:color w:val="auto"/>
          <w:sz w:val="22"/>
          <w:szCs w:val="22"/>
          <w:highlight w:val="none"/>
        </w:rPr>
      </w:pPr>
    </w:p>
    <w:p w14:paraId="134538C8">
      <w:pPr>
        <w:spacing w:line="440" w:lineRule="exact"/>
        <w:ind w:left="550" w:hanging="550" w:hangingChars="250"/>
        <w:rPr>
          <w:rFonts w:hint="eastAsia" w:ascii="宋体" w:hAnsi="宋体" w:eastAsia="宋体" w:cs="宋体"/>
          <w:color w:val="auto"/>
          <w:sz w:val="22"/>
          <w:szCs w:val="22"/>
          <w:highlight w:val="none"/>
        </w:rPr>
      </w:pPr>
    </w:p>
    <w:p w14:paraId="5CE4C4B6">
      <w:pPr>
        <w:spacing w:line="600" w:lineRule="exact"/>
        <w:ind w:left="4120" w:leftChars="1162" w:hanging="1680" w:hangingChars="6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项 目 名 称：</w:t>
      </w:r>
      <w:r>
        <w:rPr>
          <w:rFonts w:hint="eastAsia" w:ascii="宋体" w:hAnsi="宋体" w:eastAsia="宋体" w:cs="宋体"/>
          <w:color w:val="auto"/>
          <w:sz w:val="28"/>
          <w:highlight w:val="none"/>
          <w:u w:val="single"/>
        </w:rPr>
        <w:t xml:space="preserve">                       </w:t>
      </w:r>
    </w:p>
    <w:p w14:paraId="7A74ADA6">
      <w:pPr>
        <w:spacing w:line="600" w:lineRule="exact"/>
        <w:ind w:left="4026" w:leftChars="1184" w:hanging="1540" w:hangingChars="550"/>
        <w:rPr>
          <w:rFonts w:hint="eastAsia" w:ascii="宋体" w:hAnsi="宋体" w:eastAsia="宋体" w:cs="宋体"/>
          <w:color w:val="auto"/>
          <w:sz w:val="28"/>
          <w:highlight w:val="none"/>
        </w:rPr>
      </w:pPr>
      <w:r>
        <w:rPr>
          <w:rFonts w:hint="eastAsia" w:ascii="宋体" w:hAnsi="宋体" w:eastAsia="宋体" w:cs="宋体"/>
          <w:color w:val="auto"/>
          <w:sz w:val="28"/>
          <w:highlight w:val="none"/>
        </w:rPr>
        <w:t>项 目 地 点：</w:t>
      </w:r>
      <w:r>
        <w:rPr>
          <w:rFonts w:hint="eastAsia" w:ascii="宋体" w:hAnsi="宋体" w:eastAsia="宋体" w:cs="宋体"/>
          <w:color w:val="auto"/>
          <w:sz w:val="28"/>
          <w:highlight w:val="none"/>
          <w:u w:val="single"/>
        </w:rPr>
        <w:t xml:space="preserve">                       </w:t>
      </w:r>
    </w:p>
    <w:p w14:paraId="1301EE10">
      <w:pPr>
        <w:spacing w:line="600" w:lineRule="exact"/>
        <w:ind w:firstLine="2413" w:firstLineChars="862"/>
        <w:rPr>
          <w:rFonts w:hint="eastAsia" w:ascii="宋体" w:hAnsi="宋体" w:eastAsia="宋体" w:cs="宋体"/>
          <w:color w:val="auto"/>
          <w:sz w:val="28"/>
          <w:highlight w:val="none"/>
        </w:rPr>
      </w:pPr>
      <w:r>
        <w:rPr>
          <w:rFonts w:hint="eastAsia" w:ascii="宋体" w:hAnsi="宋体" w:eastAsia="宋体" w:cs="宋体"/>
          <w:color w:val="auto"/>
          <w:sz w:val="28"/>
          <w:highlight w:val="none"/>
        </w:rPr>
        <w:t>合 同 编 号：</w:t>
      </w:r>
      <w:r>
        <w:rPr>
          <w:rFonts w:hint="eastAsia" w:ascii="宋体" w:hAnsi="宋体" w:eastAsia="宋体" w:cs="宋体"/>
          <w:color w:val="auto"/>
          <w:sz w:val="28"/>
          <w:highlight w:val="none"/>
          <w:u w:val="single"/>
        </w:rPr>
        <w:t xml:space="preserve">                       </w:t>
      </w:r>
    </w:p>
    <w:p w14:paraId="1EFDC927">
      <w:pPr>
        <w:spacing w:line="600" w:lineRule="exact"/>
        <w:ind w:left="4061" w:leftChars="1134" w:hanging="1680" w:hangingChars="600"/>
        <w:rPr>
          <w:rFonts w:hint="eastAsia" w:ascii="宋体" w:hAnsi="宋体" w:eastAsia="宋体" w:cs="宋体"/>
          <w:color w:val="auto"/>
          <w:sz w:val="28"/>
          <w:highlight w:val="none"/>
        </w:rPr>
      </w:pPr>
    </w:p>
    <w:p w14:paraId="5AF217E1">
      <w:pPr>
        <w:spacing w:line="600" w:lineRule="exact"/>
        <w:ind w:left="4061" w:leftChars="1134" w:hanging="1680" w:hangingChars="600"/>
        <w:rPr>
          <w:rFonts w:hint="eastAsia" w:ascii="宋体" w:hAnsi="宋体" w:eastAsia="宋体" w:cs="宋体"/>
          <w:color w:val="auto"/>
          <w:sz w:val="28"/>
          <w:highlight w:val="none"/>
        </w:rPr>
      </w:pPr>
    </w:p>
    <w:p w14:paraId="18F974CB">
      <w:pPr>
        <w:spacing w:line="600" w:lineRule="exact"/>
        <w:ind w:left="4061" w:leftChars="1134" w:hanging="1680" w:hangingChars="600"/>
        <w:rPr>
          <w:rFonts w:hint="eastAsia" w:ascii="宋体" w:hAnsi="宋体" w:eastAsia="宋体" w:cs="宋体"/>
          <w:color w:val="auto"/>
          <w:sz w:val="28"/>
          <w:highlight w:val="none"/>
        </w:rPr>
      </w:pPr>
    </w:p>
    <w:p w14:paraId="69D545AD">
      <w:pPr>
        <w:spacing w:line="600" w:lineRule="exact"/>
        <w:ind w:left="4061" w:leftChars="1134" w:hanging="1680" w:hangingChars="600"/>
        <w:rPr>
          <w:rFonts w:hint="eastAsia" w:ascii="宋体" w:hAnsi="宋体" w:eastAsia="宋体" w:cs="宋体"/>
          <w:color w:val="auto"/>
          <w:sz w:val="28"/>
          <w:highlight w:val="none"/>
        </w:rPr>
      </w:pPr>
    </w:p>
    <w:p w14:paraId="61DD0795">
      <w:pPr>
        <w:spacing w:line="600" w:lineRule="exact"/>
        <w:ind w:left="4061" w:leftChars="1134" w:hanging="1680" w:hangingChars="600"/>
        <w:rPr>
          <w:rFonts w:hint="eastAsia" w:ascii="宋体" w:hAnsi="宋体" w:eastAsia="宋体" w:cs="宋体"/>
          <w:color w:val="auto"/>
          <w:sz w:val="28"/>
          <w:highlight w:val="none"/>
          <w:u w:val="single"/>
        </w:rPr>
      </w:pPr>
      <w:r>
        <w:rPr>
          <w:rFonts w:hint="eastAsia" w:ascii="宋体" w:hAnsi="宋体" w:eastAsia="宋体" w:cs="宋体"/>
          <w:color w:val="auto"/>
          <w:sz w:val="28"/>
          <w:highlight w:val="none"/>
        </w:rPr>
        <w:t>采 购 单 位：</w:t>
      </w:r>
      <w:r>
        <w:rPr>
          <w:rFonts w:hint="eastAsia" w:ascii="宋体" w:hAnsi="宋体" w:eastAsia="宋体" w:cs="宋体"/>
          <w:color w:val="auto"/>
          <w:sz w:val="28"/>
          <w:highlight w:val="none"/>
          <w:u w:val="single"/>
        </w:rPr>
        <w:t xml:space="preserve">                       </w:t>
      </w:r>
    </w:p>
    <w:p w14:paraId="007CB7DA">
      <w:pPr>
        <w:spacing w:line="600" w:lineRule="exact"/>
        <w:ind w:left="4301" w:leftChars="1134" w:hanging="1920" w:hangingChars="600"/>
        <w:rPr>
          <w:rFonts w:hint="eastAsia" w:ascii="宋体" w:hAnsi="宋体" w:eastAsia="宋体" w:cs="宋体"/>
          <w:color w:val="auto"/>
          <w:sz w:val="28"/>
          <w:highlight w:val="none"/>
          <w:u w:val="single"/>
        </w:rPr>
      </w:pPr>
      <w:r>
        <w:rPr>
          <w:rFonts w:hint="eastAsia" w:ascii="宋体" w:hAnsi="宋体" w:eastAsia="宋体" w:cs="宋体"/>
          <w:color w:val="auto"/>
          <w:spacing w:val="20"/>
          <w:sz w:val="28"/>
          <w:highlight w:val="none"/>
        </w:rPr>
        <w:t>中标供应商：</w:t>
      </w:r>
      <w:r>
        <w:rPr>
          <w:rFonts w:hint="eastAsia" w:ascii="宋体" w:hAnsi="宋体" w:eastAsia="宋体" w:cs="宋体"/>
          <w:color w:val="auto"/>
          <w:sz w:val="28"/>
          <w:highlight w:val="none"/>
          <w:u w:val="single"/>
        </w:rPr>
        <w:t xml:space="preserve">                      _</w:t>
      </w:r>
    </w:p>
    <w:p w14:paraId="771A6516">
      <w:pPr>
        <w:spacing w:line="600" w:lineRule="exact"/>
        <w:ind w:left="4061" w:leftChars="1134" w:hanging="1680" w:hangingChars="600"/>
        <w:rPr>
          <w:rFonts w:hint="eastAsia" w:ascii="宋体" w:hAnsi="宋体" w:eastAsia="宋体" w:cs="宋体"/>
          <w:color w:val="auto"/>
          <w:sz w:val="28"/>
          <w:highlight w:val="none"/>
        </w:rPr>
      </w:pPr>
      <w:r>
        <w:rPr>
          <w:rFonts w:hint="eastAsia" w:ascii="宋体" w:hAnsi="宋体" w:eastAsia="宋体" w:cs="宋体"/>
          <w:color w:val="auto"/>
          <w:sz w:val="28"/>
          <w:highlight w:val="none"/>
        </w:rPr>
        <w:t>签  订 日 期：</w:t>
      </w:r>
      <w:r>
        <w:rPr>
          <w:rFonts w:hint="eastAsia" w:ascii="宋体" w:hAnsi="宋体" w:eastAsia="宋体" w:cs="宋体"/>
          <w:color w:val="auto"/>
          <w:sz w:val="28"/>
          <w:highlight w:val="none"/>
          <w:u w:val="single"/>
        </w:rPr>
        <w:t xml:space="preserve">                      </w:t>
      </w:r>
    </w:p>
    <w:p w14:paraId="3FA44AF4">
      <w:pPr>
        <w:spacing w:line="600" w:lineRule="exact"/>
        <w:ind w:left="550" w:hanging="550" w:hangingChars="250"/>
        <w:rPr>
          <w:rFonts w:hint="eastAsia" w:ascii="宋体" w:hAnsi="宋体" w:eastAsia="宋体" w:cs="宋体"/>
          <w:color w:val="auto"/>
          <w:sz w:val="22"/>
          <w:szCs w:val="22"/>
          <w:highlight w:val="none"/>
        </w:rPr>
      </w:pPr>
    </w:p>
    <w:p w14:paraId="2D6EED6F">
      <w:pPr>
        <w:spacing w:line="600" w:lineRule="exact"/>
        <w:rPr>
          <w:rFonts w:hint="eastAsia" w:ascii="宋体" w:hAnsi="宋体" w:eastAsia="宋体" w:cs="宋体"/>
          <w:color w:val="auto"/>
          <w:sz w:val="22"/>
          <w:szCs w:val="22"/>
          <w:highlight w:val="none"/>
        </w:rPr>
      </w:pPr>
    </w:p>
    <w:p w14:paraId="0FBCD082">
      <w:pPr>
        <w:pStyle w:val="4"/>
        <w:rPr>
          <w:rFonts w:hint="eastAsia" w:ascii="宋体" w:hAnsi="宋体" w:eastAsia="宋体" w:cs="宋体"/>
          <w:color w:val="auto"/>
          <w:highlight w:val="none"/>
        </w:rPr>
      </w:pPr>
    </w:p>
    <w:p w14:paraId="66C877F0">
      <w:pPr>
        <w:spacing w:line="400" w:lineRule="exact"/>
        <w:ind w:firstLine="440" w:firstLineChars="200"/>
        <w:rPr>
          <w:rFonts w:hint="eastAsia" w:ascii="宋体" w:hAnsi="宋体" w:eastAsia="宋体" w:cs="宋体"/>
          <w:bCs/>
          <w:color w:val="auto"/>
          <w:sz w:val="22"/>
          <w:szCs w:val="22"/>
          <w:highlight w:val="none"/>
        </w:rPr>
      </w:pPr>
    </w:p>
    <w:p w14:paraId="1142D0B2">
      <w:pPr>
        <w:spacing w:line="400" w:lineRule="exact"/>
        <w:rPr>
          <w:rFonts w:hint="eastAsia" w:ascii="宋体" w:hAnsi="宋体" w:eastAsia="宋体" w:cs="宋体"/>
          <w:bCs/>
          <w:color w:val="auto"/>
          <w:sz w:val="22"/>
          <w:szCs w:val="22"/>
          <w:highlight w:val="none"/>
        </w:rPr>
      </w:pPr>
    </w:p>
    <w:p w14:paraId="77D52D70">
      <w:pPr>
        <w:spacing w:line="400" w:lineRule="exact"/>
        <w:rPr>
          <w:rFonts w:hint="eastAsia" w:ascii="宋体" w:hAnsi="宋体" w:eastAsia="宋体" w:cs="宋体"/>
          <w:bCs/>
          <w:color w:val="auto"/>
          <w:sz w:val="22"/>
          <w:szCs w:val="22"/>
          <w:highlight w:val="none"/>
        </w:rPr>
      </w:pPr>
    </w:p>
    <w:p w14:paraId="0C35F742">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采购单位： </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（以下简称甲方）</w:t>
      </w:r>
    </w:p>
    <w:p w14:paraId="0F30FD36">
      <w:pPr>
        <w:spacing w:line="40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中标供应商：</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 xml:space="preserve"> （以下简称乙方）</w:t>
      </w:r>
    </w:p>
    <w:p w14:paraId="274C8173">
      <w:pPr>
        <w:spacing w:line="4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温州市综合行政执法局的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(项目编号）在国内以公开方式进行采购，经评标委员会综合评定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（中标供应商名称）为中标供应商。</w:t>
      </w:r>
      <w:r>
        <w:rPr>
          <w:rFonts w:hint="eastAsia" w:ascii="宋体" w:hAnsi="宋体" w:eastAsia="宋体" w:cs="宋体"/>
          <w:bCs/>
          <w:color w:val="auto"/>
          <w:sz w:val="22"/>
          <w:szCs w:val="22"/>
          <w:highlight w:val="none"/>
        </w:rPr>
        <w:t>为了明确甲、乙双方的权利和义务，履行各自的职责，高效优质地完成本项目的各项活动任务，按照《中华人民共和国政府采购法》、《中华人民共和国民法典》等有关法律法规规定，经甲乙双方在平等、自愿的基础上共同协商一致，现签订合同如下。</w:t>
      </w:r>
    </w:p>
    <w:p w14:paraId="3DC274C6">
      <w:pPr>
        <w:numPr>
          <w:ilvl w:val="0"/>
          <w:numId w:val="5"/>
        </w:numPr>
        <w:tabs>
          <w:tab w:val="left" w:pos="420"/>
        </w:tabs>
        <w:spacing w:line="440" w:lineRule="exact"/>
        <w:ind w:hanging="93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合同项目名称</w:t>
      </w:r>
    </w:p>
    <w:p w14:paraId="05AE0913">
      <w:pPr>
        <w:spacing w:line="400" w:lineRule="exact"/>
        <w:ind w:firstLine="849" w:firstLineChars="386"/>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u w:val="single"/>
        </w:rPr>
        <w:t xml:space="preserve">                                              </w:t>
      </w:r>
    </w:p>
    <w:p w14:paraId="5E08BDBB">
      <w:pPr>
        <w:numPr>
          <w:ilvl w:val="0"/>
          <w:numId w:val="5"/>
        </w:numPr>
        <w:tabs>
          <w:tab w:val="left" w:pos="420"/>
        </w:tabs>
        <w:spacing w:line="440" w:lineRule="exact"/>
        <w:ind w:hanging="930"/>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合同文件</w:t>
      </w:r>
      <w:r>
        <w:rPr>
          <w:rFonts w:hint="eastAsia" w:ascii="宋体" w:hAnsi="宋体" w:eastAsia="宋体" w:cs="宋体"/>
          <w:b/>
          <w:color w:val="auto"/>
          <w:sz w:val="22"/>
          <w:szCs w:val="22"/>
          <w:highlight w:val="none"/>
        </w:rPr>
        <w:t>的组成</w:t>
      </w:r>
    </w:p>
    <w:p w14:paraId="5018AFE5">
      <w:pPr>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下列文件构成本合同的组成部分：</w:t>
      </w:r>
    </w:p>
    <w:p w14:paraId="538C5846">
      <w:pPr>
        <w:widowControl/>
        <w:numPr>
          <w:ilvl w:val="0"/>
          <w:numId w:val="6"/>
        </w:num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合同主要条款</w:t>
      </w:r>
    </w:p>
    <w:p w14:paraId="7AC770DF">
      <w:pPr>
        <w:widowControl/>
        <w:numPr>
          <w:ilvl w:val="0"/>
          <w:numId w:val="6"/>
        </w:num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合同补充条款或说明（如有） </w:t>
      </w:r>
    </w:p>
    <w:p w14:paraId="5FD64A4F">
      <w:pPr>
        <w:spacing w:line="40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 承诺书（含询标时承诺）</w:t>
      </w:r>
    </w:p>
    <w:p w14:paraId="614EA221">
      <w:pPr>
        <w:spacing w:line="40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 中标通知书 </w:t>
      </w:r>
    </w:p>
    <w:p w14:paraId="0AD90053">
      <w:pPr>
        <w:spacing w:line="40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 招标文件 </w:t>
      </w:r>
    </w:p>
    <w:p w14:paraId="4B414193">
      <w:pPr>
        <w:spacing w:line="400" w:lineRule="exact"/>
        <w:ind w:firstLine="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 投标文件</w:t>
      </w:r>
    </w:p>
    <w:p w14:paraId="36435592">
      <w:pPr>
        <w:numPr>
          <w:ilvl w:val="0"/>
          <w:numId w:val="5"/>
        </w:numPr>
        <w:tabs>
          <w:tab w:val="left" w:pos="420"/>
        </w:tabs>
        <w:spacing w:line="440" w:lineRule="exact"/>
        <w:ind w:hanging="93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合同金额及付款方式</w:t>
      </w:r>
    </w:p>
    <w:p w14:paraId="366930AC">
      <w:pPr>
        <w:pStyle w:val="7"/>
        <w:numPr>
          <w:ilvl w:val="0"/>
          <w:numId w:val="7"/>
        </w:numPr>
        <w:adjustRightInd w:val="0"/>
        <w:snapToGrid w:val="0"/>
        <w:spacing w:after="0" w:line="400" w:lineRule="exact"/>
        <w:ind w:left="323" w:hanging="323" w:hangingChars="147"/>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 xml:space="preserve">合同金额：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万元（小写</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元）</w:t>
      </w:r>
      <w:r>
        <w:rPr>
          <w:rFonts w:hint="eastAsia" w:ascii="宋体" w:hAnsi="宋体" w:eastAsia="宋体" w:cs="宋体"/>
          <w:bCs/>
          <w:color w:val="auto"/>
          <w:sz w:val="22"/>
          <w:szCs w:val="22"/>
          <w:highlight w:val="none"/>
        </w:rPr>
        <w:t>，包括各项活动任务的策划、组织、管理、实施，以及人员费用、设施设备使用费用、交通食宿费用、会场租赁、会场布置、安全措施、活动邀请、媒体宣传推广、资料印制、不可预见费用、企业管理费、利润、税金、项目履约验收费用及处理一切伤亡事故等完成合同所需的一切本身和不可或缺的所有工作开支、政策性文件规定及合同包含的所有风险、责任等各项全部费用。</w:t>
      </w:r>
    </w:p>
    <w:p w14:paraId="02B448B5">
      <w:pPr>
        <w:overflowPunct w:val="0"/>
        <w:spacing w:line="400" w:lineRule="exact"/>
        <w:ind w:left="-14" w:leftChars="-19" w:hanging="26" w:hangingChars="1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2、各项工作活动服务价格：</w:t>
      </w:r>
      <w:r>
        <w:rPr>
          <w:rFonts w:hint="eastAsia" w:ascii="宋体" w:hAnsi="宋体" w:eastAsia="宋体" w:cs="宋体"/>
          <w:color w:val="auto"/>
          <w:sz w:val="22"/>
          <w:szCs w:val="22"/>
          <w:highlight w:val="none"/>
          <w:u w:val="single"/>
        </w:rPr>
        <w:t>见投标文件“投标分项报价表”</w:t>
      </w:r>
      <w:r>
        <w:rPr>
          <w:rFonts w:hint="eastAsia" w:ascii="宋体" w:hAnsi="宋体" w:eastAsia="宋体" w:cs="宋体"/>
          <w:color w:val="auto"/>
          <w:sz w:val="22"/>
          <w:szCs w:val="22"/>
          <w:highlight w:val="none"/>
        </w:rPr>
        <w:t>。</w:t>
      </w:r>
    </w:p>
    <w:p w14:paraId="13A05C20">
      <w:pPr>
        <w:overflowPunct w:val="0"/>
        <w:spacing w:line="400" w:lineRule="exact"/>
        <w:ind w:left="-14" w:leftChars="-19" w:hanging="26" w:hangingChars="1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u w:val="single"/>
        </w:rPr>
        <w:t>付款方式</w:t>
      </w:r>
      <w:r>
        <w:rPr>
          <w:rFonts w:hint="eastAsia" w:ascii="宋体" w:hAnsi="宋体" w:eastAsia="宋体" w:cs="宋体"/>
          <w:color w:val="auto"/>
          <w:sz w:val="22"/>
          <w:szCs w:val="22"/>
          <w:highlight w:val="none"/>
        </w:rPr>
        <w:t>：</w:t>
      </w:r>
    </w:p>
    <w:p w14:paraId="72EF1CC6">
      <w:pPr>
        <w:pStyle w:val="7"/>
        <w:adjustRightInd w:val="0"/>
        <w:snapToGrid w:val="0"/>
        <w:spacing w:after="0" w:line="400" w:lineRule="exact"/>
        <w:ind w:left="543" w:hanging="543" w:hangingChars="247"/>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kern w:val="0"/>
          <w:sz w:val="22"/>
          <w:szCs w:val="22"/>
          <w:highlight w:val="none"/>
        </w:rPr>
        <w:t>第一笔付款：</w:t>
      </w:r>
      <w:r>
        <w:rPr>
          <w:rFonts w:hint="eastAsia" w:ascii="宋体" w:hAnsi="宋体" w:eastAsia="宋体" w:cs="宋体"/>
          <w:color w:val="auto"/>
          <w:sz w:val="22"/>
          <w:szCs w:val="22"/>
          <w:highlight w:val="none"/>
        </w:rPr>
        <w:t>合同签订后</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甲方在乙方提交正式发票后7个工作日内支付合同总价的</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 xml:space="preserve">0 </w:t>
      </w:r>
      <w:r>
        <w:rPr>
          <w:rFonts w:hint="eastAsia" w:ascii="宋体" w:hAnsi="宋体" w:eastAsia="宋体" w:cs="宋体"/>
          <w:color w:val="auto"/>
          <w:sz w:val="22"/>
          <w:szCs w:val="22"/>
          <w:highlight w:val="none"/>
        </w:rPr>
        <w:t>%作为预付款</w:t>
      </w:r>
      <w:r>
        <w:rPr>
          <w:rFonts w:hint="eastAsia" w:ascii="宋体" w:hAnsi="宋体" w:eastAsia="宋体" w:cs="宋体"/>
          <w:bCs/>
          <w:color w:val="auto"/>
          <w:sz w:val="22"/>
          <w:szCs w:val="22"/>
          <w:highlight w:val="none"/>
        </w:rPr>
        <w:t>；</w:t>
      </w:r>
    </w:p>
    <w:p w14:paraId="37ADD6D1">
      <w:pPr>
        <w:pStyle w:val="7"/>
        <w:adjustRightInd w:val="0"/>
        <w:snapToGrid w:val="0"/>
        <w:spacing w:after="0" w:line="400" w:lineRule="exact"/>
        <w:ind w:left="543" w:hanging="543" w:hangingChars="247"/>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（2）第二笔付款：合同服务内容全部完成并通过</w:t>
      </w:r>
      <w:r>
        <w:rPr>
          <w:rFonts w:hint="eastAsia" w:ascii="宋体" w:hAnsi="宋体" w:eastAsia="宋体" w:cs="宋体"/>
          <w:bCs/>
          <w:color w:val="auto"/>
          <w:sz w:val="22"/>
          <w:highlight w:val="none"/>
        </w:rPr>
        <w:t>甲方验收合格后，</w:t>
      </w:r>
      <w:r>
        <w:rPr>
          <w:rFonts w:hint="eastAsia" w:ascii="宋体" w:hAnsi="宋体" w:eastAsia="宋体" w:cs="宋体"/>
          <w:bCs/>
          <w:color w:val="auto"/>
          <w:sz w:val="22"/>
          <w:szCs w:val="22"/>
          <w:highlight w:val="none"/>
        </w:rPr>
        <w:t>甲方</w:t>
      </w:r>
      <w:r>
        <w:rPr>
          <w:rFonts w:hint="eastAsia" w:ascii="宋体" w:hAnsi="宋体" w:eastAsia="宋体" w:cs="宋体"/>
          <w:color w:val="auto"/>
          <w:sz w:val="22"/>
          <w:szCs w:val="22"/>
          <w:highlight w:val="none"/>
        </w:rPr>
        <w:t>在乙方提交正式发票后7个工作日内支付剩余合同款。</w:t>
      </w:r>
    </w:p>
    <w:p w14:paraId="72E079BF">
      <w:pPr>
        <w:pStyle w:val="7"/>
        <w:adjustRightInd w:val="0"/>
        <w:snapToGrid w:val="0"/>
        <w:spacing w:after="0" w:line="400" w:lineRule="exact"/>
        <w:ind w:left="543" w:hanging="543" w:hangingChars="24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（3）付款以甲方收到乙方有效的发票并且财政资金拨付到位</w:t>
      </w:r>
      <w:r>
        <w:rPr>
          <w:rFonts w:hint="eastAsia" w:ascii="宋体" w:hAnsi="宋体" w:eastAsia="宋体" w:cs="宋体"/>
          <w:color w:val="auto"/>
          <w:sz w:val="22"/>
          <w:szCs w:val="22"/>
          <w:highlight w:val="none"/>
          <w:lang w:val="en-US" w:eastAsia="zh-CN"/>
        </w:rPr>
        <w:t>为前提条件，若前提条件尚不满足的，付款时间未开始计算</w:t>
      </w:r>
      <w:r>
        <w:rPr>
          <w:rFonts w:hint="eastAsia" w:ascii="宋体" w:hAnsi="宋体" w:eastAsia="宋体" w:cs="宋体"/>
          <w:color w:val="auto"/>
          <w:sz w:val="22"/>
          <w:szCs w:val="22"/>
          <w:highlight w:val="none"/>
        </w:rPr>
        <w:t>。</w:t>
      </w:r>
    </w:p>
    <w:p w14:paraId="2BE522C0">
      <w:pPr>
        <w:widowControl/>
        <w:tabs>
          <w:tab w:val="left" w:pos="0"/>
        </w:tabs>
        <w:spacing w:line="400" w:lineRule="exact"/>
        <w:ind w:left="550" w:right="60" w:hanging="550" w:hangingChars="2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4、合同款甲方将通过转账方式汇入乙方以下银行账户（乙方为联合体的，甲方将合同款全部转账至联合体牵头人银行账户，由其根据约定金额向其他各方转付）：</w:t>
      </w:r>
    </w:p>
    <w:p w14:paraId="289F884D">
      <w:pPr>
        <w:pStyle w:val="8"/>
        <w:spacing w:after="0" w:line="400" w:lineRule="exact"/>
        <w:ind w:left="437" w:leftChars="208"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户名：</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 xml:space="preserve"> ‍</w:t>
      </w:r>
    </w:p>
    <w:p w14:paraId="58AB7615">
      <w:pPr>
        <w:pStyle w:val="8"/>
        <w:spacing w:after="0" w:line="400" w:lineRule="exact"/>
        <w:ind w:left="437" w:leftChars="208"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账号：</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 xml:space="preserve"> </w:t>
      </w:r>
    </w:p>
    <w:p w14:paraId="67929F08">
      <w:pPr>
        <w:pStyle w:val="8"/>
        <w:spacing w:after="0" w:line="400" w:lineRule="exact"/>
        <w:ind w:left="437" w:leftChars="208" w:firstLine="0" w:firstLineChars="0"/>
        <w:rPr>
          <w:rFonts w:hint="eastAsia" w:ascii="宋体" w:hAnsi="宋体" w:eastAsia="宋体" w:cs="宋体"/>
          <w:color w:val="auto"/>
          <w:highlight w:val="none"/>
        </w:rPr>
      </w:pPr>
      <w:r>
        <w:rPr>
          <w:rFonts w:hint="eastAsia" w:ascii="宋体" w:hAnsi="宋体" w:eastAsia="宋体" w:cs="宋体"/>
          <w:color w:val="auto"/>
          <w:sz w:val="22"/>
          <w:szCs w:val="22"/>
          <w:highlight w:val="none"/>
          <w:lang w:bidi="ar"/>
        </w:rPr>
        <w:t>开户行：</w:t>
      </w:r>
      <w:r>
        <w:rPr>
          <w:rFonts w:hint="eastAsia" w:ascii="宋体" w:hAnsi="宋体" w:eastAsia="宋体" w:cs="宋体"/>
          <w:color w:val="auto"/>
          <w:sz w:val="22"/>
          <w:szCs w:val="22"/>
          <w:highlight w:val="none"/>
          <w:u w:val="single"/>
          <w:lang w:bidi="ar"/>
        </w:rPr>
        <w:t xml:space="preserve">                           </w:t>
      </w:r>
    </w:p>
    <w:p w14:paraId="20A605A3">
      <w:pPr>
        <w:numPr>
          <w:ilvl w:val="0"/>
          <w:numId w:val="5"/>
        </w:numPr>
        <w:tabs>
          <w:tab w:val="left" w:pos="420"/>
        </w:tabs>
        <w:spacing w:line="440" w:lineRule="exact"/>
        <w:ind w:hanging="93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w:t>
      </w:r>
      <w:r>
        <w:rPr>
          <w:rFonts w:hint="eastAsia" w:ascii="宋体" w:hAnsi="宋体" w:eastAsia="宋体" w:cs="宋体"/>
          <w:b/>
          <w:color w:val="auto"/>
          <w:sz w:val="22"/>
          <w:szCs w:val="22"/>
          <w:highlight w:val="none"/>
        </w:rPr>
        <w:t>服务内容及要求</w:t>
      </w:r>
    </w:p>
    <w:p w14:paraId="0F6E6479">
      <w:pPr>
        <w:widowControl/>
        <w:numPr>
          <w:ilvl w:val="0"/>
          <w:numId w:val="8"/>
        </w:numPr>
        <w:overflowPunct w:val="0"/>
        <w:spacing w:line="40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具体内容及服务要求：</w:t>
      </w:r>
      <w:r>
        <w:rPr>
          <w:rFonts w:hint="eastAsia" w:ascii="宋体" w:hAnsi="宋体" w:eastAsia="宋体" w:cs="宋体"/>
          <w:color w:val="auto"/>
          <w:sz w:val="22"/>
          <w:szCs w:val="22"/>
          <w:highlight w:val="none"/>
          <w:u w:val="single"/>
        </w:rPr>
        <w:t xml:space="preserve">见招标文件第四部分“采购内容及要求”相关内容 </w:t>
      </w:r>
    </w:p>
    <w:p w14:paraId="0E88A307">
      <w:pPr>
        <w:widowControl/>
        <w:numPr>
          <w:ilvl w:val="0"/>
          <w:numId w:val="8"/>
        </w:numPr>
        <w:overflowPunct w:val="0"/>
        <w:spacing w:line="40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项目服务期限：</w:t>
      </w:r>
      <w:r>
        <w:rPr>
          <w:rFonts w:hint="eastAsia" w:ascii="宋体" w:hAnsi="宋体" w:eastAsia="宋体" w:cs="宋体"/>
          <w:bCs/>
          <w:color w:val="auto"/>
          <w:kern w:val="1"/>
          <w:sz w:val="22"/>
          <w:szCs w:val="22"/>
          <w:highlight w:val="none"/>
          <w:u w:val="single"/>
        </w:rPr>
        <w:t>合同签订之日起到</w:t>
      </w:r>
      <w:r>
        <w:rPr>
          <w:rFonts w:hint="eastAsia" w:ascii="宋体" w:hAnsi="宋体" w:eastAsia="宋体" w:cs="宋体"/>
          <w:color w:val="auto"/>
          <w:sz w:val="22"/>
          <w:szCs w:val="22"/>
          <w:highlight w:val="none"/>
          <w:u w:val="single"/>
        </w:rPr>
        <w:t>2025年1</w:t>
      </w:r>
      <w:r>
        <w:rPr>
          <w:rFonts w:hint="eastAsia" w:ascii="宋体" w:hAnsi="宋体" w:eastAsia="宋体" w:cs="宋体"/>
          <w:color w:val="auto"/>
          <w:sz w:val="22"/>
          <w:szCs w:val="22"/>
          <w:highlight w:val="none"/>
          <w:u w:val="single"/>
          <w:lang w:val="en-US" w:eastAsia="zh-CN"/>
        </w:rPr>
        <w:t>1</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10</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u w:val="single"/>
          <w:lang w:eastAsia="zh-CN"/>
        </w:rPr>
        <w:t>，因甲方宣传需要部分宣传项目活动投放内容有延迟组织的，以实际双方协商日期为准</w:t>
      </w:r>
      <w:r>
        <w:rPr>
          <w:rFonts w:hint="eastAsia" w:ascii="宋体" w:hAnsi="宋体" w:eastAsia="宋体" w:cs="宋体"/>
          <w:bCs/>
          <w:color w:val="auto"/>
          <w:kern w:val="1"/>
          <w:sz w:val="22"/>
          <w:szCs w:val="22"/>
          <w:highlight w:val="none"/>
          <w:u w:val="single"/>
        </w:rPr>
        <w:t>，</w:t>
      </w:r>
      <w:r>
        <w:rPr>
          <w:rFonts w:hint="eastAsia" w:ascii="宋体" w:hAnsi="宋体" w:eastAsia="宋体" w:cs="宋体"/>
          <w:color w:val="auto"/>
          <w:sz w:val="22"/>
          <w:szCs w:val="22"/>
          <w:highlight w:val="none"/>
          <w:u w:val="single"/>
        </w:rPr>
        <w:t>具体各项活动开展时间按甲方要求执行。</w:t>
      </w:r>
    </w:p>
    <w:p w14:paraId="4CBF0EB3">
      <w:pPr>
        <w:widowControl/>
        <w:numPr>
          <w:ilvl w:val="0"/>
          <w:numId w:val="8"/>
        </w:numPr>
        <w:overflowPunct w:val="0"/>
        <w:spacing w:line="400" w:lineRule="exact"/>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人员要求：</w:t>
      </w:r>
      <w:r>
        <w:rPr>
          <w:rFonts w:hint="eastAsia" w:ascii="宋体" w:hAnsi="宋体" w:eastAsia="宋体" w:cs="宋体"/>
          <w:color w:val="auto"/>
          <w:sz w:val="22"/>
          <w:szCs w:val="22"/>
          <w:highlight w:val="none"/>
          <w:u w:val="single"/>
        </w:rPr>
        <w:t xml:space="preserve">  见投标文件项目组人员名单                  </w:t>
      </w:r>
    </w:p>
    <w:p w14:paraId="6E310C8D">
      <w:pPr>
        <w:widowControl/>
        <w:numPr>
          <w:ilvl w:val="0"/>
          <w:numId w:val="8"/>
        </w:numPr>
        <w:overflowPunct w:val="0"/>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其他增加条款（如有）：</w:t>
      </w:r>
      <w:r>
        <w:rPr>
          <w:rFonts w:hint="eastAsia" w:ascii="宋体" w:hAnsi="宋体" w:eastAsia="宋体" w:cs="宋体"/>
          <w:color w:val="auto"/>
          <w:sz w:val="22"/>
          <w:szCs w:val="22"/>
          <w:highlight w:val="none"/>
          <w:u w:val="single"/>
        </w:rPr>
        <w:t xml:space="preserve">                                       </w:t>
      </w:r>
    </w:p>
    <w:p w14:paraId="089AD820">
      <w:pPr>
        <w:numPr>
          <w:ilvl w:val="0"/>
          <w:numId w:val="5"/>
        </w:numPr>
        <w:tabs>
          <w:tab w:val="left" w:pos="420"/>
        </w:tabs>
        <w:spacing w:line="440" w:lineRule="exact"/>
        <w:ind w:hanging="93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权利和义务</w:t>
      </w:r>
    </w:p>
    <w:p w14:paraId="3FB26EE1">
      <w:pPr>
        <w:overflowPunct w:val="0"/>
        <w:spacing w:line="44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（一）甲方权利和义务</w:t>
      </w:r>
    </w:p>
    <w:p w14:paraId="310B6D36">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有权要求乙方全面、高效、优质的履行合同规定的要求（包括招标文件的要求及履约过程中甲方交待的事项）以及乙方承诺的义务（包括投标文件的承诺），有权对项目实施过程中的决策、控制、实施等环节实行全面管理，协调和监督项目生产工作开展，进行中间检查，组织成果评审，</w:t>
      </w:r>
      <w:r>
        <w:rPr>
          <w:rFonts w:hint="eastAsia" w:ascii="宋体" w:hAnsi="宋体" w:eastAsia="宋体" w:cs="宋体"/>
          <w:color w:val="auto"/>
          <w:sz w:val="22"/>
          <w:szCs w:val="22"/>
          <w:highlight w:val="none"/>
          <w:lang w:bidi="ar"/>
        </w:rPr>
        <w:t>有权对发现的问题要求乙方限期予以整改</w:t>
      </w:r>
      <w:r>
        <w:rPr>
          <w:rFonts w:hint="eastAsia" w:ascii="宋体" w:hAnsi="宋体" w:eastAsia="宋体" w:cs="宋体"/>
          <w:color w:val="auto"/>
          <w:sz w:val="22"/>
          <w:szCs w:val="22"/>
          <w:highlight w:val="none"/>
        </w:rPr>
        <w:t>。</w:t>
      </w:r>
    </w:p>
    <w:p w14:paraId="72A9CD82">
      <w:pPr>
        <w:numPr>
          <w:ilvl w:val="0"/>
          <w:numId w:val="9"/>
        </w:numPr>
        <w:tabs>
          <w:tab w:val="left" w:pos="482"/>
        </w:tabs>
        <w:spacing w:line="440" w:lineRule="exact"/>
        <w:ind w:left="623" w:leftChars="135" w:hanging="340"/>
        <w:rPr>
          <w:rFonts w:hint="eastAsia" w:ascii="宋体" w:hAnsi="宋体" w:eastAsia="宋体" w:cs="宋体"/>
          <w:color w:val="auto"/>
          <w:highlight w:val="none"/>
        </w:rPr>
      </w:pPr>
      <w:r>
        <w:rPr>
          <w:rFonts w:hint="eastAsia" w:ascii="宋体" w:hAnsi="宋体" w:eastAsia="宋体" w:cs="宋体"/>
          <w:color w:val="auto"/>
          <w:sz w:val="22"/>
          <w:szCs w:val="22"/>
          <w:highlight w:val="none"/>
        </w:rPr>
        <w:t>甲方有权对乙方不履行合同义务及其投标承诺的行为，或者在甲方要求的限期内未达到整改要求的行为进行违约处罚，乙方承担违约责任，给甲方造成损失的应赔偿甲方相应的损失。</w:t>
      </w:r>
    </w:p>
    <w:p w14:paraId="1A0AE257">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甲方有权审查乙方编制的技术文件，检查乙方项目组的组成和人员到位情况、人员稳定情况。如因人力、能力不足致使项目工作不能按计划完成时，甲方有权要求其增加或调整相应的技术人员。</w:t>
      </w:r>
    </w:p>
    <w:p w14:paraId="35AC0418">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有权对乙方不胜任项目工作的人员发出撤换的指令，由此造成的费用增加和进度延期责任由乙方承担。甲方有权根据工作需要将乙方经整改后仍不能胜任的部分另行指定其它单位完成，费用从原合同服务费中开支。</w:t>
      </w:r>
    </w:p>
    <w:p w14:paraId="0C989099">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检查乙方是否按进度计划及要求开展工作，是否落实了进度控制的各项措施，未达到要求的，甲方有权要求乙方进行整改，整改后仍未达到要求的，乙方承担违约责任。</w:t>
      </w:r>
    </w:p>
    <w:p w14:paraId="6C9A12A6">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在合同有效期内，甲方应当履行合同约定的义务，如有违反，则应当承担违约责任。</w:t>
      </w:r>
    </w:p>
    <w:p w14:paraId="63A0862D">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甲方应按时向乙方支付合同款项，但如出现乙方应支付违约金的情况，双方一致同意应在乙方支付违约金后，甲方再支付相应合同款。</w:t>
      </w:r>
    </w:p>
    <w:p w14:paraId="4950DDD7">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的项目预算由政府拨款，如因政策影响，拨款未能及时到位致使合同款项延期支付，乙方不得以此为由而不履行本合同规定的义务，否则，甲方有权要求乙方承担违约责任，支付违约金，并有权单方终止合同而不承担任何违约责任。</w:t>
      </w:r>
    </w:p>
    <w:p w14:paraId="2E03413A">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甲方需及时对乙方递交的各项活动策划实施方案进行审核并予以确认，方案须经甲方确认同意后乙方才能执行。</w:t>
      </w:r>
    </w:p>
    <w:p w14:paraId="36274B42">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甲方需积极协助配合乙方开展相关工作，协助乙方解决问题、使之顺利开展工作。</w:t>
      </w:r>
    </w:p>
    <w:p w14:paraId="48680482">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在合同履行期间，如因甲方原因提出解除合同的，甲方应根据乙方已完成的有效</w:t>
      </w:r>
      <w:r>
        <w:rPr>
          <w:rFonts w:hint="eastAsia" w:ascii="宋体" w:hAnsi="宋体" w:eastAsia="宋体" w:cs="宋体"/>
          <w:color w:val="auto"/>
          <w:sz w:val="22"/>
          <w:szCs w:val="22"/>
          <w:highlight w:val="none"/>
        </w:rPr>
        <w:t>（即已为甲方认可接收）</w:t>
      </w:r>
      <w:r>
        <w:rPr>
          <w:rFonts w:hint="eastAsia" w:ascii="宋体" w:hAnsi="宋体" w:eastAsia="宋体" w:cs="宋体"/>
          <w:color w:val="auto"/>
          <w:sz w:val="22"/>
          <w:szCs w:val="22"/>
          <w:highlight w:val="none"/>
          <w:lang w:bidi="ar"/>
        </w:rPr>
        <w:t>工作成果及合同约定支付相应的费用。</w:t>
      </w:r>
    </w:p>
    <w:p w14:paraId="38D14437">
      <w:pPr>
        <w:numPr>
          <w:ilvl w:val="0"/>
          <w:numId w:val="9"/>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合同规定的其他权利义务。</w:t>
      </w:r>
    </w:p>
    <w:p w14:paraId="326446FF">
      <w:p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（二）乙方权利和义务</w:t>
      </w:r>
    </w:p>
    <w:p w14:paraId="56ABD376">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乙方有权根据合同约定领取项目合同款。</w:t>
      </w:r>
    </w:p>
    <w:p w14:paraId="7CD70A02">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在承包范围内全面、高效、优质的履行合同规定的各项要求（包括招标文件的要求及履约过程中甲方交待的事项）以及乙方承诺的义务（包括投标文件的承诺），应接受甲方的管理、监督、检查及指导，在项目实施过程中出现问题应及时的纠正并向甲方进行通报。</w:t>
      </w:r>
    </w:p>
    <w:p w14:paraId="7CD04E8B">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乙方有义务配合甲方完成各阶段审查工作，有义务向甲方提供相关技术咨询服务，有义务满足甲方提出的合理的工作要求。</w:t>
      </w:r>
    </w:p>
    <w:p w14:paraId="1D1CEF66">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按甲方的要求开展工作，各项活动策划实施方案应提前10个工作日报送甲方审核，并经甲方同意后实施。如在各项活动实施过程中计划或方案出现变更情况时，应及时向甲方提出，并在征得甲方的同意后方可实施。</w:t>
      </w:r>
    </w:p>
    <w:p w14:paraId="0451F01E">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在项目实施过程中不得擅自更换投标文件中承诺的项目组人员，非必要不允许更换，若确实需要更换的必须经甲方认可，更换后的人员专业素质、技术能力及经验等不能低于原人员水平。如甲方对项目组人员技术能力或服务态度不满意的，乙方必须按甲方要求及时更换。</w:t>
      </w:r>
    </w:p>
    <w:p w14:paraId="02084D82">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乙方必须对本项目涉及到的资料及成果承担安全、保密责任。</w:t>
      </w:r>
    </w:p>
    <w:p w14:paraId="34A3E2E1">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甲方不承担乙方在合同履行过程中因其责任引起的一切事故、法律纠纷和经济责任，乙方须自行负责处理并承担合同履行过程中涉及第三方的所有事故及人身伤害在内的一切法律责任及一切经济赔偿费用。</w:t>
      </w:r>
    </w:p>
    <w:p w14:paraId="768F2180">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乙方应严格遵守国家有关法律、法规，若有违反，由此造成的一切后果由乙方承担。乙方如因上述原因造成合同实施风险，甲方有权单方终止，且不负任何赔偿责任。</w:t>
      </w:r>
    </w:p>
    <w:p w14:paraId="1A64BF5C">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本项目不得转包或未经甲方同意擅自分包，否则甲方可按违约条款扣罚相应违约金并有权否决或终止项目合同，由此给甲方带来的一切损失，由乙方承担。</w:t>
      </w:r>
    </w:p>
    <w:p w14:paraId="2B4AC079">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乙方工作人员在项目履行过程中的安全作业及相关责任、赔偿等由乙方全权负责和承担，乙方应切实做好安全防范工作，避免在工作中出现人身与财产的意外损害。</w:t>
      </w:r>
    </w:p>
    <w:p w14:paraId="498F14B2">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乙方应积极配合甲方完成项目履约验收工作，并承担履约验收产生的所有费用。在线下验收完成后，按照《温州市政府采购线上履约验收工作细则》及时完成线上验收申请。</w:t>
      </w:r>
    </w:p>
    <w:p w14:paraId="79850750">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本合同执行中相关的一切税费均由乙方负担。</w:t>
      </w:r>
    </w:p>
    <w:p w14:paraId="6184BEC0">
      <w:pPr>
        <w:numPr>
          <w:ilvl w:val="0"/>
          <w:numId w:val="10"/>
        </w:numPr>
        <w:tabs>
          <w:tab w:val="left" w:pos="482"/>
        </w:tabs>
        <w:spacing w:line="440" w:lineRule="exact"/>
        <w:ind w:left="623" w:leftChars="135" w:hanging="3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合同规定的其他权利义务。</w:t>
      </w:r>
    </w:p>
    <w:p w14:paraId="56908239">
      <w:pPr>
        <w:numPr>
          <w:ilvl w:val="0"/>
          <w:numId w:val="5"/>
        </w:numPr>
        <w:tabs>
          <w:tab w:val="left" w:pos="420"/>
        </w:tabs>
        <w:spacing w:line="44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 xml:space="preserve"> 项目验收</w:t>
      </w:r>
    </w:p>
    <w:p w14:paraId="0205856B">
      <w:pPr>
        <w:spacing w:line="400" w:lineRule="exact"/>
        <w:ind w:left="558" w:leftChars="100" w:hanging="348" w:hangingChars="15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w:t>
      </w:r>
      <w:r>
        <w:rPr>
          <w:rFonts w:hint="eastAsia" w:ascii="宋体" w:hAnsi="宋体" w:eastAsia="宋体" w:cs="宋体"/>
          <w:color w:val="auto"/>
          <w:sz w:val="22"/>
          <w:szCs w:val="22"/>
          <w:highlight w:val="none"/>
        </w:rPr>
        <w:t>本项目将于2025年</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月</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前组织验收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eastAsia="zh-CN"/>
        </w:rPr>
        <w:t>因甲方宣传需要部分宣传项目活动投放内容有延迟组织的，以实际双方协商日期为准</w:t>
      </w:r>
      <w:r>
        <w:rPr>
          <w:rFonts w:hint="eastAsia" w:ascii="宋体" w:hAnsi="宋体" w:eastAsia="宋体" w:cs="宋体"/>
          <w:color w:val="auto"/>
          <w:sz w:val="22"/>
          <w:szCs w:val="22"/>
          <w:highlight w:val="none"/>
        </w:rPr>
        <w:t>。</w:t>
      </w:r>
      <w:r>
        <w:rPr>
          <w:rFonts w:hint="eastAsia" w:ascii="宋体" w:hAnsi="宋体" w:eastAsia="宋体" w:cs="宋体"/>
          <w:color w:val="auto"/>
          <w:spacing w:val="6"/>
          <w:sz w:val="22"/>
          <w:szCs w:val="22"/>
          <w:highlight w:val="none"/>
        </w:rPr>
        <w:t>项目合同期结束后，乙方可向甲方提出验收申请，并同时提交验收所需完备的文档资料。甲方将根据《温州市政府采购履约验收办法》有关规定及招标文件、投标文件、采购合同等约定的服务要求和标准组织验收。验收不合格的，乙方应在7个工作日内容进行整改，整改结束后，向甲方重新提出组织验收申请，期间因整改不到位导致</w:t>
      </w:r>
      <w:r>
        <w:rPr>
          <w:rFonts w:hint="eastAsia" w:ascii="宋体" w:hAnsi="宋体" w:eastAsia="宋体" w:cs="宋体"/>
          <w:color w:val="auto"/>
          <w:kern w:val="0"/>
          <w:sz w:val="22"/>
          <w:szCs w:val="22"/>
          <w:highlight w:val="none"/>
        </w:rPr>
        <w:t>第二笔付款无法支付的，相应后果由乙方自行承担。</w:t>
      </w:r>
    </w:p>
    <w:p w14:paraId="083838CE">
      <w:pPr>
        <w:spacing w:line="400" w:lineRule="exact"/>
        <w:ind w:left="558" w:leftChars="100" w:hanging="348" w:hangingChars="15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2、履约验收产生的会务组织、专家劳务报酬等相关验收费用支出，由乙方负责承担。</w:t>
      </w:r>
    </w:p>
    <w:p w14:paraId="0A49DC24">
      <w:pPr>
        <w:numPr>
          <w:ilvl w:val="0"/>
          <w:numId w:val="5"/>
        </w:numPr>
        <w:tabs>
          <w:tab w:val="left" w:pos="420"/>
        </w:tabs>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知识产权保证、归属</w:t>
      </w:r>
    </w:p>
    <w:p w14:paraId="6BCFC4AD">
      <w:pPr>
        <w:widowControl/>
        <w:numPr>
          <w:ilvl w:val="0"/>
          <w:numId w:val="11"/>
        </w:numPr>
        <w:tabs>
          <w:tab w:val="left" w:pos="0"/>
          <w:tab w:val="left" w:pos="630"/>
        </w:tabs>
        <w:spacing w:line="440" w:lineRule="exact"/>
        <w:ind w:right="60" w:hanging="33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本项目形成的技术成果所有知识产权</w:t>
      </w:r>
      <w:r>
        <w:rPr>
          <w:rFonts w:hint="eastAsia" w:ascii="宋体" w:hAnsi="宋体" w:eastAsia="宋体" w:cs="宋体"/>
          <w:color w:val="auto"/>
          <w:sz w:val="22"/>
          <w:szCs w:val="22"/>
          <w:highlight w:val="none"/>
        </w:rPr>
        <w:t>及衍生相关权益</w:t>
      </w:r>
      <w:r>
        <w:rPr>
          <w:rFonts w:hint="eastAsia" w:ascii="宋体" w:hAnsi="宋体" w:eastAsia="宋体" w:cs="宋体"/>
          <w:bCs/>
          <w:color w:val="auto"/>
          <w:sz w:val="22"/>
          <w:szCs w:val="22"/>
          <w:highlight w:val="none"/>
        </w:rPr>
        <w:t>均</w:t>
      </w:r>
      <w:r>
        <w:rPr>
          <w:rFonts w:hint="eastAsia" w:ascii="宋体" w:hAnsi="宋体" w:eastAsia="宋体" w:cs="宋体"/>
          <w:color w:val="auto"/>
          <w:sz w:val="22"/>
          <w:szCs w:val="22"/>
          <w:highlight w:val="none"/>
        </w:rPr>
        <w:t>归甲方所有，未经甲方同意，乙方不得擅自将成果以自己的名义发表或进行学术、技术</w:t>
      </w:r>
      <w:r>
        <w:rPr>
          <w:rFonts w:hint="eastAsia" w:ascii="宋体" w:hAnsi="宋体" w:eastAsia="宋体" w:cs="宋体"/>
          <w:bCs/>
          <w:color w:val="auto"/>
          <w:sz w:val="22"/>
          <w:szCs w:val="22"/>
          <w:highlight w:val="none"/>
        </w:rPr>
        <w:t>交流、</w:t>
      </w:r>
      <w:r>
        <w:rPr>
          <w:rFonts w:hint="eastAsia" w:ascii="宋体" w:hAnsi="宋体" w:eastAsia="宋体" w:cs="宋体"/>
          <w:color w:val="auto"/>
          <w:sz w:val="22"/>
          <w:szCs w:val="22"/>
          <w:highlight w:val="none"/>
        </w:rPr>
        <w:t>经营等其他活动，</w:t>
      </w:r>
      <w:r>
        <w:rPr>
          <w:rFonts w:hint="eastAsia" w:ascii="宋体" w:hAnsi="宋体" w:eastAsia="宋体" w:cs="宋体"/>
          <w:color w:val="auto"/>
          <w:spacing w:val="6"/>
          <w:sz w:val="22"/>
          <w:szCs w:val="22"/>
          <w:highlight w:val="none"/>
        </w:rPr>
        <w:t>不得擅自将技术成果提供给第三方</w:t>
      </w:r>
      <w:r>
        <w:rPr>
          <w:rFonts w:hint="eastAsia" w:ascii="宋体" w:hAnsi="宋体" w:eastAsia="宋体" w:cs="宋体"/>
          <w:bCs/>
          <w:color w:val="auto"/>
          <w:sz w:val="22"/>
          <w:szCs w:val="22"/>
          <w:highlight w:val="none"/>
        </w:rPr>
        <w:t>。</w:t>
      </w:r>
    </w:p>
    <w:p w14:paraId="0AC3F85C">
      <w:pPr>
        <w:widowControl/>
        <w:numPr>
          <w:ilvl w:val="0"/>
          <w:numId w:val="11"/>
        </w:numPr>
        <w:tabs>
          <w:tab w:val="left" w:pos="0"/>
          <w:tab w:val="left" w:pos="630"/>
        </w:tabs>
        <w:spacing w:line="440" w:lineRule="exact"/>
        <w:ind w:right="60" w:hanging="33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乙方保证最终提供给甲方的技术成果不得包含任何第三方的知识产权或引起任何第三方基于该产品知识产权的指控。</w:t>
      </w:r>
      <w:r>
        <w:rPr>
          <w:rFonts w:hint="eastAsia" w:ascii="宋体" w:hAnsi="宋体" w:eastAsia="宋体" w:cs="宋体"/>
          <w:color w:val="auto"/>
          <w:spacing w:val="6"/>
          <w:sz w:val="22"/>
          <w:szCs w:val="22"/>
          <w:highlight w:val="none"/>
          <w:lang w:eastAsia="zh-Hans"/>
        </w:rPr>
        <w:t>乙方</w:t>
      </w:r>
      <w:r>
        <w:rPr>
          <w:rFonts w:hint="eastAsia" w:ascii="宋体" w:hAnsi="宋体" w:eastAsia="宋体" w:cs="宋体"/>
          <w:color w:val="auto"/>
          <w:spacing w:val="6"/>
          <w:sz w:val="22"/>
          <w:szCs w:val="22"/>
          <w:highlight w:val="none"/>
        </w:rPr>
        <w:t>使用他人的专利、专有技术时，所涉及到的费用及产生的纠纷，由</w:t>
      </w:r>
      <w:r>
        <w:rPr>
          <w:rFonts w:hint="eastAsia" w:ascii="宋体" w:hAnsi="宋体" w:eastAsia="宋体" w:cs="宋体"/>
          <w:color w:val="auto"/>
          <w:spacing w:val="6"/>
          <w:sz w:val="22"/>
          <w:szCs w:val="22"/>
          <w:highlight w:val="none"/>
          <w:lang w:eastAsia="zh-Hans"/>
        </w:rPr>
        <w:t>乙方</w:t>
      </w:r>
      <w:r>
        <w:rPr>
          <w:rFonts w:hint="eastAsia" w:ascii="宋体" w:hAnsi="宋体" w:eastAsia="宋体" w:cs="宋体"/>
          <w:color w:val="auto"/>
          <w:spacing w:val="6"/>
          <w:sz w:val="22"/>
          <w:szCs w:val="22"/>
          <w:highlight w:val="none"/>
        </w:rPr>
        <w:t>自行解决。如若发生侵权事件，其侵权责任与甲方无关，由乙方承担全部法律责任和经济责任。侵权造成的所有相关费用，均由乙方支付，保证不伤害甲方的利益。</w:t>
      </w:r>
    </w:p>
    <w:p w14:paraId="4057FC43">
      <w:pPr>
        <w:widowControl/>
        <w:numPr>
          <w:ilvl w:val="0"/>
          <w:numId w:val="11"/>
        </w:numPr>
        <w:tabs>
          <w:tab w:val="left" w:pos="0"/>
          <w:tab w:val="left" w:pos="630"/>
        </w:tabs>
        <w:spacing w:line="440" w:lineRule="exact"/>
        <w:ind w:right="60" w:hanging="33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如第三方指控乙方提供给甲方的项目成果侵犯该方相关知识产权，乙方将自费就上述指控为甲方辩护，并支付诉讼或经甲方同意的和解中甲方发生的一切费用、损害赔偿金、损失和律师费。</w:t>
      </w:r>
    </w:p>
    <w:p w14:paraId="618ACEA7">
      <w:pPr>
        <w:widowControl/>
        <w:numPr>
          <w:ilvl w:val="0"/>
          <w:numId w:val="11"/>
        </w:numPr>
        <w:tabs>
          <w:tab w:val="left" w:pos="0"/>
          <w:tab w:val="left" w:pos="630"/>
        </w:tabs>
        <w:spacing w:line="440" w:lineRule="exact"/>
        <w:ind w:right="60" w:hanging="33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本合同条款的规定不因本合同的到期而失效。</w:t>
      </w:r>
      <w:r>
        <w:rPr>
          <w:rFonts w:hint="eastAsia" w:ascii="宋体" w:hAnsi="宋体" w:eastAsia="宋体" w:cs="宋体"/>
          <w:color w:val="auto"/>
          <w:spacing w:val="6"/>
          <w:sz w:val="22"/>
          <w:szCs w:val="22"/>
          <w:highlight w:val="none"/>
          <w:lang w:eastAsia="zh-Hans"/>
        </w:rPr>
        <w:t>乙方</w:t>
      </w:r>
      <w:r>
        <w:rPr>
          <w:rFonts w:hint="eastAsia" w:ascii="宋体" w:hAnsi="宋体" w:eastAsia="宋体" w:cs="宋体"/>
          <w:color w:val="auto"/>
          <w:spacing w:val="6"/>
          <w:sz w:val="22"/>
          <w:szCs w:val="22"/>
          <w:highlight w:val="none"/>
        </w:rPr>
        <w:t>如违反上述知识产权条款要求，应赔偿由此给</w:t>
      </w:r>
      <w:r>
        <w:rPr>
          <w:rFonts w:hint="eastAsia" w:ascii="宋体" w:hAnsi="宋体" w:eastAsia="宋体" w:cs="宋体"/>
          <w:color w:val="auto"/>
          <w:spacing w:val="6"/>
          <w:sz w:val="22"/>
          <w:szCs w:val="22"/>
          <w:highlight w:val="none"/>
          <w:lang w:eastAsia="zh-Hans"/>
        </w:rPr>
        <w:t>甲方</w:t>
      </w:r>
      <w:r>
        <w:rPr>
          <w:rFonts w:hint="eastAsia" w:ascii="宋体" w:hAnsi="宋体" w:eastAsia="宋体" w:cs="宋体"/>
          <w:color w:val="auto"/>
          <w:spacing w:val="6"/>
          <w:sz w:val="22"/>
          <w:szCs w:val="22"/>
          <w:highlight w:val="none"/>
        </w:rPr>
        <w:t>造成的各项损失。</w:t>
      </w:r>
    </w:p>
    <w:p w14:paraId="622C3B0D">
      <w:pPr>
        <w:numPr>
          <w:ilvl w:val="0"/>
          <w:numId w:val="5"/>
        </w:numPr>
        <w:tabs>
          <w:tab w:val="left" w:pos="420"/>
        </w:tabs>
        <w:spacing w:line="440" w:lineRule="exact"/>
        <w:rPr>
          <w:rFonts w:hint="eastAsia" w:ascii="宋体" w:hAnsi="宋体" w:eastAsia="宋体" w:cs="宋体"/>
          <w:b/>
          <w:bCs/>
          <w:color w:val="auto"/>
          <w:highlight w:val="none"/>
        </w:rPr>
      </w:pPr>
      <w:r>
        <w:rPr>
          <w:rFonts w:hint="eastAsia" w:ascii="宋体" w:hAnsi="宋体" w:eastAsia="宋体" w:cs="宋体"/>
          <w:b/>
          <w:bCs/>
          <w:color w:val="auto"/>
          <w:spacing w:val="6"/>
          <w:sz w:val="22"/>
          <w:szCs w:val="22"/>
          <w:highlight w:val="none"/>
        </w:rPr>
        <w:t xml:space="preserve"> 保密条款</w:t>
      </w:r>
    </w:p>
    <w:p w14:paraId="0B5F91CF">
      <w:pPr>
        <w:widowControl/>
        <w:numPr>
          <w:ilvl w:val="0"/>
          <w:numId w:val="12"/>
        </w:numPr>
        <w:tabs>
          <w:tab w:val="left" w:pos="0"/>
          <w:tab w:val="left" w:pos="630"/>
        </w:tabs>
        <w:spacing w:line="440" w:lineRule="exact"/>
        <w:ind w:right="60" w:hanging="33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乙方负有保密的责任和义务，对于项目涉及的文件、信息数据等资料，未经甲方同意不得泄露或转让给第三方，不得用于本项目之外的其他项目中，如发生此类问题，乙方承担相应的法律责任及经济责任。</w:t>
      </w:r>
    </w:p>
    <w:p w14:paraId="042720E4">
      <w:pPr>
        <w:widowControl/>
        <w:numPr>
          <w:ilvl w:val="0"/>
          <w:numId w:val="12"/>
        </w:numPr>
        <w:tabs>
          <w:tab w:val="left" w:pos="0"/>
          <w:tab w:val="left" w:pos="630"/>
        </w:tabs>
        <w:spacing w:line="440" w:lineRule="exact"/>
        <w:ind w:right="60" w:hanging="337"/>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eastAsia="zh-Hans"/>
        </w:rPr>
        <w:t>乙方</w:t>
      </w:r>
      <w:r>
        <w:rPr>
          <w:rFonts w:hint="eastAsia" w:ascii="宋体" w:hAnsi="宋体" w:eastAsia="宋体" w:cs="宋体"/>
          <w:color w:val="auto"/>
          <w:spacing w:val="6"/>
          <w:sz w:val="22"/>
          <w:szCs w:val="22"/>
          <w:highlight w:val="none"/>
        </w:rPr>
        <w:t>如违反上述保密条款要求，应赔偿由此给</w:t>
      </w:r>
      <w:r>
        <w:rPr>
          <w:rFonts w:hint="eastAsia" w:ascii="宋体" w:hAnsi="宋体" w:eastAsia="宋体" w:cs="宋体"/>
          <w:color w:val="auto"/>
          <w:spacing w:val="6"/>
          <w:sz w:val="22"/>
          <w:szCs w:val="22"/>
          <w:highlight w:val="none"/>
          <w:lang w:eastAsia="zh-Hans"/>
        </w:rPr>
        <w:t>甲方</w:t>
      </w:r>
      <w:r>
        <w:rPr>
          <w:rFonts w:hint="eastAsia" w:ascii="宋体" w:hAnsi="宋体" w:eastAsia="宋体" w:cs="宋体"/>
          <w:color w:val="auto"/>
          <w:spacing w:val="6"/>
          <w:sz w:val="22"/>
          <w:szCs w:val="22"/>
          <w:highlight w:val="none"/>
        </w:rPr>
        <w:t>造成的各项损失。</w:t>
      </w:r>
    </w:p>
    <w:p w14:paraId="512B0D50">
      <w:pPr>
        <w:numPr>
          <w:ilvl w:val="0"/>
          <w:numId w:val="5"/>
        </w:numPr>
        <w:tabs>
          <w:tab w:val="left"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分包</w:t>
      </w:r>
    </w:p>
    <w:p w14:paraId="34161CC4">
      <w:pPr>
        <w:spacing w:line="400" w:lineRule="exact"/>
        <w:ind w:left="540" w:leftChars="100" w:hanging="330" w:hanging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1、经甲方同意，乙方可以依法向小微企业合理分包，但项目的主体、关键性工作不得分包。接受分包的单位应当具备相应的资格条件，并不得再次分包。</w:t>
      </w:r>
    </w:p>
    <w:p w14:paraId="16AB49EA">
      <w:pPr>
        <w:spacing w:line="400" w:lineRule="exact"/>
        <w:ind w:left="540" w:leftChars="100" w:hanging="330" w:hangingChars="1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2、分包履行合同的，乙方应当就合同主体部分和分包部分向甲方负责，分包单位就分包项目承担连带责任。</w:t>
      </w:r>
    </w:p>
    <w:p w14:paraId="5635E3F2">
      <w:pPr>
        <w:numPr>
          <w:ilvl w:val="0"/>
          <w:numId w:val="5"/>
        </w:numPr>
        <w:tabs>
          <w:tab w:val="left"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违约责任</w:t>
      </w:r>
    </w:p>
    <w:p w14:paraId="568C2A3B">
      <w:pPr>
        <w:widowControl/>
        <w:overflowPunct w:val="0"/>
        <w:spacing w:line="400" w:lineRule="exact"/>
        <w:ind w:left="28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1、甲方违约</w:t>
      </w:r>
    </w:p>
    <w:p w14:paraId="03A42CC1">
      <w:pPr>
        <w:spacing w:line="400" w:lineRule="exact"/>
        <w:ind w:left="658" w:leftChars="67" w:hanging="517" w:hangingChars="235"/>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bidi="ar"/>
        </w:rPr>
        <w:t>在合同履行期间，因甲方自身原因要求中止或解除合同的，</w:t>
      </w:r>
      <w:r>
        <w:rPr>
          <w:rFonts w:hint="eastAsia" w:ascii="宋体" w:hAnsi="宋体" w:eastAsia="宋体" w:cs="宋体"/>
          <w:bCs/>
          <w:color w:val="auto"/>
          <w:sz w:val="22"/>
          <w:szCs w:val="22"/>
          <w:highlight w:val="none"/>
        </w:rPr>
        <w:t>经双方协商一致后，对未履约部分经费予以核减或退款</w:t>
      </w:r>
      <w:r>
        <w:rPr>
          <w:rFonts w:hint="eastAsia" w:ascii="宋体" w:hAnsi="宋体" w:eastAsia="宋体" w:cs="宋体"/>
          <w:color w:val="auto"/>
          <w:sz w:val="22"/>
          <w:szCs w:val="22"/>
          <w:highlight w:val="none"/>
          <w:lang w:bidi="ar"/>
        </w:rPr>
        <w:t>。</w:t>
      </w:r>
    </w:p>
    <w:p w14:paraId="032C8288">
      <w:pPr>
        <w:spacing w:line="400" w:lineRule="exact"/>
        <w:ind w:left="658" w:leftChars="67" w:hanging="517" w:hangingChars="235"/>
        <w:rPr>
          <w:rFonts w:hint="eastAsia" w:ascii="宋体" w:hAnsi="宋体" w:eastAsia="宋体" w:cs="宋体"/>
          <w:color w:val="auto"/>
          <w:highlight w:val="none"/>
        </w:rPr>
      </w:pPr>
      <w:r>
        <w:rPr>
          <w:rFonts w:hint="eastAsia" w:ascii="宋体" w:hAnsi="宋体" w:eastAsia="宋体" w:cs="宋体"/>
          <w:color w:val="auto"/>
          <w:sz w:val="22"/>
          <w:szCs w:val="22"/>
          <w:highlight w:val="none"/>
          <w:lang w:bidi="ar"/>
        </w:rPr>
        <w:t>（2）甲方未按本合同规定延期支付合同款的，每逾期支付一天，应承担应支付金额千分之一的逾期违约金，因财政拨付原因导致资金未能到位影响支付的情形除外，由双方协商解决。</w:t>
      </w:r>
    </w:p>
    <w:p w14:paraId="0929C372">
      <w:pPr>
        <w:widowControl/>
        <w:overflowPunct w:val="0"/>
        <w:spacing w:line="400" w:lineRule="exact"/>
        <w:ind w:left="284"/>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2、乙方违约</w:t>
      </w:r>
    </w:p>
    <w:p w14:paraId="0B21E116">
      <w:pPr>
        <w:spacing w:line="400" w:lineRule="exact"/>
        <w:ind w:left="658" w:leftChars="67" w:hanging="517" w:hangingChars="235"/>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highlight w:val="none"/>
        </w:rPr>
        <w:t>合同生效后，乙方单方擅自中途停止或终止合同（不可抗力除外），乙方应向甲方偿付合同总价20％的违约金，除违约金外，甲方已付合同款</w:t>
      </w:r>
      <w:r>
        <w:rPr>
          <w:rFonts w:hint="eastAsia" w:ascii="宋体" w:hAnsi="宋体" w:eastAsia="宋体" w:cs="宋体"/>
          <w:color w:val="auto"/>
          <w:sz w:val="22"/>
          <w:szCs w:val="22"/>
          <w:highlight w:val="none"/>
          <w:lang w:bidi="ar"/>
        </w:rPr>
        <w:t>（含预付款）</w:t>
      </w:r>
      <w:r>
        <w:rPr>
          <w:rFonts w:hint="eastAsia" w:ascii="宋体" w:hAnsi="宋体" w:eastAsia="宋体" w:cs="宋体"/>
          <w:color w:val="auto"/>
          <w:sz w:val="22"/>
          <w:highlight w:val="none"/>
        </w:rPr>
        <w:t>乙方需全部退还。</w:t>
      </w:r>
    </w:p>
    <w:p w14:paraId="4F89F3CE">
      <w:pPr>
        <w:spacing w:line="400" w:lineRule="exact"/>
        <w:ind w:left="658" w:leftChars="67" w:hanging="517" w:hangingChars="235"/>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（2）除不可抗力外，乙方未能按合同规定的日期完成各项活动任务时，应向甲方偿付误期违约金，每延误一个日历日扣罚合同总价的千分之二，因误期而累计扣罚金额超过合同总价5%的，甲方有权终止合同</w:t>
      </w:r>
      <w:r>
        <w:rPr>
          <w:rFonts w:hint="eastAsia" w:ascii="宋体" w:hAnsi="宋体" w:eastAsia="宋体" w:cs="宋体"/>
          <w:color w:val="auto"/>
          <w:sz w:val="22"/>
          <w:highlight w:val="none"/>
        </w:rPr>
        <w:t>。</w:t>
      </w:r>
    </w:p>
    <w:p w14:paraId="1194C30D">
      <w:pPr>
        <w:spacing w:line="400" w:lineRule="exact"/>
        <w:ind w:left="658" w:leftChars="67" w:hanging="517" w:hangingChars="235"/>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乙方如有擅自更换投标文件中承诺的项目组人员的，甲方有权扣除违约金（扣罚标准:项目负责人3万元，项目组其他人员1万元）；更换人员技术能力或服务态度未能满足甲方要求且无法及时更换的，甲方有权终止合同。</w:t>
      </w:r>
    </w:p>
    <w:p w14:paraId="04EF43DC">
      <w:pPr>
        <w:spacing w:line="400" w:lineRule="exact"/>
        <w:ind w:left="658" w:leftChars="67" w:hanging="517" w:hangingChars="235"/>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（4）乙方</w:t>
      </w:r>
      <w:r>
        <w:rPr>
          <w:rFonts w:hint="eastAsia" w:ascii="宋体" w:hAnsi="宋体" w:eastAsia="宋体" w:cs="宋体"/>
          <w:color w:val="auto"/>
          <w:sz w:val="22"/>
          <w:szCs w:val="22"/>
          <w:highlight w:val="none"/>
        </w:rPr>
        <w:t>未经甲方同意擅自分包，甲方有权扣罚分包金额50%-100%的违约金，具体金额视项目影响或损失情况由甲方确定。</w:t>
      </w:r>
    </w:p>
    <w:p w14:paraId="2FEDB167">
      <w:pPr>
        <w:spacing w:line="400" w:lineRule="exact"/>
        <w:ind w:left="658" w:leftChars="67" w:hanging="517" w:hangingChars="235"/>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（5）各项活动实施过程中，甲方要求乙方进行整改或调整的事项，乙方在甲方要求时间内整改或调整不到位的，每次扣罚违约金2000-5000元，</w:t>
      </w:r>
      <w:r>
        <w:rPr>
          <w:rFonts w:hint="eastAsia" w:ascii="宋体" w:hAnsi="宋体" w:eastAsia="宋体" w:cs="宋体"/>
          <w:color w:val="auto"/>
          <w:sz w:val="22"/>
          <w:szCs w:val="22"/>
          <w:highlight w:val="none"/>
        </w:rPr>
        <w:t>具体金额视项目影响或损失情况由甲方确定。</w:t>
      </w:r>
      <w:r>
        <w:rPr>
          <w:rFonts w:hint="eastAsia" w:ascii="宋体" w:hAnsi="宋体" w:eastAsia="宋体" w:cs="宋体"/>
          <w:color w:val="auto"/>
          <w:sz w:val="22"/>
          <w:szCs w:val="22"/>
          <w:highlight w:val="none"/>
          <w:lang w:bidi="ar"/>
        </w:rPr>
        <w:t>扣罚次数累计超过10次的，甲方有权终止合同。</w:t>
      </w:r>
    </w:p>
    <w:p w14:paraId="400BBD4A">
      <w:pPr>
        <w:spacing w:line="400" w:lineRule="exact"/>
        <w:ind w:left="658" w:leftChars="67" w:hanging="517" w:hangingChars="2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（6）如因乙方违约行为导致甲方依据合同规定终止合同的，乙方除向甲方支付本条款规定的相应违约金外，同时</w:t>
      </w:r>
      <w:r>
        <w:rPr>
          <w:rFonts w:hint="eastAsia" w:ascii="宋体" w:hAnsi="宋体" w:eastAsia="宋体" w:cs="宋体"/>
          <w:color w:val="auto"/>
          <w:sz w:val="22"/>
          <w:highlight w:val="none"/>
        </w:rPr>
        <w:t>甲方已付合同款</w:t>
      </w:r>
      <w:r>
        <w:rPr>
          <w:rFonts w:hint="eastAsia" w:ascii="宋体" w:hAnsi="宋体" w:eastAsia="宋体" w:cs="宋体"/>
          <w:color w:val="auto"/>
          <w:sz w:val="22"/>
          <w:szCs w:val="22"/>
          <w:highlight w:val="none"/>
          <w:lang w:bidi="ar"/>
        </w:rPr>
        <w:t>（含预付款）</w:t>
      </w:r>
      <w:r>
        <w:rPr>
          <w:rFonts w:hint="eastAsia" w:ascii="宋体" w:hAnsi="宋体" w:eastAsia="宋体" w:cs="宋体"/>
          <w:color w:val="auto"/>
          <w:sz w:val="22"/>
          <w:highlight w:val="none"/>
        </w:rPr>
        <w:t>乙方需全部退还</w:t>
      </w:r>
      <w:r>
        <w:rPr>
          <w:rFonts w:hint="eastAsia" w:ascii="宋体" w:hAnsi="宋体" w:eastAsia="宋体" w:cs="宋体"/>
          <w:color w:val="auto"/>
          <w:sz w:val="22"/>
          <w:szCs w:val="22"/>
          <w:highlight w:val="none"/>
        </w:rPr>
        <w:t>。</w:t>
      </w:r>
    </w:p>
    <w:p w14:paraId="18FDF9BF">
      <w:pPr>
        <w:numPr>
          <w:ilvl w:val="0"/>
          <w:numId w:val="5"/>
        </w:numPr>
        <w:tabs>
          <w:tab w:val="left"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不可抗力</w:t>
      </w:r>
    </w:p>
    <w:p w14:paraId="168D0B40">
      <w:pPr>
        <w:tabs>
          <w:tab w:val="left" w:pos="592"/>
        </w:tabs>
        <w:overflowPunct w:val="0"/>
        <w:spacing w:line="400" w:lineRule="exact"/>
        <w:ind w:left="548" w:leftChars="104" w:hanging="330" w:hangingChars="15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color w:val="auto"/>
          <w:sz w:val="22"/>
          <w:szCs w:val="22"/>
          <w:highlight w:val="none"/>
        </w:rPr>
        <w:t>不可抗力以中华人民共和国相关法律关于不可抗力的解释为依据。</w:t>
      </w:r>
    </w:p>
    <w:p w14:paraId="0DCAE020">
      <w:pPr>
        <w:tabs>
          <w:tab w:val="left" w:pos="592"/>
        </w:tabs>
        <w:overflowPunct w:val="0"/>
        <w:spacing w:line="400" w:lineRule="exact"/>
        <w:ind w:left="548" w:leftChars="104" w:hanging="330" w:hangingChars="15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0677C095">
      <w:pPr>
        <w:tabs>
          <w:tab w:val="left" w:pos="592"/>
        </w:tabs>
        <w:overflowPunct w:val="0"/>
        <w:spacing w:line="400" w:lineRule="exact"/>
        <w:ind w:left="548" w:leftChars="104" w:hanging="330" w:hangingChars="1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3、在合同有效期间发生不可抗力，导致合同不能或不能全部履行。双方可以按以下各项执行：</w:t>
      </w:r>
    </w:p>
    <w:p w14:paraId="0CAC25D6">
      <w:pPr>
        <w:overflowPunct w:val="0"/>
        <w:spacing w:line="400" w:lineRule="exact"/>
        <w:ind w:left="768" w:leftChars="104"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（1）因不可抗力导致合同终止，并不影响任何一方对不可抗力先前发生的违约行为合法追偿。</w:t>
      </w:r>
    </w:p>
    <w:p w14:paraId="48181D14">
      <w:pPr>
        <w:tabs>
          <w:tab w:val="left" w:pos="592"/>
        </w:tabs>
        <w:overflowPunct w:val="0"/>
        <w:spacing w:line="400" w:lineRule="exact"/>
        <w:ind w:left="548" w:leftChars="104" w:hanging="330" w:hangingChars="1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（2）甲方不承担因不可抗力造成合同不能正常履行的责任。</w:t>
      </w:r>
    </w:p>
    <w:p w14:paraId="3B4D1CC7">
      <w:pPr>
        <w:overflowPunct w:val="0"/>
        <w:spacing w:line="400" w:lineRule="exact"/>
        <w:ind w:left="768" w:leftChars="104" w:hanging="550" w:hanging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（3）因不可抗力导致合同不能或不能全部履行的，经双方协商一致后，对无法履约部分经费予以核减或退款。</w:t>
      </w:r>
    </w:p>
    <w:p w14:paraId="61243387">
      <w:pPr>
        <w:tabs>
          <w:tab w:val="left" w:pos="592"/>
        </w:tabs>
        <w:overflowPunct w:val="0"/>
        <w:spacing w:line="400" w:lineRule="exact"/>
        <w:ind w:left="548" w:leftChars="104" w:hanging="330" w:hangingChars="15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eastAsia="宋体" w:cs="宋体"/>
          <w:color w:val="auto"/>
          <w:sz w:val="22"/>
          <w:szCs w:val="22"/>
          <w:highlight w:val="none"/>
        </w:rPr>
        <w:t>因合同一方延迟履行合同后发生不可抗力的，不能免除履行方的相应责任。</w:t>
      </w:r>
    </w:p>
    <w:p w14:paraId="35DAAD5F">
      <w:pPr>
        <w:tabs>
          <w:tab w:val="left" w:pos="592"/>
        </w:tabs>
        <w:overflowPunct w:val="0"/>
        <w:spacing w:line="400" w:lineRule="exact"/>
        <w:ind w:left="548" w:leftChars="104" w:hanging="330" w:hanging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5、遇国家政策性调整，影响合同履行，双方协商解决。</w:t>
      </w:r>
    </w:p>
    <w:p w14:paraId="668611C1">
      <w:pPr>
        <w:numPr>
          <w:ilvl w:val="0"/>
          <w:numId w:val="5"/>
        </w:numPr>
        <w:tabs>
          <w:tab w:val="left"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bidi="ar"/>
        </w:rPr>
        <w:t>合同的</w:t>
      </w:r>
      <w:r>
        <w:rPr>
          <w:rFonts w:hint="eastAsia" w:ascii="宋体" w:hAnsi="宋体" w:eastAsia="宋体" w:cs="宋体"/>
          <w:b/>
          <w:bCs/>
          <w:color w:val="auto"/>
          <w:sz w:val="22"/>
          <w:szCs w:val="22"/>
          <w:highlight w:val="none"/>
          <w:lang w:bidi="ar"/>
        </w:rPr>
        <w:t>生效、变更、解除和终止</w:t>
      </w:r>
    </w:p>
    <w:p w14:paraId="24D651C1">
      <w:pPr>
        <w:numPr>
          <w:ilvl w:val="0"/>
          <w:numId w:val="13"/>
        </w:numPr>
        <w:tabs>
          <w:tab w:val="left" w:pos="482"/>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本合同生效的时间以双方签署的合同上注明的时间为准。</w:t>
      </w:r>
    </w:p>
    <w:p w14:paraId="3F8FC461">
      <w:pPr>
        <w:numPr>
          <w:ilvl w:val="0"/>
          <w:numId w:val="13"/>
        </w:numPr>
        <w:tabs>
          <w:tab w:val="left" w:pos="482"/>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当任何一方提出申请并经双方书面同意后，可对本合同进行变更。要求变更的申请及变更协议必须采用书面形式，变更合同未达成之前，原合同仍然有效。</w:t>
      </w:r>
    </w:p>
    <w:p w14:paraId="63FB37E8">
      <w:pPr>
        <w:numPr>
          <w:ilvl w:val="0"/>
          <w:numId w:val="13"/>
        </w:numPr>
        <w:tabs>
          <w:tab w:val="left" w:pos="482"/>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对本合同条款的任何变更、修改或增减，须经双方协商同意后由法定代表人或委托代理人签署书面文件，作为本合同的组成部分。</w:t>
      </w:r>
    </w:p>
    <w:p w14:paraId="18A9D2D8">
      <w:pPr>
        <w:numPr>
          <w:ilvl w:val="0"/>
          <w:numId w:val="13"/>
        </w:numPr>
        <w:tabs>
          <w:tab w:val="left" w:pos="482"/>
        </w:tabs>
        <w:spacing w:line="400" w:lineRule="exact"/>
        <w:ind w:left="566" w:leftChars="135" w:hanging="283"/>
        <w:rPr>
          <w:rFonts w:hint="eastAsia" w:ascii="宋体" w:hAnsi="宋体" w:eastAsia="宋体" w:cs="宋体"/>
          <w:color w:val="auto"/>
          <w:highlight w:val="none"/>
        </w:rPr>
      </w:pPr>
      <w:r>
        <w:rPr>
          <w:rFonts w:hint="eastAsia" w:ascii="宋体" w:hAnsi="宋体" w:eastAsia="宋体" w:cs="宋体"/>
          <w:color w:val="auto"/>
          <w:sz w:val="22"/>
          <w:szCs w:val="22"/>
          <w:highlight w:val="none"/>
        </w:rPr>
        <w:t>如因乙方违约行为导致甲方依据合同规定可终止合同的</w:t>
      </w:r>
      <w:r>
        <w:rPr>
          <w:rFonts w:hint="eastAsia" w:ascii="宋体" w:hAnsi="宋体" w:eastAsia="宋体" w:cs="宋体"/>
          <w:color w:val="auto"/>
          <w:sz w:val="22"/>
          <w:szCs w:val="22"/>
          <w:highlight w:val="none"/>
          <w:lang w:bidi="ar"/>
        </w:rPr>
        <w:t>，甲方可向乙方发出指明其违约通知。若甲方发出通知后10日内未收到满意的书面答复，甲方将有权视情形在发出通知后20日内或甲方认为合理的时间内向乙方发出解除本合同的通知，该通知到达乙方时合同即行终止。</w:t>
      </w:r>
    </w:p>
    <w:p w14:paraId="0D256375">
      <w:pPr>
        <w:numPr>
          <w:ilvl w:val="0"/>
          <w:numId w:val="13"/>
        </w:numPr>
        <w:tabs>
          <w:tab w:val="left" w:pos="482"/>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双方协商一致，可以解除合同。</w:t>
      </w:r>
    </w:p>
    <w:p w14:paraId="5812DC57">
      <w:pPr>
        <w:numPr>
          <w:ilvl w:val="0"/>
          <w:numId w:val="13"/>
        </w:numPr>
        <w:tabs>
          <w:tab w:val="left" w:pos="482"/>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由于不可抗拒因素致使合同无法履行时，双方应及时协商解决，可以解除合同。</w:t>
      </w:r>
    </w:p>
    <w:p w14:paraId="1B0FECA0">
      <w:pPr>
        <w:numPr>
          <w:ilvl w:val="0"/>
          <w:numId w:val="13"/>
        </w:numPr>
        <w:tabs>
          <w:tab w:val="left" w:pos="482"/>
        </w:tabs>
        <w:spacing w:line="400" w:lineRule="exact"/>
        <w:ind w:left="566" w:leftChars="135" w:hanging="283"/>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bidi="ar"/>
        </w:rPr>
        <w:t>合同解除后， 双方在合同中约定的结算和清理条款、损失赔偿条款及争议解决条款继续有效。</w:t>
      </w:r>
    </w:p>
    <w:p w14:paraId="30D2B282">
      <w:pPr>
        <w:numPr>
          <w:ilvl w:val="0"/>
          <w:numId w:val="5"/>
        </w:numPr>
        <w:tabs>
          <w:tab w:val="left"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lang w:bidi="ar"/>
        </w:rPr>
        <w:t>争议</w:t>
      </w:r>
      <w:r>
        <w:rPr>
          <w:rFonts w:hint="eastAsia" w:ascii="宋体" w:hAnsi="宋体" w:eastAsia="宋体" w:cs="宋体"/>
          <w:b/>
          <w:bCs/>
          <w:color w:val="auto"/>
          <w:sz w:val="22"/>
          <w:szCs w:val="22"/>
          <w:highlight w:val="none"/>
          <w:lang w:bidi="ar"/>
        </w:rPr>
        <w:t>及解决</w:t>
      </w:r>
    </w:p>
    <w:p w14:paraId="4FBEDC50">
      <w:pPr>
        <w:overflowPunct w:val="0"/>
        <w:spacing w:line="400" w:lineRule="exact"/>
        <w:ind w:left="420" w:left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lang w:bidi="ar"/>
        </w:rPr>
        <w:t>合同争议由双方友好协调解决。协商不一致，任何一方均可向甲方所在地人民法院提起诉讼。</w:t>
      </w:r>
    </w:p>
    <w:p w14:paraId="0DA52350">
      <w:pPr>
        <w:numPr>
          <w:ilvl w:val="0"/>
          <w:numId w:val="5"/>
        </w:numPr>
        <w:tabs>
          <w:tab w:val="left"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bidi="ar"/>
        </w:rPr>
        <w:t>其它</w:t>
      </w:r>
    </w:p>
    <w:p w14:paraId="692473AF">
      <w:pPr>
        <w:numPr>
          <w:ilvl w:val="0"/>
          <w:numId w:val="14"/>
        </w:numPr>
        <w:tabs>
          <w:tab w:val="left" w:pos="284"/>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本合同共一式肆份，甲方、乙方各执贰份，具有同等法律效力</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自双方签字并加盖公章之日起生效</w:t>
      </w:r>
      <w:r>
        <w:rPr>
          <w:rFonts w:hint="eastAsia" w:ascii="宋体" w:hAnsi="宋体" w:eastAsia="宋体" w:cs="宋体"/>
          <w:color w:val="auto"/>
          <w:sz w:val="22"/>
          <w:szCs w:val="22"/>
          <w:highlight w:val="none"/>
          <w:lang w:bidi="ar"/>
        </w:rPr>
        <w:t>。</w:t>
      </w:r>
    </w:p>
    <w:p w14:paraId="00D0FB54">
      <w:pPr>
        <w:numPr>
          <w:ilvl w:val="0"/>
          <w:numId w:val="14"/>
        </w:numPr>
        <w:tabs>
          <w:tab w:val="left" w:pos="284"/>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双方履行完合同规定的义务后，本合同即行终止。</w:t>
      </w:r>
    </w:p>
    <w:p w14:paraId="2DFB9986">
      <w:pPr>
        <w:numPr>
          <w:ilvl w:val="0"/>
          <w:numId w:val="14"/>
        </w:numPr>
        <w:tabs>
          <w:tab w:val="left" w:pos="284"/>
        </w:tabs>
        <w:spacing w:line="400" w:lineRule="exact"/>
        <w:ind w:left="566" w:leftChars="135" w:hanging="28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双方来往电传、会议纪要等，经双方认可后均为合同的组成部分，与本合同具有同等法律效力。</w:t>
      </w:r>
    </w:p>
    <w:p w14:paraId="2314FA33">
      <w:pPr>
        <w:numPr>
          <w:ilvl w:val="0"/>
          <w:numId w:val="14"/>
        </w:numPr>
        <w:tabs>
          <w:tab w:val="left" w:pos="284"/>
        </w:tabs>
        <w:spacing w:line="400" w:lineRule="exact"/>
        <w:ind w:left="566" w:leftChars="135" w:hanging="283"/>
        <w:rPr>
          <w:rFonts w:hint="eastAsia" w:ascii="宋体" w:hAnsi="宋体" w:eastAsia="宋体" w:cs="宋体"/>
          <w:color w:val="auto"/>
          <w:highlight w:val="none"/>
        </w:rPr>
      </w:pPr>
      <w:r>
        <w:rPr>
          <w:rFonts w:hint="eastAsia" w:ascii="宋体" w:hAnsi="宋体" w:eastAsia="宋体" w:cs="宋体"/>
          <w:color w:val="auto"/>
          <w:sz w:val="22"/>
          <w:szCs w:val="22"/>
          <w:highlight w:val="none"/>
          <w:lang w:bidi="ar"/>
        </w:rPr>
        <w:t>未尽事宜，经双方协商一致，签订补充协议，补充协议与本合同具有同等法律效力。</w:t>
      </w:r>
    </w:p>
    <w:p w14:paraId="1503F45B">
      <w:pPr>
        <w:overflowPunct w:val="0"/>
        <w:spacing w:line="600" w:lineRule="exact"/>
        <w:ind w:firstLine="440" w:firstLineChars="200"/>
        <w:rPr>
          <w:rFonts w:hint="eastAsia" w:ascii="宋体" w:hAnsi="宋体" w:eastAsia="宋体" w:cs="宋体"/>
          <w:bCs/>
          <w:color w:val="auto"/>
          <w:sz w:val="22"/>
          <w:szCs w:val="22"/>
          <w:highlight w:val="none"/>
        </w:rPr>
      </w:pPr>
    </w:p>
    <w:p w14:paraId="353B9DF0">
      <w:pPr>
        <w:overflowPunct w:val="0"/>
        <w:spacing w:line="600" w:lineRule="exact"/>
        <w:rPr>
          <w:rFonts w:hint="eastAsia" w:ascii="宋体" w:hAnsi="宋体" w:eastAsia="宋体" w:cs="宋体"/>
          <w:bCs/>
          <w:color w:val="auto"/>
          <w:sz w:val="22"/>
          <w:szCs w:val="22"/>
          <w:highlight w:val="none"/>
        </w:rPr>
      </w:pPr>
    </w:p>
    <w:p w14:paraId="29571CE5">
      <w:pPr>
        <w:overflowPunct w:val="0"/>
        <w:spacing w:line="6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甲    方：（印章）                   乙    方：（印章）</w:t>
      </w:r>
    </w:p>
    <w:p w14:paraId="432A928F">
      <w:pPr>
        <w:overflowPunct w:val="0"/>
        <w:spacing w:line="6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法定代表或委托代理人：（签字）       法定代表或委托代理人：（签字）</w:t>
      </w:r>
    </w:p>
    <w:p w14:paraId="46DB8603">
      <w:pPr>
        <w:overflowPunct w:val="0"/>
        <w:spacing w:line="6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地    址：                           地    址：</w:t>
      </w:r>
    </w:p>
    <w:p w14:paraId="0408080B">
      <w:pPr>
        <w:overflowPunct w:val="0"/>
        <w:spacing w:line="60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电    话：                           电    话：</w:t>
      </w:r>
    </w:p>
    <w:p w14:paraId="5A7C85E5">
      <w:pPr>
        <w:spacing w:line="600" w:lineRule="exact"/>
        <w:ind w:left="210" w:leftChars="100" w:firstLine="220" w:firstLineChars="1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日    期：                           日    期：  </w:t>
      </w:r>
    </w:p>
    <w:p w14:paraId="6EB9D355">
      <w:pPr>
        <w:pStyle w:val="8"/>
        <w:ind w:firstLine="220"/>
        <w:rPr>
          <w:rFonts w:hint="eastAsia" w:ascii="宋体" w:hAnsi="宋体" w:eastAsia="宋体" w:cs="宋体"/>
          <w:bCs/>
          <w:color w:val="auto"/>
          <w:sz w:val="22"/>
          <w:szCs w:val="22"/>
          <w:highlight w:val="none"/>
        </w:rPr>
      </w:pPr>
    </w:p>
    <w:p w14:paraId="00E341B1">
      <w:pPr>
        <w:pStyle w:val="14"/>
        <w:rPr>
          <w:rFonts w:hint="eastAsia" w:ascii="宋体" w:hAnsi="宋体" w:eastAsia="宋体" w:cs="宋体"/>
          <w:bCs/>
          <w:color w:val="auto"/>
          <w:sz w:val="22"/>
          <w:szCs w:val="22"/>
          <w:highlight w:val="none"/>
        </w:rPr>
      </w:pPr>
    </w:p>
    <w:p w14:paraId="1E1E6CA7">
      <w:pPr>
        <w:rPr>
          <w:rFonts w:hint="eastAsia" w:ascii="宋体" w:hAnsi="宋体" w:eastAsia="宋体" w:cs="宋体"/>
          <w:bCs/>
          <w:color w:val="auto"/>
          <w:sz w:val="22"/>
          <w:szCs w:val="22"/>
          <w:highlight w:val="none"/>
        </w:rPr>
      </w:pPr>
    </w:p>
    <w:p w14:paraId="4B99507E">
      <w:pPr>
        <w:pStyle w:val="8"/>
        <w:ind w:firstLine="220"/>
        <w:rPr>
          <w:rFonts w:hint="eastAsia" w:ascii="宋体" w:hAnsi="宋体" w:eastAsia="宋体" w:cs="宋体"/>
          <w:bCs/>
          <w:color w:val="auto"/>
          <w:sz w:val="22"/>
          <w:szCs w:val="22"/>
          <w:highlight w:val="none"/>
        </w:rPr>
      </w:pPr>
    </w:p>
    <w:p w14:paraId="2AFEEBB1">
      <w:pPr>
        <w:pStyle w:val="14"/>
        <w:rPr>
          <w:rFonts w:hint="eastAsia" w:ascii="宋体" w:hAnsi="宋体" w:eastAsia="宋体" w:cs="宋体"/>
          <w:bCs/>
          <w:color w:val="auto"/>
          <w:sz w:val="22"/>
          <w:szCs w:val="22"/>
          <w:highlight w:val="none"/>
        </w:rPr>
      </w:pPr>
    </w:p>
    <w:p w14:paraId="6361A9F4">
      <w:pPr>
        <w:rPr>
          <w:rFonts w:hint="eastAsia" w:ascii="宋体" w:hAnsi="宋体" w:eastAsia="宋体" w:cs="宋体"/>
          <w:bCs/>
          <w:color w:val="auto"/>
          <w:sz w:val="22"/>
          <w:szCs w:val="22"/>
          <w:highlight w:val="none"/>
        </w:rPr>
      </w:pPr>
    </w:p>
    <w:p w14:paraId="3F01A961">
      <w:pPr>
        <w:pStyle w:val="8"/>
        <w:ind w:firstLine="220"/>
        <w:rPr>
          <w:rFonts w:hint="eastAsia" w:ascii="宋体" w:hAnsi="宋体" w:eastAsia="宋体" w:cs="宋体"/>
          <w:bCs/>
          <w:color w:val="auto"/>
          <w:sz w:val="22"/>
          <w:szCs w:val="22"/>
          <w:highlight w:val="none"/>
        </w:rPr>
      </w:pPr>
    </w:p>
    <w:p w14:paraId="16DB3C35">
      <w:pPr>
        <w:pStyle w:val="14"/>
        <w:rPr>
          <w:rFonts w:hint="eastAsia" w:ascii="宋体" w:hAnsi="宋体" w:eastAsia="宋体" w:cs="宋体"/>
          <w:bCs/>
          <w:color w:val="auto"/>
          <w:sz w:val="22"/>
          <w:szCs w:val="22"/>
          <w:highlight w:val="none"/>
        </w:rPr>
      </w:pPr>
    </w:p>
    <w:p w14:paraId="0E53CD67">
      <w:pPr>
        <w:rPr>
          <w:rFonts w:hint="eastAsia" w:ascii="宋体" w:hAnsi="宋体" w:eastAsia="宋体" w:cs="宋体"/>
          <w:bCs/>
          <w:color w:val="auto"/>
          <w:sz w:val="22"/>
          <w:szCs w:val="22"/>
          <w:highlight w:val="none"/>
        </w:rPr>
      </w:pPr>
    </w:p>
    <w:p w14:paraId="12939A9F">
      <w:pPr>
        <w:pStyle w:val="8"/>
        <w:ind w:firstLine="220"/>
        <w:rPr>
          <w:rFonts w:hint="eastAsia" w:ascii="宋体" w:hAnsi="宋体" w:eastAsia="宋体" w:cs="宋体"/>
          <w:bCs/>
          <w:color w:val="auto"/>
          <w:sz w:val="22"/>
          <w:szCs w:val="22"/>
          <w:highlight w:val="none"/>
        </w:rPr>
      </w:pPr>
    </w:p>
    <w:p w14:paraId="1B07BD64">
      <w:pPr>
        <w:pStyle w:val="14"/>
        <w:rPr>
          <w:rFonts w:hint="eastAsia" w:ascii="宋体" w:hAnsi="宋体" w:eastAsia="宋体" w:cs="宋体"/>
          <w:bCs/>
          <w:color w:val="auto"/>
          <w:sz w:val="22"/>
          <w:szCs w:val="22"/>
          <w:highlight w:val="none"/>
        </w:rPr>
      </w:pPr>
    </w:p>
    <w:p w14:paraId="32D4386E">
      <w:pPr>
        <w:rPr>
          <w:rFonts w:hint="eastAsia" w:ascii="宋体" w:hAnsi="宋体" w:eastAsia="宋体" w:cs="宋体"/>
          <w:bCs/>
          <w:color w:val="auto"/>
          <w:sz w:val="22"/>
          <w:szCs w:val="22"/>
          <w:highlight w:val="none"/>
        </w:rPr>
      </w:pPr>
    </w:p>
    <w:p w14:paraId="60F40719">
      <w:pPr>
        <w:pStyle w:val="8"/>
        <w:ind w:firstLine="220"/>
        <w:rPr>
          <w:rFonts w:hint="eastAsia" w:ascii="宋体" w:hAnsi="宋体" w:eastAsia="宋体" w:cs="宋体"/>
          <w:bCs/>
          <w:color w:val="auto"/>
          <w:sz w:val="22"/>
          <w:szCs w:val="22"/>
          <w:highlight w:val="none"/>
        </w:rPr>
      </w:pPr>
    </w:p>
    <w:p w14:paraId="389E4AB1">
      <w:pPr>
        <w:pStyle w:val="14"/>
        <w:rPr>
          <w:rFonts w:hint="eastAsia" w:ascii="宋体" w:hAnsi="宋体" w:eastAsia="宋体" w:cs="宋体"/>
          <w:bCs/>
          <w:color w:val="auto"/>
          <w:sz w:val="22"/>
          <w:szCs w:val="22"/>
          <w:highlight w:val="none"/>
        </w:rPr>
      </w:pPr>
    </w:p>
    <w:p w14:paraId="4E37C10F">
      <w:pPr>
        <w:rPr>
          <w:rFonts w:hint="eastAsia" w:ascii="宋体" w:hAnsi="宋体" w:eastAsia="宋体" w:cs="宋体"/>
          <w:bCs/>
          <w:color w:val="auto"/>
          <w:sz w:val="22"/>
          <w:szCs w:val="22"/>
          <w:highlight w:val="none"/>
        </w:rPr>
      </w:pPr>
    </w:p>
    <w:p w14:paraId="3536B932">
      <w:pPr>
        <w:pStyle w:val="2"/>
        <w:tabs>
          <w:tab w:val="clear" w:pos="840"/>
        </w:tabs>
        <w:adjustRightInd/>
        <w:snapToGrid/>
        <w:spacing w:before="120" w:after="120" w:line="400" w:lineRule="exact"/>
        <w:jc w:val="center"/>
        <w:rPr>
          <w:rFonts w:hint="eastAsia" w:ascii="宋体" w:hAnsi="宋体" w:eastAsia="宋体" w:cs="宋体"/>
          <w:color w:val="auto"/>
          <w:sz w:val="32"/>
          <w:szCs w:val="32"/>
          <w:highlight w:val="none"/>
        </w:rPr>
      </w:pPr>
      <w:bookmarkStart w:id="24" w:name="_Toc8103"/>
      <w:r>
        <w:rPr>
          <w:rFonts w:hint="eastAsia" w:ascii="宋体" w:hAnsi="宋体" w:eastAsia="宋体" w:cs="宋体"/>
          <w:color w:val="auto"/>
          <w:sz w:val="32"/>
          <w:szCs w:val="32"/>
          <w:highlight w:val="none"/>
        </w:rPr>
        <w:t>第三部分 附件</w:t>
      </w:r>
      <w:bookmarkEnd w:id="24"/>
    </w:p>
    <w:p w14:paraId="409FD36A">
      <w:pPr>
        <w:pStyle w:val="3"/>
        <w:spacing w:line="400" w:lineRule="exact"/>
        <w:rPr>
          <w:rFonts w:hint="eastAsia" w:ascii="宋体" w:hAnsi="宋体" w:eastAsia="宋体" w:cs="宋体"/>
          <w:color w:val="auto"/>
          <w:sz w:val="22"/>
          <w:szCs w:val="22"/>
          <w:highlight w:val="none"/>
        </w:rPr>
      </w:pPr>
      <w:bookmarkStart w:id="25" w:name="_Toc395528088"/>
      <w:bookmarkStart w:id="26" w:name="_Toc496784111"/>
      <w:bookmarkStart w:id="27" w:name="_Toc14685"/>
      <w:bookmarkStart w:id="28" w:name="_Toc301515373"/>
      <w:r>
        <w:rPr>
          <w:rFonts w:hint="eastAsia" w:ascii="宋体" w:hAnsi="宋体" w:eastAsia="宋体" w:cs="宋体"/>
          <w:color w:val="auto"/>
          <w:sz w:val="22"/>
          <w:szCs w:val="22"/>
          <w:highlight w:val="none"/>
        </w:rPr>
        <w:t>附件一  投 标 函</w:t>
      </w:r>
      <w:bookmarkEnd w:id="25"/>
      <w:bookmarkEnd w:id="26"/>
      <w:bookmarkEnd w:id="27"/>
      <w:bookmarkEnd w:id="28"/>
    </w:p>
    <w:p w14:paraId="01BD4568">
      <w:pPr>
        <w:spacing w:line="4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4085E98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温州市综合行政执法局</w:t>
      </w:r>
    </w:p>
    <w:p w14:paraId="6A3FBB2D">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浙江铭洋项目管理咨询有限公司</w:t>
      </w:r>
      <w:r>
        <w:rPr>
          <w:rFonts w:hint="eastAsia" w:ascii="宋体" w:hAnsi="宋体" w:eastAsia="宋体" w:cs="宋体"/>
          <w:color w:val="auto"/>
          <w:sz w:val="22"/>
          <w:szCs w:val="22"/>
          <w:highlight w:val="none"/>
        </w:rPr>
        <w:t>：</w:t>
      </w:r>
    </w:p>
    <w:p w14:paraId="7CEBB44F">
      <w:pPr>
        <w:spacing w:line="42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）的投标邀请，我方（联合体）</w:t>
      </w:r>
      <w:r>
        <w:rPr>
          <w:rFonts w:hint="eastAsia" w:ascii="宋体" w:hAnsi="宋体" w:eastAsia="宋体" w:cs="宋体"/>
          <w:color w:val="auto"/>
          <w:sz w:val="22"/>
          <w:szCs w:val="22"/>
          <w:highlight w:val="none"/>
          <w:u w:val="single"/>
        </w:rPr>
        <w:t xml:space="preserve">   （投标供应商名称）    </w:t>
      </w:r>
      <w:r>
        <w:rPr>
          <w:rFonts w:hint="eastAsia" w:ascii="宋体" w:hAnsi="宋体" w:eastAsia="宋体" w:cs="宋体"/>
          <w:color w:val="auto"/>
          <w:sz w:val="22"/>
          <w:szCs w:val="22"/>
          <w:highlight w:val="none"/>
        </w:rPr>
        <w:t>作为投标供应商正式授权</w:t>
      </w:r>
      <w:r>
        <w:rPr>
          <w:rFonts w:hint="eastAsia" w:ascii="宋体" w:hAnsi="宋体" w:eastAsia="宋体" w:cs="宋体"/>
          <w:color w:val="auto"/>
          <w:sz w:val="22"/>
          <w:szCs w:val="22"/>
          <w:highlight w:val="none"/>
          <w:u w:val="single"/>
        </w:rPr>
        <w:t xml:space="preserve">　  （授权代表全名，职务）    </w:t>
      </w:r>
      <w:r>
        <w:rPr>
          <w:rFonts w:hint="eastAsia" w:ascii="宋体" w:hAnsi="宋体" w:eastAsia="宋体" w:cs="宋体"/>
          <w:color w:val="auto"/>
          <w:sz w:val="22"/>
          <w:szCs w:val="22"/>
          <w:highlight w:val="none"/>
        </w:rPr>
        <w:t>代表我方处理有关本投标的一切事宜，并参加本项目的投标。</w:t>
      </w:r>
    </w:p>
    <w:p w14:paraId="38A807BA">
      <w:pPr>
        <w:spacing w:line="420" w:lineRule="exact"/>
        <w:ind w:left="975" w:leftChars="15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在此提交的投标文件中，包括按“招标文件”要求编制的资格文件、商务技术文件、报价文件。</w:t>
      </w:r>
    </w:p>
    <w:p w14:paraId="1BE4B855">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我方已完全明白招标文件的所有条款要求，并重申以下几点：</w:t>
      </w:r>
    </w:p>
    <w:p w14:paraId="09B8C79E">
      <w:pPr>
        <w:spacing w:line="420" w:lineRule="exact"/>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（一）本投标文件的有效期自投标截止日起</w:t>
      </w:r>
      <w:r>
        <w:rPr>
          <w:rFonts w:hint="eastAsia" w:ascii="宋体" w:hAnsi="宋体" w:eastAsia="宋体" w:cs="宋体"/>
          <w:b/>
          <w:color w:val="auto"/>
          <w:sz w:val="22"/>
          <w:szCs w:val="22"/>
          <w:highlight w:val="none"/>
          <w:u w:val="single"/>
        </w:rPr>
        <w:t>90</w:t>
      </w:r>
      <w:r>
        <w:rPr>
          <w:rFonts w:hint="eastAsia" w:ascii="宋体" w:hAnsi="宋体" w:eastAsia="宋体" w:cs="宋体"/>
          <w:color w:val="auto"/>
          <w:sz w:val="22"/>
          <w:szCs w:val="22"/>
          <w:highlight w:val="none"/>
        </w:rPr>
        <w:t>天内有效，如中标，有效期将延至合同终止日为止；</w:t>
      </w:r>
    </w:p>
    <w:p w14:paraId="302E0A1C">
      <w:pPr>
        <w:spacing w:line="420" w:lineRule="exact"/>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0C02A55F">
      <w:pPr>
        <w:spacing w:line="420" w:lineRule="exact"/>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（三）我方明白并承诺在规定的开标时间之后，在投标有效期内不撤回投标；</w:t>
      </w:r>
    </w:p>
    <w:p w14:paraId="763959CF">
      <w:pPr>
        <w:spacing w:line="420" w:lineRule="exact"/>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（四）我方同意提供按照贵方可能要求的与投标有关的一切数据或资料；</w:t>
      </w:r>
    </w:p>
    <w:p w14:paraId="1AA59C3D">
      <w:pPr>
        <w:spacing w:line="420" w:lineRule="exact"/>
        <w:ind w:left="359" w:left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（五）我方理解贵方不一定接受最低报价。</w:t>
      </w:r>
    </w:p>
    <w:p w14:paraId="74B938BB">
      <w:pPr>
        <w:spacing w:line="400" w:lineRule="exact"/>
        <w:ind w:left="1019" w:leftChars="171"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（六）我方如果中标，将保证履行招标文件以及招标文件修改书（如有）中的全部责任和义务，按质、按量、按期完成《合同书》中的全部任务。</w:t>
      </w:r>
    </w:p>
    <w:p w14:paraId="7A866BA7">
      <w:pPr>
        <w:spacing w:line="400" w:lineRule="exact"/>
        <w:ind w:left="31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（七）所有与本投标有关的函件请发往下列地址：</w:t>
      </w:r>
    </w:p>
    <w:p w14:paraId="68F967F3">
      <w:pPr>
        <w:spacing w:line="40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14:paraId="14868B8B">
      <w:pPr>
        <w:spacing w:line="40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14:paraId="56100B5B">
      <w:pPr>
        <w:spacing w:line="40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6ADE5101">
      <w:pPr>
        <w:spacing w:line="400" w:lineRule="exact"/>
        <w:ind w:firstLine="770" w:firstLineChars="3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47C2E54">
      <w:pPr>
        <w:spacing w:line="400" w:lineRule="exact"/>
        <w:ind w:firstLine="770" w:firstLineChars="350"/>
        <w:rPr>
          <w:rFonts w:hint="eastAsia" w:ascii="宋体" w:hAnsi="宋体" w:eastAsia="宋体" w:cs="宋体"/>
          <w:color w:val="auto"/>
          <w:sz w:val="22"/>
          <w:szCs w:val="22"/>
          <w:highlight w:val="none"/>
          <w:u w:val="single"/>
        </w:rPr>
      </w:pPr>
    </w:p>
    <w:p w14:paraId="29166DF6">
      <w:pPr>
        <w:spacing w:line="500" w:lineRule="exact"/>
        <w:ind w:firstLine="4840" w:firstLineChars="2200"/>
        <w:rPr>
          <w:rFonts w:hint="eastAsia" w:ascii="宋体" w:hAnsi="宋体" w:eastAsia="宋体" w:cs="宋体"/>
          <w:color w:val="auto"/>
          <w:sz w:val="22"/>
          <w:highlight w:val="none"/>
        </w:rPr>
      </w:pPr>
    </w:p>
    <w:p w14:paraId="1F77344A">
      <w:pPr>
        <w:spacing w:line="500" w:lineRule="exact"/>
        <w:ind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投标供应商名称</w:t>
      </w:r>
      <w:r>
        <w:rPr>
          <w:rFonts w:hint="eastAsia" w:ascii="宋体" w:hAnsi="宋体" w:eastAsia="宋体" w:cs="宋体"/>
          <w:color w:val="auto"/>
          <w:sz w:val="22"/>
          <w:szCs w:val="22"/>
          <w:highlight w:val="none"/>
        </w:rPr>
        <w:t>（盖章）：</w:t>
      </w:r>
    </w:p>
    <w:p w14:paraId="2235ED86">
      <w:pPr>
        <w:spacing w:line="500" w:lineRule="exact"/>
        <w:ind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投标供应商代表</w:t>
      </w:r>
      <w:r>
        <w:rPr>
          <w:rFonts w:hint="eastAsia" w:ascii="宋体" w:hAnsi="宋体" w:eastAsia="宋体" w:cs="宋体"/>
          <w:color w:val="auto"/>
          <w:sz w:val="22"/>
          <w:szCs w:val="22"/>
          <w:highlight w:val="none"/>
        </w:rPr>
        <w:t>（</w:t>
      </w:r>
      <w:r>
        <w:rPr>
          <w:rFonts w:hint="eastAsia" w:ascii="宋体" w:hAnsi="宋体" w:eastAsia="宋体" w:cs="宋体"/>
          <w:color w:val="auto"/>
          <w:sz w:val="22"/>
          <w:highlight w:val="none"/>
        </w:rPr>
        <w:t>签字</w:t>
      </w:r>
      <w:r>
        <w:rPr>
          <w:rFonts w:hint="eastAsia" w:ascii="宋体" w:hAnsi="宋体" w:eastAsia="宋体" w:cs="宋体"/>
          <w:color w:val="auto"/>
          <w:sz w:val="22"/>
          <w:szCs w:val="22"/>
          <w:highlight w:val="none"/>
        </w:rPr>
        <w:t>）：</w:t>
      </w:r>
    </w:p>
    <w:p w14:paraId="2090F7B2">
      <w:pPr>
        <w:spacing w:line="500" w:lineRule="exact"/>
        <w:ind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6A514800">
      <w:pPr>
        <w:spacing w:line="400" w:lineRule="exact"/>
        <w:ind w:firstLine="435"/>
        <w:rPr>
          <w:rFonts w:hint="eastAsia" w:ascii="宋体" w:hAnsi="宋体" w:eastAsia="宋体" w:cs="宋体"/>
          <w:color w:val="auto"/>
          <w:sz w:val="22"/>
          <w:szCs w:val="22"/>
          <w:highlight w:val="none"/>
          <w:u w:val="single"/>
        </w:rPr>
      </w:pPr>
    </w:p>
    <w:p w14:paraId="253AEAE9">
      <w:pPr>
        <w:spacing w:line="400" w:lineRule="exact"/>
        <w:ind w:firstLine="435"/>
        <w:rPr>
          <w:rFonts w:hint="eastAsia" w:ascii="宋体" w:hAnsi="宋体" w:eastAsia="宋体" w:cs="宋体"/>
          <w:color w:val="auto"/>
          <w:sz w:val="22"/>
          <w:szCs w:val="22"/>
          <w:highlight w:val="none"/>
          <w:u w:val="single"/>
        </w:rPr>
      </w:pPr>
    </w:p>
    <w:p w14:paraId="04FCEB64">
      <w:pPr>
        <w:pStyle w:val="3"/>
        <w:spacing w:line="400" w:lineRule="exact"/>
        <w:rPr>
          <w:rFonts w:hint="eastAsia" w:ascii="宋体" w:hAnsi="宋体" w:eastAsia="宋体" w:cs="宋体"/>
          <w:color w:val="auto"/>
          <w:sz w:val="22"/>
          <w:szCs w:val="22"/>
          <w:highlight w:val="none"/>
        </w:rPr>
      </w:pPr>
      <w:bookmarkStart w:id="29" w:name="_Toc13007"/>
      <w:bookmarkStart w:id="30" w:name="_Toc395528089"/>
      <w:bookmarkStart w:id="31" w:name="_Toc496784112"/>
      <w:bookmarkStart w:id="32" w:name="_Toc301515374"/>
      <w:r>
        <w:rPr>
          <w:rFonts w:hint="eastAsia" w:ascii="宋体" w:hAnsi="宋体" w:eastAsia="宋体" w:cs="宋体"/>
          <w:color w:val="auto"/>
          <w:sz w:val="22"/>
          <w:szCs w:val="22"/>
          <w:highlight w:val="none"/>
        </w:rPr>
        <w:t>附件二  投标报价一览表</w:t>
      </w:r>
      <w:bookmarkEnd w:id="29"/>
      <w:bookmarkEnd w:id="30"/>
      <w:bookmarkEnd w:id="31"/>
      <w:bookmarkEnd w:id="32"/>
    </w:p>
    <w:p w14:paraId="05B8CAA0">
      <w:pPr>
        <w:spacing w:line="5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投标报价一览表</w:t>
      </w:r>
    </w:p>
    <w:p w14:paraId="6378FF17">
      <w:pPr>
        <w:spacing w:line="460" w:lineRule="exact"/>
        <w:rPr>
          <w:rFonts w:hint="eastAsia" w:ascii="宋体" w:hAnsi="宋体" w:eastAsia="宋体" w:cs="宋体"/>
          <w:b/>
          <w:color w:val="auto"/>
          <w:sz w:val="24"/>
          <w:highlight w:val="none"/>
        </w:rPr>
      </w:pPr>
    </w:p>
    <w:p w14:paraId="159499B5">
      <w:pPr>
        <w:spacing w:line="4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934"/>
        <w:gridCol w:w="4143"/>
        <w:gridCol w:w="1563"/>
      </w:tblGrid>
      <w:tr w14:paraId="4604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718" w:type="dxa"/>
            <w:noWrap w:val="0"/>
            <w:vAlign w:val="center"/>
          </w:tcPr>
          <w:p w14:paraId="61879075">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934" w:type="dxa"/>
            <w:noWrap w:val="0"/>
            <w:vAlign w:val="center"/>
          </w:tcPr>
          <w:p w14:paraId="0BA618B2">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  称</w:t>
            </w:r>
          </w:p>
        </w:tc>
        <w:tc>
          <w:tcPr>
            <w:tcW w:w="4143" w:type="dxa"/>
            <w:noWrap w:val="0"/>
            <w:vAlign w:val="center"/>
          </w:tcPr>
          <w:p w14:paraId="2832D97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投标报价（万元）</w:t>
            </w:r>
          </w:p>
        </w:tc>
        <w:tc>
          <w:tcPr>
            <w:tcW w:w="1563" w:type="dxa"/>
            <w:noWrap w:val="0"/>
            <w:vAlign w:val="center"/>
          </w:tcPr>
          <w:p w14:paraId="7E571F98">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425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exact"/>
        </w:trPr>
        <w:tc>
          <w:tcPr>
            <w:tcW w:w="718" w:type="dxa"/>
            <w:noWrap w:val="0"/>
            <w:vAlign w:val="center"/>
          </w:tcPr>
          <w:p w14:paraId="2B4FDE9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934" w:type="dxa"/>
            <w:noWrap w:val="0"/>
            <w:vAlign w:val="center"/>
          </w:tcPr>
          <w:p w14:paraId="1B7DAB3B">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2"/>
                <w:highlight w:val="none"/>
                <w:lang w:eastAsia="zh-CN"/>
              </w:rPr>
              <w:t>2025年度垃圾分类宣传（媒体宣传）</w:t>
            </w:r>
          </w:p>
        </w:tc>
        <w:tc>
          <w:tcPr>
            <w:tcW w:w="4143" w:type="dxa"/>
            <w:noWrap w:val="0"/>
            <w:vAlign w:val="center"/>
          </w:tcPr>
          <w:p w14:paraId="4E42466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1563" w:type="dxa"/>
            <w:noWrap w:val="0"/>
            <w:vAlign w:val="center"/>
          </w:tcPr>
          <w:p w14:paraId="40BEAFFD">
            <w:pPr>
              <w:jc w:val="center"/>
              <w:rPr>
                <w:rFonts w:hint="eastAsia" w:ascii="宋体" w:hAnsi="宋体" w:eastAsia="宋体" w:cs="宋体"/>
                <w:color w:val="auto"/>
                <w:sz w:val="24"/>
                <w:highlight w:val="none"/>
              </w:rPr>
            </w:pPr>
          </w:p>
        </w:tc>
      </w:tr>
      <w:tr w14:paraId="35D1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3652" w:type="dxa"/>
            <w:gridSpan w:val="2"/>
            <w:noWrap w:val="0"/>
            <w:vAlign w:val="center"/>
          </w:tcPr>
          <w:p w14:paraId="56DE989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 （大写）</w:t>
            </w:r>
          </w:p>
        </w:tc>
        <w:tc>
          <w:tcPr>
            <w:tcW w:w="5706" w:type="dxa"/>
            <w:gridSpan w:val="2"/>
            <w:noWrap w:val="0"/>
            <w:vAlign w:val="center"/>
          </w:tcPr>
          <w:p w14:paraId="03EA08C2">
            <w:pPr>
              <w:ind w:firstLine="3480" w:firstLineChars="14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元</w:t>
            </w:r>
          </w:p>
        </w:tc>
      </w:tr>
    </w:tbl>
    <w:p w14:paraId="0C96DBB3">
      <w:pPr>
        <w:spacing w:line="360" w:lineRule="exact"/>
        <w:ind w:left="649" w:hanging="649" w:hangingChars="294"/>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w:t>
      </w:r>
    </w:p>
    <w:p w14:paraId="6D4A5457">
      <w:pPr>
        <w:spacing w:line="360" w:lineRule="exact"/>
        <w:ind w:left="330" w:hanging="330" w:hangingChars="15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1. 投标报价是</w:t>
      </w:r>
      <w:r>
        <w:rPr>
          <w:rFonts w:hint="eastAsia" w:ascii="宋体" w:hAnsi="宋体" w:eastAsia="宋体" w:cs="宋体"/>
          <w:color w:val="auto"/>
          <w:sz w:val="22"/>
          <w:highlight w:val="none"/>
        </w:rPr>
        <w:t>指供应商为正确地完全履行采购内容及要求的价格体现，包括各项活动任务的策划、组织、管理、实施，以及人员费用、设施设备使用费用、交通食宿费用、安全措施、活动邀请、媒体宣传推广、资料印制、不可预见费用、企业管理费、利润、税金、</w:t>
      </w:r>
      <w:r>
        <w:rPr>
          <w:rFonts w:hint="eastAsia" w:ascii="宋体" w:hAnsi="宋体" w:eastAsia="宋体" w:cs="宋体"/>
          <w:color w:val="auto"/>
          <w:sz w:val="22"/>
          <w:szCs w:val="22"/>
          <w:highlight w:val="none"/>
        </w:rPr>
        <w:t>项目履约验收费用、</w:t>
      </w:r>
      <w:r>
        <w:rPr>
          <w:rFonts w:hint="eastAsia" w:ascii="宋体" w:hAnsi="宋体" w:eastAsia="宋体" w:cs="宋体"/>
          <w:color w:val="auto"/>
          <w:sz w:val="22"/>
          <w:highlight w:val="none"/>
        </w:rPr>
        <w:t>招标代理服务费及处理一切伤亡事故等完成合同所需的一切本身和不可或缺的所有工作开支、政策性文件规定及合同包含的所有风险、责任等各项全部费用。</w:t>
      </w:r>
    </w:p>
    <w:p w14:paraId="1BA4B22B">
      <w:pPr>
        <w:spacing w:line="360" w:lineRule="exact"/>
        <w:ind w:left="440" w:hanging="440" w:hanging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 本表中投标报价应与附件三“投标分项报价表”中“总计价”相一致,不一致的以本表为准。</w:t>
      </w:r>
    </w:p>
    <w:p w14:paraId="08D4E3C0">
      <w:pPr>
        <w:spacing w:line="360" w:lineRule="exact"/>
        <w:ind w:left="325" w:hanging="325" w:hangingChars="147"/>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3．▲</w:t>
      </w:r>
      <w:r>
        <w:rPr>
          <w:rFonts w:hint="eastAsia" w:ascii="宋体" w:hAnsi="宋体" w:eastAsia="宋体" w:cs="宋体"/>
          <w:b/>
          <w:color w:val="auto"/>
          <w:sz w:val="22"/>
          <w:highlight w:val="none"/>
          <w:u w:val="single"/>
        </w:rPr>
        <w:t>此表不得自行增减内容，不按要求提供此表格将被视为没有实质性响应招标文件,其投标文件将被拒绝</w:t>
      </w:r>
      <w:r>
        <w:rPr>
          <w:rFonts w:hint="eastAsia" w:ascii="宋体" w:hAnsi="宋体" w:eastAsia="宋体" w:cs="宋体"/>
          <w:b/>
          <w:color w:val="auto"/>
          <w:sz w:val="22"/>
          <w:highlight w:val="none"/>
        </w:rPr>
        <w:t>。</w:t>
      </w:r>
    </w:p>
    <w:p w14:paraId="1058D8A8">
      <w:pPr>
        <w:rPr>
          <w:rFonts w:hint="eastAsia" w:ascii="宋体" w:hAnsi="宋体" w:eastAsia="宋体" w:cs="宋体"/>
          <w:color w:val="auto"/>
          <w:sz w:val="22"/>
          <w:szCs w:val="22"/>
          <w:highlight w:val="none"/>
        </w:rPr>
      </w:pPr>
    </w:p>
    <w:p w14:paraId="7196FB13">
      <w:pPr>
        <w:rPr>
          <w:rFonts w:hint="eastAsia" w:ascii="宋体" w:hAnsi="宋体" w:eastAsia="宋体" w:cs="宋体"/>
          <w:color w:val="auto"/>
          <w:sz w:val="22"/>
          <w:szCs w:val="22"/>
          <w:highlight w:val="none"/>
        </w:rPr>
      </w:pPr>
    </w:p>
    <w:p w14:paraId="24349AC1">
      <w:pPr>
        <w:spacing w:line="500" w:lineRule="exact"/>
        <w:ind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投标供应商名称</w:t>
      </w:r>
      <w:r>
        <w:rPr>
          <w:rFonts w:hint="eastAsia" w:ascii="宋体" w:hAnsi="宋体" w:eastAsia="宋体" w:cs="宋体"/>
          <w:color w:val="auto"/>
          <w:sz w:val="22"/>
          <w:szCs w:val="22"/>
          <w:highlight w:val="none"/>
        </w:rPr>
        <w:t>（盖章）：</w:t>
      </w:r>
    </w:p>
    <w:p w14:paraId="5217D32E">
      <w:pPr>
        <w:spacing w:line="500" w:lineRule="exact"/>
        <w:ind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投标供应商代表</w:t>
      </w:r>
      <w:r>
        <w:rPr>
          <w:rFonts w:hint="eastAsia" w:ascii="宋体" w:hAnsi="宋体" w:eastAsia="宋体" w:cs="宋体"/>
          <w:color w:val="auto"/>
          <w:sz w:val="22"/>
          <w:szCs w:val="22"/>
          <w:highlight w:val="none"/>
        </w:rPr>
        <w:t>（</w:t>
      </w:r>
      <w:r>
        <w:rPr>
          <w:rFonts w:hint="eastAsia" w:ascii="宋体" w:hAnsi="宋体" w:eastAsia="宋体" w:cs="宋体"/>
          <w:color w:val="auto"/>
          <w:sz w:val="22"/>
          <w:highlight w:val="none"/>
        </w:rPr>
        <w:t>签字</w:t>
      </w:r>
      <w:r>
        <w:rPr>
          <w:rFonts w:hint="eastAsia" w:ascii="宋体" w:hAnsi="宋体" w:eastAsia="宋体" w:cs="宋体"/>
          <w:color w:val="auto"/>
          <w:sz w:val="22"/>
          <w:szCs w:val="22"/>
          <w:highlight w:val="none"/>
        </w:rPr>
        <w:t>）：</w:t>
      </w:r>
    </w:p>
    <w:p w14:paraId="6DA44B41">
      <w:pPr>
        <w:spacing w:line="500" w:lineRule="exact"/>
        <w:ind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31942A92">
      <w:pPr>
        <w:ind w:firstLine="4840" w:firstLineChars="2200"/>
        <w:rPr>
          <w:rFonts w:hint="eastAsia" w:ascii="宋体" w:hAnsi="宋体" w:eastAsia="宋体" w:cs="宋体"/>
          <w:color w:val="auto"/>
          <w:sz w:val="22"/>
          <w:szCs w:val="22"/>
          <w:highlight w:val="none"/>
        </w:rPr>
      </w:pPr>
    </w:p>
    <w:p w14:paraId="246AFEE9">
      <w:pPr>
        <w:ind w:firstLine="4840" w:firstLineChars="2200"/>
        <w:rPr>
          <w:rFonts w:hint="eastAsia" w:ascii="宋体" w:hAnsi="宋体" w:eastAsia="宋体" w:cs="宋体"/>
          <w:color w:val="auto"/>
          <w:sz w:val="22"/>
          <w:szCs w:val="22"/>
          <w:highlight w:val="none"/>
        </w:rPr>
      </w:pPr>
    </w:p>
    <w:p w14:paraId="3655FCF3">
      <w:pPr>
        <w:ind w:firstLine="4840" w:firstLineChars="2200"/>
        <w:rPr>
          <w:rFonts w:hint="eastAsia" w:ascii="宋体" w:hAnsi="宋体" w:eastAsia="宋体" w:cs="宋体"/>
          <w:color w:val="auto"/>
          <w:sz w:val="22"/>
          <w:szCs w:val="22"/>
          <w:highlight w:val="none"/>
        </w:rPr>
      </w:pPr>
    </w:p>
    <w:p w14:paraId="7B285D56">
      <w:pPr>
        <w:ind w:firstLine="4840" w:firstLineChars="2200"/>
        <w:rPr>
          <w:rFonts w:hint="eastAsia" w:ascii="宋体" w:hAnsi="宋体" w:eastAsia="宋体" w:cs="宋体"/>
          <w:color w:val="auto"/>
          <w:sz w:val="22"/>
          <w:szCs w:val="22"/>
          <w:highlight w:val="none"/>
        </w:rPr>
      </w:pPr>
    </w:p>
    <w:p w14:paraId="4EBE4531">
      <w:pPr>
        <w:pStyle w:val="3"/>
        <w:spacing w:line="400" w:lineRule="exact"/>
        <w:rPr>
          <w:rFonts w:hint="eastAsia" w:ascii="宋体" w:hAnsi="宋体" w:eastAsia="宋体" w:cs="宋体"/>
          <w:color w:val="auto"/>
          <w:sz w:val="22"/>
          <w:szCs w:val="22"/>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284"/>
          <w:pgNumType w:start="0"/>
          <w:cols w:space="720" w:num="1"/>
          <w:titlePg/>
          <w:docGrid w:linePitch="312" w:charSpace="0"/>
        </w:sectPr>
      </w:pPr>
      <w:bookmarkStart w:id="33" w:name="_Toc317492717"/>
      <w:bookmarkStart w:id="34" w:name="_Toc395528090"/>
      <w:bookmarkStart w:id="35" w:name="_Toc301515375"/>
      <w:bookmarkStart w:id="36" w:name="_Toc496784113"/>
    </w:p>
    <w:p w14:paraId="7C032EFE">
      <w:pPr>
        <w:pStyle w:val="3"/>
        <w:spacing w:line="400" w:lineRule="exact"/>
        <w:rPr>
          <w:rFonts w:hint="eastAsia" w:ascii="宋体" w:hAnsi="宋体" w:eastAsia="宋体" w:cs="宋体"/>
          <w:b w:val="0"/>
          <w:color w:val="auto"/>
          <w:highlight w:val="none"/>
        </w:rPr>
      </w:pPr>
      <w:bookmarkStart w:id="37" w:name="_Toc31146"/>
      <w:r>
        <w:rPr>
          <w:rFonts w:hint="eastAsia" w:ascii="宋体" w:hAnsi="宋体" w:eastAsia="宋体" w:cs="宋体"/>
          <w:color w:val="auto"/>
          <w:sz w:val="22"/>
          <w:szCs w:val="22"/>
          <w:highlight w:val="none"/>
        </w:rPr>
        <w:t>附件三  投标分项报价表</w:t>
      </w:r>
      <w:bookmarkEnd w:id="33"/>
      <w:bookmarkEnd w:id="34"/>
      <w:bookmarkEnd w:id="35"/>
      <w:bookmarkEnd w:id="36"/>
      <w:bookmarkEnd w:id="37"/>
      <w:r>
        <w:rPr>
          <w:rFonts w:hint="eastAsia" w:ascii="宋体" w:hAnsi="宋体" w:eastAsia="宋体" w:cs="宋体"/>
          <w:b w:val="0"/>
          <w:color w:val="auto"/>
          <w:highlight w:val="none"/>
        </w:rPr>
        <w:t xml:space="preserve"> </w:t>
      </w:r>
    </w:p>
    <w:p w14:paraId="573832FE">
      <w:pPr>
        <w:spacing w:line="5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投标分项报价表</w:t>
      </w:r>
    </w:p>
    <w:p w14:paraId="6F072E45">
      <w:pPr>
        <w:spacing w:line="200" w:lineRule="exact"/>
        <w:rPr>
          <w:rFonts w:hint="eastAsia" w:ascii="宋体" w:hAnsi="宋体" w:eastAsia="宋体" w:cs="宋体"/>
          <w:b/>
          <w:color w:val="auto"/>
          <w:sz w:val="24"/>
          <w:highlight w:val="none"/>
        </w:rPr>
      </w:pPr>
    </w:p>
    <w:p w14:paraId="012DA8E9">
      <w:pPr>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项目名称：                                    项目编号：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22"/>
        <w:gridCol w:w="3490"/>
        <w:gridCol w:w="1707"/>
        <w:gridCol w:w="2157"/>
      </w:tblGrid>
      <w:tr w14:paraId="70B0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01" w:type="dxa"/>
            <w:noWrap w:val="0"/>
            <w:vAlign w:val="center"/>
          </w:tcPr>
          <w:p w14:paraId="64DBCDCB">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序号</w:t>
            </w:r>
          </w:p>
        </w:tc>
        <w:tc>
          <w:tcPr>
            <w:tcW w:w="4612" w:type="dxa"/>
            <w:gridSpan w:val="2"/>
            <w:noWrap w:val="0"/>
            <w:vAlign w:val="center"/>
          </w:tcPr>
          <w:p w14:paraId="3ED22649">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项 目 内 容</w:t>
            </w:r>
          </w:p>
        </w:tc>
        <w:tc>
          <w:tcPr>
            <w:tcW w:w="1707" w:type="dxa"/>
            <w:noWrap w:val="0"/>
            <w:vAlign w:val="center"/>
          </w:tcPr>
          <w:p w14:paraId="42E814FF">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报价（万元）</w:t>
            </w:r>
          </w:p>
        </w:tc>
        <w:tc>
          <w:tcPr>
            <w:tcW w:w="2157" w:type="dxa"/>
            <w:noWrap w:val="0"/>
            <w:vAlign w:val="center"/>
          </w:tcPr>
          <w:p w14:paraId="18D542EB">
            <w:pPr>
              <w:spacing w:line="400" w:lineRule="exact"/>
              <w:jc w:val="cente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备注</w:t>
            </w:r>
          </w:p>
        </w:tc>
      </w:tr>
      <w:tr w14:paraId="62B8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1" w:type="dxa"/>
            <w:vMerge w:val="restart"/>
            <w:noWrap w:val="0"/>
            <w:vAlign w:val="center"/>
          </w:tcPr>
          <w:p w14:paraId="19054C27">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p w14:paraId="75B2D54E">
            <w:pPr>
              <w:spacing w:line="400" w:lineRule="exact"/>
              <w:jc w:val="center"/>
              <w:rPr>
                <w:rFonts w:hint="eastAsia" w:ascii="宋体" w:hAnsi="宋体" w:eastAsia="宋体" w:cs="宋体"/>
                <w:color w:val="auto"/>
                <w:sz w:val="22"/>
                <w:highlight w:val="none"/>
              </w:rPr>
            </w:pPr>
          </w:p>
          <w:p w14:paraId="7EE5A443">
            <w:pPr>
              <w:spacing w:line="400" w:lineRule="exact"/>
              <w:jc w:val="center"/>
              <w:rPr>
                <w:rFonts w:hint="eastAsia" w:ascii="宋体" w:hAnsi="宋体" w:eastAsia="宋体" w:cs="宋体"/>
                <w:color w:val="auto"/>
                <w:sz w:val="22"/>
                <w:highlight w:val="none"/>
              </w:rPr>
            </w:pPr>
          </w:p>
          <w:p w14:paraId="48A39BFB">
            <w:pPr>
              <w:spacing w:line="400" w:lineRule="exact"/>
              <w:jc w:val="center"/>
              <w:rPr>
                <w:rFonts w:hint="eastAsia" w:ascii="宋体" w:hAnsi="宋体" w:eastAsia="宋体" w:cs="宋体"/>
                <w:color w:val="auto"/>
                <w:sz w:val="22"/>
                <w:highlight w:val="none"/>
              </w:rPr>
            </w:pPr>
          </w:p>
          <w:p w14:paraId="5B278D41">
            <w:pPr>
              <w:spacing w:line="400" w:lineRule="exact"/>
              <w:jc w:val="center"/>
              <w:rPr>
                <w:rFonts w:hint="eastAsia" w:ascii="宋体" w:hAnsi="宋体" w:eastAsia="宋体" w:cs="宋体"/>
                <w:color w:val="auto"/>
                <w:sz w:val="22"/>
                <w:highlight w:val="none"/>
              </w:rPr>
            </w:pPr>
          </w:p>
          <w:p w14:paraId="06374D3A">
            <w:pPr>
              <w:spacing w:line="400" w:lineRule="exact"/>
              <w:jc w:val="center"/>
              <w:rPr>
                <w:rFonts w:hint="eastAsia" w:ascii="宋体" w:hAnsi="宋体" w:eastAsia="宋体" w:cs="宋体"/>
                <w:color w:val="auto"/>
                <w:sz w:val="22"/>
                <w:highlight w:val="none"/>
              </w:rPr>
            </w:pPr>
          </w:p>
          <w:p w14:paraId="093AE1E3">
            <w:pPr>
              <w:spacing w:line="400" w:lineRule="exact"/>
              <w:jc w:val="center"/>
              <w:rPr>
                <w:rFonts w:hint="eastAsia" w:ascii="宋体" w:hAnsi="宋体" w:eastAsia="宋体" w:cs="宋体"/>
                <w:color w:val="auto"/>
                <w:sz w:val="22"/>
                <w:highlight w:val="none"/>
              </w:rPr>
            </w:pPr>
          </w:p>
          <w:p w14:paraId="41881689">
            <w:pPr>
              <w:spacing w:line="400" w:lineRule="exact"/>
              <w:jc w:val="center"/>
              <w:rPr>
                <w:rFonts w:hint="eastAsia" w:ascii="宋体" w:hAnsi="宋体" w:eastAsia="宋体" w:cs="宋体"/>
                <w:color w:val="auto"/>
                <w:sz w:val="22"/>
                <w:highlight w:val="none"/>
              </w:rPr>
            </w:pPr>
          </w:p>
        </w:tc>
        <w:tc>
          <w:tcPr>
            <w:tcW w:w="1122" w:type="dxa"/>
            <w:vMerge w:val="restart"/>
            <w:noWrap w:val="0"/>
            <w:vAlign w:val="center"/>
          </w:tcPr>
          <w:p w14:paraId="2CF3D5D8">
            <w:pPr>
              <w:spacing w:line="400" w:lineRule="exact"/>
              <w:rPr>
                <w:rFonts w:hint="eastAsia" w:ascii="宋体" w:hAnsi="宋体" w:eastAsia="宋体" w:cs="宋体"/>
                <w:color w:val="auto"/>
                <w:sz w:val="22"/>
                <w:highlight w:val="none"/>
              </w:rPr>
            </w:pPr>
            <w:r>
              <w:rPr>
                <w:rFonts w:hint="eastAsia" w:ascii="宋体" w:hAnsi="宋体" w:eastAsia="宋体" w:cs="宋体"/>
                <w:bCs/>
                <w:color w:val="auto"/>
                <w:sz w:val="22"/>
                <w:highlight w:val="none"/>
              </w:rPr>
              <w:t>各项工作、活动费用</w:t>
            </w:r>
          </w:p>
        </w:tc>
        <w:tc>
          <w:tcPr>
            <w:tcW w:w="3490" w:type="dxa"/>
            <w:noWrap w:val="0"/>
            <w:vAlign w:val="center"/>
          </w:tcPr>
          <w:p w14:paraId="50FCFFB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中国建设报</w:t>
            </w:r>
          </w:p>
        </w:tc>
        <w:tc>
          <w:tcPr>
            <w:tcW w:w="1707" w:type="dxa"/>
            <w:noWrap w:val="0"/>
            <w:vAlign w:val="center"/>
          </w:tcPr>
          <w:p w14:paraId="2B02CC62">
            <w:pPr>
              <w:spacing w:line="400" w:lineRule="exact"/>
              <w:jc w:val="center"/>
              <w:rPr>
                <w:rFonts w:hint="eastAsia" w:ascii="宋体" w:hAnsi="宋体" w:eastAsia="宋体" w:cs="宋体"/>
                <w:color w:val="auto"/>
                <w:sz w:val="22"/>
                <w:highlight w:val="none"/>
              </w:rPr>
            </w:pPr>
          </w:p>
        </w:tc>
        <w:tc>
          <w:tcPr>
            <w:tcW w:w="2157" w:type="dxa"/>
            <w:vMerge w:val="restart"/>
            <w:noWrap w:val="0"/>
            <w:vAlign w:val="center"/>
          </w:tcPr>
          <w:p w14:paraId="1C6B1C54">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包括</w:t>
            </w:r>
            <w:r>
              <w:rPr>
                <w:rFonts w:hint="eastAsia" w:ascii="宋体" w:hAnsi="宋体" w:eastAsia="宋体" w:cs="宋体"/>
                <w:color w:val="auto"/>
                <w:sz w:val="22"/>
                <w:highlight w:val="none"/>
              </w:rPr>
              <w:t>策划、组织、管理、实施，以及人员费用、设施设备使用费用、交通食宿费用、安全措施、活动邀请、媒体宣传推广、资料印制</w:t>
            </w:r>
            <w:r>
              <w:rPr>
                <w:rFonts w:hint="eastAsia" w:ascii="宋体" w:hAnsi="宋体" w:eastAsia="宋体" w:cs="宋体"/>
                <w:color w:val="auto"/>
                <w:highlight w:val="none"/>
              </w:rPr>
              <w:t>等所有</w:t>
            </w:r>
          </w:p>
          <w:p w14:paraId="16EF8DD4">
            <w:pPr>
              <w:keepNext w:val="0"/>
              <w:keepLines w:val="0"/>
              <w:pageBreakBefore w:val="0"/>
              <w:widowControl w:val="0"/>
              <w:kinsoku/>
              <w:wordWrap/>
              <w:overflowPunct/>
              <w:topLinePunct w:val="0"/>
              <w:autoSpaceDE/>
              <w:autoSpaceDN/>
              <w:bidi w:val="0"/>
              <w:snapToGrid/>
              <w:spacing w:line="40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highlight w:val="none"/>
              </w:rPr>
              <w:t>相关费用。</w:t>
            </w:r>
          </w:p>
        </w:tc>
      </w:tr>
      <w:tr w14:paraId="450E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1" w:type="dxa"/>
            <w:vMerge w:val="continue"/>
            <w:noWrap w:val="0"/>
            <w:vAlign w:val="center"/>
          </w:tcPr>
          <w:p w14:paraId="47F08E88">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497206CB">
            <w:pPr>
              <w:spacing w:line="400" w:lineRule="exact"/>
              <w:rPr>
                <w:rFonts w:hint="eastAsia" w:ascii="宋体" w:hAnsi="宋体" w:eastAsia="宋体" w:cs="宋体"/>
                <w:color w:val="auto"/>
                <w:sz w:val="22"/>
                <w:szCs w:val="22"/>
                <w:highlight w:val="none"/>
              </w:rPr>
            </w:pPr>
          </w:p>
        </w:tc>
        <w:tc>
          <w:tcPr>
            <w:tcW w:w="3490" w:type="dxa"/>
            <w:noWrap w:val="0"/>
            <w:vAlign w:val="center"/>
          </w:tcPr>
          <w:p w14:paraId="1585E465">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浙江日报</w:t>
            </w:r>
          </w:p>
        </w:tc>
        <w:tc>
          <w:tcPr>
            <w:tcW w:w="1707" w:type="dxa"/>
            <w:noWrap w:val="0"/>
            <w:vAlign w:val="center"/>
          </w:tcPr>
          <w:p w14:paraId="145F227D">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2F30D84D">
            <w:pPr>
              <w:spacing w:line="400" w:lineRule="exact"/>
              <w:jc w:val="center"/>
              <w:rPr>
                <w:rFonts w:hint="eastAsia" w:ascii="宋体" w:hAnsi="宋体" w:eastAsia="宋体" w:cs="宋体"/>
                <w:color w:val="auto"/>
                <w:sz w:val="22"/>
                <w:szCs w:val="22"/>
                <w:highlight w:val="none"/>
              </w:rPr>
            </w:pPr>
          </w:p>
        </w:tc>
      </w:tr>
      <w:tr w14:paraId="370B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1" w:type="dxa"/>
            <w:vMerge w:val="continue"/>
            <w:noWrap w:val="0"/>
            <w:vAlign w:val="center"/>
          </w:tcPr>
          <w:p w14:paraId="58D3FBF4">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47EEC6EA">
            <w:pPr>
              <w:spacing w:line="400" w:lineRule="exact"/>
              <w:rPr>
                <w:rFonts w:hint="eastAsia" w:ascii="宋体" w:hAnsi="宋体" w:eastAsia="宋体" w:cs="宋体"/>
                <w:color w:val="auto"/>
                <w:sz w:val="22"/>
                <w:szCs w:val="22"/>
                <w:highlight w:val="none"/>
              </w:rPr>
            </w:pPr>
          </w:p>
        </w:tc>
        <w:tc>
          <w:tcPr>
            <w:tcW w:w="3490" w:type="dxa"/>
            <w:noWrap w:val="0"/>
            <w:vAlign w:val="center"/>
          </w:tcPr>
          <w:p w14:paraId="7602D3B5">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温州日报</w:t>
            </w:r>
          </w:p>
        </w:tc>
        <w:tc>
          <w:tcPr>
            <w:tcW w:w="1707" w:type="dxa"/>
            <w:noWrap w:val="0"/>
            <w:vAlign w:val="center"/>
          </w:tcPr>
          <w:p w14:paraId="13057A88">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51DE3EF5">
            <w:pPr>
              <w:spacing w:line="400" w:lineRule="exact"/>
              <w:jc w:val="center"/>
              <w:rPr>
                <w:rFonts w:hint="eastAsia" w:ascii="宋体" w:hAnsi="宋体" w:eastAsia="宋体" w:cs="宋体"/>
                <w:color w:val="auto"/>
                <w:sz w:val="22"/>
                <w:highlight w:val="none"/>
              </w:rPr>
            </w:pPr>
          </w:p>
        </w:tc>
      </w:tr>
      <w:tr w14:paraId="22D4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vMerge w:val="continue"/>
            <w:noWrap w:val="0"/>
            <w:vAlign w:val="center"/>
          </w:tcPr>
          <w:p w14:paraId="3DD253BC">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50C3C5B6">
            <w:pPr>
              <w:spacing w:line="400" w:lineRule="exact"/>
              <w:rPr>
                <w:rFonts w:hint="eastAsia" w:ascii="宋体" w:hAnsi="宋体" w:eastAsia="宋体" w:cs="宋体"/>
                <w:color w:val="auto"/>
                <w:sz w:val="22"/>
                <w:szCs w:val="22"/>
                <w:highlight w:val="none"/>
              </w:rPr>
            </w:pPr>
          </w:p>
        </w:tc>
        <w:tc>
          <w:tcPr>
            <w:tcW w:w="3490" w:type="dxa"/>
            <w:noWrap w:val="0"/>
            <w:vAlign w:val="center"/>
          </w:tcPr>
          <w:p w14:paraId="106C859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温州都市报</w:t>
            </w:r>
          </w:p>
        </w:tc>
        <w:tc>
          <w:tcPr>
            <w:tcW w:w="1707" w:type="dxa"/>
            <w:noWrap w:val="0"/>
            <w:vAlign w:val="center"/>
          </w:tcPr>
          <w:p w14:paraId="6F43E789">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0D5C3A8B">
            <w:pPr>
              <w:spacing w:line="400" w:lineRule="exact"/>
              <w:jc w:val="center"/>
              <w:rPr>
                <w:rFonts w:hint="eastAsia" w:ascii="宋体" w:hAnsi="宋体" w:eastAsia="宋体" w:cs="宋体"/>
                <w:color w:val="auto"/>
                <w:sz w:val="22"/>
                <w:highlight w:val="none"/>
              </w:rPr>
            </w:pPr>
          </w:p>
        </w:tc>
      </w:tr>
      <w:tr w14:paraId="44C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vMerge w:val="continue"/>
            <w:noWrap w:val="0"/>
            <w:vAlign w:val="center"/>
          </w:tcPr>
          <w:p w14:paraId="6CC20F27">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77FB3237">
            <w:pPr>
              <w:spacing w:line="400" w:lineRule="exact"/>
              <w:rPr>
                <w:rFonts w:hint="eastAsia" w:ascii="宋体" w:hAnsi="宋体" w:eastAsia="宋体" w:cs="宋体"/>
                <w:color w:val="auto"/>
                <w:sz w:val="22"/>
                <w:szCs w:val="22"/>
                <w:highlight w:val="none"/>
              </w:rPr>
            </w:pPr>
          </w:p>
        </w:tc>
        <w:tc>
          <w:tcPr>
            <w:tcW w:w="3490" w:type="dxa"/>
            <w:noWrap w:val="0"/>
            <w:vAlign w:val="center"/>
          </w:tcPr>
          <w:p w14:paraId="1E9C8B5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温州晚报</w:t>
            </w:r>
          </w:p>
        </w:tc>
        <w:tc>
          <w:tcPr>
            <w:tcW w:w="1707" w:type="dxa"/>
            <w:noWrap w:val="0"/>
            <w:vAlign w:val="center"/>
          </w:tcPr>
          <w:p w14:paraId="02C19658">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2C3098FC">
            <w:pPr>
              <w:spacing w:line="400" w:lineRule="exact"/>
              <w:jc w:val="center"/>
              <w:rPr>
                <w:rFonts w:hint="eastAsia" w:ascii="宋体" w:hAnsi="宋体" w:eastAsia="宋体" w:cs="宋体"/>
                <w:color w:val="auto"/>
                <w:sz w:val="22"/>
                <w:highlight w:val="none"/>
              </w:rPr>
            </w:pPr>
          </w:p>
        </w:tc>
      </w:tr>
      <w:tr w14:paraId="353C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vMerge w:val="continue"/>
            <w:noWrap w:val="0"/>
            <w:vAlign w:val="center"/>
          </w:tcPr>
          <w:p w14:paraId="6C83C817">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1EB05BEE">
            <w:pPr>
              <w:spacing w:line="400" w:lineRule="exact"/>
              <w:rPr>
                <w:rFonts w:hint="eastAsia" w:ascii="宋体" w:hAnsi="宋体" w:eastAsia="宋体" w:cs="宋体"/>
                <w:color w:val="auto"/>
                <w:sz w:val="22"/>
                <w:szCs w:val="22"/>
                <w:highlight w:val="none"/>
              </w:rPr>
            </w:pPr>
          </w:p>
        </w:tc>
        <w:tc>
          <w:tcPr>
            <w:tcW w:w="3490" w:type="dxa"/>
            <w:noWrap w:val="0"/>
            <w:vAlign w:val="center"/>
          </w:tcPr>
          <w:p w14:paraId="3A2E0995">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《温州新闻联播》《温州晚间新闻》</w:t>
            </w:r>
          </w:p>
        </w:tc>
        <w:tc>
          <w:tcPr>
            <w:tcW w:w="1707" w:type="dxa"/>
            <w:noWrap w:val="0"/>
            <w:vAlign w:val="center"/>
          </w:tcPr>
          <w:p w14:paraId="3E4A3B20">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4E35599A">
            <w:pPr>
              <w:spacing w:line="400" w:lineRule="exact"/>
              <w:jc w:val="center"/>
              <w:rPr>
                <w:rFonts w:hint="eastAsia" w:ascii="宋体" w:hAnsi="宋体" w:eastAsia="宋体" w:cs="宋体"/>
                <w:color w:val="auto"/>
                <w:sz w:val="22"/>
                <w:highlight w:val="none"/>
              </w:rPr>
            </w:pPr>
          </w:p>
        </w:tc>
      </w:tr>
      <w:tr w14:paraId="6820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vMerge w:val="continue"/>
            <w:noWrap w:val="0"/>
            <w:vAlign w:val="center"/>
          </w:tcPr>
          <w:p w14:paraId="11F97355">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2B18F224">
            <w:pPr>
              <w:spacing w:line="400" w:lineRule="exact"/>
              <w:rPr>
                <w:rFonts w:hint="eastAsia" w:ascii="宋体" w:hAnsi="宋体" w:eastAsia="宋体" w:cs="宋体"/>
                <w:color w:val="auto"/>
                <w:sz w:val="22"/>
                <w:szCs w:val="22"/>
                <w:highlight w:val="none"/>
              </w:rPr>
            </w:pPr>
          </w:p>
        </w:tc>
        <w:tc>
          <w:tcPr>
            <w:tcW w:w="3490" w:type="dxa"/>
            <w:noWrap w:val="0"/>
            <w:vAlign w:val="center"/>
          </w:tcPr>
          <w:p w14:paraId="51B1E8B3">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人民日报人民号</w:t>
            </w:r>
          </w:p>
        </w:tc>
        <w:tc>
          <w:tcPr>
            <w:tcW w:w="1707" w:type="dxa"/>
            <w:noWrap w:val="0"/>
            <w:vAlign w:val="center"/>
          </w:tcPr>
          <w:p w14:paraId="0C1779CE">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6B6B816D">
            <w:pPr>
              <w:spacing w:line="400" w:lineRule="exact"/>
              <w:jc w:val="center"/>
              <w:rPr>
                <w:rFonts w:hint="eastAsia" w:ascii="宋体" w:hAnsi="宋体" w:eastAsia="宋体" w:cs="宋体"/>
                <w:color w:val="auto"/>
                <w:sz w:val="22"/>
                <w:highlight w:val="none"/>
              </w:rPr>
            </w:pPr>
          </w:p>
        </w:tc>
      </w:tr>
      <w:tr w14:paraId="7513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1" w:type="dxa"/>
            <w:vMerge w:val="continue"/>
            <w:noWrap w:val="0"/>
            <w:vAlign w:val="center"/>
          </w:tcPr>
          <w:p w14:paraId="19682CED">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424AAB21">
            <w:pPr>
              <w:spacing w:line="400" w:lineRule="exact"/>
              <w:rPr>
                <w:rFonts w:hint="eastAsia" w:ascii="宋体" w:hAnsi="宋体" w:eastAsia="宋体" w:cs="宋体"/>
                <w:color w:val="auto"/>
                <w:sz w:val="22"/>
                <w:szCs w:val="22"/>
                <w:highlight w:val="none"/>
              </w:rPr>
            </w:pPr>
          </w:p>
        </w:tc>
        <w:tc>
          <w:tcPr>
            <w:tcW w:w="3490" w:type="dxa"/>
            <w:noWrap w:val="0"/>
            <w:vAlign w:val="center"/>
          </w:tcPr>
          <w:p w14:paraId="4D25C15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微信公众号“中新浙里”</w:t>
            </w:r>
          </w:p>
        </w:tc>
        <w:tc>
          <w:tcPr>
            <w:tcW w:w="1707" w:type="dxa"/>
            <w:noWrap w:val="0"/>
            <w:vAlign w:val="center"/>
          </w:tcPr>
          <w:p w14:paraId="40F57638">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0EAC5537">
            <w:pPr>
              <w:spacing w:line="400" w:lineRule="exact"/>
              <w:jc w:val="center"/>
              <w:rPr>
                <w:rFonts w:hint="eastAsia" w:ascii="宋体" w:hAnsi="宋体" w:eastAsia="宋体" w:cs="宋体"/>
                <w:color w:val="auto"/>
                <w:sz w:val="22"/>
                <w:highlight w:val="none"/>
              </w:rPr>
            </w:pPr>
          </w:p>
        </w:tc>
      </w:tr>
      <w:tr w14:paraId="79C1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1" w:type="dxa"/>
            <w:vMerge w:val="continue"/>
            <w:noWrap w:val="0"/>
            <w:vAlign w:val="center"/>
          </w:tcPr>
          <w:p w14:paraId="1093AF68">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2C43F3FD">
            <w:pPr>
              <w:spacing w:line="400" w:lineRule="exact"/>
              <w:rPr>
                <w:rFonts w:hint="eastAsia" w:ascii="宋体" w:hAnsi="宋体" w:eastAsia="宋体" w:cs="宋体"/>
                <w:color w:val="auto"/>
                <w:sz w:val="22"/>
                <w:szCs w:val="22"/>
                <w:highlight w:val="none"/>
              </w:rPr>
            </w:pPr>
          </w:p>
        </w:tc>
        <w:tc>
          <w:tcPr>
            <w:tcW w:w="3490" w:type="dxa"/>
            <w:noWrap w:val="0"/>
            <w:vAlign w:val="center"/>
          </w:tcPr>
          <w:p w14:paraId="123648FB">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中新网APP</w:t>
            </w:r>
          </w:p>
        </w:tc>
        <w:tc>
          <w:tcPr>
            <w:tcW w:w="1707" w:type="dxa"/>
            <w:noWrap w:val="0"/>
            <w:vAlign w:val="center"/>
          </w:tcPr>
          <w:p w14:paraId="330FC605">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343CAB79">
            <w:pPr>
              <w:spacing w:line="400" w:lineRule="exact"/>
              <w:jc w:val="center"/>
              <w:rPr>
                <w:rFonts w:hint="eastAsia" w:ascii="宋体" w:hAnsi="宋体" w:eastAsia="宋体" w:cs="宋体"/>
                <w:color w:val="auto"/>
                <w:sz w:val="22"/>
                <w:highlight w:val="none"/>
              </w:rPr>
            </w:pPr>
          </w:p>
        </w:tc>
      </w:tr>
      <w:tr w14:paraId="6DEE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vMerge w:val="continue"/>
            <w:noWrap w:val="0"/>
            <w:vAlign w:val="center"/>
          </w:tcPr>
          <w:p w14:paraId="1181CB0C">
            <w:pPr>
              <w:spacing w:line="400" w:lineRule="exact"/>
              <w:jc w:val="center"/>
              <w:rPr>
                <w:rFonts w:hint="eastAsia" w:ascii="宋体" w:hAnsi="宋体" w:eastAsia="宋体" w:cs="宋体"/>
                <w:color w:val="auto"/>
                <w:sz w:val="22"/>
                <w:highlight w:val="none"/>
              </w:rPr>
            </w:pPr>
          </w:p>
        </w:tc>
        <w:tc>
          <w:tcPr>
            <w:tcW w:w="1122" w:type="dxa"/>
            <w:vMerge w:val="continue"/>
            <w:noWrap w:val="0"/>
            <w:vAlign w:val="center"/>
          </w:tcPr>
          <w:p w14:paraId="1A3133FC">
            <w:pPr>
              <w:spacing w:line="400" w:lineRule="exact"/>
              <w:rPr>
                <w:rFonts w:hint="eastAsia" w:ascii="宋体" w:hAnsi="宋体" w:eastAsia="宋体" w:cs="宋体"/>
                <w:color w:val="auto"/>
                <w:sz w:val="22"/>
                <w:szCs w:val="22"/>
                <w:highlight w:val="none"/>
              </w:rPr>
            </w:pPr>
          </w:p>
        </w:tc>
        <w:tc>
          <w:tcPr>
            <w:tcW w:w="3490" w:type="dxa"/>
            <w:noWrap w:val="0"/>
            <w:vAlign w:val="center"/>
          </w:tcPr>
          <w:p w14:paraId="40746728">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人民日报客户端、中国蓝新闻等同等级宣传平台</w:t>
            </w:r>
          </w:p>
        </w:tc>
        <w:tc>
          <w:tcPr>
            <w:tcW w:w="1707" w:type="dxa"/>
            <w:noWrap w:val="0"/>
            <w:vAlign w:val="center"/>
          </w:tcPr>
          <w:p w14:paraId="2DDD5711">
            <w:pPr>
              <w:spacing w:line="400" w:lineRule="exact"/>
              <w:jc w:val="center"/>
              <w:rPr>
                <w:rFonts w:hint="eastAsia" w:ascii="宋体" w:hAnsi="宋体" w:eastAsia="宋体" w:cs="宋体"/>
                <w:color w:val="auto"/>
                <w:sz w:val="22"/>
                <w:highlight w:val="none"/>
              </w:rPr>
            </w:pPr>
          </w:p>
        </w:tc>
        <w:tc>
          <w:tcPr>
            <w:tcW w:w="2157" w:type="dxa"/>
            <w:vMerge w:val="continue"/>
            <w:noWrap w:val="0"/>
            <w:vAlign w:val="center"/>
          </w:tcPr>
          <w:p w14:paraId="1088ADAD">
            <w:pPr>
              <w:spacing w:line="400" w:lineRule="exact"/>
              <w:jc w:val="center"/>
              <w:rPr>
                <w:rFonts w:hint="eastAsia" w:ascii="宋体" w:hAnsi="宋体" w:eastAsia="宋体" w:cs="宋体"/>
                <w:color w:val="auto"/>
                <w:sz w:val="22"/>
                <w:highlight w:val="none"/>
              </w:rPr>
            </w:pPr>
          </w:p>
        </w:tc>
      </w:tr>
      <w:tr w14:paraId="55AC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noWrap w:val="0"/>
            <w:vAlign w:val="center"/>
          </w:tcPr>
          <w:p w14:paraId="4BCA6600">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4612" w:type="dxa"/>
            <w:gridSpan w:val="2"/>
            <w:noWrap w:val="0"/>
            <w:vAlign w:val="center"/>
          </w:tcPr>
          <w:p w14:paraId="0B38ACF9">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不可预见或应急任务费用</w:t>
            </w:r>
          </w:p>
        </w:tc>
        <w:tc>
          <w:tcPr>
            <w:tcW w:w="1707" w:type="dxa"/>
            <w:noWrap w:val="0"/>
            <w:vAlign w:val="center"/>
          </w:tcPr>
          <w:p w14:paraId="66BC5DC9">
            <w:pPr>
              <w:jc w:val="center"/>
              <w:rPr>
                <w:rFonts w:hint="eastAsia" w:ascii="宋体" w:hAnsi="宋体" w:eastAsia="宋体" w:cs="宋体"/>
                <w:color w:val="auto"/>
                <w:kern w:val="2"/>
                <w:sz w:val="21"/>
                <w:szCs w:val="24"/>
                <w:highlight w:val="none"/>
                <w:lang w:val="en-US" w:eastAsia="zh-CN" w:bidi="ar-SA"/>
              </w:rPr>
            </w:pPr>
          </w:p>
        </w:tc>
        <w:tc>
          <w:tcPr>
            <w:tcW w:w="2157" w:type="dxa"/>
            <w:noWrap w:val="0"/>
            <w:vAlign w:val="center"/>
          </w:tcPr>
          <w:p w14:paraId="727FACA6">
            <w:pPr>
              <w:spacing w:line="400" w:lineRule="exact"/>
              <w:jc w:val="center"/>
              <w:rPr>
                <w:rFonts w:hint="eastAsia" w:ascii="宋体" w:hAnsi="宋体" w:eastAsia="宋体" w:cs="宋体"/>
                <w:color w:val="auto"/>
                <w:sz w:val="22"/>
                <w:highlight w:val="none"/>
              </w:rPr>
            </w:pPr>
          </w:p>
        </w:tc>
      </w:tr>
      <w:tr w14:paraId="525C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noWrap w:val="0"/>
            <w:vAlign w:val="center"/>
          </w:tcPr>
          <w:p w14:paraId="01473F42">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4612" w:type="dxa"/>
            <w:gridSpan w:val="2"/>
            <w:noWrap w:val="0"/>
            <w:vAlign w:val="center"/>
          </w:tcPr>
          <w:p w14:paraId="1EFA7B5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企业管理费</w:t>
            </w:r>
          </w:p>
        </w:tc>
        <w:tc>
          <w:tcPr>
            <w:tcW w:w="1707" w:type="dxa"/>
            <w:noWrap w:val="0"/>
            <w:vAlign w:val="center"/>
          </w:tcPr>
          <w:p w14:paraId="2B82C987">
            <w:pPr>
              <w:jc w:val="center"/>
              <w:rPr>
                <w:rFonts w:hint="eastAsia" w:ascii="宋体" w:hAnsi="宋体" w:eastAsia="宋体" w:cs="宋体"/>
                <w:color w:val="auto"/>
                <w:kern w:val="2"/>
                <w:sz w:val="21"/>
                <w:szCs w:val="24"/>
                <w:highlight w:val="none"/>
                <w:lang w:val="en-US" w:eastAsia="zh-CN" w:bidi="ar-SA"/>
              </w:rPr>
            </w:pPr>
          </w:p>
        </w:tc>
        <w:tc>
          <w:tcPr>
            <w:tcW w:w="2157" w:type="dxa"/>
            <w:noWrap w:val="0"/>
            <w:vAlign w:val="center"/>
          </w:tcPr>
          <w:p w14:paraId="3593EEF6">
            <w:pPr>
              <w:spacing w:line="400" w:lineRule="exact"/>
              <w:jc w:val="center"/>
              <w:rPr>
                <w:rFonts w:hint="eastAsia" w:ascii="宋体" w:hAnsi="宋体" w:eastAsia="宋体" w:cs="宋体"/>
                <w:color w:val="auto"/>
                <w:sz w:val="22"/>
                <w:highlight w:val="none"/>
              </w:rPr>
            </w:pPr>
          </w:p>
        </w:tc>
      </w:tr>
      <w:tr w14:paraId="5513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noWrap w:val="0"/>
            <w:vAlign w:val="center"/>
          </w:tcPr>
          <w:p w14:paraId="3F535407">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4612" w:type="dxa"/>
            <w:gridSpan w:val="2"/>
            <w:noWrap w:val="0"/>
            <w:vAlign w:val="center"/>
          </w:tcPr>
          <w:p w14:paraId="1B67BB94">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利润、税金</w:t>
            </w:r>
          </w:p>
        </w:tc>
        <w:tc>
          <w:tcPr>
            <w:tcW w:w="1707" w:type="dxa"/>
            <w:noWrap w:val="0"/>
            <w:vAlign w:val="center"/>
          </w:tcPr>
          <w:p w14:paraId="2F3234CA">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含</w:t>
            </w:r>
          </w:p>
        </w:tc>
        <w:tc>
          <w:tcPr>
            <w:tcW w:w="2157" w:type="dxa"/>
            <w:noWrap w:val="0"/>
            <w:vAlign w:val="center"/>
          </w:tcPr>
          <w:p w14:paraId="05C86C82">
            <w:pPr>
              <w:spacing w:line="400" w:lineRule="exact"/>
              <w:jc w:val="center"/>
              <w:rPr>
                <w:rFonts w:hint="eastAsia" w:ascii="宋体" w:hAnsi="宋体" w:eastAsia="宋体" w:cs="宋体"/>
                <w:color w:val="auto"/>
                <w:sz w:val="22"/>
                <w:highlight w:val="none"/>
              </w:rPr>
            </w:pPr>
          </w:p>
        </w:tc>
      </w:tr>
      <w:tr w14:paraId="5343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noWrap w:val="0"/>
            <w:vAlign w:val="center"/>
          </w:tcPr>
          <w:p w14:paraId="6C04EC87">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4612" w:type="dxa"/>
            <w:gridSpan w:val="2"/>
            <w:noWrap w:val="0"/>
            <w:vAlign w:val="center"/>
          </w:tcPr>
          <w:p w14:paraId="127A25E7">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项目履约验收费用</w:t>
            </w:r>
          </w:p>
        </w:tc>
        <w:tc>
          <w:tcPr>
            <w:tcW w:w="1707" w:type="dxa"/>
            <w:noWrap w:val="0"/>
            <w:vAlign w:val="center"/>
          </w:tcPr>
          <w:p w14:paraId="2B3B3C94">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含</w:t>
            </w:r>
          </w:p>
        </w:tc>
        <w:tc>
          <w:tcPr>
            <w:tcW w:w="2157" w:type="dxa"/>
            <w:noWrap w:val="0"/>
            <w:vAlign w:val="center"/>
          </w:tcPr>
          <w:p w14:paraId="10EBA9D3">
            <w:pPr>
              <w:spacing w:line="400" w:lineRule="exact"/>
              <w:jc w:val="center"/>
              <w:rPr>
                <w:rFonts w:hint="eastAsia" w:ascii="宋体" w:hAnsi="宋体" w:eastAsia="宋体" w:cs="宋体"/>
                <w:color w:val="auto"/>
                <w:sz w:val="22"/>
                <w:highlight w:val="none"/>
              </w:rPr>
            </w:pPr>
          </w:p>
        </w:tc>
      </w:tr>
      <w:tr w14:paraId="7D0A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noWrap w:val="0"/>
            <w:vAlign w:val="center"/>
          </w:tcPr>
          <w:p w14:paraId="23E44CA5">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4612" w:type="dxa"/>
            <w:gridSpan w:val="2"/>
            <w:noWrap w:val="0"/>
            <w:vAlign w:val="center"/>
          </w:tcPr>
          <w:p w14:paraId="1C22AA0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招标代理服务费</w:t>
            </w:r>
          </w:p>
        </w:tc>
        <w:tc>
          <w:tcPr>
            <w:tcW w:w="1707" w:type="dxa"/>
            <w:noWrap w:val="0"/>
            <w:vAlign w:val="center"/>
          </w:tcPr>
          <w:p w14:paraId="25F1BBC5">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含</w:t>
            </w:r>
          </w:p>
        </w:tc>
        <w:tc>
          <w:tcPr>
            <w:tcW w:w="2157" w:type="dxa"/>
            <w:noWrap w:val="0"/>
            <w:vAlign w:val="center"/>
          </w:tcPr>
          <w:p w14:paraId="2D861A38">
            <w:pPr>
              <w:spacing w:line="400" w:lineRule="exact"/>
              <w:jc w:val="center"/>
              <w:rPr>
                <w:rFonts w:hint="eastAsia" w:ascii="宋体" w:hAnsi="宋体" w:eastAsia="宋体" w:cs="宋体"/>
                <w:color w:val="auto"/>
                <w:sz w:val="22"/>
                <w:highlight w:val="none"/>
              </w:rPr>
            </w:pPr>
          </w:p>
        </w:tc>
      </w:tr>
      <w:tr w14:paraId="48C9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1" w:type="dxa"/>
            <w:noWrap w:val="0"/>
            <w:vAlign w:val="center"/>
          </w:tcPr>
          <w:p w14:paraId="17252734">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4612" w:type="dxa"/>
            <w:gridSpan w:val="2"/>
            <w:noWrap w:val="0"/>
            <w:vAlign w:val="center"/>
          </w:tcPr>
          <w:p w14:paraId="7F8E35D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其他费用（如有）</w:t>
            </w:r>
          </w:p>
        </w:tc>
        <w:tc>
          <w:tcPr>
            <w:tcW w:w="1707" w:type="dxa"/>
            <w:noWrap w:val="0"/>
            <w:vAlign w:val="center"/>
          </w:tcPr>
          <w:p w14:paraId="7DEDF5D5">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含</w:t>
            </w:r>
          </w:p>
        </w:tc>
        <w:tc>
          <w:tcPr>
            <w:tcW w:w="2157" w:type="dxa"/>
            <w:noWrap w:val="0"/>
            <w:vAlign w:val="center"/>
          </w:tcPr>
          <w:p w14:paraId="47335CF0">
            <w:pPr>
              <w:spacing w:line="400" w:lineRule="exact"/>
              <w:jc w:val="center"/>
              <w:rPr>
                <w:rFonts w:hint="eastAsia" w:ascii="宋体" w:hAnsi="宋体" w:eastAsia="宋体" w:cs="宋体"/>
                <w:color w:val="auto"/>
                <w:sz w:val="22"/>
                <w:highlight w:val="none"/>
              </w:rPr>
            </w:pPr>
          </w:p>
        </w:tc>
      </w:tr>
      <w:tr w14:paraId="0EF9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1" w:type="dxa"/>
            <w:noWrap w:val="0"/>
            <w:vAlign w:val="center"/>
          </w:tcPr>
          <w:p w14:paraId="2A2F9C98">
            <w:pPr>
              <w:spacing w:line="40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w:t>
            </w:r>
          </w:p>
        </w:tc>
        <w:tc>
          <w:tcPr>
            <w:tcW w:w="4612" w:type="dxa"/>
            <w:gridSpan w:val="2"/>
            <w:noWrap w:val="0"/>
            <w:vAlign w:val="center"/>
          </w:tcPr>
          <w:p w14:paraId="5B5336CC">
            <w:pPr>
              <w:spacing w:line="400" w:lineRule="exact"/>
              <w:ind w:firstLine="1210" w:firstLineChars="550"/>
              <w:rPr>
                <w:rFonts w:hint="eastAsia" w:ascii="宋体" w:hAnsi="宋体" w:eastAsia="宋体" w:cs="宋体"/>
                <w:b/>
                <w:color w:val="auto"/>
                <w:sz w:val="22"/>
                <w:highlight w:val="none"/>
              </w:rPr>
            </w:pPr>
            <w:r>
              <w:rPr>
                <w:rFonts w:hint="eastAsia" w:ascii="宋体" w:hAnsi="宋体" w:eastAsia="宋体" w:cs="宋体"/>
                <w:color w:val="auto"/>
                <w:sz w:val="22"/>
                <w:highlight w:val="none"/>
              </w:rPr>
              <w:t>总    计   价</w:t>
            </w:r>
          </w:p>
        </w:tc>
        <w:tc>
          <w:tcPr>
            <w:tcW w:w="1707" w:type="dxa"/>
            <w:noWrap w:val="0"/>
            <w:vAlign w:val="center"/>
          </w:tcPr>
          <w:p w14:paraId="0E03DEEC">
            <w:pPr>
              <w:spacing w:line="400" w:lineRule="exact"/>
              <w:jc w:val="center"/>
              <w:rPr>
                <w:rFonts w:hint="eastAsia" w:ascii="宋体" w:hAnsi="宋体" w:eastAsia="宋体" w:cs="宋体"/>
                <w:color w:val="auto"/>
                <w:sz w:val="22"/>
                <w:highlight w:val="none"/>
              </w:rPr>
            </w:pPr>
          </w:p>
        </w:tc>
        <w:tc>
          <w:tcPr>
            <w:tcW w:w="2157" w:type="dxa"/>
            <w:noWrap w:val="0"/>
            <w:vAlign w:val="center"/>
          </w:tcPr>
          <w:p w14:paraId="736C3A39">
            <w:pPr>
              <w:spacing w:line="400" w:lineRule="exact"/>
              <w:jc w:val="center"/>
              <w:rPr>
                <w:rFonts w:hint="eastAsia" w:ascii="宋体" w:hAnsi="宋体" w:eastAsia="宋体" w:cs="宋体"/>
                <w:color w:val="auto"/>
                <w:sz w:val="22"/>
                <w:highlight w:val="none"/>
              </w:rPr>
            </w:pPr>
          </w:p>
        </w:tc>
      </w:tr>
    </w:tbl>
    <w:p w14:paraId="734E2644">
      <w:pPr>
        <w:rPr>
          <w:rFonts w:hint="eastAsia" w:ascii="宋体" w:hAnsi="宋体" w:eastAsia="宋体" w:cs="宋体"/>
          <w:color w:val="auto"/>
          <w:highlight w:val="none"/>
        </w:rPr>
      </w:pPr>
    </w:p>
    <w:p w14:paraId="5A212C63">
      <w:pPr>
        <w:spacing w:line="360" w:lineRule="exact"/>
        <w:ind w:left="1124" w:leftChars="200" w:hanging="704" w:hangingChars="3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 按投标报价费用构成逐项列出；表内合计价应与附件二“投标报价一览表”中的投标报价相一致。</w:t>
      </w:r>
    </w:p>
    <w:p w14:paraId="65CCA6EF">
      <w:pPr>
        <w:spacing w:line="360" w:lineRule="exact"/>
        <w:ind w:left="1138" w:leftChars="385" w:hanging="330" w:hangingChars="150"/>
        <w:rPr>
          <w:rFonts w:hint="eastAsia" w:ascii="宋体" w:hAnsi="宋体" w:eastAsia="宋体" w:cs="宋体"/>
          <w:color w:val="auto"/>
          <w:highlight w:val="none"/>
        </w:rPr>
      </w:pPr>
      <w:r>
        <w:rPr>
          <w:rFonts w:hint="eastAsia" w:ascii="宋体" w:hAnsi="宋体" w:eastAsia="宋体" w:cs="宋体"/>
          <w:color w:val="auto"/>
          <w:sz w:val="22"/>
          <w:szCs w:val="22"/>
          <w:highlight w:val="none"/>
        </w:rPr>
        <w:t>2. 投标分项报价表中的各项工作活动报价即为合同的各项工作活动服务价格，同时也作为合同款及违约金计算的参考依据。</w:t>
      </w:r>
    </w:p>
    <w:p w14:paraId="68DC481E">
      <w:pPr>
        <w:spacing w:line="360" w:lineRule="exact"/>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
          <w:color w:val="auto"/>
          <w:sz w:val="22"/>
          <w:highlight w:val="none"/>
        </w:rPr>
        <w:t xml:space="preserve"> ▲</w:t>
      </w:r>
      <w:r>
        <w:rPr>
          <w:rFonts w:hint="eastAsia" w:ascii="宋体" w:hAnsi="宋体" w:eastAsia="宋体" w:cs="宋体"/>
          <w:color w:val="auto"/>
          <w:sz w:val="22"/>
          <w:szCs w:val="22"/>
          <w:highlight w:val="none"/>
          <w:u w:val="single"/>
        </w:rPr>
        <w:t>不按要求提供投标分项报价表将视为没有实质性响应招标文件。</w:t>
      </w:r>
    </w:p>
    <w:p w14:paraId="386EE479">
      <w:pPr>
        <w:spacing w:line="360" w:lineRule="exact"/>
        <w:ind w:left="743" w:leftChars="354" w:firstLine="4589" w:firstLineChars="2086"/>
        <w:rPr>
          <w:rFonts w:hint="eastAsia" w:ascii="宋体" w:hAnsi="宋体" w:eastAsia="宋体" w:cs="宋体"/>
          <w:color w:val="auto"/>
          <w:sz w:val="22"/>
          <w:highlight w:val="none"/>
        </w:rPr>
      </w:pPr>
    </w:p>
    <w:p w14:paraId="3C579CA6">
      <w:pPr>
        <w:spacing w:line="360" w:lineRule="exact"/>
        <w:ind w:left="743" w:leftChars="354" w:firstLine="4589" w:firstLineChars="2086"/>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投标供应商名称（盖章）：</w:t>
      </w:r>
    </w:p>
    <w:p w14:paraId="0FA8DA3C">
      <w:pPr>
        <w:spacing w:line="360" w:lineRule="exact"/>
        <w:ind w:left="743" w:leftChars="354" w:firstLine="4589" w:firstLineChars="2086"/>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投标供应商代表（签字）:</w:t>
      </w:r>
    </w:p>
    <w:p w14:paraId="5A39826A">
      <w:pPr>
        <w:spacing w:line="360" w:lineRule="exact"/>
        <w:ind w:left="743" w:leftChars="354" w:firstLine="4589" w:firstLineChars="2086"/>
        <w:rPr>
          <w:rFonts w:hint="eastAsia" w:ascii="宋体" w:hAnsi="宋体" w:eastAsia="宋体" w:cs="宋体"/>
          <w:color w:val="auto"/>
          <w:sz w:val="22"/>
          <w:highlight w:val="none"/>
        </w:rPr>
      </w:pPr>
      <w:r>
        <w:rPr>
          <w:rFonts w:hint="eastAsia" w:ascii="宋体" w:hAnsi="宋体" w:eastAsia="宋体" w:cs="宋体"/>
          <w:color w:val="auto"/>
          <w:sz w:val="22"/>
          <w:highlight w:val="none"/>
        </w:rPr>
        <w:t>日    期：    年   月   日</w:t>
      </w:r>
    </w:p>
    <w:p w14:paraId="77F883DF">
      <w:pPr>
        <w:spacing w:line="360" w:lineRule="exact"/>
        <w:rPr>
          <w:rFonts w:hint="eastAsia" w:ascii="宋体" w:hAnsi="宋体" w:eastAsia="宋体" w:cs="宋体"/>
          <w:color w:val="auto"/>
          <w:sz w:val="22"/>
          <w:highlight w:val="none"/>
        </w:rPr>
        <w:sectPr>
          <w:pgSz w:w="11906" w:h="16838"/>
          <w:pgMar w:top="1134" w:right="1134" w:bottom="1134" w:left="1134" w:header="851" w:footer="992" w:gutter="284"/>
          <w:cols w:space="720" w:num="1"/>
          <w:titlePg/>
          <w:docGrid w:linePitch="312" w:charSpace="0"/>
        </w:sectPr>
      </w:pPr>
    </w:p>
    <w:p w14:paraId="7A3CC70C">
      <w:pPr>
        <w:pStyle w:val="3"/>
        <w:spacing w:line="400" w:lineRule="exact"/>
        <w:rPr>
          <w:rFonts w:hint="eastAsia" w:ascii="宋体" w:hAnsi="宋体" w:eastAsia="宋体" w:cs="宋体"/>
          <w:color w:val="auto"/>
          <w:sz w:val="22"/>
          <w:szCs w:val="22"/>
          <w:highlight w:val="none"/>
        </w:rPr>
      </w:pPr>
      <w:bookmarkStart w:id="38" w:name="_Toc14007"/>
      <w:bookmarkStart w:id="39" w:name="_Toc317492718"/>
      <w:bookmarkStart w:id="40" w:name="_Toc395528091"/>
      <w:bookmarkStart w:id="41" w:name="_Toc301515376"/>
      <w:bookmarkStart w:id="42" w:name="_Toc496784114"/>
      <w:bookmarkStart w:id="43" w:name="_Toc184281693"/>
      <w:r>
        <w:rPr>
          <w:rFonts w:hint="eastAsia" w:ascii="宋体" w:hAnsi="宋体" w:eastAsia="宋体" w:cs="宋体"/>
          <w:color w:val="auto"/>
          <w:sz w:val="22"/>
          <w:szCs w:val="22"/>
          <w:highlight w:val="none"/>
        </w:rPr>
        <w:t>附件四  商务、技术偏离表</w:t>
      </w:r>
      <w:bookmarkEnd w:id="38"/>
      <w:bookmarkEnd w:id="39"/>
      <w:bookmarkEnd w:id="40"/>
      <w:bookmarkEnd w:id="41"/>
      <w:bookmarkEnd w:id="42"/>
    </w:p>
    <w:p w14:paraId="4F778C69">
      <w:pPr>
        <w:spacing w:line="380" w:lineRule="exact"/>
        <w:ind w:left="-358" w:leftChars="-171" w:hanging="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（1）商务偏离表</w:t>
      </w:r>
    </w:p>
    <w:p w14:paraId="38761959">
      <w:pPr>
        <w:spacing w:line="56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14:paraId="094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01" w:type="dxa"/>
            <w:noWrap w:val="0"/>
            <w:vAlign w:val="center"/>
          </w:tcPr>
          <w:p w14:paraId="7963441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126" w:type="dxa"/>
            <w:noWrap w:val="0"/>
            <w:vAlign w:val="center"/>
          </w:tcPr>
          <w:p w14:paraId="254A731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483204D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条目</w:t>
            </w:r>
          </w:p>
        </w:tc>
        <w:tc>
          <w:tcPr>
            <w:tcW w:w="2255" w:type="dxa"/>
            <w:noWrap w:val="0"/>
            <w:vAlign w:val="center"/>
          </w:tcPr>
          <w:p w14:paraId="3645589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40072E0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要求</w:t>
            </w:r>
          </w:p>
        </w:tc>
        <w:tc>
          <w:tcPr>
            <w:tcW w:w="1976" w:type="dxa"/>
            <w:noWrap w:val="0"/>
            <w:vAlign w:val="center"/>
          </w:tcPr>
          <w:p w14:paraId="532058C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78FBCF1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响应内容</w:t>
            </w:r>
          </w:p>
        </w:tc>
        <w:tc>
          <w:tcPr>
            <w:tcW w:w="1680" w:type="dxa"/>
            <w:noWrap w:val="0"/>
            <w:vAlign w:val="center"/>
          </w:tcPr>
          <w:p w14:paraId="05173E5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41F1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01" w:type="dxa"/>
            <w:noWrap w:val="0"/>
            <w:vAlign w:val="center"/>
          </w:tcPr>
          <w:p w14:paraId="21E2EB86">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13490E7F">
            <w:pPr>
              <w:jc w:val="center"/>
              <w:rPr>
                <w:rFonts w:hint="eastAsia" w:ascii="宋体" w:hAnsi="宋体" w:eastAsia="宋体" w:cs="宋体"/>
                <w:color w:val="auto"/>
                <w:sz w:val="22"/>
                <w:szCs w:val="22"/>
                <w:highlight w:val="none"/>
              </w:rPr>
            </w:pPr>
          </w:p>
        </w:tc>
        <w:tc>
          <w:tcPr>
            <w:tcW w:w="2255" w:type="dxa"/>
            <w:noWrap w:val="0"/>
            <w:vAlign w:val="center"/>
          </w:tcPr>
          <w:p w14:paraId="6D391795">
            <w:pPr>
              <w:jc w:val="center"/>
              <w:rPr>
                <w:rFonts w:hint="eastAsia" w:ascii="宋体" w:hAnsi="宋体" w:eastAsia="宋体" w:cs="宋体"/>
                <w:color w:val="auto"/>
                <w:sz w:val="22"/>
                <w:szCs w:val="22"/>
                <w:highlight w:val="none"/>
              </w:rPr>
            </w:pPr>
          </w:p>
        </w:tc>
        <w:tc>
          <w:tcPr>
            <w:tcW w:w="1976" w:type="dxa"/>
            <w:noWrap w:val="0"/>
            <w:vAlign w:val="center"/>
          </w:tcPr>
          <w:p w14:paraId="02C3EA01">
            <w:pPr>
              <w:jc w:val="center"/>
              <w:rPr>
                <w:rFonts w:hint="eastAsia" w:ascii="宋体" w:hAnsi="宋体" w:eastAsia="宋体" w:cs="宋体"/>
                <w:color w:val="auto"/>
                <w:sz w:val="22"/>
                <w:szCs w:val="22"/>
                <w:highlight w:val="none"/>
              </w:rPr>
            </w:pPr>
          </w:p>
        </w:tc>
        <w:tc>
          <w:tcPr>
            <w:tcW w:w="1680" w:type="dxa"/>
            <w:noWrap w:val="0"/>
            <w:vAlign w:val="center"/>
          </w:tcPr>
          <w:p w14:paraId="39CC84BD">
            <w:pPr>
              <w:jc w:val="center"/>
              <w:rPr>
                <w:rFonts w:hint="eastAsia" w:ascii="宋体" w:hAnsi="宋体" w:eastAsia="宋体" w:cs="宋体"/>
                <w:color w:val="auto"/>
                <w:sz w:val="22"/>
                <w:szCs w:val="22"/>
                <w:highlight w:val="none"/>
              </w:rPr>
            </w:pPr>
          </w:p>
        </w:tc>
      </w:tr>
      <w:tr w14:paraId="2B88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67436C5E">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584D0A62">
            <w:pPr>
              <w:jc w:val="center"/>
              <w:rPr>
                <w:rFonts w:hint="eastAsia" w:ascii="宋体" w:hAnsi="宋体" w:eastAsia="宋体" w:cs="宋体"/>
                <w:color w:val="auto"/>
                <w:sz w:val="22"/>
                <w:szCs w:val="22"/>
                <w:highlight w:val="none"/>
              </w:rPr>
            </w:pPr>
          </w:p>
        </w:tc>
        <w:tc>
          <w:tcPr>
            <w:tcW w:w="2255" w:type="dxa"/>
            <w:noWrap w:val="0"/>
            <w:vAlign w:val="center"/>
          </w:tcPr>
          <w:p w14:paraId="5236B900">
            <w:pPr>
              <w:jc w:val="center"/>
              <w:rPr>
                <w:rFonts w:hint="eastAsia" w:ascii="宋体" w:hAnsi="宋体" w:eastAsia="宋体" w:cs="宋体"/>
                <w:color w:val="auto"/>
                <w:sz w:val="22"/>
                <w:szCs w:val="22"/>
                <w:highlight w:val="none"/>
              </w:rPr>
            </w:pPr>
          </w:p>
        </w:tc>
        <w:tc>
          <w:tcPr>
            <w:tcW w:w="1976" w:type="dxa"/>
            <w:noWrap w:val="0"/>
            <w:vAlign w:val="center"/>
          </w:tcPr>
          <w:p w14:paraId="1168C386">
            <w:pPr>
              <w:jc w:val="center"/>
              <w:rPr>
                <w:rFonts w:hint="eastAsia" w:ascii="宋体" w:hAnsi="宋体" w:eastAsia="宋体" w:cs="宋体"/>
                <w:color w:val="auto"/>
                <w:sz w:val="22"/>
                <w:szCs w:val="22"/>
                <w:highlight w:val="none"/>
              </w:rPr>
            </w:pPr>
          </w:p>
        </w:tc>
        <w:tc>
          <w:tcPr>
            <w:tcW w:w="1680" w:type="dxa"/>
            <w:noWrap w:val="0"/>
            <w:vAlign w:val="center"/>
          </w:tcPr>
          <w:p w14:paraId="48CD6DE8">
            <w:pPr>
              <w:jc w:val="center"/>
              <w:rPr>
                <w:rFonts w:hint="eastAsia" w:ascii="宋体" w:hAnsi="宋体" w:eastAsia="宋体" w:cs="宋体"/>
                <w:color w:val="auto"/>
                <w:sz w:val="22"/>
                <w:szCs w:val="22"/>
                <w:highlight w:val="none"/>
              </w:rPr>
            </w:pPr>
          </w:p>
        </w:tc>
      </w:tr>
      <w:tr w14:paraId="5C40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4BD3985D">
            <w:pPr>
              <w:jc w:val="center"/>
              <w:rPr>
                <w:rFonts w:hint="eastAsia" w:ascii="宋体" w:hAnsi="宋体" w:eastAsia="宋体" w:cs="宋体"/>
                <w:b/>
                <w:color w:val="auto"/>
                <w:sz w:val="22"/>
                <w:szCs w:val="22"/>
                <w:highlight w:val="none"/>
              </w:rPr>
            </w:pPr>
          </w:p>
        </w:tc>
        <w:tc>
          <w:tcPr>
            <w:tcW w:w="2126" w:type="dxa"/>
            <w:noWrap w:val="0"/>
            <w:vAlign w:val="center"/>
          </w:tcPr>
          <w:p w14:paraId="1FD53F7F">
            <w:pPr>
              <w:jc w:val="center"/>
              <w:rPr>
                <w:rFonts w:hint="eastAsia" w:ascii="宋体" w:hAnsi="宋体" w:eastAsia="宋体" w:cs="宋体"/>
                <w:color w:val="auto"/>
                <w:sz w:val="22"/>
                <w:szCs w:val="22"/>
                <w:highlight w:val="none"/>
              </w:rPr>
            </w:pPr>
          </w:p>
        </w:tc>
        <w:tc>
          <w:tcPr>
            <w:tcW w:w="2255" w:type="dxa"/>
            <w:noWrap w:val="0"/>
            <w:vAlign w:val="center"/>
          </w:tcPr>
          <w:p w14:paraId="69494197">
            <w:pPr>
              <w:jc w:val="center"/>
              <w:rPr>
                <w:rFonts w:hint="eastAsia" w:ascii="宋体" w:hAnsi="宋体" w:eastAsia="宋体" w:cs="宋体"/>
                <w:color w:val="auto"/>
                <w:sz w:val="22"/>
                <w:szCs w:val="22"/>
                <w:highlight w:val="none"/>
              </w:rPr>
            </w:pPr>
          </w:p>
        </w:tc>
        <w:tc>
          <w:tcPr>
            <w:tcW w:w="1976" w:type="dxa"/>
            <w:noWrap w:val="0"/>
            <w:vAlign w:val="center"/>
          </w:tcPr>
          <w:p w14:paraId="27E4EEBD">
            <w:pPr>
              <w:jc w:val="center"/>
              <w:rPr>
                <w:rFonts w:hint="eastAsia" w:ascii="宋体" w:hAnsi="宋体" w:eastAsia="宋体" w:cs="宋体"/>
                <w:color w:val="auto"/>
                <w:sz w:val="22"/>
                <w:szCs w:val="22"/>
                <w:highlight w:val="none"/>
              </w:rPr>
            </w:pPr>
          </w:p>
        </w:tc>
        <w:tc>
          <w:tcPr>
            <w:tcW w:w="1680" w:type="dxa"/>
            <w:noWrap w:val="0"/>
            <w:vAlign w:val="center"/>
          </w:tcPr>
          <w:p w14:paraId="05441490">
            <w:pPr>
              <w:jc w:val="center"/>
              <w:rPr>
                <w:rFonts w:hint="eastAsia" w:ascii="宋体" w:hAnsi="宋体" w:eastAsia="宋体" w:cs="宋体"/>
                <w:color w:val="auto"/>
                <w:sz w:val="22"/>
                <w:szCs w:val="22"/>
                <w:highlight w:val="none"/>
              </w:rPr>
            </w:pPr>
          </w:p>
        </w:tc>
      </w:tr>
      <w:tr w14:paraId="0904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5C770A53">
            <w:pPr>
              <w:jc w:val="center"/>
              <w:rPr>
                <w:rFonts w:hint="eastAsia" w:ascii="宋体" w:hAnsi="宋体" w:eastAsia="宋体" w:cs="宋体"/>
                <w:b/>
                <w:color w:val="auto"/>
                <w:sz w:val="22"/>
                <w:szCs w:val="22"/>
                <w:highlight w:val="none"/>
              </w:rPr>
            </w:pPr>
          </w:p>
        </w:tc>
        <w:tc>
          <w:tcPr>
            <w:tcW w:w="2126" w:type="dxa"/>
            <w:noWrap w:val="0"/>
            <w:vAlign w:val="center"/>
          </w:tcPr>
          <w:p w14:paraId="1579663F">
            <w:pPr>
              <w:jc w:val="center"/>
              <w:rPr>
                <w:rFonts w:hint="eastAsia" w:ascii="宋体" w:hAnsi="宋体" w:eastAsia="宋体" w:cs="宋体"/>
                <w:color w:val="auto"/>
                <w:sz w:val="22"/>
                <w:szCs w:val="22"/>
                <w:highlight w:val="none"/>
              </w:rPr>
            </w:pPr>
          </w:p>
        </w:tc>
        <w:tc>
          <w:tcPr>
            <w:tcW w:w="2255" w:type="dxa"/>
            <w:noWrap w:val="0"/>
            <w:vAlign w:val="center"/>
          </w:tcPr>
          <w:p w14:paraId="491C31CA">
            <w:pPr>
              <w:jc w:val="center"/>
              <w:rPr>
                <w:rFonts w:hint="eastAsia" w:ascii="宋体" w:hAnsi="宋体" w:eastAsia="宋体" w:cs="宋体"/>
                <w:color w:val="auto"/>
                <w:sz w:val="22"/>
                <w:szCs w:val="22"/>
                <w:highlight w:val="none"/>
              </w:rPr>
            </w:pPr>
          </w:p>
        </w:tc>
        <w:tc>
          <w:tcPr>
            <w:tcW w:w="1976" w:type="dxa"/>
            <w:noWrap w:val="0"/>
            <w:vAlign w:val="center"/>
          </w:tcPr>
          <w:p w14:paraId="4B4E5B38">
            <w:pPr>
              <w:jc w:val="center"/>
              <w:rPr>
                <w:rFonts w:hint="eastAsia" w:ascii="宋体" w:hAnsi="宋体" w:eastAsia="宋体" w:cs="宋体"/>
                <w:color w:val="auto"/>
                <w:sz w:val="22"/>
                <w:szCs w:val="22"/>
                <w:highlight w:val="none"/>
              </w:rPr>
            </w:pPr>
          </w:p>
        </w:tc>
        <w:tc>
          <w:tcPr>
            <w:tcW w:w="1680" w:type="dxa"/>
            <w:noWrap w:val="0"/>
            <w:vAlign w:val="center"/>
          </w:tcPr>
          <w:p w14:paraId="54E0F725">
            <w:pPr>
              <w:jc w:val="center"/>
              <w:rPr>
                <w:rFonts w:hint="eastAsia" w:ascii="宋体" w:hAnsi="宋体" w:eastAsia="宋体" w:cs="宋体"/>
                <w:color w:val="auto"/>
                <w:sz w:val="22"/>
                <w:szCs w:val="22"/>
                <w:highlight w:val="none"/>
              </w:rPr>
            </w:pPr>
          </w:p>
        </w:tc>
      </w:tr>
      <w:tr w14:paraId="34CE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4A381ADE">
            <w:pPr>
              <w:jc w:val="center"/>
              <w:rPr>
                <w:rFonts w:hint="eastAsia" w:ascii="宋体" w:hAnsi="宋体" w:eastAsia="宋体" w:cs="宋体"/>
                <w:b/>
                <w:color w:val="auto"/>
                <w:sz w:val="22"/>
                <w:szCs w:val="22"/>
                <w:highlight w:val="none"/>
              </w:rPr>
            </w:pPr>
          </w:p>
        </w:tc>
        <w:tc>
          <w:tcPr>
            <w:tcW w:w="2126" w:type="dxa"/>
            <w:noWrap w:val="0"/>
            <w:vAlign w:val="center"/>
          </w:tcPr>
          <w:p w14:paraId="5ECEC226">
            <w:pPr>
              <w:jc w:val="center"/>
              <w:rPr>
                <w:rFonts w:hint="eastAsia" w:ascii="宋体" w:hAnsi="宋体" w:eastAsia="宋体" w:cs="宋体"/>
                <w:color w:val="auto"/>
                <w:sz w:val="22"/>
                <w:szCs w:val="22"/>
                <w:highlight w:val="none"/>
              </w:rPr>
            </w:pPr>
          </w:p>
        </w:tc>
        <w:tc>
          <w:tcPr>
            <w:tcW w:w="2255" w:type="dxa"/>
            <w:noWrap w:val="0"/>
            <w:vAlign w:val="center"/>
          </w:tcPr>
          <w:p w14:paraId="25148770">
            <w:pPr>
              <w:jc w:val="center"/>
              <w:rPr>
                <w:rFonts w:hint="eastAsia" w:ascii="宋体" w:hAnsi="宋体" w:eastAsia="宋体" w:cs="宋体"/>
                <w:color w:val="auto"/>
                <w:sz w:val="22"/>
                <w:szCs w:val="22"/>
                <w:highlight w:val="none"/>
              </w:rPr>
            </w:pPr>
          </w:p>
        </w:tc>
        <w:tc>
          <w:tcPr>
            <w:tcW w:w="1976" w:type="dxa"/>
            <w:noWrap w:val="0"/>
            <w:vAlign w:val="center"/>
          </w:tcPr>
          <w:p w14:paraId="2302970B">
            <w:pPr>
              <w:jc w:val="center"/>
              <w:rPr>
                <w:rFonts w:hint="eastAsia" w:ascii="宋体" w:hAnsi="宋体" w:eastAsia="宋体" w:cs="宋体"/>
                <w:color w:val="auto"/>
                <w:sz w:val="22"/>
                <w:szCs w:val="22"/>
                <w:highlight w:val="none"/>
              </w:rPr>
            </w:pPr>
          </w:p>
        </w:tc>
        <w:tc>
          <w:tcPr>
            <w:tcW w:w="1680" w:type="dxa"/>
            <w:noWrap w:val="0"/>
            <w:vAlign w:val="center"/>
          </w:tcPr>
          <w:p w14:paraId="6BFD89F8">
            <w:pPr>
              <w:jc w:val="center"/>
              <w:rPr>
                <w:rFonts w:hint="eastAsia" w:ascii="宋体" w:hAnsi="宋体" w:eastAsia="宋体" w:cs="宋体"/>
                <w:color w:val="auto"/>
                <w:sz w:val="22"/>
                <w:szCs w:val="22"/>
                <w:highlight w:val="none"/>
              </w:rPr>
            </w:pPr>
          </w:p>
        </w:tc>
      </w:tr>
      <w:tr w14:paraId="7D1E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68C3F610">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55784C88">
            <w:pPr>
              <w:jc w:val="center"/>
              <w:rPr>
                <w:rFonts w:hint="eastAsia" w:ascii="宋体" w:hAnsi="宋体" w:eastAsia="宋体" w:cs="宋体"/>
                <w:color w:val="auto"/>
                <w:sz w:val="22"/>
                <w:szCs w:val="22"/>
                <w:highlight w:val="none"/>
              </w:rPr>
            </w:pPr>
          </w:p>
        </w:tc>
        <w:tc>
          <w:tcPr>
            <w:tcW w:w="2255" w:type="dxa"/>
            <w:noWrap w:val="0"/>
            <w:vAlign w:val="center"/>
          </w:tcPr>
          <w:p w14:paraId="3A097D11">
            <w:pPr>
              <w:jc w:val="center"/>
              <w:rPr>
                <w:rFonts w:hint="eastAsia" w:ascii="宋体" w:hAnsi="宋体" w:eastAsia="宋体" w:cs="宋体"/>
                <w:color w:val="auto"/>
                <w:sz w:val="22"/>
                <w:szCs w:val="22"/>
                <w:highlight w:val="none"/>
              </w:rPr>
            </w:pPr>
          </w:p>
        </w:tc>
        <w:tc>
          <w:tcPr>
            <w:tcW w:w="1976" w:type="dxa"/>
            <w:noWrap w:val="0"/>
            <w:vAlign w:val="center"/>
          </w:tcPr>
          <w:p w14:paraId="024C2BB7">
            <w:pPr>
              <w:jc w:val="center"/>
              <w:rPr>
                <w:rFonts w:hint="eastAsia" w:ascii="宋体" w:hAnsi="宋体" w:eastAsia="宋体" w:cs="宋体"/>
                <w:color w:val="auto"/>
                <w:sz w:val="22"/>
                <w:szCs w:val="22"/>
                <w:highlight w:val="none"/>
              </w:rPr>
            </w:pPr>
          </w:p>
        </w:tc>
        <w:tc>
          <w:tcPr>
            <w:tcW w:w="1680" w:type="dxa"/>
            <w:noWrap w:val="0"/>
            <w:vAlign w:val="center"/>
          </w:tcPr>
          <w:p w14:paraId="2FF2AACC">
            <w:pPr>
              <w:jc w:val="center"/>
              <w:rPr>
                <w:rFonts w:hint="eastAsia" w:ascii="宋体" w:hAnsi="宋体" w:eastAsia="宋体" w:cs="宋体"/>
                <w:color w:val="auto"/>
                <w:sz w:val="22"/>
                <w:szCs w:val="22"/>
                <w:highlight w:val="none"/>
              </w:rPr>
            </w:pPr>
          </w:p>
        </w:tc>
      </w:tr>
      <w:tr w14:paraId="2B87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5BFFF355">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5FFA57D0">
            <w:pPr>
              <w:jc w:val="center"/>
              <w:rPr>
                <w:rFonts w:hint="eastAsia" w:ascii="宋体" w:hAnsi="宋体" w:eastAsia="宋体" w:cs="宋体"/>
                <w:color w:val="auto"/>
                <w:sz w:val="22"/>
                <w:szCs w:val="22"/>
                <w:highlight w:val="none"/>
              </w:rPr>
            </w:pPr>
          </w:p>
        </w:tc>
        <w:tc>
          <w:tcPr>
            <w:tcW w:w="2255" w:type="dxa"/>
            <w:noWrap w:val="0"/>
            <w:vAlign w:val="center"/>
          </w:tcPr>
          <w:p w14:paraId="6E18EB91">
            <w:pPr>
              <w:jc w:val="center"/>
              <w:rPr>
                <w:rFonts w:hint="eastAsia" w:ascii="宋体" w:hAnsi="宋体" w:eastAsia="宋体" w:cs="宋体"/>
                <w:color w:val="auto"/>
                <w:sz w:val="22"/>
                <w:szCs w:val="22"/>
                <w:highlight w:val="none"/>
              </w:rPr>
            </w:pPr>
          </w:p>
        </w:tc>
        <w:tc>
          <w:tcPr>
            <w:tcW w:w="1976" w:type="dxa"/>
            <w:noWrap w:val="0"/>
            <w:vAlign w:val="center"/>
          </w:tcPr>
          <w:p w14:paraId="0CF60960">
            <w:pPr>
              <w:jc w:val="center"/>
              <w:rPr>
                <w:rFonts w:hint="eastAsia" w:ascii="宋体" w:hAnsi="宋体" w:eastAsia="宋体" w:cs="宋体"/>
                <w:color w:val="auto"/>
                <w:sz w:val="22"/>
                <w:szCs w:val="22"/>
                <w:highlight w:val="none"/>
              </w:rPr>
            </w:pPr>
          </w:p>
        </w:tc>
        <w:tc>
          <w:tcPr>
            <w:tcW w:w="1680" w:type="dxa"/>
            <w:noWrap w:val="0"/>
            <w:vAlign w:val="center"/>
          </w:tcPr>
          <w:p w14:paraId="603990D2">
            <w:pPr>
              <w:jc w:val="center"/>
              <w:rPr>
                <w:rFonts w:hint="eastAsia" w:ascii="宋体" w:hAnsi="宋体" w:eastAsia="宋体" w:cs="宋体"/>
                <w:color w:val="auto"/>
                <w:sz w:val="22"/>
                <w:szCs w:val="22"/>
                <w:highlight w:val="none"/>
              </w:rPr>
            </w:pPr>
          </w:p>
        </w:tc>
      </w:tr>
      <w:tr w14:paraId="14C4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2BC173D0">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1364FF8A">
            <w:pPr>
              <w:jc w:val="center"/>
              <w:rPr>
                <w:rFonts w:hint="eastAsia" w:ascii="宋体" w:hAnsi="宋体" w:eastAsia="宋体" w:cs="宋体"/>
                <w:color w:val="auto"/>
                <w:sz w:val="22"/>
                <w:szCs w:val="22"/>
                <w:highlight w:val="none"/>
              </w:rPr>
            </w:pPr>
          </w:p>
        </w:tc>
        <w:tc>
          <w:tcPr>
            <w:tcW w:w="2255" w:type="dxa"/>
            <w:noWrap w:val="0"/>
            <w:vAlign w:val="center"/>
          </w:tcPr>
          <w:p w14:paraId="6E72217C">
            <w:pPr>
              <w:jc w:val="center"/>
              <w:rPr>
                <w:rFonts w:hint="eastAsia" w:ascii="宋体" w:hAnsi="宋体" w:eastAsia="宋体" w:cs="宋体"/>
                <w:color w:val="auto"/>
                <w:sz w:val="22"/>
                <w:szCs w:val="22"/>
                <w:highlight w:val="none"/>
              </w:rPr>
            </w:pPr>
          </w:p>
        </w:tc>
        <w:tc>
          <w:tcPr>
            <w:tcW w:w="1976" w:type="dxa"/>
            <w:noWrap w:val="0"/>
            <w:vAlign w:val="center"/>
          </w:tcPr>
          <w:p w14:paraId="12D86A5B">
            <w:pPr>
              <w:jc w:val="center"/>
              <w:rPr>
                <w:rFonts w:hint="eastAsia" w:ascii="宋体" w:hAnsi="宋体" w:eastAsia="宋体" w:cs="宋体"/>
                <w:color w:val="auto"/>
                <w:sz w:val="22"/>
                <w:szCs w:val="22"/>
                <w:highlight w:val="none"/>
              </w:rPr>
            </w:pPr>
          </w:p>
        </w:tc>
        <w:tc>
          <w:tcPr>
            <w:tcW w:w="1680" w:type="dxa"/>
            <w:noWrap w:val="0"/>
            <w:vAlign w:val="center"/>
          </w:tcPr>
          <w:p w14:paraId="6E4D88BA">
            <w:pPr>
              <w:jc w:val="center"/>
              <w:rPr>
                <w:rFonts w:hint="eastAsia" w:ascii="宋体" w:hAnsi="宋体" w:eastAsia="宋体" w:cs="宋体"/>
                <w:color w:val="auto"/>
                <w:sz w:val="22"/>
                <w:szCs w:val="22"/>
                <w:highlight w:val="none"/>
              </w:rPr>
            </w:pPr>
          </w:p>
        </w:tc>
      </w:tr>
      <w:tr w14:paraId="3334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2324CB6D">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1D02D559">
            <w:pPr>
              <w:jc w:val="center"/>
              <w:rPr>
                <w:rFonts w:hint="eastAsia" w:ascii="宋体" w:hAnsi="宋体" w:eastAsia="宋体" w:cs="宋体"/>
                <w:color w:val="auto"/>
                <w:sz w:val="22"/>
                <w:szCs w:val="22"/>
                <w:highlight w:val="none"/>
              </w:rPr>
            </w:pPr>
          </w:p>
        </w:tc>
        <w:tc>
          <w:tcPr>
            <w:tcW w:w="2255" w:type="dxa"/>
            <w:noWrap w:val="0"/>
            <w:vAlign w:val="center"/>
          </w:tcPr>
          <w:p w14:paraId="24183817">
            <w:pPr>
              <w:jc w:val="center"/>
              <w:rPr>
                <w:rFonts w:hint="eastAsia" w:ascii="宋体" w:hAnsi="宋体" w:eastAsia="宋体" w:cs="宋体"/>
                <w:color w:val="auto"/>
                <w:sz w:val="22"/>
                <w:szCs w:val="22"/>
                <w:highlight w:val="none"/>
              </w:rPr>
            </w:pPr>
          </w:p>
        </w:tc>
        <w:tc>
          <w:tcPr>
            <w:tcW w:w="1976" w:type="dxa"/>
            <w:noWrap w:val="0"/>
            <w:vAlign w:val="center"/>
          </w:tcPr>
          <w:p w14:paraId="078DB9E8">
            <w:pPr>
              <w:jc w:val="center"/>
              <w:rPr>
                <w:rFonts w:hint="eastAsia" w:ascii="宋体" w:hAnsi="宋体" w:eastAsia="宋体" w:cs="宋体"/>
                <w:color w:val="auto"/>
                <w:sz w:val="22"/>
                <w:szCs w:val="22"/>
                <w:highlight w:val="none"/>
              </w:rPr>
            </w:pPr>
          </w:p>
        </w:tc>
        <w:tc>
          <w:tcPr>
            <w:tcW w:w="1680" w:type="dxa"/>
            <w:noWrap w:val="0"/>
            <w:vAlign w:val="center"/>
          </w:tcPr>
          <w:p w14:paraId="724F2197">
            <w:pPr>
              <w:jc w:val="center"/>
              <w:rPr>
                <w:rFonts w:hint="eastAsia" w:ascii="宋体" w:hAnsi="宋体" w:eastAsia="宋体" w:cs="宋体"/>
                <w:color w:val="auto"/>
                <w:sz w:val="22"/>
                <w:szCs w:val="22"/>
                <w:highlight w:val="none"/>
              </w:rPr>
            </w:pPr>
          </w:p>
        </w:tc>
      </w:tr>
      <w:tr w14:paraId="011B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39750C07">
            <w:pPr>
              <w:jc w:val="center"/>
              <w:rPr>
                <w:rFonts w:hint="eastAsia" w:ascii="宋体" w:hAnsi="宋体" w:eastAsia="宋体" w:cs="宋体"/>
                <w:color w:val="auto"/>
                <w:sz w:val="22"/>
                <w:szCs w:val="22"/>
                <w:highlight w:val="none"/>
              </w:rPr>
            </w:pPr>
          </w:p>
        </w:tc>
        <w:tc>
          <w:tcPr>
            <w:tcW w:w="2126" w:type="dxa"/>
            <w:noWrap w:val="0"/>
            <w:vAlign w:val="center"/>
          </w:tcPr>
          <w:p w14:paraId="0FCA1341">
            <w:pPr>
              <w:jc w:val="center"/>
              <w:rPr>
                <w:rFonts w:hint="eastAsia" w:ascii="宋体" w:hAnsi="宋体" w:eastAsia="宋体" w:cs="宋体"/>
                <w:color w:val="auto"/>
                <w:sz w:val="22"/>
                <w:szCs w:val="22"/>
                <w:highlight w:val="none"/>
              </w:rPr>
            </w:pPr>
          </w:p>
        </w:tc>
        <w:tc>
          <w:tcPr>
            <w:tcW w:w="2255" w:type="dxa"/>
            <w:noWrap w:val="0"/>
            <w:vAlign w:val="center"/>
          </w:tcPr>
          <w:p w14:paraId="1BD69BF8">
            <w:pPr>
              <w:jc w:val="center"/>
              <w:rPr>
                <w:rFonts w:hint="eastAsia" w:ascii="宋体" w:hAnsi="宋体" w:eastAsia="宋体" w:cs="宋体"/>
                <w:color w:val="auto"/>
                <w:sz w:val="22"/>
                <w:szCs w:val="22"/>
                <w:highlight w:val="none"/>
              </w:rPr>
            </w:pPr>
          </w:p>
        </w:tc>
        <w:tc>
          <w:tcPr>
            <w:tcW w:w="1976" w:type="dxa"/>
            <w:noWrap w:val="0"/>
            <w:vAlign w:val="center"/>
          </w:tcPr>
          <w:p w14:paraId="08B56210">
            <w:pPr>
              <w:jc w:val="center"/>
              <w:rPr>
                <w:rFonts w:hint="eastAsia" w:ascii="宋体" w:hAnsi="宋体" w:eastAsia="宋体" w:cs="宋体"/>
                <w:color w:val="auto"/>
                <w:sz w:val="22"/>
                <w:szCs w:val="22"/>
                <w:highlight w:val="none"/>
              </w:rPr>
            </w:pPr>
          </w:p>
        </w:tc>
        <w:tc>
          <w:tcPr>
            <w:tcW w:w="1680" w:type="dxa"/>
            <w:noWrap w:val="0"/>
            <w:vAlign w:val="center"/>
          </w:tcPr>
          <w:p w14:paraId="4B899B31">
            <w:pPr>
              <w:jc w:val="center"/>
              <w:rPr>
                <w:rFonts w:hint="eastAsia" w:ascii="宋体" w:hAnsi="宋体" w:eastAsia="宋体" w:cs="宋体"/>
                <w:color w:val="auto"/>
                <w:sz w:val="22"/>
                <w:szCs w:val="22"/>
                <w:highlight w:val="none"/>
              </w:rPr>
            </w:pPr>
          </w:p>
        </w:tc>
      </w:tr>
      <w:tr w14:paraId="62D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101" w:type="dxa"/>
            <w:noWrap w:val="0"/>
            <w:vAlign w:val="center"/>
          </w:tcPr>
          <w:p w14:paraId="25F0018F">
            <w:pPr>
              <w:jc w:val="center"/>
              <w:rPr>
                <w:rFonts w:hint="eastAsia" w:ascii="宋体" w:hAnsi="宋体" w:eastAsia="宋体" w:cs="宋体"/>
                <w:color w:val="auto"/>
                <w:sz w:val="22"/>
                <w:szCs w:val="22"/>
                <w:highlight w:val="none"/>
              </w:rPr>
            </w:pPr>
          </w:p>
        </w:tc>
        <w:tc>
          <w:tcPr>
            <w:tcW w:w="2126" w:type="dxa"/>
            <w:noWrap w:val="0"/>
            <w:vAlign w:val="center"/>
          </w:tcPr>
          <w:p w14:paraId="5276C9DF">
            <w:pPr>
              <w:jc w:val="center"/>
              <w:rPr>
                <w:rFonts w:hint="eastAsia" w:ascii="宋体" w:hAnsi="宋体" w:eastAsia="宋体" w:cs="宋体"/>
                <w:color w:val="auto"/>
                <w:sz w:val="22"/>
                <w:szCs w:val="22"/>
                <w:highlight w:val="none"/>
              </w:rPr>
            </w:pPr>
          </w:p>
        </w:tc>
        <w:tc>
          <w:tcPr>
            <w:tcW w:w="2255" w:type="dxa"/>
            <w:noWrap w:val="0"/>
            <w:vAlign w:val="center"/>
          </w:tcPr>
          <w:p w14:paraId="74369621">
            <w:pPr>
              <w:jc w:val="center"/>
              <w:rPr>
                <w:rFonts w:hint="eastAsia" w:ascii="宋体" w:hAnsi="宋体" w:eastAsia="宋体" w:cs="宋体"/>
                <w:color w:val="auto"/>
                <w:sz w:val="22"/>
                <w:szCs w:val="22"/>
                <w:highlight w:val="none"/>
              </w:rPr>
            </w:pPr>
          </w:p>
        </w:tc>
        <w:tc>
          <w:tcPr>
            <w:tcW w:w="1976" w:type="dxa"/>
            <w:noWrap w:val="0"/>
            <w:vAlign w:val="center"/>
          </w:tcPr>
          <w:p w14:paraId="31816634">
            <w:pPr>
              <w:jc w:val="center"/>
              <w:rPr>
                <w:rFonts w:hint="eastAsia" w:ascii="宋体" w:hAnsi="宋体" w:eastAsia="宋体" w:cs="宋体"/>
                <w:color w:val="auto"/>
                <w:sz w:val="22"/>
                <w:szCs w:val="22"/>
                <w:highlight w:val="none"/>
              </w:rPr>
            </w:pPr>
          </w:p>
        </w:tc>
        <w:tc>
          <w:tcPr>
            <w:tcW w:w="1680" w:type="dxa"/>
            <w:noWrap w:val="0"/>
            <w:vAlign w:val="center"/>
          </w:tcPr>
          <w:p w14:paraId="015F2FE2">
            <w:pPr>
              <w:jc w:val="center"/>
              <w:rPr>
                <w:rFonts w:hint="eastAsia" w:ascii="宋体" w:hAnsi="宋体" w:eastAsia="宋体" w:cs="宋体"/>
                <w:color w:val="auto"/>
                <w:sz w:val="22"/>
                <w:szCs w:val="22"/>
                <w:highlight w:val="none"/>
              </w:rPr>
            </w:pPr>
          </w:p>
        </w:tc>
      </w:tr>
      <w:tr w14:paraId="2A38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101" w:type="dxa"/>
            <w:noWrap w:val="0"/>
            <w:vAlign w:val="center"/>
          </w:tcPr>
          <w:p w14:paraId="7D8AB955">
            <w:pPr>
              <w:jc w:val="center"/>
              <w:rPr>
                <w:rFonts w:hint="eastAsia" w:ascii="宋体" w:hAnsi="宋体" w:eastAsia="宋体" w:cs="宋体"/>
                <w:color w:val="auto"/>
                <w:sz w:val="22"/>
                <w:szCs w:val="22"/>
                <w:highlight w:val="none"/>
              </w:rPr>
            </w:pPr>
          </w:p>
        </w:tc>
        <w:tc>
          <w:tcPr>
            <w:tcW w:w="2126" w:type="dxa"/>
            <w:noWrap w:val="0"/>
            <w:vAlign w:val="center"/>
          </w:tcPr>
          <w:p w14:paraId="69454E96">
            <w:pPr>
              <w:jc w:val="center"/>
              <w:rPr>
                <w:rFonts w:hint="eastAsia" w:ascii="宋体" w:hAnsi="宋体" w:eastAsia="宋体" w:cs="宋体"/>
                <w:color w:val="auto"/>
                <w:sz w:val="22"/>
                <w:szCs w:val="22"/>
                <w:highlight w:val="none"/>
              </w:rPr>
            </w:pPr>
          </w:p>
        </w:tc>
        <w:tc>
          <w:tcPr>
            <w:tcW w:w="2255" w:type="dxa"/>
            <w:noWrap w:val="0"/>
            <w:vAlign w:val="center"/>
          </w:tcPr>
          <w:p w14:paraId="6878FFD3">
            <w:pPr>
              <w:jc w:val="center"/>
              <w:rPr>
                <w:rFonts w:hint="eastAsia" w:ascii="宋体" w:hAnsi="宋体" w:eastAsia="宋体" w:cs="宋体"/>
                <w:color w:val="auto"/>
                <w:sz w:val="22"/>
                <w:szCs w:val="22"/>
                <w:highlight w:val="none"/>
              </w:rPr>
            </w:pPr>
          </w:p>
        </w:tc>
        <w:tc>
          <w:tcPr>
            <w:tcW w:w="1976" w:type="dxa"/>
            <w:noWrap w:val="0"/>
            <w:vAlign w:val="center"/>
          </w:tcPr>
          <w:p w14:paraId="76DDE9CA">
            <w:pPr>
              <w:jc w:val="center"/>
              <w:rPr>
                <w:rFonts w:hint="eastAsia" w:ascii="宋体" w:hAnsi="宋体" w:eastAsia="宋体" w:cs="宋体"/>
                <w:color w:val="auto"/>
                <w:sz w:val="22"/>
                <w:szCs w:val="22"/>
                <w:highlight w:val="none"/>
              </w:rPr>
            </w:pPr>
          </w:p>
        </w:tc>
        <w:tc>
          <w:tcPr>
            <w:tcW w:w="1680" w:type="dxa"/>
            <w:noWrap w:val="0"/>
            <w:vAlign w:val="center"/>
          </w:tcPr>
          <w:p w14:paraId="4A4CA09A">
            <w:pPr>
              <w:jc w:val="center"/>
              <w:rPr>
                <w:rFonts w:hint="eastAsia" w:ascii="宋体" w:hAnsi="宋体" w:eastAsia="宋体" w:cs="宋体"/>
                <w:color w:val="auto"/>
                <w:sz w:val="22"/>
                <w:szCs w:val="22"/>
                <w:highlight w:val="none"/>
              </w:rPr>
            </w:pPr>
          </w:p>
        </w:tc>
      </w:tr>
    </w:tbl>
    <w:p w14:paraId="5DC21809">
      <w:pPr>
        <w:pStyle w:val="9"/>
        <w:spacing w:line="400" w:lineRule="atLeast"/>
        <w:ind w:left="537" w:hanging="537" w:hangingChars="2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注： </w:t>
      </w:r>
      <w:r>
        <w:rPr>
          <w:rFonts w:hint="eastAsia" w:ascii="宋体" w:hAnsi="宋体" w:eastAsia="宋体" w:cs="宋体"/>
          <w:color w:val="auto"/>
          <w:sz w:val="22"/>
          <w:szCs w:val="22"/>
          <w:highlight w:val="none"/>
        </w:rPr>
        <w:t>商务要求是指取得采购标的的时间、地点、财务和服务要求，包括交付（实施）的时间（期限）和地点（范围），付款条件（进度和方式），包装和运输，售后服务，保险等。如有偏离，必须在偏离表中进行详细对比说明并在“偏离情况说明”一栏中注明正偏离或负偏离，如所有条款均无偏离，则只需在“投标文件响应”第一栏中填写“无偏离”即可。如不说明偏离情况，视为完全响应招标文件要求无偏离。</w:t>
      </w:r>
    </w:p>
    <w:p w14:paraId="57E0CC44">
      <w:pPr>
        <w:pStyle w:val="9"/>
        <w:spacing w:line="400" w:lineRule="atLeast"/>
        <w:ind w:left="537" w:hanging="537" w:hangingChars="243"/>
        <w:rPr>
          <w:rFonts w:hint="eastAsia" w:ascii="宋体" w:hAnsi="宋体" w:eastAsia="宋体" w:cs="宋体"/>
          <w:b/>
          <w:color w:val="auto"/>
          <w:sz w:val="22"/>
          <w:szCs w:val="22"/>
          <w:highlight w:val="none"/>
        </w:rPr>
      </w:pPr>
    </w:p>
    <w:p w14:paraId="2A2BB586">
      <w:pPr>
        <w:rPr>
          <w:rFonts w:hint="eastAsia" w:ascii="宋体" w:hAnsi="宋体" w:eastAsia="宋体" w:cs="宋体"/>
          <w:color w:val="auto"/>
          <w:sz w:val="22"/>
          <w:szCs w:val="22"/>
          <w:highlight w:val="none"/>
        </w:rPr>
      </w:pPr>
    </w:p>
    <w:p w14:paraId="505C93A1">
      <w:pPr>
        <w:spacing w:line="40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投标供应商名称</w:t>
      </w:r>
      <w:r>
        <w:rPr>
          <w:rFonts w:hint="eastAsia" w:ascii="宋体" w:hAnsi="宋体" w:eastAsia="宋体" w:cs="宋体"/>
          <w:color w:val="auto"/>
          <w:sz w:val="22"/>
          <w:szCs w:val="22"/>
          <w:highlight w:val="none"/>
        </w:rPr>
        <w:t>（盖章）：</w:t>
      </w:r>
    </w:p>
    <w:p w14:paraId="4939F9A6">
      <w:pPr>
        <w:spacing w:line="40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w:t>
      </w:r>
      <w:r>
        <w:rPr>
          <w:rFonts w:hint="eastAsia" w:ascii="宋体" w:hAnsi="宋体" w:eastAsia="宋体" w:cs="宋体"/>
          <w:color w:val="auto"/>
          <w:sz w:val="22"/>
          <w:szCs w:val="22"/>
          <w:highlight w:val="none"/>
        </w:rPr>
        <w:t>代表（</w:t>
      </w:r>
      <w:r>
        <w:rPr>
          <w:rFonts w:hint="eastAsia" w:ascii="宋体" w:hAnsi="宋体" w:eastAsia="宋体" w:cs="宋体"/>
          <w:color w:val="auto"/>
          <w:sz w:val="22"/>
          <w:highlight w:val="none"/>
        </w:rPr>
        <w:t>签字</w:t>
      </w:r>
      <w:r>
        <w:rPr>
          <w:rFonts w:hint="eastAsia" w:ascii="宋体" w:hAnsi="宋体" w:eastAsia="宋体" w:cs="宋体"/>
          <w:color w:val="auto"/>
          <w:sz w:val="22"/>
          <w:szCs w:val="22"/>
          <w:highlight w:val="none"/>
        </w:rPr>
        <w:t>）：</w:t>
      </w:r>
    </w:p>
    <w:p w14:paraId="024662C5">
      <w:pPr>
        <w:spacing w:line="40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A6D2A14">
      <w:pPr>
        <w:spacing w:line="380" w:lineRule="exact"/>
        <w:ind w:left="-358" w:leftChars="-171" w:hanging="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（2）技术条款偏离表</w:t>
      </w:r>
    </w:p>
    <w:p w14:paraId="6AB445C7">
      <w:pPr>
        <w:spacing w:line="56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55"/>
        <w:gridCol w:w="1976"/>
        <w:gridCol w:w="1680"/>
      </w:tblGrid>
      <w:tr w14:paraId="46C1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1" w:type="dxa"/>
            <w:noWrap w:val="0"/>
            <w:vAlign w:val="center"/>
          </w:tcPr>
          <w:p w14:paraId="20B5CACD">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2126" w:type="dxa"/>
            <w:noWrap w:val="0"/>
            <w:vAlign w:val="center"/>
          </w:tcPr>
          <w:p w14:paraId="03CEB33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28BA5140">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条目</w:t>
            </w:r>
          </w:p>
        </w:tc>
        <w:tc>
          <w:tcPr>
            <w:tcW w:w="2255" w:type="dxa"/>
            <w:noWrap w:val="0"/>
            <w:vAlign w:val="center"/>
          </w:tcPr>
          <w:p w14:paraId="00EC5EA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14:paraId="63E2ECF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要求</w:t>
            </w:r>
          </w:p>
        </w:tc>
        <w:tc>
          <w:tcPr>
            <w:tcW w:w="1976" w:type="dxa"/>
            <w:noWrap w:val="0"/>
            <w:vAlign w:val="center"/>
          </w:tcPr>
          <w:p w14:paraId="0A0805A2">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14:paraId="01A77207">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w:t>
            </w:r>
          </w:p>
        </w:tc>
        <w:tc>
          <w:tcPr>
            <w:tcW w:w="1680" w:type="dxa"/>
            <w:noWrap w:val="0"/>
            <w:vAlign w:val="center"/>
          </w:tcPr>
          <w:p w14:paraId="126ACD0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偏离情况</w:t>
            </w:r>
          </w:p>
          <w:p w14:paraId="4BA5CCB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14:paraId="3EDE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101" w:type="dxa"/>
            <w:noWrap w:val="0"/>
            <w:vAlign w:val="center"/>
          </w:tcPr>
          <w:p w14:paraId="56E15B3C">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417EBB72">
            <w:pPr>
              <w:jc w:val="center"/>
              <w:rPr>
                <w:rFonts w:hint="eastAsia" w:ascii="宋体" w:hAnsi="宋体" w:eastAsia="宋体" w:cs="宋体"/>
                <w:color w:val="auto"/>
                <w:sz w:val="22"/>
                <w:szCs w:val="22"/>
                <w:highlight w:val="none"/>
              </w:rPr>
            </w:pPr>
          </w:p>
        </w:tc>
        <w:tc>
          <w:tcPr>
            <w:tcW w:w="2255" w:type="dxa"/>
            <w:noWrap w:val="0"/>
            <w:vAlign w:val="center"/>
          </w:tcPr>
          <w:p w14:paraId="7BB8B73C">
            <w:pPr>
              <w:jc w:val="center"/>
              <w:rPr>
                <w:rFonts w:hint="eastAsia" w:ascii="宋体" w:hAnsi="宋体" w:eastAsia="宋体" w:cs="宋体"/>
                <w:color w:val="auto"/>
                <w:sz w:val="22"/>
                <w:szCs w:val="22"/>
                <w:highlight w:val="none"/>
              </w:rPr>
            </w:pPr>
          </w:p>
        </w:tc>
        <w:tc>
          <w:tcPr>
            <w:tcW w:w="1976" w:type="dxa"/>
            <w:noWrap w:val="0"/>
            <w:vAlign w:val="center"/>
          </w:tcPr>
          <w:p w14:paraId="7E40FD5C">
            <w:pPr>
              <w:jc w:val="center"/>
              <w:rPr>
                <w:rFonts w:hint="eastAsia" w:ascii="宋体" w:hAnsi="宋体" w:eastAsia="宋体" w:cs="宋体"/>
                <w:color w:val="auto"/>
                <w:sz w:val="22"/>
                <w:szCs w:val="22"/>
                <w:highlight w:val="none"/>
              </w:rPr>
            </w:pPr>
          </w:p>
        </w:tc>
        <w:tc>
          <w:tcPr>
            <w:tcW w:w="1680" w:type="dxa"/>
            <w:noWrap w:val="0"/>
            <w:vAlign w:val="center"/>
          </w:tcPr>
          <w:p w14:paraId="47224BE3">
            <w:pPr>
              <w:jc w:val="center"/>
              <w:rPr>
                <w:rFonts w:hint="eastAsia" w:ascii="宋体" w:hAnsi="宋体" w:eastAsia="宋体" w:cs="宋体"/>
                <w:color w:val="auto"/>
                <w:sz w:val="22"/>
                <w:szCs w:val="22"/>
                <w:highlight w:val="none"/>
              </w:rPr>
            </w:pPr>
          </w:p>
        </w:tc>
      </w:tr>
      <w:tr w14:paraId="5124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36235199">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134677E7">
            <w:pPr>
              <w:jc w:val="center"/>
              <w:rPr>
                <w:rFonts w:hint="eastAsia" w:ascii="宋体" w:hAnsi="宋体" w:eastAsia="宋体" w:cs="宋体"/>
                <w:color w:val="auto"/>
                <w:sz w:val="22"/>
                <w:szCs w:val="22"/>
                <w:highlight w:val="none"/>
              </w:rPr>
            </w:pPr>
          </w:p>
        </w:tc>
        <w:tc>
          <w:tcPr>
            <w:tcW w:w="2255" w:type="dxa"/>
            <w:noWrap w:val="0"/>
            <w:vAlign w:val="center"/>
          </w:tcPr>
          <w:p w14:paraId="5778CF1A">
            <w:pPr>
              <w:jc w:val="center"/>
              <w:rPr>
                <w:rFonts w:hint="eastAsia" w:ascii="宋体" w:hAnsi="宋体" w:eastAsia="宋体" w:cs="宋体"/>
                <w:color w:val="auto"/>
                <w:sz w:val="22"/>
                <w:szCs w:val="22"/>
                <w:highlight w:val="none"/>
              </w:rPr>
            </w:pPr>
          </w:p>
        </w:tc>
        <w:tc>
          <w:tcPr>
            <w:tcW w:w="1976" w:type="dxa"/>
            <w:noWrap w:val="0"/>
            <w:vAlign w:val="center"/>
          </w:tcPr>
          <w:p w14:paraId="2DDC21BD">
            <w:pPr>
              <w:jc w:val="center"/>
              <w:rPr>
                <w:rFonts w:hint="eastAsia" w:ascii="宋体" w:hAnsi="宋体" w:eastAsia="宋体" w:cs="宋体"/>
                <w:color w:val="auto"/>
                <w:sz w:val="22"/>
                <w:szCs w:val="22"/>
                <w:highlight w:val="none"/>
              </w:rPr>
            </w:pPr>
          </w:p>
        </w:tc>
        <w:tc>
          <w:tcPr>
            <w:tcW w:w="1680" w:type="dxa"/>
            <w:noWrap w:val="0"/>
            <w:vAlign w:val="center"/>
          </w:tcPr>
          <w:p w14:paraId="5C9F26CD">
            <w:pPr>
              <w:jc w:val="center"/>
              <w:rPr>
                <w:rFonts w:hint="eastAsia" w:ascii="宋体" w:hAnsi="宋体" w:eastAsia="宋体" w:cs="宋体"/>
                <w:color w:val="auto"/>
                <w:sz w:val="22"/>
                <w:szCs w:val="22"/>
                <w:highlight w:val="none"/>
              </w:rPr>
            </w:pPr>
          </w:p>
        </w:tc>
      </w:tr>
      <w:tr w14:paraId="6944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5C8A5E7A">
            <w:pPr>
              <w:jc w:val="center"/>
              <w:rPr>
                <w:rFonts w:hint="eastAsia" w:ascii="宋体" w:hAnsi="宋体" w:eastAsia="宋体" w:cs="宋体"/>
                <w:b/>
                <w:color w:val="auto"/>
                <w:sz w:val="22"/>
                <w:szCs w:val="22"/>
                <w:highlight w:val="none"/>
              </w:rPr>
            </w:pPr>
          </w:p>
        </w:tc>
        <w:tc>
          <w:tcPr>
            <w:tcW w:w="2126" w:type="dxa"/>
            <w:noWrap w:val="0"/>
            <w:vAlign w:val="center"/>
          </w:tcPr>
          <w:p w14:paraId="67A16AA2">
            <w:pPr>
              <w:jc w:val="center"/>
              <w:rPr>
                <w:rFonts w:hint="eastAsia" w:ascii="宋体" w:hAnsi="宋体" w:eastAsia="宋体" w:cs="宋体"/>
                <w:color w:val="auto"/>
                <w:sz w:val="22"/>
                <w:szCs w:val="22"/>
                <w:highlight w:val="none"/>
              </w:rPr>
            </w:pPr>
          </w:p>
        </w:tc>
        <w:tc>
          <w:tcPr>
            <w:tcW w:w="2255" w:type="dxa"/>
            <w:noWrap w:val="0"/>
            <w:vAlign w:val="center"/>
          </w:tcPr>
          <w:p w14:paraId="4009162F">
            <w:pPr>
              <w:jc w:val="center"/>
              <w:rPr>
                <w:rFonts w:hint="eastAsia" w:ascii="宋体" w:hAnsi="宋体" w:eastAsia="宋体" w:cs="宋体"/>
                <w:color w:val="auto"/>
                <w:sz w:val="22"/>
                <w:szCs w:val="22"/>
                <w:highlight w:val="none"/>
              </w:rPr>
            </w:pPr>
          </w:p>
        </w:tc>
        <w:tc>
          <w:tcPr>
            <w:tcW w:w="1976" w:type="dxa"/>
            <w:noWrap w:val="0"/>
            <w:vAlign w:val="center"/>
          </w:tcPr>
          <w:p w14:paraId="185CCE00">
            <w:pPr>
              <w:jc w:val="center"/>
              <w:rPr>
                <w:rFonts w:hint="eastAsia" w:ascii="宋体" w:hAnsi="宋体" w:eastAsia="宋体" w:cs="宋体"/>
                <w:color w:val="auto"/>
                <w:sz w:val="22"/>
                <w:szCs w:val="22"/>
                <w:highlight w:val="none"/>
              </w:rPr>
            </w:pPr>
          </w:p>
        </w:tc>
        <w:tc>
          <w:tcPr>
            <w:tcW w:w="1680" w:type="dxa"/>
            <w:noWrap w:val="0"/>
            <w:vAlign w:val="center"/>
          </w:tcPr>
          <w:p w14:paraId="74D4A7F0">
            <w:pPr>
              <w:jc w:val="center"/>
              <w:rPr>
                <w:rFonts w:hint="eastAsia" w:ascii="宋体" w:hAnsi="宋体" w:eastAsia="宋体" w:cs="宋体"/>
                <w:color w:val="auto"/>
                <w:sz w:val="22"/>
                <w:szCs w:val="22"/>
                <w:highlight w:val="none"/>
              </w:rPr>
            </w:pPr>
          </w:p>
        </w:tc>
      </w:tr>
      <w:tr w14:paraId="5026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A187CEA">
            <w:pPr>
              <w:jc w:val="center"/>
              <w:rPr>
                <w:rFonts w:hint="eastAsia" w:ascii="宋体" w:hAnsi="宋体" w:eastAsia="宋体" w:cs="宋体"/>
                <w:b/>
                <w:color w:val="auto"/>
                <w:sz w:val="22"/>
                <w:szCs w:val="22"/>
                <w:highlight w:val="none"/>
              </w:rPr>
            </w:pPr>
          </w:p>
        </w:tc>
        <w:tc>
          <w:tcPr>
            <w:tcW w:w="2126" w:type="dxa"/>
            <w:noWrap w:val="0"/>
            <w:vAlign w:val="center"/>
          </w:tcPr>
          <w:p w14:paraId="4B082D58">
            <w:pPr>
              <w:jc w:val="center"/>
              <w:rPr>
                <w:rFonts w:hint="eastAsia" w:ascii="宋体" w:hAnsi="宋体" w:eastAsia="宋体" w:cs="宋体"/>
                <w:color w:val="auto"/>
                <w:sz w:val="22"/>
                <w:szCs w:val="22"/>
                <w:highlight w:val="none"/>
              </w:rPr>
            </w:pPr>
          </w:p>
        </w:tc>
        <w:tc>
          <w:tcPr>
            <w:tcW w:w="2255" w:type="dxa"/>
            <w:noWrap w:val="0"/>
            <w:vAlign w:val="center"/>
          </w:tcPr>
          <w:p w14:paraId="1BD843FA">
            <w:pPr>
              <w:jc w:val="center"/>
              <w:rPr>
                <w:rFonts w:hint="eastAsia" w:ascii="宋体" w:hAnsi="宋体" w:eastAsia="宋体" w:cs="宋体"/>
                <w:color w:val="auto"/>
                <w:sz w:val="22"/>
                <w:szCs w:val="22"/>
                <w:highlight w:val="none"/>
              </w:rPr>
            </w:pPr>
          </w:p>
        </w:tc>
        <w:tc>
          <w:tcPr>
            <w:tcW w:w="1976" w:type="dxa"/>
            <w:noWrap w:val="0"/>
            <w:vAlign w:val="center"/>
          </w:tcPr>
          <w:p w14:paraId="08C46810">
            <w:pPr>
              <w:jc w:val="center"/>
              <w:rPr>
                <w:rFonts w:hint="eastAsia" w:ascii="宋体" w:hAnsi="宋体" w:eastAsia="宋体" w:cs="宋体"/>
                <w:color w:val="auto"/>
                <w:sz w:val="22"/>
                <w:szCs w:val="22"/>
                <w:highlight w:val="none"/>
              </w:rPr>
            </w:pPr>
          </w:p>
        </w:tc>
        <w:tc>
          <w:tcPr>
            <w:tcW w:w="1680" w:type="dxa"/>
            <w:noWrap w:val="0"/>
            <w:vAlign w:val="center"/>
          </w:tcPr>
          <w:p w14:paraId="55728820">
            <w:pPr>
              <w:jc w:val="center"/>
              <w:rPr>
                <w:rFonts w:hint="eastAsia" w:ascii="宋体" w:hAnsi="宋体" w:eastAsia="宋体" w:cs="宋体"/>
                <w:color w:val="auto"/>
                <w:sz w:val="22"/>
                <w:szCs w:val="22"/>
                <w:highlight w:val="none"/>
              </w:rPr>
            </w:pPr>
          </w:p>
        </w:tc>
      </w:tr>
      <w:tr w14:paraId="7E3D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62B0F230">
            <w:pPr>
              <w:jc w:val="center"/>
              <w:rPr>
                <w:rFonts w:hint="eastAsia" w:ascii="宋体" w:hAnsi="宋体" w:eastAsia="宋体" w:cs="宋体"/>
                <w:b/>
                <w:color w:val="auto"/>
                <w:sz w:val="22"/>
                <w:szCs w:val="22"/>
                <w:highlight w:val="none"/>
              </w:rPr>
            </w:pPr>
          </w:p>
        </w:tc>
        <w:tc>
          <w:tcPr>
            <w:tcW w:w="2126" w:type="dxa"/>
            <w:noWrap w:val="0"/>
            <w:vAlign w:val="center"/>
          </w:tcPr>
          <w:p w14:paraId="51EB1DDF">
            <w:pPr>
              <w:jc w:val="center"/>
              <w:rPr>
                <w:rFonts w:hint="eastAsia" w:ascii="宋体" w:hAnsi="宋体" w:eastAsia="宋体" w:cs="宋体"/>
                <w:color w:val="auto"/>
                <w:sz w:val="22"/>
                <w:szCs w:val="22"/>
                <w:highlight w:val="none"/>
              </w:rPr>
            </w:pPr>
          </w:p>
        </w:tc>
        <w:tc>
          <w:tcPr>
            <w:tcW w:w="2255" w:type="dxa"/>
            <w:noWrap w:val="0"/>
            <w:vAlign w:val="center"/>
          </w:tcPr>
          <w:p w14:paraId="67DD382D">
            <w:pPr>
              <w:jc w:val="center"/>
              <w:rPr>
                <w:rFonts w:hint="eastAsia" w:ascii="宋体" w:hAnsi="宋体" w:eastAsia="宋体" w:cs="宋体"/>
                <w:color w:val="auto"/>
                <w:sz w:val="22"/>
                <w:szCs w:val="22"/>
                <w:highlight w:val="none"/>
              </w:rPr>
            </w:pPr>
          </w:p>
        </w:tc>
        <w:tc>
          <w:tcPr>
            <w:tcW w:w="1976" w:type="dxa"/>
            <w:noWrap w:val="0"/>
            <w:vAlign w:val="center"/>
          </w:tcPr>
          <w:p w14:paraId="6247E609">
            <w:pPr>
              <w:jc w:val="center"/>
              <w:rPr>
                <w:rFonts w:hint="eastAsia" w:ascii="宋体" w:hAnsi="宋体" w:eastAsia="宋体" w:cs="宋体"/>
                <w:color w:val="auto"/>
                <w:sz w:val="22"/>
                <w:szCs w:val="22"/>
                <w:highlight w:val="none"/>
              </w:rPr>
            </w:pPr>
          </w:p>
        </w:tc>
        <w:tc>
          <w:tcPr>
            <w:tcW w:w="1680" w:type="dxa"/>
            <w:noWrap w:val="0"/>
            <w:vAlign w:val="center"/>
          </w:tcPr>
          <w:p w14:paraId="0F40EEF9">
            <w:pPr>
              <w:jc w:val="center"/>
              <w:rPr>
                <w:rFonts w:hint="eastAsia" w:ascii="宋体" w:hAnsi="宋体" w:eastAsia="宋体" w:cs="宋体"/>
                <w:color w:val="auto"/>
                <w:sz w:val="22"/>
                <w:szCs w:val="22"/>
                <w:highlight w:val="none"/>
              </w:rPr>
            </w:pPr>
          </w:p>
        </w:tc>
      </w:tr>
      <w:tr w14:paraId="7E4E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A520E97">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58AE9734">
            <w:pPr>
              <w:jc w:val="center"/>
              <w:rPr>
                <w:rFonts w:hint="eastAsia" w:ascii="宋体" w:hAnsi="宋体" w:eastAsia="宋体" w:cs="宋体"/>
                <w:color w:val="auto"/>
                <w:sz w:val="22"/>
                <w:szCs w:val="22"/>
                <w:highlight w:val="none"/>
              </w:rPr>
            </w:pPr>
          </w:p>
        </w:tc>
        <w:tc>
          <w:tcPr>
            <w:tcW w:w="2255" w:type="dxa"/>
            <w:noWrap w:val="0"/>
            <w:vAlign w:val="center"/>
          </w:tcPr>
          <w:p w14:paraId="1F578B57">
            <w:pPr>
              <w:jc w:val="center"/>
              <w:rPr>
                <w:rFonts w:hint="eastAsia" w:ascii="宋体" w:hAnsi="宋体" w:eastAsia="宋体" w:cs="宋体"/>
                <w:color w:val="auto"/>
                <w:sz w:val="22"/>
                <w:szCs w:val="22"/>
                <w:highlight w:val="none"/>
              </w:rPr>
            </w:pPr>
          </w:p>
        </w:tc>
        <w:tc>
          <w:tcPr>
            <w:tcW w:w="1976" w:type="dxa"/>
            <w:noWrap w:val="0"/>
            <w:vAlign w:val="center"/>
          </w:tcPr>
          <w:p w14:paraId="4C536854">
            <w:pPr>
              <w:jc w:val="center"/>
              <w:rPr>
                <w:rFonts w:hint="eastAsia" w:ascii="宋体" w:hAnsi="宋体" w:eastAsia="宋体" w:cs="宋体"/>
                <w:color w:val="auto"/>
                <w:sz w:val="22"/>
                <w:szCs w:val="22"/>
                <w:highlight w:val="none"/>
              </w:rPr>
            </w:pPr>
          </w:p>
        </w:tc>
        <w:tc>
          <w:tcPr>
            <w:tcW w:w="1680" w:type="dxa"/>
            <w:noWrap w:val="0"/>
            <w:vAlign w:val="center"/>
          </w:tcPr>
          <w:p w14:paraId="26C2E995">
            <w:pPr>
              <w:jc w:val="center"/>
              <w:rPr>
                <w:rFonts w:hint="eastAsia" w:ascii="宋体" w:hAnsi="宋体" w:eastAsia="宋体" w:cs="宋体"/>
                <w:color w:val="auto"/>
                <w:sz w:val="22"/>
                <w:szCs w:val="22"/>
                <w:highlight w:val="none"/>
              </w:rPr>
            </w:pPr>
          </w:p>
        </w:tc>
      </w:tr>
      <w:tr w14:paraId="66EA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1E2359EE">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0C5B3F7C">
            <w:pPr>
              <w:jc w:val="center"/>
              <w:rPr>
                <w:rFonts w:hint="eastAsia" w:ascii="宋体" w:hAnsi="宋体" w:eastAsia="宋体" w:cs="宋体"/>
                <w:color w:val="auto"/>
                <w:sz w:val="22"/>
                <w:szCs w:val="22"/>
                <w:highlight w:val="none"/>
              </w:rPr>
            </w:pPr>
          </w:p>
        </w:tc>
        <w:tc>
          <w:tcPr>
            <w:tcW w:w="2255" w:type="dxa"/>
            <w:noWrap w:val="0"/>
            <w:vAlign w:val="center"/>
          </w:tcPr>
          <w:p w14:paraId="3EB42D45">
            <w:pPr>
              <w:jc w:val="center"/>
              <w:rPr>
                <w:rFonts w:hint="eastAsia" w:ascii="宋体" w:hAnsi="宋体" w:eastAsia="宋体" w:cs="宋体"/>
                <w:color w:val="auto"/>
                <w:sz w:val="22"/>
                <w:szCs w:val="22"/>
                <w:highlight w:val="none"/>
              </w:rPr>
            </w:pPr>
          </w:p>
        </w:tc>
        <w:tc>
          <w:tcPr>
            <w:tcW w:w="1976" w:type="dxa"/>
            <w:noWrap w:val="0"/>
            <w:vAlign w:val="center"/>
          </w:tcPr>
          <w:p w14:paraId="1EAB6137">
            <w:pPr>
              <w:jc w:val="center"/>
              <w:rPr>
                <w:rFonts w:hint="eastAsia" w:ascii="宋体" w:hAnsi="宋体" w:eastAsia="宋体" w:cs="宋体"/>
                <w:color w:val="auto"/>
                <w:sz w:val="22"/>
                <w:szCs w:val="22"/>
                <w:highlight w:val="none"/>
              </w:rPr>
            </w:pPr>
          </w:p>
        </w:tc>
        <w:tc>
          <w:tcPr>
            <w:tcW w:w="1680" w:type="dxa"/>
            <w:noWrap w:val="0"/>
            <w:vAlign w:val="center"/>
          </w:tcPr>
          <w:p w14:paraId="14E42DF4">
            <w:pPr>
              <w:jc w:val="center"/>
              <w:rPr>
                <w:rFonts w:hint="eastAsia" w:ascii="宋体" w:hAnsi="宋体" w:eastAsia="宋体" w:cs="宋体"/>
                <w:color w:val="auto"/>
                <w:sz w:val="22"/>
                <w:szCs w:val="22"/>
                <w:highlight w:val="none"/>
              </w:rPr>
            </w:pPr>
          </w:p>
        </w:tc>
      </w:tr>
      <w:tr w14:paraId="5C9C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34DB1A47">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1189174C">
            <w:pPr>
              <w:jc w:val="center"/>
              <w:rPr>
                <w:rFonts w:hint="eastAsia" w:ascii="宋体" w:hAnsi="宋体" w:eastAsia="宋体" w:cs="宋体"/>
                <w:color w:val="auto"/>
                <w:sz w:val="22"/>
                <w:szCs w:val="22"/>
                <w:highlight w:val="none"/>
              </w:rPr>
            </w:pPr>
          </w:p>
        </w:tc>
        <w:tc>
          <w:tcPr>
            <w:tcW w:w="2255" w:type="dxa"/>
            <w:noWrap w:val="0"/>
            <w:vAlign w:val="center"/>
          </w:tcPr>
          <w:p w14:paraId="18E3BB35">
            <w:pPr>
              <w:jc w:val="center"/>
              <w:rPr>
                <w:rFonts w:hint="eastAsia" w:ascii="宋体" w:hAnsi="宋体" w:eastAsia="宋体" w:cs="宋体"/>
                <w:color w:val="auto"/>
                <w:sz w:val="22"/>
                <w:szCs w:val="22"/>
                <w:highlight w:val="none"/>
              </w:rPr>
            </w:pPr>
          </w:p>
        </w:tc>
        <w:tc>
          <w:tcPr>
            <w:tcW w:w="1976" w:type="dxa"/>
            <w:noWrap w:val="0"/>
            <w:vAlign w:val="center"/>
          </w:tcPr>
          <w:p w14:paraId="346B4D11">
            <w:pPr>
              <w:jc w:val="center"/>
              <w:rPr>
                <w:rFonts w:hint="eastAsia" w:ascii="宋体" w:hAnsi="宋体" w:eastAsia="宋体" w:cs="宋体"/>
                <w:color w:val="auto"/>
                <w:sz w:val="22"/>
                <w:szCs w:val="22"/>
                <w:highlight w:val="none"/>
              </w:rPr>
            </w:pPr>
          </w:p>
        </w:tc>
        <w:tc>
          <w:tcPr>
            <w:tcW w:w="1680" w:type="dxa"/>
            <w:noWrap w:val="0"/>
            <w:vAlign w:val="center"/>
          </w:tcPr>
          <w:p w14:paraId="36615175">
            <w:pPr>
              <w:jc w:val="center"/>
              <w:rPr>
                <w:rFonts w:hint="eastAsia" w:ascii="宋体" w:hAnsi="宋体" w:eastAsia="宋体" w:cs="宋体"/>
                <w:color w:val="auto"/>
                <w:sz w:val="22"/>
                <w:szCs w:val="22"/>
                <w:highlight w:val="none"/>
              </w:rPr>
            </w:pPr>
          </w:p>
        </w:tc>
      </w:tr>
      <w:tr w14:paraId="4DDD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7B9E3C84">
            <w:pPr>
              <w:ind w:firstLine="221" w:firstLineChars="100"/>
              <w:rPr>
                <w:rFonts w:hint="eastAsia" w:ascii="宋体" w:hAnsi="宋体" w:eastAsia="宋体" w:cs="宋体"/>
                <w:b/>
                <w:color w:val="auto"/>
                <w:sz w:val="22"/>
                <w:szCs w:val="22"/>
                <w:highlight w:val="none"/>
              </w:rPr>
            </w:pPr>
          </w:p>
        </w:tc>
        <w:tc>
          <w:tcPr>
            <w:tcW w:w="2126" w:type="dxa"/>
            <w:noWrap w:val="0"/>
            <w:vAlign w:val="center"/>
          </w:tcPr>
          <w:p w14:paraId="467A023D">
            <w:pPr>
              <w:jc w:val="center"/>
              <w:rPr>
                <w:rFonts w:hint="eastAsia" w:ascii="宋体" w:hAnsi="宋体" w:eastAsia="宋体" w:cs="宋体"/>
                <w:color w:val="auto"/>
                <w:sz w:val="22"/>
                <w:szCs w:val="22"/>
                <w:highlight w:val="none"/>
              </w:rPr>
            </w:pPr>
          </w:p>
        </w:tc>
        <w:tc>
          <w:tcPr>
            <w:tcW w:w="2255" w:type="dxa"/>
            <w:noWrap w:val="0"/>
            <w:vAlign w:val="center"/>
          </w:tcPr>
          <w:p w14:paraId="5E3C0C12">
            <w:pPr>
              <w:jc w:val="center"/>
              <w:rPr>
                <w:rFonts w:hint="eastAsia" w:ascii="宋体" w:hAnsi="宋体" w:eastAsia="宋体" w:cs="宋体"/>
                <w:color w:val="auto"/>
                <w:sz w:val="22"/>
                <w:szCs w:val="22"/>
                <w:highlight w:val="none"/>
              </w:rPr>
            </w:pPr>
          </w:p>
        </w:tc>
        <w:tc>
          <w:tcPr>
            <w:tcW w:w="1976" w:type="dxa"/>
            <w:noWrap w:val="0"/>
            <w:vAlign w:val="center"/>
          </w:tcPr>
          <w:p w14:paraId="204C69AD">
            <w:pPr>
              <w:jc w:val="center"/>
              <w:rPr>
                <w:rFonts w:hint="eastAsia" w:ascii="宋体" w:hAnsi="宋体" w:eastAsia="宋体" w:cs="宋体"/>
                <w:color w:val="auto"/>
                <w:sz w:val="22"/>
                <w:szCs w:val="22"/>
                <w:highlight w:val="none"/>
              </w:rPr>
            </w:pPr>
          </w:p>
        </w:tc>
        <w:tc>
          <w:tcPr>
            <w:tcW w:w="1680" w:type="dxa"/>
            <w:noWrap w:val="0"/>
            <w:vAlign w:val="center"/>
          </w:tcPr>
          <w:p w14:paraId="13394E97">
            <w:pPr>
              <w:jc w:val="center"/>
              <w:rPr>
                <w:rFonts w:hint="eastAsia" w:ascii="宋体" w:hAnsi="宋体" w:eastAsia="宋体" w:cs="宋体"/>
                <w:color w:val="auto"/>
                <w:sz w:val="22"/>
                <w:szCs w:val="22"/>
                <w:highlight w:val="none"/>
              </w:rPr>
            </w:pPr>
          </w:p>
        </w:tc>
      </w:tr>
      <w:tr w14:paraId="2983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2F7525FD">
            <w:pPr>
              <w:jc w:val="center"/>
              <w:rPr>
                <w:rFonts w:hint="eastAsia" w:ascii="宋体" w:hAnsi="宋体" w:eastAsia="宋体" w:cs="宋体"/>
                <w:color w:val="auto"/>
                <w:sz w:val="22"/>
                <w:szCs w:val="22"/>
                <w:highlight w:val="none"/>
              </w:rPr>
            </w:pPr>
          </w:p>
        </w:tc>
        <w:tc>
          <w:tcPr>
            <w:tcW w:w="2126" w:type="dxa"/>
            <w:noWrap w:val="0"/>
            <w:vAlign w:val="center"/>
          </w:tcPr>
          <w:p w14:paraId="408BBF2A">
            <w:pPr>
              <w:jc w:val="center"/>
              <w:rPr>
                <w:rFonts w:hint="eastAsia" w:ascii="宋体" w:hAnsi="宋体" w:eastAsia="宋体" w:cs="宋体"/>
                <w:color w:val="auto"/>
                <w:sz w:val="22"/>
                <w:szCs w:val="22"/>
                <w:highlight w:val="none"/>
              </w:rPr>
            </w:pPr>
          </w:p>
        </w:tc>
        <w:tc>
          <w:tcPr>
            <w:tcW w:w="2255" w:type="dxa"/>
            <w:noWrap w:val="0"/>
            <w:vAlign w:val="center"/>
          </w:tcPr>
          <w:p w14:paraId="47034854">
            <w:pPr>
              <w:jc w:val="center"/>
              <w:rPr>
                <w:rFonts w:hint="eastAsia" w:ascii="宋体" w:hAnsi="宋体" w:eastAsia="宋体" w:cs="宋体"/>
                <w:color w:val="auto"/>
                <w:sz w:val="22"/>
                <w:szCs w:val="22"/>
                <w:highlight w:val="none"/>
              </w:rPr>
            </w:pPr>
          </w:p>
        </w:tc>
        <w:tc>
          <w:tcPr>
            <w:tcW w:w="1976" w:type="dxa"/>
            <w:noWrap w:val="0"/>
            <w:vAlign w:val="center"/>
          </w:tcPr>
          <w:p w14:paraId="4D5C35A4">
            <w:pPr>
              <w:jc w:val="center"/>
              <w:rPr>
                <w:rFonts w:hint="eastAsia" w:ascii="宋体" w:hAnsi="宋体" w:eastAsia="宋体" w:cs="宋体"/>
                <w:color w:val="auto"/>
                <w:sz w:val="22"/>
                <w:szCs w:val="22"/>
                <w:highlight w:val="none"/>
              </w:rPr>
            </w:pPr>
          </w:p>
        </w:tc>
        <w:tc>
          <w:tcPr>
            <w:tcW w:w="1680" w:type="dxa"/>
            <w:noWrap w:val="0"/>
            <w:vAlign w:val="center"/>
          </w:tcPr>
          <w:p w14:paraId="1B10C0CA">
            <w:pPr>
              <w:jc w:val="center"/>
              <w:rPr>
                <w:rFonts w:hint="eastAsia" w:ascii="宋体" w:hAnsi="宋体" w:eastAsia="宋体" w:cs="宋体"/>
                <w:color w:val="auto"/>
                <w:sz w:val="22"/>
                <w:szCs w:val="22"/>
                <w:highlight w:val="none"/>
              </w:rPr>
            </w:pPr>
          </w:p>
        </w:tc>
      </w:tr>
      <w:tr w14:paraId="4531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078D6676">
            <w:pPr>
              <w:jc w:val="center"/>
              <w:rPr>
                <w:rFonts w:hint="eastAsia" w:ascii="宋体" w:hAnsi="宋体" w:eastAsia="宋体" w:cs="宋体"/>
                <w:color w:val="auto"/>
                <w:sz w:val="22"/>
                <w:szCs w:val="22"/>
                <w:highlight w:val="none"/>
              </w:rPr>
            </w:pPr>
          </w:p>
        </w:tc>
        <w:tc>
          <w:tcPr>
            <w:tcW w:w="2126" w:type="dxa"/>
            <w:noWrap w:val="0"/>
            <w:vAlign w:val="center"/>
          </w:tcPr>
          <w:p w14:paraId="0E104969">
            <w:pPr>
              <w:jc w:val="center"/>
              <w:rPr>
                <w:rFonts w:hint="eastAsia" w:ascii="宋体" w:hAnsi="宋体" w:eastAsia="宋体" w:cs="宋体"/>
                <w:color w:val="auto"/>
                <w:sz w:val="22"/>
                <w:szCs w:val="22"/>
                <w:highlight w:val="none"/>
              </w:rPr>
            </w:pPr>
          </w:p>
        </w:tc>
        <w:tc>
          <w:tcPr>
            <w:tcW w:w="2255" w:type="dxa"/>
            <w:noWrap w:val="0"/>
            <w:vAlign w:val="center"/>
          </w:tcPr>
          <w:p w14:paraId="1FB79C9B">
            <w:pPr>
              <w:jc w:val="center"/>
              <w:rPr>
                <w:rFonts w:hint="eastAsia" w:ascii="宋体" w:hAnsi="宋体" w:eastAsia="宋体" w:cs="宋体"/>
                <w:color w:val="auto"/>
                <w:sz w:val="22"/>
                <w:szCs w:val="22"/>
                <w:highlight w:val="none"/>
              </w:rPr>
            </w:pPr>
          </w:p>
        </w:tc>
        <w:tc>
          <w:tcPr>
            <w:tcW w:w="1976" w:type="dxa"/>
            <w:noWrap w:val="0"/>
            <w:vAlign w:val="center"/>
          </w:tcPr>
          <w:p w14:paraId="67E4B81F">
            <w:pPr>
              <w:jc w:val="center"/>
              <w:rPr>
                <w:rFonts w:hint="eastAsia" w:ascii="宋体" w:hAnsi="宋体" w:eastAsia="宋体" w:cs="宋体"/>
                <w:color w:val="auto"/>
                <w:sz w:val="22"/>
                <w:szCs w:val="22"/>
                <w:highlight w:val="none"/>
              </w:rPr>
            </w:pPr>
          </w:p>
        </w:tc>
        <w:tc>
          <w:tcPr>
            <w:tcW w:w="1680" w:type="dxa"/>
            <w:noWrap w:val="0"/>
            <w:vAlign w:val="center"/>
          </w:tcPr>
          <w:p w14:paraId="3E30D23E">
            <w:pPr>
              <w:jc w:val="center"/>
              <w:rPr>
                <w:rFonts w:hint="eastAsia" w:ascii="宋体" w:hAnsi="宋体" w:eastAsia="宋体" w:cs="宋体"/>
                <w:color w:val="auto"/>
                <w:sz w:val="22"/>
                <w:szCs w:val="22"/>
                <w:highlight w:val="none"/>
              </w:rPr>
            </w:pPr>
          </w:p>
        </w:tc>
      </w:tr>
      <w:tr w14:paraId="1CDF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01" w:type="dxa"/>
            <w:noWrap w:val="0"/>
            <w:vAlign w:val="center"/>
          </w:tcPr>
          <w:p w14:paraId="6481D33C">
            <w:pPr>
              <w:jc w:val="center"/>
              <w:rPr>
                <w:rFonts w:hint="eastAsia" w:ascii="宋体" w:hAnsi="宋体" w:eastAsia="宋体" w:cs="宋体"/>
                <w:color w:val="auto"/>
                <w:sz w:val="22"/>
                <w:szCs w:val="22"/>
                <w:highlight w:val="none"/>
              </w:rPr>
            </w:pPr>
          </w:p>
        </w:tc>
        <w:tc>
          <w:tcPr>
            <w:tcW w:w="2126" w:type="dxa"/>
            <w:noWrap w:val="0"/>
            <w:vAlign w:val="center"/>
          </w:tcPr>
          <w:p w14:paraId="6746F821">
            <w:pPr>
              <w:jc w:val="center"/>
              <w:rPr>
                <w:rFonts w:hint="eastAsia" w:ascii="宋体" w:hAnsi="宋体" w:eastAsia="宋体" w:cs="宋体"/>
                <w:color w:val="auto"/>
                <w:sz w:val="22"/>
                <w:szCs w:val="22"/>
                <w:highlight w:val="none"/>
              </w:rPr>
            </w:pPr>
          </w:p>
        </w:tc>
        <w:tc>
          <w:tcPr>
            <w:tcW w:w="2255" w:type="dxa"/>
            <w:noWrap w:val="0"/>
            <w:vAlign w:val="center"/>
          </w:tcPr>
          <w:p w14:paraId="74D359EB">
            <w:pPr>
              <w:jc w:val="center"/>
              <w:rPr>
                <w:rFonts w:hint="eastAsia" w:ascii="宋体" w:hAnsi="宋体" w:eastAsia="宋体" w:cs="宋体"/>
                <w:color w:val="auto"/>
                <w:sz w:val="22"/>
                <w:szCs w:val="22"/>
                <w:highlight w:val="none"/>
              </w:rPr>
            </w:pPr>
          </w:p>
        </w:tc>
        <w:tc>
          <w:tcPr>
            <w:tcW w:w="1976" w:type="dxa"/>
            <w:noWrap w:val="0"/>
            <w:vAlign w:val="center"/>
          </w:tcPr>
          <w:p w14:paraId="0D2D8404">
            <w:pPr>
              <w:jc w:val="center"/>
              <w:rPr>
                <w:rFonts w:hint="eastAsia" w:ascii="宋体" w:hAnsi="宋体" w:eastAsia="宋体" w:cs="宋体"/>
                <w:color w:val="auto"/>
                <w:sz w:val="22"/>
                <w:szCs w:val="22"/>
                <w:highlight w:val="none"/>
              </w:rPr>
            </w:pPr>
          </w:p>
        </w:tc>
        <w:tc>
          <w:tcPr>
            <w:tcW w:w="1680" w:type="dxa"/>
            <w:noWrap w:val="0"/>
            <w:vAlign w:val="center"/>
          </w:tcPr>
          <w:p w14:paraId="1D5BFC6F">
            <w:pPr>
              <w:jc w:val="center"/>
              <w:rPr>
                <w:rFonts w:hint="eastAsia" w:ascii="宋体" w:hAnsi="宋体" w:eastAsia="宋体" w:cs="宋体"/>
                <w:color w:val="auto"/>
                <w:sz w:val="22"/>
                <w:szCs w:val="22"/>
                <w:highlight w:val="none"/>
              </w:rPr>
            </w:pPr>
          </w:p>
        </w:tc>
      </w:tr>
    </w:tbl>
    <w:p w14:paraId="60409C21">
      <w:pPr>
        <w:pStyle w:val="9"/>
        <w:spacing w:line="400" w:lineRule="atLeast"/>
        <w:ind w:left="537" w:hanging="537" w:hangingChars="243"/>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color w:val="auto"/>
          <w:sz w:val="22"/>
          <w:szCs w:val="22"/>
          <w:highlight w:val="none"/>
        </w:rPr>
        <w:t>技术要求是指对采购标的的功能和质量要求，包括性能、材料、结构、外观、安全，或者服务内容和标准等。如有偏离，必须在偏离表中进行详细对比说明并注明正偏离（负偏离）；如所有条款均无偏离，则只需在“投标文件响应”第一栏中填写“无偏离”即可。如不说明偏离情况，视为完全响应招标文件要求无偏离。</w:t>
      </w:r>
    </w:p>
    <w:p w14:paraId="49CF6B4A">
      <w:pPr>
        <w:rPr>
          <w:rFonts w:hint="eastAsia" w:ascii="宋体" w:hAnsi="宋体" w:eastAsia="宋体" w:cs="宋体"/>
          <w:color w:val="auto"/>
          <w:sz w:val="22"/>
          <w:szCs w:val="22"/>
          <w:highlight w:val="none"/>
        </w:rPr>
      </w:pPr>
    </w:p>
    <w:p w14:paraId="10CA0DDD">
      <w:pPr>
        <w:rPr>
          <w:rFonts w:hint="eastAsia" w:ascii="宋体" w:hAnsi="宋体" w:eastAsia="宋体" w:cs="宋体"/>
          <w:color w:val="auto"/>
          <w:sz w:val="22"/>
          <w:szCs w:val="22"/>
          <w:highlight w:val="none"/>
        </w:rPr>
      </w:pPr>
    </w:p>
    <w:p w14:paraId="00F9AB34">
      <w:pPr>
        <w:spacing w:line="40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投标供应商名称</w:t>
      </w:r>
      <w:r>
        <w:rPr>
          <w:rFonts w:hint="eastAsia" w:ascii="宋体" w:hAnsi="宋体" w:eastAsia="宋体" w:cs="宋体"/>
          <w:color w:val="auto"/>
          <w:sz w:val="22"/>
          <w:szCs w:val="22"/>
          <w:highlight w:val="none"/>
        </w:rPr>
        <w:t>（盖章）：</w:t>
      </w:r>
    </w:p>
    <w:p w14:paraId="394E2C4F">
      <w:pPr>
        <w:spacing w:line="40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投标供应商</w:t>
      </w:r>
      <w:r>
        <w:rPr>
          <w:rFonts w:hint="eastAsia" w:ascii="宋体" w:hAnsi="宋体" w:eastAsia="宋体" w:cs="宋体"/>
          <w:color w:val="auto"/>
          <w:sz w:val="22"/>
          <w:szCs w:val="22"/>
          <w:highlight w:val="none"/>
        </w:rPr>
        <w:t>代表（签字）：</w:t>
      </w:r>
    </w:p>
    <w:p w14:paraId="79012604">
      <w:pPr>
        <w:spacing w:line="40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3FFF0DA6">
      <w:pPr>
        <w:spacing w:line="400" w:lineRule="exact"/>
        <w:ind w:firstLine="4400" w:firstLineChars="2000"/>
        <w:rPr>
          <w:rFonts w:hint="eastAsia" w:ascii="宋体" w:hAnsi="宋体" w:eastAsia="宋体" w:cs="宋体"/>
          <w:color w:val="auto"/>
          <w:sz w:val="22"/>
          <w:szCs w:val="22"/>
          <w:highlight w:val="none"/>
        </w:rPr>
      </w:pPr>
    </w:p>
    <w:bookmarkEnd w:id="43"/>
    <w:p w14:paraId="0E641390">
      <w:pPr>
        <w:pStyle w:val="3"/>
        <w:spacing w:line="400" w:lineRule="exact"/>
        <w:rPr>
          <w:rFonts w:hint="eastAsia" w:ascii="宋体" w:hAnsi="宋体" w:eastAsia="宋体" w:cs="宋体"/>
          <w:color w:val="auto"/>
          <w:sz w:val="22"/>
          <w:szCs w:val="22"/>
          <w:highlight w:val="none"/>
        </w:rPr>
      </w:pPr>
      <w:bookmarkStart w:id="44" w:name="_Toc35974576"/>
      <w:bookmarkStart w:id="45" w:name="_Toc2345"/>
      <w:bookmarkStart w:id="46" w:name="_Toc35189578"/>
      <w:r>
        <w:rPr>
          <w:rFonts w:hint="eastAsia" w:ascii="宋体" w:hAnsi="宋体" w:eastAsia="宋体" w:cs="宋体"/>
          <w:color w:val="auto"/>
          <w:sz w:val="22"/>
          <w:szCs w:val="22"/>
          <w:highlight w:val="none"/>
        </w:rPr>
        <w:t>附件五  证明文件</w:t>
      </w:r>
      <w:bookmarkEnd w:id="44"/>
      <w:bookmarkEnd w:id="45"/>
      <w:bookmarkEnd w:id="46"/>
    </w:p>
    <w:p w14:paraId="307A27CD">
      <w:pPr>
        <w:pStyle w:val="3"/>
        <w:spacing w:before="0" w:after="0" w:line="600" w:lineRule="exact"/>
        <w:jc w:val="center"/>
        <w:rPr>
          <w:rFonts w:hint="eastAsia" w:ascii="宋体" w:hAnsi="宋体" w:eastAsia="宋体" w:cs="宋体"/>
          <w:bCs w:val="0"/>
          <w:color w:val="auto"/>
          <w:highlight w:val="none"/>
        </w:rPr>
      </w:pPr>
      <w:bookmarkStart w:id="47" w:name="_Toc35974577"/>
      <w:bookmarkStart w:id="48" w:name="_Toc31157"/>
      <w:bookmarkStart w:id="49" w:name="_Toc35186958"/>
      <w:bookmarkStart w:id="50" w:name="_Toc35189579"/>
      <w:r>
        <w:rPr>
          <w:rFonts w:hint="eastAsia" w:ascii="宋体" w:hAnsi="宋体" w:eastAsia="宋体" w:cs="宋体"/>
          <w:bCs w:val="0"/>
          <w:color w:val="auto"/>
          <w:highlight w:val="none"/>
        </w:rPr>
        <w:t>（1）法定代表人授权书</w:t>
      </w:r>
      <w:bookmarkEnd w:id="47"/>
      <w:bookmarkEnd w:id="48"/>
      <w:bookmarkEnd w:id="49"/>
      <w:bookmarkEnd w:id="50"/>
    </w:p>
    <w:p w14:paraId="478EBB9D">
      <w:pPr>
        <w:spacing w:line="460" w:lineRule="exact"/>
        <w:rPr>
          <w:rFonts w:hint="eastAsia" w:ascii="宋体" w:hAnsi="宋体" w:eastAsia="宋体" w:cs="宋体"/>
          <w:color w:val="auto"/>
          <w:sz w:val="22"/>
          <w:szCs w:val="22"/>
          <w:highlight w:val="none"/>
        </w:rPr>
      </w:pPr>
    </w:p>
    <w:p w14:paraId="74F50B90">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温州市综合行政执法局</w:t>
      </w:r>
    </w:p>
    <w:p w14:paraId="08D4D57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浙江铭洋项目管理咨询有限公司</w:t>
      </w:r>
      <w:r>
        <w:rPr>
          <w:rFonts w:hint="eastAsia" w:ascii="宋体" w:hAnsi="宋体" w:eastAsia="宋体" w:cs="宋体"/>
          <w:color w:val="auto"/>
          <w:sz w:val="22"/>
          <w:szCs w:val="22"/>
          <w:highlight w:val="none"/>
        </w:rPr>
        <w:t>：</w:t>
      </w:r>
    </w:p>
    <w:p w14:paraId="71AC09A4">
      <w:pPr>
        <w:spacing w:line="460" w:lineRule="exact"/>
        <w:ind w:firstLine="550" w:firstLineChars="250"/>
        <w:rPr>
          <w:rFonts w:hint="eastAsia" w:ascii="宋体" w:hAnsi="宋体" w:eastAsia="宋体" w:cs="宋体"/>
          <w:color w:val="auto"/>
          <w:sz w:val="22"/>
          <w:szCs w:val="22"/>
          <w:highlight w:val="none"/>
          <w:u w:val="single"/>
        </w:rPr>
      </w:pPr>
    </w:p>
    <w:p w14:paraId="4C2E8A1A">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（投标供应商全称）  </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（全权代表姓名）  </w:t>
      </w:r>
      <w:r>
        <w:rPr>
          <w:rFonts w:hint="eastAsia" w:ascii="宋体" w:hAnsi="宋体" w:eastAsia="宋体" w:cs="宋体"/>
          <w:color w:val="auto"/>
          <w:sz w:val="22"/>
          <w:szCs w:val="22"/>
          <w:highlight w:val="none"/>
        </w:rPr>
        <w:t>为全权代表，参加贵办组织的</w:t>
      </w:r>
      <w:r>
        <w:rPr>
          <w:rFonts w:hint="eastAsia" w:ascii="宋体" w:hAnsi="宋体" w:eastAsia="宋体" w:cs="宋体"/>
          <w:color w:val="auto"/>
          <w:sz w:val="22"/>
          <w:szCs w:val="22"/>
          <w:highlight w:val="none"/>
          <w:u w:val="single"/>
        </w:rPr>
        <w:t xml:space="preserve">        （项目名称、编号）      </w:t>
      </w:r>
      <w:r>
        <w:rPr>
          <w:rFonts w:hint="eastAsia" w:ascii="宋体" w:hAnsi="宋体" w:eastAsia="宋体" w:cs="宋体"/>
          <w:color w:val="auto"/>
          <w:sz w:val="22"/>
          <w:szCs w:val="22"/>
          <w:highlight w:val="none"/>
        </w:rPr>
        <w:t>的招投标活动，全权代表我方（联合体）处理招投标活动中的一切事宜。</w:t>
      </w:r>
    </w:p>
    <w:p w14:paraId="20A5CE23">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本授权书于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日签字盖章生效，本授权无转委托权，特此说明。</w:t>
      </w:r>
    </w:p>
    <w:p w14:paraId="6C09B863">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94719A3">
      <w:pPr>
        <w:spacing w:line="460" w:lineRule="exact"/>
        <w:ind w:firstLine="4191" w:firstLineChars="19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607E5B60">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highlight w:val="none"/>
        </w:rPr>
        <w:t>投标供应商名称</w:t>
      </w:r>
      <w:r>
        <w:rPr>
          <w:rFonts w:hint="eastAsia" w:ascii="宋体" w:hAnsi="宋体" w:eastAsia="宋体" w:cs="宋体"/>
          <w:color w:val="auto"/>
          <w:sz w:val="22"/>
          <w:szCs w:val="22"/>
          <w:highlight w:val="none"/>
        </w:rPr>
        <w:t>（公章）：</w:t>
      </w:r>
    </w:p>
    <w:p w14:paraId="2874F4E8">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24C4CC7F">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2853879C">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0047CA74">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4BF76DA9">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详细通讯地址：  </w:t>
      </w:r>
    </w:p>
    <w:p w14:paraId="5EEE2BE2">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2B3160E9">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w:t>
      </w:r>
    </w:p>
    <w:p w14:paraId="4F15BD20">
      <w:pPr>
        <w:spacing w:line="460" w:lineRule="exact"/>
        <w:ind w:firstLine="220" w:firstLineChars="1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tbl>
      <w:tblPr>
        <w:tblStyle w:val="17"/>
        <w:tblpPr w:leftFromText="180" w:rightFromText="180" w:vertAnchor="text" w:horzAnchor="page" w:tblpX="1635"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4"/>
      </w:tblGrid>
      <w:tr w14:paraId="1D5B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trPr>
        <w:tc>
          <w:tcPr>
            <w:tcW w:w="9254" w:type="dxa"/>
            <w:noWrap w:val="0"/>
            <w:vAlign w:val="top"/>
          </w:tcPr>
          <w:p w14:paraId="2BAF5318">
            <w:pPr>
              <w:spacing w:line="460" w:lineRule="exact"/>
              <w:rPr>
                <w:rFonts w:hint="eastAsia" w:ascii="宋体" w:hAnsi="宋体" w:eastAsia="宋体" w:cs="宋体"/>
                <w:color w:val="auto"/>
                <w:sz w:val="22"/>
                <w:szCs w:val="22"/>
                <w:highlight w:val="none"/>
              </w:rPr>
            </w:pPr>
          </w:p>
          <w:p w14:paraId="48D571EF">
            <w:pPr>
              <w:spacing w:line="460" w:lineRule="exact"/>
              <w:rPr>
                <w:rFonts w:hint="eastAsia" w:ascii="宋体" w:hAnsi="宋体" w:eastAsia="宋体" w:cs="宋体"/>
                <w:color w:val="auto"/>
                <w:sz w:val="22"/>
                <w:szCs w:val="22"/>
                <w:highlight w:val="none"/>
              </w:rPr>
            </w:pPr>
          </w:p>
          <w:p w14:paraId="6309BBC4">
            <w:pPr>
              <w:spacing w:line="460" w:lineRule="exact"/>
              <w:rPr>
                <w:rFonts w:hint="eastAsia" w:ascii="宋体" w:hAnsi="宋体" w:eastAsia="宋体" w:cs="宋体"/>
                <w:color w:val="auto"/>
                <w:sz w:val="22"/>
                <w:szCs w:val="22"/>
                <w:highlight w:val="none"/>
              </w:rPr>
            </w:pPr>
          </w:p>
          <w:p w14:paraId="7267F88F">
            <w:pPr>
              <w:spacing w:line="460" w:lineRule="exact"/>
              <w:ind w:firstLine="2640" w:firstLineChars="1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投标供应商授权代表身份证复印件（正反面）</w:t>
            </w:r>
          </w:p>
          <w:p w14:paraId="5928C6E9">
            <w:pPr>
              <w:spacing w:line="460" w:lineRule="exact"/>
              <w:ind w:firstLine="3740" w:firstLineChars="17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（粘贴处）</w:t>
            </w:r>
          </w:p>
        </w:tc>
      </w:tr>
    </w:tbl>
    <w:p w14:paraId="770CA968">
      <w:pPr>
        <w:spacing w:line="380" w:lineRule="exact"/>
        <w:ind w:left="-358" w:leftChars="-171" w:hanging="1"/>
        <w:jc w:val="center"/>
        <w:rPr>
          <w:rFonts w:hint="eastAsia" w:ascii="宋体" w:hAnsi="宋体" w:eastAsia="宋体" w:cs="宋体"/>
          <w:b/>
          <w:bCs/>
          <w:color w:val="auto"/>
          <w:sz w:val="28"/>
          <w:szCs w:val="28"/>
          <w:highlight w:val="none"/>
        </w:rPr>
      </w:pPr>
    </w:p>
    <w:p w14:paraId="3995D0E4">
      <w:pPr>
        <w:pStyle w:val="3"/>
        <w:spacing w:before="0" w:after="0" w:line="600" w:lineRule="exact"/>
        <w:jc w:val="center"/>
        <w:rPr>
          <w:rFonts w:hint="eastAsia" w:ascii="宋体" w:hAnsi="宋体" w:eastAsia="宋体" w:cs="宋体"/>
          <w:bCs w:val="0"/>
          <w:color w:val="auto"/>
          <w:highlight w:val="none"/>
        </w:rPr>
      </w:pPr>
      <w:bookmarkStart w:id="51" w:name="_Toc35189580"/>
      <w:bookmarkStart w:id="52" w:name="_Toc35186959"/>
      <w:bookmarkStart w:id="53" w:name="_Toc8791"/>
      <w:bookmarkStart w:id="54" w:name="_Toc35974578"/>
      <w:r>
        <w:rPr>
          <w:rFonts w:hint="eastAsia" w:ascii="宋体" w:hAnsi="宋体" w:eastAsia="宋体" w:cs="宋体"/>
          <w:bCs w:val="0"/>
          <w:color w:val="auto"/>
          <w:highlight w:val="none"/>
        </w:rPr>
        <w:t>（2）</w:t>
      </w:r>
      <w:r>
        <w:rPr>
          <w:rFonts w:hint="eastAsia" w:ascii="宋体" w:hAnsi="宋体" w:eastAsia="宋体" w:cs="宋体"/>
          <w:color w:val="auto"/>
          <w:highlight w:val="none"/>
        </w:rPr>
        <w:t>供应商基本情况表</w:t>
      </w:r>
      <w:bookmarkEnd w:id="51"/>
      <w:bookmarkEnd w:id="52"/>
      <w:bookmarkEnd w:id="53"/>
      <w:bookmarkEnd w:id="54"/>
    </w:p>
    <w:p w14:paraId="443C6DED">
      <w:pPr>
        <w:spacing w:line="360" w:lineRule="exact"/>
        <w:jc w:val="center"/>
        <w:rPr>
          <w:rFonts w:hint="eastAsia" w:ascii="宋体" w:hAnsi="宋体" w:eastAsia="宋体" w:cs="宋体"/>
          <w:b/>
          <w:color w:val="auto"/>
          <w:sz w:val="28"/>
          <w:szCs w:val="28"/>
          <w:highlight w:val="none"/>
        </w:rPr>
      </w:pPr>
    </w:p>
    <w:p w14:paraId="66E2B422">
      <w:pPr>
        <w:spacing w:line="380" w:lineRule="exact"/>
        <w:ind w:firstLine="378" w:firstLineChars="17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44"/>
        <w:gridCol w:w="1542"/>
        <w:gridCol w:w="1544"/>
        <w:gridCol w:w="1542"/>
        <w:gridCol w:w="1545"/>
      </w:tblGrid>
      <w:tr w14:paraId="69C3C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542" w:type="dxa"/>
            <w:tcBorders>
              <w:top w:val="single" w:color="auto" w:sz="12" w:space="0"/>
              <w:left w:val="single" w:color="auto" w:sz="12" w:space="0"/>
              <w:bottom w:val="single" w:color="auto" w:sz="4" w:space="0"/>
              <w:right w:val="single" w:color="auto" w:sz="4" w:space="0"/>
            </w:tcBorders>
            <w:noWrap w:val="0"/>
            <w:vAlign w:val="center"/>
          </w:tcPr>
          <w:p w14:paraId="507C1EF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单位名称</w:t>
            </w:r>
          </w:p>
          <w:p w14:paraId="3D68BE9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（公章）</w:t>
            </w:r>
          </w:p>
        </w:tc>
        <w:tc>
          <w:tcPr>
            <w:tcW w:w="7717" w:type="dxa"/>
            <w:gridSpan w:val="5"/>
            <w:tcBorders>
              <w:top w:val="single" w:color="auto" w:sz="12" w:space="0"/>
              <w:left w:val="single" w:color="auto" w:sz="4" w:space="0"/>
              <w:bottom w:val="single" w:color="auto" w:sz="4" w:space="0"/>
              <w:right w:val="single" w:color="auto" w:sz="12" w:space="0"/>
            </w:tcBorders>
            <w:noWrap w:val="0"/>
            <w:vAlign w:val="center"/>
          </w:tcPr>
          <w:p w14:paraId="5D18786B">
            <w:pPr>
              <w:jc w:val="center"/>
              <w:rPr>
                <w:rFonts w:hint="eastAsia" w:ascii="宋体" w:hAnsi="宋体" w:eastAsia="宋体" w:cs="宋体"/>
                <w:color w:val="auto"/>
                <w:sz w:val="22"/>
                <w:highlight w:val="none"/>
              </w:rPr>
            </w:pPr>
          </w:p>
        </w:tc>
      </w:tr>
      <w:tr w14:paraId="79136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0781D7D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单位地址</w:t>
            </w:r>
          </w:p>
        </w:tc>
        <w:tc>
          <w:tcPr>
            <w:tcW w:w="7717" w:type="dxa"/>
            <w:gridSpan w:val="5"/>
            <w:tcBorders>
              <w:top w:val="single" w:color="auto" w:sz="4" w:space="0"/>
              <w:left w:val="single" w:color="auto" w:sz="4" w:space="0"/>
              <w:bottom w:val="single" w:color="auto" w:sz="4" w:space="0"/>
              <w:right w:val="single" w:color="auto" w:sz="12" w:space="0"/>
            </w:tcBorders>
            <w:noWrap w:val="0"/>
            <w:vAlign w:val="center"/>
          </w:tcPr>
          <w:p w14:paraId="58812783">
            <w:pPr>
              <w:jc w:val="center"/>
              <w:rPr>
                <w:rFonts w:hint="eastAsia" w:ascii="宋体" w:hAnsi="宋体" w:eastAsia="宋体" w:cs="宋体"/>
                <w:color w:val="auto"/>
                <w:sz w:val="22"/>
                <w:highlight w:val="none"/>
              </w:rPr>
            </w:pPr>
          </w:p>
        </w:tc>
      </w:tr>
      <w:tr w14:paraId="4E05B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4EFD437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主管部门</w:t>
            </w:r>
          </w:p>
        </w:tc>
        <w:tc>
          <w:tcPr>
            <w:tcW w:w="7717" w:type="dxa"/>
            <w:gridSpan w:val="5"/>
            <w:tcBorders>
              <w:top w:val="single" w:color="auto" w:sz="4" w:space="0"/>
              <w:left w:val="single" w:color="auto" w:sz="4" w:space="0"/>
              <w:bottom w:val="single" w:color="auto" w:sz="4" w:space="0"/>
              <w:right w:val="single" w:color="auto" w:sz="12" w:space="0"/>
            </w:tcBorders>
            <w:noWrap w:val="0"/>
            <w:vAlign w:val="center"/>
          </w:tcPr>
          <w:p w14:paraId="324FD100">
            <w:pPr>
              <w:jc w:val="center"/>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 xml:space="preserve"> </w:t>
            </w:r>
          </w:p>
        </w:tc>
      </w:tr>
      <w:tr w14:paraId="6377D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7D47EED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成立时间</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68D5B3C">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92A5D9">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营业执照登记部门</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08C6C2C">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49A4BF5">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营业执照注册号</w:t>
            </w: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7552D5DE">
            <w:pPr>
              <w:jc w:val="center"/>
              <w:rPr>
                <w:rFonts w:hint="eastAsia" w:ascii="宋体" w:hAnsi="宋体" w:eastAsia="宋体" w:cs="宋体"/>
                <w:color w:val="auto"/>
                <w:sz w:val="22"/>
                <w:highlight w:val="none"/>
              </w:rPr>
            </w:pPr>
          </w:p>
        </w:tc>
      </w:tr>
      <w:tr w14:paraId="411F2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44EB540D">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单位性质</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E5AB198">
            <w:pPr>
              <w:jc w:val="center"/>
              <w:rPr>
                <w:rFonts w:hint="eastAsia" w:ascii="宋体" w:hAnsi="宋体" w:eastAsia="宋体" w:cs="宋体"/>
                <w:color w:val="auto"/>
                <w:sz w:val="22"/>
                <w:highlight w:val="none"/>
              </w:rPr>
            </w:pPr>
            <w:r>
              <w:rPr>
                <w:rFonts w:hint="eastAsia" w:ascii="宋体" w:hAnsi="宋体" w:eastAsia="宋体" w:cs="宋体"/>
                <w:b/>
                <w:color w:val="auto"/>
                <w:kern w:val="0"/>
                <w:sz w:val="22"/>
                <w:szCs w:val="22"/>
                <w:highlight w:val="none"/>
              </w:rPr>
              <w:t xml:space="preserve"> </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225E3B6">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开户银行及账号</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57B3C22B">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111A33A0">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注册资金</w:t>
            </w:r>
          </w:p>
          <w:p w14:paraId="0ECBB13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（万元）</w:t>
            </w: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2BEF0EF1">
            <w:pPr>
              <w:jc w:val="center"/>
              <w:rPr>
                <w:rFonts w:hint="eastAsia" w:ascii="宋体" w:hAnsi="宋体" w:eastAsia="宋体" w:cs="宋体"/>
                <w:color w:val="auto"/>
                <w:sz w:val="22"/>
                <w:highlight w:val="none"/>
              </w:rPr>
            </w:pPr>
          </w:p>
        </w:tc>
      </w:tr>
      <w:tr w14:paraId="3866C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35498DCD">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资质等级</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7AA4D8AE">
            <w:pPr>
              <w:jc w:val="center"/>
              <w:rPr>
                <w:rFonts w:hint="eastAsia" w:ascii="宋体" w:hAnsi="宋体" w:eastAsia="宋体" w:cs="宋体"/>
                <w:b/>
                <w:color w:val="auto"/>
                <w:kern w:val="0"/>
                <w:sz w:val="22"/>
                <w:szCs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F469658">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证号</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66A08535">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51E2A68">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发证单位</w:t>
            </w: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4D9ABAC6">
            <w:pPr>
              <w:jc w:val="center"/>
              <w:rPr>
                <w:rFonts w:hint="eastAsia" w:ascii="宋体" w:hAnsi="宋体" w:eastAsia="宋体" w:cs="宋体"/>
                <w:color w:val="auto"/>
                <w:sz w:val="22"/>
                <w:highlight w:val="none"/>
              </w:rPr>
            </w:pPr>
          </w:p>
        </w:tc>
      </w:tr>
      <w:tr w14:paraId="4395C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70C70139">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717A7F84">
            <w:pPr>
              <w:jc w:val="center"/>
              <w:rPr>
                <w:rFonts w:hint="eastAsia" w:ascii="宋体" w:hAnsi="宋体" w:eastAsia="宋体" w:cs="宋体"/>
                <w:b/>
                <w:color w:val="auto"/>
                <w:kern w:val="0"/>
                <w:sz w:val="22"/>
                <w:szCs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136064C0">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51DA49B4">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199B4DFA">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53B19C84">
            <w:pPr>
              <w:jc w:val="center"/>
              <w:rPr>
                <w:rFonts w:hint="eastAsia" w:ascii="宋体" w:hAnsi="宋体" w:eastAsia="宋体" w:cs="宋体"/>
                <w:color w:val="auto"/>
                <w:sz w:val="22"/>
                <w:highlight w:val="none"/>
              </w:rPr>
            </w:pPr>
          </w:p>
        </w:tc>
      </w:tr>
      <w:tr w14:paraId="3F322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5E68DEE5">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相关认证证书</w:t>
            </w:r>
          </w:p>
        </w:tc>
        <w:tc>
          <w:tcPr>
            <w:tcW w:w="7717" w:type="dxa"/>
            <w:gridSpan w:val="5"/>
            <w:tcBorders>
              <w:top w:val="single" w:color="auto" w:sz="4" w:space="0"/>
              <w:left w:val="single" w:color="auto" w:sz="4" w:space="0"/>
              <w:bottom w:val="single" w:color="auto" w:sz="4" w:space="0"/>
              <w:right w:val="single" w:color="auto" w:sz="12" w:space="0"/>
            </w:tcBorders>
            <w:noWrap w:val="0"/>
            <w:vAlign w:val="center"/>
          </w:tcPr>
          <w:p w14:paraId="07580D6C">
            <w:pPr>
              <w:jc w:val="center"/>
              <w:rPr>
                <w:rFonts w:hint="eastAsia" w:ascii="宋体" w:hAnsi="宋体" w:eastAsia="宋体" w:cs="宋体"/>
                <w:color w:val="auto"/>
                <w:sz w:val="22"/>
                <w:highlight w:val="none"/>
              </w:rPr>
            </w:pPr>
          </w:p>
        </w:tc>
      </w:tr>
      <w:tr w14:paraId="372DC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2" w:type="dxa"/>
            <w:tcBorders>
              <w:top w:val="single" w:color="auto" w:sz="4" w:space="0"/>
              <w:left w:val="single" w:color="auto" w:sz="12" w:space="0"/>
              <w:bottom w:val="single" w:color="auto" w:sz="4" w:space="0"/>
              <w:right w:val="single" w:color="auto" w:sz="4" w:space="0"/>
            </w:tcBorders>
            <w:noWrap w:val="0"/>
            <w:vAlign w:val="center"/>
          </w:tcPr>
          <w:p w14:paraId="17907823">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主要售后服务机构</w:t>
            </w:r>
          </w:p>
        </w:tc>
        <w:tc>
          <w:tcPr>
            <w:tcW w:w="7717" w:type="dxa"/>
            <w:gridSpan w:val="5"/>
            <w:tcBorders>
              <w:top w:val="single" w:color="auto" w:sz="4" w:space="0"/>
              <w:left w:val="single" w:color="auto" w:sz="4" w:space="0"/>
              <w:bottom w:val="single" w:color="auto" w:sz="4" w:space="0"/>
              <w:right w:val="single" w:color="auto" w:sz="12" w:space="0"/>
            </w:tcBorders>
            <w:noWrap w:val="0"/>
            <w:vAlign w:val="center"/>
          </w:tcPr>
          <w:p w14:paraId="1A2E8D5A">
            <w:pPr>
              <w:jc w:val="center"/>
              <w:rPr>
                <w:rFonts w:hint="eastAsia" w:ascii="宋体" w:hAnsi="宋体" w:eastAsia="宋体" w:cs="宋体"/>
                <w:color w:val="auto"/>
                <w:sz w:val="22"/>
                <w:highlight w:val="none"/>
              </w:rPr>
            </w:pPr>
          </w:p>
        </w:tc>
      </w:tr>
      <w:tr w14:paraId="1FC47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542" w:type="dxa"/>
            <w:vMerge w:val="restart"/>
            <w:tcBorders>
              <w:top w:val="single" w:color="auto" w:sz="4" w:space="0"/>
              <w:left w:val="single" w:color="auto" w:sz="12" w:space="0"/>
              <w:bottom w:val="single" w:color="auto" w:sz="4" w:space="0"/>
              <w:right w:val="single" w:color="auto" w:sz="4" w:space="0"/>
            </w:tcBorders>
            <w:noWrap w:val="0"/>
            <w:vAlign w:val="center"/>
          </w:tcPr>
          <w:p w14:paraId="4B9AE2BC">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联系人</w:t>
            </w:r>
          </w:p>
        </w:tc>
        <w:tc>
          <w:tcPr>
            <w:tcW w:w="1544" w:type="dxa"/>
            <w:vMerge w:val="restart"/>
            <w:tcBorders>
              <w:top w:val="single" w:color="auto" w:sz="4" w:space="0"/>
              <w:left w:val="single" w:color="auto" w:sz="4" w:space="0"/>
              <w:bottom w:val="single" w:color="auto" w:sz="4" w:space="0"/>
              <w:right w:val="single" w:color="auto" w:sz="4" w:space="0"/>
            </w:tcBorders>
            <w:noWrap w:val="0"/>
            <w:vAlign w:val="center"/>
          </w:tcPr>
          <w:p w14:paraId="7EFD3078">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B62E0F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电话</w:t>
            </w:r>
          </w:p>
        </w:tc>
        <w:tc>
          <w:tcPr>
            <w:tcW w:w="4631" w:type="dxa"/>
            <w:gridSpan w:val="3"/>
            <w:tcBorders>
              <w:top w:val="single" w:color="auto" w:sz="4" w:space="0"/>
              <w:left w:val="single" w:color="auto" w:sz="4" w:space="0"/>
              <w:bottom w:val="single" w:color="auto" w:sz="4" w:space="0"/>
              <w:right w:val="single" w:color="auto" w:sz="12" w:space="0"/>
            </w:tcBorders>
            <w:noWrap w:val="0"/>
            <w:vAlign w:val="center"/>
          </w:tcPr>
          <w:p w14:paraId="635AA7A1">
            <w:pPr>
              <w:jc w:val="center"/>
              <w:rPr>
                <w:rFonts w:hint="eastAsia" w:ascii="宋体" w:hAnsi="宋体" w:eastAsia="宋体" w:cs="宋体"/>
                <w:color w:val="auto"/>
                <w:sz w:val="22"/>
                <w:highlight w:val="none"/>
              </w:rPr>
            </w:pPr>
          </w:p>
        </w:tc>
      </w:tr>
      <w:tr w14:paraId="55CFB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542" w:type="dxa"/>
            <w:vMerge w:val="continue"/>
            <w:tcBorders>
              <w:top w:val="single" w:color="auto" w:sz="4" w:space="0"/>
              <w:left w:val="single" w:color="auto" w:sz="12" w:space="0"/>
              <w:bottom w:val="single" w:color="auto" w:sz="4" w:space="0"/>
              <w:right w:val="single" w:color="auto" w:sz="4" w:space="0"/>
            </w:tcBorders>
            <w:noWrap w:val="0"/>
            <w:vAlign w:val="center"/>
          </w:tcPr>
          <w:p w14:paraId="7B4382F4">
            <w:pPr>
              <w:widowControl/>
              <w:jc w:val="left"/>
              <w:rPr>
                <w:rFonts w:hint="eastAsia" w:ascii="宋体" w:hAnsi="宋体" w:eastAsia="宋体" w:cs="宋体"/>
                <w:color w:val="auto"/>
                <w:sz w:val="22"/>
                <w:highlight w:val="none"/>
              </w:rPr>
            </w:pPr>
          </w:p>
        </w:tc>
        <w:tc>
          <w:tcPr>
            <w:tcW w:w="1544" w:type="dxa"/>
            <w:vMerge w:val="continue"/>
            <w:tcBorders>
              <w:top w:val="single" w:color="auto" w:sz="4" w:space="0"/>
              <w:left w:val="single" w:color="auto" w:sz="4" w:space="0"/>
              <w:bottom w:val="single" w:color="auto" w:sz="4" w:space="0"/>
              <w:right w:val="single" w:color="auto" w:sz="4" w:space="0"/>
            </w:tcBorders>
            <w:noWrap w:val="0"/>
            <w:vAlign w:val="center"/>
          </w:tcPr>
          <w:p w14:paraId="530EAD64">
            <w:pPr>
              <w:widowControl/>
              <w:jc w:val="left"/>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37F5B73">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传真</w:t>
            </w:r>
          </w:p>
        </w:tc>
        <w:tc>
          <w:tcPr>
            <w:tcW w:w="4631" w:type="dxa"/>
            <w:gridSpan w:val="3"/>
            <w:tcBorders>
              <w:top w:val="single" w:color="auto" w:sz="4" w:space="0"/>
              <w:left w:val="single" w:color="auto" w:sz="4" w:space="0"/>
              <w:bottom w:val="single" w:color="auto" w:sz="4" w:space="0"/>
              <w:right w:val="single" w:color="auto" w:sz="12" w:space="0"/>
            </w:tcBorders>
            <w:noWrap w:val="0"/>
            <w:vAlign w:val="center"/>
          </w:tcPr>
          <w:p w14:paraId="3860999D">
            <w:pPr>
              <w:jc w:val="center"/>
              <w:rPr>
                <w:rFonts w:hint="eastAsia" w:ascii="宋体" w:hAnsi="宋体" w:eastAsia="宋体" w:cs="宋体"/>
                <w:color w:val="auto"/>
                <w:sz w:val="22"/>
                <w:highlight w:val="none"/>
              </w:rPr>
            </w:pPr>
          </w:p>
        </w:tc>
      </w:tr>
      <w:tr w14:paraId="34548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542" w:type="dxa"/>
            <w:vMerge w:val="restart"/>
            <w:tcBorders>
              <w:top w:val="single" w:color="auto" w:sz="4" w:space="0"/>
              <w:left w:val="single" w:color="auto" w:sz="12" w:space="0"/>
              <w:bottom w:val="single" w:color="auto" w:sz="12" w:space="0"/>
              <w:right w:val="single" w:color="auto" w:sz="4" w:space="0"/>
            </w:tcBorders>
            <w:noWrap w:val="0"/>
            <w:vAlign w:val="center"/>
          </w:tcPr>
          <w:p w14:paraId="10A57794">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职工概况</w:t>
            </w:r>
          </w:p>
        </w:tc>
        <w:tc>
          <w:tcPr>
            <w:tcW w:w="1544" w:type="dxa"/>
            <w:vMerge w:val="restart"/>
            <w:tcBorders>
              <w:top w:val="single" w:color="auto" w:sz="4" w:space="0"/>
              <w:left w:val="single" w:color="auto" w:sz="4" w:space="0"/>
              <w:right w:val="single" w:color="auto" w:sz="4" w:space="0"/>
            </w:tcBorders>
            <w:noWrap w:val="0"/>
            <w:vAlign w:val="center"/>
          </w:tcPr>
          <w:p w14:paraId="3BE68A7B">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职工总人数</w:t>
            </w:r>
          </w:p>
        </w:tc>
        <w:tc>
          <w:tcPr>
            <w:tcW w:w="1542" w:type="dxa"/>
            <w:vMerge w:val="restart"/>
            <w:tcBorders>
              <w:top w:val="single" w:color="auto" w:sz="4" w:space="0"/>
              <w:left w:val="single" w:color="auto" w:sz="4" w:space="0"/>
              <w:right w:val="single" w:color="auto" w:sz="4" w:space="0"/>
            </w:tcBorders>
            <w:noWrap w:val="0"/>
            <w:vAlign w:val="center"/>
          </w:tcPr>
          <w:p w14:paraId="0E8C42FD">
            <w:pPr>
              <w:jc w:val="center"/>
              <w:rPr>
                <w:rFonts w:hint="eastAsia" w:ascii="宋体" w:hAnsi="宋体" w:eastAsia="宋体" w:cs="宋体"/>
                <w:color w:val="auto"/>
                <w:sz w:val="22"/>
                <w:highlight w:val="none"/>
              </w:rPr>
            </w:pPr>
          </w:p>
        </w:tc>
        <w:tc>
          <w:tcPr>
            <w:tcW w:w="3086" w:type="dxa"/>
            <w:gridSpan w:val="2"/>
            <w:tcBorders>
              <w:top w:val="single" w:color="auto" w:sz="4" w:space="0"/>
              <w:left w:val="single" w:color="auto" w:sz="4" w:space="0"/>
              <w:bottom w:val="single" w:color="auto" w:sz="4" w:space="0"/>
              <w:right w:val="single" w:color="auto" w:sz="4" w:space="0"/>
            </w:tcBorders>
            <w:noWrap w:val="0"/>
            <w:vAlign w:val="center"/>
          </w:tcPr>
          <w:p w14:paraId="20C68794">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高级职称/资质（人数）</w:t>
            </w: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2F7B5953">
            <w:pPr>
              <w:jc w:val="center"/>
              <w:rPr>
                <w:rFonts w:hint="eastAsia" w:ascii="宋体" w:hAnsi="宋体" w:eastAsia="宋体" w:cs="宋体"/>
                <w:color w:val="auto"/>
                <w:sz w:val="22"/>
                <w:highlight w:val="none"/>
              </w:rPr>
            </w:pPr>
          </w:p>
        </w:tc>
      </w:tr>
      <w:tr w14:paraId="1ACC3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1C7D4795">
            <w:pPr>
              <w:widowControl/>
              <w:jc w:val="left"/>
              <w:rPr>
                <w:rFonts w:hint="eastAsia" w:ascii="宋体" w:hAnsi="宋体" w:eastAsia="宋体" w:cs="宋体"/>
                <w:color w:val="auto"/>
                <w:sz w:val="22"/>
                <w:highlight w:val="none"/>
              </w:rPr>
            </w:pPr>
          </w:p>
        </w:tc>
        <w:tc>
          <w:tcPr>
            <w:tcW w:w="1544" w:type="dxa"/>
            <w:vMerge w:val="continue"/>
            <w:tcBorders>
              <w:left w:val="single" w:color="auto" w:sz="4" w:space="0"/>
              <w:right w:val="single" w:color="auto" w:sz="4" w:space="0"/>
            </w:tcBorders>
            <w:noWrap w:val="0"/>
            <w:vAlign w:val="center"/>
          </w:tcPr>
          <w:p w14:paraId="1101A2CF">
            <w:pPr>
              <w:jc w:val="center"/>
              <w:rPr>
                <w:rFonts w:hint="eastAsia" w:ascii="宋体" w:hAnsi="宋体" w:eastAsia="宋体" w:cs="宋体"/>
                <w:color w:val="auto"/>
                <w:sz w:val="22"/>
                <w:highlight w:val="none"/>
              </w:rPr>
            </w:pPr>
          </w:p>
        </w:tc>
        <w:tc>
          <w:tcPr>
            <w:tcW w:w="1542" w:type="dxa"/>
            <w:vMerge w:val="continue"/>
            <w:tcBorders>
              <w:left w:val="single" w:color="auto" w:sz="4" w:space="0"/>
              <w:right w:val="single" w:color="auto" w:sz="4" w:space="0"/>
            </w:tcBorders>
            <w:noWrap w:val="0"/>
            <w:vAlign w:val="center"/>
          </w:tcPr>
          <w:p w14:paraId="13D64BEF">
            <w:pPr>
              <w:jc w:val="center"/>
              <w:rPr>
                <w:rFonts w:hint="eastAsia" w:ascii="宋体" w:hAnsi="宋体" w:eastAsia="宋体" w:cs="宋体"/>
                <w:color w:val="auto"/>
                <w:sz w:val="22"/>
                <w:highlight w:val="none"/>
              </w:rPr>
            </w:pPr>
          </w:p>
        </w:tc>
        <w:tc>
          <w:tcPr>
            <w:tcW w:w="3086" w:type="dxa"/>
            <w:gridSpan w:val="2"/>
            <w:tcBorders>
              <w:top w:val="single" w:color="auto" w:sz="4" w:space="0"/>
              <w:left w:val="single" w:color="auto" w:sz="4" w:space="0"/>
              <w:bottom w:val="single" w:color="auto" w:sz="4" w:space="0"/>
              <w:right w:val="single" w:color="auto" w:sz="4" w:space="0"/>
            </w:tcBorders>
            <w:noWrap w:val="0"/>
            <w:vAlign w:val="center"/>
          </w:tcPr>
          <w:p w14:paraId="1BA6DFD2">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中级职称/资质（人数）</w:t>
            </w: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4C1FCDDE">
            <w:pPr>
              <w:jc w:val="center"/>
              <w:rPr>
                <w:rFonts w:hint="eastAsia" w:ascii="宋体" w:hAnsi="宋体" w:eastAsia="宋体" w:cs="宋体"/>
                <w:color w:val="auto"/>
                <w:sz w:val="22"/>
                <w:highlight w:val="none"/>
              </w:rPr>
            </w:pPr>
          </w:p>
        </w:tc>
      </w:tr>
      <w:tr w14:paraId="55B84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6AEA231F">
            <w:pPr>
              <w:widowControl/>
              <w:jc w:val="left"/>
              <w:rPr>
                <w:rFonts w:hint="eastAsia" w:ascii="宋体" w:hAnsi="宋体" w:eastAsia="宋体" w:cs="宋体"/>
                <w:color w:val="auto"/>
                <w:sz w:val="22"/>
                <w:highlight w:val="none"/>
              </w:rPr>
            </w:pPr>
          </w:p>
        </w:tc>
        <w:tc>
          <w:tcPr>
            <w:tcW w:w="7717" w:type="dxa"/>
            <w:gridSpan w:val="5"/>
            <w:tcBorders>
              <w:top w:val="single" w:color="auto" w:sz="4" w:space="0"/>
              <w:left w:val="single" w:color="auto" w:sz="4" w:space="0"/>
              <w:bottom w:val="single" w:color="auto" w:sz="4" w:space="0"/>
              <w:right w:val="single" w:color="auto" w:sz="12" w:space="0"/>
            </w:tcBorders>
            <w:noWrap w:val="0"/>
            <w:vAlign w:val="center"/>
          </w:tcPr>
          <w:p w14:paraId="35A9F0A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单位行政和主要技术人员</w:t>
            </w:r>
          </w:p>
        </w:tc>
      </w:tr>
      <w:tr w14:paraId="6196A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25FAC9F0">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52168AED">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姓名</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B1A0AC3">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职务及职称</w:t>
            </w: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D4D3282">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年龄</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BC8E83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专业</w:t>
            </w: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079C5839">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从业年限</w:t>
            </w:r>
          </w:p>
        </w:tc>
      </w:tr>
      <w:tr w14:paraId="01755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10AB0EA6">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732A1A74">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0FF010">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58F3CCD6">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66CDBC0">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2F7A0BF6">
            <w:pPr>
              <w:jc w:val="center"/>
              <w:rPr>
                <w:rFonts w:hint="eastAsia" w:ascii="宋体" w:hAnsi="宋体" w:eastAsia="宋体" w:cs="宋体"/>
                <w:color w:val="auto"/>
                <w:sz w:val="22"/>
                <w:highlight w:val="none"/>
              </w:rPr>
            </w:pPr>
          </w:p>
        </w:tc>
      </w:tr>
      <w:tr w14:paraId="7378A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037DA30B">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288B2CA6">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6242A21">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DF28F98">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F67311">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3D866E2A">
            <w:pPr>
              <w:jc w:val="center"/>
              <w:rPr>
                <w:rFonts w:hint="eastAsia" w:ascii="宋体" w:hAnsi="宋体" w:eastAsia="宋体" w:cs="宋体"/>
                <w:color w:val="auto"/>
                <w:sz w:val="22"/>
                <w:highlight w:val="none"/>
              </w:rPr>
            </w:pPr>
          </w:p>
        </w:tc>
      </w:tr>
      <w:tr w14:paraId="38451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0FB160D2">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0EC41A6">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8F16C9F">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137B2FAA">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E1D263C">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2C0D8934">
            <w:pPr>
              <w:jc w:val="center"/>
              <w:rPr>
                <w:rFonts w:hint="eastAsia" w:ascii="宋体" w:hAnsi="宋体" w:eastAsia="宋体" w:cs="宋体"/>
                <w:color w:val="auto"/>
                <w:sz w:val="22"/>
                <w:highlight w:val="none"/>
              </w:rPr>
            </w:pPr>
          </w:p>
        </w:tc>
      </w:tr>
      <w:tr w14:paraId="47355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5AFAEF68">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09C25003">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64A59C8">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2A9E6E56">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4716D53">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6ACC4193">
            <w:pPr>
              <w:jc w:val="center"/>
              <w:rPr>
                <w:rFonts w:hint="eastAsia" w:ascii="宋体" w:hAnsi="宋体" w:eastAsia="宋体" w:cs="宋体"/>
                <w:color w:val="auto"/>
                <w:sz w:val="22"/>
                <w:highlight w:val="none"/>
              </w:rPr>
            </w:pPr>
          </w:p>
        </w:tc>
      </w:tr>
      <w:tr w14:paraId="798A3A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212576D1">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305F86E2">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3B3A92A">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14:paraId="772ACC90">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5343FFC">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4" w:space="0"/>
              <w:right w:val="single" w:color="auto" w:sz="12" w:space="0"/>
            </w:tcBorders>
            <w:noWrap w:val="0"/>
            <w:vAlign w:val="center"/>
          </w:tcPr>
          <w:p w14:paraId="781828AC">
            <w:pPr>
              <w:jc w:val="center"/>
              <w:rPr>
                <w:rFonts w:hint="eastAsia" w:ascii="宋体" w:hAnsi="宋体" w:eastAsia="宋体" w:cs="宋体"/>
                <w:color w:val="auto"/>
                <w:sz w:val="22"/>
                <w:highlight w:val="none"/>
              </w:rPr>
            </w:pPr>
          </w:p>
        </w:tc>
      </w:tr>
      <w:tr w14:paraId="69A7E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42" w:type="dxa"/>
            <w:vMerge w:val="continue"/>
            <w:tcBorders>
              <w:top w:val="single" w:color="auto" w:sz="4" w:space="0"/>
              <w:left w:val="single" w:color="auto" w:sz="12" w:space="0"/>
              <w:bottom w:val="single" w:color="auto" w:sz="12" w:space="0"/>
              <w:right w:val="single" w:color="auto" w:sz="4" w:space="0"/>
            </w:tcBorders>
            <w:noWrap w:val="0"/>
            <w:vAlign w:val="center"/>
          </w:tcPr>
          <w:p w14:paraId="3F40E935">
            <w:pPr>
              <w:widowControl/>
              <w:jc w:val="left"/>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12" w:space="0"/>
              <w:right w:val="single" w:color="auto" w:sz="4" w:space="0"/>
            </w:tcBorders>
            <w:noWrap w:val="0"/>
            <w:vAlign w:val="center"/>
          </w:tcPr>
          <w:p w14:paraId="3B99CD1A">
            <w:pPr>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w:t>
            </w:r>
          </w:p>
        </w:tc>
        <w:tc>
          <w:tcPr>
            <w:tcW w:w="1542" w:type="dxa"/>
            <w:tcBorders>
              <w:top w:val="single" w:color="auto" w:sz="4" w:space="0"/>
              <w:left w:val="single" w:color="auto" w:sz="4" w:space="0"/>
              <w:bottom w:val="single" w:color="auto" w:sz="12" w:space="0"/>
              <w:right w:val="single" w:color="auto" w:sz="4" w:space="0"/>
            </w:tcBorders>
            <w:noWrap w:val="0"/>
            <w:vAlign w:val="center"/>
          </w:tcPr>
          <w:p w14:paraId="4EE740C4">
            <w:pPr>
              <w:jc w:val="center"/>
              <w:rPr>
                <w:rFonts w:hint="eastAsia" w:ascii="宋体" w:hAnsi="宋体" w:eastAsia="宋体" w:cs="宋体"/>
                <w:color w:val="auto"/>
                <w:sz w:val="22"/>
                <w:highlight w:val="none"/>
              </w:rPr>
            </w:pPr>
          </w:p>
        </w:tc>
        <w:tc>
          <w:tcPr>
            <w:tcW w:w="1544" w:type="dxa"/>
            <w:tcBorders>
              <w:top w:val="single" w:color="auto" w:sz="4" w:space="0"/>
              <w:left w:val="single" w:color="auto" w:sz="4" w:space="0"/>
              <w:bottom w:val="single" w:color="auto" w:sz="12" w:space="0"/>
              <w:right w:val="single" w:color="auto" w:sz="4" w:space="0"/>
            </w:tcBorders>
            <w:noWrap w:val="0"/>
            <w:vAlign w:val="center"/>
          </w:tcPr>
          <w:p w14:paraId="62599491">
            <w:pPr>
              <w:jc w:val="center"/>
              <w:rPr>
                <w:rFonts w:hint="eastAsia" w:ascii="宋体" w:hAnsi="宋体" w:eastAsia="宋体" w:cs="宋体"/>
                <w:color w:val="auto"/>
                <w:sz w:val="22"/>
                <w:highlight w:val="none"/>
              </w:rPr>
            </w:pPr>
          </w:p>
        </w:tc>
        <w:tc>
          <w:tcPr>
            <w:tcW w:w="1542" w:type="dxa"/>
            <w:tcBorders>
              <w:top w:val="single" w:color="auto" w:sz="4" w:space="0"/>
              <w:left w:val="single" w:color="auto" w:sz="4" w:space="0"/>
              <w:bottom w:val="single" w:color="auto" w:sz="12" w:space="0"/>
              <w:right w:val="single" w:color="auto" w:sz="4" w:space="0"/>
            </w:tcBorders>
            <w:noWrap w:val="0"/>
            <w:vAlign w:val="center"/>
          </w:tcPr>
          <w:p w14:paraId="337E1E63">
            <w:pPr>
              <w:jc w:val="center"/>
              <w:rPr>
                <w:rFonts w:hint="eastAsia" w:ascii="宋体" w:hAnsi="宋体" w:eastAsia="宋体" w:cs="宋体"/>
                <w:color w:val="auto"/>
                <w:sz w:val="22"/>
                <w:highlight w:val="none"/>
              </w:rPr>
            </w:pPr>
          </w:p>
        </w:tc>
        <w:tc>
          <w:tcPr>
            <w:tcW w:w="1545" w:type="dxa"/>
            <w:tcBorders>
              <w:top w:val="single" w:color="auto" w:sz="4" w:space="0"/>
              <w:left w:val="single" w:color="auto" w:sz="4" w:space="0"/>
              <w:bottom w:val="single" w:color="auto" w:sz="12" w:space="0"/>
              <w:right w:val="single" w:color="auto" w:sz="12" w:space="0"/>
            </w:tcBorders>
            <w:noWrap w:val="0"/>
            <w:vAlign w:val="center"/>
          </w:tcPr>
          <w:p w14:paraId="6F1349F4">
            <w:pPr>
              <w:jc w:val="center"/>
              <w:rPr>
                <w:rFonts w:hint="eastAsia" w:ascii="宋体" w:hAnsi="宋体" w:eastAsia="宋体" w:cs="宋体"/>
                <w:color w:val="auto"/>
                <w:sz w:val="22"/>
                <w:highlight w:val="none"/>
              </w:rPr>
            </w:pPr>
          </w:p>
        </w:tc>
      </w:tr>
    </w:tbl>
    <w:p w14:paraId="3887676C">
      <w:pPr>
        <w:spacing w:line="4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注：附营业执照副本、资质证书等有关扫描件。</w:t>
      </w:r>
    </w:p>
    <w:p w14:paraId="01FCAA3F">
      <w:pPr>
        <w:pStyle w:val="3"/>
        <w:spacing w:before="0" w:after="0" w:line="600" w:lineRule="exact"/>
        <w:jc w:val="center"/>
        <w:rPr>
          <w:rFonts w:hint="eastAsia" w:ascii="宋体" w:hAnsi="宋体" w:eastAsia="宋体" w:cs="宋体"/>
          <w:bCs w:val="0"/>
          <w:color w:val="auto"/>
          <w:highlight w:val="none"/>
        </w:rPr>
      </w:pPr>
      <w:bookmarkStart w:id="55" w:name="_Toc25553"/>
      <w:bookmarkStart w:id="56" w:name="_Toc34949246"/>
      <w:bookmarkStart w:id="57" w:name="_Toc35974579"/>
      <w:bookmarkStart w:id="58" w:name="_Toc35189581"/>
      <w:bookmarkStart w:id="59" w:name="_Toc35186960"/>
      <w:bookmarkStart w:id="60" w:name="_Toc77601159"/>
      <w:r>
        <w:rPr>
          <w:rFonts w:hint="eastAsia" w:ascii="宋体" w:hAnsi="宋体" w:eastAsia="宋体" w:cs="宋体"/>
          <w:bCs w:val="0"/>
          <w:color w:val="auto"/>
          <w:highlight w:val="none"/>
        </w:rPr>
        <w:t>（3）资格条件承诺函</w:t>
      </w:r>
      <w:bookmarkEnd w:id="55"/>
      <w:bookmarkEnd w:id="56"/>
      <w:bookmarkEnd w:id="57"/>
      <w:bookmarkEnd w:id="58"/>
      <w:bookmarkEnd w:id="59"/>
      <w:bookmarkEnd w:id="60"/>
    </w:p>
    <w:p w14:paraId="1054DCDE">
      <w:pPr>
        <w:spacing w:line="600" w:lineRule="exact"/>
        <w:ind w:right="-153" w:rightChars="-73"/>
        <w:jc w:val="center"/>
        <w:rPr>
          <w:rFonts w:hint="eastAsia" w:ascii="宋体" w:hAnsi="宋体" w:eastAsia="宋体" w:cs="宋体"/>
          <w:b/>
          <w:bCs/>
          <w:color w:val="auto"/>
          <w:sz w:val="32"/>
          <w:szCs w:val="32"/>
          <w:highlight w:val="none"/>
        </w:rPr>
      </w:pPr>
    </w:p>
    <w:p w14:paraId="105D0E45">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温州市综合行政执法局</w:t>
      </w:r>
    </w:p>
    <w:p w14:paraId="72D443B2">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浙江铭洋项目管理咨询有限公司</w:t>
      </w:r>
      <w:r>
        <w:rPr>
          <w:rFonts w:hint="eastAsia" w:ascii="宋体" w:hAnsi="宋体" w:eastAsia="宋体" w:cs="宋体"/>
          <w:color w:val="auto"/>
          <w:sz w:val="24"/>
          <w:highlight w:val="none"/>
        </w:rPr>
        <w:t>：</w:t>
      </w:r>
    </w:p>
    <w:p w14:paraId="29FB0377">
      <w:pPr>
        <w:widowControl/>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我方（联合体）参与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（采购项目名称、编号）投标，现郑重承诺：</w:t>
      </w:r>
    </w:p>
    <w:p w14:paraId="20E5C97F">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1、我方（包括联合体各方）符合《中华人民共和国政府采购法》第22条规定的资格条件，即：</w:t>
      </w:r>
    </w:p>
    <w:p w14:paraId="4CC9D23F">
      <w:pPr>
        <w:widowControl/>
        <w:snapToGrid w:val="0"/>
        <w:spacing w:line="440" w:lineRule="exact"/>
        <w:ind w:left="420" w:left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（1）我方具有独立承担民事责任的能力；</w:t>
      </w:r>
    </w:p>
    <w:p w14:paraId="34B939B0">
      <w:pPr>
        <w:widowControl/>
        <w:snapToGrid w:val="0"/>
        <w:spacing w:line="440" w:lineRule="exact"/>
        <w:ind w:left="420" w:left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（2）我方具有良好的商业信誉和健全的财务会计制度；</w:t>
      </w:r>
    </w:p>
    <w:p w14:paraId="4B34201E">
      <w:pPr>
        <w:widowControl/>
        <w:snapToGrid w:val="0"/>
        <w:spacing w:line="440" w:lineRule="exact"/>
        <w:ind w:left="420" w:left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（3）我方具有履行合同所必需的设备和专业技术能力；</w:t>
      </w:r>
    </w:p>
    <w:p w14:paraId="3ADD8426">
      <w:pPr>
        <w:widowControl/>
        <w:snapToGrid w:val="0"/>
        <w:spacing w:line="440" w:lineRule="exact"/>
        <w:ind w:left="420" w:left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（4）我方有依法缴纳税收和社会保障资金的良好记录；</w:t>
      </w:r>
    </w:p>
    <w:p w14:paraId="4E1A5C70">
      <w:pPr>
        <w:widowControl/>
        <w:snapToGrid w:val="0"/>
        <w:spacing w:line="440" w:lineRule="exact"/>
        <w:ind w:left="1020" w:leftChars="200" w:hanging="600" w:hangingChars="2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323DF19">
      <w:pPr>
        <w:widowControl/>
        <w:spacing w:line="440" w:lineRule="exact"/>
        <w:ind w:left="283" w:hanging="283" w:hangingChars="118"/>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2、到本项目投标截止时间为止，我方</w:t>
      </w:r>
      <w:r>
        <w:rPr>
          <w:rFonts w:hint="eastAsia" w:ascii="宋体" w:hAnsi="宋体" w:eastAsia="宋体" w:cs="宋体"/>
          <w:color w:val="auto"/>
          <w:sz w:val="24"/>
          <w:highlight w:val="none"/>
        </w:rPr>
        <w:t>（包括联合体各方）</w:t>
      </w:r>
      <w:r>
        <w:rPr>
          <w:rFonts w:hint="eastAsia" w:ascii="宋体" w:hAnsi="宋体" w:eastAsia="宋体" w:cs="宋体"/>
          <w:color w:val="auto"/>
          <w:kern w:val="0"/>
          <w:sz w:val="24"/>
          <w:highlight w:val="none"/>
        </w:rPr>
        <w:t>未被“信用中国（www.creditchina.gov.cn）、 中国政府采购网（www.ccgp.gov.cn）列入失信被执行人名单、重大税收违法案件当事人名单、政府采购严重违法失信行为记录名单。</w:t>
      </w:r>
    </w:p>
    <w:p w14:paraId="78C73051">
      <w:pPr>
        <w:widowControl/>
        <w:snapToGrid w:val="0"/>
        <w:spacing w:line="440" w:lineRule="exact"/>
        <w:ind w:firstLine="480" w:firstLineChars="200"/>
        <w:jc w:val="left"/>
        <w:rPr>
          <w:rFonts w:hint="eastAsia" w:ascii="宋体" w:hAnsi="宋体" w:eastAsia="宋体" w:cs="宋体"/>
          <w:color w:val="auto"/>
          <w:kern w:val="0"/>
          <w:sz w:val="24"/>
          <w:highlight w:val="none"/>
        </w:rPr>
      </w:pPr>
    </w:p>
    <w:p w14:paraId="57F699BB">
      <w:pPr>
        <w:widowControl/>
        <w:snapToGrid w:val="0"/>
        <w:spacing w:line="440" w:lineRule="exact"/>
        <w:ind w:left="210" w:left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以上承诺如有虚假，</w:t>
      </w:r>
      <w:r>
        <w:rPr>
          <w:rFonts w:hint="eastAsia" w:ascii="宋体" w:hAnsi="宋体" w:eastAsia="宋体" w:cs="宋体"/>
          <w:color w:val="auto"/>
          <w:sz w:val="24"/>
          <w:highlight w:val="none"/>
        </w:rPr>
        <w:t>愿接受取消</w:t>
      </w:r>
      <w:r>
        <w:rPr>
          <w:rFonts w:hint="eastAsia" w:ascii="宋体" w:hAnsi="宋体" w:eastAsia="宋体" w:cs="宋体"/>
          <w:color w:val="auto"/>
          <w:kern w:val="0"/>
          <w:sz w:val="24"/>
          <w:highlight w:val="none"/>
        </w:rPr>
        <w:t>我方</w:t>
      </w:r>
      <w:r>
        <w:rPr>
          <w:rFonts w:hint="eastAsia" w:ascii="宋体" w:hAnsi="宋体" w:eastAsia="宋体" w:cs="宋体"/>
          <w:color w:val="auto"/>
          <w:sz w:val="24"/>
          <w:highlight w:val="none"/>
        </w:rPr>
        <w:t>（联合体）</w:t>
      </w:r>
      <w:r>
        <w:rPr>
          <w:rFonts w:hint="eastAsia" w:ascii="宋体" w:hAnsi="宋体" w:eastAsia="宋体" w:cs="宋体"/>
          <w:color w:val="auto"/>
          <w:kern w:val="0"/>
          <w:sz w:val="24"/>
          <w:highlight w:val="none"/>
        </w:rPr>
        <w:t>任何资格（投标/中标/签订合同）</w:t>
      </w:r>
      <w:r>
        <w:rPr>
          <w:rFonts w:hint="eastAsia" w:ascii="宋体" w:hAnsi="宋体" w:eastAsia="宋体" w:cs="宋体"/>
          <w:color w:val="auto"/>
          <w:sz w:val="24"/>
          <w:highlight w:val="none"/>
        </w:rPr>
        <w:t>及其他任何形式的处理。</w:t>
      </w:r>
    </w:p>
    <w:p w14:paraId="2E008A58">
      <w:pPr>
        <w:widowControl/>
        <w:snapToGrid w:val="0"/>
        <w:spacing w:line="440" w:lineRule="exact"/>
        <w:ind w:firstLine="480" w:firstLineChars="200"/>
        <w:jc w:val="left"/>
        <w:rPr>
          <w:rFonts w:hint="eastAsia" w:ascii="宋体" w:hAnsi="宋体" w:eastAsia="宋体" w:cs="宋体"/>
          <w:color w:val="auto"/>
          <w:kern w:val="0"/>
          <w:sz w:val="24"/>
          <w:highlight w:val="none"/>
        </w:rPr>
      </w:pPr>
    </w:p>
    <w:p w14:paraId="54E59DBA">
      <w:pPr>
        <w:pStyle w:val="9"/>
        <w:spacing w:line="600" w:lineRule="exact"/>
        <w:ind w:firstLine="5244" w:firstLineChars="21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投标供应商名称（盖章）：</w:t>
      </w:r>
    </w:p>
    <w:p w14:paraId="44FFC4DC">
      <w:pPr>
        <w:pStyle w:val="9"/>
        <w:spacing w:line="600" w:lineRule="exact"/>
        <w:ind w:left="4605" w:leftChars="2193"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投标供应商代表（签字）：</w:t>
      </w:r>
    </w:p>
    <w:p w14:paraId="7C588868">
      <w:pPr>
        <w:pStyle w:val="9"/>
        <w:spacing w:line="600" w:lineRule="exact"/>
        <w:ind w:left="4605" w:leftChars="2193"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14:paraId="46F3BAD3">
      <w:pPr>
        <w:spacing w:line="380" w:lineRule="exact"/>
        <w:ind w:left="-358" w:leftChars="-171" w:hanging="1"/>
        <w:jc w:val="center"/>
        <w:rPr>
          <w:rFonts w:hint="eastAsia" w:ascii="宋体" w:hAnsi="宋体" w:eastAsia="宋体" w:cs="宋体"/>
          <w:bCs/>
          <w:color w:val="auto"/>
          <w:sz w:val="22"/>
          <w:szCs w:val="22"/>
          <w:highlight w:val="none"/>
        </w:rPr>
      </w:pPr>
    </w:p>
    <w:p w14:paraId="72B5E280">
      <w:pPr>
        <w:spacing w:line="380" w:lineRule="exact"/>
        <w:ind w:left="-358" w:leftChars="-171" w:hanging="1"/>
        <w:jc w:val="center"/>
        <w:rPr>
          <w:rFonts w:hint="eastAsia" w:ascii="宋体" w:hAnsi="宋体" w:eastAsia="宋体" w:cs="宋体"/>
          <w:bCs/>
          <w:color w:val="auto"/>
          <w:sz w:val="22"/>
          <w:szCs w:val="22"/>
          <w:highlight w:val="none"/>
        </w:rPr>
      </w:pPr>
    </w:p>
    <w:p w14:paraId="4412AA10">
      <w:pPr>
        <w:spacing w:line="380" w:lineRule="exact"/>
        <w:ind w:left="-358" w:leftChars="-171" w:hanging="1"/>
        <w:jc w:val="center"/>
        <w:rPr>
          <w:rFonts w:hint="eastAsia" w:ascii="宋体" w:hAnsi="宋体" w:eastAsia="宋体" w:cs="宋体"/>
          <w:bCs/>
          <w:color w:val="auto"/>
          <w:sz w:val="22"/>
          <w:szCs w:val="22"/>
          <w:highlight w:val="none"/>
        </w:rPr>
      </w:pPr>
    </w:p>
    <w:p w14:paraId="249B1CC9">
      <w:pPr>
        <w:spacing w:line="380" w:lineRule="exact"/>
        <w:ind w:left="-358" w:leftChars="-171" w:hanging="1"/>
        <w:jc w:val="center"/>
        <w:rPr>
          <w:rFonts w:hint="eastAsia" w:ascii="宋体" w:hAnsi="宋体" w:eastAsia="宋体" w:cs="宋体"/>
          <w:bCs/>
          <w:color w:val="auto"/>
          <w:sz w:val="22"/>
          <w:szCs w:val="22"/>
          <w:highlight w:val="none"/>
        </w:rPr>
      </w:pPr>
    </w:p>
    <w:p w14:paraId="34515204">
      <w:pPr>
        <w:pStyle w:val="5"/>
        <w:ind w:left="440" w:hanging="440"/>
        <w:rPr>
          <w:rFonts w:hint="eastAsia" w:ascii="宋体" w:hAnsi="宋体" w:eastAsia="宋体" w:cs="宋体"/>
          <w:bCs/>
          <w:color w:val="auto"/>
          <w:sz w:val="22"/>
          <w:szCs w:val="22"/>
          <w:highlight w:val="none"/>
        </w:rPr>
      </w:pPr>
    </w:p>
    <w:p w14:paraId="6AF76007">
      <w:pPr>
        <w:rPr>
          <w:rFonts w:hint="eastAsia" w:ascii="宋体" w:hAnsi="宋体" w:eastAsia="宋体" w:cs="宋体"/>
          <w:color w:val="auto"/>
          <w:highlight w:val="none"/>
        </w:rPr>
      </w:pPr>
    </w:p>
    <w:p w14:paraId="44C21701">
      <w:pPr>
        <w:spacing w:line="380" w:lineRule="exact"/>
        <w:ind w:left="-358" w:leftChars="-171" w:hanging="1"/>
        <w:jc w:val="center"/>
        <w:rPr>
          <w:rFonts w:hint="eastAsia" w:ascii="宋体" w:hAnsi="宋体" w:eastAsia="宋体" w:cs="宋体"/>
          <w:bCs/>
          <w:color w:val="auto"/>
          <w:sz w:val="22"/>
          <w:szCs w:val="22"/>
          <w:highlight w:val="none"/>
        </w:rPr>
      </w:pPr>
    </w:p>
    <w:p w14:paraId="189AB598">
      <w:pPr>
        <w:pStyle w:val="3"/>
        <w:spacing w:before="0" w:after="0" w:line="600" w:lineRule="exact"/>
        <w:jc w:val="center"/>
        <w:rPr>
          <w:rFonts w:hint="eastAsia" w:ascii="宋体" w:hAnsi="宋体" w:eastAsia="宋体" w:cs="宋体"/>
          <w:color w:val="auto"/>
          <w:kern w:val="0"/>
          <w:highlight w:val="none"/>
        </w:rPr>
      </w:pPr>
      <w:bookmarkStart w:id="61" w:name="_Toc63254481"/>
      <w:bookmarkStart w:id="62" w:name="_Toc29046"/>
      <w:bookmarkStart w:id="63" w:name="_Toc63075135"/>
      <w:bookmarkStart w:id="64" w:name="_Toc58178798"/>
      <w:bookmarkStart w:id="65" w:name="_Toc14578"/>
      <w:bookmarkStart w:id="66" w:name="_Toc71880833"/>
      <w:bookmarkStart w:id="67" w:name="_Toc61855738"/>
      <w:bookmarkStart w:id="68" w:name="_Toc105020544"/>
      <w:bookmarkStart w:id="69" w:name="_Toc11952"/>
      <w:bookmarkStart w:id="70" w:name="_Toc35189583"/>
      <w:bookmarkStart w:id="71" w:name="_Toc35974581"/>
      <w:bookmarkStart w:id="72" w:name="_Toc35186962"/>
      <w:r>
        <w:rPr>
          <w:rFonts w:hint="eastAsia" w:ascii="宋体" w:hAnsi="宋体" w:eastAsia="宋体" w:cs="宋体"/>
          <w:color w:val="auto"/>
          <w:kern w:val="0"/>
          <w:highlight w:val="none"/>
        </w:rPr>
        <w:t>（4）中小企业声明函</w:t>
      </w:r>
      <w:bookmarkEnd w:id="61"/>
      <w:bookmarkEnd w:id="62"/>
      <w:bookmarkEnd w:id="63"/>
      <w:bookmarkEnd w:id="64"/>
      <w:bookmarkEnd w:id="65"/>
      <w:bookmarkEnd w:id="66"/>
      <w:bookmarkEnd w:id="67"/>
      <w:bookmarkEnd w:id="68"/>
      <w:bookmarkEnd w:id="69"/>
    </w:p>
    <w:p w14:paraId="3EC431A0">
      <w:pPr>
        <w:widowControl/>
        <w:adjustRightInd w:val="0"/>
        <w:snapToGrid w:val="0"/>
        <w:spacing w:line="324" w:lineRule="auto"/>
        <w:ind w:right="-227" w:rightChars="-108"/>
        <w:jc w:val="center"/>
        <w:rPr>
          <w:rFonts w:hint="eastAsia" w:ascii="宋体" w:hAnsi="宋体" w:eastAsia="宋体" w:cs="宋体"/>
          <w:b/>
          <w:color w:val="auto"/>
          <w:kern w:val="0"/>
          <w:sz w:val="28"/>
          <w:szCs w:val="28"/>
          <w:highlight w:val="none"/>
        </w:rPr>
      </w:pPr>
    </w:p>
    <w:p w14:paraId="04B4AEDC">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本公司郑重声明，根据《政府采购促进中小企业发展管理办法》（财库[2020]46号）的规定，本公司参加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4"/>
          <w:highlight w:val="none"/>
          <w:u w:val="single"/>
        </w:rPr>
        <w:t>（填写采购单位名称）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w:t>
      </w:r>
      <w:r>
        <w:rPr>
          <w:rFonts w:hint="eastAsia" w:ascii="宋体" w:hAnsi="宋体" w:eastAsia="宋体" w:cs="宋体"/>
          <w:color w:val="auto"/>
          <w:sz w:val="24"/>
          <w:highlight w:val="none"/>
          <w:u w:val="single"/>
        </w:rPr>
        <w:t xml:space="preserve">   （填写项目名称）   </w:t>
      </w:r>
      <w:r>
        <w:rPr>
          <w:rFonts w:hint="eastAsia" w:ascii="宋体" w:hAnsi="宋体" w:eastAsia="宋体" w:cs="宋体"/>
          <w:color w:val="auto"/>
          <w:sz w:val="24"/>
          <w:highlight w:val="none"/>
        </w:rPr>
        <w:t>项目采购活动，服务全部由符合政策要求的中小企业承接。相关企业的具体情况如下：</w:t>
      </w:r>
    </w:p>
    <w:p w14:paraId="6EA91FF7">
      <w:pPr>
        <w:numPr>
          <w:ilvl w:val="0"/>
          <w:numId w:val="15"/>
        </w:num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（填写项目名称）    项目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其他未列明行业</w:t>
      </w:r>
      <w:r>
        <w:rPr>
          <w:rFonts w:hint="eastAsia" w:ascii="宋体" w:hAnsi="宋体" w:eastAsia="宋体" w:cs="宋体"/>
          <w:color w:val="auto"/>
          <w:sz w:val="24"/>
          <w:highlight w:val="none"/>
        </w:rPr>
        <w:t>，承接企业为</w:t>
      </w:r>
      <w:r>
        <w:rPr>
          <w:rFonts w:hint="eastAsia" w:ascii="宋体" w:hAnsi="宋体" w:eastAsia="宋体" w:cs="宋体"/>
          <w:color w:val="auto"/>
          <w:sz w:val="24"/>
          <w:highlight w:val="none"/>
          <w:u w:val="single"/>
        </w:rPr>
        <w:t xml:space="preserve">      （填写企业名称）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(填写中型企业或小型企业或微型企业) </w:t>
      </w:r>
      <w:r>
        <w:rPr>
          <w:rFonts w:hint="eastAsia" w:ascii="宋体" w:hAnsi="宋体" w:eastAsia="宋体" w:cs="宋体"/>
          <w:color w:val="auto"/>
          <w:sz w:val="24"/>
          <w:highlight w:val="none"/>
        </w:rPr>
        <w:t xml:space="preserve"> ；</w:t>
      </w:r>
    </w:p>
    <w:p w14:paraId="6EDCEF68">
      <w:pPr>
        <w:pStyle w:val="5"/>
        <w:ind w:left="-420" w:leftChars="-200" w:firstLine="0" w:firstLineChars="0"/>
        <w:rPr>
          <w:rFonts w:hint="eastAsia" w:ascii="宋体" w:hAnsi="宋体" w:eastAsia="宋体" w:cs="宋体"/>
          <w:color w:val="auto"/>
          <w:highlight w:val="none"/>
        </w:rPr>
      </w:pPr>
    </w:p>
    <w:p w14:paraId="26E30293">
      <w:pPr>
        <w:snapToGrid w:val="0"/>
        <w:spacing w:line="600" w:lineRule="exact"/>
        <w:ind w:left="36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14:paraId="031E66F5">
      <w:pPr>
        <w:snapToGrid w:val="0"/>
        <w:spacing w:line="600" w:lineRule="exact"/>
        <w:ind w:left="36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14:paraId="6DB3566C">
      <w:pPr>
        <w:widowControl/>
        <w:adjustRightInd w:val="0"/>
        <w:snapToGrid w:val="0"/>
        <w:spacing w:line="600" w:lineRule="exact"/>
        <w:ind w:firstLine="3600" w:firstLineChars="1500"/>
        <w:jc w:val="left"/>
        <w:rPr>
          <w:rFonts w:hint="eastAsia" w:ascii="宋体" w:hAnsi="宋体" w:eastAsia="宋体" w:cs="宋体"/>
          <w:color w:val="auto"/>
          <w:sz w:val="24"/>
          <w:highlight w:val="none"/>
        </w:rPr>
      </w:pPr>
    </w:p>
    <w:p w14:paraId="647F7381">
      <w:pPr>
        <w:widowControl/>
        <w:adjustRightInd w:val="0"/>
        <w:snapToGrid w:val="0"/>
        <w:spacing w:line="600" w:lineRule="exact"/>
        <w:ind w:firstLine="3600" w:firstLineChars="1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14:paraId="7C596DF0">
      <w:pPr>
        <w:widowControl/>
        <w:adjustRightInd w:val="0"/>
        <w:snapToGrid w:val="0"/>
        <w:spacing w:line="600" w:lineRule="exact"/>
        <w:ind w:firstLine="3600" w:firstLineChars="15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62B48BC">
      <w:pPr>
        <w:pStyle w:val="5"/>
        <w:rPr>
          <w:rFonts w:hint="eastAsia" w:ascii="宋体" w:hAnsi="宋体" w:eastAsia="宋体" w:cs="宋体"/>
          <w:color w:val="auto"/>
          <w:highlight w:val="none"/>
        </w:rPr>
      </w:pPr>
    </w:p>
    <w:p w14:paraId="5DF96615">
      <w:pPr>
        <w:widowControl/>
        <w:pBdr>
          <w:bottom w:val="single" w:color="auto" w:sz="6" w:space="1"/>
        </w:pBdr>
        <w:adjustRightInd w:val="0"/>
        <w:snapToGrid w:val="0"/>
        <w:spacing w:line="324" w:lineRule="auto"/>
        <w:jc w:val="left"/>
        <w:rPr>
          <w:rFonts w:hint="eastAsia" w:ascii="宋体" w:hAnsi="宋体" w:eastAsia="宋体" w:cs="宋体"/>
          <w:color w:val="auto"/>
          <w:kern w:val="0"/>
          <w:szCs w:val="21"/>
          <w:highlight w:val="none"/>
        </w:rPr>
      </w:pPr>
    </w:p>
    <w:p w14:paraId="6654437F">
      <w:pPr>
        <w:pStyle w:val="5"/>
        <w:rPr>
          <w:rFonts w:hint="eastAsia" w:ascii="宋体" w:hAnsi="宋体" w:eastAsia="宋体" w:cs="宋体"/>
          <w:color w:val="auto"/>
          <w:highlight w:val="none"/>
        </w:rPr>
      </w:pPr>
    </w:p>
    <w:p w14:paraId="7A62E425">
      <w:pPr>
        <w:widowControl/>
        <w:tabs>
          <w:tab w:val="left" w:pos="142"/>
        </w:tabs>
        <w:adjustRightInd w:val="0"/>
        <w:snapToGrid w:val="0"/>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相关说明及要求：</w:t>
      </w:r>
    </w:p>
    <w:p w14:paraId="3A939AA6">
      <w:pPr>
        <w:widowControl/>
        <w:numPr>
          <w:ilvl w:val="0"/>
          <w:numId w:val="16"/>
        </w:numPr>
        <w:tabs>
          <w:tab w:val="left" w:pos="142"/>
        </w:tabs>
        <w:adjustRightInd w:val="0"/>
        <w:snapToGrid w:val="0"/>
        <w:spacing w:line="360" w:lineRule="exact"/>
        <w:ind w:left="444" w:hanging="444" w:hanging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从业人员、营业收入、资产总额填报上一年度数据，无上一年度数据的新成立企业可不填报。填报的从业人员、营业收入、资产总额数据应符合供应商自我声明的中型、小型、微型企业国家划分标准，如不符合，按无效声明处理。</w:t>
      </w:r>
    </w:p>
    <w:p w14:paraId="72BB72AA">
      <w:pPr>
        <w:widowControl/>
        <w:numPr>
          <w:ilvl w:val="0"/>
          <w:numId w:val="16"/>
        </w:numPr>
        <w:tabs>
          <w:tab w:val="left" w:pos="142"/>
        </w:tabs>
        <w:adjustRightInd w:val="0"/>
        <w:snapToGrid w:val="0"/>
        <w:spacing w:line="360" w:lineRule="exact"/>
        <w:ind w:left="444" w:hanging="444" w:hanging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中小微企业标准：符合</w:t>
      </w:r>
      <w:r>
        <w:rPr>
          <w:rFonts w:hint="eastAsia" w:ascii="宋体" w:hAnsi="宋体" w:eastAsia="宋体" w:cs="宋体"/>
          <w:color w:val="auto"/>
          <w:sz w:val="22"/>
          <w:szCs w:val="22"/>
          <w:highlight w:val="none"/>
        </w:rPr>
        <w:t>《工业和信息化部、国家统计局、国家发展和改革委员会、财政部关于印发中小企业划型标准规定的通知》（工信部联企业〔2011〕300号）规定的划分标准</w:t>
      </w:r>
      <w:r>
        <w:rPr>
          <w:rFonts w:hint="eastAsia" w:ascii="宋体" w:hAnsi="宋体" w:eastAsia="宋体" w:cs="宋体"/>
          <w:color w:val="auto"/>
          <w:kern w:val="0"/>
          <w:sz w:val="22"/>
          <w:szCs w:val="22"/>
          <w:highlight w:val="none"/>
        </w:rPr>
        <w:t>。</w:t>
      </w:r>
    </w:p>
    <w:p w14:paraId="3D08E1E9">
      <w:pPr>
        <w:widowControl/>
        <w:numPr>
          <w:ilvl w:val="0"/>
          <w:numId w:val="16"/>
        </w:numPr>
        <w:tabs>
          <w:tab w:val="left" w:pos="142"/>
        </w:tabs>
        <w:adjustRightInd w:val="0"/>
        <w:snapToGrid w:val="0"/>
        <w:spacing w:line="360" w:lineRule="exact"/>
        <w:ind w:left="444" w:hanging="444" w:hanging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请投标供应商按本表规定格式及要求填写并加盖单位公章，否则按无效声明处理。</w:t>
      </w:r>
    </w:p>
    <w:p w14:paraId="60A11D3B">
      <w:pPr>
        <w:widowControl/>
        <w:numPr>
          <w:ilvl w:val="0"/>
          <w:numId w:val="16"/>
        </w:numPr>
        <w:tabs>
          <w:tab w:val="left" w:pos="142"/>
        </w:tabs>
        <w:adjustRightInd w:val="0"/>
        <w:snapToGrid w:val="0"/>
        <w:spacing w:line="360" w:lineRule="exact"/>
        <w:ind w:left="444" w:hanging="444" w:hanging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投标供应商应当对其出具的《中小企业声明函》真实性负责，出具的《中小企业声明函》内容不实的，属于提供虚假材料谋取中标，依照《政府采购法》等国家有关规定追究相应责任。</w:t>
      </w:r>
    </w:p>
    <w:p w14:paraId="65F2C48B">
      <w:pPr>
        <w:widowControl/>
        <w:numPr>
          <w:ilvl w:val="0"/>
          <w:numId w:val="16"/>
        </w:numPr>
        <w:tabs>
          <w:tab w:val="left" w:pos="142"/>
        </w:tabs>
        <w:adjustRightInd w:val="0"/>
        <w:snapToGrid w:val="0"/>
        <w:spacing w:line="400" w:lineRule="exact"/>
        <w:ind w:left="444" w:hanging="444" w:hangingChars="202"/>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2"/>
          <w:szCs w:val="22"/>
          <w:highlight w:val="none"/>
        </w:rPr>
        <w:t>享受扶持政策获得政府采购合同的，小微企业不得将合同分包给大中型企业，中型企业不得将合同分包给大型企业。</w:t>
      </w:r>
    </w:p>
    <w:p w14:paraId="11A8301E">
      <w:pPr>
        <w:pStyle w:val="5"/>
        <w:rPr>
          <w:rFonts w:hint="eastAsia" w:ascii="宋体" w:hAnsi="宋体" w:eastAsia="宋体" w:cs="宋体"/>
          <w:color w:val="auto"/>
          <w:highlight w:val="none"/>
        </w:rPr>
      </w:pPr>
    </w:p>
    <w:p w14:paraId="43131D5A">
      <w:pPr>
        <w:widowControl/>
        <w:adjustRightInd w:val="0"/>
        <w:snapToGrid w:val="0"/>
        <w:spacing w:line="324" w:lineRule="auto"/>
        <w:rPr>
          <w:rFonts w:hint="eastAsia" w:ascii="宋体" w:hAnsi="宋体" w:eastAsia="宋体" w:cs="宋体"/>
          <w:b/>
          <w:color w:val="auto"/>
          <w:kern w:val="0"/>
          <w:sz w:val="28"/>
          <w:szCs w:val="28"/>
          <w:highlight w:val="none"/>
        </w:rPr>
      </w:pPr>
    </w:p>
    <w:p w14:paraId="5133914E">
      <w:pPr>
        <w:pStyle w:val="3"/>
        <w:spacing w:before="0" w:after="0" w:line="600" w:lineRule="exact"/>
        <w:jc w:val="center"/>
        <w:rPr>
          <w:rFonts w:hint="eastAsia" w:ascii="宋体" w:hAnsi="宋体" w:eastAsia="宋体" w:cs="宋体"/>
          <w:b w:val="0"/>
          <w:color w:val="auto"/>
          <w:kern w:val="0"/>
          <w:highlight w:val="none"/>
        </w:rPr>
      </w:pPr>
      <w:bookmarkStart w:id="73" w:name="_Toc7136"/>
      <w:r>
        <w:rPr>
          <w:rFonts w:hint="eastAsia" w:ascii="宋体" w:hAnsi="宋体" w:eastAsia="宋体" w:cs="宋体"/>
          <w:b w:val="0"/>
          <w:color w:val="auto"/>
          <w:kern w:val="0"/>
          <w:highlight w:val="none"/>
        </w:rPr>
        <w:t>（5）残疾人福利性单位声明函</w:t>
      </w:r>
      <w:bookmarkEnd w:id="70"/>
      <w:bookmarkEnd w:id="71"/>
      <w:bookmarkEnd w:id="72"/>
      <w:bookmarkEnd w:id="73"/>
    </w:p>
    <w:p w14:paraId="2D7B5BEC">
      <w:pPr>
        <w:spacing w:line="588" w:lineRule="exact"/>
        <w:rPr>
          <w:rFonts w:hint="eastAsia" w:ascii="宋体" w:hAnsi="宋体" w:eastAsia="宋体" w:cs="宋体"/>
          <w:b/>
          <w:color w:val="auto"/>
          <w:spacing w:val="6"/>
          <w:sz w:val="30"/>
          <w:szCs w:val="30"/>
          <w:highlight w:val="none"/>
        </w:rPr>
      </w:pPr>
    </w:p>
    <w:p w14:paraId="74D901F9">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单位的</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项目（编号：</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pacing w:val="6"/>
          <w:sz w:val="24"/>
          <w:highlight w:val="none"/>
        </w:rPr>
        <w:t>）采购活动提供本单位制造的货物</w:t>
      </w:r>
      <w:r>
        <w:rPr>
          <w:rFonts w:hint="eastAsia" w:ascii="宋体" w:hAnsi="宋体" w:eastAsia="宋体" w:cs="宋体"/>
          <w:color w:val="auto"/>
          <w:sz w:val="24"/>
          <w:highlight w:val="none"/>
          <w:shd w:val="clear" w:color="auto" w:fill="FFFFFF"/>
        </w:rPr>
        <w:t>（由本单位承担工程/提供服务）</w:t>
      </w:r>
      <w:r>
        <w:rPr>
          <w:rFonts w:hint="eastAsia" w:ascii="宋体" w:hAnsi="宋体" w:eastAsia="宋体" w:cs="宋体"/>
          <w:color w:val="auto"/>
          <w:spacing w:val="6"/>
          <w:sz w:val="24"/>
          <w:highlight w:val="none"/>
        </w:rPr>
        <w:t>，或者提供其他残疾人福利性单位制造的货物（不包括使用非残疾人福利性单位注册商标的货物）。</w:t>
      </w:r>
    </w:p>
    <w:p w14:paraId="5FC4A81D">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334E763D">
      <w:pPr>
        <w:spacing w:line="588" w:lineRule="exact"/>
        <w:ind w:firstLine="504" w:firstLineChars="200"/>
        <w:rPr>
          <w:rFonts w:hint="eastAsia" w:ascii="宋体" w:hAnsi="宋体" w:eastAsia="宋体" w:cs="宋体"/>
          <w:color w:val="auto"/>
          <w:spacing w:val="6"/>
          <w:sz w:val="24"/>
          <w:highlight w:val="none"/>
        </w:rPr>
      </w:pPr>
    </w:p>
    <w:p w14:paraId="7784A073">
      <w:pPr>
        <w:spacing w:line="588" w:lineRule="exact"/>
        <w:ind w:firstLine="504" w:firstLineChars="200"/>
        <w:rPr>
          <w:rFonts w:hint="eastAsia" w:ascii="宋体" w:hAnsi="宋体" w:eastAsia="宋体" w:cs="宋体"/>
          <w:color w:val="auto"/>
          <w:spacing w:val="6"/>
          <w:sz w:val="24"/>
          <w:highlight w:val="none"/>
        </w:rPr>
      </w:pPr>
    </w:p>
    <w:p w14:paraId="08F16644">
      <w:pPr>
        <w:tabs>
          <w:tab w:val="left" w:pos="4860"/>
        </w:tabs>
        <w:spacing w:line="600"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z w:val="24"/>
          <w:highlight w:val="none"/>
        </w:rPr>
        <w:t>投标供应商名称（盖章）</w:t>
      </w:r>
      <w:r>
        <w:rPr>
          <w:rFonts w:hint="eastAsia" w:ascii="宋体" w:hAnsi="宋体" w:eastAsia="宋体" w:cs="宋体"/>
          <w:color w:val="auto"/>
          <w:spacing w:val="6"/>
          <w:sz w:val="24"/>
          <w:highlight w:val="none"/>
        </w:rPr>
        <w:t>：</w:t>
      </w:r>
    </w:p>
    <w:p w14:paraId="12AEFAB6">
      <w:pPr>
        <w:tabs>
          <w:tab w:val="left" w:pos="4678"/>
        </w:tabs>
        <w:spacing w:line="600" w:lineRule="exact"/>
        <w:ind w:right="1560" w:firstLine="480"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 xml:space="preserve">                                   投标供应商代表（签字）：</w:t>
      </w:r>
    </w:p>
    <w:p w14:paraId="076F05DC">
      <w:pPr>
        <w:widowControl/>
        <w:adjustRightInd w:val="0"/>
        <w:snapToGrid w:val="0"/>
        <w:spacing w:line="600" w:lineRule="exact"/>
        <w:jc w:val="left"/>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 xml:space="preserve">                                     日  期：</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4"/>
          <w:highlight w:val="none"/>
        </w:rPr>
        <w:t xml:space="preserve">   年  月  日</w:t>
      </w:r>
    </w:p>
    <w:p w14:paraId="062FAED3">
      <w:pPr>
        <w:spacing w:line="440" w:lineRule="exact"/>
        <w:rPr>
          <w:rFonts w:hint="eastAsia" w:ascii="宋体" w:hAnsi="宋体" w:eastAsia="宋体" w:cs="宋体"/>
          <w:b/>
          <w:color w:val="auto"/>
          <w:sz w:val="22"/>
          <w:highlight w:val="none"/>
        </w:rPr>
      </w:pPr>
    </w:p>
    <w:p w14:paraId="2792E90A">
      <w:pPr>
        <w:spacing w:line="380" w:lineRule="exact"/>
        <w:ind w:left="-358" w:leftChars="-171" w:hanging="1"/>
        <w:jc w:val="center"/>
        <w:rPr>
          <w:rFonts w:hint="eastAsia" w:ascii="宋体" w:hAnsi="宋体" w:eastAsia="宋体" w:cs="宋体"/>
          <w:bCs/>
          <w:color w:val="auto"/>
          <w:sz w:val="22"/>
          <w:szCs w:val="22"/>
          <w:highlight w:val="none"/>
        </w:rPr>
      </w:pPr>
    </w:p>
    <w:p w14:paraId="78314443">
      <w:pPr>
        <w:spacing w:line="440" w:lineRule="exact"/>
        <w:rPr>
          <w:rFonts w:hint="eastAsia" w:ascii="宋体" w:hAnsi="宋体" w:eastAsia="宋体" w:cs="宋体"/>
          <w:b/>
          <w:color w:val="auto"/>
          <w:sz w:val="22"/>
          <w:highlight w:val="none"/>
        </w:rPr>
      </w:pPr>
    </w:p>
    <w:p w14:paraId="5BEF7F28">
      <w:pPr>
        <w:spacing w:line="440" w:lineRule="exact"/>
        <w:rPr>
          <w:rFonts w:hint="eastAsia" w:ascii="宋体" w:hAnsi="宋体" w:eastAsia="宋体" w:cs="宋体"/>
          <w:b/>
          <w:color w:val="auto"/>
          <w:sz w:val="22"/>
          <w:highlight w:val="none"/>
        </w:rPr>
      </w:pPr>
    </w:p>
    <w:p w14:paraId="26A122B8">
      <w:pPr>
        <w:spacing w:line="440" w:lineRule="exact"/>
        <w:rPr>
          <w:rFonts w:hint="eastAsia" w:ascii="宋体" w:hAnsi="宋体" w:eastAsia="宋体" w:cs="宋体"/>
          <w:b/>
          <w:color w:val="auto"/>
          <w:sz w:val="22"/>
          <w:highlight w:val="none"/>
        </w:rPr>
      </w:pPr>
    </w:p>
    <w:p w14:paraId="6B905555">
      <w:pPr>
        <w:spacing w:line="440" w:lineRule="exact"/>
        <w:rPr>
          <w:rFonts w:hint="eastAsia" w:ascii="宋体" w:hAnsi="宋体" w:eastAsia="宋体" w:cs="宋体"/>
          <w:b/>
          <w:color w:val="auto"/>
          <w:sz w:val="22"/>
          <w:highlight w:val="none"/>
        </w:rPr>
      </w:pPr>
    </w:p>
    <w:p w14:paraId="6BBEA3F7">
      <w:pPr>
        <w:spacing w:line="440" w:lineRule="exact"/>
        <w:rPr>
          <w:rFonts w:hint="eastAsia" w:ascii="宋体" w:hAnsi="宋体" w:eastAsia="宋体" w:cs="宋体"/>
          <w:b/>
          <w:color w:val="auto"/>
          <w:sz w:val="22"/>
          <w:highlight w:val="none"/>
        </w:rPr>
      </w:pPr>
    </w:p>
    <w:p w14:paraId="5146740C">
      <w:pPr>
        <w:spacing w:line="440" w:lineRule="exact"/>
        <w:rPr>
          <w:rFonts w:hint="eastAsia" w:ascii="宋体" w:hAnsi="宋体" w:eastAsia="宋体" w:cs="宋体"/>
          <w:b/>
          <w:color w:val="auto"/>
          <w:sz w:val="22"/>
          <w:highlight w:val="none"/>
        </w:rPr>
      </w:pPr>
    </w:p>
    <w:p w14:paraId="74720D68">
      <w:pPr>
        <w:spacing w:line="440" w:lineRule="exact"/>
        <w:rPr>
          <w:rFonts w:hint="eastAsia" w:ascii="宋体" w:hAnsi="宋体" w:eastAsia="宋体" w:cs="宋体"/>
          <w:b/>
          <w:color w:val="auto"/>
          <w:sz w:val="22"/>
          <w:highlight w:val="none"/>
        </w:rPr>
      </w:pPr>
    </w:p>
    <w:p w14:paraId="697E0621">
      <w:pPr>
        <w:spacing w:line="440" w:lineRule="exact"/>
        <w:rPr>
          <w:rFonts w:hint="eastAsia" w:ascii="宋体" w:hAnsi="宋体" w:eastAsia="宋体" w:cs="宋体"/>
          <w:b/>
          <w:color w:val="auto"/>
          <w:sz w:val="22"/>
          <w:highlight w:val="none"/>
        </w:rPr>
      </w:pPr>
    </w:p>
    <w:p w14:paraId="6442631E">
      <w:pPr>
        <w:spacing w:line="440" w:lineRule="exact"/>
        <w:rPr>
          <w:rFonts w:hint="eastAsia" w:ascii="宋体" w:hAnsi="宋体" w:eastAsia="宋体" w:cs="宋体"/>
          <w:b/>
          <w:color w:val="auto"/>
          <w:sz w:val="22"/>
          <w:highlight w:val="none"/>
        </w:rPr>
      </w:pPr>
    </w:p>
    <w:p w14:paraId="11AD0D3B">
      <w:pPr>
        <w:spacing w:line="440" w:lineRule="exact"/>
        <w:rPr>
          <w:rFonts w:hint="eastAsia" w:ascii="宋体" w:hAnsi="宋体" w:eastAsia="宋体" w:cs="宋体"/>
          <w:b/>
          <w:color w:val="auto"/>
          <w:sz w:val="22"/>
          <w:highlight w:val="none"/>
        </w:rPr>
      </w:pPr>
    </w:p>
    <w:p w14:paraId="7032FB59">
      <w:pPr>
        <w:pStyle w:val="3"/>
        <w:spacing w:line="400" w:lineRule="exact"/>
        <w:rPr>
          <w:rFonts w:hint="eastAsia" w:ascii="宋体" w:hAnsi="宋体" w:eastAsia="宋体" w:cs="宋体"/>
          <w:color w:val="auto"/>
          <w:sz w:val="22"/>
          <w:szCs w:val="22"/>
          <w:highlight w:val="none"/>
        </w:rPr>
      </w:pPr>
      <w:bookmarkStart w:id="74" w:name="_Toc14295"/>
      <w:r>
        <w:rPr>
          <w:rFonts w:hint="eastAsia" w:ascii="宋体" w:hAnsi="宋体" w:eastAsia="宋体" w:cs="宋体"/>
          <w:color w:val="auto"/>
          <w:sz w:val="22"/>
          <w:szCs w:val="22"/>
          <w:highlight w:val="none"/>
        </w:rPr>
        <w:t>附件六  项目负责人情况</w:t>
      </w:r>
      <w:bookmarkEnd w:id="74"/>
    </w:p>
    <w:p w14:paraId="4502492A">
      <w:pPr>
        <w:spacing w:before="120" w:beforeLines="50" w:after="120" w:afterLines="50" w:line="36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项目负责人情况表</w:t>
      </w:r>
    </w:p>
    <w:p w14:paraId="3F98E9ED">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                                         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14:paraId="2F88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noWrap w:val="0"/>
            <w:vAlign w:val="center"/>
          </w:tcPr>
          <w:p w14:paraId="7840D5C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1、一般情况</w:t>
            </w:r>
          </w:p>
        </w:tc>
      </w:tr>
      <w:tr w14:paraId="4F64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71D86535">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822" w:type="dxa"/>
            <w:tcBorders>
              <w:top w:val="single" w:color="auto" w:sz="4" w:space="0"/>
              <w:left w:val="nil"/>
              <w:bottom w:val="single" w:color="auto" w:sz="4" w:space="0"/>
              <w:right w:val="single" w:color="auto" w:sz="4" w:space="0"/>
            </w:tcBorders>
            <w:noWrap w:val="0"/>
            <w:vAlign w:val="center"/>
          </w:tcPr>
          <w:p w14:paraId="480A4F78">
            <w:pPr>
              <w:spacing w:line="360" w:lineRule="exact"/>
              <w:jc w:val="center"/>
              <w:rPr>
                <w:rFonts w:hint="eastAsia" w:ascii="宋体" w:hAnsi="宋体" w:eastAsia="宋体" w:cs="宋体"/>
                <w:color w:val="auto"/>
                <w:sz w:val="22"/>
                <w:szCs w:val="22"/>
                <w:highlight w:val="none"/>
              </w:rPr>
            </w:pPr>
          </w:p>
        </w:tc>
        <w:tc>
          <w:tcPr>
            <w:tcW w:w="1587" w:type="dxa"/>
            <w:tcBorders>
              <w:top w:val="single" w:color="auto" w:sz="4" w:space="0"/>
              <w:left w:val="nil"/>
              <w:bottom w:val="single" w:color="auto" w:sz="4" w:space="0"/>
              <w:right w:val="single" w:color="auto" w:sz="4" w:space="0"/>
            </w:tcBorders>
            <w:noWrap w:val="0"/>
            <w:vAlign w:val="center"/>
          </w:tcPr>
          <w:p w14:paraId="12D90506">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726" w:type="dxa"/>
            <w:tcBorders>
              <w:top w:val="single" w:color="auto" w:sz="4" w:space="0"/>
              <w:left w:val="nil"/>
              <w:bottom w:val="single" w:color="auto" w:sz="4" w:space="0"/>
              <w:right w:val="single" w:color="auto" w:sz="4" w:space="0"/>
            </w:tcBorders>
            <w:noWrap w:val="0"/>
            <w:vAlign w:val="center"/>
          </w:tcPr>
          <w:p w14:paraId="7D5CD4B2">
            <w:pPr>
              <w:spacing w:line="360" w:lineRule="exact"/>
              <w:jc w:val="center"/>
              <w:rPr>
                <w:rFonts w:hint="eastAsia" w:ascii="宋体" w:hAnsi="宋体" w:eastAsia="宋体" w:cs="宋体"/>
                <w:color w:val="auto"/>
                <w:sz w:val="22"/>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05354F2D">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  历</w:t>
            </w:r>
          </w:p>
        </w:tc>
        <w:tc>
          <w:tcPr>
            <w:tcW w:w="1588" w:type="dxa"/>
            <w:tcBorders>
              <w:top w:val="single" w:color="auto" w:sz="4" w:space="0"/>
              <w:left w:val="nil"/>
              <w:bottom w:val="single" w:color="auto" w:sz="4" w:space="0"/>
              <w:right w:val="single" w:color="auto" w:sz="12" w:space="0"/>
            </w:tcBorders>
            <w:noWrap w:val="0"/>
            <w:vAlign w:val="center"/>
          </w:tcPr>
          <w:p w14:paraId="59BB2463">
            <w:pPr>
              <w:spacing w:line="360" w:lineRule="exact"/>
              <w:jc w:val="center"/>
              <w:rPr>
                <w:rFonts w:hint="eastAsia" w:ascii="宋体" w:hAnsi="宋体" w:eastAsia="宋体" w:cs="宋体"/>
                <w:color w:val="auto"/>
                <w:sz w:val="22"/>
                <w:szCs w:val="22"/>
                <w:highlight w:val="none"/>
              </w:rPr>
            </w:pPr>
          </w:p>
        </w:tc>
      </w:tr>
      <w:tr w14:paraId="0826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339ED62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1822" w:type="dxa"/>
            <w:tcBorders>
              <w:top w:val="single" w:color="auto" w:sz="4" w:space="0"/>
              <w:left w:val="nil"/>
              <w:bottom w:val="single" w:color="auto" w:sz="4" w:space="0"/>
              <w:right w:val="single" w:color="auto" w:sz="4" w:space="0"/>
            </w:tcBorders>
            <w:noWrap w:val="0"/>
            <w:vAlign w:val="center"/>
          </w:tcPr>
          <w:p w14:paraId="01EADF3D">
            <w:pPr>
              <w:spacing w:line="360" w:lineRule="exact"/>
              <w:rPr>
                <w:rFonts w:hint="eastAsia" w:ascii="宋体" w:hAnsi="宋体" w:eastAsia="宋体" w:cs="宋体"/>
                <w:color w:val="auto"/>
                <w:sz w:val="22"/>
                <w:szCs w:val="22"/>
                <w:highlight w:val="none"/>
              </w:rPr>
            </w:pPr>
          </w:p>
        </w:tc>
        <w:tc>
          <w:tcPr>
            <w:tcW w:w="1587" w:type="dxa"/>
            <w:tcBorders>
              <w:top w:val="single" w:color="auto" w:sz="4" w:space="0"/>
              <w:left w:val="nil"/>
              <w:bottom w:val="single" w:color="auto" w:sz="4" w:space="0"/>
              <w:right w:val="single" w:color="auto" w:sz="4" w:space="0"/>
            </w:tcBorders>
            <w:noWrap w:val="0"/>
            <w:vAlign w:val="center"/>
          </w:tcPr>
          <w:p w14:paraId="354A271D">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拟任何职</w:t>
            </w:r>
          </w:p>
        </w:tc>
        <w:tc>
          <w:tcPr>
            <w:tcW w:w="1726" w:type="dxa"/>
            <w:tcBorders>
              <w:top w:val="single" w:color="auto" w:sz="4" w:space="0"/>
              <w:left w:val="nil"/>
              <w:bottom w:val="single" w:color="auto" w:sz="4" w:space="0"/>
              <w:right w:val="single" w:color="auto" w:sz="4" w:space="0"/>
            </w:tcBorders>
            <w:noWrap w:val="0"/>
            <w:vAlign w:val="center"/>
          </w:tcPr>
          <w:p w14:paraId="607985AA">
            <w:pPr>
              <w:spacing w:line="360" w:lineRule="exact"/>
              <w:jc w:val="center"/>
              <w:rPr>
                <w:rFonts w:hint="eastAsia" w:ascii="宋体" w:hAnsi="宋体" w:eastAsia="宋体" w:cs="宋体"/>
                <w:color w:val="auto"/>
                <w:sz w:val="22"/>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16B16DB6">
            <w:pPr>
              <w:spacing w:line="2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参加工作</w:t>
            </w:r>
          </w:p>
          <w:p w14:paraId="748ED749">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1588" w:type="dxa"/>
            <w:tcBorders>
              <w:top w:val="single" w:color="auto" w:sz="4" w:space="0"/>
              <w:left w:val="nil"/>
              <w:bottom w:val="single" w:color="auto" w:sz="4" w:space="0"/>
              <w:right w:val="single" w:color="auto" w:sz="12" w:space="0"/>
            </w:tcBorders>
            <w:noWrap w:val="0"/>
            <w:vAlign w:val="center"/>
          </w:tcPr>
          <w:p w14:paraId="5F57DEB6">
            <w:pPr>
              <w:spacing w:line="360" w:lineRule="exact"/>
              <w:jc w:val="center"/>
              <w:rPr>
                <w:rFonts w:hint="eastAsia" w:ascii="宋体" w:hAnsi="宋体" w:eastAsia="宋体" w:cs="宋体"/>
                <w:color w:val="auto"/>
                <w:sz w:val="22"/>
                <w:szCs w:val="22"/>
                <w:highlight w:val="none"/>
              </w:rPr>
            </w:pPr>
          </w:p>
        </w:tc>
      </w:tr>
      <w:tr w14:paraId="66F2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65D48E5E">
            <w:pPr>
              <w:spacing w:line="2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职称（执业资格）证书</w:t>
            </w:r>
          </w:p>
        </w:tc>
        <w:tc>
          <w:tcPr>
            <w:tcW w:w="1822" w:type="dxa"/>
            <w:tcBorders>
              <w:top w:val="single" w:color="auto" w:sz="4" w:space="0"/>
              <w:left w:val="nil"/>
              <w:bottom w:val="single" w:color="auto" w:sz="4" w:space="0"/>
              <w:right w:val="single" w:color="auto" w:sz="4" w:space="0"/>
            </w:tcBorders>
            <w:noWrap w:val="0"/>
            <w:vAlign w:val="center"/>
          </w:tcPr>
          <w:p w14:paraId="03501DEC">
            <w:pPr>
              <w:spacing w:line="360" w:lineRule="exact"/>
              <w:rPr>
                <w:rFonts w:hint="eastAsia" w:ascii="宋体" w:hAnsi="宋体" w:eastAsia="宋体" w:cs="宋体"/>
                <w:color w:val="auto"/>
                <w:sz w:val="22"/>
                <w:szCs w:val="22"/>
                <w:highlight w:val="none"/>
              </w:rPr>
            </w:pPr>
          </w:p>
        </w:tc>
        <w:tc>
          <w:tcPr>
            <w:tcW w:w="1587" w:type="dxa"/>
            <w:tcBorders>
              <w:top w:val="single" w:color="auto" w:sz="4" w:space="0"/>
              <w:left w:val="nil"/>
              <w:bottom w:val="single" w:color="auto" w:sz="4" w:space="0"/>
              <w:right w:val="single" w:color="auto" w:sz="4" w:space="0"/>
            </w:tcBorders>
            <w:noWrap w:val="0"/>
            <w:vAlign w:val="center"/>
          </w:tcPr>
          <w:p w14:paraId="0F11BB75">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  业</w:t>
            </w:r>
          </w:p>
        </w:tc>
        <w:tc>
          <w:tcPr>
            <w:tcW w:w="1726" w:type="dxa"/>
            <w:tcBorders>
              <w:top w:val="single" w:color="auto" w:sz="4" w:space="0"/>
              <w:left w:val="nil"/>
              <w:bottom w:val="single" w:color="auto" w:sz="4" w:space="0"/>
              <w:right w:val="single" w:color="auto" w:sz="4" w:space="0"/>
            </w:tcBorders>
            <w:noWrap w:val="0"/>
            <w:vAlign w:val="center"/>
          </w:tcPr>
          <w:p w14:paraId="33380AD9">
            <w:pPr>
              <w:spacing w:line="360" w:lineRule="exact"/>
              <w:jc w:val="center"/>
              <w:rPr>
                <w:rFonts w:hint="eastAsia" w:ascii="宋体" w:hAnsi="宋体" w:eastAsia="宋体" w:cs="宋体"/>
                <w:color w:val="auto"/>
                <w:sz w:val="22"/>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14:paraId="0552E95F">
            <w:pPr>
              <w:spacing w:line="2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编号</w:t>
            </w:r>
          </w:p>
        </w:tc>
        <w:tc>
          <w:tcPr>
            <w:tcW w:w="1588" w:type="dxa"/>
            <w:tcBorders>
              <w:top w:val="single" w:color="auto" w:sz="4" w:space="0"/>
              <w:left w:val="nil"/>
              <w:bottom w:val="single" w:color="auto" w:sz="4" w:space="0"/>
              <w:right w:val="single" w:color="auto" w:sz="12" w:space="0"/>
            </w:tcBorders>
            <w:noWrap w:val="0"/>
            <w:vAlign w:val="center"/>
          </w:tcPr>
          <w:p w14:paraId="23E4E987">
            <w:pPr>
              <w:spacing w:line="360" w:lineRule="exact"/>
              <w:jc w:val="center"/>
              <w:rPr>
                <w:rFonts w:hint="eastAsia" w:ascii="宋体" w:hAnsi="宋体" w:eastAsia="宋体" w:cs="宋体"/>
                <w:color w:val="auto"/>
                <w:sz w:val="22"/>
                <w:szCs w:val="22"/>
                <w:highlight w:val="none"/>
              </w:rPr>
            </w:pPr>
          </w:p>
        </w:tc>
      </w:tr>
      <w:tr w14:paraId="7C54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4E620CC1">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2、个人简历</w:t>
            </w:r>
          </w:p>
        </w:tc>
      </w:tr>
      <w:tr w14:paraId="064E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28FB2976">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8172" w:type="dxa"/>
            <w:gridSpan w:val="5"/>
            <w:tcBorders>
              <w:top w:val="single" w:color="auto" w:sz="4" w:space="0"/>
              <w:left w:val="nil"/>
              <w:bottom w:val="single" w:color="auto" w:sz="4" w:space="0"/>
              <w:right w:val="single" w:color="auto" w:sz="12" w:space="0"/>
            </w:tcBorders>
            <w:noWrap w:val="0"/>
            <w:vAlign w:val="center"/>
          </w:tcPr>
          <w:p w14:paraId="5199754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专业工作经历</w:t>
            </w:r>
          </w:p>
        </w:tc>
      </w:tr>
      <w:tr w14:paraId="21C0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A29D3C7">
            <w:pPr>
              <w:spacing w:line="360" w:lineRule="exact"/>
              <w:rPr>
                <w:rFonts w:hint="eastAsia" w:ascii="宋体" w:hAnsi="宋体" w:eastAsia="宋体" w:cs="宋体"/>
                <w:color w:val="auto"/>
                <w:sz w:val="22"/>
                <w:szCs w:val="22"/>
                <w:highlight w:val="none"/>
              </w:rPr>
            </w:pPr>
          </w:p>
        </w:tc>
        <w:tc>
          <w:tcPr>
            <w:tcW w:w="8172" w:type="dxa"/>
            <w:gridSpan w:val="5"/>
            <w:tcBorders>
              <w:top w:val="single" w:color="auto" w:sz="4" w:space="0"/>
              <w:left w:val="nil"/>
              <w:bottom w:val="single" w:color="auto" w:sz="4" w:space="0"/>
              <w:right w:val="single" w:color="auto" w:sz="12" w:space="0"/>
            </w:tcBorders>
            <w:noWrap w:val="0"/>
            <w:vAlign w:val="center"/>
          </w:tcPr>
          <w:p w14:paraId="55D5FACB">
            <w:pPr>
              <w:spacing w:line="360" w:lineRule="exact"/>
              <w:rPr>
                <w:rFonts w:hint="eastAsia" w:ascii="宋体" w:hAnsi="宋体" w:eastAsia="宋体" w:cs="宋体"/>
                <w:color w:val="auto"/>
                <w:sz w:val="22"/>
                <w:szCs w:val="22"/>
                <w:highlight w:val="none"/>
              </w:rPr>
            </w:pPr>
          </w:p>
        </w:tc>
      </w:tr>
      <w:tr w14:paraId="122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54D9480F">
            <w:pPr>
              <w:spacing w:line="360" w:lineRule="exact"/>
              <w:rPr>
                <w:rFonts w:hint="eastAsia" w:ascii="宋体" w:hAnsi="宋体" w:eastAsia="宋体" w:cs="宋体"/>
                <w:color w:val="auto"/>
                <w:sz w:val="22"/>
                <w:szCs w:val="22"/>
                <w:highlight w:val="none"/>
              </w:rPr>
            </w:pPr>
          </w:p>
        </w:tc>
        <w:tc>
          <w:tcPr>
            <w:tcW w:w="8172" w:type="dxa"/>
            <w:gridSpan w:val="5"/>
            <w:tcBorders>
              <w:top w:val="single" w:color="auto" w:sz="4" w:space="0"/>
              <w:left w:val="nil"/>
              <w:bottom w:val="single" w:color="auto" w:sz="4" w:space="0"/>
              <w:right w:val="single" w:color="auto" w:sz="12" w:space="0"/>
            </w:tcBorders>
            <w:noWrap w:val="0"/>
            <w:vAlign w:val="center"/>
          </w:tcPr>
          <w:p w14:paraId="5125968C">
            <w:pPr>
              <w:spacing w:line="360" w:lineRule="exact"/>
              <w:rPr>
                <w:rFonts w:hint="eastAsia" w:ascii="宋体" w:hAnsi="宋体" w:eastAsia="宋体" w:cs="宋体"/>
                <w:color w:val="auto"/>
                <w:sz w:val="22"/>
                <w:szCs w:val="22"/>
                <w:highlight w:val="none"/>
              </w:rPr>
            </w:pPr>
          </w:p>
        </w:tc>
      </w:tr>
      <w:tr w14:paraId="029C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6" w:type="dxa"/>
            <w:gridSpan w:val="2"/>
            <w:tcBorders>
              <w:top w:val="single" w:color="auto" w:sz="4" w:space="0"/>
              <w:left w:val="single" w:color="auto" w:sz="12" w:space="0"/>
              <w:bottom w:val="single" w:color="auto" w:sz="4" w:space="0"/>
              <w:right w:val="single" w:color="auto" w:sz="4" w:space="0"/>
            </w:tcBorders>
            <w:noWrap w:val="0"/>
            <w:vAlign w:val="center"/>
          </w:tcPr>
          <w:p w14:paraId="450677ED">
            <w:pPr>
              <w:spacing w:line="360" w:lineRule="exact"/>
              <w:rPr>
                <w:rFonts w:hint="eastAsia" w:ascii="宋体" w:hAnsi="宋体" w:eastAsia="宋体" w:cs="宋体"/>
                <w:color w:val="auto"/>
                <w:sz w:val="22"/>
                <w:szCs w:val="22"/>
                <w:highlight w:val="none"/>
              </w:rPr>
            </w:pPr>
          </w:p>
        </w:tc>
        <w:tc>
          <w:tcPr>
            <w:tcW w:w="8172" w:type="dxa"/>
            <w:gridSpan w:val="5"/>
            <w:tcBorders>
              <w:top w:val="single" w:color="auto" w:sz="4" w:space="0"/>
              <w:left w:val="nil"/>
              <w:bottom w:val="single" w:color="auto" w:sz="4" w:space="0"/>
              <w:right w:val="single" w:color="auto" w:sz="12" w:space="0"/>
            </w:tcBorders>
            <w:noWrap w:val="0"/>
            <w:vAlign w:val="center"/>
          </w:tcPr>
          <w:p w14:paraId="2A22BCB3">
            <w:pPr>
              <w:spacing w:line="360" w:lineRule="exact"/>
              <w:rPr>
                <w:rFonts w:hint="eastAsia" w:ascii="宋体" w:hAnsi="宋体" w:eastAsia="宋体" w:cs="宋体"/>
                <w:color w:val="auto"/>
                <w:sz w:val="22"/>
                <w:szCs w:val="22"/>
                <w:highlight w:val="none"/>
              </w:rPr>
            </w:pPr>
          </w:p>
        </w:tc>
      </w:tr>
      <w:tr w14:paraId="5776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noWrap w:val="0"/>
            <w:vAlign w:val="center"/>
          </w:tcPr>
          <w:p w14:paraId="07C2CD95">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3、同类项目经验</w:t>
            </w:r>
          </w:p>
        </w:tc>
      </w:tr>
      <w:tr w14:paraId="29DC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162B768B">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5580" w:type="dxa"/>
            <w:gridSpan w:val="4"/>
            <w:tcBorders>
              <w:top w:val="single" w:color="auto" w:sz="4" w:space="0"/>
              <w:left w:val="nil"/>
              <w:bottom w:val="single" w:color="auto" w:sz="4" w:space="0"/>
              <w:right w:val="single" w:color="auto" w:sz="4" w:space="0"/>
            </w:tcBorders>
            <w:noWrap w:val="0"/>
            <w:vAlign w:val="center"/>
          </w:tcPr>
          <w:p w14:paraId="48FA77BE">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  目  名  称</w:t>
            </w:r>
          </w:p>
        </w:tc>
        <w:tc>
          <w:tcPr>
            <w:tcW w:w="3037" w:type="dxa"/>
            <w:gridSpan w:val="2"/>
            <w:tcBorders>
              <w:top w:val="single" w:color="auto" w:sz="4" w:space="0"/>
              <w:left w:val="nil"/>
              <w:bottom w:val="single" w:color="auto" w:sz="4" w:space="0"/>
              <w:right w:val="single" w:color="auto" w:sz="12" w:space="0"/>
            </w:tcBorders>
            <w:noWrap w:val="0"/>
            <w:vAlign w:val="center"/>
          </w:tcPr>
          <w:p w14:paraId="47719A80">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该项目中任何职</w:t>
            </w:r>
          </w:p>
        </w:tc>
      </w:tr>
      <w:tr w14:paraId="68B4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83B1769">
            <w:pPr>
              <w:spacing w:line="360" w:lineRule="exact"/>
              <w:rPr>
                <w:rFonts w:hint="eastAsia" w:ascii="宋体" w:hAnsi="宋体" w:eastAsia="宋体" w:cs="宋体"/>
                <w:color w:val="auto"/>
                <w:sz w:val="22"/>
                <w:szCs w:val="22"/>
                <w:highlight w:val="none"/>
              </w:rPr>
            </w:pPr>
          </w:p>
        </w:tc>
        <w:tc>
          <w:tcPr>
            <w:tcW w:w="5580" w:type="dxa"/>
            <w:gridSpan w:val="4"/>
            <w:tcBorders>
              <w:top w:val="single" w:color="auto" w:sz="4" w:space="0"/>
              <w:left w:val="nil"/>
              <w:bottom w:val="single" w:color="auto" w:sz="4" w:space="0"/>
              <w:right w:val="single" w:color="auto" w:sz="4" w:space="0"/>
            </w:tcBorders>
            <w:noWrap w:val="0"/>
            <w:vAlign w:val="center"/>
          </w:tcPr>
          <w:p w14:paraId="1D83F65E">
            <w:pPr>
              <w:spacing w:line="360" w:lineRule="exact"/>
              <w:rPr>
                <w:rFonts w:hint="eastAsia" w:ascii="宋体" w:hAnsi="宋体" w:eastAsia="宋体" w:cs="宋体"/>
                <w:color w:val="auto"/>
                <w:sz w:val="22"/>
                <w:szCs w:val="22"/>
                <w:highlight w:val="none"/>
              </w:rPr>
            </w:pPr>
          </w:p>
        </w:tc>
        <w:tc>
          <w:tcPr>
            <w:tcW w:w="3037" w:type="dxa"/>
            <w:gridSpan w:val="2"/>
            <w:tcBorders>
              <w:top w:val="single" w:color="auto" w:sz="4" w:space="0"/>
              <w:left w:val="nil"/>
              <w:bottom w:val="single" w:color="auto" w:sz="4" w:space="0"/>
              <w:right w:val="single" w:color="auto" w:sz="12" w:space="0"/>
            </w:tcBorders>
            <w:noWrap w:val="0"/>
            <w:vAlign w:val="center"/>
          </w:tcPr>
          <w:p w14:paraId="22361860">
            <w:pPr>
              <w:spacing w:line="360" w:lineRule="exact"/>
              <w:rPr>
                <w:rFonts w:hint="eastAsia" w:ascii="宋体" w:hAnsi="宋体" w:eastAsia="宋体" w:cs="宋体"/>
                <w:color w:val="auto"/>
                <w:sz w:val="22"/>
                <w:szCs w:val="22"/>
                <w:highlight w:val="none"/>
              </w:rPr>
            </w:pPr>
          </w:p>
        </w:tc>
      </w:tr>
      <w:tr w14:paraId="170C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3B816D78">
            <w:pPr>
              <w:spacing w:line="360" w:lineRule="exact"/>
              <w:rPr>
                <w:rFonts w:hint="eastAsia" w:ascii="宋体" w:hAnsi="宋体" w:eastAsia="宋体" w:cs="宋体"/>
                <w:color w:val="auto"/>
                <w:sz w:val="22"/>
                <w:szCs w:val="22"/>
                <w:highlight w:val="none"/>
              </w:rPr>
            </w:pPr>
          </w:p>
        </w:tc>
        <w:tc>
          <w:tcPr>
            <w:tcW w:w="5580" w:type="dxa"/>
            <w:gridSpan w:val="4"/>
            <w:tcBorders>
              <w:top w:val="single" w:color="auto" w:sz="4" w:space="0"/>
              <w:left w:val="nil"/>
              <w:bottom w:val="single" w:color="auto" w:sz="4" w:space="0"/>
              <w:right w:val="single" w:color="auto" w:sz="4" w:space="0"/>
            </w:tcBorders>
            <w:noWrap w:val="0"/>
            <w:vAlign w:val="center"/>
          </w:tcPr>
          <w:p w14:paraId="1C4696E7">
            <w:pPr>
              <w:spacing w:line="360" w:lineRule="exact"/>
              <w:rPr>
                <w:rFonts w:hint="eastAsia" w:ascii="宋体" w:hAnsi="宋体" w:eastAsia="宋体" w:cs="宋体"/>
                <w:color w:val="auto"/>
                <w:sz w:val="22"/>
                <w:szCs w:val="22"/>
                <w:highlight w:val="none"/>
              </w:rPr>
            </w:pPr>
          </w:p>
        </w:tc>
        <w:tc>
          <w:tcPr>
            <w:tcW w:w="3037" w:type="dxa"/>
            <w:gridSpan w:val="2"/>
            <w:tcBorders>
              <w:top w:val="single" w:color="auto" w:sz="4" w:space="0"/>
              <w:left w:val="nil"/>
              <w:bottom w:val="single" w:color="auto" w:sz="4" w:space="0"/>
              <w:right w:val="single" w:color="auto" w:sz="12" w:space="0"/>
            </w:tcBorders>
            <w:noWrap w:val="0"/>
            <w:vAlign w:val="center"/>
          </w:tcPr>
          <w:p w14:paraId="15A579C1">
            <w:pPr>
              <w:spacing w:line="360" w:lineRule="exact"/>
              <w:rPr>
                <w:rFonts w:hint="eastAsia" w:ascii="宋体" w:hAnsi="宋体" w:eastAsia="宋体" w:cs="宋体"/>
                <w:color w:val="auto"/>
                <w:sz w:val="22"/>
                <w:szCs w:val="22"/>
                <w:highlight w:val="none"/>
              </w:rPr>
            </w:pPr>
          </w:p>
        </w:tc>
      </w:tr>
      <w:tr w14:paraId="5BB0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5AEB724D">
            <w:pPr>
              <w:spacing w:line="360" w:lineRule="exact"/>
              <w:rPr>
                <w:rFonts w:hint="eastAsia" w:ascii="宋体" w:hAnsi="宋体" w:eastAsia="宋体" w:cs="宋体"/>
                <w:color w:val="auto"/>
                <w:sz w:val="22"/>
                <w:szCs w:val="22"/>
                <w:highlight w:val="none"/>
              </w:rPr>
            </w:pPr>
          </w:p>
        </w:tc>
        <w:tc>
          <w:tcPr>
            <w:tcW w:w="5580" w:type="dxa"/>
            <w:gridSpan w:val="4"/>
            <w:tcBorders>
              <w:top w:val="single" w:color="auto" w:sz="4" w:space="0"/>
              <w:left w:val="nil"/>
              <w:bottom w:val="single" w:color="auto" w:sz="4" w:space="0"/>
              <w:right w:val="single" w:color="auto" w:sz="4" w:space="0"/>
            </w:tcBorders>
            <w:noWrap w:val="0"/>
            <w:vAlign w:val="center"/>
          </w:tcPr>
          <w:p w14:paraId="72147687">
            <w:pPr>
              <w:spacing w:line="360" w:lineRule="exact"/>
              <w:rPr>
                <w:rFonts w:hint="eastAsia" w:ascii="宋体" w:hAnsi="宋体" w:eastAsia="宋体" w:cs="宋体"/>
                <w:color w:val="auto"/>
                <w:sz w:val="22"/>
                <w:szCs w:val="22"/>
                <w:highlight w:val="none"/>
              </w:rPr>
            </w:pPr>
          </w:p>
        </w:tc>
        <w:tc>
          <w:tcPr>
            <w:tcW w:w="3037" w:type="dxa"/>
            <w:gridSpan w:val="2"/>
            <w:tcBorders>
              <w:top w:val="single" w:color="auto" w:sz="4" w:space="0"/>
              <w:left w:val="nil"/>
              <w:bottom w:val="single" w:color="auto" w:sz="4" w:space="0"/>
              <w:right w:val="single" w:color="auto" w:sz="12" w:space="0"/>
            </w:tcBorders>
            <w:noWrap w:val="0"/>
            <w:vAlign w:val="center"/>
          </w:tcPr>
          <w:p w14:paraId="106D080D">
            <w:pPr>
              <w:spacing w:line="360" w:lineRule="exact"/>
              <w:rPr>
                <w:rFonts w:hint="eastAsia" w:ascii="宋体" w:hAnsi="宋体" w:eastAsia="宋体" w:cs="宋体"/>
                <w:color w:val="auto"/>
                <w:sz w:val="22"/>
                <w:szCs w:val="22"/>
                <w:highlight w:val="none"/>
              </w:rPr>
            </w:pPr>
          </w:p>
        </w:tc>
      </w:tr>
      <w:tr w14:paraId="7FFE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12" w:space="0"/>
              <w:bottom w:val="single" w:color="auto" w:sz="4" w:space="0"/>
              <w:right w:val="single" w:color="auto" w:sz="4" w:space="0"/>
            </w:tcBorders>
            <w:noWrap w:val="0"/>
            <w:vAlign w:val="center"/>
          </w:tcPr>
          <w:p w14:paraId="4D3E19BE">
            <w:pPr>
              <w:spacing w:line="360" w:lineRule="exact"/>
              <w:rPr>
                <w:rFonts w:hint="eastAsia" w:ascii="宋体" w:hAnsi="宋体" w:eastAsia="宋体" w:cs="宋体"/>
                <w:color w:val="auto"/>
                <w:sz w:val="22"/>
                <w:szCs w:val="22"/>
                <w:highlight w:val="none"/>
              </w:rPr>
            </w:pPr>
          </w:p>
        </w:tc>
        <w:tc>
          <w:tcPr>
            <w:tcW w:w="5580" w:type="dxa"/>
            <w:gridSpan w:val="4"/>
            <w:tcBorders>
              <w:top w:val="single" w:color="auto" w:sz="4" w:space="0"/>
              <w:left w:val="nil"/>
              <w:bottom w:val="single" w:color="auto" w:sz="4" w:space="0"/>
              <w:right w:val="single" w:color="auto" w:sz="4" w:space="0"/>
            </w:tcBorders>
            <w:noWrap w:val="0"/>
            <w:vAlign w:val="center"/>
          </w:tcPr>
          <w:p w14:paraId="43AF9F2C">
            <w:pPr>
              <w:spacing w:line="360" w:lineRule="exact"/>
              <w:rPr>
                <w:rFonts w:hint="eastAsia" w:ascii="宋体" w:hAnsi="宋体" w:eastAsia="宋体" w:cs="宋体"/>
                <w:color w:val="auto"/>
                <w:sz w:val="22"/>
                <w:szCs w:val="22"/>
                <w:highlight w:val="none"/>
              </w:rPr>
            </w:pPr>
          </w:p>
        </w:tc>
        <w:tc>
          <w:tcPr>
            <w:tcW w:w="3037" w:type="dxa"/>
            <w:gridSpan w:val="2"/>
            <w:tcBorders>
              <w:top w:val="single" w:color="auto" w:sz="4" w:space="0"/>
              <w:left w:val="nil"/>
              <w:bottom w:val="single" w:color="auto" w:sz="4" w:space="0"/>
              <w:right w:val="single" w:color="auto" w:sz="12" w:space="0"/>
            </w:tcBorders>
            <w:noWrap w:val="0"/>
            <w:vAlign w:val="center"/>
          </w:tcPr>
          <w:p w14:paraId="55A22CB4">
            <w:pPr>
              <w:spacing w:line="360" w:lineRule="exact"/>
              <w:rPr>
                <w:rFonts w:hint="eastAsia" w:ascii="宋体" w:hAnsi="宋体" w:eastAsia="宋体" w:cs="宋体"/>
                <w:color w:val="auto"/>
                <w:sz w:val="22"/>
                <w:szCs w:val="22"/>
                <w:highlight w:val="none"/>
              </w:rPr>
            </w:pPr>
          </w:p>
        </w:tc>
      </w:tr>
      <w:tr w14:paraId="3991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1" w:type="dxa"/>
            <w:tcBorders>
              <w:top w:val="single" w:color="auto" w:sz="4" w:space="0"/>
              <w:left w:val="single" w:color="auto" w:sz="12" w:space="0"/>
              <w:bottom w:val="single" w:color="auto" w:sz="12" w:space="0"/>
              <w:right w:val="single" w:color="auto" w:sz="4" w:space="0"/>
            </w:tcBorders>
            <w:noWrap w:val="0"/>
            <w:vAlign w:val="center"/>
          </w:tcPr>
          <w:p w14:paraId="47CC4989">
            <w:pPr>
              <w:spacing w:line="360" w:lineRule="exact"/>
              <w:rPr>
                <w:rFonts w:hint="eastAsia" w:ascii="宋体" w:hAnsi="宋体" w:eastAsia="宋体" w:cs="宋体"/>
                <w:color w:val="auto"/>
                <w:sz w:val="22"/>
                <w:szCs w:val="22"/>
                <w:highlight w:val="none"/>
              </w:rPr>
            </w:pPr>
          </w:p>
        </w:tc>
        <w:tc>
          <w:tcPr>
            <w:tcW w:w="5580" w:type="dxa"/>
            <w:gridSpan w:val="4"/>
            <w:tcBorders>
              <w:top w:val="single" w:color="auto" w:sz="4" w:space="0"/>
              <w:left w:val="nil"/>
              <w:bottom w:val="single" w:color="auto" w:sz="12" w:space="0"/>
              <w:right w:val="single" w:color="auto" w:sz="4" w:space="0"/>
            </w:tcBorders>
            <w:noWrap w:val="0"/>
            <w:vAlign w:val="center"/>
          </w:tcPr>
          <w:p w14:paraId="67641E2F">
            <w:pPr>
              <w:spacing w:line="360" w:lineRule="exact"/>
              <w:rPr>
                <w:rFonts w:hint="eastAsia" w:ascii="宋体" w:hAnsi="宋体" w:eastAsia="宋体" w:cs="宋体"/>
                <w:color w:val="auto"/>
                <w:sz w:val="22"/>
                <w:szCs w:val="22"/>
                <w:highlight w:val="none"/>
              </w:rPr>
            </w:pPr>
          </w:p>
        </w:tc>
        <w:tc>
          <w:tcPr>
            <w:tcW w:w="3037" w:type="dxa"/>
            <w:gridSpan w:val="2"/>
            <w:tcBorders>
              <w:top w:val="single" w:color="auto" w:sz="4" w:space="0"/>
              <w:left w:val="nil"/>
              <w:bottom w:val="single" w:color="auto" w:sz="12" w:space="0"/>
              <w:right w:val="single" w:color="auto" w:sz="12" w:space="0"/>
            </w:tcBorders>
            <w:noWrap w:val="0"/>
            <w:vAlign w:val="center"/>
          </w:tcPr>
          <w:p w14:paraId="1F591A20">
            <w:pPr>
              <w:spacing w:line="360" w:lineRule="exact"/>
              <w:rPr>
                <w:rFonts w:hint="eastAsia" w:ascii="宋体" w:hAnsi="宋体" w:eastAsia="宋体" w:cs="宋体"/>
                <w:color w:val="auto"/>
                <w:sz w:val="22"/>
                <w:szCs w:val="22"/>
                <w:highlight w:val="none"/>
              </w:rPr>
            </w:pPr>
          </w:p>
        </w:tc>
      </w:tr>
    </w:tbl>
    <w:p w14:paraId="04C75A03">
      <w:pPr>
        <w:spacing w:line="360" w:lineRule="exact"/>
        <w:ind w:left="770" w:hanging="770" w:hanging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注：1、本表分别应附相关经验、社保等证明； </w:t>
      </w:r>
    </w:p>
    <w:p w14:paraId="192DCB45">
      <w:pPr>
        <w:pStyle w:val="9"/>
        <w:spacing w:line="400" w:lineRule="atLeast"/>
        <w:ind w:left="4618" w:leftChars="156" w:hanging="4290" w:hangingChars="19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2、本表可在不改变格式的情况下根据具体需要自行增减。 </w:t>
      </w:r>
    </w:p>
    <w:p w14:paraId="3C23C1CD">
      <w:pPr>
        <w:pStyle w:val="9"/>
        <w:spacing w:line="400" w:lineRule="atLeast"/>
        <w:ind w:left="4618" w:leftChars="156" w:hanging="4290" w:hangingChars="19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E195BE3">
      <w:pPr>
        <w:pStyle w:val="9"/>
        <w:spacing w:line="400" w:lineRule="exact"/>
        <w:ind w:left="4605" w:leftChars="2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投标供应商名称（盖章）：</w:t>
      </w:r>
    </w:p>
    <w:p w14:paraId="3A179A78">
      <w:pPr>
        <w:pStyle w:val="9"/>
        <w:spacing w:line="400" w:lineRule="exact"/>
        <w:ind w:left="660" w:hanging="660" w:hanging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投标供应商代表（签字）：</w:t>
      </w:r>
    </w:p>
    <w:p w14:paraId="336656B8">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7451F346">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1F2BA96">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 xml:space="preserve"> </w:t>
      </w:r>
    </w:p>
    <w:p w14:paraId="799F497C">
      <w:pPr>
        <w:pStyle w:val="3"/>
        <w:spacing w:line="400" w:lineRule="exact"/>
        <w:rPr>
          <w:rFonts w:hint="eastAsia" w:ascii="宋体" w:hAnsi="宋体" w:eastAsia="宋体" w:cs="宋体"/>
          <w:color w:val="auto"/>
          <w:sz w:val="22"/>
          <w:szCs w:val="22"/>
          <w:highlight w:val="none"/>
        </w:rPr>
      </w:pPr>
      <w:bookmarkStart w:id="75" w:name="_Toc23277334"/>
      <w:bookmarkStart w:id="76" w:name="_Toc39762215"/>
      <w:bookmarkStart w:id="77" w:name="_Toc489815628"/>
      <w:bookmarkStart w:id="78" w:name="_Toc39827212"/>
      <w:bookmarkStart w:id="79" w:name="_Toc4756"/>
      <w:r>
        <w:rPr>
          <w:rFonts w:hint="eastAsia" w:ascii="宋体" w:hAnsi="宋体" w:eastAsia="宋体" w:cs="宋体"/>
          <w:color w:val="auto"/>
          <w:sz w:val="22"/>
          <w:szCs w:val="22"/>
          <w:highlight w:val="none"/>
        </w:rPr>
        <w:t xml:space="preserve">附件七  </w:t>
      </w:r>
      <w:bookmarkEnd w:id="75"/>
      <w:bookmarkEnd w:id="76"/>
      <w:bookmarkEnd w:id="77"/>
      <w:bookmarkEnd w:id="78"/>
      <w:r>
        <w:rPr>
          <w:rFonts w:hint="eastAsia" w:ascii="宋体" w:hAnsi="宋体" w:eastAsia="宋体" w:cs="宋体"/>
          <w:color w:val="auto"/>
          <w:sz w:val="22"/>
          <w:szCs w:val="22"/>
          <w:highlight w:val="none"/>
        </w:rPr>
        <w:t>项目组人员一览表</w:t>
      </w:r>
      <w:bookmarkEnd w:id="79"/>
    </w:p>
    <w:p w14:paraId="71C73603">
      <w:pPr>
        <w:overflowPunct w:val="0"/>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项目组人员一览表</w:t>
      </w:r>
    </w:p>
    <w:p w14:paraId="63895B6A">
      <w:pPr>
        <w:spacing w:line="360" w:lineRule="exact"/>
        <w:rPr>
          <w:rFonts w:hint="eastAsia" w:ascii="宋体" w:hAnsi="宋体" w:eastAsia="宋体" w:cs="宋体"/>
          <w:color w:val="auto"/>
          <w:highlight w:val="none"/>
        </w:rPr>
      </w:pPr>
      <w:r>
        <w:rPr>
          <w:rFonts w:hint="eastAsia" w:ascii="宋体" w:hAnsi="宋体" w:eastAsia="宋体" w:cs="宋体"/>
          <w:color w:val="auto"/>
          <w:sz w:val="22"/>
          <w:highlight w:val="none"/>
        </w:rPr>
        <w:t>项目名称：                                        项目编号：</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67"/>
        <w:gridCol w:w="967"/>
        <w:gridCol w:w="1278"/>
        <w:gridCol w:w="1255"/>
        <w:gridCol w:w="1327"/>
        <w:gridCol w:w="1369"/>
        <w:gridCol w:w="1369"/>
      </w:tblGrid>
      <w:tr w14:paraId="47437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867" w:type="dxa"/>
            <w:tcBorders>
              <w:top w:val="single" w:color="auto" w:sz="12" w:space="0"/>
              <w:left w:val="single" w:color="auto" w:sz="12" w:space="0"/>
              <w:bottom w:val="single" w:color="auto" w:sz="4" w:space="0"/>
              <w:right w:val="single" w:color="auto" w:sz="4" w:space="0"/>
            </w:tcBorders>
            <w:noWrap w:val="0"/>
            <w:vAlign w:val="center"/>
          </w:tcPr>
          <w:p w14:paraId="1611DBCB">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967" w:type="dxa"/>
            <w:tcBorders>
              <w:top w:val="single" w:color="auto" w:sz="12" w:space="0"/>
              <w:left w:val="single" w:color="auto" w:sz="4" w:space="0"/>
              <w:bottom w:val="single" w:color="auto" w:sz="4" w:space="0"/>
              <w:right w:val="single" w:color="auto" w:sz="4" w:space="0"/>
            </w:tcBorders>
            <w:noWrap w:val="0"/>
            <w:vAlign w:val="center"/>
          </w:tcPr>
          <w:p w14:paraId="685FD532">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967" w:type="dxa"/>
            <w:tcBorders>
              <w:top w:val="single" w:color="auto" w:sz="12" w:space="0"/>
              <w:left w:val="single" w:color="auto" w:sz="4" w:space="0"/>
              <w:bottom w:val="single" w:color="auto" w:sz="4" w:space="0"/>
              <w:right w:val="single" w:color="auto" w:sz="4" w:space="0"/>
            </w:tcBorders>
            <w:noWrap w:val="0"/>
            <w:vAlign w:val="center"/>
          </w:tcPr>
          <w:p w14:paraId="0DB77D0D">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1278" w:type="dxa"/>
            <w:tcBorders>
              <w:top w:val="single" w:color="auto" w:sz="12" w:space="0"/>
              <w:left w:val="single" w:color="auto" w:sz="4" w:space="0"/>
              <w:bottom w:val="single" w:color="auto" w:sz="4" w:space="0"/>
              <w:right w:val="single" w:color="auto" w:sz="4" w:space="0"/>
            </w:tcBorders>
            <w:noWrap w:val="0"/>
            <w:vAlign w:val="center"/>
          </w:tcPr>
          <w:p w14:paraId="797526CF">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1255" w:type="dxa"/>
            <w:tcBorders>
              <w:top w:val="single" w:color="auto" w:sz="12" w:space="0"/>
              <w:left w:val="single" w:color="auto" w:sz="4" w:space="0"/>
              <w:bottom w:val="single" w:color="auto" w:sz="4" w:space="0"/>
              <w:right w:val="single" w:color="auto" w:sz="4" w:space="0"/>
            </w:tcBorders>
            <w:noWrap w:val="0"/>
            <w:vAlign w:val="center"/>
          </w:tcPr>
          <w:p w14:paraId="36165F55">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职称/资质</w:t>
            </w:r>
          </w:p>
        </w:tc>
        <w:tc>
          <w:tcPr>
            <w:tcW w:w="1327" w:type="dxa"/>
            <w:tcBorders>
              <w:top w:val="single" w:color="auto" w:sz="12" w:space="0"/>
              <w:left w:val="single" w:color="auto" w:sz="4" w:space="0"/>
              <w:bottom w:val="single" w:color="auto" w:sz="4" w:space="0"/>
              <w:right w:val="single" w:color="auto" w:sz="4" w:space="0"/>
            </w:tcBorders>
            <w:noWrap w:val="0"/>
            <w:vAlign w:val="center"/>
          </w:tcPr>
          <w:p w14:paraId="72E477F0">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证书号</w:t>
            </w:r>
          </w:p>
        </w:tc>
        <w:tc>
          <w:tcPr>
            <w:tcW w:w="1369" w:type="dxa"/>
            <w:tcBorders>
              <w:top w:val="single" w:color="auto" w:sz="12" w:space="0"/>
              <w:left w:val="single" w:color="auto" w:sz="4" w:space="0"/>
              <w:bottom w:val="single" w:color="auto" w:sz="4" w:space="0"/>
              <w:right w:val="single" w:color="auto" w:sz="4" w:space="0"/>
            </w:tcBorders>
            <w:noWrap w:val="0"/>
            <w:vAlign w:val="center"/>
          </w:tcPr>
          <w:p w14:paraId="4318F147">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拟任何职</w:t>
            </w:r>
          </w:p>
        </w:tc>
        <w:tc>
          <w:tcPr>
            <w:tcW w:w="1369" w:type="dxa"/>
            <w:tcBorders>
              <w:top w:val="single" w:color="auto" w:sz="12" w:space="0"/>
              <w:left w:val="single" w:color="auto" w:sz="4" w:space="0"/>
              <w:bottom w:val="single" w:color="auto" w:sz="4" w:space="0"/>
              <w:right w:val="single" w:color="auto" w:sz="12" w:space="0"/>
            </w:tcBorders>
            <w:noWrap w:val="0"/>
            <w:vAlign w:val="center"/>
          </w:tcPr>
          <w:p w14:paraId="354F2C51">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3C434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2C794EFC">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2363807">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70A2F24C">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1949B78C">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8EBAA8C">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9785D40">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7BC5D72">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6A82C18F">
            <w:pPr>
              <w:spacing w:line="360" w:lineRule="exact"/>
              <w:jc w:val="center"/>
              <w:rPr>
                <w:rFonts w:hint="eastAsia" w:ascii="宋体" w:hAnsi="宋体" w:eastAsia="宋体" w:cs="宋体"/>
                <w:color w:val="auto"/>
                <w:sz w:val="28"/>
                <w:highlight w:val="none"/>
              </w:rPr>
            </w:pPr>
          </w:p>
        </w:tc>
      </w:tr>
      <w:tr w14:paraId="02BDC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62F1BD21">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196AA6CA">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846DAAD">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4EF62A7">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39C29C0">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2BCAB970">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BF535E6">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01B03F9F">
            <w:pPr>
              <w:spacing w:line="360" w:lineRule="exact"/>
              <w:jc w:val="center"/>
              <w:rPr>
                <w:rFonts w:hint="eastAsia" w:ascii="宋体" w:hAnsi="宋体" w:eastAsia="宋体" w:cs="宋体"/>
                <w:color w:val="auto"/>
                <w:sz w:val="28"/>
                <w:highlight w:val="none"/>
              </w:rPr>
            </w:pPr>
          </w:p>
        </w:tc>
      </w:tr>
      <w:tr w14:paraId="1C47D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0A48903B">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E0F7B37">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694505CD">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5F596CB">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ED92BFD">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836CF49">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E388D5A">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0F4DC316">
            <w:pPr>
              <w:spacing w:line="360" w:lineRule="exact"/>
              <w:jc w:val="center"/>
              <w:rPr>
                <w:rFonts w:hint="eastAsia" w:ascii="宋体" w:hAnsi="宋体" w:eastAsia="宋体" w:cs="宋体"/>
                <w:color w:val="auto"/>
                <w:sz w:val="28"/>
                <w:highlight w:val="none"/>
              </w:rPr>
            </w:pPr>
          </w:p>
        </w:tc>
      </w:tr>
      <w:tr w14:paraId="30EE3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72AD1C6A">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A7D1DE3">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7E4DCEBB">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4C166E8">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2F889D8">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1D78439">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F4E7DE9">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2DFA59FD">
            <w:pPr>
              <w:spacing w:line="360" w:lineRule="exact"/>
              <w:jc w:val="center"/>
              <w:rPr>
                <w:rFonts w:hint="eastAsia" w:ascii="宋体" w:hAnsi="宋体" w:eastAsia="宋体" w:cs="宋体"/>
                <w:color w:val="auto"/>
                <w:sz w:val="28"/>
                <w:highlight w:val="none"/>
              </w:rPr>
            </w:pPr>
          </w:p>
        </w:tc>
      </w:tr>
      <w:tr w14:paraId="412B8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5A750BDB">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1ABDB01B">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348F397A">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B1B2D8A">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C4B8911">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6F13A5D7">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225E488">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6DB09415">
            <w:pPr>
              <w:spacing w:line="360" w:lineRule="exact"/>
              <w:jc w:val="center"/>
              <w:rPr>
                <w:rFonts w:hint="eastAsia" w:ascii="宋体" w:hAnsi="宋体" w:eastAsia="宋体" w:cs="宋体"/>
                <w:color w:val="auto"/>
                <w:sz w:val="28"/>
                <w:highlight w:val="none"/>
              </w:rPr>
            </w:pPr>
          </w:p>
        </w:tc>
      </w:tr>
      <w:tr w14:paraId="12A44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414B283E">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B5B5155">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D5E55CC">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C057FD9">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E34FF5A">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107B9A4D">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D449594">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6246173B">
            <w:pPr>
              <w:spacing w:line="360" w:lineRule="exact"/>
              <w:jc w:val="center"/>
              <w:rPr>
                <w:rFonts w:hint="eastAsia" w:ascii="宋体" w:hAnsi="宋体" w:eastAsia="宋体" w:cs="宋体"/>
                <w:color w:val="auto"/>
                <w:sz w:val="28"/>
                <w:highlight w:val="none"/>
              </w:rPr>
            </w:pPr>
          </w:p>
        </w:tc>
      </w:tr>
      <w:tr w14:paraId="1EB18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6DD21223">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9317119">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2925CFD">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559F957">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E1F91C0">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A64C092">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A993B4D">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5E05688C">
            <w:pPr>
              <w:spacing w:line="360" w:lineRule="exact"/>
              <w:jc w:val="center"/>
              <w:rPr>
                <w:rFonts w:hint="eastAsia" w:ascii="宋体" w:hAnsi="宋体" w:eastAsia="宋体" w:cs="宋体"/>
                <w:color w:val="auto"/>
                <w:sz w:val="28"/>
                <w:highlight w:val="none"/>
              </w:rPr>
            </w:pPr>
          </w:p>
        </w:tc>
      </w:tr>
      <w:tr w14:paraId="61E3E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7C25767F">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6C175C13">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70AFD64C">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C038646">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D3AAE1E">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368C49BC">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BFA777A">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316FCC1A">
            <w:pPr>
              <w:spacing w:line="360" w:lineRule="exact"/>
              <w:jc w:val="center"/>
              <w:rPr>
                <w:rFonts w:hint="eastAsia" w:ascii="宋体" w:hAnsi="宋体" w:eastAsia="宋体" w:cs="宋体"/>
                <w:color w:val="auto"/>
                <w:sz w:val="28"/>
                <w:highlight w:val="none"/>
              </w:rPr>
            </w:pPr>
          </w:p>
        </w:tc>
      </w:tr>
      <w:tr w14:paraId="4C01A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032EF3F3">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2E7C9108">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75058838">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236D42F">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10B7AD4">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4B26192E">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64CEF67">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06858E29">
            <w:pPr>
              <w:spacing w:line="360" w:lineRule="exact"/>
              <w:jc w:val="center"/>
              <w:rPr>
                <w:rFonts w:hint="eastAsia" w:ascii="宋体" w:hAnsi="宋体" w:eastAsia="宋体" w:cs="宋体"/>
                <w:color w:val="auto"/>
                <w:sz w:val="28"/>
                <w:highlight w:val="none"/>
              </w:rPr>
            </w:pPr>
          </w:p>
        </w:tc>
      </w:tr>
      <w:tr w14:paraId="3D1CC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7206DF90">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073F746">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097ED2CF">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97A2FE6">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C6A679D">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53EEED92">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ABAB4CE">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6DD29C8A">
            <w:pPr>
              <w:spacing w:line="360" w:lineRule="exact"/>
              <w:jc w:val="center"/>
              <w:rPr>
                <w:rFonts w:hint="eastAsia" w:ascii="宋体" w:hAnsi="宋体" w:eastAsia="宋体" w:cs="宋体"/>
                <w:color w:val="auto"/>
                <w:sz w:val="28"/>
                <w:highlight w:val="none"/>
              </w:rPr>
            </w:pPr>
          </w:p>
        </w:tc>
      </w:tr>
      <w:tr w14:paraId="2E7B6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4" w:space="0"/>
              <w:right w:val="single" w:color="auto" w:sz="4" w:space="0"/>
            </w:tcBorders>
            <w:noWrap w:val="0"/>
            <w:vAlign w:val="center"/>
          </w:tcPr>
          <w:p w14:paraId="262DA545">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5EF8E1EF">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44A95F1B">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4F2F95E">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43C3B43">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71BBF531">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41A1AB3">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4" w:space="0"/>
              <w:right w:val="single" w:color="auto" w:sz="12" w:space="0"/>
            </w:tcBorders>
            <w:noWrap w:val="0"/>
            <w:vAlign w:val="center"/>
          </w:tcPr>
          <w:p w14:paraId="54693EAE">
            <w:pPr>
              <w:spacing w:line="360" w:lineRule="exact"/>
              <w:jc w:val="center"/>
              <w:rPr>
                <w:rFonts w:hint="eastAsia" w:ascii="宋体" w:hAnsi="宋体" w:eastAsia="宋体" w:cs="宋体"/>
                <w:color w:val="auto"/>
                <w:sz w:val="28"/>
                <w:highlight w:val="none"/>
              </w:rPr>
            </w:pPr>
          </w:p>
        </w:tc>
      </w:tr>
      <w:tr w14:paraId="45FC7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867" w:type="dxa"/>
            <w:tcBorders>
              <w:top w:val="single" w:color="auto" w:sz="4" w:space="0"/>
              <w:left w:val="single" w:color="auto" w:sz="12" w:space="0"/>
              <w:bottom w:val="single" w:color="auto" w:sz="12" w:space="0"/>
              <w:right w:val="single" w:color="auto" w:sz="4" w:space="0"/>
            </w:tcBorders>
            <w:noWrap w:val="0"/>
            <w:vAlign w:val="center"/>
          </w:tcPr>
          <w:p w14:paraId="2A726ACF">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12" w:space="0"/>
              <w:right w:val="single" w:color="auto" w:sz="4" w:space="0"/>
            </w:tcBorders>
            <w:noWrap w:val="0"/>
            <w:vAlign w:val="center"/>
          </w:tcPr>
          <w:p w14:paraId="5FA0E8D8">
            <w:pPr>
              <w:spacing w:line="360" w:lineRule="exact"/>
              <w:jc w:val="center"/>
              <w:rPr>
                <w:rFonts w:hint="eastAsia" w:ascii="宋体" w:hAnsi="宋体" w:eastAsia="宋体" w:cs="宋体"/>
                <w:color w:val="auto"/>
                <w:sz w:val="28"/>
                <w:highlight w:val="none"/>
              </w:rPr>
            </w:pPr>
          </w:p>
        </w:tc>
        <w:tc>
          <w:tcPr>
            <w:tcW w:w="967" w:type="dxa"/>
            <w:tcBorders>
              <w:top w:val="single" w:color="auto" w:sz="4" w:space="0"/>
              <w:left w:val="single" w:color="auto" w:sz="4" w:space="0"/>
              <w:bottom w:val="single" w:color="auto" w:sz="12" w:space="0"/>
              <w:right w:val="single" w:color="auto" w:sz="4" w:space="0"/>
            </w:tcBorders>
            <w:noWrap w:val="0"/>
            <w:vAlign w:val="center"/>
          </w:tcPr>
          <w:p w14:paraId="254EEDFE">
            <w:pPr>
              <w:spacing w:line="360" w:lineRule="exact"/>
              <w:jc w:val="center"/>
              <w:rPr>
                <w:rFonts w:hint="eastAsia" w:ascii="宋体" w:hAnsi="宋体" w:eastAsia="宋体" w:cs="宋体"/>
                <w:color w:val="auto"/>
                <w:sz w:val="28"/>
                <w:highlight w:val="none"/>
              </w:rPr>
            </w:pPr>
          </w:p>
        </w:tc>
        <w:tc>
          <w:tcPr>
            <w:tcW w:w="1278" w:type="dxa"/>
            <w:tcBorders>
              <w:top w:val="single" w:color="auto" w:sz="4" w:space="0"/>
              <w:left w:val="single" w:color="auto" w:sz="4" w:space="0"/>
              <w:bottom w:val="single" w:color="auto" w:sz="12" w:space="0"/>
              <w:right w:val="single" w:color="auto" w:sz="4" w:space="0"/>
            </w:tcBorders>
            <w:noWrap w:val="0"/>
            <w:vAlign w:val="center"/>
          </w:tcPr>
          <w:p w14:paraId="2E8636EF">
            <w:pPr>
              <w:spacing w:line="360" w:lineRule="exact"/>
              <w:jc w:val="center"/>
              <w:rPr>
                <w:rFonts w:hint="eastAsia" w:ascii="宋体" w:hAnsi="宋体" w:eastAsia="宋体" w:cs="宋体"/>
                <w:color w:val="auto"/>
                <w:sz w:val="28"/>
                <w:highlight w:val="none"/>
              </w:rPr>
            </w:pPr>
          </w:p>
        </w:tc>
        <w:tc>
          <w:tcPr>
            <w:tcW w:w="1255" w:type="dxa"/>
            <w:tcBorders>
              <w:top w:val="single" w:color="auto" w:sz="4" w:space="0"/>
              <w:left w:val="single" w:color="auto" w:sz="4" w:space="0"/>
              <w:bottom w:val="single" w:color="auto" w:sz="12" w:space="0"/>
              <w:right w:val="single" w:color="auto" w:sz="4" w:space="0"/>
            </w:tcBorders>
            <w:noWrap w:val="0"/>
            <w:vAlign w:val="center"/>
          </w:tcPr>
          <w:p w14:paraId="78DFF0A0">
            <w:pPr>
              <w:spacing w:line="360" w:lineRule="exact"/>
              <w:jc w:val="center"/>
              <w:rPr>
                <w:rFonts w:hint="eastAsia" w:ascii="宋体" w:hAnsi="宋体" w:eastAsia="宋体" w:cs="宋体"/>
                <w:color w:val="auto"/>
                <w:sz w:val="28"/>
                <w:highlight w:val="none"/>
              </w:rPr>
            </w:pPr>
          </w:p>
        </w:tc>
        <w:tc>
          <w:tcPr>
            <w:tcW w:w="1327" w:type="dxa"/>
            <w:tcBorders>
              <w:top w:val="single" w:color="auto" w:sz="4" w:space="0"/>
              <w:left w:val="single" w:color="auto" w:sz="4" w:space="0"/>
              <w:bottom w:val="single" w:color="auto" w:sz="12" w:space="0"/>
              <w:right w:val="single" w:color="auto" w:sz="4" w:space="0"/>
            </w:tcBorders>
            <w:noWrap w:val="0"/>
            <w:vAlign w:val="center"/>
          </w:tcPr>
          <w:p w14:paraId="614EACAD">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12" w:space="0"/>
              <w:right w:val="single" w:color="auto" w:sz="4" w:space="0"/>
            </w:tcBorders>
            <w:noWrap w:val="0"/>
            <w:vAlign w:val="center"/>
          </w:tcPr>
          <w:p w14:paraId="7C5AE845">
            <w:pPr>
              <w:spacing w:line="360" w:lineRule="exact"/>
              <w:jc w:val="center"/>
              <w:rPr>
                <w:rFonts w:hint="eastAsia" w:ascii="宋体" w:hAnsi="宋体" w:eastAsia="宋体" w:cs="宋体"/>
                <w:color w:val="auto"/>
                <w:sz w:val="28"/>
                <w:highlight w:val="none"/>
              </w:rPr>
            </w:pPr>
          </w:p>
        </w:tc>
        <w:tc>
          <w:tcPr>
            <w:tcW w:w="1369" w:type="dxa"/>
            <w:tcBorders>
              <w:top w:val="single" w:color="auto" w:sz="4" w:space="0"/>
              <w:left w:val="single" w:color="auto" w:sz="4" w:space="0"/>
              <w:bottom w:val="single" w:color="auto" w:sz="12" w:space="0"/>
              <w:right w:val="single" w:color="auto" w:sz="12" w:space="0"/>
            </w:tcBorders>
            <w:noWrap w:val="0"/>
            <w:vAlign w:val="center"/>
          </w:tcPr>
          <w:p w14:paraId="419152E1">
            <w:pPr>
              <w:spacing w:line="360" w:lineRule="exact"/>
              <w:jc w:val="center"/>
              <w:rPr>
                <w:rFonts w:hint="eastAsia" w:ascii="宋体" w:hAnsi="宋体" w:eastAsia="宋体" w:cs="宋体"/>
                <w:color w:val="auto"/>
                <w:sz w:val="28"/>
                <w:highlight w:val="none"/>
              </w:rPr>
            </w:pPr>
          </w:p>
        </w:tc>
      </w:tr>
    </w:tbl>
    <w:p w14:paraId="003340C3">
      <w:pPr>
        <w:spacing w:line="360" w:lineRule="exact"/>
        <w:ind w:left="770" w:hanging="770" w:hangingChars="350"/>
        <w:rPr>
          <w:rFonts w:hint="eastAsia" w:ascii="宋体" w:hAnsi="宋体" w:eastAsia="宋体" w:cs="宋体"/>
          <w:color w:val="auto"/>
          <w:sz w:val="22"/>
          <w:highlight w:val="none"/>
        </w:rPr>
      </w:pPr>
      <w:r>
        <w:rPr>
          <w:rFonts w:hint="eastAsia" w:ascii="宋体" w:hAnsi="宋体" w:eastAsia="宋体" w:cs="宋体"/>
          <w:color w:val="auto"/>
          <w:sz w:val="22"/>
          <w:highlight w:val="none"/>
        </w:rPr>
        <w:t>注：1、本表应附人员</w:t>
      </w:r>
      <w:r>
        <w:rPr>
          <w:rFonts w:hint="eastAsia" w:ascii="宋体" w:hAnsi="宋体" w:eastAsia="宋体" w:cs="宋体"/>
          <w:snapToGrid w:val="0"/>
          <w:color w:val="auto"/>
          <w:sz w:val="22"/>
          <w:szCs w:val="22"/>
          <w:highlight w:val="none"/>
        </w:rPr>
        <w:t>相关</w:t>
      </w:r>
      <w:r>
        <w:rPr>
          <w:rFonts w:hint="eastAsia" w:ascii="宋体" w:hAnsi="宋体" w:eastAsia="宋体" w:cs="宋体"/>
          <w:color w:val="auto"/>
          <w:sz w:val="22"/>
          <w:highlight w:val="none"/>
        </w:rPr>
        <w:t>证书证明、社保</w:t>
      </w:r>
      <w:r>
        <w:rPr>
          <w:rFonts w:hint="eastAsia" w:ascii="宋体" w:hAnsi="宋体" w:eastAsia="宋体" w:cs="宋体"/>
          <w:color w:val="auto"/>
          <w:sz w:val="22"/>
          <w:szCs w:val="22"/>
          <w:highlight w:val="none"/>
        </w:rPr>
        <w:t>证明</w:t>
      </w:r>
      <w:r>
        <w:rPr>
          <w:rFonts w:hint="eastAsia" w:ascii="宋体" w:hAnsi="宋体" w:eastAsia="宋体" w:cs="宋体"/>
          <w:color w:val="auto"/>
          <w:sz w:val="22"/>
          <w:highlight w:val="none"/>
        </w:rPr>
        <w:t>等扫描件</w:t>
      </w:r>
      <w:r>
        <w:rPr>
          <w:rFonts w:hint="eastAsia" w:ascii="宋体" w:hAnsi="宋体" w:eastAsia="宋体" w:cs="宋体"/>
          <w:color w:val="auto"/>
          <w:sz w:val="22"/>
          <w:szCs w:val="22"/>
          <w:highlight w:val="none"/>
        </w:rPr>
        <w:t>。</w:t>
      </w:r>
    </w:p>
    <w:p w14:paraId="3C4718E1">
      <w:pPr>
        <w:numPr>
          <w:ilvl w:val="0"/>
          <w:numId w:val="17"/>
        </w:numPr>
        <w:spacing w:line="360" w:lineRule="exact"/>
        <w:ind w:left="769" w:leftChars="209" w:hanging="330" w:hanging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本表仅提供了表格形式，可按此表格复制。</w:t>
      </w:r>
    </w:p>
    <w:p w14:paraId="3846FD8B">
      <w:pPr>
        <w:spacing w:line="360" w:lineRule="exact"/>
        <w:ind w:left="769" w:leftChars="209" w:hanging="330" w:hanging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3、本表所列人员作为专家评分的首要依据，未列入本表的人员将不予认可。</w:t>
      </w:r>
    </w:p>
    <w:p w14:paraId="115DB303">
      <w:pPr>
        <w:pStyle w:val="9"/>
        <w:spacing w:line="400" w:lineRule="atLeast"/>
        <w:rPr>
          <w:rFonts w:hint="eastAsia" w:ascii="宋体" w:hAnsi="宋体" w:eastAsia="宋体" w:cs="宋体"/>
          <w:color w:val="auto"/>
          <w:sz w:val="22"/>
          <w:szCs w:val="22"/>
          <w:highlight w:val="none"/>
        </w:rPr>
      </w:pPr>
    </w:p>
    <w:p w14:paraId="5DD0B09C">
      <w:pPr>
        <w:pStyle w:val="9"/>
        <w:spacing w:line="400" w:lineRule="atLeast"/>
        <w:rPr>
          <w:rFonts w:hint="eastAsia" w:ascii="宋体" w:hAnsi="宋体" w:eastAsia="宋体" w:cs="宋体"/>
          <w:color w:val="auto"/>
          <w:sz w:val="22"/>
          <w:szCs w:val="22"/>
          <w:highlight w:val="none"/>
        </w:rPr>
      </w:pPr>
    </w:p>
    <w:p w14:paraId="48658573">
      <w:pPr>
        <w:overflowPunct w:val="0"/>
        <w:spacing w:line="460" w:lineRule="exact"/>
        <w:ind w:firstLine="4620" w:firstLineChars="21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投标供应商名称（盖章）：</w:t>
      </w:r>
    </w:p>
    <w:p w14:paraId="7287C43D">
      <w:pPr>
        <w:overflowPunct w:val="0"/>
        <w:spacing w:line="460" w:lineRule="exact"/>
        <w:ind w:firstLine="4620" w:firstLineChars="210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投标供应商代表（签字）:</w:t>
      </w:r>
    </w:p>
    <w:p w14:paraId="54B5F45F">
      <w:pPr>
        <w:pStyle w:val="9"/>
        <w:spacing w:line="400" w:lineRule="atLeast"/>
        <w:ind w:left="660" w:hanging="660" w:hangingChars="300"/>
        <w:jc w:val="center"/>
        <w:rPr>
          <w:rFonts w:hint="eastAsia" w:ascii="宋体" w:hAnsi="宋体" w:eastAsia="宋体" w:cs="宋体"/>
          <w:b/>
          <w:color w:val="auto"/>
          <w:kern w:val="2"/>
          <w:sz w:val="28"/>
          <w:szCs w:val="28"/>
          <w:highlight w:val="none"/>
        </w:rPr>
      </w:pPr>
      <w:r>
        <w:rPr>
          <w:rFonts w:hint="eastAsia" w:ascii="宋体" w:hAnsi="宋体" w:eastAsia="宋体" w:cs="宋体"/>
          <w:color w:val="auto"/>
          <w:sz w:val="22"/>
          <w:highlight w:val="none"/>
        </w:rPr>
        <w:t xml:space="preserve">                         日    期：    年   月   日</w:t>
      </w:r>
    </w:p>
    <w:p w14:paraId="5A282B1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AA3385C">
      <w:pPr>
        <w:pStyle w:val="3"/>
        <w:spacing w:line="400" w:lineRule="exact"/>
        <w:rPr>
          <w:rFonts w:hint="eastAsia" w:ascii="宋体" w:hAnsi="宋体" w:eastAsia="宋体" w:cs="宋体"/>
          <w:color w:val="auto"/>
          <w:sz w:val="22"/>
          <w:szCs w:val="22"/>
          <w:highlight w:val="none"/>
        </w:rPr>
      </w:pPr>
      <w:bookmarkStart w:id="80" w:name="_Toc28531750"/>
      <w:bookmarkStart w:id="81" w:name="_Toc39827214"/>
      <w:bookmarkStart w:id="82" w:name="_Toc10982"/>
      <w:bookmarkStart w:id="83" w:name="_Toc39762217"/>
      <w:r>
        <w:rPr>
          <w:rFonts w:hint="eastAsia" w:ascii="宋体" w:hAnsi="宋体" w:eastAsia="宋体" w:cs="宋体"/>
          <w:color w:val="auto"/>
          <w:sz w:val="22"/>
          <w:szCs w:val="22"/>
          <w:highlight w:val="none"/>
        </w:rPr>
        <w:t>附件八  项目业绩</w:t>
      </w:r>
      <w:bookmarkEnd w:id="80"/>
      <w:bookmarkEnd w:id="81"/>
      <w:bookmarkEnd w:id="82"/>
      <w:bookmarkEnd w:id="83"/>
    </w:p>
    <w:p w14:paraId="026935F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项目业绩</w:t>
      </w:r>
    </w:p>
    <w:p w14:paraId="2DBFEAC0">
      <w:pPr>
        <w:spacing w:line="46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2"/>
          <w:szCs w:val="22"/>
          <w:highlight w:val="none"/>
        </w:rPr>
        <w:t>项目名称：                                              项目编号：</w:t>
      </w:r>
    </w:p>
    <w:tbl>
      <w:tblPr>
        <w:tblStyle w:val="1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29"/>
        <w:gridCol w:w="1898"/>
        <w:gridCol w:w="1285"/>
        <w:gridCol w:w="1132"/>
        <w:gridCol w:w="1156"/>
        <w:gridCol w:w="1182"/>
      </w:tblGrid>
      <w:tr w14:paraId="1480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28CE0A18">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129" w:type="dxa"/>
            <w:noWrap w:val="0"/>
            <w:vAlign w:val="center"/>
          </w:tcPr>
          <w:p w14:paraId="7AB60E45">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项目内容</w:t>
            </w:r>
          </w:p>
        </w:tc>
        <w:tc>
          <w:tcPr>
            <w:tcW w:w="1898" w:type="dxa"/>
            <w:noWrap w:val="0"/>
            <w:vAlign w:val="center"/>
          </w:tcPr>
          <w:p w14:paraId="4846C35C">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用户单位</w:t>
            </w:r>
          </w:p>
        </w:tc>
        <w:tc>
          <w:tcPr>
            <w:tcW w:w="1285" w:type="dxa"/>
            <w:noWrap w:val="0"/>
            <w:vAlign w:val="center"/>
          </w:tcPr>
          <w:p w14:paraId="5949BE45">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132" w:type="dxa"/>
            <w:noWrap w:val="0"/>
            <w:vAlign w:val="center"/>
          </w:tcPr>
          <w:p w14:paraId="100970A5">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w:t>
            </w:r>
          </w:p>
          <w:p w14:paraId="30CB3B7A">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日期</w:t>
            </w:r>
          </w:p>
        </w:tc>
        <w:tc>
          <w:tcPr>
            <w:tcW w:w="1156" w:type="dxa"/>
            <w:noWrap w:val="0"/>
            <w:vAlign w:val="center"/>
          </w:tcPr>
          <w:p w14:paraId="0EFDFACC">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1182" w:type="dxa"/>
            <w:noWrap w:val="0"/>
            <w:vAlign w:val="center"/>
          </w:tcPr>
          <w:p w14:paraId="1A4B0655">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04BD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1035D323">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25516EB0">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7C730052">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70E48F22">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5891B773">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26BD02C9">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505AB155">
            <w:pPr>
              <w:spacing w:line="380" w:lineRule="exact"/>
              <w:jc w:val="center"/>
              <w:rPr>
                <w:rFonts w:hint="eastAsia" w:ascii="宋体" w:hAnsi="宋体" w:eastAsia="宋体" w:cs="宋体"/>
                <w:b/>
                <w:bCs/>
                <w:color w:val="auto"/>
                <w:sz w:val="22"/>
                <w:szCs w:val="22"/>
                <w:highlight w:val="none"/>
              </w:rPr>
            </w:pPr>
          </w:p>
        </w:tc>
      </w:tr>
      <w:tr w14:paraId="2099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007A9710">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5B7FD344">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3F57DD31">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4A4A1A98">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05015A0D">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1D3FA9A5">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25436568">
            <w:pPr>
              <w:spacing w:line="380" w:lineRule="exact"/>
              <w:jc w:val="center"/>
              <w:rPr>
                <w:rFonts w:hint="eastAsia" w:ascii="宋体" w:hAnsi="宋体" w:eastAsia="宋体" w:cs="宋体"/>
                <w:b/>
                <w:bCs/>
                <w:color w:val="auto"/>
                <w:sz w:val="22"/>
                <w:szCs w:val="22"/>
                <w:highlight w:val="none"/>
              </w:rPr>
            </w:pPr>
          </w:p>
        </w:tc>
      </w:tr>
      <w:tr w14:paraId="5506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244287E1">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371CBF99">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17049F19">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07750FC4">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21DBA0FA">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377C7753">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4FB3A48B">
            <w:pPr>
              <w:spacing w:line="380" w:lineRule="exact"/>
              <w:jc w:val="center"/>
              <w:rPr>
                <w:rFonts w:hint="eastAsia" w:ascii="宋体" w:hAnsi="宋体" w:eastAsia="宋体" w:cs="宋体"/>
                <w:b/>
                <w:bCs/>
                <w:color w:val="auto"/>
                <w:sz w:val="22"/>
                <w:szCs w:val="22"/>
                <w:highlight w:val="none"/>
              </w:rPr>
            </w:pPr>
          </w:p>
        </w:tc>
      </w:tr>
      <w:tr w14:paraId="293F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48B7CC70">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3830FA3C">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7A95B7DA">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2F6B9927">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2B6364D8">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0578D5E8">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6E2F78A7">
            <w:pPr>
              <w:spacing w:line="380" w:lineRule="exact"/>
              <w:jc w:val="center"/>
              <w:rPr>
                <w:rFonts w:hint="eastAsia" w:ascii="宋体" w:hAnsi="宋体" w:eastAsia="宋体" w:cs="宋体"/>
                <w:b/>
                <w:bCs/>
                <w:color w:val="auto"/>
                <w:sz w:val="22"/>
                <w:szCs w:val="22"/>
                <w:highlight w:val="none"/>
              </w:rPr>
            </w:pPr>
          </w:p>
        </w:tc>
      </w:tr>
      <w:tr w14:paraId="5BFD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3AD3E27C">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6F3C3B3B">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4483D734">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4AB50486">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765F12E6">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100C1352">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0BF80F94">
            <w:pPr>
              <w:spacing w:line="380" w:lineRule="exact"/>
              <w:jc w:val="center"/>
              <w:rPr>
                <w:rFonts w:hint="eastAsia" w:ascii="宋体" w:hAnsi="宋体" w:eastAsia="宋体" w:cs="宋体"/>
                <w:b/>
                <w:bCs/>
                <w:color w:val="auto"/>
                <w:sz w:val="22"/>
                <w:szCs w:val="22"/>
                <w:highlight w:val="none"/>
              </w:rPr>
            </w:pPr>
          </w:p>
        </w:tc>
      </w:tr>
      <w:tr w14:paraId="790F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770CCBCD">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1E691757">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3ACDE07E">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1BC70906">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4E53EFC6">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3B36E564">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0D1CB930">
            <w:pPr>
              <w:spacing w:line="380" w:lineRule="exact"/>
              <w:jc w:val="center"/>
              <w:rPr>
                <w:rFonts w:hint="eastAsia" w:ascii="宋体" w:hAnsi="宋体" w:eastAsia="宋体" w:cs="宋体"/>
                <w:b/>
                <w:bCs/>
                <w:color w:val="auto"/>
                <w:sz w:val="22"/>
                <w:szCs w:val="22"/>
                <w:highlight w:val="none"/>
              </w:rPr>
            </w:pPr>
          </w:p>
        </w:tc>
      </w:tr>
      <w:tr w14:paraId="5061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2B0394B5">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6114166A">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38908CA8">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2D0E64DD">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259A1996">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41178E85">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5C718051">
            <w:pPr>
              <w:spacing w:line="380" w:lineRule="exact"/>
              <w:jc w:val="center"/>
              <w:rPr>
                <w:rFonts w:hint="eastAsia" w:ascii="宋体" w:hAnsi="宋体" w:eastAsia="宋体" w:cs="宋体"/>
                <w:b/>
                <w:bCs/>
                <w:color w:val="auto"/>
                <w:sz w:val="22"/>
                <w:szCs w:val="22"/>
                <w:highlight w:val="none"/>
              </w:rPr>
            </w:pPr>
          </w:p>
        </w:tc>
      </w:tr>
      <w:tr w14:paraId="17CB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521796F0">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35F6E611">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681FC3D5">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26630CDE">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3D491D91">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5A089DB3">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6554115D">
            <w:pPr>
              <w:spacing w:line="380" w:lineRule="exact"/>
              <w:jc w:val="center"/>
              <w:rPr>
                <w:rFonts w:hint="eastAsia" w:ascii="宋体" w:hAnsi="宋体" w:eastAsia="宋体" w:cs="宋体"/>
                <w:b/>
                <w:bCs/>
                <w:color w:val="auto"/>
                <w:sz w:val="22"/>
                <w:szCs w:val="22"/>
                <w:highlight w:val="none"/>
              </w:rPr>
            </w:pPr>
          </w:p>
        </w:tc>
      </w:tr>
      <w:tr w14:paraId="2693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74CD1631">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47184627">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658917F2">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17EAD78F">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46D0B853">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57455E4A">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5C77F2B0">
            <w:pPr>
              <w:spacing w:line="380" w:lineRule="exact"/>
              <w:jc w:val="center"/>
              <w:rPr>
                <w:rFonts w:hint="eastAsia" w:ascii="宋体" w:hAnsi="宋体" w:eastAsia="宋体" w:cs="宋体"/>
                <w:b/>
                <w:bCs/>
                <w:color w:val="auto"/>
                <w:sz w:val="22"/>
                <w:szCs w:val="22"/>
                <w:highlight w:val="none"/>
              </w:rPr>
            </w:pPr>
          </w:p>
        </w:tc>
      </w:tr>
      <w:tr w14:paraId="4F3A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5EBCC356">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2D796955">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2D7DE6F2">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12655738">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1C8C7AA9">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6FBF4A21">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7D11AE40">
            <w:pPr>
              <w:spacing w:line="380" w:lineRule="exact"/>
              <w:jc w:val="center"/>
              <w:rPr>
                <w:rFonts w:hint="eastAsia" w:ascii="宋体" w:hAnsi="宋体" w:eastAsia="宋体" w:cs="宋体"/>
                <w:b/>
                <w:bCs/>
                <w:color w:val="auto"/>
                <w:sz w:val="22"/>
                <w:szCs w:val="22"/>
                <w:highlight w:val="none"/>
              </w:rPr>
            </w:pPr>
          </w:p>
        </w:tc>
      </w:tr>
      <w:tr w14:paraId="006A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51" w:type="dxa"/>
            <w:noWrap w:val="0"/>
            <w:vAlign w:val="center"/>
          </w:tcPr>
          <w:p w14:paraId="707748B8">
            <w:pPr>
              <w:spacing w:line="380" w:lineRule="exact"/>
              <w:jc w:val="center"/>
              <w:rPr>
                <w:rFonts w:hint="eastAsia" w:ascii="宋体" w:hAnsi="宋体" w:eastAsia="宋体" w:cs="宋体"/>
                <w:b/>
                <w:bCs/>
                <w:color w:val="auto"/>
                <w:sz w:val="22"/>
                <w:szCs w:val="22"/>
                <w:highlight w:val="none"/>
              </w:rPr>
            </w:pPr>
          </w:p>
        </w:tc>
        <w:tc>
          <w:tcPr>
            <w:tcW w:w="2129" w:type="dxa"/>
            <w:noWrap w:val="0"/>
            <w:vAlign w:val="center"/>
          </w:tcPr>
          <w:p w14:paraId="07CE6B72">
            <w:pPr>
              <w:spacing w:line="380" w:lineRule="exact"/>
              <w:jc w:val="center"/>
              <w:rPr>
                <w:rFonts w:hint="eastAsia" w:ascii="宋体" w:hAnsi="宋体" w:eastAsia="宋体" w:cs="宋体"/>
                <w:b/>
                <w:bCs/>
                <w:color w:val="auto"/>
                <w:sz w:val="22"/>
                <w:szCs w:val="22"/>
                <w:highlight w:val="none"/>
              </w:rPr>
            </w:pPr>
          </w:p>
        </w:tc>
        <w:tc>
          <w:tcPr>
            <w:tcW w:w="1898" w:type="dxa"/>
            <w:noWrap w:val="0"/>
            <w:vAlign w:val="center"/>
          </w:tcPr>
          <w:p w14:paraId="5716EC22">
            <w:pPr>
              <w:spacing w:line="380" w:lineRule="exact"/>
              <w:jc w:val="center"/>
              <w:rPr>
                <w:rFonts w:hint="eastAsia" w:ascii="宋体" w:hAnsi="宋体" w:eastAsia="宋体" w:cs="宋体"/>
                <w:b/>
                <w:bCs/>
                <w:color w:val="auto"/>
                <w:sz w:val="22"/>
                <w:szCs w:val="22"/>
                <w:highlight w:val="none"/>
              </w:rPr>
            </w:pPr>
          </w:p>
        </w:tc>
        <w:tc>
          <w:tcPr>
            <w:tcW w:w="1285" w:type="dxa"/>
            <w:noWrap w:val="0"/>
            <w:vAlign w:val="center"/>
          </w:tcPr>
          <w:p w14:paraId="6A95E49D">
            <w:pPr>
              <w:spacing w:line="380" w:lineRule="exact"/>
              <w:jc w:val="center"/>
              <w:rPr>
                <w:rFonts w:hint="eastAsia" w:ascii="宋体" w:hAnsi="宋体" w:eastAsia="宋体" w:cs="宋体"/>
                <w:b/>
                <w:bCs/>
                <w:color w:val="auto"/>
                <w:sz w:val="22"/>
                <w:szCs w:val="22"/>
                <w:highlight w:val="none"/>
              </w:rPr>
            </w:pPr>
          </w:p>
        </w:tc>
        <w:tc>
          <w:tcPr>
            <w:tcW w:w="1132" w:type="dxa"/>
            <w:noWrap w:val="0"/>
            <w:vAlign w:val="center"/>
          </w:tcPr>
          <w:p w14:paraId="5193BAAE">
            <w:pPr>
              <w:spacing w:line="380" w:lineRule="exact"/>
              <w:jc w:val="center"/>
              <w:rPr>
                <w:rFonts w:hint="eastAsia" w:ascii="宋体" w:hAnsi="宋体" w:eastAsia="宋体" w:cs="宋体"/>
                <w:b/>
                <w:bCs/>
                <w:color w:val="auto"/>
                <w:sz w:val="22"/>
                <w:szCs w:val="22"/>
                <w:highlight w:val="none"/>
              </w:rPr>
            </w:pPr>
          </w:p>
        </w:tc>
        <w:tc>
          <w:tcPr>
            <w:tcW w:w="1156" w:type="dxa"/>
            <w:noWrap w:val="0"/>
            <w:vAlign w:val="center"/>
          </w:tcPr>
          <w:p w14:paraId="664B8A5D">
            <w:pPr>
              <w:spacing w:line="380" w:lineRule="exact"/>
              <w:jc w:val="center"/>
              <w:rPr>
                <w:rFonts w:hint="eastAsia" w:ascii="宋体" w:hAnsi="宋体" w:eastAsia="宋体" w:cs="宋体"/>
                <w:b/>
                <w:bCs/>
                <w:color w:val="auto"/>
                <w:sz w:val="22"/>
                <w:szCs w:val="22"/>
                <w:highlight w:val="none"/>
              </w:rPr>
            </w:pPr>
          </w:p>
        </w:tc>
        <w:tc>
          <w:tcPr>
            <w:tcW w:w="1182" w:type="dxa"/>
            <w:noWrap w:val="0"/>
            <w:vAlign w:val="center"/>
          </w:tcPr>
          <w:p w14:paraId="7EA72D5B">
            <w:pPr>
              <w:spacing w:line="380" w:lineRule="exact"/>
              <w:jc w:val="center"/>
              <w:rPr>
                <w:rFonts w:hint="eastAsia" w:ascii="宋体" w:hAnsi="宋体" w:eastAsia="宋体" w:cs="宋体"/>
                <w:b/>
                <w:bCs/>
                <w:color w:val="auto"/>
                <w:sz w:val="22"/>
                <w:szCs w:val="22"/>
                <w:highlight w:val="none"/>
              </w:rPr>
            </w:pPr>
          </w:p>
        </w:tc>
      </w:tr>
    </w:tbl>
    <w:p w14:paraId="7434DDF0">
      <w:pPr>
        <w:spacing w:line="320" w:lineRule="exact"/>
        <w:ind w:left="660" w:hanging="660" w:hangingChars="300"/>
        <w:jc w:val="left"/>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注：1、</w:t>
      </w:r>
      <w:r>
        <w:rPr>
          <w:rFonts w:hint="eastAsia" w:ascii="宋体" w:hAnsi="宋体" w:eastAsia="宋体" w:cs="宋体"/>
          <w:color w:val="auto"/>
          <w:sz w:val="22"/>
          <w:szCs w:val="22"/>
          <w:highlight w:val="none"/>
        </w:rPr>
        <w:t>按评分内容要求提供有效的业绩及相关证明</w:t>
      </w:r>
      <w:r>
        <w:rPr>
          <w:rFonts w:hint="eastAsia" w:ascii="宋体" w:hAnsi="宋体" w:eastAsia="宋体" w:cs="宋体"/>
          <w:color w:val="auto"/>
          <w:kern w:val="0"/>
          <w:sz w:val="22"/>
          <w:szCs w:val="22"/>
          <w:highlight w:val="none"/>
        </w:rPr>
        <w:t>。</w:t>
      </w:r>
    </w:p>
    <w:p w14:paraId="14C04288">
      <w:pPr>
        <w:spacing w:line="360" w:lineRule="exact"/>
        <w:ind w:left="404" w:leftChars="179" w:hanging="28" w:hangingChars="1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2、本表可在不改变格式的情况下根据具体需要自行增减。</w:t>
      </w:r>
    </w:p>
    <w:p w14:paraId="7C07A233">
      <w:pPr>
        <w:spacing w:line="360" w:lineRule="exact"/>
        <w:ind w:left="459" w:leftChars="152" w:hanging="140" w:hangingChars="64"/>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3、本表所列业绩作为专家评分的首要依据，未列入本表的业绩将不予认可。</w:t>
      </w:r>
    </w:p>
    <w:p w14:paraId="71D8562C">
      <w:pPr>
        <w:spacing w:line="340" w:lineRule="exact"/>
        <w:rPr>
          <w:rFonts w:hint="eastAsia" w:ascii="宋体" w:hAnsi="宋体" w:eastAsia="宋体" w:cs="宋体"/>
          <w:bCs/>
          <w:color w:val="auto"/>
          <w:sz w:val="22"/>
          <w:szCs w:val="22"/>
          <w:highlight w:val="none"/>
        </w:rPr>
      </w:pPr>
    </w:p>
    <w:p w14:paraId="1A6BC4B1">
      <w:pPr>
        <w:spacing w:line="400" w:lineRule="exact"/>
        <w:ind w:firstLine="4400" w:firstLineChars="2000"/>
        <w:rPr>
          <w:rFonts w:hint="eastAsia" w:ascii="宋体" w:hAnsi="宋体" w:eastAsia="宋体" w:cs="宋体"/>
          <w:color w:val="auto"/>
          <w:sz w:val="22"/>
          <w:szCs w:val="22"/>
          <w:highlight w:val="none"/>
        </w:rPr>
      </w:pPr>
    </w:p>
    <w:p w14:paraId="2D0F7757">
      <w:pPr>
        <w:pStyle w:val="5"/>
        <w:rPr>
          <w:rFonts w:hint="eastAsia" w:ascii="宋体" w:hAnsi="宋体" w:eastAsia="宋体" w:cs="宋体"/>
          <w:color w:val="auto"/>
          <w:highlight w:val="none"/>
        </w:rPr>
      </w:pPr>
    </w:p>
    <w:p w14:paraId="609C72E3">
      <w:pPr>
        <w:pStyle w:val="9"/>
        <w:spacing w:line="400" w:lineRule="exact"/>
        <w:ind w:left="4605" w:leftChars="2193"/>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投标供应商名称（盖章）：</w:t>
      </w:r>
    </w:p>
    <w:p w14:paraId="13257591">
      <w:pPr>
        <w:pStyle w:val="9"/>
        <w:spacing w:line="400" w:lineRule="exac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                                          投标供应商代表（签字）：</w:t>
      </w:r>
    </w:p>
    <w:p w14:paraId="7C7F91C9">
      <w:pPr>
        <w:spacing w:line="400" w:lineRule="exact"/>
        <w:ind w:left="147" w:leftChars="70" w:firstLine="4261" w:firstLineChars="1937"/>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 xml:space="preserve">  日    期：    年   月   日</w:t>
      </w:r>
    </w:p>
    <w:p w14:paraId="39534D9E">
      <w:pPr>
        <w:spacing w:line="400" w:lineRule="exact"/>
        <w:ind w:left="147" w:leftChars="70" w:firstLine="4261" w:firstLineChars="1937"/>
        <w:rPr>
          <w:rFonts w:hint="eastAsia" w:ascii="宋体" w:hAnsi="宋体" w:eastAsia="宋体" w:cs="宋体"/>
          <w:color w:val="auto"/>
          <w:sz w:val="22"/>
          <w:szCs w:val="22"/>
          <w:highlight w:val="none"/>
        </w:rPr>
      </w:pPr>
    </w:p>
    <w:p w14:paraId="3E8A33E9">
      <w:pPr>
        <w:pStyle w:val="4"/>
        <w:rPr>
          <w:rFonts w:hint="eastAsia" w:ascii="宋体" w:hAnsi="宋体" w:eastAsia="宋体" w:cs="宋体"/>
          <w:color w:val="auto"/>
          <w:highlight w:val="none"/>
        </w:rPr>
      </w:pPr>
      <w:bookmarkStart w:id="84" w:name="_Toc7425264"/>
      <w:bookmarkStart w:id="85" w:name="_Toc7173488"/>
      <w:bookmarkStart w:id="86" w:name="_Toc476318937"/>
      <w:bookmarkStart w:id="87" w:name="_Toc466407240"/>
      <w:bookmarkStart w:id="88" w:name="_Toc479946339"/>
    </w:p>
    <w:p w14:paraId="0330F810">
      <w:pPr>
        <w:pStyle w:val="4"/>
        <w:rPr>
          <w:rFonts w:hint="eastAsia" w:ascii="宋体" w:hAnsi="宋体" w:eastAsia="宋体" w:cs="宋体"/>
          <w:color w:val="auto"/>
          <w:sz w:val="24"/>
          <w:highlight w:val="none"/>
        </w:rPr>
      </w:pPr>
    </w:p>
    <w:p w14:paraId="0EE9D84E">
      <w:pPr>
        <w:pStyle w:val="3"/>
        <w:spacing w:line="400" w:lineRule="exact"/>
        <w:rPr>
          <w:rFonts w:hint="eastAsia" w:ascii="宋体" w:hAnsi="宋体" w:eastAsia="宋体" w:cs="宋体"/>
          <w:color w:val="auto"/>
          <w:sz w:val="22"/>
          <w:szCs w:val="22"/>
          <w:highlight w:val="none"/>
        </w:rPr>
      </w:pPr>
      <w:bookmarkStart w:id="89" w:name="_Toc2820"/>
      <w:r>
        <w:rPr>
          <w:rFonts w:hint="eastAsia" w:ascii="宋体" w:hAnsi="宋体" w:eastAsia="宋体" w:cs="宋体"/>
          <w:color w:val="auto"/>
          <w:sz w:val="22"/>
          <w:szCs w:val="22"/>
          <w:highlight w:val="none"/>
        </w:rPr>
        <w:t>附件九  诚信投标承诺书</w:t>
      </w:r>
      <w:bookmarkEnd w:id="84"/>
      <w:bookmarkEnd w:id="85"/>
      <w:bookmarkEnd w:id="86"/>
      <w:bookmarkEnd w:id="87"/>
      <w:bookmarkEnd w:id="88"/>
      <w:bookmarkEnd w:id="89"/>
    </w:p>
    <w:p w14:paraId="59E5B2A8">
      <w:pPr>
        <w:ind w:left="147" w:leftChars="70"/>
        <w:jc w:val="center"/>
        <w:rPr>
          <w:rFonts w:hint="eastAsia" w:ascii="宋体" w:hAnsi="宋体" w:eastAsia="宋体" w:cs="宋体"/>
          <w:b/>
          <w:color w:val="auto"/>
          <w:sz w:val="28"/>
          <w:szCs w:val="28"/>
          <w:highlight w:val="none"/>
        </w:rPr>
      </w:pPr>
    </w:p>
    <w:p w14:paraId="0BC33833">
      <w:pPr>
        <w:ind w:left="147" w:leftChars="7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诚信投标承诺书</w:t>
      </w:r>
    </w:p>
    <w:p w14:paraId="116DE062">
      <w:pPr>
        <w:spacing w:line="360" w:lineRule="auto"/>
        <w:ind w:right="-153" w:rightChars="-73"/>
        <w:rPr>
          <w:rFonts w:hint="eastAsia" w:ascii="宋体" w:hAnsi="宋体" w:eastAsia="宋体" w:cs="宋体"/>
          <w:color w:val="auto"/>
          <w:sz w:val="24"/>
          <w:highlight w:val="none"/>
        </w:rPr>
      </w:pPr>
    </w:p>
    <w:p w14:paraId="7C721968">
      <w:pPr>
        <w:spacing w:line="360" w:lineRule="auto"/>
        <w:ind w:right="-153" w:rightChars="-73"/>
        <w:rPr>
          <w:rFonts w:hint="eastAsia" w:ascii="宋体" w:hAnsi="宋体" w:eastAsia="宋体" w:cs="宋体"/>
          <w:color w:val="auto"/>
          <w:sz w:val="24"/>
          <w:highlight w:val="none"/>
        </w:rPr>
      </w:pPr>
      <w:r>
        <w:rPr>
          <w:rFonts w:hint="eastAsia" w:ascii="宋体" w:hAnsi="宋体" w:eastAsia="宋体" w:cs="宋体"/>
          <w:color w:val="auto"/>
          <w:sz w:val="24"/>
          <w:highlight w:val="none"/>
        </w:rPr>
        <w:t>温州市综合行政执法局：</w:t>
      </w:r>
    </w:p>
    <w:p w14:paraId="04D5A911">
      <w:pPr>
        <w:spacing w:line="360" w:lineRule="auto"/>
        <w:ind w:right="-153" w:rightChars="-73"/>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浙江铭洋项目管理咨询有限公司</w:t>
      </w:r>
      <w:r>
        <w:rPr>
          <w:rFonts w:hint="eastAsia" w:ascii="宋体" w:hAnsi="宋体" w:eastAsia="宋体" w:cs="宋体"/>
          <w:color w:val="auto"/>
          <w:sz w:val="24"/>
          <w:highlight w:val="none"/>
        </w:rPr>
        <w:t>：</w:t>
      </w:r>
    </w:p>
    <w:p w14:paraId="419BAAA8">
      <w:pPr>
        <w:spacing w:line="360" w:lineRule="auto"/>
        <w:ind w:right="-153" w:rightChars="-73"/>
        <w:rPr>
          <w:rFonts w:hint="eastAsia" w:ascii="宋体" w:hAnsi="宋体" w:eastAsia="宋体" w:cs="宋体"/>
          <w:color w:val="auto"/>
          <w:sz w:val="24"/>
          <w:highlight w:val="none"/>
        </w:rPr>
      </w:pPr>
    </w:p>
    <w:p w14:paraId="707087F6">
      <w:pPr>
        <w:spacing w:line="560" w:lineRule="exact"/>
        <w:ind w:right="-153" w:rightChars="-73"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我方（联合体）参与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（采购项目名称、编号）投标，本公司郑重承诺：</w:t>
      </w:r>
    </w:p>
    <w:p w14:paraId="3A02053F">
      <w:pPr>
        <w:numPr>
          <w:ilvl w:val="0"/>
          <w:numId w:val="18"/>
        </w:numPr>
        <w:tabs>
          <w:tab w:val="left" w:pos="851"/>
        </w:tabs>
        <w:spacing w:line="560" w:lineRule="exact"/>
        <w:ind w:left="788" w:hanging="363"/>
        <w:rPr>
          <w:rFonts w:hint="eastAsia" w:ascii="宋体" w:hAnsi="宋体" w:eastAsia="宋体" w:cs="宋体"/>
          <w:color w:val="auto"/>
          <w:sz w:val="24"/>
          <w:highlight w:val="none"/>
        </w:rPr>
      </w:pPr>
      <w:r>
        <w:rPr>
          <w:rFonts w:hint="eastAsia" w:ascii="宋体" w:hAnsi="宋体" w:eastAsia="宋体" w:cs="宋体"/>
          <w:color w:val="auto"/>
          <w:sz w:val="24"/>
          <w:highlight w:val="none"/>
        </w:rPr>
        <w:t>自觉遵守《中华人民共和国政府采购法》等法律法规的规定；</w:t>
      </w:r>
    </w:p>
    <w:p w14:paraId="7AE8D5BB">
      <w:pPr>
        <w:numPr>
          <w:ilvl w:val="0"/>
          <w:numId w:val="18"/>
        </w:numPr>
        <w:tabs>
          <w:tab w:val="left" w:pos="851"/>
        </w:tabs>
        <w:spacing w:line="560" w:lineRule="exact"/>
        <w:ind w:left="788" w:hanging="363"/>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投标文件中所提供的材料及技术参数真实有效，不存在虚假应标；</w:t>
      </w:r>
    </w:p>
    <w:p w14:paraId="434F07C9">
      <w:pPr>
        <w:numPr>
          <w:ilvl w:val="0"/>
          <w:numId w:val="18"/>
        </w:numPr>
        <w:tabs>
          <w:tab w:val="left" w:pos="851"/>
        </w:tabs>
        <w:spacing w:line="560" w:lineRule="exact"/>
        <w:ind w:left="788" w:hanging="363"/>
        <w:rPr>
          <w:rFonts w:hint="eastAsia" w:ascii="宋体" w:hAnsi="宋体" w:eastAsia="宋体" w:cs="宋体"/>
          <w:color w:val="auto"/>
          <w:sz w:val="24"/>
          <w:highlight w:val="none"/>
        </w:rPr>
      </w:pPr>
      <w:r>
        <w:rPr>
          <w:rFonts w:hint="eastAsia" w:ascii="宋体" w:hAnsi="宋体" w:eastAsia="宋体" w:cs="宋体"/>
          <w:color w:val="auto"/>
          <w:sz w:val="24"/>
          <w:highlight w:val="none"/>
        </w:rPr>
        <w:t>保证绝不采取不正当手段诋毁排挤其他投标供应商；</w:t>
      </w:r>
    </w:p>
    <w:p w14:paraId="39F1EF87">
      <w:pPr>
        <w:numPr>
          <w:ilvl w:val="0"/>
          <w:numId w:val="18"/>
        </w:numPr>
        <w:tabs>
          <w:tab w:val="left" w:pos="851"/>
        </w:tabs>
        <w:spacing w:line="560" w:lineRule="exact"/>
        <w:ind w:left="788" w:hanging="363"/>
        <w:rPr>
          <w:rFonts w:hint="eastAsia" w:ascii="宋体" w:hAnsi="宋体" w:eastAsia="宋体" w:cs="宋体"/>
          <w:color w:val="auto"/>
          <w:sz w:val="24"/>
          <w:highlight w:val="none"/>
        </w:rPr>
      </w:pPr>
      <w:r>
        <w:rPr>
          <w:rFonts w:hint="eastAsia" w:ascii="宋体" w:hAnsi="宋体" w:eastAsia="宋体" w:cs="宋体"/>
          <w:color w:val="auto"/>
          <w:sz w:val="24"/>
          <w:highlight w:val="none"/>
        </w:rPr>
        <w:t>保证绝不向采购人、采购代理机构有关工作人员提供不正当利益,以影响采购结果的公正性。</w:t>
      </w:r>
    </w:p>
    <w:p w14:paraId="2C21BAB8">
      <w:pPr>
        <w:numPr>
          <w:ilvl w:val="0"/>
          <w:numId w:val="18"/>
        </w:numPr>
        <w:tabs>
          <w:tab w:val="left" w:pos="851"/>
        </w:tabs>
        <w:spacing w:line="560" w:lineRule="exact"/>
        <w:ind w:left="788" w:hanging="363"/>
        <w:rPr>
          <w:rFonts w:hint="eastAsia" w:ascii="宋体" w:hAnsi="宋体" w:eastAsia="宋体" w:cs="宋体"/>
          <w:color w:val="auto"/>
          <w:sz w:val="24"/>
          <w:highlight w:val="none"/>
        </w:rPr>
      </w:pPr>
      <w:r>
        <w:rPr>
          <w:rFonts w:hint="eastAsia" w:ascii="宋体" w:hAnsi="宋体" w:eastAsia="宋体" w:cs="宋体"/>
          <w:color w:val="auto"/>
          <w:sz w:val="24"/>
          <w:highlight w:val="none"/>
        </w:rPr>
        <w:t>如中标，将全面忠实的履行投标文件所有响应与承诺，在规定的时间内与采购人签订采购合同。</w:t>
      </w:r>
    </w:p>
    <w:p w14:paraId="4C9D10EE">
      <w:pPr>
        <w:snapToGrid w:val="0"/>
        <w:spacing w:line="360" w:lineRule="auto"/>
        <w:ind w:firstLine="480" w:firstLineChars="200"/>
        <w:rPr>
          <w:rFonts w:hint="eastAsia" w:ascii="宋体" w:hAnsi="宋体" w:eastAsia="宋体" w:cs="宋体"/>
          <w:color w:val="auto"/>
          <w:sz w:val="24"/>
          <w:highlight w:val="none"/>
        </w:rPr>
      </w:pPr>
    </w:p>
    <w:p w14:paraId="27A343DF">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我方（联合体）若违反上述承诺，愿接受取消投标（中标）资格及其他任何形式的处理。</w:t>
      </w:r>
    </w:p>
    <w:p w14:paraId="00660E64">
      <w:pPr>
        <w:snapToGrid w:val="0"/>
        <w:spacing w:line="360" w:lineRule="auto"/>
        <w:ind w:firstLine="480" w:firstLineChars="200"/>
        <w:rPr>
          <w:rFonts w:hint="eastAsia" w:ascii="宋体" w:hAnsi="宋体" w:eastAsia="宋体" w:cs="宋体"/>
          <w:color w:val="auto"/>
          <w:sz w:val="24"/>
          <w:highlight w:val="none"/>
        </w:rPr>
      </w:pPr>
    </w:p>
    <w:p w14:paraId="69DB3555">
      <w:pPr>
        <w:snapToGrid w:val="0"/>
        <w:spacing w:line="360" w:lineRule="auto"/>
        <w:ind w:firstLine="420" w:firstLineChars="175"/>
        <w:rPr>
          <w:rFonts w:hint="eastAsia" w:ascii="宋体" w:hAnsi="宋体" w:eastAsia="宋体" w:cs="宋体"/>
          <w:color w:val="auto"/>
          <w:sz w:val="24"/>
          <w:highlight w:val="none"/>
        </w:rPr>
      </w:pPr>
    </w:p>
    <w:p w14:paraId="3BF1085C">
      <w:pPr>
        <w:spacing w:line="400" w:lineRule="exact"/>
        <w:ind w:firstLine="4819" w:firstLineChars="2008"/>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投标供应商全称（盖章）：</w:t>
      </w:r>
    </w:p>
    <w:p w14:paraId="3CE7D69F">
      <w:pPr>
        <w:spacing w:line="400" w:lineRule="exact"/>
        <w:ind w:firstLine="4819" w:firstLineChars="2008"/>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投标供应商代表（签字）：</w:t>
      </w:r>
    </w:p>
    <w:p w14:paraId="61131F77">
      <w:pPr>
        <w:spacing w:line="400" w:lineRule="exact"/>
        <w:ind w:firstLine="4819" w:firstLineChars="2008"/>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00CBADB">
      <w:pPr>
        <w:spacing w:line="400" w:lineRule="exact"/>
        <w:ind w:firstLine="5640" w:firstLineChars="2350"/>
        <w:textAlignment w:val="baseline"/>
        <w:rPr>
          <w:rFonts w:hint="eastAsia" w:ascii="宋体" w:hAnsi="宋体" w:eastAsia="宋体" w:cs="宋体"/>
          <w:color w:val="auto"/>
          <w:sz w:val="24"/>
          <w:highlight w:val="none"/>
        </w:rPr>
      </w:pPr>
    </w:p>
    <w:p w14:paraId="5905F576">
      <w:pPr>
        <w:spacing w:line="400" w:lineRule="exact"/>
        <w:ind w:firstLine="5640" w:firstLineChars="2350"/>
        <w:textAlignment w:val="baseline"/>
        <w:rPr>
          <w:rFonts w:hint="eastAsia" w:ascii="宋体" w:hAnsi="宋体" w:eastAsia="宋体" w:cs="宋体"/>
          <w:color w:val="auto"/>
          <w:sz w:val="24"/>
          <w:highlight w:val="none"/>
        </w:rPr>
      </w:pPr>
    </w:p>
    <w:p w14:paraId="59D9200A">
      <w:pPr>
        <w:spacing w:line="400" w:lineRule="exact"/>
        <w:textAlignment w:val="baseline"/>
        <w:rPr>
          <w:rFonts w:hint="eastAsia" w:ascii="宋体" w:hAnsi="宋体" w:eastAsia="宋体" w:cs="宋体"/>
          <w:bCs/>
          <w:color w:val="auto"/>
          <w:sz w:val="24"/>
          <w:highlight w:val="none"/>
        </w:rPr>
      </w:pPr>
    </w:p>
    <w:p w14:paraId="72392F56">
      <w:pPr>
        <w:spacing w:line="400" w:lineRule="exact"/>
        <w:textAlignment w:val="baseline"/>
        <w:rPr>
          <w:rFonts w:hint="eastAsia" w:ascii="宋体" w:hAnsi="宋体" w:eastAsia="宋体" w:cs="宋体"/>
          <w:bCs/>
          <w:color w:val="auto"/>
          <w:sz w:val="24"/>
          <w:highlight w:val="none"/>
        </w:rPr>
      </w:pPr>
    </w:p>
    <w:p w14:paraId="4C56167D">
      <w:pPr>
        <w:spacing w:line="400" w:lineRule="exact"/>
        <w:textAlignment w:val="baseline"/>
        <w:rPr>
          <w:rFonts w:hint="eastAsia" w:ascii="宋体" w:hAnsi="宋体" w:eastAsia="宋体" w:cs="宋体"/>
          <w:bCs/>
          <w:color w:val="auto"/>
          <w:sz w:val="24"/>
          <w:highlight w:val="none"/>
        </w:rPr>
      </w:pPr>
    </w:p>
    <w:p w14:paraId="5998F37F">
      <w:pPr>
        <w:spacing w:line="400" w:lineRule="exact"/>
        <w:textAlignment w:val="baseline"/>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▲不按要求提交本承诺书按无效标处理。</w:t>
      </w:r>
    </w:p>
    <w:p w14:paraId="2C484F58">
      <w:pPr>
        <w:pStyle w:val="8"/>
        <w:ind w:firstLine="240"/>
        <w:rPr>
          <w:rFonts w:hint="eastAsia" w:ascii="宋体" w:hAnsi="宋体" w:eastAsia="宋体" w:cs="宋体"/>
          <w:color w:val="auto"/>
          <w:sz w:val="24"/>
          <w:highlight w:val="none"/>
          <w:u w:val="single"/>
        </w:rPr>
      </w:pPr>
    </w:p>
    <w:p w14:paraId="22FE07E2">
      <w:pPr>
        <w:pStyle w:val="2"/>
        <w:tabs>
          <w:tab w:val="clear" w:pos="840"/>
        </w:tabs>
        <w:adjustRightInd/>
        <w:snapToGrid/>
        <w:spacing w:before="120" w:after="120" w:line="440" w:lineRule="exact"/>
        <w:jc w:val="center"/>
        <w:rPr>
          <w:rFonts w:hint="eastAsia" w:ascii="宋体" w:hAnsi="宋体" w:eastAsia="宋体" w:cs="宋体"/>
          <w:bCs/>
          <w:color w:val="auto"/>
          <w:sz w:val="32"/>
          <w:szCs w:val="32"/>
          <w:highlight w:val="none"/>
        </w:rPr>
      </w:pPr>
      <w:bookmarkStart w:id="90" w:name="_Toc18266"/>
      <w:bookmarkStart w:id="91" w:name="_Toc37941589"/>
      <w:r>
        <w:rPr>
          <w:rFonts w:hint="eastAsia" w:ascii="宋体" w:hAnsi="宋体" w:eastAsia="宋体" w:cs="宋体"/>
          <w:color w:val="auto"/>
          <w:sz w:val="32"/>
          <w:szCs w:val="32"/>
          <w:highlight w:val="none"/>
        </w:rPr>
        <w:t>第四部分  招标内容及要求</w:t>
      </w:r>
      <w:bookmarkEnd w:id="90"/>
      <w:bookmarkStart w:id="92" w:name="_Toc171189364"/>
      <w:bookmarkStart w:id="93" w:name="_Toc188355453"/>
      <w:bookmarkStart w:id="94" w:name="_Toc175826927"/>
    </w:p>
    <w:bookmarkEnd w:id="92"/>
    <w:bookmarkEnd w:id="93"/>
    <w:bookmarkEnd w:id="94"/>
    <w:p w14:paraId="75FB7028">
      <w:pPr>
        <w:pStyle w:val="22"/>
        <w:numPr>
          <w:ilvl w:val="0"/>
          <w:numId w:val="19"/>
        </w:numPr>
        <w:tabs>
          <w:tab w:val="left" w:pos="567"/>
        </w:tabs>
        <w:spacing w:before="0" w:beforeLines="0" w:after="0" w:afterLines="0" w:line="400" w:lineRule="exact"/>
        <w:ind w:left="0" w:firstLine="0"/>
        <w:jc w:val="left"/>
        <w:rPr>
          <w:rFonts w:hint="eastAsia" w:ascii="宋体" w:hAnsi="宋体" w:eastAsia="宋体" w:cs="宋体"/>
          <w:bCs w:val="0"/>
          <w:color w:val="auto"/>
          <w:sz w:val="22"/>
          <w:szCs w:val="22"/>
          <w:highlight w:val="none"/>
        </w:rPr>
      </w:pPr>
      <w:bookmarkStart w:id="95" w:name="_Toc13430"/>
      <w:r>
        <w:rPr>
          <w:rFonts w:hint="eastAsia" w:ascii="宋体" w:hAnsi="宋体" w:eastAsia="宋体" w:cs="宋体"/>
          <w:bCs w:val="0"/>
          <w:color w:val="auto"/>
          <w:sz w:val="22"/>
          <w:szCs w:val="22"/>
          <w:highlight w:val="none"/>
        </w:rPr>
        <w:t>项目概况</w:t>
      </w:r>
      <w:bookmarkEnd w:id="95"/>
    </w:p>
    <w:p w14:paraId="3B082077">
      <w:pPr>
        <w:spacing w:line="400" w:lineRule="exact"/>
        <w:ind w:left="330" w:hanging="330" w:hanging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1、本项目为</w:t>
      </w:r>
      <w:r>
        <w:rPr>
          <w:rFonts w:hint="eastAsia" w:ascii="宋体" w:hAnsi="宋体" w:eastAsia="宋体" w:cs="宋体"/>
          <w:color w:val="auto"/>
          <w:sz w:val="22"/>
          <w:highlight w:val="none"/>
          <w:lang w:eastAsia="zh-CN"/>
        </w:rPr>
        <w:t>2025年度垃圾分类宣传（媒体宣传）</w:t>
      </w:r>
      <w:r>
        <w:rPr>
          <w:rFonts w:hint="eastAsia" w:ascii="宋体" w:hAnsi="宋体" w:eastAsia="宋体" w:cs="宋体"/>
          <w:color w:val="auto"/>
          <w:sz w:val="22"/>
          <w:highlight w:val="none"/>
        </w:rPr>
        <w:t>服务采购，</w:t>
      </w:r>
      <w:r>
        <w:rPr>
          <w:rFonts w:hint="eastAsia" w:ascii="宋体" w:hAnsi="宋体" w:eastAsia="宋体" w:cs="宋体"/>
          <w:color w:val="auto"/>
          <w:sz w:val="22"/>
          <w:szCs w:val="22"/>
          <w:highlight w:val="none"/>
        </w:rPr>
        <w:t>参加本项目的投标供应商应</w:t>
      </w:r>
      <w:r>
        <w:rPr>
          <w:rFonts w:hint="eastAsia" w:ascii="宋体" w:hAnsi="宋体" w:eastAsia="宋体" w:cs="宋体"/>
          <w:color w:val="auto"/>
          <w:sz w:val="22"/>
          <w:highlight w:val="none"/>
        </w:rPr>
        <w:t>具有</w:t>
      </w:r>
      <w:r>
        <w:rPr>
          <w:rFonts w:hint="eastAsia" w:ascii="宋体" w:hAnsi="宋体" w:eastAsia="宋体" w:cs="宋体"/>
          <w:color w:val="auto"/>
          <w:sz w:val="22"/>
          <w:szCs w:val="22"/>
          <w:highlight w:val="none"/>
        </w:rPr>
        <w:t>较强的综合宣传活动项目管理和组织实施能力，具有能满足项目要求的媒体资源和宣传推广服务经验，具有履行本项目所必需的设备和专业技术能力，以及良好的诚信和信誉。</w:t>
      </w:r>
    </w:p>
    <w:p w14:paraId="57551CEC">
      <w:pPr>
        <w:spacing w:line="400" w:lineRule="exact"/>
        <w:ind w:left="330" w:hanging="330" w:hangingChars="15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2、本</w:t>
      </w:r>
      <w:r>
        <w:rPr>
          <w:rFonts w:hint="eastAsia" w:ascii="宋体" w:hAnsi="宋体" w:eastAsia="宋体" w:cs="宋体"/>
          <w:bCs/>
          <w:color w:val="auto"/>
          <w:sz w:val="22"/>
          <w:szCs w:val="22"/>
          <w:highlight w:val="none"/>
        </w:rPr>
        <w:t>项目为1个标段，</w:t>
      </w:r>
      <w:r>
        <w:rPr>
          <w:rFonts w:hint="eastAsia" w:ascii="宋体" w:hAnsi="宋体" w:eastAsia="宋体" w:cs="宋体"/>
          <w:color w:val="auto"/>
          <w:sz w:val="22"/>
          <w:szCs w:val="22"/>
          <w:highlight w:val="none"/>
        </w:rPr>
        <w:t>供应商可以根据自己的技术和商务优势进行投标，但不得只对部分采购内容进行投标。</w:t>
      </w:r>
    </w:p>
    <w:p w14:paraId="20ADA0EC">
      <w:pPr>
        <w:spacing w:line="400" w:lineRule="exact"/>
        <w:ind w:left="297" w:hanging="297" w:hangingChars="1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Cs/>
          <w:color w:val="auto"/>
          <w:sz w:val="22"/>
          <w:szCs w:val="22"/>
          <w:highlight w:val="none"/>
        </w:rPr>
        <w:t>▲</w:t>
      </w:r>
      <w:r>
        <w:rPr>
          <w:rFonts w:hint="eastAsia" w:ascii="宋体" w:hAnsi="宋体" w:eastAsia="宋体" w:cs="宋体"/>
          <w:color w:val="auto"/>
          <w:sz w:val="22"/>
          <w:szCs w:val="22"/>
          <w:highlight w:val="none"/>
          <w:u w:val="single"/>
        </w:rPr>
        <w:t>本项目采购预算为1</w:t>
      </w:r>
      <w:r>
        <w:rPr>
          <w:rFonts w:hint="eastAsia" w:ascii="宋体" w:hAnsi="宋体" w:eastAsia="宋体" w:cs="宋体"/>
          <w:color w:val="auto"/>
          <w:sz w:val="22"/>
          <w:szCs w:val="22"/>
          <w:highlight w:val="none"/>
          <w:u w:val="single"/>
          <w:lang w:val="en-US" w:eastAsia="zh-CN"/>
        </w:rPr>
        <w:t>03</w:t>
      </w:r>
      <w:r>
        <w:rPr>
          <w:rFonts w:hint="eastAsia" w:ascii="宋体" w:hAnsi="宋体" w:eastAsia="宋体" w:cs="宋体"/>
          <w:color w:val="auto"/>
          <w:sz w:val="22"/>
          <w:szCs w:val="22"/>
          <w:highlight w:val="none"/>
          <w:u w:val="single"/>
        </w:rPr>
        <w:t>万元，投标报价超过采购预算的投标文件按无效标处理。</w:t>
      </w:r>
    </w:p>
    <w:p w14:paraId="48117A60">
      <w:pPr>
        <w:spacing w:line="400" w:lineRule="exact"/>
        <w:ind w:left="330" w:hanging="330" w:hangingChars="15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4、</w:t>
      </w:r>
      <w:r>
        <w:rPr>
          <w:rFonts w:hint="eastAsia" w:ascii="宋体" w:hAnsi="宋体" w:eastAsia="宋体" w:cs="宋体"/>
          <w:color w:val="auto"/>
          <w:sz w:val="22"/>
          <w:szCs w:val="22"/>
          <w:highlight w:val="none"/>
        </w:rPr>
        <w:t>项目服务期限：自合同签订之日起至202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lang w:eastAsia="zh-CN"/>
        </w:rPr>
        <w:t>因甲方宣传需要部分宣传项目活动投放内容有延迟组织的，以实际双方协商日期为准</w:t>
      </w:r>
      <w:r>
        <w:rPr>
          <w:rFonts w:hint="eastAsia" w:ascii="宋体" w:hAnsi="宋体" w:eastAsia="宋体" w:cs="宋体"/>
          <w:color w:val="auto"/>
          <w:sz w:val="22"/>
          <w:szCs w:val="22"/>
          <w:highlight w:val="none"/>
        </w:rPr>
        <w:t>，具体各项活动开展时间按采购人要求执行。</w:t>
      </w:r>
    </w:p>
    <w:p w14:paraId="618626CE">
      <w:pPr>
        <w:pStyle w:val="22"/>
        <w:numPr>
          <w:ilvl w:val="0"/>
          <w:numId w:val="19"/>
        </w:numPr>
        <w:tabs>
          <w:tab w:val="left" w:pos="567"/>
        </w:tabs>
        <w:spacing w:before="60" w:beforeLines="25" w:after="60" w:afterLines="25" w:line="400" w:lineRule="exact"/>
        <w:ind w:left="0" w:firstLine="0"/>
        <w:jc w:val="left"/>
        <w:rPr>
          <w:rFonts w:hint="eastAsia" w:ascii="宋体" w:hAnsi="宋体" w:eastAsia="宋体" w:cs="宋体"/>
          <w:b w:val="0"/>
          <w:bCs w:val="0"/>
          <w:color w:val="auto"/>
          <w:sz w:val="22"/>
          <w:szCs w:val="22"/>
          <w:highlight w:val="none"/>
        </w:rPr>
      </w:pPr>
      <w:bookmarkStart w:id="96" w:name="_Toc7733"/>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rPr>
        <w:t>具体内容及服务要求</w:t>
      </w:r>
      <w:bookmarkEnd w:id="96"/>
    </w:p>
    <w:p w14:paraId="39CECD4C">
      <w:pPr>
        <w:rPr>
          <w:rFonts w:hint="eastAsia" w:ascii="宋体" w:hAnsi="宋体" w:eastAsia="宋体" w:cs="宋体"/>
          <w:b w:val="0"/>
          <w:bCs w:val="0"/>
          <w:color w:val="auto"/>
          <w:sz w:val="22"/>
          <w:szCs w:val="22"/>
          <w:highlight w:val="none"/>
          <w:u w:val="single"/>
        </w:rPr>
      </w:pPr>
    </w:p>
    <w:tbl>
      <w:tblPr>
        <w:tblStyle w:val="18"/>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3567"/>
        <w:gridCol w:w="3017"/>
      </w:tblGrid>
      <w:tr w14:paraId="3032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86" w:type="dxa"/>
            <w:gridSpan w:val="2"/>
            <w:shd w:val="clear" w:color="auto" w:fill="E6E6E6"/>
            <w:noWrap w:val="0"/>
            <w:vAlign w:val="center"/>
          </w:tcPr>
          <w:p w14:paraId="63817A3D">
            <w:pPr>
              <w:widowControl w:val="0"/>
              <w:numPr>
                <w:ilvl w:val="0"/>
                <w:numId w:val="0"/>
              </w:numPr>
              <w:wordWrap/>
              <w:autoSpaceDE/>
              <w:autoSpaceDN/>
              <w:adjustRightInd w:val="0"/>
              <w:snapToGrid/>
              <w:spacing w:line="360" w:lineRule="auto"/>
              <w:ind w:left="0" w:leftChars="0" w:right="0"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类型</w:t>
            </w:r>
          </w:p>
        </w:tc>
        <w:tc>
          <w:tcPr>
            <w:tcW w:w="3017" w:type="dxa"/>
            <w:shd w:val="clear" w:color="auto" w:fill="E6E6E6"/>
            <w:noWrap w:val="0"/>
            <w:vAlign w:val="center"/>
          </w:tcPr>
          <w:p w14:paraId="453B2085">
            <w:pPr>
              <w:widowControl w:val="0"/>
              <w:numPr>
                <w:ilvl w:val="0"/>
                <w:numId w:val="0"/>
              </w:numPr>
              <w:wordWrap/>
              <w:autoSpaceDE/>
              <w:autoSpaceDN/>
              <w:adjustRightInd w:val="0"/>
              <w:snapToGrid/>
              <w:spacing w:line="360" w:lineRule="auto"/>
              <w:ind w:right="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要求</w:t>
            </w:r>
          </w:p>
        </w:tc>
      </w:tr>
      <w:tr w14:paraId="75FC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noWrap w:val="0"/>
            <w:vAlign w:val="center"/>
          </w:tcPr>
          <w:p w14:paraId="292D108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国家级</w:t>
            </w:r>
          </w:p>
        </w:tc>
        <w:tc>
          <w:tcPr>
            <w:tcW w:w="3567" w:type="dxa"/>
            <w:noWrap w:val="0"/>
            <w:vAlign w:val="center"/>
          </w:tcPr>
          <w:p w14:paraId="35E949B8">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中国建设报</w:t>
            </w:r>
          </w:p>
        </w:tc>
        <w:tc>
          <w:tcPr>
            <w:tcW w:w="3017" w:type="dxa"/>
            <w:noWrap w:val="0"/>
            <w:vAlign w:val="center"/>
          </w:tcPr>
          <w:p w14:paraId="681D7918">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合计1个版面</w:t>
            </w:r>
          </w:p>
        </w:tc>
      </w:tr>
      <w:tr w14:paraId="6951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noWrap w:val="0"/>
            <w:vAlign w:val="center"/>
          </w:tcPr>
          <w:p w14:paraId="0D8F16B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省级</w:t>
            </w:r>
          </w:p>
        </w:tc>
        <w:tc>
          <w:tcPr>
            <w:tcW w:w="3567" w:type="dxa"/>
            <w:noWrap w:val="0"/>
            <w:vAlign w:val="center"/>
          </w:tcPr>
          <w:p w14:paraId="4D890AA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浙江日报</w:t>
            </w:r>
          </w:p>
        </w:tc>
        <w:tc>
          <w:tcPr>
            <w:tcW w:w="3017" w:type="dxa"/>
            <w:noWrap w:val="0"/>
            <w:vAlign w:val="center"/>
          </w:tcPr>
          <w:p w14:paraId="0C6307C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半个版面</w:t>
            </w:r>
          </w:p>
        </w:tc>
      </w:tr>
      <w:tr w14:paraId="36CC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restart"/>
            <w:noWrap w:val="0"/>
            <w:vAlign w:val="center"/>
          </w:tcPr>
          <w:p w14:paraId="60BE632A">
            <w:pPr>
              <w:jc w:val="center"/>
              <w:rPr>
                <w:rFonts w:hint="default"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地方级</w:t>
            </w:r>
          </w:p>
        </w:tc>
        <w:tc>
          <w:tcPr>
            <w:tcW w:w="3567" w:type="dxa"/>
            <w:noWrap w:val="0"/>
            <w:vAlign w:val="center"/>
          </w:tcPr>
          <w:p w14:paraId="7ABB6103">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温州日报</w:t>
            </w:r>
          </w:p>
        </w:tc>
        <w:tc>
          <w:tcPr>
            <w:tcW w:w="3017" w:type="dxa"/>
            <w:noWrap w:val="0"/>
            <w:vAlign w:val="center"/>
          </w:tcPr>
          <w:p w14:paraId="586913C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5个版面</w:t>
            </w:r>
          </w:p>
        </w:tc>
      </w:tr>
      <w:tr w14:paraId="005A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continue"/>
            <w:noWrap w:val="0"/>
            <w:vAlign w:val="center"/>
          </w:tcPr>
          <w:p w14:paraId="4D182D17">
            <w:pPr>
              <w:jc w:val="center"/>
              <w:rPr>
                <w:rFonts w:hint="eastAsia" w:ascii="宋体" w:hAnsi="宋体" w:eastAsia="宋体" w:cs="宋体"/>
                <w:color w:val="auto"/>
                <w:kern w:val="2"/>
                <w:sz w:val="21"/>
                <w:szCs w:val="24"/>
                <w:highlight w:val="none"/>
                <w:lang w:val="en-US" w:eastAsia="zh-CN" w:bidi="ar-SA"/>
              </w:rPr>
            </w:pPr>
          </w:p>
        </w:tc>
        <w:tc>
          <w:tcPr>
            <w:tcW w:w="3567" w:type="dxa"/>
            <w:noWrap w:val="0"/>
            <w:vAlign w:val="center"/>
          </w:tcPr>
          <w:p w14:paraId="17E19FA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温州都市报</w:t>
            </w:r>
          </w:p>
        </w:tc>
        <w:tc>
          <w:tcPr>
            <w:tcW w:w="3017" w:type="dxa"/>
            <w:noWrap w:val="0"/>
            <w:vAlign w:val="center"/>
          </w:tcPr>
          <w:p w14:paraId="6235B61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1个版面</w:t>
            </w:r>
          </w:p>
        </w:tc>
      </w:tr>
      <w:tr w14:paraId="19F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continue"/>
            <w:noWrap w:val="0"/>
            <w:vAlign w:val="center"/>
          </w:tcPr>
          <w:p w14:paraId="540327E2">
            <w:pPr>
              <w:jc w:val="center"/>
              <w:rPr>
                <w:rFonts w:hint="eastAsia" w:ascii="宋体" w:hAnsi="宋体" w:eastAsia="宋体" w:cs="宋体"/>
                <w:color w:val="auto"/>
                <w:kern w:val="2"/>
                <w:sz w:val="21"/>
                <w:szCs w:val="24"/>
                <w:highlight w:val="none"/>
                <w:lang w:val="en-US" w:eastAsia="zh-CN" w:bidi="ar-SA"/>
              </w:rPr>
            </w:pPr>
          </w:p>
        </w:tc>
        <w:tc>
          <w:tcPr>
            <w:tcW w:w="3567" w:type="dxa"/>
            <w:noWrap w:val="0"/>
            <w:vAlign w:val="center"/>
          </w:tcPr>
          <w:p w14:paraId="1E5B19EB">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温州晚报</w:t>
            </w:r>
          </w:p>
        </w:tc>
        <w:tc>
          <w:tcPr>
            <w:tcW w:w="3017" w:type="dxa"/>
            <w:noWrap w:val="0"/>
            <w:vAlign w:val="center"/>
          </w:tcPr>
          <w:p w14:paraId="1B56590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1个版面</w:t>
            </w:r>
          </w:p>
        </w:tc>
      </w:tr>
      <w:tr w14:paraId="0A11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continue"/>
            <w:noWrap w:val="0"/>
            <w:vAlign w:val="center"/>
          </w:tcPr>
          <w:p w14:paraId="537D3516">
            <w:pPr>
              <w:jc w:val="center"/>
              <w:rPr>
                <w:rFonts w:hint="eastAsia" w:ascii="宋体" w:hAnsi="宋体" w:eastAsia="宋体" w:cs="宋体"/>
                <w:color w:val="auto"/>
                <w:kern w:val="2"/>
                <w:sz w:val="21"/>
                <w:szCs w:val="24"/>
                <w:highlight w:val="none"/>
                <w:lang w:val="en-US" w:eastAsia="zh-CN" w:bidi="ar-SA"/>
              </w:rPr>
            </w:pPr>
          </w:p>
        </w:tc>
        <w:tc>
          <w:tcPr>
            <w:tcW w:w="3567" w:type="dxa"/>
            <w:noWrap w:val="0"/>
            <w:vAlign w:val="center"/>
          </w:tcPr>
          <w:p w14:paraId="4583D26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《温州新闻联播》《温州晚间新闻》</w:t>
            </w:r>
          </w:p>
        </w:tc>
        <w:tc>
          <w:tcPr>
            <w:tcW w:w="3017" w:type="dxa"/>
            <w:noWrap w:val="0"/>
            <w:vAlign w:val="center"/>
          </w:tcPr>
          <w:p w14:paraId="6CDB744A">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报道8次以上，精品短视频等策划6个</w:t>
            </w:r>
          </w:p>
        </w:tc>
      </w:tr>
      <w:tr w14:paraId="25D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restart"/>
            <w:noWrap w:val="0"/>
            <w:vAlign w:val="center"/>
          </w:tcPr>
          <w:p w14:paraId="61E36039">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新媒体</w:t>
            </w:r>
          </w:p>
        </w:tc>
        <w:tc>
          <w:tcPr>
            <w:tcW w:w="3567" w:type="dxa"/>
            <w:noWrap w:val="0"/>
            <w:vAlign w:val="center"/>
          </w:tcPr>
          <w:p w14:paraId="6644C2BB">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人民日报人民号</w:t>
            </w:r>
          </w:p>
        </w:tc>
        <w:tc>
          <w:tcPr>
            <w:tcW w:w="3017" w:type="dxa"/>
            <w:noWrap w:val="0"/>
            <w:vAlign w:val="center"/>
          </w:tcPr>
          <w:p w14:paraId="3F8484A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20篇</w:t>
            </w:r>
          </w:p>
        </w:tc>
      </w:tr>
      <w:tr w14:paraId="4554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continue"/>
            <w:noWrap w:val="0"/>
            <w:vAlign w:val="center"/>
          </w:tcPr>
          <w:p w14:paraId="0C57E3C9">
            <w:pPr>
              <w:jc w:val="center"/>
              <w:rPr>
                <w:rFonts w:hint="eastAsia" w:ascii="宋体" w:hAnsi="宋体" w:eastAsia="宋体" w:cs="宋体"/>
                <w:color w:val="auto"/>
                <w:kern w:val="2"/>
                <w:sz w:val="21"/>
                <w:szCs w:val="24"/>
                <w:highlight w:val="none"/>
                <w:lang w:val="en-US" w:eastAsia="zh-CN" w:bidi="ar-SA"/>
              </w:rPr>
            </w:pPr>
          </w:p>
        </w:tc>
        <w:tc>
          <w:tcPr>
            <w:tcW w:w="3567" w:type="dxa"/>
            <w:noWrap w:val="0"/>
            <w:vAlign w:val="center"/>
          </w:tcPr>
          <w:p w14:paraId="4C4E827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微信公众号“中新浙里”</w:t>
            </w:r>
          </w:p>
        </w:tc>
        <w:tc>
          <w:tcPr>
            <w:tcW w:w="3017" w:type="dxa"/>
            <w:noWrap w:val="0"/>
            <w:vAlign w:val="center"/>
          </w:tcPr>
          <w:p w14:paraId="0E175C0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5篇</w:t>
            </w:r>
          </w:p>
        </w:tc>
      </w:tr>
      <w:tr w14:paraId="50B2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continue"/>
            <w:noWrap w:val="0"/>
            <w:vAlign w:val="center"/>
          </w:tcPr>
          <w:p w14:paraId="3BC2ECCE">
            <w:pPr>
              <w:jc w:val="center"/>
              <w:rPr>
                <w:rFonts w:hint="eastAsia" w:ascii="宋体" w:hAnsi="宋体" w:eastAsia="宋体" w:cs="宋体"/>
                <w:color w:val="auto"/>
                <w:kern w:val="2"/>
                <w:sz w:val="21"/>
                <w:szCs w:val="24"/>
                <w:highlight w:val="none"/>
                <w:lang w:val="en-US" w:eastAsia="zh-CN" w:bidi="ar-SA"/>
              </w:rPr>
            </w:pPr>
          </w:p>
        </w:tc>
        <w:tc>
          <w:tcPr>
            <w:tcW w:w="3567" w:type="dxa"/>
            <w:noWrap w:val="0"/>
            <w:vAlign w:val="center"/>
          </w:tcPr>
          <w:p w14:paraId="505DF9BA">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中新网APP</w:t>
            </w:r>
          </w:p>
        </w:tc>
        <w:tc>
          <w:tcPr>
            <w:tcW w:w="3017" w:type="dxa"/>
            <w:noWrap w:val="0"/>
            <w:vAlign w:val="center"/>
          </w:tcPr>
          <w:p w14:paraId="338768F1">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10篇</w:t>
            </w:r>
          </w:p>
        </w:tc>
      </w:tr>
      <w:tr w14:paraId="556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9" w:type="dxa"/>
            <w:vMerge w:val="continue"/>
            <w:noWrap w:val="0"/>
            <w:vAlign w:val="center"/>
          </w:tcPr>
          <w:p w14:paraId="59BC2560">
            <w:pPr>
              <w:jc w:val="center"/>
              <w:rPr>
                <w:rFonts w:hint="eastAsia" w:ascii="宋体" w:hAnsi="宋体" w:eastAsia="宋体" w:cs="宋体"/>
                <w:color w:val="auto"/>
                <w:kern w:val="2"/>
                <w:sz w:val="21"/>
                <w:szCs w:val="24"/>
                <w:highlight w:val="none"/>
                <w:lang w:val="en-US" w:eastAsia="zh-CN" w:bidi="ar-SA"/>
              </w:rPr>
            </w:pPr>
          </w:p>
        </w:tc>
        <w:tc>
          <w:tcPr>
            <w:tcW w:w="3567" w:type="dxa"/>
            <w:noWrap w:val="0"/>
            <w:vAlign w:val="center"/>
          </w:tcPr>
          <w:p w14:paraId="261D37F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人民日报客户端、中国蓝新闻等同等级宣传平台</w:t>
            </w:r>
          </w:p>
        </w:tc>
        <w:tc>
          <w:tcPr>
            <w:tcW w:w="3017" w:type="dxa"/>
            <w:noWrap w:val="0"/>
            <w:vAlign w:val="center"/>
          </w:tcPr>
          <w:p w14:paraId="2298C79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48次</w:t>
            </w:r>
          </w:p>
        </w:tc>
      </w:tr>
    </w:tbl>
    <w:p w14:paraId="7CF58992">
      <w:pPr>
        <w:jc w:val="center"/>
        <w:rPr>
          <w:rFonts w:hint="eastAsia" w:ascii="宋体" w:hAnsi="宋体" w:eastAsia="宋体" w:cs="宋体"/>
          <w:color w:val="auto"/>
          <w:kern w:val="2"/>
          <w:sz w:val="21"/>
          <w:szCs w:val="24"/>
          <w:highlight w:val="none"/>
          <w:lang w:val="en-US" w:eastAsia="zh-CN" w:bidi="ar-SA"/>
        </w:rPr>
      </w:pPr>
    </w:p>
    <w:p w14:paraId="0C2F65B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合作期间内，围绕</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全年性或阶段性重点工作开展</w:t>
      </w:r>
      <w:r>
        <w:rPr>
          <w:rFonts w:hint="eastAsia" w:ascii="宋体" w:hAnsi="宋体" w:eastAsia="宋体" w:cs="宋体"/>
          <w:color w:val="auto"/>
          <w:sz w:val="24"/>
          <w:szCs w:val="24"/>
          <w:highlight w:val="none"/>
          <w:lang w:eastAsia="zh-CN"/>
        </w:rPr>
        <w:t>情况及</w:t>
      </w:r>
      <w:r>
        <w:rPr>
          <w:rFonts w:hint="eastAsia" w:ascii="宋体" w:hAnsi="宋体" w:eastAsia="宋体" w:cs="宋体"/>
          <w:color w:val="auto"/>
          <w:sz w:val="24"/>
          <w:szCs w:val="24"/>
          <w:highlight w:val="none"/>
          <w:lang w:val="en-US" w:eastAsia="zh-CN"/>
        </w:rPr>
        <w:t>年度宣传方案，</w:t>
      </w:r>
      <w:r>
        <w:rPr>
          <w:rFonts w:hint="eastAsia" w:ascii="宋体" w:hAnsi="宋体" w:eastAsia="宋体" w:cs="宋体"/>
          <w:b w:val="0"/>
          <w:bCs w:val="0"/>
          <w:color w:val="auto"/>
          <w:sz w:val="24"/>
          <w:szCs w:val="24"/>
          <w:highlight w:val="none"/>
          <w:lang w:val="en-US" w:eastAsia="zh-CN"/>
        </w:rPr>
        <w:t>制定垃圾分类等城市管理类宣传主题，编制本项目总体宣传策划方案，并在采购人确认后执行。</w:t>
      </w:r>
    </w:p>
    <w:p w14:paraId="2DF2D5A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所有宣传</w:t>
      </w:r>
      <w:r>
        <w:rPr>
          <w:rFonts w:hint="eastAsia" w:ascii="宋体" w:hAnsi="宋体" w:eastAsia="宋体" w:cs="宋体"/>
          <w:color w:val="auto"/>
          <w:sz w:val="24"/>
          <w:szCs w:val="24"/>
          <w:highlight w:val="none"/>
          <w:lang w:eastAsia="zh-CN"/>
        </w:rPr>
        <w:t>资料</w:t>
      </w:r>
      <w:r>
        <w:rPr>
          <w:rFonts w:hint="eastAsia" w:ascii="宋体" w:hAnsi="宋体" w:eastAsia="宋体" w:cs="宋体"/>
          <w:color w:val="auto"/>
          <w:sz w:val="24"/>
          <w:szCs w:val="24"/>
          <w:highlight w:val="none"/>
        </w:rPr>
        <w:t>保存留档并提</w:t>
      </w:r>
      <w:r>
        <w:rPr>
          <w:rFonts w:hint="eastAsia" w:ascii="宋体" w:hAnsi="宋体" w:eastAsia="宋体" w:cs="宋体"/>
          <w:color w:val="auto"/>
          <w:sz w:val="24"/>
          <w:szCs w:val="24"/>
          <w:highlight w:val="none"/>
          <w:lang w:eastAsia="zh-CN"/>
        </w:rPr>
        <w:t>交业主</w:t>
      </w:r>
      <w:r>
        <w:rPr>
          <w:rFonts w:hint="eastAsia" w:ascii="宋体" w:hAnsi="宋体" w:eastAsia="宋体" w:cs="宋体"/>
          <w:color w:val="auto"/>
          <w:sz w:val="24"/>
          <w:szCs w:val="24"/>
          <w:highlight w:val="none"/>
        </w:rPr>
        <w:t>。</w:t>
      </w:r>
    </w:p>
    <w:p w14:paraId="76E0253E">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4、提供全过程咨询服务并</w:t>
      </w:r>
      <w:r>
        <w:rPr>
          <w:rFonts w:hint="eastAsia" w:ascii="宋体" w:hAnsi="宋体" w:eastAsia="宋体" w:cs="宋体"/>
          <w:color w:val="auto"/>
          <w:sz w:val="24"/>
          <w:szCs w:val="24"/>
          <w:highlight w:val="none"/>
          <w:lang w:eastAsia="zh-CN"/>
        </w:rPr>
        <w:t>协助开展各项</w:t>
      </w:r>
      <w:r>
        <w:rPr>
          <w:rFonts w:hint="eastAsia" w:ascii="宋体" w:hAnsi="宋体" w:eastAsia="宋体" w:cs="宋体"/>
          <w:color w:val="auto"/>
          <w:sz w:val="24"/>
          <w:szCs w:val="24"/>
          <w:highlight w:val="none"/>
          <w:lang w:val="en-US" w:eastAsia="zh-CN"/>
        </w:rPr>
        <w:t>垃圾分类相关的党建及各类学习活动。</w:t>
      </w:r>
    </w:p>
    <w:p w14:paraId="530BDE74">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5、中标人应根据采购人要求做好宣传推广素材挖掘。本次招标涉及的所有宣传推广内容（包括正面典型或反面素材）和投放平台，均须经采购人确认后方可投放。</w:t>
      </w:r>
    </w:p>
    <w:p w14:paraId="73B4ED6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6、采购人向中标人提供的全部资料及中标人生产的全部成果资料（包括中间资料）其版权归采购人所有，中标人不得自留使用或以任何方式转让或提供给第三方使用。</w:t>
      </w:r>
    </w:p>
    <w:p w14:paraId="0EAD3188">
      <w:pPr>
        <w:keepNext w:val="0"/>
        <w:keepLines w:val="0"/>
        <w:pageBreakBefore w:val="0"/>
        <w:widowControl w:val="0"/>
        <w:numPr>
          <w:ilvl w:val="0"/>
          <w:numId w:val="0"/>
        </w:numPr>
        <w:kinsoku/>
        <w:wordWrap/>
        <w:overflowPunct/>
        <w:topLinePunct w:val="0"/>
        <w:bidi w:val="0"/>
        <w:adjustRightInd w:val="0"/>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三、团队人员要求</w:t>
      </w:r>
    </w:p>
    <w:p w14:paraId="2C2FA28C">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设立1名新媒体</w:t>
      </w:r>
      <w:r>
        <w:rPr>
          <w:rFonts w:hint="eastAsia" w:ascii="宋体" w:hAnsi="宋体" w:eastAsia="宋体" w:cs="宋体"/>
          <w:color w:val="auto"/>
          <w:sz w:val="24"/>
          <w:szCs w:val="24"/>
          <w:highlight w:val="none"/>
          <w:lang w:eastAsia="zh-CN"/>
        </w:rPr>
        <w:t>联络</w:t>
      </w:r>
      <w:r>
        <w:rPr>
          <w:rFonts w:hint="eastAsia" w:ascii="宋体" w:hAnsi="宋体" w:eastAsia="宋体" w:cs="宋体"/>
          <w:color w:val="auto"/>
          <w:sz w:val="24"/>
          <w:szCs w:val="24"/>
          <w:highlight w:val="none"/>
        </w:rPr>
        <w:t>专员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建立日常联络机制</w:t>
      </w:r>
      <w:r>
        <w:rPr>
          <w:rFonts w:hint="eastAsia" w:ascii="宋体" w:hAnsi="宋体" w:eastAsia="宋体" w:cs="宋体"/>
          <w:color w:val="auto"/>
          <w:sz w:val="24"/>
          <w:szCs w:val="24"/>
          <w:highlight w:val="none"/>
          <w:lang w:eastAsia="zh-CN"/>
        </w:rPr>
        <w:t>；</w:t>
      </w:r>
    </w:p>
    <w:p w14:paraId="186AD635">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设立</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名新媒体信息采集专员，</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落实</w:t>
      </w:r>
      <w:r>
        <w:rPr>
          <w:rFonts w:hint="eastAsia" w:ascii="宋体" w:hAnsi="宋体" w:eastAsia="宋体" w:cs="宋体"/>
          <w:color w:val="auto"/>
          <w:sz w:val="24"/>
          <w:szCs w:val="24"/>
          <w:highlight w:val="none"/>
          <w:lang w:eastAsia="zh-CN"/>
        </w:rPr>
        <w:t>策划、拍摄、</w:t>
      </w:r>
      <w:r>
        <w:rPr>
          <w:rFonts w:hint="eastAsia" w:ascii="宋体" w:hAnsi="宋体" w:eastAsia="宋体" w:cs="宋体"/>
          <w:color w:val="auto"/>
          <w:sz w:val="24"/>
          <w:szCs w:val="24"/>
          <w:highlight w:val="none"/>
          <w:lang w:val="en-US" w:eastAsia="zh-CN"/>
        </w:rPr>
        <w:t>编辑等信息咨询相关工作；</w:t>
      </w:r>
    </w:p>
    <w:p w14:paraId="2822885C">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以上人员均要求三年相关工作经验，中标后提供人员履历表。</w:t>
      </w:r>
    </w:p>
    <w:p w14:paraId="11C0C97B">
      <w:pPr>
        <w:wordWrap/>
        <w:snapToGrid w:val="0"/>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付款方式</w:t>
      </w:r>
    </w:p>
    <w:p w14:paraId="1EF59283">
      <w:pPr>
        <w:pStyle w:val="16"/>
        <w:widowControl w:val="0"/>
        <w:overflowPunct/>
        <w:autoSpaceDE/>
        <w:autoSpaceDN/>
        <w:adjustRightInd/>
        <w:spacing w:before="0" w:after="0" w:line="360" w:lineRule="auto"/>
        <w:ind w:firstLine="480" w:firstLineChars="20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rPr>
        <w:t>签订合同</w:t>
      </w:r>
      <w:r>
        <w:rPr>
          <w:rFonts w:hint="eastAsia" w:ascii="宋体" w:hAnsi="宋体" w:eastAsia="宋体" w:cs="宋体"/>
          <w:b w:val="0"/>
          <w:color w:val="auto"/>
          <w:sz w:val="24"/>
          <w:szCs w:val="24"/>
          <w:highlight w:val="none"/>
          <w:lang w:val="en-US" w:eastAsia="zh-CN"/>
        </w:rPr>
        <w:t>后，</w:t>
      </w:r>
      <w:r>
        <w:rPr>
          <w:rFonts w:hint="eastAsia" w:ascii="宋体" w:hAnsi="宋体" w:eastAsia="宋体" w:cs="宋体"/>
          <w:b w:val="0"/>
          <w:color w:val="auto"/>
          <w:sz w:val="24"/>
          <w:szCs w:val="24"/>
          <w:highlight w:val="none"/>
          <w:lang w:val="en-US"/>
        </w:rPr>
        <w:t>支付合同总价的</w:t>
      </w:r>
      <w:r>
        <w:rPr>
          <w:rFonts w:hint="eastAsia" w:ascii="宋体" w:hAnsi="宋体" w:eastAsia="宋体" w:cs="宋体"/>
          <w:b w:val="0"/>
          <w:color w:val="auto"/>
          <w:sz w:val="24"/>
          <w:szCs w:val="24"/>
          <w:highlight w:val="none"/>
          <w:lang w:val="en-US" w:eastAsia="zh-CN"/>
        </w:rPr>
        <w:t>50</w:t>
      </w:r>
      <w:r>
        <w:rPr>
          <w:rFonts w:hint="eastAsia" w:ascii="宋体" w:hAnsi="宋体" w:eastAsia="宋体" w:cs="宋体"/>
          <w:b w:val="0"/>
          <w:color w:val="auto"/>
          <w:sz w:val="24"/>
          <w:szCs w:val="24"/>
          <w:highlight w:val="none"/>
          <w:lang w:val="en-US"/>
        </w:rPr>
        <w:t>%,余款在项目完成后经履约</w:t>
      </w:r>
      <w:r>
        <w:rPr>
          <w:rFonts w:hint="eastAsia" w:ascii="宋体" w:hAnsi="宋体" w:eastAsia="宋体" w:cs="宋体"/>
          <w:b w:val="0"/>
          <w:color w:val="auto"/>
          <w:sz w:val="24"/>
          <w:szCs w:val="24"/>
          <w:highlight w:val="none"/>
          <w:lang w:val="en-US" w:eastAsia="zh-CN"/>
        </w:rPr>
        <w:t>评价后支付余款。</w:t>
      </w:r>
    </w:p>
    <w:p w14:paraId="69446FAB">
      <w:pPr>
        <w:pStyle w:val="3"/>
        <w:pageBreakBefore w:val="0"/>
        <w:widowControl w:val="0"/>
        <w:tabs>
          <w:tab w:val="left" w:pos="706"/>
        </w:tabs>
        <w:kinsoku/>
        <w:wordWrap/>
        <w:overflowPunct/>
        <w:topLinePunct w:val="0"/>
        <w:autoSpaceDE/>
        <w:autoSpaceDN/>
        <w:bidi w:val="0"/>
        <w:spacing w:before="0" w:after="0" w:line="360" w:lineRule="auto"/>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 xml:space="preserve">   </w:t>
      </w:r>
      <w:r>
        <w:rPr>
          <w:rFonts w:hint="eastAsia" w:ascii="宋体" w:hAnsi="宋体" w:eastAsia="宋体" w:cs="宋体"/>
          <w:b/>
          <w:bCs/>
          <w:color w:val="auto"/>
          <w:kern w:val="2"/>
          <w:sz w:val="24"/>
          <w:szCs w:val="24"/>
          <w:highlight w:val="none"/>
          <w:lang w:val="en-US" w:eastAsia="zh-CN" w:bidi="ar-SA"/>
        </w:rPr>
        <w:t>五、保密要求</w:t>
      </w:r>
    </w:p>
    <w:p w14:paraId="2497FE0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中标人须建立严格的保密制度，并加强对工作人员的保密管理及保密知识教育，须承担与此有关的技术情报和数据资料的保密责任。</w:t>
      </w:r>
    </w:p>
    <w:p w14:paraId="6E094B3F">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、知识产权</w:t>
      </w:r>
    </w:p>
    <w:p w14:paraId="0A44936A">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1、项目所产生的照片、视频、音频等一切相关资料的著作权与使用权归属采购人，未经采购人授权使用所产生的法律责任由成交供应商承担。</w:t>
      </w:r>
    </w:p>
    <w:p w14:paraId="27F8E17B">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2、中标人须承诺在项目开展期间，未侵犯他人的商标权、专利权、肖像权、著作权等在先权利，否则因此产生的一切法律后果以及责任由中标人承担。</w:t>
      </w:r>
    </w:p>
    <w:p w14:paraId="71B6A176">
      <w:pPr>
        <w:keepNext w:val="0"/>
        <w:keepLines w:val="0"/>
        <w:pageBreakBefore w:val="0"/>
        <w:tabs>
          <w:tab w:val="left" w:pos="0"/>
        </w:tabs>
        <w:kinsoku/>
        <w:wordWrap/>
        <w:topLinePunct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0"/>
          <w:sz w:val="24"/>
          <w:szCs w:val="24"/>
          <w:highlight w:val="none"/>
          <w:lang w:val="en-US" w:eastAsia="zh-Hans" w:bidi="ar-SA"/>
        </w:rPr>
        <w:t>中标人应保证所提供的服务或其任何一部分均不会侵犯任何第三方的知识产权。</w:t>
      </w:r>
    </w:p>
    <w:p w14:paraId="4E1F27B9">
      <w:pPr>
        <w:keepNext w:val="0"/>
        <w:keepLines w:val="0"/>
        <w:pageBreakBefore w:val="0"/>
        <w:kinsoku/>
        <w:wordWrap/>
        <w:topLinePunct w:val="0"/>
        <w:bidi w:val="0"/>
        <w:adjustRightInd/>
        <w:snapToGrid/>
        <w:spacing w:line="360" w:lineRule="auto"/>
        <w:ind w:firstLine="482" w:firstLineChars="200"/>
        <w:jc w:val="left"/>
        <w:rPr>
          <w:rFonts w:hint="eastAsia" w:ascii="宋体" w:hAnsi="宋体" w:eastAsia="宋体" w:cs="宋体"/>
          <w:b/>
          <w:bCs/>
          <w:color w:val="auto"/>
          <w:kern w:val="2"/>
          <w:sz w:val="24"/>
          <w:szCs w:val="24"/>
          <w:highlight w:val="none"/>
          <w:lang w:val="en-US" w:eastAsia="zh-Hans" w:bidi="ar-SA"/>
        </w:rPr>
      </w:pP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en-US" w:eastAsia="zh-Hans" w:bidi="ar-SA"/>
        </w:rPr>
        <w:t>资料档案</w:t>
      </w:r>
    </w:p>
    <w:p w14:paraId="454880CD">
      <w:pPr>
        <w:keepNext w:val="0"/>
        <w:keepLines w:val="0"/>
        <w:pageBreakBefore w:val="0"/>
        <w:tabs>
          <w:tab w:val="left" w:pos="0"/>
        </w:tabs>
        <w:kinsoku/>
        <w:wordWrap/>
        <w:topLinePunct w:val="0"/>
        <w:bidi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中标人应当对全部作业情况建立完整的电子档案资料，在合同正常终止后全部移交给招标单位保管。</w:t>
      </w:r>
    </w:p>
    <w:p w14:paraId="1C0C4603">
      <w:pPr>
        <w:widowControl/>
        <w:numPr>
          <w:ilvl w:val="0"/>
          <w:numId w:val="20"/>
        </w:numPr>
        <w:tabs>
          <w:tab w:val="left" w:pos="0"/>
        </w:tabs>
        <w:spacing w:line="440" w:lineRule="exact"/>
        <w:ind w:right="60"/>
        <w:jc w:val="lef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rPr>
        <w:t>付款方式及其他要求详见第二部分“合同主要条款”。</w:t>
      </w:r>
    </w:p>
    <w:p w14:paraId="40CB9ADC">
      <w:pPr>
        <w:pStyle w:val="8"/>
        <w:ind w:firstLine="221"/>
        <w:rPr>
          <w:rFonts w:hint="eastAsia" w:ascii="宋体" w:hAnsi="宋体" w:eastAsia="宋体" w:cs="宋体"/>
          <w:b/>
          <w:color w:val="auto"/>
          <w:sz w:val="22"/>
          <w:szCs w:val="22"/>
          <w:highlight w:val="none"/>
        </w:rPr>
      </w:pPr>
    </w:p>
    <w:p w14:paraId="7D5D04C8">
      <w:pPr>
        <w:rPr>
          <w:rFonts w:hint="eastAsia" w:ascii="宋体" w:hAnsi="宋体" w:eastAsia="宋体" w:cs="宋体"/>
          <w:b/>
          <w:color w:val="auto"/>
          <w:kern w:val="0"/>
          <w:sz w:val="22"/>
          <w:szCs w:val="22"/>
          <w:highlight w:val="none"/>
        </w:rPr>
      </w:pPr>
    </w:p>
    <w:p w14:paraId="32867BC2">
      <w:pPr>
        <w:pStyle w:val="2"/>
        <w:tabs>
          <w:tab w:val="clear" w:pos="840"/>
        </w:tabs>
        <w:adjustRightInd/>
        <w:snapToGrid/>
        <w:spacing w:before="120" w:after="120" w:line="500" w:lineRule="exact"/>
        <w:jc w:val="center"/>
        <w:rPr>
          <w:rFonts w:hint="eastAsia" w:ascii="宋体" w:hAnsi="宋体" w:eastAsia="宋体" w:cs="宋体"/>
          <w:bCs/>
          <w:color w:val="auto"/>
          <w:sz w:val="32"/>
          <w:szCs w:val="32"/>
          <w:highlight w:val="none"/>
        </w:rPr>
      </w:pPr>
      <w:bookmarkStart w:id="97" w:name="_Toc27463"/>
      <w:r>
        <w:rPr>
          <w:rFonts w:hint="eastAsia" w:ascii="宋体" w:hAnsi="宋体" w:eastAsia="宋体" w:cs="宋体"/>
          <w:bCs/>
          <w:color w:val="auto"/>
          <w:sz w:val="32"/>
          <w:szCs w:val="32"/>
          <w:highlight w:val="none"/>
        </w:rPr>
        <w:t>第五部分  评标原则及方法</w:t>
      </w:r>
      <w:bookmarkEnd w:id="97"/>
    </w:p>
    <w:p w14:paraId="5E84EEDF">
      <w:pPr>
        <w:widowControl/>
        <w:snapToGrid w:val="0"/>
        <w:spacing w:line="440" w:lineRule="atLeast"/>
        <w:ind w:left="538"/>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根据《中华人民共和国政府采购法》等相关法律、法规特制定以下评标办法。</w:t>
      </w:r>
    </w:p>
    <w:p w14:paraId="434AC816">
      <w:pPr>
        <w:widowControl/>
        <w:snapToGrid w:val="0"/>
        <w:spacing w:line="440" w:lineRule="atLeas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 总  则</w:t>
      </w:r>
    </w:p>
    <w:p w14:paraId="77A7AE71">
      <w:pPr>
        <w:widowControl/>
        <w:spacing w:line="440" w:lineRule="atLeast"/>
        <w:ind w:left="548"/>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工作应遵循公开、公平、公正、科学、择优原则，科学、严谨的态度，认真进行评标，确保项目质量，最大限度的保护当事人权益。严格按照招标文件的商务、技术要求，对投标文件进行综合评定，编写评标报告。对落标单位，评委会不作任何落标解释。投标供应商不得以任何方式干扰招投标工作的进行以及开评标现场的正常秩序，一经发现其投标文件将被拒绝。</w:t>
      </w:r>
    </w:p>
    <w:p w14:paraId="1AB10166">
      <w:pPr>
        <w:widowControl/>
        <w:snapToGrid w:val="0"/>
        <w:spacing w:line="440" w:lineRule="atLeas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 评标组织</w:t>
      </w:r>
    </w:p>
    <w:p w14:paraId="325E5A4F">
      <w:pPr>
        <w:widowControl/>
        <w:spacing w:line="440" w:lineRule="atLeast"/>
        <w:ind w:left="548"/>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评标工作由招标采购单位依法组建的评标委员会负责。</w:t>
      </w:r>
    </w:p>
    <w:p w14:paraId="729E40A9">
      <w:pPr>
        <w:spacing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三、 评标程序</w:t>
      </w:r>
    </w:p>
    <w:p w14:paraId="0ADB4C63">
      <w:pPr>
        <w:spacing w:line="440" w:lineRule="exact"/>
        <w:ind w:left="567" w:leftChars="262" w:hanging="17" w:hangingChars="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后，采购人对各投标供应商的资格进行审查；然后评标委员会对合格投标供应商进行符合性审查，并按照招标文件中规定的评标方法和标准，对符合性审查合格的投标文件进行商务和技术评估，综合比较与评价。</w:t>
      </w:r>
    </w:p>
    <w:p w14:paraId="7FF85ED2">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 评标办法</w:t>
      </w:r>
    </w:p>
    <w:p w14:paraId="34009861">
      <w:pPr>
        <w:spacing w:line="400" w:lineRule="exact"/>
        <w:ind w:left="550" w:hanging="550" w:hangingChars="250"/>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1、  本项目评标办法采取百分制综合评分法，其中商务技术分90分，价格分10分。即最大限度地满足招标文件实质性要求前提下，按照招标文件中规定的各项评分内容进行综合评审。以最终得分（即商务技术分与价格分之和）高低进行排序，得分</w:t>
      </w:r>
      <w:r>
        <w:rPr>
          <w:rFonts w:hint="eastAsia" w:ascii="宋体" w:hAnsi="宋体" w:eastAsia="宋体" w:cs="宋体"/>
          <w:color w:val="auto"/>
          <w:sz w:val="22"/>
          <w:szCs w:val="22"/>
          <w:highlight w:val="none"/>
          <w:lang w:eastAsia="zh-CN"/>
        </w:rPr>
        <w:t>第一</w:t>
      </w:r>
      <w:r>
        <w:rPr>
          <w:rFonts w:hint="eastAsia" w:ascii="宋体" w:hAnsi="宋体" w:eastAsia="宋体" w:cs="宋体"/>
          <w:color w:val="auto"/>
          <w:sz w:val="22"/>
          <w:szCs w:val="22"/>
          <w:highlight w:val="none"/>
        </w:rPr>
        <w:t>的投标供应商确定为</w:t>
      </w:r>
      <w:r>
        <w:rPr>
          <w:rFonts w:hint="eastAsia" w:ascii="宋体" w:hAnsi="宋体" w:eastAsia="宋体" w:cs="宋体"/>
          <w:color w:val="auto"/>
          <w:sz w:val="22"/>
          <w:szCs w:val="22"/>
          <w:highlight w:val="none"/>
          <w:lang w:eastAsia="zh-CN"/>
        </w:rPr>
        <w:t>中</w:t>
      </w:r>
      <w:r>
        <w:rPr>
          <w:rFonts w:hint="eastAsia" w:ascii="宋体" w:hAnsi="宋体" w:eastAsia="宋体" w:cs="宋体"/>
          <w:color w:val="auto"/>
          <w:sz w:val="22"/>
          <w:szCs w:val="22"/>
          <w:highlight w:val="none"/>
        </w:rPr>
        <w:t>标候选供应商（得分相同投标报价低的排序第一；得分且投标报价相同的，中标候选供应商并列，并确定技术部分得分高的为中标供应商）。</w:t>
      </w:r>
    </w:p>
    <w:p w14:paraId="656DA08A">
      <w:pPr>
        <w:spacing w:line="400" w:lineRule="exact"/>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highlight w:val="none"/>
        </w:rPr>
        <w:t>评标过程中遇到特殊情况，由评标委员会遵循公平、公正原则，采取记名投票方式按照少数服从多数原则决定。</w:t>
      </w:r>
    </w:p>
    <w:p w14:paraId="17D3A3C3">
      <w:pPr>
        <w:spacing w:line="440" w:lineRule="exact"/>
        <w:ind w:left="550" w:hanging="550" w:hanging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  投标截止时间止及评审期间，如出现有效供应商＜3家时，该项目废标，并重新组织采购。</w:t>
      </w:r>
    </w:p>
    <w:p w14:paraId="47FF70B6">
      <w:pPr>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 评分细则</w:t>
      </w:r>
    </w:p>
    <w:p w14:paraId="736E7EE0">
      <w:pPr>
        <w:spacing w:line="440" w:lineRule="exact"/>
        <w:ind w:firstLine="110" w:firstLineChars="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b/>
          <w:color w:val="auto"/>
          <w:sz w:val="22"/>
          <w:highlight w:val="none"/>
        </w:rPr>
        <w:t>商务技术分</w:t>
      </w:r>
      <w:r>
        <w:rPr>
          <w:rFonts w:hint="eastAsia" w:ascii="宋体" w:hAnsi="宋体" w:eastAsia="宋体" w:cs="宋体"/>
          <w:b/>
          <w:color w:val="auto"/>
          <w:sz w:val="22"/>
          <w:szCs w:val="22"/>
          <w:highlight w:val="none"/>
        </w:rPr>
        <w:t>的评定（90分）</w:t>
      </w:r>
    </w:p>
    <w:tbl>
      <w:tblPr>
        <w:tblStyle w:val="18"/>
        <w:tblW w:w="10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6510"/>
        <w:gridCol w:w="705"/>
        <w:gridCol w:w="1320"/>
        <w:gridCol w:w="1611"/>
      </w:tblGrid>
      <w:tr w14:paraId="7E68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652" w:type="dxa"/>
            <w:tcBorders>
              <w:bottom w:val="single" w:color="auto" w:sz="4" w:space="0"/>
            </w:tcBorders>
            <w:noWrap w:val="0"/>
            <w:vAlign w:val="center"/>
          </w:tcPr>
          <w:p w14:paraId="0AC28BB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rightChars="0"/>
              <w:jc w:val="center"/>
              <w:textAlignment w:val="auto"/>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序号</w:t>
            </w:r>
          </w:p>
        </w:tc>
        <w:tc>
          <w:tcPr>
            <w:tcW w:w="6510" w:type="dxa"/>
            <w:noWrap w:val="0"/>
            <w:vAlign w:val="center"/>
          </w:tcPr>
          <w:p w14:paraId="5E8CE772">
            <w:pPr>
              <w:spacing w:line="360" w:lineRule="auto"/>
              <w:jc w:val="center"/>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val="0"/>
                <w:color w:val="auto"/>
                <w:sz w:val="21"/>
                <w:szCs w:val="21"/>
                <w:highlight w:val="none"/>
              </w:rPr>
              <w:t>评标标准</w:t>
            </w:r>
          </w:p>
        </w:tc>
        <w:tc>
          <w:tcPr>
            <w:tcW w:w="705" w:type="dxa"/>
            <w:noWrap w:val="0"/>
            <w:vAlign w:val="center"/>
          </w:tcPr>
          <w:p w14:paraId="5AADA2A9">
            <w:pPr>
              <w:spacing w:line="360"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val="0"/>
                <w:color w:val="auto"/>
                <w:sz w:val="21"/>
                <w:szCs w:val="21"/>
                <w:highlight w:val="none"/>
              </w:rPr>
              <w:t>权重</w:t>
            </w:r>
          </w:p>
        </w:tc>
        <w:tc>
          <w:tcPr>
            <w:tcW w:w="1320" w:type="dxa"/>
            <w:noWrap w:val="0"/>
            <w:vAlign w:val="center"/>
          </w:tcPr>
          <w:p w14:paraId="7E565A56">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bCs w:val="0"/>
                <w:color w:val="auto"/>
                <w:sz w:val="21"/>
                <w:szCs w:val="21"/>
                <w:highlight w:val="none"/>
              </w:rPr>
              <w:t>主观分/客观分属性</w:t>
            </w:r>
          </w:p>
        </w:tc>
        <w:tc>
          <w:tcPr>
            <w:tcW w:w="1611" w:type="dxa"/>
            <w:noWrap w:val="0"/>
            <w:vAlign w:val="top"/>
          </w:tcPr>
          <w:p w14:paraId="382D5C8E">
            <w:pPr>
              <w:spacing w:line="360" w:lineRule="auto"/>
              <w:jc w:val="center"/>
              <w:outlineLvl w:val="0"/>
              <w:rPr>
                <w:rFonts w:hint="eastAsia" w:ascii="宋体" w:hAnsi="宋体" w:eastAsia="宋体" w:cs="宋体"/>
                <w:bCs/>
                <w:color w:val="auto"/>
                <w:sz w:val="21"/>
                <w:szCs w:val="21"/>
                <w:highlight w:val="none"/>
                <w:lang w:val="en-US" w:eastAsia="zh-CN"/>
              </w:rPr>
            </w:pPr>
            <w:r>
              <w:rPr>
                <w:rFonts w:hint="eastAsia" w:ascii="宋体" w:hAnsi="宋体" w:eastAsia="宋体" w:cs="宋体"/>
                <w:b/>
                <w:bCs w:val="0"/>
                <w:color w:val="auto"/>
                <w:sz w:val="21"/>
                <w:szCs w:val="21"/>
                <w:highlight w:val="none"/>
              </w:rPr>
              <w:t>投标文件中评标标准相应的商务技术资料目录</w:t>
            </w:r>
          </w:p>
        </w:tc>
      </w:tr>
      <w:tr w14:paraId="44FA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52" w:type="dxa"/>
            <w:tcBorders>
              <w:top w:val="single" w:color="auto" w:sz="4" w:space="0"/>
              <w:left w:val="single" w:color="auto" w:sz="4" w:space="0"/>
              <w:right w:val="single" w:color="auto" w:sz="4" w:space="0"/>
            </w:tcBorders>
            <w:noWrap w:val="0"/>
            <w:vAlign w:val="center"/>
          </w:tcPr>
          <w:p w14:paraId="22C4EBB3">
            <w:pPr>
              <w:keepNext w:val="0"/>
              <w:keepLines w:val="0"/>
              <w:pageBreakBefore w:val="0"/>
              <w:suppressLineNumbers w:val="0"/>
              <w:kinsoku/>
              <w:wordWrap/>
              <w:overflowPunct/>
              <w:topLinePunct w:val="0"/>
              <w:bidi w:val="0"/>
              <w:spacing w:before="0" w:beforeAutospacing="0" w:after="0" w:afterAutospacing="0" w:line="360" w:lineRule="auto"/>
              <w:ind w:left="0" w:right="-103" w:rightChars="-49"/>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p>
          <w:p w14:paraId="21FA9133">
            <w:pPr>
              <w:keepNext w:val="0"/>
              <w:keepLines w:val="0"/>
              <w:pageBreakBefore w:val="0"/>
              <w:suppressLineNumbers w:val="0"/>
              <w:kinsoku/>
              <w:wordWrap/>
              <w:overflowPunct/>
              <w:topLinePunct w:val="0"/>
              <w:bidi w:val="0"/>
              <w:spacing w:before="0" w:beforeAutospacing="0" w:after="0" w:afterAutospacing="0" w:line="360" w:lineRule="auto"/>
              <w:ind w:left="0" w:leftChars="0" w:right="-103" w:rightChars="-49"/>
              <w:jc w:val="center"/>
              <w:textAlignment w:val="auto"/>
              <w:rPr>
                <w:rFonts w:hint="eastAsia" w:ascii="宋体" w:hAnsi="宋体" w:eastAsia="宋体" w:cs="宋体"/>
                <w:bCs/>
                <w:color w:val="auto"/>
                <w:kern w:val="2"/>
                <w:sz w:val="21"/>
                <w:szCs w:val="21"/>
                <w:highlight w:val="none"/>
                <w:lang w:val="en-US" w:eastAsia="zh-CN" w:bidi="ar-SA"/>
              </w:rPr>
            </w:pPr>
          </w:p>
        </w:tc>
        <w:tc>
          <w:tcPr>
            <w:tcW w:w="6510" w:type="dxa"/>
            <w:tcBorders>
              <w:left w:val="single" w:color="auto" w:sz="4" w:space="0"/>
              <w:bottom w:val="single" w:color="auto" w:sz="4" w:space="0"/>
            </w:tcBorders>
            <w:noWrap w:val="0"/>
            <w:vAlign w:val="center"/>
          </w:tcPr>
          <w:p w14:paraId="26163A04">
            <w:pPr>
              <w:keepNext w:val="0"/>
              <w:keepLines w:val="0"/>
              <w:pageBreakBefore w:val="0"/>
              <w:suppressLineNumbers w:val="0"/>
              <w:kinsoku/>
              <w:wordWrap/>
              <w:overflowPunct/>
              <w:topLinePunct w:val="0"/>
              <w:bidi w:val="0"/>
              <w:adjustRightInd w:val="0"/>
              <w:spacing w:before="0" w:beforeAutospacing="0" w:after="0" w:afterAutospacing="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自2</w:t>
            </w:r>
            <w:r>
              <w:rPr>
                <w:rFonts w:hint="eastAsia" w:ascii="宋体" w:hAnsi="宋体" w:eastAsia="宋体" w:cs="宋体"/>
                <w:color w:val="auto"/>
                <w:sz w:val="21"/>
                <w:szCs w:val="21"/>
                <w:highlight w:val="none"/>
                <w:lang w:val="en-US" w:eastAsia="zh-CN"/>
              </w:rPr>
              <w:t>022</w:t>
            </w:r>
            <w:r>
              <w:rPr>
                <w:rFonts w:hint="eastAsia" w:ascii="宋体" w:hAnsi="宋体" w:eastAsia="宋体" w:cs="宋体"/>
                <w:color w:val="auto"/>
                <w:sz w:val="21"/>
                <w:szCs w:val="21"/>
                <w:highlight w:val="none"/>
              </w:rPr>
              <w:t>年1月1日以来（以合同签订时间为准）承担过类似政务宣传服务项目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每提供1份合同业绩得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1089AA7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right="0" w:right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业绩合同</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复印件或扫描件并加盖公章，否则不得分。</w:t>
            </w:r>
          </w:p>
        </w:tc>
        <w:tc>
          <w:tcPr>
            <w:tcW w:w="705" w:type="dxa"/>
            <w:noWrap w:val="0"/>
            <w:vAlign w:val="center"/>
          </w:tcPr>
          <w:p w14:paraId="48D7498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tc>
        <w:tc>
          <w:tcPr>
            <w:tcW w:w="1320" w:type="dxa"/>
            <w:noWrap w:val="0"/>
            <w:vAlign w:val="center"/>
          </w:tcPr>
          <w:p w14:paraId="45E8FBB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客观分</w:t>
            </w:r>
          </w:p>
        </w:tc>
        <w:tc>
          <w:tcPr>
            <w:tcW w:w="1611" w:type="dxa"/>
            <w:noWrap w:val="0"/>
            <w:vAlign w:val="center"/>
          </w:tcPr>
          <w:p w14:paraId="17802169">
            <w:pPr>
              <w:keepNext w:val="0"/>
              <w:keepLines w:val="0"/>
              <w:pageBreakBefore w:val="0"/>
              <w:suppressLineNumbers w:val="0"/>
              <w:kinsoku/>
              <w:wordWrap/>
              <w:overflowPunct/>
              <w:topLinePunct w:val="0"/>
              <w:bidi w:val="0"/>
              <w:spacing w:before="0" w:beforeAutospacing="0" w:after="0" w:afterAutospacing="0" w:line="360" w:lineRule="auto"/>
              <w:ind w:left="0" w:leftChars="0" w:right="-103" w:rightChars="-49"/>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类似业绩</w:t>
            </w:r>
          </w:p>
        </w:tc>
      </w:tr>
      <w:tr w14:paraId="2765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652" w:type="dxa"/>
            <w:tcBorders>
              <w:left w:val="single" w:color="auto" w:sz="4" w:space="0"/>
              <w:right w:val="single" w:color="auto" w:sz="4" w:space="0"/>
            </w:tcBorders>
            <w:noWrap w:val="0"/>
            <w:vAlign w:val="center"/>
          </w:tcPr>
          <w:p w14:paraId="1CDC4D30">
            <w:pPr>
              <w:keepNext w:val="0"/>
              <w:keepLines w:val="0"/>
              <w:pageBreakBefore w:val="0"/>
              <w:suppressLineNumbers w:val="0"/>
              <w:kinsoku/>
              <w:wordWrap/>
              <w:overflowPunct/>
              <w:topLinePunct w:val="0"/>
              <w:bidi w:val="0"/>
              <w:spacing w:before="0" w:beforeAutospacing="0" w:after="0" w:afterAutospacing="0" w:line="360" w:lineRule="auto"/>
              <w:ind w:left="0" w:leftChars="0" w:right="-103" w:rightChars="-49"/>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6510" w:type="dxa"/>
            <w:tcBorders>
              <w:top w:val="single" w:color="auto" w:sz="4" w:space="0"/>
              <w:left w:val="single" w:color="auto" w:sz="4" w:space="0"/>
              <w:bottom w:val="single" w:color="auto" w:sz="4" w:space="0"/>
              <w:right w:val="single" w:color="auto" w:sz="4" w:space="0"/>
            </w:tcBorders>
            <w:noWrap w:val="0"/>
            <w:vAlign w:val="center"/>
          </w:tcPr>
          <w:p w14:paraId="26DF00CC">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）有国家级媒体合作资源的，并承诺满足需求内容的情况得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分；</w:t>
            </w:r>
            <w:r>
              <w:rPr>
                <w:rFonts w:hint="eastAsia" w:ascii="宋体" w:hAnsi="宋体" w:eastAsia="宋体" w:cs="宋体"/>
                <w:bCs/>
                <w:color w:val="auto"/>
                <w:sz w:val="21"/>
                <w:szCs w:val="21"/>
                <w:highlight w:val="none"/>
              </w:rPr>
              <w:t>有省级媒体合作资源的，</w:t>
            </w:r>
            <w:r>
              <w:rPr>
                <w:rFonts w:hint="eastAsia" w:ascii="宋体" w:hAnsi="宋体" w:eastAsia="宋体" w:cs="宋体"/>
                <w:bCs/>
                <w:color w:val="auto"/>
                <w:sz w:val="21"/>
                <w:szCs w:val="21"/>
                <w:highlight w:val="none"/>
                <w:lang w:eastAsia="zh-CN"/>
              </w:rPr>
              <w:t>并承诺满足需求内容的情况得1分</w:t>
            </w:r>
            <w:r>
              <w:rPr>
                <w:rFonts w:hint="eastAsia" w:ascii="宋体" w:hAnsi="宋体" w:eastAsia="宋体" w:cs="宋体"/>
                <w:bCs/>
                <w:color w:val="auto"/>
                <w:sz w:val="21"/>
                <w:szCs w:val="21"/>
                <w:highlight w:val="none"/>
              </w:rPr>
              <w:t>；</w:t>
            </w:r>
          </w:p>
          <w:p w14:paraId="37C2C141">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有省级建筑类媒体合作资源的，并承诺满足需求内容的情况得</w:t>
            </w:r>
            <w:r>
              <w:rPr>
                <w:rFonts w:hint="eastAsia" w:ascii="宋体" w:hAnsi="宋体" w:eastAsia="宋体" w:cs="宋体"/>
                <w:bCs/>
                <w:color w:val="auto"/>
                <w:sz w:val="21"/>
                <w:szCs w:val="21"/>
                <w:highlight w:val="none"/>
                <w:lang w:val="en-US" w:eastAsia="zh-CN"/>
              </w:rPr>
              <w:t>1分。</w:t>
            </w:r>
          </w:p>
          <w:p w14:paraId="16A57226">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上述分值可累计得分，最高得</w:t>
            </w:r>
            <w:r>
              <w:rPr>
                <w:rFonts w:hint="eastAsia" w:ascii="宋体" w:hAnsi="宋体" w:eastAsia="宋体" w:cs="宋体"/>
                <w:bCs/>
                <w:color w:val="auto"/>
                <w:sz w:val="21"/>
                <w:szCs w:val="21"/>
                <w:highlight w:val="none"/>
                <w:lang w:val="en-US" w:eastAsia="zh-CN"/>
              </w:rPr>
              <w:t>4分。</w:t>
            </w:r>
          </w:p>
          <w:p w14:paraId="0C3EF181">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投标时提供承诺书</w:t>
            </w:r>
            <w:r>
              <w:rPr>
                <w:rFonts w:hint="eastAsia" w:ascii="宋体" w:hAnsi="宋体" w:eastAsia="宋体" w:cs="宋体"/>
                <w:b/>
                <w:bCs/>
                <w:color w:val="auto"/>
                <w:sz w:val="21"/>
                <w:szCs w:val="21"/>
                <w:highlight w:val="none"/>
                <w:lang w:val="en-US" w:eastAsia="zh-CN"/>
              </w:rPr>
              <w:t>加盖投标人公章</w:t>
            </w:r>
            <w:r>
              <w:rPr>
                <w:rFonts w:hint="eastAsia" w:ascii="宋体" w:hAnsi="宋体" w:eastAsia="宋体" w:cs="宋体"/>
                <w:b/>
                <w:bCs/>
                <w:color w:val="auto"/>
                <w:sz w:val="21"/>
                <w:szCs w:val="21"/>
                <w:highlight w:val="none"/>
                <w:lang w:eastAsia="zh-CN"/>
              </w:rPr>
              <w:t>，不提供不得分。</w:t>
            </w:r>
          </w:p>
          <w:p w14:paraId="5D7F2F2C">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kern w:val="2"/>
                <w:sz w:val="21"/>
                <w:szCs w:val="21"/>
                <w:highlight w:val="none"/>
                <w:lang w:val="en-US" w:eastAsia="zh-CN" w:bidi="ar-SA"/>
              </w:rPr>
            </w:pPr>
          </w:p>
        </w:tc>
        <w:tc>
          <w:tcPr>
            <w:tcW w:w="705" w:type="dxa"/>
            <w:tcBorders>
              <w:left w:val="single" w:color="auto" w:sz="4" w:space="0"/>
            </w:tcBorders>
            <w:noWrap w:val="0"/>
            <w:vAlign w:val="center"/>
          </w:tcPr>
          <w:p w14:paraId="56EC92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21FFB3A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1"/>
                <w:szCs w:val="21"/>
                <w:highlight w:val="none"/>
                <w:lang w:val="en-US" w:eastAsia="zh-CN" w:bidi="ar-SA"/>
              </w:rPr>
            </w:pPr>
          </w:p>
        </w:tc>
        <w:tc>
          <w:tcPr>
            <w:tcW w:w="1320" w:type="dxa"/>
            <w:noWrap w:val="0"/>
            <w:vAlign w:val="center"/>
          </w:tcPr>
          <w:p w14:paraId="42AEE12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客观分</w:t>
            </w:r>
          </w:p>
        </w:tc>
        <w:tc>
          <w:tcPr>
            <w:tcW w:w="1611" w:type="dxa"/>
            <w:noWrap w:val="0"/>
            <w:vAlign w:val="center"/>
          </w:tcPr>
          <w:p w14:paraId="694AB425">
            <w:pPr>
              <w:keepNext w:val="0"/>
              <w:keepLines w:val="0"/>
              <w:pageBreakBefore w:val="0"/>
              <w:suppressLineNumbers w:val="0"/>
              <w:kinsoku/>
              <w:wordWrap/>
              <w:overflowPunct/>
              <w:topLinePunct w:val="0"/>
              <w:bidi w:val="0"/>
              <w:spacing w:before="0" w:beforeAutospacing="0" w:after="0" w:afterAutospacing="0" w:line="360" w:lineRule="auto"/>
              <w:ind w:left="0" w:leftChars="0" w:right="-103" w:rightChars="-49"/>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媒体合作资源</w:t>
            </w:r>
          </w:p>
        </w:tc>
      </w:tr>
      <w:tr w14:paraId="4769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652" w:type="dxa"/>
            <w:noWrap w:val="0"/>
            <w:vAlign w:val="center"/>
          </w:tcPr>
          <w:p w14:paraId="3CE9A3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w:t>
            </w:r>
          </w:p>
        </w:tc>
        <w:tc>
          <w:tcPr>
            <w:tcW w:w="6510" w:type="dxa"/>
            <w:tcBorders>
              <w:top w:val="single" w:color="auto" w:sz="4" w:space="0"/>
            </w:tcBorders>
            <w:noWrap w:val="0"/>
            <w:vAlign w:val="center"/>
          </w:tcPr>
          <w:p w14:paraId="5A329997">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项目负责人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拟投入本项目负责人</w:t>
            </w:r>
            <w:r>
              <w:rPr>
                <w:rFonts w:hint="eastAsia" w:ascii="宋体" w:hAnsi="宋体" w:cs="宋体"/>
                <w:bCs/>
                <w:color w:val="auto"/>
                <w:sz w:val="21"/>
                <w:szCs w:val="21"/>
                <w:highlight w:val="none"/>
                <w:lang w:eastAsia="zh-CN"/>
              </w:rPr>
              <w:t>从事本行业工作经验</w:t>
            </w:r>
            <w:r>
              <w:rPr>
                <w:rFonts w:hint="eastAsia" w:ascii="宋体" w:hAnsi="宋体" w:cs="宋体"/>
                <w:bCs/>
                <w:color w:val="auto"/>
                <w:sz w:val="21"/>
                <w:szCs w:val="21"/>
                <w:highlight w:val="none"/>
                <w:lang w:val="en-US" w:eastAsia="zh-CN"/>
              </w:rPr>
              <w:t>2年（含2年）以上4年以下得2分，4年（含4年）以上6年以下得4分，6年（含6年）及以上的得6分，最高得6分。</w:t>
            </w:r>
          </w:p>
          <w:p w14:paraId="13DC90AC">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注：提供</w:t>
            </w:r>
            <w:r>
              <w:rPr>
                <w:rFonts w:hint="eastAsia" w:ascii="宋体" w:hAnsi="宋体" w:cs="宋体"/>
                <w:bCs/>
                <w:color w:val="auto"/>
                <w:sz w:val="21"/>
                <w:szCs w:val="21"/>
                <w:highlight w:val="none"/>
                <w:lang w:eastAsia="zh-CN"/>
              </w:rPr>
              <w:t>相应社保证明和劳动合同或负责参与过的项目证明文件等证明资料，工作经验时间计算到投标截止日期。</w:t>
            </w:r>
            <w:bookmarkStart w:id="99" w:name="_GoBack"/>
            <w:bookmarkEnd w:id="99"/>
          </w:p>
        </w:tc>
        <w:tc>
          <w:tcPr>
            <w:tcW w:w="705" w:type="dxa"/>
            <w:noWrap w:val="0"/>
            <w:vAlign w:val="center"/>
          </w:tcPr>
          <w:p w14:paraId="1443446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1320" w:type="dxa"/>
            <w:noWrap w:val="0"/>
            <w:vAlign w:val="center"/>
          </w:tcPr>
          <w:p w14:paraId="468B469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客观分</w:t>
            </w:r>
          </w:p>
        </w:tc>
        <w:tc>
          <w:tcPr>
            <w:tcW w:w="1611" w:type="dxa"/>
            <w:noWrap w:val="0"/>
            <w:vAlign w:val="center"/>
          </w:tcPr>
          <w:p w14:paraId="22D1C4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项目负责人</w:t>
            </w:r>
          </w:p>
        </w:tc>
      </w:tr>
      <w:tr w14:paraId="7739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652" w:type="dxa"/>
            <w:noWrap w:val="0"/>
            <w:vAlign w:val="center"/>
          </w:tcPr>
          <w:p w14:paraId="10A02147">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6510" w:type="dxa"/>
            <w:noWrap w:val="0"/>
            <w:vAlign w:val="center"/>
          </w:tcPr>
          <w:p w14:paraId="7CB0E1B0">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人员技术力量配备</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项目团队需</w:t>
            </w:r>
            <w:r>
              <w:rPr>
                <w:rFonts w:hint="eastAsia" w:ascii="宋体" w:hAnsi="宋体" w:eastAsia="宋体" w:cs="宋体"/>
                <w:bCs/>
                <w:color w:val="auto"/>
                <w:sz w:val="21"/>
                <w:szCs w:val="21"/>
                <w:highlight w:val="none"/>
                <w:lang w:eastAsia="zh-CN"/>
              </w:rPr>
              <w:t>具备较强的文案写作、数据分析、创意策划等能力，</w:t>
            </w:r>
            <w:r>
              <w:rPr>
                <w:rFonts w:hint="eastAsia" w:ascii="宋体" w:hAnsi="宋体" w:eastAsia="宋体" w:cs="宋体"/>
                <w:bCs/>
                <w:color w:val="auto"/>
                <w:sz w:val="21"/>
                <w:szCs w:val="21"/>
                <w:highlight w:val="none"/>
              </w:rPr>
              <w:t>配备管理、文字编辑、创意指导、线下采编人员、版面设计、校对共同完成活动期间的文字图片</w:t>
            </w:r>
            <w:r>
              <w:rPr>
                <w:rFonts w:hint="eastAsia" w:ascii="宋体" w:hAnsi="宋体" w:eastAsia="宋体" w:cs="宋体"/>
                <w:bCs/>
                <w:color w:val="auto"/>
                <w:sz w:val="21"/>
                <w:szCs w:val="21"/>
                <w:highlight w:val="none"/>
                <w:lang w:val="en-US" w:eastAsia="zh-CN"/>
              </w:rPr>
              <w:t>宣传</w:t>
            </w:r>
            <w:r>
              <w:rPr>
                <w:rFonts w:hint="eastAsia" w:ascii="宋体" w:hAnsi="宋体" w:eastAsia="宋体" w:cs="宋体"/>
                <w:bCs/>
                <w:color w:val="auto"/>
                <w:sz w:val="21"/>
                <w:szCs w:val="21"/>
                <w:highlight w:val="none"/>
              </w:rPr>
              <w:t>等任务（人员不得兼任）。每配备上述岗位人员1人得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分（每个岗位仅计一次</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不重复得分），</w:t>
            </w:r>
            <w:r>
              <w:rPr>
                <w:rFonts w:hint="eastAsia" w:ascii="宋体" w:hAnsi="宋体" w:eastAsia="宋体" w:cs="宋体"/>
                <w:bCs/>
                <w:color w:val="auto"/>
                <w:sz w:val="21"/>
                <w:szCs w:val="21"/>
                <w:highlight w:val="none"/>
                <w:lang w:eastAsia="zh-CN"/>
              </w:rPr>
              <w:t>其中人员需具有相关专业</w:t>
            </w:r>
            <w:r>
              <w:rPr>
                <w:rFonts w:hint="eastAsia" w:ascii="宋体" w:hAnsi="宋体" w:eastAsia="宋体" w:cs="宋体"/>
                <w:bCs/>
                <w:color w:val="auto"/>
                <w:sz w:val="21"/>
                <w:szCs w:val="21"/>
                <w:highlight w:val="none"/>
                <w:lang w:val="en-US" w:eastAsia="zh-CN"/>
              </w:rPr>
              <w:t>职称</w:t>
            </w:r>
            <w:r>
              <w:rPr>
                <w:rFonts w:hint="eastAsia" w:ascii="宋体" w:hAnsi="宋体" w:eastAsia="宋体" w:cs="宋体"/>
                <w:bCs/>
                <w:color w:val="auto"/>
                <w:sz w:val="21"/>
                <w:szCs w:val="21"/>
                <w:highlight w:val="none"/>
                <w:lang w:eastAsia="zh-CN"/>
              </w:rPr>
              <w:t>，且有三年及以上工作经验，</w:t>
            </w:r>
            <w:r>
              <w:rPr>
                <w:rFonts w:hint="eastAsia" w:ascii="宋体" w:hAnsi="宋体" w:eastAsia="宋体" w:cs="宋体"/>
                <w:bCs/>
                <w:color w:val="auto"/>
                <w:sz w:val="21"/>
                <w:szCs w:val="21"/>
                <w:highlight w:val="none"/>
                <w:lang w:val="en-US" w:eastAsia="zh-CN"/>
              </w:rPr>
              <w:t>有副高（含）以上职称的另加2分，有中级（含）以上职称的另加1分，</w:t>
            </w:r>
            <w:r>
              <w:rPr>
                <w:rFonts w:hint="eastAsia" w:ascii="宋体" w:hAnsi="宋体" w:eastAsia="宋体" w:cs="宋体"/>
                <w:bCs/>
                <w:color w:val="auto"/>
                <w:sz w:val="21"/>
                <w:szCs w:val="21"/>
                <w:highlight w:val="none"/>
              </w:rPr>
              <w:t>本项最高得</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分。</w:t>
            </w:r>
          </w:p>
          <w:p w14:paraId="1CA01619">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注：提供人员相关</w:t>
            </w:r>
            <w:r>
              <w:rPr>
                <w:rFonts w:hint="eastAsia" w:ascii="宋体" w:hAnsi="宋体" w:eastAsia="宋体" w:cs="宋体"/>
                <w:bCs/>
                <w:color w:val="auto"/>
                <w:sz w:val="21"/>
                <w:szCs w:val="21"/>
                <w:highlight w:val="none"/>
                <w:lang w:val="en-US" w:eastAsia="zh-CN"/>
              </w:rPr>
              <w:t>专业职称证书复印件</w:t>
            </w:r>
            <w:r>
              <w:rPr>
                <w:rFonts w:hint="eastAsia" w:ascii="宋体" w:hAnsi="宋体" w:eastAsia="宋体" w:cs="宋体"/>
                <w:bCs/>
                <w:color w:val="auto"/>
                <w:sz w:val="21"/>
                <w:szCs w:val="21"/>
                <w:highlight w:val="none"/>
                <w:lang w:eastAsia="zh-CN"/>
              </w:rPr>
              <w:t>、工作经验</w:t>
            </w:r>
            <w:r>
              <w:rPr>
                <w:rFonts w:hint="eastAsia" w:ascii="宋体" w:hAnsi="宋体" w:eastAsia="宋体" w:cs="宋体"/>
                <w:bCs/>
                <w:color w:val="auto"/>
                <w:sz w:val="21"/>
                <w:szCs w:val="21"/>
                <w:highlight w:val="none"/>
              </w:rPr>
              <w:t>证明材料</w:t>
            </w:r>
            <w:r>
              <w:rPr>
                <w:rFonts w:hint="eastAsia" w:ascii="宋体" w:hAnsi="宋体" w:eastAsia="宋体" w:cs="宋体"/>
                <w:bCs/>
                <w:color w:val="auto"/>
                <w:sz w:val="21"/>
                <w:szCs w:val="21"/>
                <w:highlight w:val="none"/>
                <w:lang w:eastAsia="zh-CN"/>
              </w:rPr>
              <w:t>、任意</w:t>
            </w:r>
            <w:r>
              <w:rPr>
                <w:rFonts w:hint="eastAsia" w:ascii="宋体" w:hAnsi="宋体" w:eastAsia="宋体" w:cs="宋体"/>
                <w:bCs/>
                <w:color w:val="auto"/>
                <w:sz w:val="21"/>
                <w:szCs w:val="21"/>
                <w:highlight w:val="none"/>
                <w:lang w:val="en-US" w:eastAsia="zh-CN"/>
              </w:rPr>
              <w:t>1个月的个人社保证明</w:t>
            </w:r>
            <w:r>
              <w:rPr>
                <w:rFonts w:hint="eastAsia" w:ascii="宋体" w:hAnsi="宋体" w:eastAsia="宋体" w:cs="宋体"/>
                <w:bCs/>
                <w:color w:val="auto"/>
                <w:sz w:val="21"/>
                <w:szCs w:val="21"/>
                <w:highlight w:val="none"/>
              </w:rPr>
              <w:t>，否则不得分。</w:t>
            </w:r>
          </w:p>
        </w:tc>
        <w:tc>
          <w:tcPr>
            <w:tcW w:w="705" w:type="dxa"/>
            <w:noWrap w:val="0"/>
            <w:vAlign w:val="center"/>
          </w:tcPr>
          <w:p w14:paraId="40A12D6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分</w:t>
            </w:r>
          </w:p>
        </w:tc>
        <w:tc>
          <w:tcPr>
            <w:tcW w:w="1320" w:type="dxa"/>
            <w:noWrap w:val="0"/>
            <w:vAlign w:val="center"/>
          </w:tcPr>
          <w:p w14:paraId="61CAB2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客观分</w:t>
            </w:r>
          </w:p>
        </w:tc>
        <w:tc>
          <w:tcPr>
            <w:tcW w:w="1611" w:type="dxa"/>
            <w:noWrap w:val="0"/>
            <w:vAlign w:val="center"/>
          </w:tcPr>
          <w:p w14:paraId="4D9C865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人员技术力量配备</w:t>
            </w:r>
          </w:p>
        </w:tc>
      </w:tr>
      <w:tr w14:paraId="4DB7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2" w:type="dxa"/>
            <w:noWrap w:val="0"/>
            <w:vAlign w:val="center"/>
          </w:tcPr>
          <w:p w14:paraId="34CF2B8E">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5</w:t>
            </w:r>
          </w:p>
        </w:tc>
        <w:tc>
          <w:tcPr>
            <w:tcW w:w="6510" w:type="dxa"/>
            <w:noWrap w:val="0"/>
            <w:vAlign w:val="center"/>
          </w:tcPr>
          <w:p w14:paraId="72C60A8A">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根据响应供应商针对本项目全媒体</w:t>
            </w:r>
            <w:r>
              <w:rPr>
                <w:rFonts w:hint="eastAsia" w:ascii="宋体" w:hAnsi="宋体" w:eastAsia="宋体" w:cs="宋体"/>
                <w:bCs/>
                <w:color w:val="auto"/>
                <w:sz w:val="21"/>
                <w:szCs w:val="21"/>
                <w:highlight w:val="none"/>
                <w:lang w:val="en-US" w:eastAsia="zh-CN"/>
              </w:rPr>
              <w:t>宣传</w:t>
            </w:r>
            <w:r>
              <w:rPr>
                <w:rFonts w:hint="eastAsia" w:ascii="宋体" w:hAnsi="宋体" w:eastAsia="宋体" w:cs="宋体"/>
                <w:bCs/>
                <w:color w:val="auto"/>
                <w:sz w:val="21"/>
                <w:szCs w:val="21"/>
                <w:highlight w:val="none"/>
              </w:rPr>
              <w:t>策划方案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包括播发平台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内容满足情况和对采购人全年工作内容、宣传重点理解与分析</w:t>
            </w:r>
            <w:r>
              <w:rPr>
                <w:rFonts w:hint="eastAsia" w:ascii="宋体" w:hAnsi="宋体" w:eastAsia="宋体" w:cs="宋体"/>
                <w:bCs/>
                <w:color w:val="auto"/>
                <w:sz w:val="21"/>
                <w:szCs w:val="21"/>
                <w:highlight w:val="none"/>
                <w:lang w:val="en-US" w:eastAsia="zh-CN"/>
              </w:rPr>
              <w:t>进行打分</w:t>
            </w:r>
            <w:r>
              <w:rPr>
                <w:rFonts w:hint="eastAsia" w:ascii="宋体" w:hAnsi="宋体" w:eastAsia="宋体" w:cs="宋体"/>
                <w:bCs/>
                <w:color w:val="auto"/>
                <w:sz w:val="21"/>
                <w:szCs w:val="21"/>
                <w:highlight w:val="none"/>
                <w:lang w:eastAsia="zh-CN"/>
              </w:rPr>
              <w:t>：</w:t>
            </w:r>
          </w:p>
          <w:p w14:paraId="7A9B46F7">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eastAsia="zh-CN"/>
              </w:rPr>
              <w:t>对采购人全年工作内容有全局观、由点及面层层深入理解到位且</w:t>
            </w:r>
            <w:r>
              <w:rPr>
                <w:rFonts w:hint="eastAsia" w:ascii="宋体" w:hAnsi="宋体" w:eastAsia="宋体" w:cs="宋体"/>
                <w:bCs/>
                <w:color w:val="auto"/>
                <w:sz w:val="21"/>
                <w:szCs w:val="21"/>
                <w:highlight w:val="none"/>
                <w:lang w:val="en-US" w:eastAsia="zh-CN"/>
              </w:rPr>
              <w:t>内容全面、准确、合理</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eastAsia="zh-CN"/>
              </w:rPr>
              <w:t>分；对采购人全年工作内容基本了解、内容较普通、</w:t>
            </w:r>
            <w:r>
              <w:rPr>
                <w:rFonts w:hint="eastAsia" w:ascii="宋体" w:hAnsi="宋体" w:eastAsia="宋体" w:cs="宋体"/>
                <w:bCs/>
                <w:color w:val="auto"/>
                <w:sz w:val="21"/>
                <w:szCs w:val="21"/>
                <w:highlight w:val="none"/>
                <w:lang w:val="en-US" w:eastAsia="zh-CN"/>
              </w:rPr>
              <w:t>内容部分符合8</w:t>
            </w:r>
            <w:r>
              <w:rPr>
                <w:rFonts w:hint="eastAsia" w:ascii="宋体" w:hAnsi="宋体" w:eastAsia="宋体" w:cs="宋体"/>
                <w:bCs/>
                <w:color w:val="auto"/>
                <w:sz w:val="21"/>
                <w:szCs w:val="21"/>
                <w:highlight w:val="none"/>
                <w:lang w:eastAsia="zh-CN"/>
              </w:rPr>
              <w:t>分；对采购人全年工作内容了解情况一般、</w:t>
            </w:r>
            <w:r>
              <w:rPr>
                <w:rFonts w:hint="eastAsia" w:ascii="宋体" w:hAnsi="宋体" w:eastAsia="宋体" w:cs="宋体"/>
                <w:bCs/>
                <w:color w:val="auto"/>
                <w:sz w:val="21"/>
                <w:szCs w:val="21"/>
                <w:highlight w:val="none"/>
                <w:lang w:val="en-US" w:eastAsia="zh-CN"/>
              </w:rPr>
              <w:t>内容不全面得的</w:t>
            </w:r>
            <w:r>
              <w:rPr>
                <w:rFonts w:hint="eastAsia" w:ascii="宋体" w:hAnsi="宋体" w:eastAsia="宋体" w:cs="宋体"/>
                <w:bCs/>
                <w:color w:val="auto"/>
                <w:sz w:val="21"/>
                <w:szCs w:val="21"/>
                <w:highlight w:val="none"/>
                <w:lang w:eastAsia="zh-CN"/>
              </w:rPr>
              <w:t>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分；不符合或未提供内容的不得分。</w:t>
            </w:r>
          </w:p>
        </w:tc>
        <w:tc>
          <w:tcPr>
            <w:tcW w:w="705" w:type="dxa"/>
            <w:noWrap w:val="0"/>
            <w:vAlign w:val="center"/>
          </w:tcPr>
          <w:p w14:paraId="0FAC81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分</w:t>
            </w:r>
          </w:p>
        </w:tc>
        <w:tc>
          <w:tcPr>
            <w:tcW w:w="1320" w:type="dxa"/>
            <w:noWrap w:val="0"/>
            <w:vAlign w:val="center"/>
          </w:tcPr>
          <w:p w14:paraId="0D7AA94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04AF082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kern w:val="0"/>
                <w:sz w:val="21"/>
                <w:szCs w:val="21"/>
                <w:highlight w:val="none"/>
              </w:rPr>
              <w:t>全媒体</w:t>
            </w:r>
            <w:r>
              <w:rPr>
                <w:rFonts w:hint="eastAsia" w:ascii="宋体" w:hAnsi="宋体" w:eastAsia="宋体" w:cs="宋体"/>
                <w:bCs/>
                <w:color w:val="auto"/>
                <w:kern w:val="0"/>
                <w:sz w:val="21"/>
                <w:szCs w:val="21"/>
                <w:highlight w:val="none"/>
                <w:lang w:val="en-US" w:eastAsia="zh-CN"/>
              </w:rPr>
              <w:t>宣传</w:t>
            </w:r>
            <w:r>
              <w:rPr>
                <w:rFonts w:hint="eastAsia" w:ascii="宋体" w:hAnsi="宋体" w:eastAsia="宋体" w:cs="宋体"/>
                <w:bCs/>
                <w:color w:val="auto"/>
                <w:kern w:val="0"/>
                <w:sz w:val="21"/>
                <w:szCs w:val="21"/>
                <w:highlight w:val="none"/>
              </w:rPr>
              <w:t>策划方案</w:t>
            </w:r>
            <w:r>
              <w:rPr>
                <w:rFonts w:hint="eastAsia" w:ascii="宋体" w:hAnsi="宋体" w:eastAsia="宋体" w:cs="宋体"/>
                <w:bCs/>
                <w:color w:val="auto"/>
                <w:kern w:val="0"/>
                <w:sz w:val="21"/>
                <w:szCs w:val="21"/>
                <w:highlight w:val="none"/>
                <w:lang w:eastAsia="zh-CN"/>
              </w:rPr>
              <w:t>及</w:t>
            </w:r>
            <w:r>
              <w:rPr>
                <w:rFonts w:hint="eastAsia" w:ascii="宋体" w:hAnsi="宋体" w:eastAsia="宋体" w:cs="宋体"/>
                <w:b w:val="0"/>
                <w:color w:val="auto"/>
                <w:sz w:val="21"/>
                <w:szCs w:val="21"/>
                <w:highlight w:val="none"/>
                <w:lang w:eastAsia="zh-CN"/>
              </w:rPr>
              <w:t>工作内容、宣传重点理解与分析</w:t>
            </w:r>
          </w:p>
          <w:p w14:paraId="36F24B0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p>
        </w:tc>
      </w:tr>
      <w:tr w14:paraId="30D0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2" w:type="dxa"/>
            <w:noWrap w:val="0"/>
            <w:vAlign w:val="center"/>
          </w:tcPr>
          <w:p w14:paraId="04267991">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w:t>
            </w:r>
          </w:p>
        </w:tc>
        <w:tc>
          <w:tcPr>
            <w:tcW w:w="6510" w:type="dxa"/>
            <w:noWrap w:val="0"/>
            <w:vAlign w:val="center"/>
          </w:tcPr>
          <w:p w14:paraId="5BB6573B">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根据项目需求，响应供应商针对本项目其他服务方案，内容包括</w:t>
            </w:r>
            <w:r>
              <w:rPr>
                <w:rFonts w:hint="eastAsia" w:ascii="宋体" w:hAnsi="宋体" w:eastAsia="宋体" w:cs="宋体"/>
                <w:bCs/>
                <w:color w:val="auto"/>
                <w:sz w:val="21"/>
                <w:szCs w:val="21"/>
                <w:highlight w:val="none"/>
                <w:lang w:eastAsia="zh-CN"/>
              </w:rPr>
              <w:t>媒体采风、氛围营造等各类宣传活动</w:t>
            </w:r>
            <w:r>
              <w:rPr>
                <w:rFonts w:hint="eastAsia" w:ascii="宋体" w:hAnsi="宋体" w:eastAsia="宋体" w:cs="宋体"/>
                <w:bCs/>
                <w:color w:val="auto"/>
                <w:sz w:val="21"/>
                <w:szCs w:val="21"/>
                <w:highlight w:val="none"/>
              </w:rPr>
              <w:t>全程策划指导</w:t>
            </w:r>
            <w:r>
              <w:rPr>
                <w:rFonts w:hint="eastAsia" w:ascii="宋体" w:hAnsi="宋体" w:eastAsia="宋体" w:cs="宋体"/>
                <w:bCs/>
                <w:color w:val="auto"/>
                <w:sz w:val="21"/>
                <w:szCs w:val="21"/>
                <w:highlight w:val="none"/>
                <w:lang w:eastAsia="zh-CN"/>
              </w:rPr>
              <w:t>的，根据内容满足情况打分：</w:t>
            </w:r>
          </w:p>
          <w:p w14:paraId="10CC4E96">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注：内容全面、准确、合理得12分；内容部分符合的得8分；内容不全面得4分；</w:t>
            </w:r>
            <w:r>
              <w:rPr>
                <w:rFonts w:hint="eastAsia" w:ascii="宋体" w:hAnsi="宋体" w:eastAsia="宋体" w:cs="宋体"/>
                <w:bCs/>
                <w:color w:val="auto"/>
                <w:sz w:val="21"/>
                <w:szCs w:val="21"/>
                <w:highlight w:val="none"/>
                <w:lang w:eastAsia="zh-CN"/>
              </w:rPr>
              <w:t>不符合或未提供内容的不得分。</w:t>
            </w:r>
          </w:p>
        </w:tc>
        <w:tc>
          <w:tcPr>
            <w:tcW w:w="705" w:type="dxa"/>
            <w:noWrap w:val="0"/>
            <w:vAlign w:val="center"/>
          </w:tcPr>
          <w:p w14:paraId="71F78D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12</w:t>
            </w:r>
            <w:r>
              <w:rPr>
                <w:rFonts w:hint="eastAsia" w:ascii="宋体" w:hAnsi="宋体" w:eastAsia="宋体" w:cs="宋体"/>
                <w:bCs/>
                <w:color w:val="auto"/>
                <w:kern w:val="0"/>
                <w:sz w:val="21"/>
                <w:szCs w:val="21"/>
                <w:highlight w:val="none"/>
              </w:rPr>
              <w:t>分</w:t>
            </w:r>
          </w:p>
        </w:tc>
        <w:tc>
          <w:tcPr>
            <w:tcW w:w="1320" w:type="dxa"/>
            <w:noWrap w:val="0"/>
            <w:vAlign w:val="center"/>
          </w:tcPr>
          <w:p w14:paraId="1C06F92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671C90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其他服务方案</w:t>
            </w:r>
          </w:p>
        </w:tc>
      </w:tr>
      <w:tr w14:paraId="5091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2" w:type="dxa"/>
            <w:noWrap w:val="0"/>
            <w:vAlign w:val="center"/>
          </w:tcPr>
          <w:p w14:paraId="440F7E77">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6510" w:type="dxa"/>
            <w:noWrap w:val="0"/>
            <w:vAlign w:val="center"/>
          </w:tcPr>
          <w:p w14:paraId="6A948C3A">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根据投标人针对本项目重要节点构思</w:t>
            </w:r>
            <w:r>
              <w:rPr>
                <w:rFonts w:hint="eastAsia" w:ascii="宋体" w:hAnsi="宋体" w:eastAsia="宋体" w:cs="宋体"/>
                <w:bCs/>
                <w:color w:val="auto"/>
                <w:sz w:val="21"/>
                <w:szCs w:val="21"/>
                <w:highlight w:val="none"/>
                <w:lang w:eastAsia="zh-CN"/>
              </w:rPr>
              <w:t>，根据内容有</w:t>
            </w:r>
            <w:r>
              <w:rPr>
                <w:rFonts w:hint="eastAsia" w:ascii="宋体" w:hAnsi="宋体" w:eastAsia="宋体" w:cs="宋体"/>
                <w:bCs/>
                <w:color w:val="auto"/>
                <w:sz w:val="21"/>
                <w:szCs w:val="21"/>
                <w:highlight w:val="none"/>
              </w:rPr>
              <w:t>亮点、新颖程度等</w:t>
            </w:r>
            <w:r>
              <w:rPr>
                <w:rFonts w:hint="eastAsia" w:ascii="宋体" w:hAnsi="宋体" w:eastAsia="宋体" w:cs="宋体"/>
                <w:bCs/>
                <w:color w:val="auto"/>
                <w:sz w:val="21"/>
                <w:szCs w:val="21"/>
                <w:highlight w:val="none"/>
                <w:lang w:eastAsia="zh-CN"/>
              </w:rPr>
              <w:t>进行打分。</w:t>
            </w:r>
          </w:p>
          <w:p w14:paraId="21E94CCA">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重要节点构思及设计亮点</w:t>
            </w:r>
            <w:r>
              <w:rPr>
                <w:rFonts w:hint="eastAsia" w:ascii="宋体" w:hAnsi="宋体" w:eastAsia="宋体" w:cs="宋体"/>
                <w:bCs/>
                <w:color w:val="auto"/>
                <w:sz w:val="21"/>
                <w:szCs w:val="21"/>
                <w:highlight w:val="none"/>
                <w:lang w:eastAsia="zh-CN"/>
              </w:rPr>
              <w:t>凸出</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内容</w:t>
            </w:r>
            <w:r>
              <w:rPr>
                <w:rFonts w:hint="eastAsia" w:ascii="宋体" w:hAnsi="宋体" w:eastAsia="宋体" w:cs="宋体"/>
                <w:bCs/>
                <w:color w:val="auto"/>
                <w:sz w:val="21"/>
                <w:szCs w:val="21"/>
                <w:highlight w:val="none"/>
              </w:rPr>
              <w:t>新颖</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12分；构思、亮点一般的得8分；没有亮点或不新颖的得4分；</w:t>
            </w:r>
            <w:r>
              <w:rPr>
                <w:rFonts w:hint="eastAsia" w:ascii="宋体" w:hAnsi="宋体" w:eastAsia="宋体" w:cs="宋体"/>
                <w:bCs/>
                <w:color w:val="auto"/>
                <w:sz w:val="21"/>
                <w:szCs w:val="21"/>
                <w:highlight w:val="none"/>
                <w:lang w:eastAsia="zh-CN"/>
              </w:rPr>
              <w:t>不符合或未提供内容的不得分。</w:t>
            </w:r>
          </w:p>
        </w:tc>
        <w:tc>
          <w:tcPr>
            <w:tcW w:w="705" w:type="dxa"/>
            <w:noWrap w:val="0"/>
            <w:vAlign w:val="center"/>
          </w:tcPr>
          <w:p w14:paraId="5AD05CD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12分</w:t>
            </w:r>
          </w:p>
        </w:tc>
        <w:tc>
          <w:tcPr>
            <w:tcW w:w="1320" w:type="dxa"/>
            <w:noWrap w:val="0"/>
            <w:vAlign w:val="center"/>
          </w:tcPr>
          <w:p w14:paraId="6518F89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758401F7">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重要节点构思</w:t>
            </w:r>
          </w:p>
        </w:tc>
      </w:tr>
      <w:tr w14:paraId="6A1C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2" w:type="dxa"/>
            <w:noWrap w:val="0"/>
            <w:vAlign w:val="center"/>
          </w:tcPr>
          <w:p w14:paraId="648EAEB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8</w:t>
            </w:r>
          </w:p>
        </w:tc>
        <w:tc>
          <w:tcPr>
            <w:tcW w:w="6510" w:type="dxa"/>
            <w:noWrap w:val="0"/>
            <w:vAlign w:val="center"/>
          </w:tcPr>
          <w:p w14:paraId="661E03DB">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根据响应供应商针对拟投入硬件设备配备情况进行打分：</w:t>
            </w:r>
          </w:p>
          <w:p w14:paraId="2104C965">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拟投入硬件设备配备满足项目实际需求，配置科学合理的得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792A160B">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拟投入硬件设备配备基本满足项目实际需求，配置较科学合理的得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分；拟投入硬件设备配备</w:t>
            </w:r>
            <w:r>
              <w:rPr>
                <w:rFonts w:hint="eastAsia" w:ascii="宋体" w:hAnsi="宋体" w:eastAsia="宋体" w:cs="宋体"/>
                <w:bCs/>
                <w:color w:val="auto"/>
                <w:sz w:val="21"/>
                <w:szCs w:val="21"/>
                <w:highlight w:val="none"/>
                <w:lang w:eastAsia="zh-CN"/>
              </w:rPr>
              <w:t>欠缺</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；不符合或未提供内容的不得分。</w:t>
            </w:r>
          </w:p>
        </w:tc>
        <w:tc>
          <w:tcPr>
            <w:tcW w:w="705" w:type="dxa"/>
            <w:noWrap w:val="0"/>
            <w:vAlign w:val="center"/>
          </w:tcPr>
          <w:p w14:paraId="1E7586A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1320" w:type="dxa"/>
            <w:noWrap w:val="0"/>
            <w:vAlign w:val="center"/>
          </w:tcPr>
          <w:p w14:paraId="5143C11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574FC89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拟投入硬件设备配备情况</w:t>
            </w:r>
          </w:p>
        </w:tc>
      </w:tr>
      <w:tr w14:paraId="3D19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jc w:val="center"/>
        </w:trPr>
        <w:tc>
          <w:tcPr>
            <w:tcW w:w="652" w:type="dxa"/>
            <w:noWrap w:val="0"/>
            <w:vAlign w:val="center"/>
          </w:tcPr>
          <w:p w14:paraId="7E401D2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9</w:t>
            </w:r>
          </w:p>
        </w:tc>
        <w:tc>
          <w:tcPr>
            <w:tcW w:w="6510" w:type="dxa"/>
            <w:noWrap w:val="0"/>
            <w:vAlign w:val="center"/>
          </w:tcPr>
          <w:p w14:paraId="1858E33C">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根据响应供应商针对本项目应急方案进行打分：</w:t>
            </w:r>
          </w:p>
          <w:p w14:paraId="44B08CFF">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应急方案满足项目实际需求，保障人员出行安全，对各类突发事件识别完整、预案措施完善且可行性强的、科学合理的得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317CE8F3">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应急方案基本满足项目实际需求，内容较完整、可行性较强的、较科学合理的得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分；应急方案内容</w:t>
            </w:r>
            <w:r>
              <w:rPr>
                <w:rFonts w:hint="eastAsia" w:ascii="宋体" w:hAnsi="宋体" w:eastAsia="宋体" w:cs="宋体"/>
                <w:bCs/>
                <w:color w:val="auto"/>
                <w:sz w:val="21"/>
                <w:szCs w:val="21"/>
                <w:highlight w:val="none"/>
                <w:lang w:eastAsia="zh-CN"/>
              </w:rPr>
              <w:t>欠缺</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；不符合或未提供内容的不得分。</w:t>
            </w:r>
          </w:p>
        </w:tc>
        <w:tc>
          <w:tcPr>
            <w:tcW w:w="705" w:type="dxa"/>
            <w:noWrap w:val="0"/>
            <w:vAlign w:val="center"/>
          </w:tcPr>
          <w:p w14:paraId="601F1C15">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分</w:t>
            </w:r>
          </w:p>
        </w:tc>
        <w:tc>
          <w:tcPr>
            <w:tcW w:w="1320" w:type="dxa"/>
            <w:noWrap w:val="0"/>
            <w:vAlign w:val="center"/>
          </w:tcPr>
          <w:p w14:paraId="480FC1B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4FCB37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应急方案</w:t>
            </w:r>
          </w:p>
        </w:tc>
      </w:tr>
      <w:tr w14:paraId="3AB8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52" w:type="dxa"/>
            <w:noWrap w:val="0"/>
            <w:vAlign w:val="center"/>
          </w:tcPr>
          <w:p w14:paraId="0D6E9D4C">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6510" w:type="dxa"/>
            <w:noWrap w:val="0"/>
            <w:vAlign w:val="center"/>
          </w:tcPr>
          <w:p w14:paraId="579A28C6">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对服务质量的保证及方案实施阶段跟踪服务的承诺是否到位</w:t>
            </w:r>
            <w:r>
              <w:rPr>
                <w:rFonts w:hint="eastAsia" w:ascii="宋体" w:hAnsi="宋体" w:eastAsia="宋体" w:cs="宋体"/>
                <w:bCs/>
                <w:color w:val="auto"/>
                <w:sz w:val="21"/>
                <w:szCs w:val="21"/>
                <w:highlight w:val="none"/>
                <w:lang w:eastAsia="zh-CN"/>
              </w:rPr>
              <w:t>进行打分。</w:t>
            </w:r>
          </w:p>
          <w:p w14:paraId="6BF9042E">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eastAsia="zh-CN"/>
              </w:rPr>
              <w:t>方案全面、可行性强得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lang w:eastAsia="zh-CN"/>
              </w:rPr>
              <w:t>分；方案比较全面、可行</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分；方案欠全面、可行性差得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分；不符合或未提供内容的不得分。</w:t>
            </w:r>
          </w:p>
        </w:tc>
        <w:tc>
          <w:tcPr>
            <w:tcW w:w="705" w:type="dxa"/>
            <w:noWrap w:val="0"/>
            <w:vAlign w:val="center"/>
          </w:tcPr>
          <w:p w14:paraId="2B9A1B99">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8分</w:t>
            </w:r>
          </w:p>
        </w:tc>
        <w:tc>
          <w:tcPr>
            <w:tcW w:w="1320" w:type="dxa"/>
            <w:noWrap w:val="0"/>
            <w:vAlign w:val="center"/>
          </w:tcPr>
          <w:p w14:paraId="6C94755E">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627815B2">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质量及其他保证措施</w:t>
            </w:r>
          </w:p>
          <w:p w14:paraId="67CA12BD">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p>
        </w:tc>
      </w:tr>
      <w:tr w14:paraId="2C6C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652" w:type="dxa"/>
            <w:noWrap w:val="0"/>
            <w:vAlign w:val="center"/>
          </w:tcPr>
          <w:p w14:paraId="0179574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11</w:t>
            </w:r>
          </w:p>
        </w:tc>
        <w:tc>
          <w:tcPr>
            <w:tcW w:w="6510" w:type="dxa"/>
            <w:noWrap w:val="0"/>
            <w:vAlign w:val="center"/>
          </w:tcPr>
          <w:p w14:paraId="3BEB8BE0">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投标人针对本项目的售后服务方案，包括售后服务承诺等，根据其方案的可行性、完整性，服务承诺落实的保障措施进行打分。</w:t>
            </w:r>
          </w:p>
          <w:p w14:paraId="519FAE3C">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注：内容合理、完整、可行性强的得8分，较合理、完整的得6分，不够合理、完整的得4分。未提供相关描述不得分。</w:t>
            </w:r>
          </w:p>
        </w:tc>
        <w:tc>
          <w:tcPr>
            <w:tcW w:w="705" w:type="dxa"/>
            <w:noWrap w:val="0"/>
            <w:vAlign w:val="center"/>
          </w:tcPr>
          <w:p w14:paraId="0CF248ED">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分</w:t>
            </w:r>
          </w:p>
        </w:tc>
        <w:tc>
          <w:tcPr>
            <w:tcW w:w="1320" w:type="dxa"/>
            <w:noWrap w:val="0"/>
            <w:vAlign w:val="center"/>
          </w:tcPr>
          <w:p w14:paraId="3C07517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60067D6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售后服务方案</w:t>
            </w:r>
          </w:p>
        </w:tc>
      </w:tr>
      <w:tr w14:paraId="1397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52" w:type="dxa"/>
            <w:noWrap w:val="0"/>
            <w:vAlign w:val="center"/>
          </w:tcPr>
          <w:p w14:paraId="74562F8D">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6510" w:type="dxa"/>
            <w:noWrap w:val="0"/>
            <w:vAlign w:val="center"/>
          </w:tcPr>
          <w:p w14:paraId="13AA4CF8">
            <w:pPr>
              <w:keepNext w:val="0"/>
              <w:keepLines w:val="0"/>
              <w:pageBreakBefore w:val="0"/>
              <w:widowControl/>
              <w:suppressLineNumbers w:val="0"/>
              <w:kinsoku/>
              <w:wordWrap/>
              <w:overflowPunct/>
              <w:topLinePunct w:val="0"/>
              <w:bidi w:val="0"/>
              <w:adjustRightInd w:val="0"/>
              <w:snapToGrid/>
              <w:spacing w:before="0" w:beforeAutospacing="0" w:after="0" w:afterAutospacing="0" w:line="360" w:lineRule="auto"/>
              <w:ind w:right="0" w:right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供应商针对本项目能提供</w:t>
            </w:r>
            <w:r>
              <w:rPr>
                <w:rFonts w:hint="eastAsia" w:ascii="宋体" w:hAnsi="宋体" w:eastAsia="宋体" w:cs="宋体"/>
                <w:bCs/>
                <w:color w:val="auto"/>
                <w:sz w:val="21"/>
                <w:szCs w:val="21"/>
                <w:highlight w:val="none"/>
                <w:lang w:eastAsia="zh-CN"/>
              </w:rPr>
              <w:t>针对本项目</w:t>
            </w:r>
            <w:r>
              <w:rPr>
                <w:rFonts w:hint="eastAsia" w:ascii="宋体" w:hAnsi="宋体" w:eastAsia="宋体" w:cs="宋体"/>
                <w:bCs/>
                <w:color w:val="auto"/>
                <w:sz w:val="21"/>
                <w:szCs w:val="21"/>
                <w:highlight w:val="none"/>
              </w:rPr>
              <w:t>的特色服务、增值服务说明，经专家评审认可的</w:t>
            </w: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rPr>
              <w:t>项得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分，最高</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不符合或未提供内容的不得分。</w:t>
            </w:r>
          </w:p>
        </w:tc>
        <w:tc>
          <w:tcPr>
            <w:tcW w:w="705" w:type="dxa"/>
            <w:noWrap w:val="0"/>
            <w:vAlign w:val="center"/>
          </w:tcPr>
          <w:p w14:paraId="12C3B05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6分</w:t>
            </w:r>
          </w:p>
        </w:tc>
        <w:tc>
          <w:tcPr>
            <w:tcW w:w="1320" w:type="dxa"/>
            <w:noWrap w:val="0"/>
            <w:vAlign w:val="center"/>
          </w:tcPr>
          <w:p w14:paraId="7DD2B8B0">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611" w:type="dxa"/>
            <w:noWrap w:val="0"/>
            <w:vAlign w:val="center"/>
          </w:tcPr>
          <w:p w14:paraId="51431F62">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增值服务</w:t>
            </w:r>
          </w:p>
        </w:tc>
      </w:tr>
    </w:tbl>
    <w:p w14:paraId="5859678F">
      <w:pPr>
        <w:spacing w:line="440" w:lineRule="exact"/>
        <w:ind w:firstLine="110" w:firstLineChars="50"/>
        <w:rPr>
          <w:rFonts w:hint="eastAsia" w:ascii="宋体" w:hAnsi="宋体" w:eastAsia="宋体" w:cs="宋体"/>
          <w:b/>
          <w:color w:val="auto"/>
          <w:sz w:val="22"/>
          <w:szCs w:val="22"/>
          <w:highlight w:val="none"/>
        </w:rPr>
      </w:pPr>
    </w:p>
    <w:p w14:paraId="772B83AC">
      <w:pPr>
        <w:spacing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highlight w:val="none"/>
        </w:rPr>
        <w:t>注 ：每个评委根据上述评分内容和分值独立打分，然后将各评委汇总分的算术平均值作为该投标供应商的技术、资信标最后有效得分。</w:t>
      </w:r>
      <w:r>
        <w:rPr>
          <w:rFonts w:hint="eastAsia" w:ascii="宋体" w:hAnsi="宋体" w:eastAsia="宋体" w:cs="宋体"/>
          <w:b/>
          <w:bCs/>
          <w:color w:val="auto"/>
          <w:sz w:val="22"/>
          <w:highlight w:val="none"/>
        </w:rPr>
        <w:t>（计算分值四舍五入，精确到小数点后二位）</w:t>
      </w:r>
    </w:p>
    <w:p w14:paraId="30502A0F">
      <w:pPr>
        <w:spacing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2、价格评分（</w:t>
      </w:r>
      <w:r>
        <w:rPr>
          <w:rFonts w:hint="eastAsia" w:ascii="宋体" w:hAnsi="宋体" w:eastAsia="宋体" w:cs="宋体"/>
          <w:b/>
          <w:color w:val="auto"/>
          <w:sz w:val="22"/>
          <w:szCs w:val="22"/>
          <w:highlight w:val="none"/>
          <w:u w:val="single"/>
        </w:rPr>
        <w:t>10</w:t>
      </w:r>
      <w:r>
        <w:rPr>
          <w:rFonts w:hint="eastAsia" w:ascii="宋体" w:hAnsi="宋体" w:eastAsia="宋体" w:cs="宋体"/>
          <w:b/>
          <w:color w:val="auto"/>
          <w:sz w:val="22"/>
          <w:szCs w:val="22"/>
          <w:highlight w:val="none"/>
        </w:rPr>
        <w:t>分）</w:t>
      </w:r>
      <w:r>
        <w:rPr>
          <w:rFonts w:hint="eastAsia" w:ascii="宋体" w:hAnsi="宋体" w:eastAsia="宋体" w:cs="宋体"/>
          <w:color w:val="auto"/>
          <w:sz w:val="22"/>
          <w:szCs w:val="22"/>
          <w:highlight w:val="none"/>
        </w:rPr>
        <w:t>：</w:t>
      </w:r>
    </w:p>
    <w:p w14:paraId="2B7EFCFA">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（1）满足招标文件要求且投标价格最低的投标报价为评标基准价。</w:t>
      </w:r>
    </w:p>
    <w:p w14:paraId="0F748B4A">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（2）投标供应商的投标报价等于评标基准价时其价格分为满分；</w:t>
      </w:r>
    </w:p>
    <w:p w14:paraId="2DE89A22">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（3）其他投标供应商的价格分按以下公式计算：</w:t>
      </w:r>
    </w:p>
    <w:p w14:paraId="63B327D5">
      <w:pPr>
        <w:spacing w:line="440" w:lineRule="exact"/>
        <w:ind w:left="538" w:leftChars="256"/>
        <w:rPr>
          <w:rFonts w:hint="eastAsia" w:ascii="宋体" w:hAnsi="宋体" w:eastAsia="宋体" w:cs="宋体"/>
          <w:b/>
          <w:bCs/>
          <w:color w:val="auto"/>
          <w:sz w:val="22"/>
          <w:szCs w:val="22"/>
          <w:highlight w:val="none"/>
          <w:u w:val="single"/>
          <w:lang w:val="zh-CN"/>
        </w:rPr>
      </w:pPr>
      <w:r>
        <w:rPr>
          <w:rFonts w:hint="eastAsia" w:ascii="宋体" w:hAnsi="宋体" w:eastAsia="宋体" w:cs="宋体"/>
          <w:color w:val="auto"/>
          <w:sz w:val="22"/>
          <w:szCs w:val="22"/>
          <w:highlight w:val="none"/>
        </w:rPr>
        <w:t>价格分=（评标基准价/投标供应商投标价）×10（四舍五入，保留小数点后2位）</w:t>
      </w:r>
    </w:p>
    <w:p w14:paraId="3E6A3403">
      <w:pPr>
        <w:numPr>
          <w:ilvl w:val="0"/>
          <w:numId w:val="21"/>
        </w:numPr>
        <w:spacing w:line="440" w:lineRule="exact"/>
        <w:rPr>
          <w:rFonts w:hint="eastAsia" w:ascii="宋体" w:hAnsi="宋体" w:eastAsia="宋体" w:cs="宋体"/>
          <w:bCs/>
          <w:color w:val="auto"/>
          <w:sz w:val="22"/>
          <w:szCs w:val="22"/>
          <w:highlight w:val="none"/>
          <w:u w:val="singl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u w:val="single"/>
        </w:rPr>
        <w:t>如投标供应商报价超过采购预算，其投标文件作无效标处理。</w:t>
      </w:r>
    </w:p>
    <w:p w14:paraId="1A22D367">
      <w:pPr>
        <w:widowControl/>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rPr>
        <w:t>3、 各有效投标供应商的综合得分为技术资信分和商务（价格）分的总和。</w:t>
      </w:r>
      <w:r>
        <w:rPr>
          <w:rFonts w:hint="eastAsia" w:ascii="宋体" w:hAnsi="宋体" w:eastAsia="宋体" w:cs="宋体"/>
          <w:color w:val="auto"/>
          <w:sz w:val="22"/>
          <w:szCs w:val="22"/>
          <w:highlight w:val="none"/>
        </w:rPr>
        <w:t xml:space="preserve">  </w:t>
      </w:r>
    </w:p>
    <w:p w14:paraId="0D1E3F4D">
      <w:pPr>
        <w:widowControl/>
        <w:snapToGrid w:val="0"/>
        <w:spacing w:line="44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 xml:space="preserve">六、 定标办法 </w:t>
      </w:r>
    </w:p>
    <w:p w14:paraId="10B363E7">
      <w:pPr>
        <w:widowControl/>
        <w:spacing w:line="440" w:lineRule="exact"/>
        <w:ind w:left="548"/>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评标委员会按各有效投标供应商综合得分高低顺序排列，综合得分排名第一的投标人为</w:t>
      </w:r>
      <w:r>
        <w:rPr>
          <w:rFonts w:hint="eastAsia" w:ascii="宋体" w:hAnsi="宋体" w:eastAsia="宋体" w:cs="宋体"/>
          <w:color w:val="auto"/>
          <w:sz w:val="22"/>
          <w:szCs w:val="22"/>
          <w:highlight w:val="none"/>
          <w:lang w:eastAsia="zh-CN"/>
        </w:rPr>
        <w:t>中标候选供应商。</w:t>
      </w:r>
    </w:p>
    <w:p w14:paraId="2D15B079">
      <w:pPr>
        <w:widowControl/>
        <w:spacing w:line="44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 中标结果公告</w:t>
      </w:r>
    </w:p>
    <w:p w14:paraId="235B3909">
      <w:pPr>
        <w:widowControl/>
        <w:spacing w:line="440" w:lineRule="exact"/>
        <w:ind w:left="548"/>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中标供应商确定后，中标公告在浙江政府采购网上发布，在发布中标公告的同时，采购人将向中标供应商发出中标通知书。中标通知书对采购人和中标供应商具有同等法律效力。</w:t>
      </w:r>
    </w:p>
    <w:p w14:paraId="3364C0BC">
      <w:pPr>
        <w:widowControl/>
        <w:snapToGrid w:val="0"/>
        <w:spacing w:line="440" w:lineRule="exac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 投标供应商义务</w:t>
      </w:r>
    </w:p>
    <w:p w14:paraId="19F7C946">
      <w:pPr>
        <w:spacing w:line="440" w:lineRule="exact"/>
        <w:ind w:left="548" w:leftChars="261"/>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投标供应商应随时接受评标委员会的询标，解答包括有关的商务、技术等问题。评标结束，所有评标资料归档备查。</w:t>
      </w:r>
    </w:p>
    <w:p w14:paraId="0CFEFE25">
      <w:pPr>
        <w:pStyle w:val="5"/>
        <w:ind w:left="440" w:hanging="440"/>
        <w:rPr>
          <w:rFonts w:hint="eastAsia" w:ascii="宋体" w:hAnsi="宋体" w:eastAsia="宋体" w:cs="宋体"/>
          <w:color w:val="auto"/>
          <w:kern w:val="0"/>
          <w:sz w:val="22"/>
          <w:szCs w:val="22"/>
          <w:highlight w:val="none"/>
        </w:rPr>
      </w:pPr>
    </w:p>
    <w:p w14:paraId="63CED4FB">
      <w:pPr>
        <w:pStyle w:val="4"/>
        <w:rPr>
          <w:rFonts w:hint="eastAsia" w:ascii="宋体" w:hAnsi="宋体" w:eastAsia="宋体" w:cs="宋体"/>
          <w:color w:val="auto"/>
          <w:sz w:val="22"/>
          <w:szCs w:val="22"/>
          <w:highlight w:val="none"/>
        </w:rPr>
      </w:pPr>
    </w:p>
    <w:p w14:paraId="36BBB774">
      <w:pPr>
        <w:pStyle w:val="5"/>
        <w:ind w:left="440" w:hanging="440"/>
        <w:rPr>
          <w:rFonts w:hint="eastAsia" w:ascii="宋体" w:hAnsi="宋体" w:eastAsia="宋体" w:cs="宋体"/>
          <w:color w:val="auto"/>
          <w:kern w:val="0"/>
          <w:sz w:val="22"/>
          <w:szCs w:val="22"/>
          <w:highlight w:val="none"/>
        </w:rPr>
      </w:pPr>
    </w:p>
    <w:p w14:paraId="6532B8DE">
      <w:pPr>
        <w:pStyle w:val="4"/>
        <w:rPr>
          <w:rFonts w:hint="eastAsia" w:ascii="宋体" w:hAnsi="宋体" w:eastAsia="宋体" w:cs="宋体"/>
          <w:color w:val="auto"/>
          <w:sz w:val="22"/>
          <w:szCs w:val="22"/>
          <w:highlight w:val="none"/>
        </w:rPr>
      </w:pPr>
    </w:p>
    <w:p w14:paraId="5B32C96A">
      <w:pPr>
        <w:pStyle w:val="5"/>
        <w:ind w:left="440" w:hanging="440"/>
        <w:rPr>
          <w:rFonts w:hint="eastAsia" w:ascii="宋体" w:hAnsi="宋体" w:eastAsia="宋体" w:cs="宋体"/>
          <w:color w:val="auto"/>
          <w:kern w:val="0"/>
          <w:sz w:val="22"/>
          <w:szCs w:val="22"/>
          <w:highlight w:val="none"/>
        </w:rPr>
      </w:pPr>
    </w:p>
    <w:p w14:paraId="544E6942">
      <w:pPr>
        <w:pStyle w:val="4"/>
        <w:rPr>
          <w:rFonts w:hint="eastAsia" w:ascii="宋体" w:hAnsi="宋体" w:eastAsia="宋体" w:cs="宋体"/>
          <w:color w:val="auto"/>
          <w:sz w:val="22"/>
          <w:szCs w:val="22"/>
          <w:highlight w:val="none"/>
        </w:rPr>
      </w:pPr>
    </w:p>
    <w:p w14:paraId="262795EB">
      <w:pPr>
        <w:pStyle w:val="5"/>
        <w:ind w:left="440" w:hanging="440"/>
        <w:rPr>
          <w:rFonts w:hint="eastAsia" w:ascii="宋体" w:hAnsi="宋体" w:eastAsia="宋体" w:cs="宋体"/>
          <w:color w:val="auto"/>
          <w:kern w:val="0"/>
          <w:sz w:val="22"/>
          <w:szCs w:val="22"/>
          <w:highlight w:val="none"/>
        </w:rPr>
      </w:pPr>
    </w:p>
    <w:p w14:paraId="5CE73F65">
      <w:pPr>
        <w:pStyle w:val="4"/>
        <w:rPr>
          <w:rFonts w:hint="eastAsia" w:ascii="宋体" w:hAnsi="宋体" w:eastAsia="宋体" w:cs="宋体"/>
          <w:color w:val="auto"/>
          <w:sz w:val="22"/>
          <w:szCs w:val="22"/>
          <w:highlight w:val="none"/>
        </w:rPr>
      </w:pPr>
    </w:p>
    <w:p w14:paraId="5C0937F9">
      <w:pPr>
        <w:pStyle w:val="5"/>
        <w:ind w:left="440" w:hanging="440"/>
        <w:rPr>
          <w:rFonts w:hint="eastAsia" w:ascii="宋体" w:hAnsi="宋体" w:eastAsia="宋体" w:cs="宋体"/>
          <w:color w:val="auto"/>
          <w:kern w:val="0"/>
          <w:sz w:val="22"/>
          <w:szCs w:val="22"/>
          <w:highlight w:val="none"/>
        </w:rPr>
      </w:pPr>
    </w:p>
    <w:p w14:paraId="62C72437">
      <w:pPr>
        <w:pStyle w:val="4"/>
        <w:rPr>
          <w:rFonts w:hint="eastAsia" w:ascii="宋体" w:hAnsi="宋体" w:eastAsia="宋体" w:cs="宋体"/>
          <w:color w:val="auto"/>
          <w:sz w:val="22"/>
          <w:szCs w:val="22"/>
          <w:highlight w:val="none"/>
        </w:rPr>
      </w:pPr>
    </w:p>
    <w:p w14:paraId="1C6B387E">
      <w:pPr>
        <w:pStyle w:val="5"/>
        <w:ind w:left="440" w:hanging="440"/>
        <w:rPr>
          <w:rFonts w:hint="eastAsia" w:ascii="宋体" w:hAnsi="宋体" w:eastAsia="宋体" w:cs="宋体"/>
          <w:color w:val="auto"/>
          <w:kern w:val="0"/>
          <w:sz w:val="22"/>
          <w:szCs w:val="22"/>
          <w:highlight w:val="none"/>
        </w:rPr>
      </w:pPr>
    </w:p>
    <w:p w14:paraId="7895C02D">
      <w:pPr>
        <w:pStyle w:val="4"/>
        <w:rPr>
          <w:rFonts w:hint="eastAsia" w:ascii="宋体" w:hAnsi="宋体" w:eastAsia="宋体" w:cs="宋体"/>
          <w:color w:val="auto"/>
          <w:sz w:val="22"/>
          <w:szCs w:val="22"/>
          <w:highlight w:val="none"/>
        </w:rPr>
      </w:pPr>
    </w:p>
    <w:p w14:paraId="19461A0D">
      <w:pPr>
        <w:pStyle w:val="5"/>
        <w:rPr>
          <w:rFonts w:hint="eastAsia" w:ascii="宋体" w:hAnsi="宋体" w:eastAsia="宋体" w:cs="宋体"/>
          <w:color w:val="auto"/>
          <w:highlight w:val="none"/>
        </w:rPr>
      </w:pPr>
    </w:p>
    <w:p w14:paraId="27A1A62A">
      <w:pPr>
        <w:pStyle w:val="5"/>
        <w:ind w:left="440" w:hanging="440"/>
        <w:rPr>
          <w:rFonts w:hint="eastAsia" w:ascii="宋体" w:hAnsi="宋体" w:eastAsia="宋体" w:cs="宋体"/>
          <w:color w:val="auto"/>
          <w:kern w:val="0"/>
          <w:sz w:val="22"/>
          <w:szCs w:val="22"/>
          <w:highlight w:val="none"/>
        </w:rPr>
      </w:pPr>
    </w:p>
    <w:p w14:paraId="044A3249">
      <w:pPr>
        <w:pStyle w:val="4"/>
        <w:rPr>
          <w:rFonts w:hint="eastAsia" w:ascii="宋体" w:hAnsi="宋体" w:eastAsia="宋体" w:cs="宋体"/>
          <w:color w:val="auto"/>
          <w:sz w:val="22"/>
          <w:szCs w:val="22"/>
          <w:highlight w:val="none"/>
        </w:rPr>
      </w:pPr>
    </w:p>
    <w:p w14:paraId="4407C433">
      <w:pPr>
        <w:pStyle w:val="5"/>
        <w:ind w:left="440" w:hanging="440"/>
        <w:rPr>
          <w:rFonts w:hint="eastAsia" w:ascii="宋体" w:hAnsi="宋体" w:eastAsia="宋体" w:cs="宋体"/>
          <w:color w:val="auto"/>
          <w:kern w:val="0"/>
          <w:sz w:val="22"/>
          <w:szCs w:val="22"/>
          <w:highlight w:val="none"/>
        </w:rPr>
      </w:pPr>
    </w:p>
    <w:p w14:paraId="76B377D5">
      <w:pPr>
        <w:pStyle w:val="4"/>
        <w:rPr>
          <w:rFonts w:hint="eastAsia" w:ascii="宋体" w:hAnsi="宋体" w:eastAsia="宋体" w:cs="宋体"/>
          <w:color w:val="auto"/>
          <w:sz w:val="22"/>
          <w:szCs w:val="22"/>
          <w:highlight w:val="none"/>
        </w:rPr>
      </w:pPr>
    </w:p>
    <w:p w14:paraId="065447AE">
      <w:pPr>
        <w:pStyle w:val="5"/>
        <w:ind w:left="440" w:hanging="440"/>
        <w:rPr>
          <w:rFonts w:hint="eastAsia" w:ascii="宋体" w:hAnsi="宋体" w:eastAsia="宋体" w:cs="宋体"/>
          <w:color w:val="auto"/>
          <w:kern w:val="0"/>
          <w:sz w:val="22"/>
          <w:szCs w:val="22"/>
          <w:highlight w:val="none"/>
        </w:rPr>
      </w:pPr>
    </w:p>
    <w:p w14:paraId="7063ED53">
      <w:pPr>
        <w:pStyle w:val="4"/>
        <w:rPr>
          <w:rFonts w:hint="eastAsia" w:ascii="宋体" w:hAnsi="宋体" w:eastAsia="宋体" w:cs="宋体"/>
          <w:color w:val="auto"/>
          <w:sz w:val="22"/>
          <w:szCs w:val="22"/>
          <w:highlight w:val="none"/>
        </w:rPr>
      </w:pPr>
    </w:p>
    <w:p w14:paraId="42AEE138">
      <w:pPr>
        <w:pStyle w:val="5"/>
        <w:ind w:left="440" w:hanging="440"/>
        <w:rPr>
          <w:rFonts w:hint="eastAsia" w:ascii="宋体" w:hAnsi="宋体" w:eastAsia="宋体" w:cs="宋体"/>
          <w:color w:val="auto"/>
          <w:kern w:val="0"/>
          <w:sz w:val="22"/>
          <w:szCs w:val="22"/>
          <w:highlight w:val="none"/>
        </w:rPr>
      </w:pPr>
    </w:p>
    <w:p w14:paraId="58C58DD2">
      <w:pPr>
        <w:pStyle w:val="4"/>
        <w:rPr>
          <w:rFonts w:hint="eastAsia" w:ascii="宋体" w:hAnsi="宋体" w:eastAsia="宋体" w:cs="宋体"/>
          <w:color w:val="auto"/>
          <w:kern w:val="0"/>
          <w:sz w:val="22"/>
          <w:szCs w:val="22"/>
          <w:highlight w:val="none"/>
        </w:rPr>
      </w:pPr>
    </w:p>
    <w:p w14:paraId="2F3F3B88">
      <w:pPr>
        <w:pStyle w:val="5"/>
        <w:rPr>
          <w:rFonts w:hint="eastAsia" w:ascii="宋体" w:hAnsi="宋体" w:eastAsia="宋体" w:cs="宋体"/>
          <w:color w:val="auto"/>
          <w:kern w:val="0"/>
          <w:sz w:val="22"/>
          <w:szCs w:val="22"/>
          <w:highlight w:val="none"/>
        </w:rPr>
      </w:pPr>
    </w:p>
    <w:p w14:paraId="2CFCAC51">
      <w:pPr>
        <w:pStyle w:val="4"/>
        <w:rPr>
          <w:rFonts w:hint="eastAsia" w:ascii="宋体" w:hAnsi="宋体" w:eastAsia="宋体" w:cs="宋体"/>
          <w:color w:val="auto"/>
          <w:kern w:val="0"/>
          <w:sz w:val="22"/>
          <w:szCs w:val="22"/>
          <w:highlight w:val="none"/>
        </w:rPr>
      </w:pPr>
    </w:p>
    <w:p w14:paraId="339565E4">
      <w:pPr>
        <w:pStyle w:val="5"/>
        <w:rPr>
          <w:rFonts w:hint="eastAsia" w:ascii="宋体" w:hAnsi="宋体" w:eastAsia="宋体" w:cs="宋体"/>
          <w:color w:val="auto"/>
          <w:kern w:val="0"/>
          <w:sz w:val="22"/>
          <w:szCs w:val="22"/>
          <w:highlight w:val="none"/>
        </w:rPr>
      </w:pPr>
    </w:p>
    <w:p w14:paraId="7D5AA0C4">
      <w:pPr>
        <w:pStyle w:val="4"/>
        <w:rPr>
          <w:rFonts w:hint="eastAsia" w:ascii="宋体" w:hAnsi="宋体" w:eastAsia="宋体" w:cs="宋体"/>
          <w:color w:val="auto"/>
          <w:kern w:val="0"/>
          <w:sz w:val="22"/>
          <w:szCs w:val="22"/>
          <w:highlight w:val="none"/>
        </w:rPr>
      </w:pPr>
    </w:p>
    <w:p w14:paraId="193BCEA4">
      <w:pPr>
        <w:pStyle w:val="5"/>
        <w:rPr>
          <w:rFonts w:hint="eastAsia" w:ascii="宋体" w:hAnsi="宋体" w:eastAsia="宋体" w:cs="宋体"/>
          <w:color w:val="auto"/>
          <w:kern w:val="0"/>
          <w:sz w:val="22"/>
          <w:szCs w:val="22"/>
          <w:highlight w:val="none"/>
        </w:rPr>
      </w:pPr>
    </w:p>
    <w:p w14:paraId="42F62EE4">
      <w:pPr>
        <w:pStyle w:val="4"/>
        <w:rPr>
          <w:rFonts w:hint="eastAsia" w:ascii="宋体" w:hAnsi="宋体" w:eastAsia="宋体" w:cs="宋体"/>
          <w:color w:val="auto"/>
          <w:kern w:val="0"/>
          <w:sz w:val="22"/>
          <w:szCs w:val="22"/>
          <w:highlight w:val="none"/>
        </w:rPr>
      </w:pPr>
    </w:p>
    <w:p w14:paraId="015DD0A9">
      <w:pPr>
        <w:pStyle w:val="5"/>
        <w:rPr>
          <w:rFonts w:hint="eastAsia" w:ascii="宋体" w:hAnsi="宋体" w:eastAsia="宋体" w:cs="宋体"/>
          <w:color w:val="auto"/>
          <w:kern w:val="0"/>
          <w:sz w:val="22"/>
          <w:szCs w:val="22"/>
          <w:highlight w:val="none"/>
        </w:rPr>
      </w:pPr>
    </w:p>
    <w:p w14:paraId="21444B55">
      <w:pPr>
        <w:pStyle w:val="4"/>
        <w:rPr>
          <w:rFonts w:hint="eastAsia" w:ascii="宋体" w:hAnsi="宋体" w:eastAsia="宋体" w:cs="宋体"/>
          <w:color w:val="auto"/>
          <w:kern w:val="0"/>
          <w:sz w:val="22"/>
          <w:szCs w:val="22"/>
          <w:highlight w:val="none"/>
        </w:rPr>
      </w:pPr>
    </w:p>
    <w:p w14:paraId="279EC199">
      <w:pPr>
        <w:pStyle w:val="5"/>
        <w:rPr>
          <w:rFonts w:hint="eastAsia" w:ascii="宋体" w:hAnsi="宋体" w:eastAsia="宋体" w:cs="宋体"/>
          <w:color w:val="auto"/>
          <w:kern w:val="0"/>
          <w:sz w:val="22"/>
          <w:szCs w:val="22"/>
          <w:highlight w:val="none"/>
        </w:rPr>
      </w:pPr>
    </w:p>
    <w:p w14:paraId="135409EC">
      <w:pPr>
        <w:pStyle w:val="4"/>
        <w:rPr>
          <w:rFonts w:hint="eastAsia" w:ascii="宋体" w:hAnsi="宋体" w:eastAsia="宋体" w:cs="宋体"/>
          <w:color w:val="auto"/>
          <w:kern w:val="0"/>
          <w:sz w:val="22"/>
          <w:szCs w:val="22"/>
          <w:highlight w:val="none"/>
        </w:rPr>
      </w:pPr>
    </w:p>
    <w:p w14:paraId="7478BA7B">
      <w:pPr>
        <w:pStyle w:val="5"/>
        <w:rPr>
          <w:rFonts w:hint="eastAsia"/>
          <w:color w:val="auto"/>
          <w:highlight w:val="none"/>
        </w:rPr>
      </w:pPr>
    </w:p>
    <w:p w14:paraId="73870F9F">
      <w:pPr>
        <w:pStyle w:val="4"/>
        <w:rPr>
          <w:rFonts w:hint="eastAsia" w:ascii="宋体" w:hAnsi="宋体" w:eastAsia="宋体" w:cs="宋体"/>
          <w:color w:val="auto"/>
          <w:sz w:val="22"/>
          <w:szCs w:val="22"/>
          <w:highlight w:val="none"/>
        </w:rPr>
      </w:pPr>
    </w:p>
    <w:p w14:paraId="7441296E">
      <w:pPr>
        <w:pStyle w:val="5"/>
        <w:ind w:left="440" w:hanging="440"/>
        <w:rPr>
          <w:rFonts w:hint="eastAsia" w:ascii="宋体" w:hAnsi="宋体" w:eastAsia="宋体" w:cs="宋体"/>
          <w:color w:val="auto"/>
          <w:kern w:val="0"/>
          <w:sz w:val="22"/>
          <w:szCs w:val="22"/>
          <w:highlight w:val="none"/>
        </w:rPr>
      </w:pPr>
    </w:p>
    <w:p w14:paraId="044859A9">
      <w:pPr>
        <w:widowControl/>
        <w:snapToGrid w:val="0"/>
        <w:spacing w:before="120" w:after="120" w:line="500" w:lineRule="atLeast"/>
        <w:jc w:val="center"/>
        <w:outlineLvl w:val="0"/>
        <w:rPr>
          <w:rFonts w:hint="eastAsia" w:ascii="宋体" w:hAnsi="宋体" w:eastAsia="宋体" w:cs="宋体"/>
          <w:b/>
          <w:color w:val="auto"/>
          <w:sz w:val="44"/>
          <w:szCs w:val="44"/>
          <w:highlight w:val="none"/>
        </w:rPr>
      </w:pPr>
      <w:bookmarkStart w:id="98" w:name="_Toc26716"/>
      <w:r>
        <w:rPr>
          <w:rFonts w:hint="eastAsia" w:ascii="宋体" w:hAnsi="宋体" w:eastAsia="宋体" w:cs="宋体"/>
          <w:b/>
          <w:color w:val="auto"/>
          <w:sz w:val="44"/>
          <w:szCs w:val="44"/>
          <w:highlight w:val="none"/>
        </w:rPr>
        <w:t>政府采购活动现场确认声明书</w:t>
      </w:r>
      <w:bookmarkEnd w:id="91"/>
      <w:bookmarkEnd w:id="98"/>
    </w:p>
    <w:p w14:paraId="7D02F70A">
      <w:pPr>
        <w:jc w:val="center"/>
        <w:rPr>
          <w:rFonts w:hint="eastAsia" w:ascii="宋体" w:hAnsi="宋体" w:eastAsia="宋体" w:cs="宋体"/>
          <w:b/>
          <w:color w:val="auto"/>
          <w:sz w:val="36"/>
          <w:szCs w:val="36"/>
          <w:highlight w:val="none"/>
        </w:rPr>
      </w:pPr>
    </w:p>
    <w:p w14:paraId="0DC86D1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浙江铭洋项目管理咨询有限公司</w:t>
      </w:r>
      <w:r>
        <w:rPr>
          <w:rFonts w:hint="eastAsia" w:ascii="宋体" w:hAnsi="宋体" w:eastAsia="宋体" w:cs="宋体"/>
          <w:color w:val="auto"/>
          <w:sz w:val="24"/>
          <w:highlight w:val="none"/>
        </w:rPr>
        <w:t>：</w:t>
      </w:r>
    </w:p>
    <w:p w14:paraId="54A1BCC8">
      <w:pPr>
        <w:spacing w:line="440" w:lineRule="exact"/>
        <w:ind w:firstLine="480" w:firstLineChars="200"/>
        <w:rPr>
          <w:rFonts w:hint="eastAsia" w:ascii="宋体" w:hAnsi="宋体" w:eastAsia="宋体" w:cs="宋体"/>
          <w:color w:val="auto"/>
          <w:sz w:val="24"/>
          <w:highlight w:val="none"/>
        </w:rPr>
      </w:pPr>
    </w:p>
    <w:p w14:paraId="69DB488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本人经由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（姓名）合法授权参加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项目（编号：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）政府采购活动，经与本单位法人代表（负责人）联系确认，现就有关公平竞争事项郑重声明如下：</w:t>
      </w:r>
    </w:p>
    <w:p w14:paraId="3CDD99F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（一）现已清楚知道参加本项目采购活动的其他所有供应商名称，本单位 </w:t>
      </w:r>
    </w:p>
    <w:p w14:paraId="0720630B">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□与其他所有供应商之间均不存在利害关系 </w:t>
      </w:r>
    </w:p>
    <w:p w14:paraId="0246D96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□与</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之间存在下列利害关系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AC48A7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A.法定代表人或负责人或实际控制人是同一人</w:t>
      </w:r>
    </w:p>
    <w:p w14:paraId="0C960B8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B.法定代表人或负责人或实际控制人是夫妻关系</w:t>
      </w:r>
    </w:p>
    <w:p w14:paraId="1C7B312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C.法定代表人或负责人或实际控制人是直系血亲关系</w:t>
      </w:r>
    </w:p>
    <w:p w14:paraId="00DADD6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D.法定代表人或负责人或实际控制人存在三代以内旁系血亲关系</w:t>
      </w:r>
    </w:p>
    <w:p w14:paraId="1AAD597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E.法定代表人或负责人或实际控制人存在近姻亲关系</w:t>
      </w:r>
    </w:p>
    <w:p w14:paraId="62A6E52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F.法定代表人或负责人或实际控制人存在股份控制或实际控制关系</w:t>
      </w:r>
    </w:p>
    <w:p w14:paraId="334B812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G.存在共同直接或间接投资设立子公司、联营企业和合营企业情况</w:t>
      </w:r>
    </w:p>
    <w:p w14:paraId="44983C9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H.存在分级代理或代销关系、同一生产制造商关系、管理关系、重要业务（占主营业务收入50%以上）或重要财务往来关系（如融资）等其他实质性控制关系</w:t>
      </w:r>
    </w:p>
    <w:p w14:paraId="49A9E33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I.其他利害关系情况。</w:t>
      </w:r>
    </w:p>
    <w:p w14:paraId="6DEC4D11">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（二）现已清楚知道并严格遵守政府采购法律法规和现场纪律</w:t>
      </w:r>
    </w:p>
    <w:p w14:paraId="7DBCE5C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（三）我发现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（供应商名称）之间存在或可能存在上述第二条第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项利害关系。</w:t>
      </w:r>
    </w:p>
    <w:p w14:paraId="16BE36CA">
      <w:pPr>
        <w:spacing w:line="440" w:lineRule="exact"/>
        <w:rPr>
          <w:rFonts w:hint="eastAsia" w:ascii="宋体" w:hAnsi="宋体" w:eastAsia="宋体" w:cs="宋体"/>
          <w:color w:val="auto"/>
          <w:sz w:val="24"/>
          <w:highlight w:val="none"/>
        </w:rPr>
      </w:pPr>
    </w:p>
    <w:p w14:paraId="59C3C61F">
      <w:pPr>
        <w:spacing w:line="440" w:lineRule="exact"/>
        <w:rPr>
          <w:rFonts w:hint="eastAsia" w:ascii="宋体" w:hAnsi="宋体" w:eastAsia="宋体" w:cs="宋体"/>
          <w:color w:val="auto"/>
          <w:sz w:val="24"/>
          <w:highlight w:val="none"/>
        </w:rPr>
      </w:pPr>
    </w:p>
    <w:p w14:paraId="20E6F5EE">
      <w:pPr>
        <w:spacing w:line="440" w:lineRule="exact"/>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投标供应商代表签字：</w:t>
      </w:r>
    </w:p>
    <w:p w14:paraId="51F40C46">
      <w:pPr>
        <w:spacing w:line="440" w:lineRule="exact"/>
        <w:ind w:firstLine="5280" w:firstLineChars="2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D16E042">
      <w:pPr>
        <w:spacing w:line="400" w:lineRule="exact"/>
        <w:ind w:left="548" w:leftChars="261"/>
        <w:rPr>
          <w:rFonts w:hint="eastAsia" w:ascii="宋体" w:hAnsi="宋体" w:eastAsia="宋体" w:cs="宋体"/>
          <w:color w:val="auto"/>
          <w:sz w:val="22"/>
          <w:szCs w:val="22"/>
          <w:highlight w:val="none"/>
        </w:rPr>
      </w:pPr>
    </w:p>
    <w:p w14:paraId="67945CC7"/>
    <w:sectPr>
      <w:headerReference r:id="rId9" w:type="first"/>
      <w:footerReference r:id="rId11" w:type="first"/>
      <w:headerReference r:id="rId8" w:type="default"/>
      <w:footerReference r:id="rId10" w:type="default"/>
      <w:pgSz w:w="11906" w:h="16838"/>
      <w:pgMar w:top="1134" w:right="1134" w:bottom="850" w:left="1134" w:header="851" w:footer="992" w:gutter="284"/>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C0E3">
    <w:pPr>
      <w:pStyle w:val="11"/>
      <w:ind w:right="360"/>
    </w:pPr>
    <w:r>
      <mc:AlternateContent>
        <mc:Choice Requires="wps">
          <w:drawing>
            <wp:anchor distT="0" distB="0" distL="114300" distR="114300" simplePos="0" relativeHeight="251659264" behindDoc="0" locked="0" layoutInCell="1" allowOverlap="1">
              <wp:simplePos x="0" y="0"/>
              <wp:positionH relativeFrom="margin">
                <wp:posOffset>5817235</wp:posOffset>
              </wp:positionH>
              <wp:positionV relativeFrom="paragraph">
                <wp:posOffset>199390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1B57F5">
                          <w:pPr>
                            <w:pStyle w:val="11"/>
                            <w:rPr>
                              <w:rStyle w:val="20"/>
                            </w:rPr>
                          </w:pPr>
                          <w:r>
                            <w:fldChar w:fldCharType="begin"/>
                          </w:r>
                          <w:r>
                            <w:rPr>
                              <w:rStyle w:val="20"/>
                            </w:rPr>
                            <w:instrText xml:space="preserve">PAGE  </w:instrText>
                          </w:r>
                          <w:r>
                            <w:fldChar w:fldCharType="separate"/>
                          </w:r>
                          <w:r>
                            <w:rPr>
                              <w:rStyle w:val="20"/>
                            </w:rPr>
                            <w:t>2</w:t>
                          </w:r>
                          <w:r>
                            <w:fldChar w:fldCharType="end"/>
                          </w:r>
                        </w:p>
                        <w:p w14:paraId="3510C8AF"/>
                      </w:txbxContent>
                    </wps:txbx>
                    <wps:bodyPr wrap="none" lIns="0" tIns="0" rIns="0" bIns="0" upright="0">
                      <a:spAutoFit/>
                    </wps:bodyPr>
                  </wps:wsp>
                </a:graphicData>
              </a:graphic>
            </wp:anchor>
          </w:drawing>
        </mc:Choice>
        <mc:Fallback>
          <w:pict>
            <v:shape id="_x0000_s1026" o:spid="_x0000_s1026" o:spt="202" type="#_x0000_t202" style="position:absolute;left:0pt;margin-left:458.05pt;margin-top:15.7pt;height:144pt;width:144pt;mso-position-horizontal-relative:margin;mso-wrap-style:none;z-index:251659264;mso-width-relative:page;mso-height-relative:page;" filled="f" stroked="f" coordsize="21600,21600" o:gfxdata="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bhxD1vitLlOtBuD0kbKL0liuMsFNhnFhhN21XXonH95L18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GD4w1gAAAAsBAAAPAAAAAAAAAAEAIAAAACIAAABkcnMvZG93&#10;bnJldi54bWxQSwECFAAUAAAACACHTuJA1F+UJskBAACZAwAADgAAAAAAAAABACAAAAAlAQAAZHJz&#10;L2Uyb0RvYy54bWxQSwUGAAAAAAYABgBZAQAAYAUAAAAA&#10;">
              <v:fill on="f" focussize="0,0"/>
              <v:stroke on="f"/>
              <v:imagedata o:title=""/>
              <o:lock v:ext="edit" aspectratio="f"/>
              <v:textbox inset="0mm,0mm,0mm,0mm" style="mso-fit-shape-to-text:t;">
                <w:txbxContent>
                  <w:p w14:paraId="0B1B57F5">
                    <w:pPr>
                      <w:pStyle w:val="11"/>
                      <w:rPr>
                        <w:rStyle w:val="20"/>
                      </w:rPr>
                    </w:pPr>
                    <w:r>
                      <w:fldChar w:fldCharType="begin"/>
                    </w:r>
                    <w:r>
                      <w:rPr>
                        <w:rStyle w:val="20"/>
                      </w:rPr>
                      <w:instrText xml:space="preserve">PAGE  </w:instrText>
                    </w:r>
                    <w:r>
                      <w:fldChar w:fldCharType="separate"/>
                    </w:r>
                    <w:r>
                      <w:rPr>
                        <w:rStyle w:val="20"/>
                      </w:rPr>
                      <w:t>2</w:t>
                    </w:r>
                    <w:r>
                      <w:fldChar w:fldCharType="end"/>
                    </w:r>
                  </w:p>
                  <w:p w14:paraId="3510C8A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EB4A">
    <w:pPr>
      <w:pStyle w:val="11"/>
      <w:framePr w:wrap="around" w:vAnchor="text" w:hAnchor="margin" w:xAlign="right" w:y="1"/>
      <w:rPr>
        <w:rStyle w:val="20"/>
      </w:rPr>
    </w:pPr>
    <w:r>
      <w:fldChar w:fldCharType="begin"/>
    </w:r>
    <w:r>
      <w:rPr>
        <w:rStyle w:val="20"/>
      </w:rPr>
      <w:instrText xml:space="preserve">PAGE  </w:instrText>
    </w:r>
    <w:r>
      <w:fldChar w:fldCharType="end"/>
    </w:r>
  </w:p>
  <w:p w14:paraId="1B2BEA4E">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6E5D">
    <w:pPr>
      <w:pStyle w:val="11"/>
      <w:wordWrap w:val="0"/>
      <w:jc w:val="right"/>
    </w:pPr>
    <w:r>
      <mc:AlternateContent>
        <mc:Choice Requires="wps">
          <w:drawing>
            <wp:anchor distT="0" distB="0" distL="114300" distR="114300" simplePos="0" relativeHeight="251660288" behindDoc="0" locked="0" layoutInCell="1" allowOverlap="1">
              <wp:simplePos x="0" y="0"/>
              <wp:positionH relativeFrom="margin">
                <wp:posOffset>5807710</wp:posOffset>
              </wp:positionH>
              <wp:positionV relativeFrom="paragraph">
                <wp:posOffset>164465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13525">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left:457.3pt;margin-top:12.95pt;height:144pt;width:144pt;mso-position-horizontal-relative:margin;mso-wrap-style:none;z-index:251660288;mso-width-relative:page;mso-height-relative:page;" filled="f" stroked="f" coordsize="21600,21600" o:gfxdata="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JnfnNcAAAALAQAADwAAAAAAAAABACAAAAAiAAAAZHJzL2Rv&#10;d25yZXYueG1sUEsBAhQAFAAAAAgAh07iQARvkKDJAQAAmQMAAA4AAAAAAAAAAQAgAAAAJgEAAGRy&#10;cy9lMm9Eb2MueG1sUEsFBgAAAAAGAAYAWQEAAGEFAAAAAA==&#10;">
              <v:fill on="f" focussize="0,0"/>
              <v:stroke on="f"/>
              <v:imagedata o:title=""/>
              <o:lock v:ext="edit" aspectratio="f"/>
              <v:textbox inset="0mm,0mm,0mm,0mm" style="mso-fit-shape-to-text:t;">
                <w:txbxContent>
                  <w:p w14:paraId="4DE13525">
                    <w:pPr>
                      <w:pStyle w:val="11"/>
                    </w:pP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03743">
    <w:pPr>
      <w:pStyle w:val="11"/>
      <w:ind w:right="360"/>
    </w:pPr>
    <w:r>
      <mc:AlternateContent>
        <mc:Choice Requires="wps">
          <w:drawing>
            <wp:anchor distT="0" distB="0" distL="114300" distR="114300" simplePos="0" relativeHeight="251659264" behindDoc="0" locked="0" layoutInCell="1" allowOverlap="1">
              <wp:simplePos x="0" y="0"/>
              <wp:positionH relativeFrom="margin">
                <wp:posOffset>5817235</wp:posOffset>
              </wp:positionH>
              <wp:positionV relativeFrom="paragraph">
                <wp:posOffset>199390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341A2">
                          <w:pPr>
                            <w:pStyle w:val="11"/>
                            <w:rPr>
                              <w:rStyle w:val="20"/>
                            </w:rPr>
                          </w:pPr>
                          <w:r>
                            <w:fldChar w:fldCharType="begin"/>
                          </w:r>
                          <w:r>
                            <w:rPr>
                              <w:rStyle w:val="20"/>
                            </w:rPr>
                            <w:instrText xml:space="preserve">PAGE  </w:instrText>
                          </w:r>
                          <w:r>
                            <w:fldChar w:fldCharType="separate"/>
                          </w:r>
                          <w:r>
                            <w:rPr>
                              <w:rStyle w:val="20"/>
                            </w:rPr>
                            <w:t>2</w:t>
                          </w:r>
                          <w:r>
                            <w:fldChar w:fldCharType="end"/>
                          </w:r>
                        </w:p>
                        <w:p w14:paraId="378AE43D"/>
                      </w:txbxContent>
                    </wps:txbx>
                    <wps:bodyPr wrap="none" lIns="0" tIns="0" rIns="0" bIns="0" upright="0">
                      <a:spAutoFit/>
                    </wps:bodyPr>
                  </wps:wsp>
                </a:graphicData>
              </a:graphic>
            </wp:anchor>
          </w:drawing>
        </mc:Choice>
        <mc:Fallback>
          <w:pict>
            <v:shape id="_x0000_s1026" o:spid="_x0000_s1026" o:spt="202" type="#_x0000_t202" style="position:absolute;left:0pt;margin-left:458.05pt;margin-top:15.7pt;height:144pt;width:144pt;mso-position-horizontal-relative:margin;mso-wrap-style:none;z-index:251659264;mso-width-relative:page;mso-height-relative:page;" filled="f" stroked="f" coordsize="21600,21600" o:gfxdata="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9Bg+MNYAAAALAQAADwAAAAAAAAABACAAAAAiAAAAZHJzL2Rvd25y&#10;ZXYueG1sUEsBAhQAFAAAAAgAh07iQPQJJ5fHAQAAmQMAAA4AAAAAAAAAAQAgAAAAJQEAAGRycy9l&#10;Mm9Eb2MueG1sUEsFBgAAAAAGAAYAWQEAAF4FAAAAAA==&#10;">
              <v:fill on="f" focussize="0,0"/>
              <v:stroke on="f"/>
              <v:imagedata o:title=""/>
              <o:lock v:ext="edit" aspectratio="f"/>
              <v:textbox inset="0mm,0mm,0mm,0mm" style="mso-fit-shape-to-text:t;">
                <w:txbxContent>
                  <w:p w14:paraId="7C5341A2">
                    <w:pPr>
                      <w:pStyle w:val="11"/>
                      <w:rPr>
                        <w:rStyle w:val="20"/>
                      </w:rPr>
                    </w:pPr>
                    <w:r>
                      <w:fldChar w:fldCharType="begin"/>
                    </w:r>
                    <w:r>
                      <w:rPr>
                        <w:rStyle w:val="20"/>
                      </w:rPr>
                      <w:instrText xml:space="preserve">PAGE  </w:instrText>
                    </w:r>
                    <w:r>
                      <w:fldChar w:fldCharType="separate"/>
                    </w:r>
                    <w:r>
                      <w:rPr>
                        <w:rStyle w:val="20"/>
                      </w:rPr>
                      <w:t>2</w:t>
                    </w:r>
                    <w:r>
                      <w:fldChar w:fldCharType="end"/>
                    </w:r>
                  </w:p>
                  <w:p w14:paraId="378AE43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704F">
    <w:pPr>
      <w:pStyle w:val="11"/>
      <w:wordWrap w:val="0"/>
      <w:jc w:val="right"/>
    </w:pPr>
    <w:r>
      <mc:AlternateContent>
        <mc:Choice Requires="wps">
          <w:drawing>
            <wp:anchor distT="0" distB="0" distL="114300" distR="114300" simplePos="0" relativeHeight="251660288" behindDoc="0" locked="0" layoutInCell="1" allowOverlap="1">
              <wp:simplePos x="0" y="0"/>
              <wp:positionH relativeFrom="margin">
                <wp:posOffset>5807710</wp:posOffset>
              </wp:positionH>
              <wp:positionV relativeFrom="paragraph">
                <wp:posOffset>164465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E94A4">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left:457.3pt;margin-top:12.95pt;height:144pt;width:144pt;mso-position-horizontal-relative:margin;mso-wrap-style:none;z-index:251660288;mso-width-relative:page;mso-height-relative:page;" filled="f" stroked="f" coordsize="21600,21600" o:gfxdata="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oMRxiwO//Pxx&#10;+fXn8vs7WWZ5+gA1Zt0HzEvDOz/k1MkP6MysBxVt/iIfgnEU93wVVw6JiPxovVqvKwwJjM0XxGEP&#10;z0OE9F56S7LR0IjTK6Ly00dIY+qckqs5f6eNQT+vjfvHgZjZw3LvY4/ZSsN+mBrf+/aMfHocfEMd&#10;7jkl5oNDXfOOzEacjf1sHEPUh64sUa4H4faYsInSW64wwk6FcWKF3bRdeSUe30vWwx+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Qmd+c1wAAAAsBAAAPAAAAAAAAAAEAIAAAACIAAABkcnMvZG93&#10;bnJldi54bWxQSwECFAAUAAAACACHTuJA5KL+z8gBAACZAwAADgAAAAAAAAABACAAAAAmAQAAZHJz&#10;L2Uyb0RvYy54bWxQSwUGAAAAAAYABgBZAQAAYAUAAAAA&#10;">
              <v:fill on="f" focussize="0,0"/>
              <v:stroke on="f"/>
              <v:imagedata o:title=""/>
              <o:lock v:ext="edit" aspectratio="f"/>
              <v:textbox inset="0mm,0mm,0mm,0mm" style="mso-fit-shape-to-text:t;">
                <w:txbxContent>
                  <w:p w14:paraId="172E94A4">
                    <w:pPr>
                      <w:pStyle w:val="11"/>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AE53">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A41F">
    <w:pPr>
      <w:pStyle w:val="12"/>
      <w:tabs>
        <w:tab w:val="left" w:pos="1365"/>
      </w:tabs>
      <w:ind w:right="14829"/>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8CDA">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D278">
    <w:pPr>
      <w:pStyle w:val="12"/>
      <w:tabs>
        <w:tab w:val="left" w:pos="1365"/>
      </w:tabs>
      <w:ind w:right="1482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7B79B"/>
    <w:multiLevelType w:val="multilevel"/>
    <w:tmpl w:val="8147B79B"/>
    <w:lvl w:ilvl="0" w:tentative="0">
      <w:start w:val="1"/>
      <w:numFmt w:val="decimal"/>
      <w:lvlText w:val="%1、"/>
      <w:lvlJc w:val="left"/>
      <w:pPr>
        <w:ind w:left="557" w:hanging="450"/>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1">
    <w:nsid w:val="8FB3F0E0"/>
    <w:multiLevelType w:val="singleLevel"/>
    <w:tmpl w:val="8FB3F0E0"/>
    <w:lvl w:ilvl="0" w:tentative="0">
      <w:start w:val="1"/>
      <w:numFmt w:val="decimal"/>
      <w:suff w:val="nothing"/>
      <w:lvlText w:val="%1、"/>
      <w:lvlJc w:val="left"/>
    </w:lvl>
  </w:abstractNum>
  <w:abstractNum w:abstractNumId="2">
    <w:nsid w:val="E0CD05CC"/>
    <w:multiLevelType w:val="singleLevel"/>
    <w:tmpl w:val="E0CD05CC"/>
    <w:lvl w:ilvl="0" w:tentative="0">
      <w:start w:val="1"/>
      <w:numFmt w:val="decimal"/>
      <w:suff w:val="nothing"/>
      <w:lvlText w:val="%1．"/>
      <w:lvlJc w:val="left"/>
      <w:pPr>
        <w:ind w:left="-116" w:firstLine="400"/>
      </w:pPr>
      <w:rPr>
        <w:rFonts w:hint="default" w:ascii="新宋体" w:hAnsi="新宋体" w:eastAsia="新宋体" w:cs="新宋体"/>
        <w:sz w:val="22"/>
        <w:szCs w:val="22"/>
      </w:rPr>
    </w:lvl>
  </w:abstractNum>
  <w:abstractNum w:abstractNumId="3">
    <w:nsid w:val="00000003"/>
    <w:multiLevelType w:val="multilevel"/>
    <w:tmpl w:val="00000003"/>
    <w:lvl w:ilvl="0" w:tentative="0">
      <w:start w:val="1"/>
      <w:numFmt w:val="chineseCountingThousand"/>
      <w:lvlText w:val="%1、"/>
      <w:lvlJc w:val="left"/>
      <w:pPr>
        <w:ind w:left="421" w:hanging="420"/>
      </w:pPr>
      <w:rPr>
        <w:rFonts w:hint="eastAsia" w:ascii="新宋体" w:hAnsi="新宋体" w:eastAsia="新宋体" w:cs="新宋体"/>
        <w:sz w:val="22"/>
        <w:szCs w:val="22"/>
      </w:rPr>
    </w:lvl>
    <w:lvl w:ilvl="1" w:tentative="0">
      <w:start w:val="1"/>
      <w:numFmt w:val="decimal"/>
      <w:lvlText w:val="%2."/>
      <w:lvlJc w:val="left"/>
      <w:pPr>
        <w:tabs>
          <w:tab w:val="left" w:pos="1440"/>
        </w:tabs>
        <w:ind w:left="1441" w:hanging="360"/>
      </w:pPr>
    </w:lvl>
    <w:lvl w:ilvl="2" w:tentative="0">
      <w:start w:val="1"/>
      <w:numFmt w:val="decimal"/>
      <w:lvlText w:val="%3."/>
      <w:lvlJc w:val="left"/>
      <w:pPr>
        <w:tabs>
          <w:tab w:val="left" w:pos="2160"/>
        </w:tabs>
        <w:ind w:left="2161" w:hanging="360"/>
      </w:pPr>
    </w:lvl>
    <w:lvl w:ilvl="3" w:tentative="0">
      <w:start w:val="1"/>
      <w:numFmt w:val="decimal"/>
      <w:lvlText w:val="%4."/>
      <w:lvlJc w:val="left"/>
      <w:pPr>
        <w:tabs>
          <w:tab w:val="left" w:pos="2880"/>
        </w:tabs>
        <w:ind w:left="2881" w:hanging="360"/>
      </w:pPr>
    </w:lvl>
    <w:lvl w:ilvl="4" w:tentative="0">
      <w:start w:val="1"/>
      <w:numFmt w:val="decimal"/>
      <w:lvlText w:val="%5."/>
      <w:lvlJc w:val="left"/>
      <w:pPr>
        <w:tabs>
          <w:tab w:val="left" w:pos="3600"/>
        </w:tabs>
        <w:ind w:left="3601" w:hanging="360"/>
      </w:pPr>
    </w:lvl>
    <w:lvl w:ilvl="5" w:tentative="0">
      <w:start w:val="1"/>
      <w:numFmt w:val="decimal"/>
      <w:lvlText w:val="%6."/>
      <w:lvlJc w:val="left"/>
      <w:pPr>
        <w:tabs>
          <w:tab w:val="left" w:pos="4320"/>
        </w:tabs>
        <w:ind w:left="4321" w:hanging="360"/>
      </w:pPr>
    </w:lvl>
    <w:lvl w:ilvl="6" w:tentative="0">
      <w:start w:val="1"/>
      <w:numFmt w:val="decimal"/>
      <w:lvlText w:val="%7."/>
      <w:lvlJc w:val="left"/>
      <w:pPr>
        <w:tabs>
          <w:tab w:val="left" w:pos="5040"/>
        </w:tabs>
        <w:ind w:left="5041" w:hanging="360"/>
      </w:pPr>
    </w:lvl>
    <w:lvl w:ilvl="7" w:tentative="0">
      <w:start w:val="1"/>
      <w:numFmt w:val="decimal"/>
      <w:lvlText w:val="%8."/>
      <w:lvlJc w:val="left"/>
      <w:pPr>
        <w:tabs>
          <w:tab w:val="left" w:pos="5760"/>
        </w:tabs>
        <w:ind w:left="5761" w:hanging="360"/>
      </w:pPr>
    </w:lvl>
    <w:lvl w:ilvl="8" w:tentative="0">
      <w:start w:val="1"/>
      <w:numFmt w:val="decimal"/>
      <w:lvlText w:val="%9."/>
      <w:lvlJc w:val="left"/>
      <w:pPr>
        <w:tabs>
          <w:tab w:val="left" w:pos="6480"/>
        </w:tabs>
        <w:ind w:left="6481" w:hanging="360"/>
      </w:pPr>
    </w:lvl>
  </w:abstractNum>
  <w:abstractNum w:abstractNumId="4">
    <w:nsid w:val="00000005"/>
    <w:multiLevelType w:val="singleLevel"/>
    <w:tmpl w:val="00000005"/>
    <w:lvl w:ilvl="0" w:tentative="0">
      <w:start w:val="8"/>
      <w:numFmt w:val="decimal"/>
      <w:suff w:val="space"/>
      <w:lvlText w:val="%1．"/>
      <w:lvlJc w:val="left"/>
    </w:lvl>
  </w:abstractNum>
  <w:abstractNum w:abstractNumId="5">
    <w:nsid w:val="00000007"/>
    <w:multiLevelType w:val="singleLevel"/>
    <w:tmpl w:val="00000007"/>
    <w:lvl w:ilvl="0" w:tentative="0">
      <w:start w:val="2"/>
      <w:numFmt w:val="decimal"/>
      <w:suff w:val="nothing"/>
      <w:lvlText w:val="%1、"/>
      <w:lvlJc w:val="left"/>
      <w:rPr>
        <w:rFonts w:hint="default" w:ascii="新宋体" w:hAnsi="新宋体" w:eastAsia="新宋体" w:cs="新宋体"/>
      </w:rPr>
    </w:lvl>
  </w:abstractNum>
  <w:abstractNum w:abstractNumId="6">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766"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0"/>
    <w:multiLevelType w:val="multilevel"/>
    <w:tmpl w:val="000000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2"/>
    <w:multiLevelType w:val="multilevel"/>
    <w:tmpl w:val="00000012"/>
    <w:lvl w:ilvl="0" w:tentative="0">
      <w:start w:val="1"/>
      <w:numFmt w:val="decimal"/>
      <w:suff w:val="nothing"/>
      <w:lvlText w:val="%1．"/>
      <w:lvlJc w:val="left"/>
      <w:pPr>
        <w:ind w:left="451" w:firstLine="400"/>
      </w:pPr>
      <w:rPr>
        <w:rFonts w:hint="default" w:ascii="新宋体" w:hAnsi="新宋体" w:eastAsia="新宋体" w:cs="新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4"/>
    <w:multiLevelType w:val="multilevel"/>
    <w:tmpl w:val="00000014"/>
    <w:lvl w:ilvl="0" w:tentative="0">
      <w:start w:val="1"/>
      <w:numFmt w:val="decimal"/>
      <w:lvlText w:val="%1、"/>
      <w:lvlJc w:val="left"/>
      <w:pPr>
        <w:ind w:left="840" w:hanging="360"/>
      </w:pPr>
      <w:rPr>
        <w:rFonts w:hint="default" w:ascii="新宋体" w:hAnsi="新宋体" w:eastAsia="新宋体" w:cs="新宋体"/>
        <w:sz w:val="22"/>
        <w:szCs w:val="2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D1CF131"/>
    <w:multiLevelType w:val="singleLevel"/>
    <w:tmpl w:val="0D1CF131"/>
    <w:lvl w:ilvl="0" w:tentative="0">
      <w:start w:val="1"/>
      <w:numFmt w:val="decimal"/>
      <w:suff w:val="space"/>
      <w:lvlText w:val="%1."/>
      <w:lvlJc w:val="left"/>
    </w:lvl>
  </w:abstractNum>
  <w:abstractNum w:abstractNumId="11">
    <w:nsid w:val="0EC098F9"/>
    <w:multiLevelType w:val="multilevel"/>
    <w:tmpl w:val="0EC098F9"/>
    <w:lvl w:ilvl="0" w:tentative="0">
      <w:start w:val="1"/>
      <w:numFmt w:val="decimal"/>
      <w:suff w:val="nothing"/>
      <w:lvlText w:val="%1．"/>
      <w:lvlJc w:val="left"/>
      <w:pPr>
        <w:ind w:left="0" w:firstLine="400"/>
      </w:pPr>
      <w:rPr>
        <w:rFonts w:hint="eastAsia" w:ascii="新宋体" w:hAnsi="新宋体" w:eastAsia="新宋体" w:cs="新宋体"/>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FBE2A3E"/>
    <w:multiLevelType w:val="multilevel"/>
    <w:tmpl w:val="0FBE2A3E"/>
    <w:lvl w:ilvl="0" w:tentative="0">
      <w:start w:val="1"/>
      <w:numFmt w:val="decimal"/>
      <w:lvlText w:val="(%1)"/>
      <w:lvlJc w:val="left"/>
      <w:pPr>
        <w:ind w:left="1290" w:hanging="435"/>
      </w:pPr>
      <w:rPr>
        <w:rFonts w:hint="default"/>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13">
    <w:nsid w:val="11DE13B7"/>
    <w:multiLevelType w:val="singleLevel"/>
    <w:tmpl w:val="11DE13B7"/>
    <w:lvl w:ilvl="0" w:tentative="0">
      <w:start w:val="1"/>
      <w:numFmt w:val="decimal"/>
      <w:suff w:val="nothing"/>
      <w:lvlText w:val="%1．"/>
      <w:lvlJc w:val="left"/>
      <w:pPr>
        <w:ind w:left="-116" w:firstLine="400"/>
      </w:pPr>
      <w:rPr>
        <w:rFonts w:hint="default" w:ascii="新宋体" w:hAnsi="新宋体" w:eastAsia="新宋体" w:cs="新宋体"/>
        <w:sz w:val="22"/>
        <w:szCs w:val="22"/>
      </w:rPr>
    </w:lvl>
  </w:abstractNum>
  <w:abstractNum w:abstractNumId="14">
    <w:nsid w:val="311F1F64"/>
    <w:multiLevelType w:val="multilevel"/>
    <w:tmpl w:val="311F1F64"/>
    <w:lvl w:ilvl="0" w:tentative="0">
      <w:start w:val="1"/>
      <w:numFmt w:val="decimal"/>
      <w:lvlText w:val="%1、"/>
      <w:lvlJc w:val="left"/>
      <w:pPr>
        <w:ind w:left="557" w:hanging="450"/>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15">
    <w:nsid w:val="36D6AD25"/>
    <w:multiLevelType w:val="multilevel"/>
    <w:tmpl w:val="36D6AD25"/>
    <w:lvl w:ilvl="0" w:tentative="0">
      <w:start w:val="1"/>
      <w:numFmt w:val="chineseCounting"/>
      <w:lvlText w:val="第%1条"/>
      <w:lvlJc w:val="left"/>
      <w:pPr>
        <w:ind w:left="930" w:hanging="72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A8E25F7"/>
    <w:multiLevelType w:val="multilevel"/>
    <w:tmpl w:val="3A8E25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FE21E99"/>
    <w:multiLevelType w:val="multilevel"/>
    <w:tmpl w:val="3FE21E99"/>
    <w:lvl w:ilvl="0" w:tentative="0">
      <w:start w:val="1"/>
      <w:numFmt w:val="decimal"/>
      <w:lvlText w:val="%1、"/>
      <w:lvlJc w:val="left"/>
      <w:pPr>
        <w:ind w:left="557" w:hanging="551"/>
      </w:pPr>
      <w:rPr>
        <w:rFonts w:hint="default"/>
        <w:b w:val="0"/>
      </w:rPr>
    </w:lvl>
    <w:lvl w:ilvl="1" w:tentative="0">
      <w:start w:val="1"/>
      <w:numFmt w:val="lowerLetter"/>
      <w:lvlText w:val="%2)"/>
      <w:lvlJc w:val="left"/>
      <w:pPr>
        <w:ind w:left="947" w:hanging="420"/>
      </w:pPr>
    </w:lvl>
    <w:lvl w:ilvl="2" w:tentative="0">
      <w:start w:val="1"/>
      <w:numFmt w:val="lowerRoman"/>
      <w:lvlText w:val="%3."/>
      <w:lvlJc w:val="right"/>
      <w:pPr>
        <w:ind w:left="1367" w:hanging="420"/>
      </w:pPr>
    </w:lvl>
    <w:lvl w:ilvl="3" w:tentative="0">
      <w:start w:val="1"/>
      <w:numFmt w:val="decimal"/>
      <w:lvlText w:val="%4."/>
      <w:lvlJc w:val="left"/>
      <w:pPr>
        <w:ind w:left="1787" w:hanging="420"/>
      </w:pPr>
    </w:lvl>
    <w:lvl w:ilvl="4" w:tentative="0">
      <w:start w:val="1"/>
      <w:numFmt w:val="lowerLetter"/>
      <w:lvlText w:val="%5)"/>
      <w:lvlJc w:val="left"/>
      <w:pPr>
        <w:ind w:left="2207" w:hanging="420"/>
      </w:pPr>
    </w:lvl>
    <w:lvl w:ilvl="5" w:tentative="0">
      <w:start w:val="1"/>
      <w:numFmt w:val="lowerRoman"/>
      <w:lvlText w:val="%6."/>
      <w:lvlJc w:val="right"/>
      <w:pPr>
        <w:ind w:left="2627" w:hanging="420"/>
      </w:pPr>
    </w:lvl>
    <w:lvl w:ilvl="6" w:tentative="0">
      <w:start w:val="1"/>
      <w:numFmt w:val="decimal"/>
      <w:lvlText w:val="%7."/>
      <w:lvlJc w:val="left"/>
      <w:pPr>
        <w:ind w:left="3047" w:hanging="420"/>
      </w:pPr>
    </w:lvl>
    <w:lvl w:ilvl="7" w:tentative="0">
      <w:start w:val="1"/>
      <w:numFmt w:val="lowerLetter"/>
      <w:lvlText w:val="%8)"/>
      <w:lvlJc w:val="left"/>
      <w:pPr>
        <w:ind w:left="3467" w:hanging="420"/>
      </w:pPr>
    </w:lvl>
    <w:lvl w:ilvl="8" w:tentative="0">
      <w:start w:val="1"/>
      <w:numFmt w:val="lowerRoman"/>
      <w:lvlText w:val="%9."/>
      <w:lvlJc w:val="right"/>
      <w:pPr>
        <w:ind w:left="3887" w:hanging="420"/>
      </w:pPr>
    </w:lvl>
  </w:abstractNum>
  <w:abstractNum w:abstractNumId="18">
    <w:nsid w:val="434605D9"/>
    <w:multiLevelType w:val="multilevel"/>
    <w:tmpl w:val="434605D9"/>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9">
    <w:nsid w:val="513D8815"/>
    <w:multiLevelType w:val="singleLevel"/>
    <w:tmpl w:val="513D8815"/>
    <w:lvl w:ilvl="0" w:tentative="0">
      <w:start w:val="4"/>
      <w:numFmt w:val="decimal"/>
      <w:suff w:val="nothing"/>
      <w:lvlText w:val="（%1）"/>
      <w:lvlJc w:val="left"/>
    </w:lvl>
  </w:abstractNum>
  <w:abstractNum w:abstractNumId="20">
    <w:nsid w:val="68A258D7"/>
    <w:multiLevelType w:val="multilevel"/>
    <w:tmpl w:val="68A258D7"/>
    <w:lvl w:ilvl="0" w:tentative="0">
      <w:start w:val="1"/>
      <w:numFmt w:val="decimal"/>
      <w:lvlText w:val="%1、"/>
      <w:lvlJc w:val="left"/>
      <w:pPr>
        <w:ind w:left="495" w:hanging="375"/>
      </w:pPr>
      <w:rPr>
        <w:rFonts w:hint="default" w:ascii="新宋体" w:hAnsi="新宋体" w:eastAsia="新宋体" w:cs="新宋体"/>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4"/>
  </w:num>
  <w:num w:numId="2">
    <w:abstractNumId w:val="16"/>
  </w:num>
  <w:num w:numId="3">
    <w:abstractNumId w:val="7"/>
  </w:num>
  <w:num w:numId="4">
    <w:abstractNumId w:val="6"/>
  </w:num>
  <w:num w:numId="5">
    <w:abstractNumId w:val="15"/>
  </w:num>
  <w:num w:numId="6">
    <w:abstractNumId w:val="12"/>
  </w:num>
  <w:num w:numId="7">
    <w:abstractNumId w:val="1"/>
  </w:num>
  <w:num w:numId="8">
    <w:abstractNumId w:val="20"/>
  </w:num>
  <w:num w:numId="9">
    <w:abstractNumId w:val="2"/>
  </w:num>
  <w:num w:numId="10">
    <w:abstractNumId w:val="13"/>
  </w:num>
  <w:num w:numId="11">
    <w:abstractNumId w:val="14"/>
  </w:num>
  <w:num w:numId="12">
    <w:abstractNumId w:val="0"/>
  </w:num>
  <w:num w:numId="13">
    <w:abstractNumId w:val="11"/>
  </w:num>
  <w:num w:numId="14">
    <w:abstractNumId w:val="8"/>
  </w:num>
  <w:num w:numId="15">
    <w:abstractNumId w:val="10"/>
  </w:num>
  <w:num w:numId="16">
    <w:abstractNumId w:val="18"/>
  </w:num>
  <w:num w:numId="17">
    <w:abstractNumId w:val="5"/>
  </w:num>
  <w:num w:numId="18">
    <w:abstractNumId w:val="9"/>
  </w:num>
  <w:num w:numId="19">
    <w:abstractNumId w:val="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A2457"/>
    <w:rsid w:val="180A2457"/>
    <w:rsid w:val="2BC86EE0"/>
    <w:rsid w:val="31845F46"/>
    <w:rsid w:val="6605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4">
    <w:name w:val="Normal Indent"/>
    <w:basedOn w:val="1"/>
    <w:next w:val="5"/>
    <w:uiPriority w:val="0"/>
    <w:pPr>
      <w:adjustRightInd w:val="0"/>
      <w:spacing w:line="312" w:lineRule="atLeast"/>
      <w:ind w:firstLine="420"/>
      <w:textAlignment w:val="baseline"/>
    </w:pPr>
    <w:rPr>
      <w:kern w:val="0"/>
      <w:szCs w:val="20"/>
    </w:rPr>
  </w:style>
  <w:style w:type="paragraph" w:styleId="5">
    <w:name w:val="Body Text Indent"/>
    <w:basedOn w:val="1"/>
    <w:next w:val="4"/>
    <w:uiPriority w:val="0"/>
    <w:pPr>
      <w:ind w:left="480" w:hanging="480" w:hangingChars="200"/>
    </w:pPr>
    <w:rPr>
      <w:sz w:val="24"/>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next w:val="1"/>
    <w:qFormat/>
    <w:uiPriority w:val="0"/>
    <w:pPr>
      <w:ind w:firstLine="420" w:firstLineChars="100"/>
    </w:pPr>
    <w:rPr>
      <w:kern w:val="0"/>
      <w:sz w:val="20"/>
      <w:szCs w:val="20"/>
    </w:rPr>
  </w:style>
  <w:style w:type="paragraph" w:styleId="9">
    <w:name w:val="Plain Text"/>
    <w:basedOn w:val="1"/>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Body Text Indent 2"/>
    <w:basedOn w:val="1"/>
    <w:qFormat/>
    <w:uiPriority w:val="0"/>
    <w:pPr>
      <w:spacing w:line="500" w:lineRule="exact"/>
      <w:ind w:firstLine="511" w:firstLineChars="213"/>
    </w:pPr>
    <w:rPr>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styleId="14">
    <w:name w:val="toc 6"/>
    <w:basedOn w:val="1"/>
    <w:next w:val="1"/>
    <w:uiPriority w:val="0"/>
    <w:pPr>
      <w:ind w:left="1050"/>
      <w:jc w:val="left"/>
    </w:pPr>
    <w:rPr>
      <w:rFonts w:ascii="Times New Roman" w:hAnsi="Times New Roman" w:eastAsia="宋体" w:cs="Times New Roman"/>
      <w:sz w:val="18"/>
      <w:szCs w:val="18"/>
    </w:rPr>
  </w:style>
  <w:style w:type="paragraph" w:styleId="15">
    <w:name w:val="toc 2"/>
    <w:basedOn w:val="1"/>
    <w:next w:val="1"/>
    <w:qFormat/>
    <w:uiPriority w:val="0"/>
    <w:pPr>
      <w:ind w:left="210"/>
      <w:jc w:val="left"/>
    </w:pPr>
    <w:rPr>
      <w:rFonts w:ascii="Times New Roman" w:hAnsi="Times New Roman" w:eastAsia="宋体" w:cs="Times New Roman"/>
      <w:smallCaps/>
      <w:sz w:val="20"/>
      <w:szCs w:val="20"/>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table" w:styleId="18">
    <w:name w:val="Table Grid"/>
    <w:basedOn w:val="1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rPr>
      <w:rFonts w:ascii="Times New Roman" w:hAnsi="Times New Roman" w:eastAsia="宋体" w:cs="Times New Roman"/>
    </w:rPr>
  </w:style>
  <w:style w:type="character" w:styleId="21">
    <w:name w:val="Hyperlink"/>
    <w:uiPriority w:val="0"/>
    <w:rPr>
      <w:rFonts w:ascii="Times New Roman" w:hAnsi="Times New Roman" w:eastAsia="宋体" w:cs="Times New Roman"/>
      <w:color w:val="0000FF"/>
      <w:u w:val="single"/>
    </w:rPr>
  </w:style>
  <w:style w:type="paragraph" w:customStyle="1" w:styleId="22">
    <w:name w:val="BZ_二级标题"/>
    <w:basedOn w:val="3"/>
    <w:next w:val="1"/>
    <w:uiPriority w:val="0"/>
    <w:pPr>
      <w:widowControl/>
      <w:spacing w:beforeLines="50" w:afterLines="50" w:line="240" w:lineRule="auto"/>
      <w:ind w:left="576" w:hanging="576"/>
    </w:pPr>
    <w:rPr>
      <w:rFonts w:ascii="Times New Roman" w:hAnsi="Times New Roman" w:eastAsia="楷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27253</Words>
  <Characters>28048</Characters>
  <Lines>0</Lines>
  <Paragraphs>0</Paragraphs>
  <TotalTime>0</TotalTime>
  <ScaleCrop>false</ScaleCrop>
  <LinksUpToDate>false</LinksUpToDate>
  <CharactersWithSpaces>31017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2025-06-17T08:55:00Z</dcterms:created>
  <dc:creator>࿈</dc:creator>
  <cp:lastModifiedBy>࿈</cp:lastModifiedBy>
  <dcterms:modified xsi:type="dcterms:W3CDTF">2025-06-18T06:38:13Z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42A784B43465439F9BE26570037B266F_13</vt:lpwstr>
  </property>
  <property fmtid="{D5CDD505-2E9C-101B-9397-08002B2CF9AE}" pid="4" name="KSOTemplateDocerSaveRecord">
    <vt:lpwstr>eyJoZGlkIjoiM2FlYTRmN2JiYjJlZDFjOWZiNzQ5ZTkxODI3MTc4YWYiLCJ1c2VySWQiOiIzNTQ1MTI0MjgifQ==</vt:lpwstr>
  </property>
</Properties>
</file>